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2</w:t>
            </w:r>
          </w:p>
        </w:tc>
        <w:tc>
          <w:tcPr>
            <w:tcW w:w="2372" w:type="dxa"/>
          </w:tcPr>
          <w:p>
            <w:r>
              <w:t>s/n</w:t>
            </w:r>
          </w:p>
        </w:tc>
        <w:tc>
          <w:tcPr>
            <w:tcW w:w="3773" w:type="dxa"/>
          </w:tcPr>
          <w:p>
            <w:r>
              <w:t>mouse inalambrico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fomento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