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39536</w:t>
            </w:r>
          </w:p>
        </w:tc>
        <w:tc>
          <w:tcPr>
            <w:tcW w:type="dxa" w:w="3496"/>
          </w:tcPr>
          <w:p>
            <w:r>
              <w:t>Notebook Dell Latitude 3520 i5</w:t>
            </w:r>
          </w:p>
        </w:tc>
        <w:tc>
          <w:tcPr>
            <w:tcW w:type="dxa" w:w="3138"/>
          </w:tcPr>
          <w:p>
            <w:r>
              <w:t>Se hace entrega del equipo con sus respectivos accesorios (mochila transportadora y cargador).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01/04/2025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Mauro Gauna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Mariano Merlo Gimenez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