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4475"/>
          <w:sz w:val="36"/>
        </w:rPr>
        <w:t>MATRIZ DE GESTIÓN DE INTERESADOS</w:t>
      </w:r>
    </w:p>
    <w:p>
      <w:pPr>
        <w:jc w:val="center"/>
      </w:pPr>
      <w:r>
        <w:rPr>
          <w:sz w:val="22"/>
        </w:rPr>
        <w:t>Proyecto Ayni Bank — Plataforma de Banca 100% Digital</w:t>
      </w:r>
    </w:p>
    <w:p>
      <w:pPr>
        <w:jc w:val="center"/>
      </w:pPr>
      <w:r>
        <w:rPr>
          <w:i/>
          <w:sz w:val="17"/>
        </w:rPr>
        <w:t>Versión 1.0 · 14 de agosto de 2026 · Elaborado por Joaquín Alfonso Loa Denegri (Jefe de Proyecto)</w:t>
      </w:r>
    </w:p>
    <w:p>
      <w:r>
        <w:rPr>
          <w:b w:val="0"/>
          <w:i w:val="0"/>
          <w:sz w:val="18"/>
        </w:rPr>
      </w:r>
    </w:p>
    <w:p>
      <w:r>
        <w:rPr>
          <w:b w:val="0"/>
          <w:i/>
          <w:sz w:val="18"/>
        </w:rPr>
        <w:t>Se identifican y clasifican los interesados según su poder o influencia sobre el proyecto y su nivel de interés en el resultado, conforme al modelo poder-interés de la Guía PMBOK. Se consigna además su nivel de interacción directa con el sistema, dato que determina las necesidades funcionales y los permisos que el software debe soportar.</w:t>
      </w:r>
    </w:p>
    <w:p>
      <w:pPr>
        <w:spacing w:before="240"/>
      </w:pPr>
      <w:r>
        <w:rPr>
          <w:b/>
          <w:color w:val="064475"/>
          <w:sz w:val="24"/>
        </w:rPr>
        <w:t>1. CUADRANTES DE LA MATRIZ PODER-INTERÉS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814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5669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INTERÉS BAJO</w:t>
            </w:r>
          </w:p>
        </w:tc>
        <w:tc>
          <w:tcPr>
            <w:tcW w:type="dxa" w:w="6803"/>
            <w:shd w:val="clear" w:color="auto" w:fill="064475"/>
          </w:tcPr>
          <w:p>
            <w:r/>
            <w:r>
              <w:rPr>
                <w:b/>
                <w:color w:val="FFFFFF"/>
                <w:sz w:val="17"/>
              </w:rPr>
              <w:t>INTERÉS ALTO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PODER ALTO</w:t>
            </w:r>
          </w:p>
        </w:tc>
        <w:tc>
          <w:tcPr>
            <w:tcW w:type="dxa" w:w="5669"/>
            <w:shd w:val="clear" w:color="auto" w:fill="FFF4CC"/>
          </w:tcPr>
          <w:p>
            <w:pPr>
              <w:spacing w:after="20"/>
            </w:pPr>
            <w:r/>
            <w:r>
              <w:rPr>
                <w:sz w:val="17"/>
              </w:rPr>
              <w:t>MANTENER SATISFECHO</w:t>
              <w:br/>
              <w:t>Superintendencia de Banca, Seguros y AFP (SBS)</w:t>
              <w:br/>
              <w:t>Auditoría Interna</w:t>
            </w:r>
          </w:p>
        </w:tc>
        <w:tc>
          <w:tcPr>
            <w:tcW w:type="dxa" w:w="6803"/>
            <w:shd w:val="clear" w:color="auto" w:fill="FFD9D9"/>
          </w:tcPr>
          <w:p>
            <w:pPr>
              <w:spacing w:after="20"/>
            </w:pPr>
            <w:r/>
            <w:r>
              <w:rPr>
                <w:sz w:val="17"/>
              </w:rPr>
              <w:t>GESTIONAR DE CERCA</w:t>
              <w:br/>
              <w:t>Directorio y accionistas de Ayni Bank</w:t>
              <w:br/>
              <w:t>Gerencia General</w:t>
              <w:br/>
              <w:t>Jefatura de Operaciones del segmento</w:t>
              <w:br/>
              <w:t>Oficial de Cumplimiento</w:t>
              <w:br/>
              <w:t>Jefe de Proyecto</w:t>
              <w:br/>
              <w:t>Docente asesor del curso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PODER BAJO</w:t>
            </w:r>
          </w:p>
        </w:tc>
        <w:tc>
          <w:tcPr>
            <w:tcW w:type="dxa" w:w="5669"/>
            <w:shd w:val="clear" w:color="auto" w:fill="E8E8E8"/>
          </w:tcPr>
          <w:p>
            <w:pPr>
              <w:spacing w:after="20"/>
            </w:pPr>
            <w:r/>
            <w:r>
              <w:rPr>
                <w:sz w:val="17"/>
              </w:rPr>
              <w:t>MONITOREAR</w:t>
              <w:br/>
              <w:t>Proveedores de infraestructura</w:t>
              <w:br/>
              <w:t>Proveedor de correo transaccional</w:t>
            </w:r>
          </w:p>
        </w:tc>
        <w:tc>
          <w:tcPr>
            <w:tcW w:type="dxa" w:w="6803"/>
            <w:shd w:val="clear" w:color="auto" w:fill="DFF0E4"/>
          </w:tcPr>
          <w:p>
            <w:pPr>
              <w:spacing w:after="20"/>
            </w:pPr>
            <w:r/>
            <w:r>
              <w:rPr>
                <w:sz w:val="17"/>
              </w:rPr>
              <w:t>MANTENER INFORMADO</w:t>
              <w:br/>
              <w:t>Clientes y usuarios finales</w:t>
              <w:br/>
              <w:t>Equipo de proyecto</w:t>
              <w:br/>
              <w:t>Soporte y operaciones de TI</w:t>
            </w:r>
          </w:p>
        </w:tc>
      </w:tr>
    </w:tbl>
    <w:p/>
    <w:p>
      <w:pPr>
        <w:spacing w:before="240"/>
      </w:pPr>
      <w:r>
        <w:rPr>
          <w:b/>
          <w:color w:val="064475"/>
          <w:sz w:val="24"/>
        </w:rPr>
        <w:t>2. REGISTRO DE INTERESADOS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567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Interesado</w:t>
            </w:r>
          </w:p>
        </w:tc>
        <w:tc>
          <w:tcPr>
            <w:tcW w:type="dxa" w:w="1134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1247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Rol en el proyecto</w:t>
            </w:r>
          </w:p>
        </w:tc>
        <w:tc>
          <w:tcPr>
            <w:tcW w:type="dxa" w:w="1020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Poder / Influencia</w:t>
            </w:r>
          </w:p>
        </w:tc>
        <w:tc>
          <w:tcPr>
            <w:tcW w:type="dxa" w:w="907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Nivel de interés</w:t>
            </w:r>
          </w:p>
        </w:tc>
        <w:tc>
          <w:tcPr>
            <w:tcW w:type="dxa" w:w="1247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Cuadrante y estrategia</w:t>
            </w:r>
          </w:p>
        </w:tc>
        <w:tc>
          <w:tcPr>
            <w:tcW w:type="dxa" w:w="2494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Nivel de interacción con el sistema</w:t>
            </w:r>
          </w:p>
        </w:tc>
        <w:tc>
          <w:tcPr>
            <w:tcW w:type="dxa" w:w="2494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Expectativas</w:t>
            </w:r>
          </w:p>
        </w:tc>
        <w:tc>
          <w:tcPr>
            <w:tcW w:type="dxa" w:w="2835"/>
            <w:shd w:val="clear" w:color="auto" w:fill="064475"/>
          </w:tcPr>
          <w:p>
            <w:r/>
            <w:r>
              <w:rPr>
                <w:b/>
                <w:color w:val="FFFFFF"/>
                <w:sz w:val="14"/>
              </w:rPr>
              <w:t>Estrategia de gestión y comunicación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Directorio y accionistas de Ayni Bank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 al equipo / Interno a la organización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Patrocinador del proyecto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Nula. No opera el sistema; recibe reportes ejecutivos consolidados.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Retorno de la inversión, posicionamiento en el segmento de banca digital y crecimiento sostenido de la base de clientes.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Informe de avance al cierre de cada hito. Participación en las revisiones formales de las semanas 5, 9, 13 y 18. Aprobación explícita de todo cambio en la línea base del alcance.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Gerencia General de Ayni Bank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 la organización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Patrocinador ejecutivo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Baja. Consulta indicadores agregados de negocio.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Alineación del proyecto con la estrategia de la entidad y liberación oportuna de los recursos comprometidos.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Reunión de seguimiento al cierre de cada fase. Escalamiento de decisiones que exceden la autoridad del Jefe de Proyecto.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Jefatura de Operaciones del segmento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 la organización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Usuario de negocio principal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ALTA. Usuario diario del back-office: consulta de clientes, seguimiento de operaciones y atención de incidencias. Roles OPERADOR y SUPERVISOR.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Reducción del costo operativo por cliente, eliminación del proceso presencial de apertura y disponibilidad de herramientas de atención eficaces.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Participación en el refinamiento del backlog del back-office. Asistencia a los Sprint Review. Validación de los criterios de aceptación de las historias operativas.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Oficial de Cumplimiento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 la organización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Control normativo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Medio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ALTA. Revisa las solicitudes de onboarding derivadas a verificación manual y marca operaciones sospechosas. Rol OFICIAL_CUMPLIMIENTO.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Que el proceso de conocimiento del cliente sea confiable y trazable, y que el tratamiento de datos personales y biométricos cumpla la Ley N.º 29733.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Revisión y aprobación del diseño del flujo de KYC y de la pantalla de consentimiento. Validación de la política de retención de datos.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Auditoría Interna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 la organización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Control y aseguramiento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Mantener satisfecho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MEDIA. Consulta la pista de auditoría y el histórico de entidades. Rol AUDITOR, exclusivamente de lectura.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Que toda operación sobre datos y dinero quede registrada de forma inalterable y sea reconstruible en cualquier momento pasado.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Revisión del diseño de la pista de auditoría antes de su implementación. Verificación de la segregación de funciones y del principio de cuatro ojos.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Clientes y usuarios finales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Usuario del producto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Bajo (individual) / Alto (agregado)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Mantener informado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MUY ALTA. Usuarios diarios de la banca en línea: onboarding, consulta de saldo, transferencias y gestión de tarjeta. Rol CLIENTE.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Abrir una cuenta sin acudir a una agencia, no pagar comisión de mantenimiento, que el saldo genere rendimiento y disponer de control inmediato sobre su tarjeta.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Pruebas de usabilidad con usuarios reales en los sprints 7 y 8. Retroalimentación incorporada al backlog. Comunicación de novedades mediante el sitio público.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Joaquín Alfonso Loa Denegri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al equipo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Jefe de Proyecto / Product Owner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ALTA. Valida cada incremento y decide los despliegues a producción.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Entregar el producto comprometido en plazo, con la calidad declarada y sin comprometer la integridad del dinero.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Responsable de toda la comunicación entre el equipo y los demás interesados. Mantiene el Product Backlog priorizado y visible en Jira.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Equipo de proyecto (Kiara Santti, Gerardo Socualaya, Eduardo Vargas)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Interno al equipo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Developers y Scrum Master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Mantener informado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ALTA. Construyen, prueban y operan el sistema en los entornos de desarrollo y staging.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Claridad en los requisitos, carga de trabajo sostenible y aprendizaje técnico efectivo durante el proyecto.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Daily Scrum diario. Sprint Planning, Review y Retrospective en cada iteración. Acceso permanente al tablero y a la documentación del repositorio.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I-09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Superintendencia de Banca, Seguros y AFP (SBS)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Ente regulador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Muy 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Mantener satisfecho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NULA. No accede al sistema. El diseño incorpora sus exigencias normativas, en particular la publicación transparente de la TREA.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Cumplimiento del marco regulatorio aplicable a productos de ahorro y a la protección del consumidor financiero.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Incorporación de los requisitos normativos como criterios de aceptación no negociables. No requiere comunicación directa en el ámbito académico del proyecto.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I-10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Docente asesor — Dr. Carlos R. P. Tovar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Evaluador y asesor metodológico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Alto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Gestionar de cerca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MEDIA. Revisa el sistema desplegado y la evidencia de calidad en cada avance.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Cumplimiento de los objetivos de aprendizaje y aplicación efectiva de prácticas de calidad, seguridad y arquitectura.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Presentación formal de avances en las semanas 5, 9, 13 y 18. Consultas de asesoría durante las sesiones de clase. Entrega de la documentación de gestión y de los informes técnicos.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I-11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Proveedores de infraestructura (Oracle Cloud, GitHub, Cloudflare)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Proveedor de servicios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Monitorear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INDIRECTA. Sostienen la plataforma sobre la que corre el sistema, sin acceder a él.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Uso del servicio dentro de los límites de la modalidad contratada.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Monitoreo de cambios en las condiciones de servicio. Sin comunicación bidireccional activa; el riesgo R-10 cubre una eventual discontinuidad.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4"/>
              </w:rPr>
              <w:t>I-12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4"/>
              </w:rPr>
              <w:t>Proveedor de correo transaccional (Brevo / Resend)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4"/>
              </w:rPr>
              <w:t>Externo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Proveedor de servicios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4"/>
              </w:rPr>
              <w:t>Bajo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4"/>
              </w:rPr>
              <w:t>Monitorear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INDIRECTA. Entrega las notificaciones generadas por el sistema.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4"/>
              </w:rPr>
              <w:t>Uso dentro de los límites de la capa gratuita y cumplimiento de las políticas antispam.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4"/>
              </w:rPr>
              <w:t>Monitoreo de la tasa de entrega. Registro de cada intento de envío en la base de datos.</w:t>
            </w:r>
          </w:p>
        </w:tc>
      </w:tr>
    </w:tbl>
    <w:p/>
    <w:p>
      <w:pPr>
        <w:spacing w:before="240"/>
      </w:pPr>
      <w:r>
        <w:rPr>
          <w:b/>
          <w:color w:val="064475"/>
          <w:sz w:val="24"/>
        </w:rPr>
        <w:t>3. RESUMEN POR NIVEL DE INTERACCIÓN CON EL SISTEMA</w:t>
      </w:r>
    </w:p>
    <w:p>
      <w:r>
        <w:rPr>
          <w:b w:val="0"/>
          <w:i/>
          <w:sz w:val="18"/>
        </w:rPr>
        <w:t>Este eje es el que traduce la gestión de interesados en requisitos de software: define qué roles debe soportar el sistema y con qué permisos.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74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Nivel de interacción</w:t>
            </w:r>
          </w:p>
        </w:tc>
        <w:tc>
          <w:tcPr>
            <w:tcW w:type="dxa" w:w="3402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Interesados</w:t>
            </w:r>
          </w:p>
        </w:tc>
        <w:tc>
          <w:tcPr>
            <w:tcW w:type="dxa" w:w="2494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Rol en el sistema</w:t>
            </w:r>
          </w:p>
        </w:tc>
        <w:tc>
          <w:tcPr>
            <w:tcW w:type="dxa" w:w="5329"/>
            <w:shd w:val="clear" w:color="auto" w:fill="064475"/>
          </w:tcPr>
          <w:p>
            <w:r/>
            <w:r>
              <w:rPr>
                <w:b/>
                <w:color w:val="FFFFFF"/>
                <w:sz w:val="16"/>
              </w:rPr>
              <w:t>Implicancia funcional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Muy alta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Clientes y usuarios finales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CLIENTE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Banca en línea completa: onboarding, cuentas, tarjeta, transferencias y estado de cuenta.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Alta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Jefatura de Operaciones; Oficial de Cumplimiento; equipo de proyecto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OPERADOR, SUPERVISOR, OFICIAL_CUMPLIMIENTO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Back-office con segregación de funciones y principio de cuatro ojos: quien inicia una operación sensible no puede aprobarla.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Media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Auditoría Interna; docente asesor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AUDITOR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Acceso íntegro de solo lectura, incluida la pista de auditoría; sin capacidad de escritura sobre ningún dato.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Baja o nula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Directorio; Gerencia General; SBS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Sin acceso al sistema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Reportes e indicadores consolidados; los requisitos normativos se incorporan como criterios de aceptación no negociables.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Indirecta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6"/>
              </w:rPr>
              <w:t>Proveedores de infraestructura y de correo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No aplica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sz w:val="16"/>
              </w:rPr>
              <w:t>Sostienen la plataforma sin acceder a ella; su indisponibilidad se gestiona mediante los riesgos R-10 y R-12.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