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64475"/>
          <w:sz w:val="36"/>
        </w:rPr>
        <w:t>MATRIZ DE GESTIÓN DE RIESGOS</w:t>
      </w:r>
    </w:p>
    <w:p>
      <w:pPr>
        <w:jc w:val="center"/>
      </w:pPr>
      <w:r>
        <w:rPr>
          <w:sz w:val="22"/>
        </w:rPr>
        <w:t>Proyecto Ayni Bank — Plataforma de Banca 100% Digital</w:t>
      </w:r>
    </w:p>
    <w:p>
      <w:pPr>
        <w:jc w:val="center"/>
      </w:pPr>
      <w:r>
        <w:rPr>
          <w:i/>
          <w:sz w:val="17"/>
        </w:rPr>
        <w:t>Versión 1.0 · 14 de agosto de 2026 · Elaborado por Joaquín Alfonso Loa Denegri (Jefe de Proyecto)</w:t>
      </w:r>
    </w:p>
    <w:p>
      <w:r>
        <w:rPr>
          <w:i w:val="0"/>
          <w:sz w:val="18"/>
        </w:rPr>
      </w:r>
    </w:p>
    <w:p>
      <w:r>
        <w:rPr>
          <w:i/>
          <w:sz w:val="18"/>
        </w:rPr>
        <w:t>Principio rector: los riesgos no se eliminan, se gestionan y se mitigan. Cada probabilidad consignada en esta matriz está sustentada en datos verificables del contexto peruano o en estadísticas sectoriales de gestión de proyectos, con su fuente citada. No se asignan probabilidades por apreciación subjetiva.</w:t>
      </w:r>
    </w:p>
    <w:p>
      <w:pPr>
        <w:spacing w:before="240"/>
      </w:pPr>
      <w:r>
        <w:rPr>
          <w:b/>
          <w:color w:val="064475"/>
          <w:sz w:val="24"/>
        </w:rPr>
        <w:t>1. ESCALAS DE VALORACIÓN</w:t>
      </w:r>
    </w:p>
    <w:tbl>
      <w:tblPr>
        <w:tblStyle w:val="TableGrid"/>
        <w:tblW w:type="auto" w:w="0"/>
        <w:tblLook w:firstColumn="1" w:firstRow="1" w:lastColumn="0" w:lastRow="0" w:noHBand="0" w:noVBand="1" w:val="04A0"/>
      </w:tblPr>
      <w:tblGrid>
        <w:gridCol w:w="2828"/>
        <w:gridCol w:w="2828"/>
        <w:gridCol w:w="2828"/>
        <w:gridCol w:w="2828"/>
        <w:gridCol w:w="2828"/>
      </w:tblGrid>
      <w:tr>
        <w:tc>
          <w:tcPr>
            <w:tcW w:type="dxa" w:w="794"/>
            <w:shd w:val="clear" w:color="auto" w:fill="064475"/>
          </w:tcPr>
          <w:p>
            <w:r/>
            <w:r>
              <w:rPr>
                <w:b/>
                <w:color w:val="FFFFFF"/>
                <w:sz w:val="16"/>
              </w:rPr>
              <w:t>Nivel</w:t>
            </w:r>
          </w:p>
        </w:tc>
        <w:tc>
          <w:tcPr>
            <w:tcW w:type="dxa" w:w="1701"/>
            <w:shd w:val="clear" w:color="auto" w:fill="064475"/>
          </w:tcPr>
          <w:p>
            <w:r/>
            <w:r>
              <w:rPr>
                <w:b/>
                <w:color w:val="FFFFFF"/>
                <w:sz w:val="16"/>
              </w:rPr>
              <w:t>Probabilidad</w:t>
            </w:r>
          </w:p>
        </w:tc>
        <w:tc>
          <w:tcPr>
            <w:tcW w:type="dxa" w:w="1587"/>
            <w:shd w:val="clear" w:color="auto" w:fill="064475"/>
          </w:tcPr>
          <w:p>
            <w:r/>
            <w:r>
              <w:rPr>
                <w:b/>
                <w:color w:val="FFFFFF"/>
                <w:sz w:val="16"/>
              </w:rPr>
              <w:t>Rango</w:t>
            </w:r>
          </w:p>
        </w:tc>
        <w:tc>
          <w:tcPr>
            <w:tcW w:type="dxa" w:w="1474"/>
            <w:shd w:val="clear" w:color="auto" w:fill="064475"/>
          </w:tcPr>
          <w:p>
            <w:r/>
            <w:r>
              <w:rPr>
                <w:b/>
                <w:color w:val="FFFFFF"/>
                <w:sz w:val="16"/>
              </w:rPr>
              <w:t>Impacto</w:t>
            </w:r>
          </w:p>
        </w:tc>
        <w:tc>
          <w:tcPr>
            <w:tcW w:type="dxa" w:w="6803"/>
            <w:shd w:val="clear" w:color="auto" w:fill="064475"/>
          </w:tcPr>
          <w:p>
            <w:r/>
            <w:r>
              <w:rPr>
                <w:b/>
                <w:color w:val="FFFFFF"/>
                <w:sz w:val="16"/>
              </w:rPr>
              <w:t>Descripción del impacto</w:t>
            </w:r>
          </w:p>
        </w:tc>
      </w:tr>
      <w:tr>
        <w:tc>
          <w:tcPr>
            <w:tcW w:type="dxa" w:w="794"/>
          </w:tcPr>
          <w:p>
            <w:pPr>
              <w:spacing w:after="20"/>
            </w:pPr>
            <w:r/>
            <w:r>
              <w:rPr>
                <w:sz w:val="16"/>
              </w:rPr>
              <w:t>1</w:t>
            </w:r>
          </w:p>
        </w:tc>
        <w:tc>
          <w:tcPr>
            <w:tcW w:type="dxa" w:w="1701"/>
          </w:tcPr>
          <w:p>
            <w:pPr>
              <w:spacing w:after="20"/>
            </w:pPr>
            <w:r/>
            <w:r>
              <w:rPr>
                <w:sz w:val="16"/>
              </w:rPr>
              <w:t>Muy baja</w:t>
            </w:r>
          </w:p>
        </w:tc>
        <w:tc>
          <w:tcPr>
            <w:tcW w:type="dxa" w:w="1587"/>
          </w:tcPr>
          <w:p>
            <w:pPr>
              <w:spacing w:after="20"/>
            </w:pPr>
            <w:r/>
            <w:r>
              <w:rPr>
                <w:sz w:val="16"/>
              </w:rPr>
              <w:t>0 % – 10 %</w:t>
            </w:r>
          </w:p>
        </w:tc>
        <w:tc>
          <w:tcPr>
            <w:tcW w:type="dxa" w:w="1474"/>
          </w:tcPr>
          <w:p>
            <w:pPr>
              <w:spacing w:after="20"/>
            </w:pPr>
            <w:r/>
            <w:r>
              <w:rPr>
                <w:sz w:val="16"/>
              </w:rPr>
              <w:t>Muy bajo</w:t>
            </w:r>
          </w:p>
        </w:tc>
        <w:tc>
          <w:tcPr>
            <w:tcW w:type="dxa" w:w="6803"/>
          </w:tcPr>
          <w:p>
            <w:pPr>
              <w:spacing w:after="20"/>
            </w:pPr>
            <w:r/>
            <w:r>
              <w:rPr>
                <w:sz w:val="16"/>
              </w:rPr>
              <w:t>Efecto imperceptible en plazo, alcance o calidad.</w:t>
            </w:r>
          </w:p>
        </w:tc>
      </w:tr>
      <w:tr>
        <w:tc>
          <w:tcPr>
            <w:tcW w:type="dxa" w:w="794"/>
          </w:tcPr>
          <w:p>
            <w:pPr>
              <w:spacing w:after="20"/>
            </w:pPr>
            <w:r/>
            <w:r>
              <w:rPr>
                <w:sz w:val="16"/>
              </w:rPr>
              <w:t>2</w:t>
            </w:r>
          </w:p>
        </w:tc>
        <w:tc>
          <w:tcPr>
            <w:tcW w:type="dxa" w:w="1701"/>
          </w:tcPr>
          <w:p>
            <w:pPr>
              <w:spacing w:after="20"/>
            </w:pPr>
            <w:r/>
            <w:r>
              <w:rPr>
                <w:sz w:val="16"/>
              </w:rPr>
              <w:t>Baja</w:t>
            </w:r>
          </w:p>
        </w:tc>
        <w:tc>
          <w:tcPr>
            <w:tcW w:type="dxa" w:w="1587"/>
          </w:tcPr>
          <w:p>
            <w:pPr>
              <w:spacing w:after="20"/>
            </w:pPr>
            <w:r/>
            <w:r>
              <w:rPr>
                <w:sz w:val="16"/>
              </w:rPr>
              <w:t>11 % – 30 %</w:t>
            </w:r>
          </w:p>
        </w:tc>
        <w:tc>
          <w:tcPr>
            <w:tcW w:type="dxa" w:w="1474"/>
          </w:tcPr>
          <w:p>
            <w:pPr>
              <w:spacing w:after="20"/>
            </w:pPr>
            <w:r/>
            <w:r>
              <w:rPr>
                <w:sz w:val="16"/>
              </w:rPr>
              <w:t>Bajo</w:t>
            </w:r>
          </w:p>
        </w:tc>
        <w:tc>
          <w:tcPr>
            <w:tcW w:type="dxa" w:w="6803"/>
          </w:tcPr>
          <w:p>
            <w:pPr>
              <w:spacing w:after="20"/>
            </w:pPr>
            <w:r/>
            <w:r>
              <w:rPr>
                <w:sz w:val="16"/>
              </w:rPr>
              <w:t>Retraso menor absorbible dentro del sprint.</w:t>
            </w:r>
          </w:p>
        </w:tc>
      </w:tr>
      <w:tr>
        <w:tc>
          <w:tcPr>
            <w:tcW w:type="dxa" w:w="794"/>
          </w:tcPr>
          <w:p>
            <w:pPr>
              <w:spacing w:after="20"/>
            </w:pPr>
            <w:r/>
            <w:r>
              <w:rPr>
                <w:sz w:val="16"/>
              </w:rPr>
              <w:t>3</w:t>
            </w:r>
          </w:p>
        </w:tc>
        <w:tc>
          <w:tcPr>
            <w:tcW w:type="dxa" w:w="1701"/>
          </w:tcPr>
          <w:p>
            <w:pPr>
              <w:spacing w:after="20"/>
            </w:pPr>
            <w:r/>
            <w:r>
              <w:rPr>
                <w:sz w:val="16"/>
              </w:rPr>
              <w:t>Media</w:t>
            </w:r>
          </w:p>
        </w:tc>
        <w:tc>
          <w:tcPr>
            <w:tcW w:type="dxa" w:w="1587"/>
          </w:tcPr>
          <w:p>
            <w:pPr>
              <w:spacing w:after="20"/>
            </w:pPr>
            <w:r/>
            <w:r>
              <w:rPr>
                <w:sz w:val="16"/>
              </w:rPr>
              <w:t>31 % – 50 %</w:t>
            </w:r>
          </w:p>
        </w:tc>
        <w:tc>
          <w:tcPr>
            <w:tcW w:type="dxa" w:w="1474"/>
          </w:tcPr>
          <w:p>
            <w:pPr>
              <w:spacing w:after="20"/>
            </w:pPr>
            <w:r/>
            <w:r>
              <w:rPr>
                <w:sz w:val="16"/>
              </w:rPr>
              <w:t>Medio</w:t>
            </w:r>
          </w:p>
        </w:tc>
        <w:tc>
          <w:tcPr>
            <w:tcW w:type="dxa" w:w="6803"/>
          </w:tcPr>
          <w:p>
            <w:pPr>
              <w:spacing w:after="20"/>
            </w:pPr>
            <w:r/>
            <w:r>
              <w:rPr>
                <w:sz w:val="16"/>
              </w:rPr>
              <w:t>Retraso de un sprint o degradación parcial de una funcionalidad.</w:t>
            </w:r>
          </w:p>
        </w:tc>
      </w:tr>
      <w:tr>
        <w:tc>
          <w:tcPr>
            <w:tcW w:type="dxa" w:w="794"/>
          </w:tcPr>
          <w:p>
            <w:pPr>
              <w:spacing w:after="20"/>
            </w:pPr>
            <w:r/>
            <w:r>
              <w:rPr>
                <w:sz w:val="16"/>
              </w:rPr>
              <w:t>4</w:t>
            </w:r>
          </w:p>
        </w:tc>
        <w:tc>
          <w:tcPr>
            <w:tcW w:type="dxa" w:w="1701"/>
          </w:tcPr>
          <w:p>
            <w:pPr>
              <w:spacing w:after="20"/>
            </w:pPr>
            <w:r/>
            <w:r>
              <w:rPr>
                <w:sz w:val="16"/>
              </w:rPr>
              <w:t>Alta</w:t>
            </w:r>
          </w:p>
        </w:tc>
        <w:tc>
          <w:tcPr>
            <w:tcW w:type="dxa" w:w="1587"/>
          </w:tcPr>
          <w:p>
            <w:pPr>
              <w:spacing w:after="20"/>
            </w:pPr>
            <w:r/>
            <w:r>
              <w:rPr>
                <w:sz w:val="16"/>
              </w:rPr>
              <w:t>51 % – 75 %</w:t>
            </w:r>
          </w:p>
        </w:tc>
        <w:tc>
          <w:tcPr>
            <w:tcW w:type="dxa" w:w="1474"/>
          </w:tcPr>
          <w:p>
            <w:pPr>
              <w:spacing w:after="20"/>
            </w:pPr>
            <w:r/>
            <w:r>
              <w:rPr>
                <w:sz w:val="16"/>
              </w:rPr>
              <w:t>Alto</w:t>
            </w:r>
          </w:p>
        </w:tc>
        <w:tc>
          <w:tcPr>
            <w:tcW w:type="dxa" w:w="6803"/>
          </w:tcPr>
          <w:p>
            <w:pPr>
              <w:spacing w:after="20"/>
            </w:pPr>
            <w:r/>
            <w:r>
              <w:rPr>
                <w:sz w:val="16"/>
              </w:rPr>
              <w:t>Compromete un entregable comprometido o un hito.</w:t>
            </w:r>
          </w:p>
        </w:tc>
      </w:tr>
      <w:tr>
        <w:tc>
          <w:tcPr>
            <w:tcW w:type="dxa" w:w="794"/>
          </w:tcPr>
          <w:p>
            <w:pPr>
              <w:spacing w:after="20"/>
            </w:pPr>
            <w:r/>
            <w:r>
              <w:rPr>
                <w:sz w:val="16"/>
              </w:rPr>
              <w:t>5</w:t>
            </w:r>
          </w:p>
        </w:tc>
        <w:tc>
          <w:tcPr>
            <w:tcW w:type="dxa" w:w="1701"/>
          </w:tcPr>
          <w:p>
            <w:pPr>
              <w:spacing w:after="20"/>
            </w:pPr>
            <w:r/>
            <w:r>
              <w:rPr>
                <w:sz w:val="16"/>
              </w:rPr>
              <w:t>Muy alta</w:t>
            </w:r>
          </w:p>
        </w:tc>
        <w:tc>
          <w:tcPr>
            <w:tcW w:type="dxa" w:w="1587"/>
          </w:tcPr>
          <w:p>
            <w:pPr>
              <w:spacing w:after="20"/>
            </w:pPr>
            <w:r/>
            <w:r>
              <w:rPr>
                <w:sz w:val="16"/>
              </w:rPr>
              <w:t>76 % – 100 %</w:t>
            </w:r>
          </w:p>
        </w:tc>
        <w:tc>
          <w:tcPr>
            <w:tcW w:type="dxa" w:w="1474"/>
          </w:tcPr>
          <w:p>
            <w:pPr>
              <w:spacing w:after="20"/>
            </w:pPr>
            <w:r/>
            <w:r>
              <w:rPr>
                <w:sz w:val="16"/>
              </w:rPr>
              <w:t>Muy alto</w:t>
            </w:r>
          </w:p>
        </w:tc>
        <w:tc>
          <w:tcPr>
            <w:tcW w:type="dxa" w:w="6803"/>
          </w:tcPr>
          <w:p>
            <w:pPr>
              <w:spacing w:after="20"/>
            </w:pPr>
            <w:r/>
            <w:r>
              <w:rPr>
                <w:sz w:val="16"/>
              </w:rPr>
              <w:t>Compromete la viabilidad del proyecto o genera pérdida de dinero o datos.</w:t>
            </w:r>
          </w:p>
        </w:tc>
      </w:tr>
    </w:tbl>
    <w:p/>
    <w:p>
      <w:r>
        <w:rPr>
          <w:i/>
          <w:sz w:val="18"/>
        </w:rPr>
        <w:t>Exposición al riesgo = Probabilidad × Impacto. Se clasifica como: 1–6 tolerable (verde), 8–12 moderada (ámbar), 15–25 crítica (rojo). Los riesgos de exposición crítica exigen plan de contingencia documentado además del plan de mitigación.</w:t>
      </w:r>
    </w:p>
    <w:p>
      <w:pPr>
        <w:spacing w:before="240"/>
      </w:pPr>
      <w:r>
        <w:rPr>
          <w:b/>
          <w:color w:val="064475"/>
          <w:sz w:val="24"/>
        </w:rPr>
        <w:t>2. MATRIZ DE RIESGOS IDENTIFICADOS</w:t>
      </w:r>
    </w:p>
    <w:tbl>
      <w:tblPr>
        <w:tblStyle w:val="TableGrid"/>
        <w:tblW w:type="auto" w:w="0"/>
        <w:tblLook w:firstColumn="1" w:firstRow="1" w:lastColumn="0" w:lastRow="0" w:noHBand="0" w:noVBand="1" w:val="04A0"/>
      </w:tblPr>
      <w:tblGrid>
        <w:gridCol w:w="1285"/>
        <w:gridCol w:w="1285"/>
        <w:gridCol w:w="1285"/>
        <w:gridCol w:w="1285"/>
        <w:gridCol w:w="1285"/>
        <w:gridCol w:w="1285"/>
        <w:gridCol w:w="1285"/>
        <w:gridCol w:w="1285"/>
        <w:gridCol w:w="1285"/>
        <w:gridCol w:w="1285"/>
        <w:gridCol w:w="1285"/>
      </w:tblGrid>
      <w:tr>
        <w:tc>
          <w:tcPr>
            <w:tcW w:type="dxa" w:w="567"/>
            <w:shd w:val="clear" w:color="auto" w:fill="064475"/>
          </w:tcPr>
          <w:p>
            <w:r/>
            <w:r>
              <w:rPr>
                <w:b/>
                <w:color w:val="FFFFFF"/>
                <w:sz w:val="14"/>
              </w:rPr>
              <w:t>ID</w:t>
            </w:r>
          </w:p>
        </w:tc>
        <w:tc>
          <w:tcPr>
            <w:tcW w:type="dxa" w:w="1474"/>
            <w:shd w:val="clear" w:color="auto" w:fill="064475"/>
          </w:tcPr>
          <w:p>
            <w:r/>
            <w:r>
              <w:rPr>
                <w:b/>
                <w:color w:val="FFFFFF"/>
                <w:sz w:val="14"/>
              </w:rPr>
              <w:t>Riesgo</w:t>
            </w:r>
          </w:p>
        </w:tc>
        <w:tc>
          <w:tcPr>
            <w:tcW w:type="dxa" w:w="850"/>
            <w:shd w:val="clear" w:color="auto" w:fill="064475"/>
          </w:tcPr>
          <w:p>
            <w:r/>
            <w:r>
              <w:rPr>
                <w:b/>
                <w:color w:val="FFFFFF"/>
                <w:sz w:val="14"/>
              </w:rPr>
              <w:t>Categoría</w:t>
            </w:r>
          </w:p>
        </w:tc>
        <w:tc>
          <w:tcPr>
            <w:tcW w:type="dxa" w:w="680"/>
            <w:shd w:val="clear" w:color="auto" w:fill="064475"/>
          </w:tcPr>
          <w:p>
            <w:r/>
            <w:r>
              <w:rPr>
                <w:b/>
                <w:color w:val="FFFFFF"/>
                <w:sz w:val="14"/>
              </w:rPr>
              <w:t>Prob.</w:t>
            </w:r>
          </w:p>
        </w:tc>
        <w:tc>
          <w:tcPr>
            <w:tcW w:type="dxa" w:w="2608"/>
            <w:shd w:val="clear" w:color="auto" w:fill="064475"/>
          </w:tcPr>
          <w:p>
            <w:r/>
            <w:r>
              <w:rPr>
                <w:b/>
                <w:color w:val="FFFFFF"/>
                <w:sz w:val="14"/>
              </w:rPr>
              <w:t>Sustento de la probabilidad</w:t>
            </w:r>
          </w:p>
        </w:tc>
        <w:tc>
          <w:tcPr>
            <w:tcW w:type="dxa" w:w="680"/>
            <w:shd w:val="clear" w:color="auto" w:fill="064475"/>
          </w:tcPr>
          <w:p>
            <w:r/>
            <w:r>
              <w:rPr>
                <w:b/>
                <w:color w:val="FFFFFF"/>
                <w:sz w:val="14"/>
              </w:rPr>
              <w:t>Impacto</w:t>
            </w:r>
          </w:p>
        </w:tc>
        <w:tc>
          <w:tcPr>
            <w:tcW w:type="dxa" w:w="850"/>
            <w:shd w:val="clear" w:color="auto" w:fill="064475"/>
          </w:tcPr>
          <w:p>
            <w:r/>
            <w:r>
              <w:rPr>
                <w:b/>
                <w:color w:val="FFFFFF"/>
                <w:sz w:val="14"/>
              </w:rPr>
              <w:t>Exposición</w:t>
            </w:r>
          </w:p>
        </w:tc>
        <w:tc>
          <w:tcPr>
            <w:tcW w:type="dxa" w:w="680"/>
            <w:shd w:val="clear" w:color="auto" w:fill="064475"/>
          </w:tcPr>
          <w:p>
            <w:r/>
            <w:r>
              <w:rPr>
                <w:b/>
                <w:color w:val="FFFFFF"/>
                <w:sz w:val="14"/>
              </w:rPr>
              <w:t>Estrategia</w:t>
            </w:r>
          </w:p>
        </w:tc>
        <w:tc>
          <w:tcPr>
            <w:tcW w:type="dxa" w:w="2948"/>
            <w:shd w:val="clear" w:color="auto" w:fill="064475"/>
          </w:tcPr>
          <w:p>
            <w:r/>
            <w:r>
              <w:rPr>
                <w:b/>
                <w:color w:val="FFFFFF"/>
                <w:sz w:val="14"/>
              </w:rPr>
              <w:t>Plan de mitigación</w:t>
            </w:r>
          </w:p>
        </w:tc>
        <w:tc>
          <w:tcPr>
            <w:tcW w:type="dxa" w:w="1814"/>
            <w:shd w:val="clear" w:color="auto" w:fill="064475"/>
          </w:tcPr>
          <w:p>
            <w:r/>
            <w:r>
              <w:rPr>
                <w:b/>
                <w:color w:val="FFFFFF"/>
                <w:sz w:val="14"/>
              </w:rPr>
              <w:t>Plan de contingencia</w:t>
            </w:r>
          </w:p>
        </w:tc>
        <w:tc>
          <w:tcPr>
            <w:tcW w:type="dxa" w:w="1020"/>
            <w:shd w:val="clear" w:color="auto" w:fill="064475"/>
          </w:tcPr>
          <w:p>
            <w:r/>
            <w:r>
              <w:rPr>
                <w:b/>
                <w:color w:val="FFFFFF"/>
                <w:sz w:val="14"/>
              </w:rPr>
              <w:t>Responsable</w:t>
            </w:r>
          </w:p>
        </w:tc>
      </w:tr>
      <w:tr>
        <w:tc>
          <w:tcPr>
            <w:tcW w:type="dxa" w:w="567"/>
          </w:tcPr>
          <w:p>
            <w:pPr>
              <w:spacing w:after="20"/>
            </w:pPr>
            <w:r/>
            <w:r>
              <w:rPr>
                <w:sz w:val="14"/>
              </w:rPr>
              <w:t>R-01</w:t>
            </w:r>
          </w:p>
        </w:tc>
        <w:tc>
          <w:tcPr>
            <w:tcW w:type="dxa" w:w="1474"/>
          </w:tcPr>
          <w:p>
            <w:pPr>
              <w:spacing w:after="20"/>
            </w:pPr>
            <w:r/>
            <w:r>
              <w:rPr>
                <w:sz w:val="14"/>
              </w:rPr>
              <w:t>Suplantación de identidad durante el onboarding digital</w:t>
            </w:r>
          </w:p>
        </w:tc>
        <w:tc>
          <w:tcPr>
            <w:tcW w:type="dxa" w:w="850"/>
          </w:tcPr>
          <w:p>
            <w:pPr>
              <w:spacing w:after="20"/>
            </w:pPr>
            <w:r/>
            <w:r>
              <w:rPr>
                <w:sz w:val="14"/>
              </w:rPr>
              <w:t>Seguridad</w:t>
            </w:r>
          </w:p>
        </w:tc>
        <w:tc>
          <w:tcPr>
            <w:tcW w:type="dxa" w:w="680"/>
          </w:tcPr>
          <w:p>
            <w:pPr>
              <w:spacing w:after="20"/>
            </w:pPr>
            <w:r/>
            <w:r>
              <w:rPr>
                <w:sz w:val="14"/>
              </w:rPr>
              <w:t>Alta (4)</w:t>
            </w:r>
          </w:p>
        </w:tc>
        <w:tc>
          <w:tcPr>
            <w:tcW w:type="dxa" w:w="2608"/>
          </w:tcPr>
          <w:p>
            <w:pPr>
              <w:spacing w:after="20"/>
            </w:pPr>
            <w:r/>
            <w:r>
              <w:rPr>
                <w:sz w:val="14"/>
              </w:rPr>
              <w:t>En 2025 se registraron en el Perú 7 507 casos de fraude de identidad dentro de los delitos digitales contra la fe pública, y el fraude informático concentra el 67 % de los ciberdelitos denunciados. Un canal 100 % digital sin verificación presencial es objetivo prioritario de este tipo de ataque. [Ministerio Público / eBIZ 2025]</w:t>
            </w:r>
          </w:p>
        </w:tc>
        <w:tc>
          <w:tcPr>
            <w:tcW w:type="dxa" w:w="680"/>
          </w:tcPr>
          <w:p>
            <w:pPr>
              <w:spacing w:after="20"/>
            </w:pPr>
            <w:r/>
            <w:r>
              <w:rPr>
                <w:sz w:val="14"/>
              </w:rPr>
              <w:t>Muy alto (5)</w:t>
            </w:r>
          </w:p>
        </w:tc>
        <w:tc>
          <w:tcPr>
            <w:tcW w:type="dxa" w:w="850"/>
          </w:tcPr>
          <w:p>
            <w:pPr>
              <w:spacing w:after="20"/>
            </w:pPr>
            <w:r/>
            <w:r>
              <w:rPr>
                <w:sz w:val="14"/>
              </w:rPr>
              <w:t>20 · CRÍTICA</w:t>
            </w:r>
          </w:p>
        </w:tc>
        <w:tc>
          <w:tcPr>
            <w:tcW w:type="dxa" w:w="680"/>
          </w:tcPr>
          <w:p>
            <w:pPr>
              <w:spacing w:after="20"/>
            </w:pPr>
            <w:r/>
            <w:r>
              <w:rPr>
                <w:sz w:val="14"/>
              </w:rPr>
              <w:t>Mitigar</w:t>
            </w:r>
          </w:p>
        </w:tc>
        <w:tc>
          <w:tcPr>
            <w:tcW w:type="dxa" w:w="2948"/>
          </w:tcPr>
          <w:p>
            <w:pPr>
              <w:spacing w:after="20"/>
            </w:pPr>
            <w:r/>
            <w:r>
              <w:rPr>
                <w:sz w:val="14"/>
              </w:rPr>
              <w:t>Prueba de vivacidad obligatoria; umbral de cotejo facial ≥ 80 %; derivación automática a revisión manual por el Oficial de Cumplimiento bajo el umbral; registro del score y de la decisión en la pista de auditoría; límites operativos reducidos durante los primeros 30 días de la cuenta.</w:t>
            </w:r>
          </w:p>
        </w:tc>
        <w:tc>
          <w:tcPr>
            <w:tcW w:type="dxa" w:w="1814"/>
          </w:tcPr>
          <w:p>
            <w:pPr>
              <w:spacing w:after="20"/>
            </w:pPr>
            <w:r/>
            <w:r>
              <w:rPr>
                <w:sz w:val="14"/>
              </w:rPr>
              <w:t>Bloqueo inmediato de la cuenta, reverso de operaciones, notificación al titular legítimo y registro del incidente.</w:t>
            </w:r>
          </w:p>
        </w:tc>
        <w:tc>
          <w:tcPr>
            <w:tcW w:type="dxa" w:w="1020"/>
          </w:tcPr>
          <w:p>
            <w:pPr>
              <w:spacing w:after="20"/>
            </w:pPr>
            <w:r/>
            <w:r>
              <w:rPr>
                <w:sz w:val="14"/>
              </w:rPr>
              <w:t>Oficial de Cumplimiento / PO</w:t>
            </w:r>
          </w:p>
        </w:tc>
      </w:tr>
      <w:tr>
        <w:tc>
          <w:tcPr>
            <w:tcW w:type="dxa" w:w="567"/>
          </w:tcPr>
          <w:p>
            <w:pPr>
              <w:spacing w:after="20"/>
            </w:pPr>
            <w:r/>
            <w:r>
              <w:rPr>
                <w:sz w:val="14"/>
              </w:rPr>
              <w:t>R-02</w:t>
            </w:r>
          </w:p>
        </w:tc>
        <w:tc>
          <w:tcPr>
            <w:tcW w:type="dxa" w:w="1474"/>
          </w:tcPr>
          <w:p>
            <w:pPr>
              <w:spacing w:after="20"/>
            </w:pPr>
            <w:r/>
            <w:r>
              <w:rPr>
                <w:sz w:val="14"/>
              </w:rPr>
              <w:t>Precisión insuficiente del OCR o del cotejo biométrico facial</w:t>
            </w:r>
          </w:p>
        </w:tc>
        <w:tc>
          <w:tcPr>
            <w:tcW w:type="dxa" w:w="850"/>
          </w:tcPr>
          <w:p>
            <w:pPr>
              <w:spacing w:after="20"/>
            </w:pPr>
            <w:r/>
            <w:r>
              <w:rPr>
                <w:sz w:val="14"/>
              </w:rPr>
              <w:t>Técnico</w:t>
            </w:r>
          </w:p>
        </w:tc>
        <w:tc>
          <w:tcPr>
            <w:tcW w:type="dxa" w:w="680"/>
          </w:tcPr>
          <w:p>
            <w:pPr>
              <w:spacing w:after="20"/>
            </w:pPr>
            <w:r/>
            <w:r>
              <w:rPr>
                <w:sz w:val="14"/>
              </w:rPr>
              <w:t>Alta (4)</w:t>
            </w:r>
          </w:p>
        </w:tc>
        <w:tc>
          <w:tcPr>
            <w:tcW w:type="dxa" w:w="2608"/>
          </w:tcPr>
          <w:p>
            <w:pPr>
              <w:spacing w:after="20"/>
            </w:pPr>
            <w:r/>
            <w:r>
              <w:rPr>
                <w:sz w:val="14"/>
              </w:rPr>
              <w:t>Las capturas se realizan con cámaras web de calidad heterogénea y en condiciones de iluminación no controladas. No se dispone de acceso a RENIEC para contrastar los datos extraídos, lo que impide validar contra una fuente autoritativa.</w:t>
            </w:r>
          </w:p>
        </w:tc>
        <w:tc>
          <w:tcPr>
            <w:tcW w:type="dxa" w:w="680"/>
          </w:tcPr>
          <w:p>
            <w:pPr>
              <w:spacing w:after="20"/>
            </w:pPr>
            <w:r/>
            <w:r>
              <w:rPr>
                <w:sz w:val="14"/>
              </w:rPr>
              <w:t>Alto (4)</w:t>
            </w:r>
          </w:p>
        </w:tc>
        <w:tc>
          <w:tcPr>
            <w:tcW w:type="dxa" w:w="850"/>
          </w:tcPr>
          <w:p>
            <w:pPr>
              <w:spacing w:after="20"/>
            </w:pPr>
            <w:r/>
            <w:r>
              <w:rPr>
                <w:sz w:val="14"/>
              </w:rPr>
              <w:t>16 · CRÍTICA</w:t>
            </w:r>
          </w:p>
        </w:tc>
        <w:tc>
          <w:tcPr>
            <w:tcW w:type="dxa" w:w="680"/>
          </w:tcPr>
          <w:p>
            <w:pPr>
              <w:spacing w:after="20"/>
            </w:pPr>
            <w:r/>
            <w:r>
              <w:rPr>
                <w:sz w:val="14"/>
              </w:rPr>
              <w:t>Mitigar</w:t>
            </w:r>
          </w:p>
        </w:tc>
        <w:tc>
          <w:tcPr>
            <w:tcW w:type="dxa" w:w="2948"/>
          </w:tcPr>
          <w:p>
            <w:pPr>
              <w:spacing w:after="20"/>
            </w:pPr>
            <w:r/>
            <w:r>
              <w:rPr>
                <w:sz w:val="14"/>
              </w:rPr>
              <w:t>Validación previa de calidad de imagen (nitidez, reflejos, encuadre) antes de procesar; umbrales configurables sin necesidad de desplegar; corrección manual de datos por el solicitante antes de confirmar; conjunto de imágenes de control para medir la precisión en cada sprint; máximo tres intentos antes de derivar a revisión manual.</w:t>
            </w:r>
          </w:p>
        </w:tc>
        <w:tc>
          <w:tcPr>
            <w:tcW w:type="dxa" w:w="1814"/>
          </w:tcPr>
          <w:p>
            <w:pPr>
              <w:spacing w:after="20"/>
            </w:pPr>
            <w:r/>
            <w:r>
              <w:rPr>
                <w:sz w:val="14"/>
              </w:rPr>
              <w:t>Flujo de verificación manual completo operativo desde el Sprint 2, de modo que ningún solicitante queda bloqueado.</w:t>
            </w:r>
          </w:p>
        </w:tc>
        <w:tc>
          <w:tcPr>
            <w:tcW w:type="dxa" w:w="1020"/>
          </w:tcPr>
          <w:p>
            <w:pPr>
              <w:spacing w:after="20"/>
            </w:pPr>
            <w:r/>
            <w:r>
              <w:rPr>
                <w:sz w:val="14"/>
              </w:rPr>
              <w:t>Equipo de desarrollo</w:t>
            </w:r>
          </w:p>
        </w:tc>
      </w:tr>
      <w:tr>
        <w:tc>
          <w:tcPr>
            <w:tcW w:type="dxa" w:w="567"/>
          </w:tcPr>
          <w:p>
            <w:pPr>
              <w:spacing w:after="20"/>
            </w:pPr>
            <w:r/>
            <w:r>
              <w:rPr>
                <w:sz w:val="14"/>
              </w:rPr>
              <w:t>R-03</w:t>
            </w:r>
          </w:p>
        </w:tc>
        <w:tc>
          <w:tcPr>
            <w:tcW w:type="dxa" w:w="1474"/>
          </w:tcPr>
          <w:p>
            <w:pPr>
              <w:spacing w:after="20"/>
            </w:pPr>
            <w:r/>
            <w:r>
              <w:rPr>
                <w:sz w:val="14"/>
              </w:rPr>
              <w:t>Sobredimensionamiento del alcance frente a la capacidad real del equipo</w:t>
            </w:r>
          </w:p>
        </w:tc>
        <w:tc>
          <w:tcPr>
            <w:tcW w:type="dxa" w:w="850"/>
          </w:tcPr>
          <w:p>
            <w:pPr>
              <w:spacing w:after="20"/>
            </w:pPr>
            <w:r/>
            <w:r>
              <w:rPr>
                <w:sz w:val="14"/>
              </w:rPr>
              <w:t>Alcance</w:t>
            </w:r>
          </w:p>
        </w:tc>
        <w:tc>
          <w:tcPr>
            <w:tcW w:type="dxa" w:w="680"/>
          </w:tcPr>
          <w:p>
            <w:pPr>
              <w:spacing w:after="20"/>
            </w:pPr>
            <w:r/>
            <w:r>
              <w:rPr>
                <w:sz w:val="14"/>
              </w:rPr>
              <w:t>Alta (4)</w:t>
            </w:r>
          </w:p>
        </w:tc>
        <w:tc>
          <w:tcPr>
            <w:tcW w:type="dxa" w:w="2608"/>
          </w:tcPr>
          <w:p>
            <w:pPr>
              <w:spacing w:after="20"/>
            </w:pPr>
            <w:r/>
            <w:r>
              <w:rPr>
                <w:sz w:val="14"/>
              </w:rPr>
              <w:t>Según el informe Pulse of the Profession 2025 del PMI, el 52 % de los proyectos sufre ampliación no controlada del alcance, con un sobrecosto medio del 27 %, y solo el 31 % de los proyectos concluye cumpliendo simultáneamente plazo, costo y alcance. [PMI 2025]</w:t>
            </w:r>
          </w:p>
        </w:tc>
        <w:tc>
          <w:tcPr>
            <w:tcW w:type="dxa" w:w="680"/>
          </w:tcPr>
          <w:p>
            <w:pPr>
              <w:spacing w:after="20"/>
            </w:pPr>
            <w:r/>
            <w:r>
              <w:rPr>
                <w:sz w:val="14"/>
              </w:rPr>
              <w:t>Alto (4)</w:t>
            </w:r>
          </w:p>
        </w:tc>
        <w:tc>
          <w:tcPr>
            <w:tcW w:type="dxa" w:w="850"/>
          </w:tcPr>
          <w:p>
            <w:pPr>
              <w:spacing w:after="20"/>
            </w:pPr>
            <w:r/>
            <w:r>
              <w:rPr>
                <w:sz w:val="14"/>
              </w:rPr>
              <w:t>16 · CRÍTICA</w:t>
            </w:r>
          </w:p>
        </w:tc>
        <w:tc>
          <w:tcPr>
            <w:tcW w:type="dxa" w:w="680"/>
          </w:tcPr>
          <w:p>
            <w:pPr>
              <w:spacing w:after="20"/>
            </w:pPr>
            <w:r/>
            <w:r>
              <w:rPr>
                <w:sz w:val="14"/>
              </w:rPr>
              <w:t>Mitigar</w:t>
            </w:r>
          </w:p>
        </w:tc>
        <w:tc>
          <w:tcPr>
            <w:tcW w:type="dxa" w:w="2948"/>
          </w:tcPr>
          <w:p>
            <w:pPr>
              <w:spacing w:after="20"/>
            </w:pPr>
            <w:r/>
            <w:r>
              <w:rPr>
                <w:sz w:val="14"/>
              </w:rPr>
              <w:t>Línea base de alcance cerrada y firmada en el Acta de Constitución, con exclusiones declaradas de forma explícita; backlog priorizado por valor de negocio; dos sprints de holgura reservados para calidad; toda incorporación de alcance exige retirar un ítem equivalente.</w:t>
            </w:r>
          </w:p>
        </w:tc>
        <w:tc>
          <w:tcPr>
            <w:tcW w:type="dxa" w:w="1814"/>
          </w:tcPr>
          <w:p>
            <w:pPr>
              <w:spacing w:after="20"/>
            </w:pPr>
            <w:r/>
            <w:r>
              <w:rPr>
                <w:sz w:val="14"/>
              </w:rPr>
              <w:t>Reducción del alcance a los productos mínimos (cuenta en soles y transferencias internas), difiriendo multimoneda e interoperabilidad.</w:t>
            </w:r>
          </w:p>
        </w:tc>
        <w:tc>
          <w:tcPr>
            <w:tcW w:type="dxa" w:w="1020"/>
          </w:tcPr>
          <w:p>
            <w:pPr>
              <w:spacing w:after="20"/>
            </w:pPr>
            <w:r/>
            <w:r>
              <w:rPr>
                <w:sz w:val="14"/>
              </w:rPr>
              <w:t>Product Owner</w:t>
            </w:r>
          </w:p>
        </w:tc>
      </w:tr>
      <w:tr>
        <w:tc>
          <w:tcPr>
            <w:tcW w:type="dxa" w:w="567"/>
          </w:tcPr>
          <w:p>
            <w:pPr>
              <w:spacing w:after="20"/>
            </w:pPr>
            <w:r/>
            <w:r>
              <w:rPr>
                <w:sz w:val="14"/>
              </w:rPr>
              <w:t>R-04</w:t>
            </w:r>
          </w:p>
        </w:tc>
        <w:tc>
          <w:tcPr>
            <w:tcW w:type="dxa" w:w="1474"/>
          </w:tcPr>
          <w:p>
            <w:pPr>
              <w:spacing w:after="20"/>
            </w:pPr>
            <w:r/>
            <w:r>
              <w:rPr>
                <w:sz w:val="14"/>
              </w:rPr>
              <w:t>Indisponibilidad del entorno de staging por corte eléctrico o de conectividad</w:t>
            </w:r>
          </w:p>
        </w:tc>
        <w:tc>
          <w:tcPr>
            <w:tcW w:type="dxa" w:w="850"/>
          </w:tcPr>
          <w:p>
            <w:pPr>
              <w:spacing w:after="20"/>
            </w:pPr>
            <w:r/>
            <w:r>
              <w:rPr>
                <w:sz w:val="14"/>
              </w:rPr>
              <w:t>Infraestructura</w:t>
            </w:r>
          </w:p>
        </w:tc>
        <w:tc>
          <w:tcPr>
            <w:tcW w:type="dxa" w:w="680"/>
          </w:tcPr>
          <w:p>
            <w:pPr>
              <w:spacing w:after="20"/>
            </w:pPr>
            <w:r/>
            <w:r>
              <w:rPr>
                <w:sz w:val="14"/>
              </w:rPr>
              <w:t>Muy alta (5)</w:t>
            </w:r>
          </w:p>
        </w:tc>
        <w:tc>
          <w:tcPr>
            <w:tcW w:type="dxa" w:w="2608"/>
          </w:tcPr>
          <w:p>
            <w:pPr>
              <w:spacing w:after="20"/>
            </w:pPr>
            <w:r/>
            <w:r>
              <w:rPr>
                <w:sz w:val="14"/>
              </w:rPr>
              <w:t>Osinergmin reporta para 2025 un SAIDI de 2.1 horas y un SAIFI de 1.3 interrupciones por usuario-mes. Sobre 4 meses de proyecto la esperanza es de 5.2 interrupciones; bajo distribución de Poisson, la probabilidad de al menos una interrupción es del 99.5 %. [Osinergmin 2025]</w:t>
            </w:r>
          </w:p>
        </w:tc>
        <w:tc>
          <w:tcPr>
            <w:tcW w:type="dxa" w:w="680"/>
          </w:tcPr>
          <w:p>
            <w:pPr>
              <w:spacing w:after="20"/>
            </w:pPr>
            <w:r/>
            <w:r>
              <w:rPr>
                <w:sz w:val="14"/>
              </w:rPr>
              <w:t>Bajo (2)</w:t>
            </w:r>
          </w:p>
        </w:tc>
        <w:tc>
          <w:tcPr>
            <w:tcW w:type="dxa" w:w="850"/>
          </w:tcPr>
          <w:p>
            <w:pPr>
              <w:spacing w:after="20"/>
            </w:pPr>
            <w:r/>
            <w:r>
              <w:rPr>
                <w:sz w:val="14"/>
              </w:rPr>
              <w:t>10 · MODERADA</w:t>
            </w:r>
          </w:p>
        </w:tc>
        <w:tc>
          <w:tcPr>
            <w:tcW w:type="dxa" w:w="680"/>
          </w:tcPr>
          <w:p>
            <w:pPr>
              <w:spacing w:after="20"/>
            </w:pPr>
            <w:r/>
            <w:r>
              <w:rPr>
                <w:sz w:val="14"/>
              </w:rPr>
              <w:t>Mitigar</w:t>
            </w:r>
          </w:p>
        </w:tc>
        <w:tc>
          <w:tcPr>
            <w:tcW w:type="dxa" w:w="2948"/>
          </w:tcPr>
          <w:p>
            <w:pPr>
              <w:spacing w:after="20"/>
            </w:pPr>
            <w:r/>
            <w:r>
              <w:rPr>
                <w:sz w:val="14"/>
              </w:rPr>
              <w:t>El entorno de producción reside en Oracle Cloud, independiente de la infraestructura local; la demostración final y la evaluación no dependen de la Raspberry Pi; el despliegue es idéntico en ambos entornos por usar la misma imagen ARM64.</w:t>
            </w:r>
          </w:p>
        </w:tc>
        <w:tc>
          <w:tcPr>
            <w:tcW w:type="dxa" w:w="1814"/>
          </w:tcPr>
          <w:p>
            <w:pPr>
              <w:spacing w:after="20"/>
            </w:pPr>
            <w:r/>
            <w:r>
              <w:rPr>
                <w:sz w:val="14"/>
              </w:rPr>
              <w:t>Promoción inmediata del entorno de producción como entorno único; el staging se restablece sin urgencia.</w:t>
            </w:r>
          </w:p>
        </w:tc>
        <w:tc>
          <w:tcPr>
            <w:tcW w:type="dxa" w:w="1020"/>
          </w:tcPr>
          <w:p>
            <w:pPr>
              <w:spacing w:after="20"/>
            </w:pPr>
            <w:r/>
            <w:r>
              <w:rPr>
                <w:sz w:val="14"/>
              </w:rPr>
              <w:t>Equipo de desarrollo</w:t>
            </w:r>
          </w:p>
        </w:tc>
      </w:tr>
      <w:tr>
        <w:tc>
          <w:tcPr>
            <w:tcW w:type="dxa" w:w="567"/>
          </w:tcPr>
          <w:p>
            <w:pPr>
              <w:spacing w:after="20"/>
            </w:pPr>
            <w:r/>
            <w:r>
              <w:rPr>
                <w:sz w:val="14"/>
              </w:rPr>
              <w:t>R-05</w:t>
            </w:r>
          </w:p>
        </w:tc>
        <w:tc>
          <w:tcPr>
            <w:tcW w:type="dxa" w:w="1474"/>
          </w:tcPr>
          <w:p>
            <w:pPr>
              <w:spacing w:after="20"/>
            </w:pPr>
            <w:r/>
            <w:r>
              <w:rPr>
                <w:sz w:val="14"/>
              </w:rPr>
              <w:t>Pérdida de integridad contable por operaciones concurrentes</w:t>
            </w:r>
          </w:p>
        </w:tc>
        <w:tc>
          <w:tcPr>
            <w:tcW w:type="dxa" w:w="850"/>
          </w:tcPr>
          <w:p>
            <w:pPr>
              <w:spacing w:after="20"/>
            </w:pPr>
            <w:r/>
            <w:r>
              <w:rPr>
                <w:sz w:val="14"/>
              </w:rPr>
              <w:t>Técnico</w:t>
            </w:r>
          </w:p>
        </w:tc>
        <w:tc>
          <w:tcPr>
            <w:tcW w:type="dxa" w:w="680"/>
          </w:tcPr>
          <w:p>
            <w:pPr>
              <w:spacing w:after="20"/>
            </w:pPr>
            <w:r/>
            <w:r>
              <w:rPr>
                <w:sz w:val="14"/>
              </w:rPr>
              <w:t>Media (3)</w:t>
            </w:r>
          </w:p>
        </w:tc>
        <w:tc>
          <w:tcPr>
            <w:tcW w:type="dxa" w:w="2608"/>
          </w:tcPr>
          <w:p>
            <w:pPr>
              <w:spacing w:after="20"/>
            </w:pPr>
            <w:r/>
            <w:r>
              <w:rPr>
                <w:sz w:val="14"/>
              </w:rPr>
              <w:t>Riesgo inherente a todo sistema transaccional con acceso concurrente al mismo saldo. La probabilidad se estima media por tratarse de un equipo sin experiencia previa en control de concurrencia sobre dinero, no por baja incidencia del fenómeno.</w:t>
            </w:r>
          </w:p>
        </w:tc>
        <w:tc>
          <w:tcPr>
            <w:tcW w:type="dxa" w:w="680"/>
          </w:tcPr>
          <w:p>
            <w:pPr>
              <w:spacing w:after="20"/>
            </w:pPr>
            <w:r/>
            <w:r>
              <w:rPr>
                <w:sz w:val="14"/>
              </w:rPr>
              <w:t>Muy alto (5)</w:t>
            </w:r>
          </w:p>
        </w:tc>
        <w:tc>
          <w:tcPr>
            <w:tcW w:type="dxa" w:w="850"/>
          </w:tcPr>
          <w:p>
            <w:pPr>
              <w:spacing w:after="20"/>
            </w:pPr>
            <w:r/>
            <w:r>
              <w:rPr>
                <w:sz w:val="14"/>
              </w:rPr>
              <w:t>15 · CRÍTICA</w:t>
            </w:r>
          </w:p>
        </w:tc>
        <w:tc>
          <w:tcPr>
            <w:tcW w:type="dxa" w:w="680"/>
          </w:tcPr>
          <w:p>
            <w:pPr>
              <w:spacing w:after="20"/>
            </w:pPr>
            <w:r/>
            <w:r>
              <w:rPr>
                <w:sz w:val="14"/>
              </w:rPr>
              <w:t>Mitigar</w:t>
            </w:r>
          </w:p>
        </w:tc>
        <w:tc>
          <w:tcPr>
            <w:tcW w:type="dxa" w:w="2948"/>
          </w:tcPr>
          <w:p>
            <w:pPr>
              <w:spacing w:after="20"/>
            </w:pPr>
            <w:r/>
            <w:r>
              <w:rPr>
                <w:sz w:val="14"/>
              </w:rPr>
              <w:t>Movimiento de dinero en una única transacción ACID con bloqueo pesimista sobre la cuenta; idempotencia obligatoria mediante cabecera Idempotency-Key; libro mayor de doble partida cuyos asientos deben sumar cero; pruebas automatizadas de concurrencia en cada integración; prohibición de almacenar el saldo como campo mutable.</w:t>
            </w:r>
          </w:p>
        </w:tc>
        <w:tc>
          <w:tcPr>
            <w:tcW w:type="dxa" w:w="1814"/>
          </w:tcPr>
          <w:p>
            <w:pPr>
              <w:spacing w:after="20"/>
            </w:pPr>
            <w:r/>
            <w:r>
              <w:rPr>
                <w:sz w:val="14"/>
              </w:rPr>
              <w:t>Reconstrucción del saldo a partir del libro mayor y conciliación con la pista de auditoría.</w:t>
            </w:r>
          </w:p>
        </w:tc>
        <w:tc>
          <w:tcPr>
            <w:tcW w:type="dxa" w:w="1020"/>
          </w:tcPr>
          <w:p>
            <w:pPr>
              <w:spacing w:after="20"/>
            </w:pPr>
            <w:r/>
            <w:r>
              <w:rPr>
                <w:sz w:val="14"/>
              </w:rPr>
              <w:t>Equipo de desarrollo</w:t>
            </w:r>
          </w:p>
        </w:tc>
      </w:tr>
      <w:tr>
        <w:tc>
          <w:tcPr>
            <w:tcW w:type="dxa" w:w="567"/>
          </w:tcPr>
          <w:p>
            <w:pPr>
              <w:spacing w:after="20"/>
            </w:pPr>
            <w:r/>
            <w:r>
              <w:rPr>
                <w:sz w:val="14"/>
              </w:rPr>
              <w:t>R-06</w:t>
            </w:r>
          </w:p>
        </w:tc>
        <w:tc>
          <w:tcPr>
            <w:tcW w:type="dxa" w:w="1474"/>
          </w:tcPr>
          <w:p>
            <w:pPr>
              <w:spacing w:after="20"/>
            </w:pPr>
            <w:r/>
            <w:r>
              <w:rPr>
                <w:sz w:val="14"/>
              </w:rPr>
              <w:t>Reducción de la disponibilidad del equipo por carga académica simultánea</w:t>
            </w:r>
          </w:p>
        </w:tc>
        <w:tc>
          <w:tcPr>
            <w:tcW w:type="dxa" w:w="850"/>
          </w:tcPr>
          <w:p>
            <w:pPr>
              <w:spacing w:after="20"/>
            </w:pPr>
            <w:r/>
            <w:r>
              <w:rPr>
                <w:sz w:val="14"/>
              </w:rPr>
              <w:t>Equipo</w:t>
            </w:r>
          </w:p>
        </w:tc>
        <w:tc>
          <w:tcPr>
            <w:tcW w:type="dxa" w:w="680"/>
          </w:tcPr>
          <w:p>
            <w:pPr>
              <w:spacing w:after="20"/>
            </w:pPr>
            <w:r/>
            <w:r>
              <w:rPr>
                <w:sz w:val="14"/>
              </w:rPr>
              <w:t>Alta (4)</w:t>
            </w:r>
          </w:p>
        </w:tc>
        <w:tc>
          <w:tcPr>
            <w:tcW w:type="dxa" w:w="2608"/>
          </w:tcPr>
          <w:p>
            <w:pPr>
              <w:spacing w:after="20"/>
            </w:pPr>
            <w:r/>
            <w:r>
              <w:rPr>
                <w:sz w:val="14"/>
              </w:rPr>
              <w:t>Los cuatro integrantes cursan simultáneamente otras asignaturas del décimo ciclo, con evaluaciones concentradas en las mismas semanas en que se ubican los hitos del proyecto (semanas 5, 9, 13 y 18).</w:t>
            </w:r>
          </w:p>
        </w:tc>
        <w:tc>
          <w:tcPr>
            <w:tcW w:type="dxa" w:w="680"/>
          </w:tcPr>
          <w:p>
            <w:pPr>
              <w:spacing w:after="20"/>
            </w:pPr>
            <w:r/>
            <w:r>
              <w:rPr>
                <w:sz w:val="14"/>
              </w:rPr>
              <w:t>Medio (3)</w:t>
            </w:r>
          </w:p>
        </w:tc>
        <w:tc>
          <w:tcPr>
            <w:tcW w:type="dxa" w:w="850"/>
          </w:tcPr>
          <w:p>
            <w:pPr>
              <w:spacing w:after="20"/>
            </w:pPr>
            <w:r/>
            <w:r>
              <w:rPr>
                <w:sz w:val="14"/>
              </w:rPr>
              <w:t>12 · MODERADA</w:t>
            </w:r>
          </w:p>
        </w:tc>
        <w:tc>
          <w:tcPr>
            <w:tcW w:type="dxa" w:w="680"/>
          </w:tcPr>
          <w:p>
            <w:pPr>
              <w:spacing w:after="20"/>
            </w:pPr>
            <w:r/>
            <w:r>
              <w:rPr>
                <w:sz w:val="14"/>
              </w:rPr>
              <w:t>Mitigar</w:t>
            </w:r>
          </w:p>
        </w:tc>
        <w:tc>
          <w:tcPr>
            <w:tcW w:type="dxa" w:w="2948"/>
          </w:tcPr>
          <w:p>
            <w:pPr>
              <w:spacing w:after="20"/>
            </w:pPr>
            <w:r/>
            <w:r>
              <w:rPr>
                <w:sz w:val="14"/>
              </w:rPr>
              <w:t>Estimación conservadora de la capacidad por sprint; trabajo por pares para evitar conocimiento concentrado en una sola persona; priorización estricta del backlog de modo que lo primero que se entrega sea lo más valioso; Daily Scrum para detectar bloqueos en menos de 24 horas.</w:t>
            </w:r>
          </w:p>
        </w:tc>
        <w:tc>
          <w:tcPr>
            <w:tcW w:type="dxa" w:w="1814"/>
          </w:tcPr>
          <w:p>
            <w:pPr>
              <w:spacing w:after="20"/>
            </w:pPr>
            <w:r/>
            <w:r>
              <w:rPr>
                <w:sz w:val="14"/>
              </w:rPr>
              <w:t>Renegociación de la meta del sprint en el Sprint Planning, reduciendo compromiso en lugar de reducir calidad.</w:t>
            </w:r>
          </w:p>
        </w:tc>
        <w:tc>
          <w:tcPr>
            <w:tcW w:type="dxa" w:w="1020"/>
          </w:tcPr>
          <w:p>
            <w:pPr>
              <w:spacing w:after="20"/>
            </w:pPr>
            <w:r/>
            <w:r>
              <w:rPr>
                <w:sz w:val="14"/>
              </w:rPr>
              <w:t>Scrum Master</w:t>
            </w:r>
          </w:p>
        </w:tc>
      </w:tr>
      <w:tr>
        <w:tc>
          <w:tcPr>
            <w:tcW w:type="dxa" w:w="567"/>
          </w:tcPr>
          <w:p>
            <w:pPr>
              <w:spacing w:after="20"/>
            </w:pPr>
            <w:r/>
            <w:r>
              <w:rPr>
                <w:sz w:val="14"/>
              </w:rPr>
              <w:t>R-07</w:t>
            </w:r>
          </w:p>
        </w:tc>
        <w:tc>
          <w:tcPr>
            <w:tcW w:type="dxa" w:w="1474"/>
          </w:tcPr>
          <w:p>
            <w:pPr>
              <w:spacing w:after="20"/>
            </w:pPr>
            <w:r/>
            <w:r>
              <w:rPr>
                <w:sz w:val="14"/>
              </w:rPr>
              <w:t>Complejidad de la arquitectura distribuida superior a la prevista</w:t>
            </w:r>
          </w:p>
        </w:tc>
        <w:tc>
          <w:tcPr>
            <w:tcW w:type="dxa" w:w="850"/>
          </w:tcPr>
          <w:p>
            <w:pPr>
              <w:spacing w:after="20"/>
            </w:pPr>
            <w:r/>
            <w:r>
              <w:rPr>
                <w:sz w:val="14"/>
              </w:rPr>
              <w:t>Técnico</w:t>
            </w:r>
          </w:p>
        </w:tc>
        <w:tc>
          <w:tcPr>
            <w:tcW w:type="dxa" w:w="680"/>
          </w:tcPr>
          <w:p>
            <w:pPr>
              <w:spacing w:after="20"/>
            </w:pPr>
            <w:r/>
            <w:r>
              <w:rPr>
                <w:sz w:val="14"/>
              </w:rPr>
              <w:t>Media (3)</w:t>
            </w:r>
          </w:p>
        </w:tc>
        <w:tc>
          <w:tcPr>
            <w:tcW w:type="dxa" w:w="2608"/>
          </w:tcPr>
          <w:p>
            <w:pPr>
              <w:spacing w:after="20"/>
            </w:pPr>
            <w:r/>
            <w:r>
              <w:rPr>
                <w:sz w:val="14"/>
              </w:rPr>
              <w:t>El equipo no tiene experiencia previa en arquitectura de microservicios ni en mensajería asíncrona. El PMI señala que el 37 % de los fracasos de proyecto se vincula a una captura imprecisa de requisitos y supuestos técnicos. [PMI 2025]</w:t>
            </w:r>
          </w:p>
        </w:tc>
        <w:tc>
          <w:tcPr>
            <w:tcW w:type="dxa" w:w="680"/>
          </w:tcPr>
          <w:p>
            <w:pPr>
              <w:spacing w:after="20"/>
            </w:pPr>
            <w:r/>
            <w:r>
              <w:rPr>
                <w:sz w:val="14"/>
              </w:rPr>
              <w:t>Alto (4)</w:t>
            </w:r>
          </w:p>
        </w:tc>
        <w:tc>
          <w:tcPr>
            <w:tcW w:type="dxa" w:w="850"/>
          </w:tcPr>
          <w:p>
            <w:pPr>
              <w:spacing w:after="20"/>
            </w:pPr>
            <w:r/>
            <w:r>
              <w:rPr>
                <w:sz w:val="14"/>
              </w:rPr>
              <w:t>12 · MODERADA</w:t>
            </w:r>
          </w:p>
        </w:tc>
        <w:tc>
          <w:tcPr>
            <w:tcW w:type="dxa" w:w="680"/>
          </w:tcPr>
          <w:p>
            <w:pPr>
              <w:spacing w:after="20"/>
            </w:pPr>
            <w:r/>
            <w:r>
              <w:rPr>
                <w:sz w:val="14"/>
              </w:rPr>
              <w:t>Mitigar</w:t>
            </w:r>
          </w:p>
        </w:tc>
        <w:tc>
          <w:tcPr>
            <w:tcW w:type="dxa" w:w="2948"/>
          </w:tcPr>
          <w:p>
            <w:pPr>
              <w:spacing w:after="20"/>
            </w:pPr>
            <w:r/>
            <w:r>
              <w:rPr>
                <w:sz w:val="14"/>
              </w:rPr>
              <w:t>Esqueleto ambulante en el Sprint 1 que atraviesa los cinco servicios y valida la integración completa en la cuarta semana del proyecto, cuando aún resta el 75 % del tiempo disponible para reaccionar.</w:t>
            </w:r>
          </w:p>
        </w:tc>
        <w:tc>
          <w:tcPr>
            <w:tcW w:type="dxa" w:w="1814"/>
          </w:tcPr>
          <w:p>
            <w:pPr>
              <w:spacing w:after="20"/>
            </w:pPr>
            <w:r/>
            <w:r>
              <w:rPr>
                <w:sz w:val="14"/>
              </w:rPr>
              <w:t>Consolidación de identity-service y core-banking-service en un único desplegable, conservando la separación modular interna.</w:t>
            </w:r>
          </w:p>
        </w:tc>
        <w:tc>
          <w:tcPr>
            <w:tcW w:type="dxa" w:w="1020"/>
          </w:tcPr>
          <w:p>
            <w:pPr>
              <w:spacing w:after="20"/>
            </w:pPr>
            <w:r/>
            <w:r>
              <w:rPr>
                <w:sz w:val="14"/>
              </w:rPr>
              <w:t>Product Owner / Equipo</w:t>
            </w:r>
          </w:p>
        </w:tc>
      </w:tr>
      <w:tr>
        <w:tc>
          <w:tcPr>
            <w:tcW w:type="dxa" w:w="567"/>
          </w:tcPr>
          <w:p>
            <w:pPr>
              <w:spacing w:after="20"/>
            </w:pPr>
            <w:r/>
            <w:r>
              <w:rPr>
                <w:sz w:val="14"/>
              </w:rPr>
              <w:t>R-08</w:t>
            </w:r>
          </w:p>
        </w:tc>
        <w:tc>
          <w:tcPr>
            <w:tcW w:type="dxa" w:w="1474"/>
          </w:tcPr>
          <w:p>
            <w:pPr>
              <w:spacing w:after="20"/>
            </w:pPr>
            <w:r/>
            <w:r>
              <w:rPr>
                <w:sz w:val="14"/>
              </w:rPr>
              <w:t>Filtración de credenciales o secretos en el repositorio público</w:t>
            </w:r>
          </w:p>
        </w:tc>
        <w:tc>
          <w:tcPr>
            <w:tcW w:type="dxa" w:w="850"/>
          </w:tcPr>
          <w:p>
            <w:pPr>
              <w:spacing w:after="20"/>
            </w:pPr>
            <w:r/>
            <w:r>
              <w:rPr>
                <w:sz w:val="14"/>
              </w:rPr>
              <w:t>Seguridad</w:t>
            </w:r>
          </w:p>
        </w:tc>
        <w:tc>
          <w:tcPr>
            <w:tcW w:type="dxa" w:w="680"/>
          </w:tcPr>
          <w:p>
            <w:pPr>
              <w:spacing w:after="20"/>
            </w:pPr>
            <w:r/>
            <w:r>
              <w:rPr>
                <w:sz w:val="14"/>
              </w:rPr>
              <w:t>Media (3)</w:t>
            </w:r>
          </w:p>
        </w:tc>
        <w:tc>
          <w:tcPr>
            <w:tcW w:type="dxa" w:w="2608"/>
          </w:tcPr>
          <w:p>
            <w:pPr>
              <w:spacing w:after="20"/>
            </w:pPr>
            <w:r/>
            <w:r>
              <w:rPr>
                <w:sz w:val="14"/>
              </w:rPr>
              <w:t>El repositorio es público y cuatro personas realizan integraciones frecuentes. La exposición accidental de secretos es uno de los vectores más habituales en proyectos con múltiples colaboradores y entornos.</w:t>
            </w:r>
          </w:p>
        </w:tc>
        <w:tc>
          <w:tcPr>
            <w:tcW w:type="dxa" w:w="680"/>
          </w:tcPr>
          <w:p>
            <w:pPr>
              <w:spacing w:after="20"/>
            </w:pPr>
            <w:r/>
            <w:r>
              <w:rPr>
                <w:sz w:val="14"/>
              </w:rPr>
              <w:t>Alto (4)</w:t>
            </w:r>
          </w:p>
        </w:tc>
        <w:tc>
          <w:tcPr>
            <w:tcW w:type="dxa" w:w="850"/>
          </w:tcPr>
          <w:p>
            <w:pPr>
              <w:spacing w:after="20"/>
            </w:pPr>
            <w:r/>
            <w:r>
              <w:rPr>
                <w:sz w:val="14"/>
              </w:rPr>
              <w:t>12 · MODERADA</w:t>
            </w:r>
          </w:p>
        </w:tc>
        <w:tc>
          <w:tcPr>
            <w:tcW w:type="dxa" w:w="680"/>
          </w:tcPr>
          <w:p>
            <w:pPr>
              <w:spacing w:after="20"/>
            </w:pPr>
            <w:r/>
            <w:r>
              <w:rPr>
                <w:sz w:val="14"/>
              </w:rPr>
              <w:t>Mitigar</w:t>
            </w:r>
          </w:p>
        </w:tc>
        <w:tc>
          <w:tcPr>
            <w:tcW w:type="dxa" w:w="2948"/>
          </w:tcPr>
          <w:p>
            <w:pPr>
              <w:spacing w:after="20"/>
            </w:pPr>
            <w:r/>
            <w:r>
              <w:rPr>
                <w:sz w:val="14"/>
              </w:rPr>
              <w:t>Gitleaks ejecutado en cada Pull Request como verificación bloqueante; .gitignore con exclusión de archivos de entorno; secretos gestionados exclusivamente mediante GitHub Secrets; archivo .env.example con valores ficticios como única referencia versionada.</w:t>
            </w:r>
          </w:p>
        </w:tc>
        <w:tc>
          <w:tcPr>
            <w:tcW w:type="dxa" w:w="1814"/>
          </w:tcPr>
          <w:p>
            <w:pPr>
              <w:spacing w:after="20"/>
            </w:pPr>
            <w:r/>
            <w:r>
              <w:rPr>
                <w:sz w:val="14"/>
              </w:rPr>
              <w:t>Rotación inmediata de la credencial comprometida, reescritura del historial y revisión de accesos.</w:t>
            </w:r>
          </w:p>
        </w:tc>
        <w:tc>
          <w:tcPr>
            <w:tcW w:type="dxa" w:w="1020"/>
          </w:tcPr>
          <w:p>
            <w:pPr>
              <w:spacing w:after="20"/>
            </w:pPr>
            <w:r/>
            <w:r>
              <w:rPr>
                <w:sz w:val="14"/>
              </w:rPr>
              <w:t>Scrum Master</w:t>
            </w:r>
          </w:p>
        </w:tc>
      </w:tr>
      <w:tr>
        <w:tc>
          <w:tcPr>
            <w:tcW w:type="dxa" w:w="567"/>
          </w:tcPr>
          <w:p>
            <w:pPr>
              <w:spacing w:after="20"/>
            </w:pPr>
            <w:r/>
            <w:r>
              <w:rPr>
                <w:sz w:val="14"/>
              </w:rPr>
              <w:t>R-09</w:t>
            </w:r>
          </w:p>
        </w:tc>
        <w:tc>
          <w:tcPr>
            <w:tcW w:type="dxa" w:w="1474"/>
          </w:tcPr>
          <w:p>
            <w:pPr>
              <w:spacing w:after="20"/>
            </w:pPr>
            <w:r/>
            <w:r>
              <w:rPr>
                <w:sz w:val="14"/>
              </w:rPr>
              <w:t>Tratamiento inadecuado de datos biométricos frente a la Ley N.º 29733</w:t>
            </w:r>
          </w:p>
        </w:tc>
        <w:tc>
          <w:tcPr>
            <w:tcW w:type="dxa" w:w="850"/>
          </w:tcPr>
          <w:p>
            <w:pPr>
              <w:spacing w:after="20"/>
            </w:pPr>
            <w:r/>
            <w:r>
              <w:rPr>
                <w:sz w:val="14"/>
              </w:rPr>
              <w:t>Regulatorio</w:t>
            </w:r>
          </w:p>
        </w:tc>
        <w:tc>
          <w:tcPr>
            <w:tcW w:type="dxa" w:w="680"/>
          </w:tcPr>
          <w:p>
            <w:pPr>
              <w:spacing w:after="20"/>
            </w:pPr>
            <w:r/>
            <w:r>
              <w:rPr>
                <w:sz w:val="14"/>
              </w:rPr>
              <w:t>Baja (2)</w:t>
            </w:r>
          </w:p>
        </w:tc>
        <w:tc>
          <w:tcPr>
            <w:tcW w:type="dxa" w:w="2608"/>
          </w:tcPr>
          <w:p>
            <w:pPr>
              <w:spacing w:after="20"/>
            </w:pPr>
            <w:r/>
            <w:r>
              <w:rPr>
                <w:sz w:val="14"/>
              </w:rPr>
              <w:t>La Ley de Protección de Datos Personales clasifica los datos biométricos como datos sensibles, con exigencias reforzadas de consentimiento. La probabilidad se estima baja porque el control está diseñado desde el inicio, pero el impacto es máximo por su naturaleza normativa.</w:t>
            </w:r>
          </w:p>
        </w:tc>
        <w:tc>
          <w:tcPr>
            <w:tcW w:type="dxa" w:w="680"/>
          </w:tcPr>
          <w:p>
            <w:pPr>
              <w:spacing w:after="20"/>
            </w:pPr>
            <w:r/>
            <w:r>
              <w:rPr>
                <w:sz w:val="14"/>
              </w:rPr>
              <w:t>Muy alto (5)</w:t>
            </w:r>
          </w:p>
        </w:tc>
        <w:tc>
          <w:tcPr>
            <w:tcW w:type="dxa" w:w="850"/>
          </w:tcPr>
          <w:p>
            <w:pPr>
              <w:spacing w:after="20"/>
            </w:pPr>
            <w:r/>
            <w:r>
              <w:rPr>
                <w:sz w:val="14"/>
              </w:rPr>
              <w:t>10 · MODERADA</w:t>
            </w:r>
          </w:p>
        </w:tc>
        <w:tc>
          <w:tcPr>
            <w:tcW w:type="dxa" w:w="680"/>
          </w:tcPr>
          <w:p>
            <w:pPr>
              <w:spacing w:after="20"/>
            </w:pPr>
            <w:r/>
            <w:r>
              <w:rPr>
                <w:sz w:val="14"/>
              </w:rPr>
              <w:t>Mitigar</w:t>
            </w:r>
          </w:p>
        </w:tc>
        <w:tc>
          <w:tcPr>
            <w:tcW w:type="dxa" w:w="2948"/>
          </w:tcPr>
          <w:p>
            <w:pPr>
              <w:spacing w:after="20"/>
            </w:pPr>
            <w:r/>
            <w:r>
              <w:rPr>
                <w:sz w:val="14"/>
              </w:rPr>
              <w:t>Pantalla de consentimiento explícito e informado previa a toda captura biométrica; cifrado en reposo de las imágenes y de los datos de documento; política de retención documentada; procedimiento de borrado a solicitud del titular; registro del consentimiento en la pista de auditoría.</w:t>
            </w:r>
          </w:p>
        </w:tc>
        <w:tc>
          <w:tcPr>
            <w:tcW w:type="dxa" w:w="1814"/>
          </w:tcPr>
          <w:p>
            <w:pPr>
              <w:spacing w:after="20"/>
            </w:pPr>
            <w:r/>
            <w:r>
              <w:rPr>
                <w:sz w:val="14"/>
              </w:rPr>
              <w:t>Suspensión de la captura biométrica y operación mediante verificación manual documental.</w:t>
            </w:r>
          </w:p>
        </w:tc>
        <w:tc>
          <w:tcPr>
            <w:tcW w:type="dxa" w:w="1020"/>
          </w:tcPr>
          <w:p>
            <w:pPr>
              <w:spacing w:after="20"/>
            </w:pPr>
            <w:r/>
            <w:r>
              <w:rPr>
                <w:sz w:val="14"/>
              </w:rPr>
              <w:t>Oficial de Cumplimiento / PO</w:t>
            </w:r>
          </w:p>
        </w:tc>
      </w:tr>
      <w:tr>
        <w:tc>
          <w:tcPr>
            <w:tcW w:type="dxa" w:w="567"/>
          </w:tcPr>
          <w:p>
            <w:pPr>
              <w:spacing w:after="20"/>
            </w:pPr>
            <w:r/>
            <w:r>
              <w:rPr>
                <w:sz w:val="14"/>
              </w:rPr>
              <w:t>R-10</w:t>
            </w:r>
          </w:p>
        </w:tc>
        <w:tc>
          <w:tcPr>
            <w:tcW w:type="dxa" w:w="1474"/>
          </w:tcPr>
          <w:p>
            <w:pPr>
              <w:spacing w:after="20"/>
            </w:pPr>
            <w:r/>
            <w:r>
              <w:rPr>
                <w:sz w:val="14"/>
              </w:rPr>
              <w:t>Discontinuidad o cambio de condiciones del nivel gratuito de Oracle Cloud</w:t>
            </w:r>
          </w:p>
        </w:tc>
        <w:tc>
          <w:tcPr>
            <w:tcW w:type="dxa" w:w="850"/>
          </w:tcPr>
          <w:p>
            <w:pPr>
              <w:spacing w:after="20"/>
            </w:pPr>
            <w:r/>
            <w:r>
              <w:rPr>
                <w:sz w:val="14"/>
              </w:rPr>
              <w:t>Infraestructura</w:t>
            </w:r>
          </w:p>
        </w:tc>
        <w:tc>
          <w:tcPr>
            <w:tcW w:type="dxa" w:w="680"/>
          </w:tcPr>
          <w:p>
            <w:pPr>
              <w:spacing w:after="20"/>
            </w:pPr>
            <w:r/>
            <w:r>
              <w:rPr>
                <w:sz w:val="14"/>
              </w:rPr>
              <w:t>Baja (2)</w:t>
            </w:r>
          </w:p>
        </w:tc>
        <w:tc>
          <w:tcPr>
            <w:tcW w:type="dxa" w:w="2608"/>
          </w:tcPr>
          <w:p>
            <w:pPr>
              <w:spacing w:after="20"/>
            </w:pPr>
            <w:r/>
            <w:r>
              <w:rPr>
                <w:sz w:val="14"/>
              </w:rPr>
              <w:t>El nivel Always Free es una oferta comercial sujeta a modificación unilateral por el proveedor. La probabilidad se estima baja por tratarse de un compromiso declarado como permanente, pero no es contractualmente garantizable.</w:t>
            </w:r>
          </w:p>
        </w:tc>
        <w:tc>
          <w:tcPr>
            <w:tcW w:type="dxa" w:w="680"/>
          </w:tcPr>
          <w:p>
            <w:pPr>
              <w:spacing w:after="20"/>
            </w:pPr>
            <w:r/>
            <w:r>
              <w:rPr>
                <w:sz w:val="14"/>
              </w:rPr>
              <w:t>Alto (4)</w:t>
            </w:r>
          </w:p>
        </w:tc>
        <w:tc>
          <w:tcPr>
            <w:tcW w:type="dxa" w:w="850"/>
          </w:tcPr>
          <w:p>
            <w:pPr>
              <w:spacing w:after="20"/>
            </w:pPr>
            <w:r/>
            <w:r>
              <w:rPr>
                <w:sz w:val="14"/>
              </w:rPr>
              <w:t>8 · MODERADA</w:t>
            </w:r>
          </w:p>
        </w:tc>
        <w:tc>
          <w:tcPr>
            <w:tcW w:type="dxa" w:w="680"/>
          </w:tcPr>
          <w:p>
            <w:pPr>
              <w:spacing w:after="20"/>
            </w:pPr>
            <w:r/>
            <w:r>
              <w:rPr>
                <w:sz w:val="14"/>
              </w:rPr>
              <w:t>Mitigar</w:t>
            </w:r>
          </w:p>
        </w:tc>
        <w:tc>
          <w:tcPr>
            <w:tcW w:type="dxa" w:w="2948"/>
          </w:tcPr>
          <w:p>
            <w:pPr>
              <w:spacing w:after="20"/>
            </w:pPr>
            <w:r/>
            <w:r>
              <w:rPr>
                <w:sz w:val="14"/>
              </w:rPr>
              <w:t>Infraestructura íntegramente contenedorizada y descrita como código; ninguna dependencia de servicios propietarios del proveedor; almacenamiento mediante MinIO compatible con S3, portable a cualquier proveedor.</w:t>
            </w:r>
          </w:p>
        </w:tc>
        <w:tc>
          <w:tcPr>
            <w:tcW w:type="dxa" w:w="1814"/>
          </w:tcPr>
          <w:p>
            <w:pPr>
              <w:spacing w:after="20"/>
            </w:pPr>
            <w:r/>
            <w:r>
              <w:rPr>
                <w:sz w:val="14"/>
              </w:rPr>
              <w:t>Migración del entorno de producción a la Raspberry Pi 5 en menos de 24 horas mediante el mismo docker compose.</w:t>
            </w:r>
          </w:p>
        </w:tc>
        <w:tc>
          <w:tcPr>
            <w:tcW w:type="dxa" w:w="1020"/>
          </w:tcPr>
          <w:p>
            <w:pPr>
              <w:spacing w:after="20"/>
            </w:pPr>
            <w:r/>
            <w:r>
              <w:rPr>
                <w:sz w:val="14"/>
              </w:rPr>
              <w:t>Equipo de desarrollo</w:t>
            </w:r>
          </w:p>
        </w:tc>
      </w:tr>
      <w:tr>
        <w:tc>
          <w:tcPr>
            <w:tcW w:type="dxa" w:w="567"/>
          </w:tcPr>
          <w:p>
            <w:pPr>
              <w:spacing w:after="20"/>
            </w:pPr>
            <w:r/>
            <w:r>
              <w:rPr>
                <w:sz w:val="14"/>
              </w:rPr>
              <w:t>R-11</w:t>
            </w:r>
          </w:p>
        </w:tc>
        <w:tc>
          <w:tcPr>
            <w:tcW w:type="dxa" w:w="1474"/>
          </w:tcPr>
          <w:p>
            <w:pPr>
              <w:spacing w:after="20"/>
            </w:pPr>
            <w:r/>
            <w:r>
              <w:rPr>
                <w:sz w:val="14"/>
              </w:rPr>
              <w:t>Baja o rotación de un integrante del equipo</w:t>
            </w:r>
          </w:p>
        </w:tc>
        <w:tc>
          <w:tcPr>
            <w:tcW w:type="dxa" w:w="850"/>
          </w:tcPr>
          <w:p>
            <w:pPr>
              <w:spacing w:after="20"/>
            </w:pPr>
            <w:r/>
            <w:r>
              <w:rPr>
                <w:sz w:val="14"/>
              </w:rPr>
              <w:t>Equipo</w:t>
            </w:r>
          </w:p>
        </w:tc>
        <w:tc>
          <w:tcPr>
            <w:tcW w:type="dxa" w:w="680"/>
          </w:tcPr>
          <w:p>
            <w:pPr>
              <w:spacing w:after="20"/>
            </w:pPr>
            <w:r/>
            <w:r>
              <w:rPr>
                <w:sz w:val="14"/>
              </w:rPr>
              <w:t>Baja (2)</w:t>
            </w:r>
          </w:p>
        </w:tc>
        <w:tc>
          <w:tcPr>
            <w:tcW w:type="dxa" w:w="2608"/>
          </w:tcPr>
          <w:p>
            <w:pPr>
              <w:spacing w:after="20"/>
            </w:pPr>
            <w:r/>
            <w:r>
              <w:rPr>
                <w:sz w:val="14"/>
              </w:rPr>
              <w:t>Equipo reducido de cuatro personas; la pérdida de uno representa el 25 % de la capacidad. La probabilidad se estima baja al tratarse de un grupo consolidado con evaluación compartida.</w:t>
            </w:r>
          </w:p>
        </w:tc>
        <w:tc>
          <w:tcPr>
            <w:tcW w:type="dxa" w:w="680"/>
          </w:tcPr>
          <w:p>
            <w:pPr>
              <w:spacing w:after="20"/>
            </w:pPr>
            <w:r/>
            <w:r>
              <w:rPr>
                <w:sz w:val="14"/>
              </w:rPr>
              <w:t>Alto (4)</w:t>
            </w:r>
          </w:p>
        </w:tc>
        <w:tc>
          <w:tcPr>
            <w:tcW w:type="dxa" w:w="850"/>
          </w:tcPr>
          <w:p>
            <w:pPr>
              <w:spacing w:after="20"/>
            </w:pPr>
            <w:r/>
            <w:r>
              <w:rPr>
                <w:sz w:val="14"/>
              </w:rPr>
              <w:t>8 · MODERADA</w:t>
            </w:r>
          </w:p>
        </w:tc>
        <w:tc>
          <w:tcPr>
            <w:tcW w:type="dxa" w:w="680"/>
          </w:tcPr>
          <w:p>
            <w:pPr>
              <w:spacing w:after="20"/>
            </w:pPr>
            <w:r/>
            <w:r>
              <w:rPr>
                <w:sz w:val="14"/>
              </w:rPr>
              <w:t>Mitigar</w:t>
            </w:r>
          </w:p>
        </w:tc>
        <w:tc>
          <w:tcPr>
            <w:tcW w:type="dxa" w:w="2948"/>
          </w:tcPr>
          <w:p>
            <w:pPr>
              <w:spacing w:after="20"/>
            </w:pPr>
            <w:r/>
            <w:r>
              <w:rPr>
                <w:sz w:val="14"/>
              </w:rPr>
              <w:t>Documentación de arquitectura y decisiones en el repositorio (ADR); trabajo por pares; prohibición de que un servicio tenga un único conocedor; revisión cruzada obligatoria en cada Pull Request.</w:t>
            </w:r>
          </w:p>
        </w:tc>
        <w:tc>
          <w:tcPr>
            <w:tcW w:type="dxa" w:w="1814"/>
          </w:tcPr>
          <w:p>
            <w:pPr>
              <w:spacing w:after="20"/>
            </w:pPr>
            <w:r/>
            <w:r>
              <w:rPr>
                <w:sz w:val="14"/>
              </w:rPr>
              <w:t>Redistribución del alcance del sprint y activación del plan de reducción de alcance.</w:t>
            </w:r>
          </w:p>
        </w:tc>
        <w:tc>
          <w:tcPr>
            <w:tcW w:type="dxa" w:w="1020"/>
          </w:tcPr>
          <w:p>
            <w:pPr>
              <w:spacing w:after="20"/>
            </w:pPr>
            <w:r/>
            <w:r>
              <w:rPr>
                <w:sz w:val="14"/>
              </w:rPr>
              <w:t>Scrum Master</w:t>
            </w:r>
          </w:p>
        </w:tc>
      </w:tr>
      <w:tr>
        <w:tc>
          <w:tcPr>
            <w:tcW w:type="dxa" w:w="567"/>
          </w:tcPr>
          <w:p>
            <w:pPr>
              <w:spacing w:after="20"/>
            </w:pPr>
            <w:r/>
            <w:r>
              <w:rPr>
                <w:sz w:val="14"/>
              </w:rPr>
              <w:t>R-12</w:t>
            </w:r>
          </w:p>
        </w:tc>
        <w:tc>
          <w:tcPr>
            <w:tcW w:type="dxa" w:w="1474"/>
          </w:tcPr>
          <w:p>
            <w:pPr>
              <w:spacing w:after="20"/>
            </w:pPr>
            <w:r/>
            <w:r>
              <w:rPr>
                <w:sz w:val="14"/>
              </w:rPr>
              <w:t>Indisponibilidad del servicio de tipo de cambio de SUNAT/BCRP</w:t>
            </w:r>
          </w:p>
        </w:tc>
        <w:tc>
          <w:tcPr>
            <w:tcW w:type="dxa" w:w="850"/>
          </w:tcPr>
          <w:p>
            <w:pPr>
              <w:spacing w:after="20"/>
            </w:pPr>
            <w:r/>
            <w:r>
              <w:rPr>
                <w:sz w:val="14"/>
              </w:rPr>
              <w:t>Integración</w:t>
            </w:r>
          </w:p>
        </w:tc>
        <w:tc>
          <w:tcPr>
            <w:tcW w:type="dxa" w:w="680"/>
          </w:tcPr>
          <w:p>
            <w:pPr>
              <w:spacing w:after="20"/>
            </w:pPr>
            <w:r/>
            <w:r>
              <w:rPr>
                <w:sz w:val="14"/>
              </w:rPr>
              <w:t>Media (3)</w:t>
            </w:r>
          </w:p>
        </w:tc>
        <w:tc>
          <w:tcPr>
            <w:tcW w:type="dxa" w:w="2608"/>
          </w:tcPr>
          <w:p>
            <w:pPr>
              <w:spacing w:after="20"/>
            </w:pPr>
            <w:r/>
            <w:r>
              <w:rPr>
                <w:sz w:val="14"/>
              </w:rPr>
              <w:t>Servicio público sin acuerdo de nivel de servicio comprometido con terceros ni garantía de disponibilidad para consumo automatizado.</w:t>
            </w:r>
          </w:p>
        </w:tc>
        <w:tc>
          <w:tcPr>
            <w:tcW w:type="dxa" w:w="680"/>
          </w:tcPr>
          <w:p>
            <w:pPr>
              <w:spacing w:after="20"/>
            </w:pPr>
            <w:r/>
            <w:r>
              <w:rPr>
                <w:sz w:val="14"/>
              </w:rPr>
              <w:t>Bajo (2)</w:t>
            </w:r>
          </w:p>
        </w:tc>
        <w:tc>
          <w:tcPr>
            <w:tcW w:type="dxa" w:w="850"/>
          </w:tcPr>
          <w:p>
            <w:pPr>
              <w:spacing w:after="20"/>
            </w:pPr>
            <w:r/>
            <w:r>
              <w:rPr>
                <w:sz w:val="14"/>
              </w:rPr>
              <w:t>6 · TOLERABLE</w:t>
            </w:r>
          </w:p>
        </w:tc>
        <w:tc>
          <w:tcPr>
            <w:tcW w:type="dxa" w:w="680"/>
          </w:tcPr>
          <w:p>
            <w:pPr>
              <w:spacing w:after="20"/>
            </w:pPr>
            <w:r/>
            <w:r>
              <w:rPr>
                <w:sz w:val="14"/>
              </w:rPr>
              <w:t>Mitigar</w:t>
            </w:r>
          </w:p>
        </w:tc>
        <w:tc>
          <w:tcPr>
            <w:tcW w:type="dxa" w:w="2948"/>
          </w:tcPr>
          <w:p>
            <w:pPr>
              <w:spacing w:after="20"/>
            </w:pPr>
            <w:r/>
            <w:r>
              <w:rPr>
                <w:sz w:val="14"/>
              </w:rPr>
              <w:t>Caché diaria del tipo de cambio; circuit breaker con Resilience4j; uso del último valor conocido con advertencia explícita al cliente sobre su fecha; registro del tipo de cambio aplicado junto a cada operación.</w:t>
            </w:r>
          </w:p>
        </w:tc>
        <w:tc>
          <w:tcPr>
            <w:tcW w:type="dxa" w:w="1814"/>
          </w:tcPr>
          <w:p>
            <w:pPr>
              <w:spacing w:after="20"/>
            </w:pPr>
            <w:r/>
            <w:r>
              <w:rPr>
                <w:sz w:val="14"/>
              </w:rPr>
              <w:t>Operación exclusivamente en soles hasta el restablecimiento del servicio.</w:t>
            </w:r>
          </w:p>
        </w:tc>
        <w:tc>
          <w:tcPr>
            <w:tcW w:type="dxa" w:w="1020"/>
          </w:tcPr>
          <w:p>
            <w:pPr>
              <w:spacing w:after="20"/>
            </w:pPr>
            <w:r/>
            <w:r>
              <w:rPr>
                <w:sz w:val="14"/>
              </w:rPr>
              <w:t>Equipo de desarrollo</w:t>
            </w:r>
          </w:p>
        </w:tc>
      </w:tr>
      <w:tr>
        <w:tc>
          <w:tcPr>
            <w:tcW w:type="dxa" w:w="567"/>
          </w:tcPr>
          <w:p>
            <w:pPr>
              <w:spacing w:after="20"/>
            </w:pPr>
            <w:r/>
            <w:r>
              <w:rPr>
                <w:sz w:val="14"/>
              </w:rPr>
              <w:t>R-13</w:t>
            </w:r>
          </w:p>
        </w:tc>
        <w:tc>
          <w:tcPr>
            <w:tcW w:type="dxa" w:w="1474"/>
          </w:tcPr>
          <w:p>
            <w:pPr>
              <w:spacing w:after="20"/>
            </w:pPr>
            <w:r/>
            <w:r>
              <w:rPr>
                <w:sz w:val="14"/>
              </w:rPr>
              <w:t>Criterios de aceptación ambiguos que generan retrabajo</w:t>
            </w:r>
          </w:p>
        </w:tc>
        <w:tc>
          <w:tcPr>
            <w:tcW w:type="dxa" w:w="850"/>
          </w:tcPr>
          <w:p>
            <w:pPr>
              <w:spacing w:after="20"/>
            </w:pPr>
            <w:r/>
            <w:r>
              <w:rPr>
                <w:sz w:val="14"/>
              </w:rPr>
              <w:t>Alcance</w:t>
            </w:r>
          </w:p>
        </w:tc>
        <w:tc>
          <w:tcPr>
            <w:tcW w:type="dxa" w:w="680"/>
          </w:tcPr>
          <w:p>
            <w:pPr>
              <w:spacing w:after="20"/>
            </w:pPr>
            <w:r/>
            <w:r>
              <w:rPr>
                <w:sz w:val="14"/>
              </w:rPr>
              <w:t>Media (3)</w:t>
            </w:r>
          </w:p>
        </w:tc>
        <w:tc>
          <w:tcPr>
            <w:tcW w:type="dxa" w:w="2608"/>
          </w:tcPr>
          <w:p>
            <w:pPr>
              <w:spacing w:after="20"/>
            </w:pPr>
            <w:r/>
            <w:r>
              <w:rPr>
                <w:sz w:val="14"/>
              </w:rPr>
              <w:t>El PMI atribuye el 39 % de los fracasos de proyecto a la ausencia de objetivos e hitos claros y el 37 % a una captura imprecisa de requisitos. [PMI 2025]</w:t>
            </w:r>
          </w:p>
        </w:tc>
        <w:tc>
          <w:tcPr>
            <w:tcW w:type="dxa" w:w="680"/>
          </w:tcPr>
          <w:p>
            <w:pPr>
              <w:spacing w:after="20"/>
            </w:pPr>
            <w:r/>
            <w:r>
              <w:rPr>
                <w:sz w:val="14"/>
              </w:rPr>
              <w:t>Medio (3)</w:t>
            </w:r>
          </w:p>
        </w:tc>
        <w:tc>
          <w:tcPr>
            <w:tcW w:type="dxa" w:w="850"/>
          </w:tcPr>
          <w:p>
            <w:pPr>
              <w:spacing w:after="20"/>
            </w:pPr>
            <w:r/>
            <w:r>
              <w:rPr>
                <w:sz w:val="14"/>
              </w:rPr>
              <w:t>9 · MODERADA</w:t>
            </w:r>
          </w:p>
        </w:tc>
        <w:tc>
          <w:tcPr>
            <w:tcW w:type="dxa" w:w="680"/>
          </w:tcPr>
          <w:p>
            <w:pPr>
              <w:spacing w:after="20"/>
            </w:pPr>
            <w:r/>
            <w:r>
              <w:rPr>
                <w:sz w:val="14"/>
              </w:rPr>
              <w:t>Mitigar</w:t>
            </w:r>
          </w:p>
        </w:tc>
        <w:tc>
          <w:tcPr>
            <w:tcW w:type="dxa" w:w="2948"/>
          </w:tcPr>
          <w:p>
            <w:pPr>
              <w:spacing w:after="20"/>
            </w:pPr>
            <w:r/>
            <w:r>
              <w:rPr>
                <w:sz w:val="14"/>
              </w:rPr>
              <w:t>Criterios de aceptación redactados en formato DADO/CUANDO/ENTONCES sin ambigüedad; cada escenario implementado como prueba automatizada de Cucumber, de modo que la ambigüedad se hace evidente al intentar automatizarla; refinamiento del backlog antes de cada Sprint Planning.</w:t>
            </w:r>
          </w:p>
        </w:tc>
        <w:tc>
          <w:tcPr>
            <w:tcW w:type="dxa" w:w="1814"/>
          </w:tcPr>
          <w:p>
            <w:pPr>
              <w:spacing w:after="20"/>
            </w:pPr>
            <w:r/>
            <w:r>
              <w:rPr>
                <w:sz w:val="14"/>
              </w:rPr>
              <w:t>Devolución del ítem al backlog para refinamiento, sin comprometerlo en el sprint.</w:t>
            </w:r>
          </w:p>
        </w:tc>
        <w:tc>
          <w:tcPr>
            <w:tcW w:type="dxa" w:w="1020"/>
          </w:tcPr>
          <w:p>
            <w:pPr>
              <w:spacing w:after="20"/>
            </w:pPr>
            <w:r/>
            <w:r>
              <w:rPr>
                <w:sz w:val="14"/>
              </w:rPr>
              <w:t>Product Owner</w:t>
            </w:r>
          </w:p>
        </w:tc>
      </w:tr>
    </w:tbl>
    <w:p/>
    <w:p>
      <w:pPr>
        <w:spacing w:before="240"/>
      </w:pPr>
      <w:r>
        <w:rPr>
          <w:b/>
          <w:color w:val="064475"/>
          <w:sz w:val="24"/>
        </w:rPr>
        <w:t>3. RESUMEN DE EXPOSICIÓN</w:t>
      </w:r>
    </w:p>
    <w:tbl>
      <w:tblPr>
        <w:tblStyle w:val="TableGrid"/>
        <w:tblW w:type="auto" w:w="0"/>
        <w:tblLook w:firstColumn="1" w:firstRow="1" w:lastColumn="0" w:lastRow="0" w:noHBand="0" w:noVBand="1" w:val="04A0"/>
      </w:tblPr>
      <w:tblGrid>
        <w:gridCol w:w="3535"/>
        <w:gridCol w:w="3535"/>
        <w:gridCol w:w="3535"/>
        <w:gridCol w:w="3535"/>
      </w:tblGrid>
      <w:tr>
        <w:tc>
          <w:tcPr>
            <w:tcW w:type="dxa" w:w="1928"/>
            <w:shd w:val="clear" w:color="auto" w:fill="064475"/>
          </w:tcPr>
          <w:p>
            <w:r/>
            <w:r>
              <w:rPr>
                <w:b/>
                <w:color w:val="FFFFFF"/>
                <w:sz w:val="16"/>
              </w:rPr>
              <w:t>Nivel de exposición</w:t>
            </w:r>
          </w:p>
        </w:tc>
        <w:tc>
          <w:tcPr>
            <w:tcW w:type="dxa" w:w="3402"/>
            <w:shd w:val="clear" w:color="auto" w:fill="064475"/>
          </w:tcPr>
          <w:p>
            <w:r/>
            <w:r>
              <w:rPr>
                <w:b/>
                <w:color w:val="FFFFFF"/>
                <w:sz w:val="16"/>
              </w:rPr>
              <w:t>Riesgos</w:t>
            </w:r>
          </w:p>
        </w:tc>
        <w:tc>
          <w:tcPr>
            <w:tcW w:type="dxa" w:w="1134"/>
            <w:shd w:val="clear" w:color="auto" w:fill="064475"/>
          </w:tcPr>
          <w:p>
            <w:r/>
            <w:r>
              <w:rPr>
                <w:b/>
                <w:color w:val="FFFFFF"/>
                <w:sz w:val="16"/>
              </w:rPr>
              <w:t>Cantidad</w:t>
            </w:r>
          </w:p>
        </w:tc>
        <w:tc>
          <w:tcPr>
            <w:tcW w:type="dxa" w:w="6236"/>
            <w:shd w:val="clear" w:color="auto" w:fill="064475"/>
          </w:tcPr>
          <w:p>
            <w:r/>
            <w:r>
              <w:rPr>
                <w:b/>
                <w:color w:val="FFFFFF"/>
                <w:sz w:val="16"/>
              </w:rPr>
              <w:t>Tratamiento requerido</w:t>
            </w:r>
          </w:p>
        </w:tc>
      </w:tr>
      <w:tr>
        <w:tc>
          <w:tcPr>
            <w:tcW w:type="dxa" w:w="1928"/>
          </w:tcPr>
          <w:p>
            <w:pPr>
              <w:spacing w:after="20"/>
            </w:pPr>
            <w:r/>
            <w:r>
              <w:rPr>
                <w:sz w:val="16"/>
              </w:rPr>
              <w:t>CRÍTICA (15 – 25)</w:t>
            </w:r>
          </w:p>
        </w:tc>
        <w:tc>
          <w:tcPr>
            <w:tcW w:type="dxa" w:w="3402"/>
          </w:tcPr>
          <w:p>
            <w:pPr>
              <w:spacing w:after="20"/>
            </w:pPr>
            <w:r/>
            <w:r>
              <w:rPr>
                <w:sz w:val="16"/>
              </w:rPr>
              <w:t>R-01, R-02, R-03, R-05</w:t>
            </w:r>
          </w:p>
        </w:tc>
        <w:tc>
          <w:tcPr>
            <w:tcW w:type="dxa" w:w="1134"/>
          </w:tcPr>
          <w:p>
            <w:pPr>
              <w:spacing w:after="20"/>
            </w:pPr>
            <w:r/>
            <w:r>
              <w:rPr>
                <w:sz w:val="16"/>
              </w:rPr>
              <w:t>4</w:t>
            </w:r>
          </w:p>
        </w:tc>
        <w:tc>
          <w:tcPr>
            <w:tcW w:type="dxa" w:w="6236"/>
          </w:tcPr>
          <w:p>
            <w:pPr>
              <w:spacing w:after="20"/>
            </w:pPr>
            <w:r/>
            <w:r>
              <w:rPr>
                <w:sz w:val="16"/>
              </w:rPr>
              <w:t>Plan de mitigación y plan de contingencia documentados; seguimiento en cada Sprint Review.</w:t>
            </w:r>
          </w:p>
        </w:tc>
      </w:tr>
      <w:tr>
        <w:tc>
          <w:tcPr>
            <w:tcW w:type="dxa" w:w="1928"/>
          </w:tcPr>
          <w:p>
            <w:pPr>
              <w:spacing w:after="20"/>
            </w:pPr>
            <w:r/>
            <w:r>
              <w:rPr>
                <w:sz w:val="16"/>
              </w:rPr>
              <w:t>MODERADA (8 – 12)</w:t>
            </w:r>
          </w:p>
        </w:tc>
        <w:tc>
          <w:tcPr>
            <w:tcW w:type="dxa" w:w="3402"/>
          </w:tcPr>
          <w:p>
            <w:pPr>
              <w:spacing w:after="20"/>
            </w:pPr>
            <w:r/>
            <w:r>
              <w:rPr>
                <w:sz w:val="16"/>
              </w:rPr>
              <w:t>R-04, R-06, R-07, R-08, R-09, R-10, R-11, R-13</w:t>
            </w:r>
          </w:p>
        </w:tc>
        <w:tc>
          <w:tcPr>
            <w:tcW w:type="dxa" w:w="1134"/>
          </w:tcPr>
          <w:p>
            <w:pPr>
              <w:spacing w:after="20"/>
            </w:pPr>
            <w:r/>
            <w:r>
              <w:rPr>
                <w:sz w:val="16"/>
              </w:rPr>
              <w:t>8</w:t>
            </w:r>
          </w:p>
        </w:tc>
        <w:tc>
          <w:tcPr>
            <w:tcW w:type="dxa" w:w="6236"/>
          </w:tcPr>
          <w:p>
            <w:pPr>
              <w:spacing w:after="20"/>
            </w:pPr>
            <w:r/>
            <w:r>
              <w:rPr>
                <w:sz w:val="16"/>
              </w:rPr>
              <w:t>Plan de mitigación activo; revisión en la Sprint Retrospective.</w:t>
            </w:r>
          </w:p>
        </w:tc>
      </w:tr>
      <w:tr>
        <w:tc>
          <w:tcPr>
            <w:tcW w:type="dxa" w:w="1928"/>
          </w:tcPr>
          <w:p>
            <w:pPr>
              <w:spacing w:after="20"/>
            </w:pPr>
            <w:r/>
            <w:r>
              <w:rPr>
                <w:sz w:val="16"/>
              </w:rPr>
              <w:t>TOLERABLE (1 – 6)</w:t>
            </w:r>
          </w:p>
        </w:tc>
        <w:tc>
          <w:tcPr>
            <w:tcW w:type="dxa" w:w="3402"/>
          </w:tcPr>
          <w:p>
            <w:pPr>
              <w:spacing w:after="20"/>
            </w:pPr>
            <w:r/>
            <w:r>
              <w:rPr>
                <w:sz w:val="16"/>
              </w:rPr>
              <w:t>R-12</w:t>
            </w:r>
          </w:p>
        </w:tc>
        <w:tc>
          <w:tcPr>
            <w:tcW w:type="dxa" w:w="1134"/>
          </w:tcPr>
          <w:p>
            <w:pPr>
              <w:spacing w:after="20"/>
            </w:pPr>
            <w:r/>
            <w:r>
              <w:rPr>
                <w:sz w:val="16"/>
              </w:rPr>
              <w:t>1</w:t>
            </w:r>
          </w:p>
        </w:tc>
        <w:tc>
          <w:tcPr>
            <w:tcW w:type="dxa" w:w="6236"/>
          </w:tcPr>
          <w:p>
            <w:pPr>
              <w:spacing w:after="20"/>
            </w:pPr>
            <w:r/>
            <w:r>
              <w:rPr>
                <w:sz w:val="16"/>
              </w:rPr>
              <w:t>Aceptación con monitoreo periódico.</w:t>
            </w:r>
          </w:p>
        </w:tc>
      </w:tr>
    </w:tbl>
    <w:p/>
    <w:p>
      <w:pPr>
        <w:spacing w:before="240"/>
      </w:pPr>
      <w:r>
        <w:rPr>
          <w:b/>
          <w:color w:val="064475"/>
          <w:sz w:val="24"/>
        </w:rPr>
        <w:t>4. FUENTES CONSULTADAS</w:t>
      </w:r>
    </w:p>
    <w:p>
      <w:r>
        <w:rPr>
          <w:i w:val="0"/>
          <w:sz w:val="18"/>
        </w:rPr>
        <w:t>• Osinergmin — Indicadores de calidad de suministro eléctrico SAIDI y SAIFI, 2025. https://www.osinergmin.gob.pe/electricidad/interrupciones</w:t>
      </w:r>
    </w:p>
    <w:p>
      <w:r>
        <w:rPr>
          <w:i w:val="0"/>
          <w:sz w:val="18"/>
        </w:rPr>
        <w:t>• Plataforma Nacional de Datos Abiertos del Perú — Indicadores de calidad de suministro de las empresas de distribución eléctrica. https://www.datosabiertos.gob.pe</w:t>
      </w:r>
    </w:p>
    <w:p>
      <w:r>
        <w:rPr>
          <w:i w:val="0"/>
          <w:sz w:val="18"/>
        </w:rPr>
        <w:t>• Ministerio Público del Perú y eBIZ — Estadísticas de delitos informáticos y fraude de identidad, 2025. https://ebiz.pe/noticias/especial-confianza-digital-para-un-peru-seguro-fraude-informatico/</w:t>
      </w:r>
    </w:p>
    <w:p>
      <w:r>
        <w:rPr>
          <w:i w:val="0"/>
          <w:sz w:val="18"/>
        </w:rPr>
        <w:t>• Project Management Institute — Pulse of the Profession 2025. https://instituteprojectmanagement.com/blog/pulse-of-the-profession-report/</w:t>
      </w:r>
    </w:p>
    <w:p>
      <w:r>
        <w:rPr>
          <w:i w:val="0"/>
          <w:sz w:val="18"/>
        </w:rPr>
        <w:t>• Ley N.º 29733, Ley de Protección de Datos Personales del Perú, y su Reglamento.</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