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614"/>
        <w:gridCol w:w="2614"/>
        <w:gridCol w:w="2614"/>
        <w:gridCol w:w="2614"/>
      </w:tblGrid>
      <w:tr w:rsidR="004665F8" w:rsidRPr="00AF7F97" w14:paraId="5012B1D5" w14:textId="77777777" w:rsidTr="004665F8">
        <w:trPr>
          <w:trHeight w:val="288"/>
        </w:trPr>
        <w:tc>
          <w:tcPr>
            <w:tcW w:w="10456" w:type="dxa"/>
            <w:gridSpan w:val="4"/>
            <w:shd w:val="clear" w:color="auto" w:fill="004C96"/>
            <w:vAlign w:val="center"/>
          </w:tcPr>
          <w:p w14:paraId="2F5AF917" w14:textId="03D53204" w:rsidR="00FB61B9" w:rsidRPr="00577CEE" w:rsidRDefault="00000000">
            <w:pPr>
              <w:spacing w:after="40"/>
              <w:rPr>
                <w:color w:val="FFFFFF" w:themeColor="background1"/>
              </w:rPr>
            </w:pPr>
            <w:r w:rsidRPr="00577CEE">
              <w:rPr>
                <w:b/>
                <w:color w:val="FFFFFF" w:themeColor="background1"/>
                <w:sz w:val="19"/>
              </w:rPr>
              <w:t xml:space="preserve">PARTICIPANTES DEL </w:t>
            </w:r>
            <w:r w:rsidR="00577CEE" w:rsidRPr="00577CEE">
              <w:rPr>
                <w:b/>
                <w:color w:val="FFFFFF" w:themeColor="background1"/>
                <w:sz w:val="19"/>
              </w:rPr>
              <w:t xml:space="preserve">PROYECTO </w:t>
            </w:r>
            <w:proofErr w:type="gramStart"/>
            <w:r w:rsidR="00577CEE" w:rsidRPr="00577CEE">
              <w:rPr>
                <w:b/>
                <w:color w:val="FFFFFF" w:themeColor="background1"/>
                <w:sz w:val="19"/>
              </w:rPr>
              <w:t>·</w:t>
            </w:r>
            <w:r w:rsidRPr="00577CEE">
              <w:rPr>
                <w:b/>
                <w:color w:val="FFFFFF" w:themeColor="background1"/>
                <w:sz w:val="19"/>
              </w:rPr>
              <w:t xml:space="preserve">  Project</w:t>
            </w:r>
            <w:proofErr w:type="gramEnd"/>
            <w:r w:rsidRPr="00577CEE">
              <w:rPr>
                <w:b/>
                <w:color w:val="FFFFFF" w:themeColor="background1"/>
                <w:sz w:val="19"/>
              </w:rPr>
              <w:t xml:space="preserve"> Participants</w:t>
            </w:r>
          </w:p>
        </w:tc>
      </w:tr>
      <w:tr w:rsidR="003C531D" w:rsidRPr="00AF7F97" w14:paraId="7D93D802" w14:textId="77777777" w:rsidTr="006B191C">
        <w:trPr>
          <w:trHeight w:val="288"/>
        </w:trPr>
        <w:tc>
          <w:tcPr>
            <w:tcW w:w="2614" w:type="dxa"/>
            <w:shd w:val="clear" w:color="auto" w:fill="E6E6E6"/>
            <w:vAlign w:val="center"/>
          </w:tcPr>
          <w:p w14:paraId="783D2758" w14:textId="77777777" w:rsidR="00FB61B9" w:rsidRDefault="00000000">
            <w:pPr>
              <w:spacing w:after="40"/>
            </w:pPr>
            <w:proofErr w:type="spellStart"/>
            <w:proofErr w:type="gramStart"/>
            <w:r>
              <w:rPr>
                <w:b/>
                <w:sz w:val="19"/>
              </w:rPr>
              <w:t>Nombre</w:t>
            </w:r>
            <w:proofErr w:type="spellEnd"/>
            <w:r>
              <w:rPr>
                <w:b/>
                <w:sz w:val="19"/>
              </w:rPr>
              <w:t xml:space="preserve">  ·</w:t>
            </w:r>
            <w:proofErr w:type="gramEnd"/>
            <w:r>
              <w:rPr>
                <w:b/>
                <w:sz w:val="19"/>
              </w:rPr>
              <w:t xml:space="preserve">  Name</w:t>
            </w:r>
          </w:p>
        </w:tc>
        <w:tc>
          <w:tcPr>
            <w:tcW w:w="7842" w:type="dxa"/>
            <w:gridSpan w:val="3"/>
            <w:vAlign w:val="center"/>
          </w:tcPr>
          <w:p w14:paraId="5D1B5B8B" w14:textId="77777777" w:rsidR="00FB61B9" w:rsidRDefault="00000000">
            <w:pPr>
              <w:spacing w:after="40"/>
            </w:pPr>
            <w:r>
              <w:rPr>
                <w:b/>
                <w:sz w:val="19"/>
              </w:rPr>
              <w:t>Detalle</w:t>
            </w:r>
          </w:p>
        </w:tc>
      </w:tr>
      <w:tr w:rsidR="003D796D" w:rsidRPr="00AF7F97" w14:paraId="14E14B5F" w14:textId="77777777" w:rsidTr="00CA7131">
        <w:trPr>
          <w:trHeight w:val="288"/>
        </w:trPr>
        <w:tc>
          <w:tcPr>
            <w:tcW w:w="2614" w:type="dxa"/>
            <w:vMerge w:val="restart"/>
            <w:shd w:val="clear" w:color="auto" w:fill="E6E6E6"/>
            <w:vAlign w:val="center"/>
          </w:tcPr>
          <w:p w14:paraId="2BD2AFE0" w14:textId="77777777" w:rsidR="00FB61B9" w:rsidRDefault="00000000">
            <w:pPr>
              <w:spacing w:after="40"/>
            </w:pPr>
            <w:r>
              <w:rPr>
                <w:b/>
                <w:sz w:val="19"/>
              </w:rPr>
              <w:t>Interesados</w:t>
            </w:r>
          </w:p>
          <w:p w14:paraId="4CB1F49F" w14:textId="77777777" w:rsidR="00FB61B9" w:rsidRDefault="00000000">
            <w:pPr>
              <w:spacing w:after="40"/>
            </w:pPr>
            <w:r>
              <w:rPr>
                <w:b/>
                <w:sz w:val="19"/>
              </w:rPr>
              <w:t>Stakeholders</w:t>
            </w:r>
          </w:p>
        </w:tc>
        <w:tc>
          <w:tcPr>
            <w:tcW w:w="2614" w:type="dxa"/>
            <w:vAlign w:val="center"/>
          </w:tcPr>
          <w:p w14:paraId="62026634" w14:textId="77777777" w:rsidR="00FB61B9" w:rsidRDefault="00000000">
            <w:pPr>
              <w:spacing w:after="40"/>
            </w:pPr>
            <w:r>
              <w:rPr>
                <w:b/>
                <w:sz w:val="19"/>
              </w:rPr>
              <w:t>Patrocinador del Proyecto</w:t>
            </w:r>
          </w:p>
          <w:p w14:paraId="1117CF0E" w14:textId="77777777" w:rsidR="00FB61B9" w:rsidRDefault="00000000">
            <w:pPr>
              <w:spacing w:after="40"/>
            </w:pPr>
            <w:r>
              <w:rPr>
                <w:b/>
                <w:sz w:val="19"/>
              </w:rPr>
              <w:t>Project Sponsor</w:t>
            </w:r>
          </w:p>
        </w:tc>
        <w:tc>
          <w:tcPr>
            <w:tcW w:w="5228" w:type="dxa"/>
            <w:gridSpan w:val="2"/>
            <w:vAlign w:val="center"/>
          </w:tcPr>
          <w:p w14:paraId="596F10B8" w14:textId="77777777" w:rsidR="00FB61B9" w:rsidRDefault="00000000">
            <w:pPr>
              <w:spacing w:after="40"/>
            </w:pPr>
            <w:r>
              <w:rPr>
                <w:sz w:val="19"/>
              </w:rPr>
              <w:t>Directorio de Ayni Bank S.A. — órgano que autoriza formalmente el inicio del proyecto, aprueba el presupuesto y la línea base del alcance, y resuelve las decisiones que exceden la autoridad del Product Owner.</w:t>
            </w:r>
          </w:p>
        </w:tc>
      </w:tr>
      <w:tr w:rsidR="003D796D" w:rsidRPr="00AF7F97" w14:paraId="6DF1237A" w14:textId="77777777" w:rsidTr="00CA7131">
        <w:trPr>
          <w:trHeight w:val="288"/>
        </w:trPr>
        <w:tc>
          <w:tcPr>
            <w:tcW w:w="2614" w:type="dxa"/>
            <w:vMerge/>
            <w:shd w:val="clear" w:color="auto" w:fill="E6E6E6"/>
            <w:vAlign w:val="center"/>
          </w:tcPr>
          <w:p w14:paraId="22153DE6" w14:textId="77777777" w:rsidR="003D796D" w:rsidRPr="00AF7F97" w:rsidRDefault="003D796D" w:rsidP="00054D35">
            <w:pPr>
              <w:ind w:left="90"/>
              <w:rPr>
                <w:rFonts w:ascii="Inter" w:hAnsi="Inter" w:cs="Arial"/>
                <w:color w:val="082146"/>
                <w:sz w:val="20"/>
                <w:szCs w:val="20"/>
              </w:rPr>
            </w:pPr>
          </w:p>
        </w:tc>
        <w:tc>
          <w:tcPr>
            <w:tcW w:w="2614" w:type="dxa"/>
            <w:vAlign w:val="center"/>
          </w:tcPr>
          <w:p w14:paraId="23F477D9" w14:textId="77777777" w:rsidR="00FB61B9" w:rsidRDefault="00000000">
            <w:pPr>
              <w:spacing w:after="40"/>
            </w:pPr>
            <w:r>
              <w:rPr>
                <w:b/>
                <w:sz w:val="19"/>
              </w:rPr>
              <w:t>Clientes</w:t>
            </w:r>
          </w:p>
          <w:p w14:paraId="74A68AC2" w14:textId="77777777" w:rsidR="00FB61B9" w:rsidRDefault="00000000">
            <w:pPr>
              <w:spacing w:after="40"/>
            </w:pPr>
            <w:r>
              <w:rPr>
                <w:b/>
                <w:sz w:val="19"/>
              </w:rPr>
              <w:t>Customers</w:t>
            </w:r>
          </w:p>
        </w:tc>
        <w:tc>
          <w:tcPr>
            <w:tcW w:w="5228" w:type="dxa"/>
            <w:gridSpan w:val="2"/>
            <w:vAlign w:val="center"/>
          </w:tcPr>
          <w:p w14:paraId="342626E5" w14:textId="77777777" w:rsidR="00FB61B9" w:rsidRDefault="00000000">
            <w:pPr>
              <w:spacing w:after="40"/>
            </w:pPr>
            <w:r>
              <w:rPr>
                <w:sz w:val="19"/>
              </w:rPr>
              <w:t>Personas naturales residentes en el Perú, mayores de edad, con Documento Nacional de Identidad vigente, que buscan una alternativa de ahorro sin comisiones de mantenimiento, accesible íntegramente desde un navegador web y sin necesidad de acudir a una agencia bancaria.</w:t>
            </w:r>
          </w:p>
          <w:p w14:paraId="36AEE0C1" w14:textId="77777777" w:rsidR="00FB61B9" w:rsidRDefault="00000000">
            <w:pPr>
              <w:spacing w:after="40"/>
            </w:pPr>
            <w:r>
              <w:rPr>
                <w:sz w:val="19"/>
              </w:rPr>
              <w:t>Otros interesados: Jefatura de Operaciones del segmento, Oficial de Cumplimiento, Auditoría Interna, Superintendencia de Banca, Seguros y AFP (SBS) y docente asesor del curso.</w:t>
            </w:r>
          </w:p>
        </w:tc>
      </w:tr>
      <w:tr w:rsidR="003D796D" w:rsidRPr="00AF7F97" w14:paraId="5B33C461" w14:textId="77777777" w:rsidTr="00CA7131">
        <w:trPr>
          <w:trHeight w:val="288"/>
        </w:trPr>
        <w:tc>
          <w:tcPr>
            <w:tcW w:w="2614" w:type="dxa"/>
            <w:vMerge/>
            <w:shd w:val="clear" w:color="auto" w:fill="E6E6E6"/>
            <w:vAlign w:val="center"/>
          </w:tcPr>
          <w:p w14:paraId="56EAF794" w14:textId="77777777" w:rsidR="003D796D" w:rsidRPr="00AF7F97" w:rsidRDefault="003D796D" w:rsidP="00054D35">
            <w:pPr>
              <w:ind w:left="90"/>
              <w:rPr>
                <w:rFonts w:ascii="Inter" w:hAnsi="Inter" w:cs="Arial"/>
                <w:color w:val="082146"/>
                <w:sz w:val="20"/>
                <w:szCs w:val="20"/>
              </w:rPr>
            </w:pPr>
          </w:p>
        </w:tc>
        <w:tc>
          <w:tcPr>
            <w:tcW w:w="2614" w:type="dxa"/>
            <w:vAlign w:val="center"/>
          </w:tcPr>
          <w:p w14:paraId="0F28D723" w14:textId="77777777" w:rsidR="00FB61B9" w:rsidRDefault="00000000">
            <w:pPr>
              <w:spacing w:after="40"/>
            </w:pPr>
            <w:r>
              <w:rPr>
                <w:b/>
                <w:sz w:val="19"/>
              </w:rPr>
              <w:t>Proveedores</w:t>
            </w:r>
          </w:p>
          <w:p w14:paraId="2CD2228C" w14:textId="77777777" w:rsidR="00FB61B9" w:rsidRDefault="00000000">
            <w:pPr>
              <w:spacing w:after="40"/>
            </w:pPr>
            <w:r>
              <w:rPr>
                <w:b/>
                <w:sz w:val="19"/>
              </w:rPr>
              <w:t>Contractors</w:t>
            </w:r>
          </w:p>
        </w:tc>
        <w:tc>
          <w:tcPr>
            <w:tcW w:w="5228" w:type="dxa"/>
            <w:gridSpan w:val="2"/>
            <w:vAlign w:val="center"/>
          </w:tcPr>
          <w:p w14:paraId="14841D9E" w14:textId="77777777" w:rsidR="00FB61B9" w:rsidRDefault="00000000">
            <w:pPr>
              <w:spacing w:after="40"/>
            </w:pPr>
            <w:r>
              <w:rPr>
                <w:sz w:val="19"/>
              </w:rPr>
              <w:t>Oracle Cloud Infrastructure — cómputo y almacenamiento de producción (nivel Always Free).</w:t>
            </w:r>
          </w:p>
          <w:p w14:paraId="2B70F830" w14:textId="77777777" w:rsidR="00FB61B9" w:rsidRDefault="00000000">
            <w:pPr>
              <w:spacing w:after="40"/>
            </w:pPr>
            <w:r>
              <w:rPr>
                <w:sz w:val="19"/>
              </w:rPr>
              <w:t>GitHub — repositorio, integración y despliegue continuos, registro de imágenes.</w:t>
            </w:r>
          </w:p>
          <w:p w14:paraId="27EE0F59" w14:textId="77777777" w:rsidR="00FB61B9" w:rsidRDefault="00000000">
            <w:pPr>
              <w:spacing w:after="40"/>
            </w:pPr>
            <w:r>
              <w:rPr>
                <w:sz w:val="19"/>
              </w:rPr>
              <w:t>Atlassian Jira — plataforma de gestión ágil del proyecto.</w:t>
            </w:r>
          </w:p>
          <w:p w14:paraId="72CF8EDD" w14:textId="77777777" w:rsidR="00FB61B9" w:rsidRDefault="00000000">
            <w:pPr>
              <w:spacing w:after="40"/>
            </w:pPr>
            <w:r>
              <w:rPr>
                <w:sz w:val="19"/>
              </w:rPr>
              <w:t>Cloudflare / Let's Encrypt — túnel de acceso y certificados TLS.</w:t>
            </w:r>
          </w:p>
          <w:p w14:paraId="1FA8A3B5" w14:textId="77777777" w:rsidR="00FB61B9" w:rsidRDefault="00000000">
            <w:pPr>
              <w:spacing w:after="40"/>
            </w:pPr>
            <w:r>
              <w:rPr>
                <w:sz w:val="19"/>
              </w:rPr>
              <w:t>SUNAT / BCRP — servicio público de consulta de tipo de cambio oficial.</w:t>
            </w:r>
          </w:p>
          <w:p w14:paraId="239D0E21" w14:textId="77777777" w:rsidR="00FB61B9" w:rsidRDefault="00000000">
            <w:pPr>
              <w:spacing w:after="40"/>
            </w:pPr>
            <w:r>
              <w:rPr>
                <w:sz w:val="19"/>
              </w:rPr>
              <w:t>Brevo / Resend — servicio de correo transaccional.</w:t>
            </w:r>
          </w:p>
        </w:tc>
      </w:tr>
      <w:tr w:rsidR="00CA7131" w:rsidRPr="00AF7F97" w14:paraId="2833250E" w14:textId="77777777" w:rsidTr="00CA7131">
        <w:trPr>
          <w:trHeight w:val="288"/>
        </w:trPr>
        <w:tc>
          <w:tcPr>
            <w:tcW w:w="2614" w:type="dxa"/>
            <w:vMerge/>
            <w:shd w:val="clear" w:color="auto" w:fill="E6E6E6"/>
            <w:vAlign w:val="center"/>
          </w:tcPr>
          <w:p w14:paraId="6C01A683" w14:textId="77777777" w:rsidR="00CA7131" w:rsidRPr="00AF7F97" w:rsidRDefault="00CA7131" w:rsidP="00054D35">
            <w:pPr>
              <w:ind w:left="90"/>
              <w:rPr>
                <w:rFonts w:ascii="Inter" w:hAnsi="Inter" w:cs="Arial"/>
                <w:color w:val="082146"/>
                <w:sz w:val="20"/>
                <w:szCs w:val="20"/>
              </w:rPr>
            </w:pPr>
          </w:p>
        </w:tc>
        <w:tc>
          <w:tcPr>
            <w:tcW w:w="7842" w:type="dxa"/>
            <w:gridSpan w:val="3"/>
            <w:vAlign w:val="center"/>
          </w:tcPr>
          <w:p w14:paraId="165DD14D" w14:textId="77777777" w:rsidR="00FB61B9" w:rsidRDefault="00000000">
            <w:pPr>
              <w:spacing w:after="40"/>
            </w:pPr>
            <w:r>
              <w:rPr>
                <w:b/>
                <w:sz w:val="19"/>
              </w:rPr>
              <w:t>EQUIPO SCRUM  ·  Project Team and Scrum Roles</w:t>
            </w:r>
          </w:p>
        </w:tc>
      </w:tr>
      <w:tr w:rsidR="003D796D" w:rsidRPr="00AF7F97" w14:paraId="1370B117" w14:textId="77777777" w:rsidTr="006B191C">
        <w:trPr>
          <w:trHeight w:val="288"/>
        </w:trPr>
        <w:tc>
          <w:tcPr>
            <w:tcW w:w="2614" w:type="dxa"/>
            <w:shd w:val="clear" w:color="auto" w:fill="E6E6E6"/>
            <w:vAlign w:val="center"/>
          </w:tcPr>
          <w:p w14:paraId="4D2158C3" w14:textId="77777777" w:rsidR="00FB61B9" w:rsidRDefault="00000000">
            <w:pPr>
              <w:spacing w:after="40"/>
            </w:pPr>
            <w:r>
              <w:rPr>
                <w:b/>
                <w:sz w:val="19"/>
              </w:rPr>
              <w:t>Scrum Master</w:t>
            </w:r>
          </w:p>
          <w:p w14:paraId="1357000B" w14:textId="77777777" w:rsidR="00FB61B9" w:rsidRDefault="00000000">
            <w:pPr>
              <w:spacing w:after="40"/>
            </w:pPr>
            <w:r>
              <w:rPr>
                <w:b/>
                <w:sz w:val="19"/>
              </w:rPr>
              <w:t>Project Manager</w:t>
            </w:r>
          </w:p>
        </w:tc>
        <w:tc>
          <w:tcPr>
            <w:tcW w:w="2614" w:type="dxa"/>
            <w:vAlign w:val="center"/>
          </w:tcPr>
          <w:p w14:paraId="0BA95940" w14:textId="77777777" w:rsidR="00FB61B9" w:rsidRDefault="00000000">
            <w:pPr>
              <w:spacing w:after="40"/>
            </w:pPr>
            <w:r>
              <w:rPr>
                <w:sz w:val="19"/>
              </w:rPr>
              <w:t>Joaquín Alfonso Loa Denegri</w:t>
            </w:r>
          </w:p>
          <w:p w14:paraId="7AD1A903" w14:textId="77777777" w:rsidR="00FB61B9" w:rsidRDefault="00000000">
            <w:pPr>
              <w:spacing w:after="40"/>
            </w:pPr>
            <w:r>
              <w:rPr>
                <w:sz w:val="19"/>
              </w:rPr>
              <w:t>(Scrum Master + Developer)</w:t>
            </w:r>
          </w:p>
        </w:tc>
        <w:tc>
          <w:tcPr>
            <w:tcW w:w="2614" w:type="dxa"/>
            <w:shd w:val="clear" w:color="auto" w:fill="E6E6E6"/>
            <w:vAlign w:val="center"/>
          </w:tcPr>
          <w:p w14:paraId="584DE434" w14:textId="77777777" w:rsidR="00FB61B9" w:rsidRDefault="00000000">
            <w:pPr>
              <w:spacing w:after="40"/>
            </w:pPr>
            <w:r>
              <w:rPr>
                <w:b/>
                <w:sz w:val="19"/>
              </w:rPr>
              <w:t>Correo electrónico</w:t>
            </w:r>
          </w:p>
          <w:p w14:paraId="3F389281" w14:textId="77777777" w:rsidR="00FB61B9" w:rsidRDefault="00000000">
            <w:pPr>
              <w:spacing w:after="40"/>
            </w:pPr>
            <w:r>
              <w:rPr>
                <w:b/>
                <w:sz w:val="19"/>
              </w:rPr>
              <w:t>Email Address</w:t>
            </w:r>
          </w:p>
        </w:tc>
        <w:tc>
          <w:tcPr>
            <w:tcW w:w="2614" w:type="dxa"/>
            <w:vAlign w:val="center"/>
          </w:tcPr>
          <w:p w14:paraId="7859431D" w14:textId="77777777" w:rsidR="00FB61B9" w:rsidRDefault="00000000">
            <w:pPr>
              <w:spacing w:after="40"/>
            </w:pPr>
            <w:r>
              <w:rPr>
                <w:sz w:val="19"/>
              </w:rPr>
              <w:t>jloadenegri@gmail.com</w:t>
            </w:r>
          </w:p>
        </w:tc>
      </w:tr>
      <w:tr w:rsidR="002A3973" w:rsidRPr="00AF7F97" w14:paraId="397D97A6" w14:textId="77777777" w:rsidTr="006B191C">
        <w:trPr>
          <w:trHeight w:val="288"/>
        </w:trPr>
        <w:tc>
          <w:tcPr>
            <w:tcW w:w="2614" w:type="dxa"/>
            <w:shd w:val="clear" w:color="auto" w:fill="E6E6E6"/>
            <w:vAlign w:val="center"/>
          </w:tcPr>
          <w:p w14:paraId="65467514" w14:textId="77777777" w:rsidR="00FB61B9" w:rsidRDefault="00000000">
            <w:pPr>
              <w:spacing w:after="40"/>
            </w:pPr>
            <w:r>
              <w:rPr>
                <w:b/>
                <w:sz w:val="19"/>
              </w:rPr>
              <w:t>Product Owner</w:t>
            </w:r>
          </w:p>
          <w:p w14:paraId="5B06632B" w14:textId="77777777" w:rsidR="00FB61B9" w:rsidRDefault="00000000">
            <w:pPr>
              <w:spacing w:after="40"/>
            </w:pPr>
            <w:r>
              <w:rPr>
                <w:b/>
                <w:sz w:val="19"/>
              </w:rPr>
              <w:t>Product Owner</w:t>
            </w:r>
          </w:p>
        </w:tc>
        <w:tc>
          <w:tcPr>
            <w:tcW w:w="2614" w:type="dxa"/>
            <w:vAlign w:val="center"/>
          </w:tcPr>
          <w:p w14:paraId="1F175FD6" w14:textId="77777777" w:rsidR="00FB61B9" w:rsidRDefault="00000000">
            <w:pPr>
              <w:spacing w:after="40"/>
            </w:pPr>
            <w:r>
              <w:rPr>
                <w:sz w:val="19"/>
              </w:rPr>
              <w:t>Dr. Carlos R. P. Tovar</w:t>
            </w:r>
          </w:p>
          <w:p w14:paraId="5EC447D7" w14:textId="77777777" w:rsidR="00FB61B9" w:rsidRDefault="00000000">
            <w:pPr>
              <w:spacing w:after="40"/>
            </w:pPr>
            <w:r>
              <w:rPr>
                <w:sz w:val="19"/>
              </w:rPr>
              <w:t>(docente del curso)</w:t>
            </w:r>
          </w:p>
        </w:tc>
        <w:tc>
          <w:tcPr>
            <w:tcW w:w="2614" w:type="dxa"/>
            <w:shd w:val="clear" w:color="auto" w:fill="E6E6E6"/>
            <w:vAlign w:val="center"/>
          </w:tcPr>
          <w:p w14:paraId="2B04FEAA" w14:textId="77777777" w:rsidR="00FB61B9" w:rsidRDefault="00000000">
            <w:pPr>
              <w:spacing w:after="40"/>
            </w:pPr>
            <w:r>
              <w:rPr>
                <w:b/>
                <w:sz w:val="19"/>
              </w:rPr>
              <w:t>Repositorio del proyecto</w:t>
            </w:r>
          </w:p>
          <w:p w14:paraId="79AA8763" w14:textId="77777777" w:rsidR="00FB61B9" w:rsidRDefault="00000000">
            <w:pPr>
              <w:spacing w:after="40"/>
            </w:pPr>
            <w:r>
              <w:rPr>
                <w:b/>
                <w:sz w:val="19"/>
              </w:rPr>
              <w:t>Website</w:t>
            </w:r>
          </w:p>
        </w:tc>
        <w:tc>
          <w:tcPr>
            <w:tcW w:w="2614" w:type="dxa"/>
            <w:vAlign w:val="center"/>
          </w:tcPr>
          <w:p w14:paraId="1E18D3AF" w14:textId="77777777" w:rsidR="00FB61B9" w:rsidRDefault="00000000">
            <w:pPr>
              <w:spacing w:after="40"/>
            </w:pPr>
            <w:r>
              <w:rPr>
                <w:sz w:val="19"/>
              </w:rPr>
              <w:t>github.com/LOAD-13/ayni-bank</w:t>
            </w:r>
          </w:p>
        </w:tc>
      </w:tr>
      <w:tr w:rsidR="005C3FBE" w:rsidRPr="00AF7F97" w14:paraId="521A86A1" w14:textId="77777777" w:rsidTr="00F7191B">
        <w:trPr>
          <w:trHeight w:val="864"/>
        </w:trPr>
        <w:tc>
          <w:tcPr>
            <w:tcW w:w="2614" w:type="dxa"/>
            <w:shd w:val="clear" w:color="auto" w:fill="E6E6E6"/>
            <w:vAlign w:val="center"/>
          </w:tcPr>
          <w:p w14:paraId="222F8230" w14:textId="77777777" w:rsidR="00FB61B9" w:rsidRDefault="00000000">
            <w:pPr>
              <w:spacing w:after="40"/>
            </w:pPr>
            <w:r>
              <w:rPr>
                <w:b/>
                <w:sz w:val="19"/>
              </w:rPr>
              <w:t>Equipo del Proyecto</w:t>
            </w:r>
          </w:p>
          <w:p w14:paraId="13A23ED6" w14:textId="77777777" w:rsidR="00FB61B9" w:rsidRDefault="00000000">
            <w:pPr>
              <w:spacing w:after="40"/>
            </w:pPr>
            <w:r>
              <w:rPr>
                <w:b/>
                <w:sz w:val="19"/>
              </w:rPr>
              <w:t>Project Team</w:t>
            </w:r>
          </w:p>
        </w:tc>
        <w:tc>
          <w:tcPr>
            <w:tcW w:w="7842" w:type="dxa"/>
            <w:gridSpan w:val="3"/>
            <w:vAlign w:val="center"/>
          </w:tcPr>
          <w:p w14:paraId="52515196" w14:textId="77777777" w:rsidR="00FB61B9" w:rsidRDefault="00000000">
            <w:pPr>
              <w:spacing w:after="40"/>
            </w:pPr>
            <w:r>
              <w:rPr>
                <w:sz w:val="19"/>
              </w:rPr>
              <w:t>Dr. Carlos R. P. Tovar — PRODUCT OWNER. Define la visión del producto, prioriza el Product Backlog, formula el Product Goal y decide cuándo se despliega el incremento. No gestiona el cómo técnico.</w:t>
            </w:r>
          </w:p>
          <w:p w14:paraId="14B3CA07" w14:textId="77777777" w:rsidR="00FB61B9" w:rsidRDefault="00000000">
            <w:pPr>
              <w:spacing w:after="40"/>
            </w:pPr>
            <w:r>
              <w:rPr>
                <w:sz w:val="19"/>
              </w:rPr>
              <w:t>Joaquín Alfonso Loa Denegri — SCRUM MASTER / Developer. Líder servicial: facilita los eventos de Scrum, retira impedimentos y vela por el cumplimiento de la Definition of Done. No es jefe de proyecto ni secretario del equipo.</w:t>
            </w:r>
          </w:p>
          <w:p w14:paraId="505A1C8C" w14:textId="77777777" w:rsidR="00FB61B9" w:rsidRDefault="00000000">
            <w:pPr>
              <w:spacing w:after="40"/>
            </w:pPr>
            <w:r>
              <w:rPr>
                <w:sz w:val="19"/>
              </w:rPr>
              <w:t>Kiara Mishell Santti Saavedra — Developer.</w:t>
            </w:r>
          </w:p>
          <w:p w14:paraId="2C0614EE" w14:textId="77777777" w:rsidR="00FB61B9" w:rsidRDefault="00000000">
            <w:pPr>
              <w:spacing w:after="40"/>
            </w:pPr>
            <w:r>
              <w:rPr>
                <w:sz w:val="19"/>
              </w:rPr>
              <w:t>Gerardo Raúl Socualaya Mandamiento — Developer.</w:t>
            </w:r>
          </w:p>
          <w:p w14:paraId="005DC1C9" w14:textId="77777777" w:rsidR="00FB61B9" w:rsidRDefault="00000000">
            <w:pPr>
              <w:spacing w:after="40"/>
            </w:pPr>
            <w:r>
              <w:rPr>
                <w:sz w:val="19"/>
              </w:rPr>
              <w:t>Eduardo Vargas Zumaeta — Developer.</w:t>
            </w:r>
          </w:p>
          <w:p w14:paraId="27DFEEE6" w14:textId="77777777" w:rsidR="00FB61B9" w:rsidRDefault="00000000">
            <w:pPr>
              <w:spacing w:after="40"/>
            </w:pPr>
            <w:r>
              <w:rPr>
                <w:sz w:val="19"/>
              </w:rPr>
              <w:t>Frank Grheg Sotomayor Suasnabar — Developer.</w:t>
            </w:r>
          </w:p>
          <w:p w14:paraId="54DCADD8" w14:textId="77777777" w:rsidR="00FB61B9" w:rsidRDefault="00000000">
            <w:pPr>
              <w:spacing w:after="40"/>
            </w:pPr>
            <w:r>
              <w:rPr>
                <w:sz w:val="19"/>
              </w:rPr>
              <w:t>Fabián García Champi — Developer.</w:t>
            </w:r>
          </w:p>
          <w:p w14:paraId="310619DA" w14:textId="77777777" w:rsidR="00FB61B9" w:rsidRDefault="00000000">
            <w:pPr>
              <w:spacing w:after="40"/>
            </w:pPr>
            <w:r>
              <w:rPr>
                <w:sz w:val="19"/>
              </w:rPr>
              <w:t>El equipo es multifuncional y auto-organizado. Los seis integrantes ejercen el rol de Developer; el Scrum Master lo hace además de su función de facilitación. Capacidad del equipo: 6 personas x 2 semanas x ~10 h semanales = 120 horas por sprint, de las que se compromete como máximo el 85 % (102 h).</w:t>
            </w:r>
          </w:p>
        </w:tc>
      </w:tr>
      <w:tr w:rsidR="00D674E7" w:rsidRPr="00AF7F97" w14:paraId="78EA0141" w14:textId="77777777" w:rsidTr="00F7191B">
        <w:trPr>
          <w:trHeight w:val="288"/>
        </w:trPr>
        <w:tc>
          <w:tcPr>
            <w:tcW w:w="10456" w:type="dxa"/>
            <w:gridSpan w:val="4"/>
            <w:shd w:val="clear" w:color="auto" w:fill="004C96"/>
            <w:vAlign w:val="center"/>
          </w:tcPr>
          <w:p w14:paraId="5EAB9E6F" w14:textId="77777777" w:rsidR="00FB61B9" w:rsidRPr="00577CEE" w:rsidRDefault="00000000">
            <w:pPr>
              <w:spacing w:after="40"/>
              <w:rPr>
                <w:color w:val="FFFFFF" w:themeColor="background1"/>
              </w:rPr>
            </w:pPr>
            <w:r w:rsidRPr="00577CEE">
              <w:rPr>
                <w:b/>
                <w:color w:val="FFFFFF" w:themeColor="background1"/>
                <w:sz w:val="19"/>
              </w:rPr>
              <w:t>DESCRIPCIÓN DEL PROYECTO  ·  Project Description</w:t>
            </w:r>
          </w:p>
        </w:tc>
      </w:tr>
      <w:tr w:rsidR="005C3FBE" w:rsidRPr="00AF7F97" w14:paraId="68886502" w14:textId="77777777" w:rsidTr="00F7191B">
        <w:trPr>
          <w:trHeight w:val="864"/>
        </w:trPr>
        <w:tc>
          <w:tcPr>
            <w:tcW w:w="2614" w:type="dxa"/>
            <w:shd w:val="clear" w:color="auto" w:fill="E6E6E6"/>
            <w:vAlign w:val="center"/>
          </w:tcPr>
          <w:p w14:paraId="443F2142" w14:textId="77777777" w:rsidR="00FB61B9" w:rsidRDefault="00000000">
            <w:pPr>
              <w:spacing w:after="40"/>
            </w:pPr>
            <w:r>
              <w:rPr>
                <w:b/>
                <w:sz w:val="19"/>
              </w:rPr>
              <w:t>Declaración del Objetivo</w:t>
            </w:r>
          </w:p>
          <w:p w14:paraId="44EBCA8D" w14:textId="77777777" w:rsidR="00FB61B9" w:rsidRDefault="00000000">
            <w:pPr>
              <w:spacing w:after="40"/>
            </w:pPr>
            <w:r>
              <w:rPr>
                <w:b/>
                <w:sz w:val="19"/>
              </w:rPr>
              <w:t>Goal Statement</w:t>
            </w:r>
          </w:p>
        </w:tc>
        <w:tc>
          <w:tcPr>
            <w:tcW w:w="7842" w:type="dxa"/>
            <w:gridSpan w:val="3"/>
            <w:vAlign w:val="center"/>
          </w:tcPr>
          <w:p w14:paraId="24C65A71" w14:textId="77777777" w:rsidR="00FB61B9" w:rsidRDefault="00000000">
            <w:pPr>
              <w:spacing w:after="40"/>
            </w:pPr>
            <w:r>
              <w:rPr>
                <w:sz w:val="19"/>
              </w:rPr>
              <w:t>Diseñar, construir y desplegar en producción una plataforma de banca 100% digital que permita a una persona natural residente en el Perú convertirse en cliente, abrir una cuenta de ahorro remunerada, obtener una tarjeta de débito virtual y transferir dinero, íntegramente desde un navegador web y sin acudir en ningún momento a una agencia física; aplicando prácticas verificables de calidad de software según ISO/IEC 25010:2023 y de seguridad de la información según OWASP ASVS e ISO/IEC 27001, en un plazo de 17 semanas.</w:t>
            </w:r>
          </w:p>
        </w:tc>
      </w:tr>
      <w:tr w:rsidR="005C3FBE" w:rsidRPr="00AF7F97" w14:paraId="0B150883" w14:textId="77777777" w:rsidTr="00F7191B">
        <w:trPr>
          <w:trHeight w:val="864"/>
        </w:trPr>
        <w:tc>
          <w:tcPr>
            <w:tcW w:w="2614" w:type="dxa"/>
            <w:shd w:val="clear" w:color="auto" w:fill="E6E6E6"/>
            <w:vAlign w:val="center"/>
          </w:tcPr>
          <w:p w14:paraId="5397F443" w14:textId="77777777" w:rsidR="00FB61B9" w:rsidRDefault="00000000">
            <w:pPr>
              <w:spacing w:after="40"/>
            </w:pPr>
            <w:r>
              <w:rPr>
                <w:b/>
                <w:sz w:val="19"/>
              </w:rPr>
              <w:t>Descripción y Antecedentes</w:t>
            </w:r>
          </w:p>
          <w:p w14:paraId="078295D2" w14:textId="77777777" w:rsidR="00FB61B9" w:rsidRDefault="00000000">
            <w:pPr>
              <w:spacing w:after="40"/>
            </w:pPr>
            <w:r>
              <w:rPr>
                <w:b/>
                <w:sz w:val="19"/>
              </w:rPr>
              <w:t>Description and Background</w:t>
            </w:r>
          </w:p>
        </w:tc>
        <w:tc>
          <w:tcPr>
            <w:tcW w:w="7842" w:type="dxa"/>
            <w:gridSpan w:val="3"/>
            <w:vAlign w:val="center"/>
          </w:tcPr>
          <w:p w14:paraId="37BA46D9" w14:textId="77777777" w:rsidR="00FB61B9" w:rsidRDefault="00000000">
            <w:pPr>
              <w:spacing w:after="40"/>
            </w:pPr>
            <w:r>
              <w:rPr>
                <w:sz w:val="19"/>
              </w:rPr>
              <w:t>SITUACIÓN ACTUAL (AS-IS). El acceso a productos de ahorro en el Perú presenta tres fricciones que excluyen precisamente al segmento con menor margen económico:</w:t>
            </w:r>
          </w:p>
          <w:p w14:paraId="003CB719" w14:textId="77777777" w:rsidR="00FB61B9" w:rsidRDefault="00000000">
            <w:pPr>
              <w:spacing w:after="40"/>
            </w:pPr>
            <w:r>
              <w:rPr>
                <w:sz w:val="19"/>
              </w:rPr>
              <w:t>1) Presencialidad obligatoria: la apertura de una cuenta exige acudir a una agencia en horario bancario, lo que implica permiso laboral y costos de desplazamiento.</w:t>
            </w:r>
          </w:p>
          <w:p w14:paraId="3448D967" w14:textId="77777777" w:rsidR="00FB61B9" w:rsidRDefault="00000000">
            <w:pPr>
              <w:spacing w:after="40"/>
            </w:pPr>
            <w:r>
              <w:rPr>
                <w:sz w:val="19"/>
              </w:rPr>
              <w:t>2) Rendimiento prácticamente nulo: las cuentas de ahorro tradicionales ofrecen rendimientos cercanos al 0.5% de TREA, por debajo de la inflación, de modo que el ahorrista pierde poder adquisitivo por el solo hecho de ahorrar.</w:t>
            </w:r>
          </w:p>
          <w:p w14:paraId="69C91B69" w14:textId="77777777" w:rsidR="00FB61B9" w:rsidRDefault="00000000">
            <w:pPr>
              <w:spacing w:after="40"/>
            </w:pPr>
            <w:r>
              <w:rPr>
                <w:sz w:val="19"/>
              </w:rPr>
              <w:lastRenderedPageBreak/>
              <w:t>3) Comisiones erosivas: la comisión de mantenimiento consume una proporción mayor del saldo cuanto menor es este, penalizando de forma regresiva a los saldos pequeños.</w:t>
            </w:r>
          </w:p>
          <w:p w14:paraId="632D6EF2" w14:textId="77777777" w:rsidR="00FB61B9" w:rsidRDefault="00000000">
            <w:pPr>
              <w:spacing w:after="40"/>
            </w:pPr>
            <w:r>
              <w:rPr>
                <w:sz w:val="19"/>
              </w:rPr>
              <w:t>Adicionalmente, la verificación de identidad se ejecuta de forma manual y presencial, sin trazabilidad digital de las decisiones de aprobación o rechazo.</w:t>
            </w:r>
          </w:p>
          <w:p w14:paraId="61063804" w14:textId="77777777" w:rsidR="00FB61B9" w:rsidRDefault="00FB61B9">
            <w:pPr>
              <w:spacing w:after="40"/>
            </w:pPr>
          </w:p>
          <w:p w14:paraId="469FE631" w14:textId="77777777" w:rsidR="00FB61B9" w:rsidRDefault="00000000">
            <w:pPr>
              <w:spacing w:after="40"/>
            </w:pPr>
            <w:r>
              <w:rPr>
                <w:sz w:val="19"/>
              </w:rPr>
              <w:t>SITUACIÓN OBJETIVO (TO-BE). Ayni Bank es un banco 100% digital para personas naturales: sin agencias, sin cajeros propios y sin comisión de mantenimiento. La cuenta se abre en minutos desde el navegador mediante captura del DNI y verificación biométrica facial; el saldo devenga interés diariamente; y la tarjeta de débito virtual se emite y controla desde la propia plataforma.</w:t>
            </w:r>
          </w:p>
          <w:p w14:paraId="7F4EBF7D" w14:textId="77777777" w:rsidR="00FB61B9" w:rsidRDefault="00000000">
            <w:pPr>
              <w:spacing w:after="40"/>
            </w:pPr>
            <w:r>
              <w:rPr>
                <w:sz w:val="19"/>
              </w:rPr>
              <w:t>La denominación proviene del principio andino de reciprocidad ayni: «hoy por ti, mañana por mí». Una entidad sin comisiones, en la que los recursos de la comunidad generan rendimiento para la propia comunidad, materializa ese principio.</w:t>
            </w:r>
          </w:p>
        </w:tc>
      </w:tr>
      <w:tr w:rsidR="005C3FBE" w:rsidRPr="00AF7F97" w14:paraId="2B7D0F93" w14:textId="77777777" w:rsidTr="00F7191B">
        <w:trPr>
          <w:trHeight w:val="864"/>
        </w:trPr>
        <w:tc>
          <w:tcPr>
            <w:tcW w:w="2614" w:type="dxa"/>
            <w:shd w:val="clear" w:color="auto" w:fill="E6E6E6"/>
            <w:vAlign w:val="center"/>
          </w:tcPr>
          <w:p w14:paraId="40F444DC" w14:textId="77777777" w:rsidR="00FB61B9" w:rsidRDefault="00000000">
            <w:pPr>
              <w:spacing w:after="40"/>
            </w:pPr>
            <w:r>
              <w:rPr>
                <w:b/>
                <w:sz w:val="19"/>
              </w:rPr>
              <w:lastRenderedPageBreak/>
              <w:t>Objetivos</w:t>
            </w:r>
          </w:p>
          <w:p w14:paraId="76027965" w14:textId="77777777" w:rsidR="00FB61B9" w:rsidRDefault="00000000">
            <w:pPr>
              <w:spacing w:after="40"/>
            </w:pPr>
            <w:r>
              <w:rPr>
                <w:b/>
                <w:sz w:val="19"/>
              </w:rPr>
              <w:t>Objectives</w:t>
            </w:r>
          </w:p>
        </w:tc>
        <w:tc>
          <w:tcPr>
            <w:tcW w:w="7842" w:type="dxa"/>
            <w:gridSpan w:val="3"/>
            <w:vAlign w:val="center"/>
          </w:tcPr>
          <w:p w14:paraId="57F810D9" w14:textId="77777777" w:rsidR="00FB61B9" w:rsidRDefault="00000000">
            <w:pPr>
              <w:spacing w:after="40"/>
            </w:pPr>
            <w:r>
              <w:rPr>
                <w:sz w:val="19"/>
              </w:rPr>
              <w:t>OBJ-01. Desplegar en un entorno de producción accesible públicamente una plataforma bancaria funcional con onboarding KYC, cuenta de ahorro remunerada, tarjeta de débito virtual y transferencias. Indicador: plataforma operativa en dominio propio al 13 de diciembre de 2026.</w:t>
            </w:r>
          </w:p>
          <w:p w14:paraId="62AB4A18" w14:textId="77777777" w:rsidR="00FB61B9" w:rsidRDefault="00000000">
            <w:pPr>
              <w:spacing w:after="40"/>
            </w:pPr>
            <w:r>
              <w:rPr>
                <w:sz w:val="19"/>
              </w:rPr>
              <w:t>OBJ-02. Reducir el tiempo de apertura de una cuenta respecto del proceso presencial. Indicador: onboarding completo en menos de 90 segundos.</w:t>
            </w:r>
          </w:p>
          <w:p w14:paraId="60465ED2" w14:textId="77777777" w:rsidR="00FB61B9" w:rsidRDefault="00000000">
            <w:pPr>
              <w:spacing w:after="40"/>
            </w:pPr>
            <w:r>
              <w:rPr>
                <w:sz w:val="19"/>
              </w:rPr>
              <w:t>OBJ-03. Garantizar la integridad contable de toda operación monetaria. Indicador: 100% de movimientos registrados mediante asientos de doble partida que suman cero; cero descuadres en las pruebas de concurrencia.</w:t>
            </w:r>
          </w:p>
          <w:p w14:paraId="06B091E8" w14:textId="77777777" w:rsidR="00FB61B9" w:rsidRDefault="00000000">
            <w:pPr>
              <w:spacing w:after="40"/>
            </w:pPr>
            <w:r>
              <w:rPr>
                <w:sz w:val="19"/>
              </w:rPr>
              <w:t>OBJ-04. Cumplir los niveles de servicio comprometidos. Indicador: disponibilidad mensual ≥ 99.5%; latencia p95 &lt; 500 ms; tasa de error &lt; 0.1%.</w:t>
            </w:r>
          </w:p>
          <w:p w14:paraId="3EDA2F2C" w14:textId="77777777" w:rsidR="00FB61B9" w:rsidRDefault="00000000">
            <w:pPr>
              <w:spacing w:after="40"/>
            </w:pPr>
            <w:r>
              <w:rPr>
                <w:sz w:val="19"/>
              </w:rPr>
              <w:t>OBJ-05. Evidenciar prácticas de calidad conforme a ISO/IEC 25010:2023. Indicador: evidencia documentada de las nueve características; cobertura de pruebas del dominio ≥ 80%; quality gate superado en cada integración.</w:t>
            </w:r>
          </w:p>
          <w:p w14:paraId="5350862C" w14:textId="77777777" w:rsidR="00FB61B9" w:rsidRDefault="00000000">
            <w:pPr>
              <w:spacing w:after="40"/>
            </w:pPr>
            <w:r>
              <w:rPr>
                <w:sz w:val="19"/>
              </w:rPr>
              <w:t>OBJ-06. Aplicar controles de seguridad verificables. Indicador: cero vulnerabilidades críticas o altas; cumplimiento de OWASP ASVS nivel 2; pista de auditoría inalterable operativa.</w:t>
            </w:r>
          </w:p>
          <w:p w14:paraId="533821FF" w14:textId="77777777" w:rsidR="00FB61B9" w:rsidRDefault="00000000">
            <w:pPr>
              <w:spacing w:after="40"/>
            </w:pPr>
            <w:r>
              <w:rPr>
                <w:sz w:val="19"/>
              </w:rPr>
              <w:t>OBJ-07. Alinear el diseño del producto con el marco normativo del sistema financiero peruano. Indicador: publicación transparente de la TREA conforme al Reglamento de Transparencia de la Información de la SBS; información previa al cliente sobre comisiones y tipo de cambio aplicado; adopción de las buenas prácticas de ASBANC en prevención del fraude digital; tratamiento de datos personales y biométricos conforme a la Ley N.º 29733; matriz de trazabilidad normativa que vincule cada exigencia con el control que la satisface.</w:t>
            </w:r>
          </w:p>
        </w:tc>
      </w:tr>
      <w:tr w:rsidR="005C3FBE" w:rsidRPr="00AF7F97" w14:paraId="330E5324" w14:textId="77777777" w:rsidTr="00F7191B">
        <w:trPr>
          <w:trHeight w:val="864"/>
        </w:trPr>
        <w:tc>
          <w:tcPr>
            <w:tcW w:w="2614" w:type="dxa"/>
            <w:shd w:val="clear" w:color="auto" w:fill="E6E6E6"/>
            <w:vAlign w:val="center"/>
          </w:tcPr>
          <w:p w14:paraId="77CB4F5E" w14:textId="77777777" w:rsidR="00FB61B9" w:rsidRDefault="00000000">
            <w:pPr>
              <w:spacing w:after="40"/>
            </w:pPr>
            <w:r>
              <w:rPr>
                <w:b/>
                <w:sz w:val="19"/>
              </w:rPr>
              <w:t>Alcance</w:t>
            </w:r>
          </w:p>
          <w:p w14:paraId="4DB0C89A" w14:textId="77777777" w:rsidR="00FB61B9" w:rsidRDefault="00000000">
            <w:pPr>
              <w:spacing w:after="40"/>
            </w:pPr>
            <w:r>
              <w:rPr>
                <w:b/>
                <w:sz w:val="19"/>
              </w:rPr>
              <w:t>Scope</w:t>
            </w:r>
          </w:p>
        </w:tc>
        <w:tc>
          <w:tcPr>
            <w:tcW w:w="7842" w:type="dxa"/>
            <w:gridSpan w:val="3"/>
            <w:vAlign w:val="center"/>
          </w:tcPr>
          <w:p w14:paraId="120C94BD" w14:textId="77777777" w:rsidR="00FB61B9" w:rsidRDefault="00000000">
            <w:pPr>
              <w:spacing w:after="40"/>
            </w:pPr>
            <w:r>
              <w:rPr>
                <w:sz w:val="19"/>
              </w:rPr>
              <w:t>DENTRO DEL ALCANCE. Registro y autenticación con segundo factor (TOTP). Onboarding con verificación de identidad: captura del DNI por ambas caras, detección automática del documento, extracción de datos por OCR, selfie con prueba de vivacidad y cotejo biométrico facial. Cuenta de ahorro remunerada en soles y en dólares, con devengo diario de interés, capitalización mensual y publicación transparente de la TREA. Libro mayor contable de doble partida. Tarjeta de débito virtual con congelamiento, límite diario de consumo y control de compras por internet. Transferencias internas e interbancarias mediante CCI. Conversión de moneda tomando como referencia el tipo de cambio oficial de SUNAT/BCRP, sobre el que Ayni aplica un spread propio del 0.50 % (compra a referencia menos 0.25 %, venta a referencia más 0.25 %) y un tipo de cambio preferencial con spread reducido al 0.25 % para clientes con saldo promedio mensual igual o superior a S/ 5 000; la interfaz muestra siempre el tipo de referencia, el margen aplicado y el tipo final antes de confirmar la operación. Notificaciones por correo electrónico y por SMS. Consulta de movimientos y estado de cuenta en PDF. Sitio público institucional y banca en línea. Módulo interno de operaciones con segregación de funciones y principio de cuatro ojos.</w:t>
            </w:r>
          </w:p>
          <w:p w14:paraId="07B2D381" w14:textId="77777777" w:rsidR="00FB61B9" w:rsidRDefault="00FB61B9">
            <w:pPr>
              <w:spacing w:after="40"/>
            </w:pPr>
          </w:p>
          <w:p w14:paraId="7268C238" w14:textId="77777777" w:rsidR="00FB61B9" w:rsidRDefault="00000000">
            <w:pPr>
              <w:spacing w:after="40"/>
            </w:pPr>
            <w:r>
              <w:rPr>
                <w:sz w:val="19"/>
              </w:rPr>
              <w:t>VOLUMETRÍA COMPROMETIDA. El alcance se dimensiona sobre las siguientes magnitudes, que son las que deben soportar las pruebas de carga y las que sustentan el dimensionamiento de la infraestructura: 10 000 clientes registrados y 13 000 cuentas activas al cierre del proyecto; 200 usuarios concurrentes y 50 transacciones por minuto en tráfico normal; 500 usuarios concurrentes y 150 transacciones por minuto en tráfico pico; aproximadamente 1 200 000 movimientos acumulados y 30 000 documentos de identidad almacenados. El factor de 2.5 veces entre el tráfico normal y el pico responde a la estacionalidad propia de la banca peruana, donde la concurrencia se concentra en quincena y fin de mes por el pago de remuneraciones.</w:t>
            </w:r>
          </w:p>
          <w:p w14:paraId="37EFCDB0" w14:textId="77777777" w:rsidR="00FB61B9" w:rsidRDefault="00FB61B9">
            <w:pPr>
              <w:spacing w:after="40"/>
            </w:pPr>
          </w:p>
          <w:p w14:paraId="05B2AFC9" w14:textId="77777777" w:rsidR="00FB61B9" w:rsidRDefault="00000000">
            <w:pPr>
              <w:spacing w:after="40"/>
            </w:pPr>
            <w:r>
              <w:rPr>
                <w:sz w:val="19"/>
              </w:rPr>
              <w:t xml:space="preserve">FUERA DEL ALCANCE. Aplicativo móvil nativo. Billetera digital y pagos con código QR. Productos de crédito (tarjetas de crédito, préstamos y líneas de crédito). Productos de inversión (depósitos a </w:t>
            </w:r>
            <w:r>
              <w:rPr>
                <w:sz w:val="19"/>
              </w:rPr>
              <w:lastRenderedPageBreak/>
              <w:t>plazo y fondos mutuos). Agencias, cajeros automáticos y cualquier canal presencial. Emisión de tarjetas físicas. Integración productiva real con RENIEC y con la Cámara de Compensación Electrónica, que se implementan como servicios simulados con contrato de interfaz documentado. Autorización y certificación ante la SBS.</w:t>
            </w:r>
          </w:p>
        </w:tc>
      </w:tr>
      <w:tr w:rsidR="005C3FBE" w:rsidRPr="00AF7F97" w14:paraId="62F46490" w14:textId="77777777" w:rsidTr="00F7191B">
        <w:trPr>
          <w:trHeight w:val="864"/>
        </w:trPr>
        <w:tc>
          <w:tcPr>
            <w:tcW w:w="2614" w:type="dxa"/>
            <w:shd w:val="clear" w:color="auto" w:fill="E6E6E6"/>
            <w:vAlign w:val="center"/>
          </w:tcPr>
          <w:p w14:paraId="47984A7E" w14:textId="77777777" w:rsidR="00FB61B9" w:rsidRDefault="00000000">
            <w:pPr>
              <w:spacing w:after="40"/>
            </w:pPr>
            <w:r>
              <w:rPr>
                <w:b/>
                <w:sz w:val="19"/>
              </w:rPr>
              <w:lastRenderedPageBreak/>
              <w:t>Entregables</w:t>
            </w:r>
          </w:p>
          <w:p w14:paraId="386EA961" w14:textId="77777777" w:rsidR="00FB61B9" w:rsidRDefault="00000000">
            <w:pPr>
              <w:spacing w:after="40"/>
            </w:pPr>
            <w:r>
              <w:rPr>
                <w:b/>
                <w:sz w:val="19"/>
              </w:rPr>
              <w:t>Deliverables</w:t>
            </w:r>
          </w:p>
        </w:tc>
        <w:tc>
          <w:tcPr>
            <w:tcW w:w="7842" w:type="dxa"/>
            <w:gridSpan w:val="3"/>
            <w:vAlign w:val="center"/>
          </w:tcPr>
          <w:p w14:paraId="0864AD68" w14:textId="77777777" w:rsidR="00FB61B9" w:rsidRDefault="00000000">
            <w:pPr>
              <w:spacing w:after="40"/>
            </w:pPr>
            <w:r>
              <w:rPr>
                <w:sz w:val="19"/>
              </w:rPr>
              <w:t>1. Acta de Constitución del Proyecto — 17 de agosto de 2026.</w:t>
            </w:r>
          </w:p>
          <w:p w14:paraId="195D26FB" w14:textId="77777777" w:rsidR="00FB61B9" w:rsidRDefault="00000000">
            <w:pPr>
              <w:spacing w:after="40"/>
            </w:pPr>
            <w:r>
              <w:rPr>
                <w:sz w:val="19"/>
              </w:rPr>
              <w:t>2. Plan de gestión: cronograma, Product Backlog priorizado, matriz de interesados, matriz de riesgos y listado de adquisiciones — 23 de agosto de 2026.</w:t>
            </w:r>
          </w:p>
          <w:p w14:paraId="25AD2781" w14:textId="77777777" w:rsidR="00FB61B9" w:rsidRDefault="00000000">
            <w:pPr>
              <w:spacing w:after="40"/>
            </w:pPr>
            <w:r>
              <w:rPr>
                <w:sz w:val="19"/>
              </w:rPr>
              <w:t>3. Plataforma técnica base: repositorio, CI/CD, entornos y arquitectura — 23 de agosto de 2026.</w:t>
            </w:r>
          </w:p>
          <w:p w14:paraId="7ED13BCD" w14:textId="77777777" w:rsidR="00FB61B9" w:rsidRDefault="00000000">
            <w:pPr>
              <w:spacing w:after="40"/>
            </w:pPr>
            <w:r>
              <w:rPr>
                <w:sz w:val="19"/>
              </w:rPr>
              <w:t>4. Prototipos e identidad visual: sistema de diseño, logotipo, wireframes y mockups — 6 de septiembre de 2026.</w:t>
            </w:r>
          </w:p>
          <w:p w14:paraId="3BF033AA" w14:textId="77777777" w:rsidR="00FB61B9" w:rsidRDefault="00000000">
            <w:pPr>
              <w:spacing w:after="40"/>
            </w:pPr>
            <w:r>
              <w:rPr>
                <w:sz w:val="19"/>
              </w:rPr>
              <w:t>5. Incremento funcional operativo y desplegable al cierre de cada sprint — cada dos semanas.</w:t>
            </w:r>
          </w:p>
          <w:p w14:paraId="08FAD4E8" w14:textId="77777777" w:rsidR="00FB61B9" w:rsidRDefault="00000000">
            <w:pPr>
              <w:spacing w:after="40"/>
            </w:pPr>
            <w:r>
              <w:rPr>
                <w:sz w:val="19"/>
              </w:rPr>
              <w:t>6. Despliegue a producción versión 1: onboarding y núcleo transaccional — 4 de octubre de 2026.</w:t>
            </w:r>
          </w:p>
          <w:p w14:paraId="19C67B16" w14:textId="77777777" w:rsidR="00FB61B9" w:rsidRDefault="00000000">
            <w:pPr>
              <w:spacing w:after="40"/>
            </w:pPr>
            <w:r>
              <w:rPr>
                <w:sz w:val="19"/>
              </w:rPr>
              <w:t>7. Despliegue a producción versión 2: tarjeta, transferencias e interoperabilidad — 1 de noviembre de 2026.</w:t>
            </w:r>
          </w:p>
          <w:p w14:paraId="6E6CB44F" w14:textId="77777777" w:rsidR="00FB61B9" w:rsidRDefault="00000000">
            <w:pPr>
              <w:spacing w:after="40"/>
            </w:pPr>
            <w:r>
              <w:rPr>
                <w:sz w:val="19"/>
              </w:rPr>
              <w:t>8. Evidencias de calidad ISO/IEC 25010: informes de pruebas funcionales, de compatibilidad, de usabilidad, de rendimiento y de fiabilidad — 29 de noviembre de 2026.</w:t>
            </w:r>
          </w:p>
          <w:p w14:paraId="5B4E392D" w14:textId="77777777" w:rsidR="00FB61B9" w:rsidRDefault="00000000">
            <w:pPr>
              <w:spacing w:after="40"/>
            </w:pPr>
            <w:r>
              <w:rPr>
                <w:sz w:val="19"/>
              </w:rPr>
              <w:t>9. Producto Mínimo Viable — Release 1.0.0: sistema desplegado, documentado y monitorizado — 13 de diciembre de 2026.</w:t>
            </w:r>
          </w:p>
        </w:tc>
      </w:tr>
      <w:tr w:rsidR="00CF7DF6" w:rsidRPr="00AF7F97" w14:paraId="2F9FC220" w14:textId="77777777" w:rsidTr="00DA0FE8">
        <w:trPr>
          <w:trHeight w:val="288"/>
        </w:trPr>
        <w:tc>
          <w:tcPr>
            <w:tcW w:w="2614" w:type="dxa"/>
            <w:vMerge w:val="restart"/>
            <w:shd w:val="clear" w:color="auto" w:fill="E6E6E6"/>
            <w:vAlign w:val="center"/>
          </w:tcPr>
          <w:p w14:paraId="54C2D3C2" w14:textId="77777777" w:rsidR="00FB61B9" w:rsidRDefault="00000000">
            <w:pPr>
              <w:spacing w:after="40"/>
            </w:pPr>
            <w:r>
              <w:rPr>
                <w:b/>
                <w:sz w:val="19"/>
              </w:rPr>
              <w:t>Cronograma</w:t>
            </w:r>
          </w:p>
          <w:p w14:paraId="5142A573" w14:textId="77777777" w:rsidR="00FB61B9" w:rsidRDefault="00000000">
            <w:pPr>
              <w:spacing w:after="40"/>
            </w:pPr>
            <w:r>
              <w:rPr>
                <w:b/>
                <w:sz w:val="19"/>
              </w:rPr>
              <w:t>Schedule</w:t>
            </w:r>
          </w:p>
        </w:tc>
        <w:tc>
          <w:tcPr>
            <w:tcW w:w="2614" w:type="dxa"/>
            <w:shd w:val="clear" w:color="auto" w:fill="E6E6E6"/>
            <w:vAlign w:val="center"/>
          </w:tcPr>
          <w:p w14:paraId="04D1FCCE" w14:textId="77777777" w:rsidR="00FB61B9" w:rsidRDefault="00000000">
            <w:pPr>
              <w:spacing w:after="40"/>
            </w:pPr>
            <w:r>
              <w:rPr>
                <w:b/>
                <w:sz w:val="19"/>
              </w:rPr>
              <w:t>Fecha de inicio</w:t>
            </w:r>
          </w:p>
          <w:p w14:paraId="06DC1E04" w14:textId="77777777" w:rsidR="00FB61B9" w:rsidRDefault="00000000">
            <w:pPr>
              <w:spacing w:after="40"/>
            </w:pPr>
            <w:r>
              <w:rPr>
                <w:b/>
                <w:sz w:val="19"/>
              </w:rPr>
              <w:t>Start Date</w:t>
            </w:r>
          </w:p>
        </w:tc>
        <w:tc>
          <w:tcPr>
            <w:tcW w:w="5228" w:type="dxa"/>
            <w:gridSpan w:val="2"/>
            <w:vAlign w:val="center"/>
          </w:tcPr>
          <w:p w14:paraId="45783540" w14:textId="77777777" w:rsidR="00FB61B9" w:rsidRDefault="00000000">
            <w:pPr>
              <w:spacing w:after="40"/>
            </w:pPr>
            <w:r>
              <w:rPr>
                <w:sz w:val="19"/>
              </w:rPr>
              <w:t>14 de agosto de 2026</w:t>
            </w:r>
          </w:p>
        </w:tc>
      </w:tr>
      <w:tr w:rsidR="00CF7DF6" w:rsidRPr="00AF7F97" w14:paraId="231AA647" w14:textId="77777777" w:rsidTr="00DA0FE8">
        <w:trPr>
          <w:trHeight w:val="288"/>
        </w:trPr>
        <w:tc>
          <w:tcPr>
            <w:tcW w:w="2614" w:type="dxa"/>
            <w:vMerge/>
            <w:shd w:val="clear" w:color="auto" w:fill="E6E6E6"/>
            <w:vAlign w:val="center"/>
          </w:tcPr>
          <w:p w14:paraId="1EE7125B" w14:textId="77777777" w:rsidR="00CF7DF6" w:rsidRPr="00AF7F97" w:rsidRDefault="00CF7DF6" w:rsidP="00054D35">
            <w:pPr>
              <w:ind w:left="90"/>
              <w:rPr>
                <w:rFonts w:ascii="Inter" w:hAnsi="Inter" w:cs="Arial"/>
                <w:color w:val="082146"/>
                <w:sz w:val="20"/>
                <w:szCs w:val="20"/>
              </w:rPr>
            </w:pPr>
          </w:p>
        </w:tc>
        <w:tc>
          <w:tcPr>
            <w:tcW w:w="2614" w:type="dxa"/>
            <w:shd w:val="clear" w:color="auto" w:fill="E6E6E6"/>
            <w:vAlign w:val="center"/>
          </w:tcPr>
          <w:p w14:paraId="21B7E089" w14:textId="77777777" w:rsidR="00FB61B9" w:rsidRDefault="00000000">
            <w:pPr>
              <w:spacing w:after="40"/>
            </w:pPr>
            <w:r>
              <w:rPr>
                <w:b/>
                <w:sz w:val="19"/>
              </w:rPr>
              <w:t>Fecha de cierre</w:t>
            </w:r>
          </w:p>
          <w:p w14:paraId="262DB971" w14:textId="77777777" w:rsidR="00FB61B9" w:rsidRDefault="00000000">
            <w:pPr>
              <w:spacing w:after="40"/>
            </w:pPr>
            <w:r>
              <w:rPr>
                <w:b/>
                <w:sz w:val="19"/>
              </w:rPr>
              <w:t>End Date</w:t>
            </w:r>
          </w:p>
        </w:tc>
        <w:tc>
          <w:tcPr>
            <w:tcW w:w="5228" w:type="dxa"/>
            <w:gridSpan w:val="2"/>
            <w:vAlign w:val="center"/>
          </w:tcPr>
          <w:p w14:paraId="432FFD71" w14:textId="77777777" w:rsidR="00FB61B9" w:rsidRDefault="00000000">
            <w:pPr>
              <w:spacing w:after="40"/>
            </w:pPr>
            <w:r>
              <w:rPr>
                <w:sz w:val="19"/>
              </w:rPr>
              <w:t>13 de diciembre de 2026  (duración total: 17 semanas)</w:t>
            </w:r>
          </w:p>
        </w:tc>
      </w:tr>
      <w:tr w:rsidR="00F7191B" w:rsidRPr="00AF7F97" w14:paraId="3BF7A1E5" w14:textId="77777777" w:rsidTr="00F7191B">
        <w:trPr>
          <w:trHeight w:val="864"/>
        </w:trPr>
        <w:tc>
          <w:tcPr>
            <w:tcW w:w="2614" w:type="dxa"/>
            <w:shd w:val="clear" w:color="auto" w:fill="E6E6E6"/>
            <w:vAlign w:val="center"/>
          </w:tcPr>
          <w:p w14:paraId="5069BD8B" w14:textId="77777777" w:rsidR="00FB61B9" w:rsidRDefault="00000000">
            <w:pPr>
              <w:spacing w:after="40"/>
            </w:pPr>
            <w:r>
              <w:rPr>
                <w:b/>
                <w:sz w:val="19"/>
              </w:rPr>
              <w:t>Reporte de Avance</w:t>
            </w:r>
          </w:p>
          <w:p w14:paraId="03996FD7" w14:textId="77777777" w:rsidR="00FB61B9" w:rsidRDefault="00000000">
            <w:pPr>
              <w:spacing w:after="40"/>
            </w:pPr>
            <w:r>
              <w:rPr>
                <w:b/>
                <w:sz w:val="19"/>
              </w:rPr>
              <w:t>Time Reporting</w:t>
            </w:r>
          </w:p>
        </w:tc>
        <w:tc>
          <w:tcPr>
            <w:tcW w:w="7842" w:type="dxa"/>
            <w:gridSpan w:val="3"/>
            <w:vAlign w:val="center"/>
          </w:tcPr>
          <w:p w14:paraId="306445A0" w14:textId="77777777" w:rsidR="00FB61B9" w:rsidRDefault="00000000">
            <w:pPr>
              <w:spacing w:after="40"/>
            </w:pPr>
            <w:r>
              <w:rPr>
                <w:sz w:val="19"/>
              </w:rPr>
              <w:t>Enfoque híbrido: gobernanza PMBOK con ejecución ágil mediante Scrum.</w:t>
            </w:r>
          </w:p>
          <w:p w14:paraId="11CFDFA6" w14:textId="77777777" w:rsidR="00FB61B9" w:rsidRDefault="00000000">
            <w:pPr>
              <w:spacing w:after="40"/>
            </w:pPr>
            <w:r>
              <w:rPr>
                <w:sz w:val="19"/>
              </w:rPr>
              <w:t>Estructura de iteraciones: un Sprint 0 de una semana y ocho sprints de dos semanas (timebox de 2 semanas).</w:t>
            </w:r>
          </w:p>
          <w:p w14:paraId="6EC39295" w14:textId="77777777" w:rsidR="00FB61B9" w:rsidRDefault="00000000">
            <w:pPr>
              <w:spacing w:after="40"/>
            </w:pPr>
            <w:r>
              <w:rPr>
                <w:sz w:val="19"/>
              </w:rPr>
              <w:t>Daily Scrum diario de 15 minutos. Sprint Planning al inicio, Sprint Review y Sprint Retrospective al cierre de cada sprint.</w:t>
            </w:r>
          </w:p>
          <w:p w14:paraId="5FDB4F92" w14:textId="77777777" w:rsidR="00FB61B9" w:rsidRDefault="00000000">
            <w:pPr>
              <w:spacing w:after="40"/>
            </w:pPr>
            <w:r>
              <w:rPr>
                <w:sz w:val="19"/>
              </w:rPr>
              <w:t>Tablero Jira (proyecto AYNI) actualizado de forma permanente; trazabilidad completa de requisito a despliegue mediante la clave del ítem en rama, commit y Pull Request.</w:t>
            </w:r>
          </w:p>
          <w:p w14:paraId="7B886E2D" w14:textId="77777777" w:rsidR="00FB61B9" w:rsidRDefault="00000000">
            <w:pPr>
              <w:spacing w:after="40"/>
            </w:pPr>
            <w:r>
              <w:rPr>
                <w:sz w:val="19"/>
              </w:rPr>
              <w:t>Revisiones formales de avance con el patrocinador en las semanas 5, 9, 13 y 18.</w:t>
            </w:r>
          </w:p>
        </w:tc>
      </w:tr>
      <w:tr w:rsidR="00CB5336" w:rsidRPr="00AF7F97" w14:paraId="7F59298B" w14:textId="77777777" w:rsidTr="00CB5336">
        <w:trPr>
          <w:trHeight w:val="288"/>
        </w:trPr>
        <w:tc>
          <w:tcPr>
            <w:tcW w:w="10456" w:type="dxa"/>
            <w:gridSpan w:val="4"/>
            <w:shd w:val="clear" w:color="auto" w:fill="004C96"/>
            <w:vAlign w:val="center"/>
          </w:tcPr>
          <w:p w14:paraId="260A9740" w14:textId="77777777" w:rsidR="00FB61B9" w:rsidRPr="00577CEE" w:rsidRDefault="00000000">
            <w:pPr>
              <w:spacing w:after="40"/>
              <w:rPr>
                <w:color w:val="FFFFFF" w:themeColor="background1"/>
              </w:rPr>
            </w:pPr>
            <w:r w:rsidRPr="00577CEE">
              <w:rPr>
                <w:b/>
                <w:color w:val="FFFFFF" w:themeColor="background1"/>
                <w:sz w:val="19"/>
              </w:rPr>
              <w:t>ESTIMACIÓN DE COSTOS  ·  Cost Estimate</w:t>
            </w:r>
          </w:p>
        </w:tc>
      </w:tr>
      <w:tr w:rsidR="00CF7DF6" w:rsidRPr="00AF7F97" w14:paraId="0638FCEB" w14:textId="77777777" w:rsidTr="002457F6">
        <w:trPr>
          <w:trHeight w:val="864"/>
        </w:trPr>
        <w:tc>
          <w:tcPr>
            <w:tcW w:w="2614" w:type="dxa"/>
            <w:shd w:val="clear" w:color="auto" w:fill="E6E6E6"/>
            <w:vAlign w:val="center"/>
          </w:tcPr>
          <w:p w14:paraId="1A9BBBA6" w14:textId="77777777" w:rsidR="00FB61B9" w:rsidRDefault="00000000">
            <w:pPr>
              <w:spacing w:after="40"/>
            </w:pPr>
            <w:r>
              <w:rPr>
                <w:b/>
                <w:sz w:val="19"/>
              </w:rPr>
              <w:t>Presupuesto</w:t>
            </w:r>
          </w:p>
          <w:p w14:paraId="637A9669" w14:textId="77777777" w:rsidR="00FB61B9" w:rsidRDefault="00000000">
            <w:pPr>
              <w:spacing w:after="40"/>
            </w:pPr>
            <w:r>
              <w:rPr>
                <w:b/>
                <w:sz w:val="19"/>
              </w:rPr>
              <w:t>Costing</w:t>
            </w:r>
          </w:p>
        </w:tc>
        <w:tc>
          <w:tcPr>
            <w:tcW w:w="7842" w:type="dxa"/>
            <w:gridSpan w:val="3"/>
            <w:vAlign w:val="center"/>
          </w:tcPr>
          <w:p w14:paraId="70E92271" w14:textId="77777777" w:rsidR="00FB61B9" w:rsidRDefault="00000000">
            <w:pPr>
              <w:spacing w:after="40"/>
            </w:pPr>
            <w:r>
              <w:rPr>
                <w:sz w:val="19"/>
              </w:rPr>
              <w:t>COSTO EFECTIVO DEL PROYECTO: S/ 15.00 (quince soles).</w:t>
            </w:r>
          </w:p>
          <w:p w14:paraId="3ADB4342" w14:textId="77777777" w:rsidR="00FB61B9" w:rsidRDefault="00000000">
            <w:pPr>
              <w:spacing w:after="40"/>
            </w:pPr>
            <w:r>
              <w:rPr>
                <w:sz w:val="19"/>
              </w:rPr>
              <w:t>• Servidor de producción — 4 vCPU ARM, 24 GB RAM, 200 GB — Oracle Cloud Always Free: S/ 0.00</w:t>
            </w:r>
          </w:p>
          <w:p w14:paraId="08B01EB6" w14:textId="77777777" w:rsidR="00FB61B9" w:rsidRDefault="00000000">
            <w:pPr>
              <w:spacing w:after="40"/>
            </w:pPr>
            <w:r>
              <w:rPr>
                <w:sz w:val="19"/>
              </w:rPr>
              <w:t>• Servidor de staging — Raspberry Pi 5 de 8 GB, activo existente (valor imputado S/ 450.00): S/ 0.00</w:t>
            </w:r>
          </w:p>
          <w:p w14:paraId="6796D686" w14:textId="77777777" w:rsidR="00FB61B9" w:rsidRDefault="00000000">
            <w:pPr>
              <w:spacing w:after="40"/>
            </w:pPr>
            <w:r>
              <w:rPr>
                <w:sz w:val="19"/>
              </w:rPr>
              <w:t>• Dominio de internet — activo existente (S/ 45.00 anuales, prorrateado al periodo): S/ 15.00</w:t>
            </w:r>
          </w:p>
          <w:p w14:paraId="20B0CB8B" w14:textId="77777777" w:rsidR="00FB61B9" w:rsidRDefault="00000000">
            <w:pPr>
              <w:spacing w:after="40"/>
            </w:pPr>
            <w:r>
              <w:rPr>
                <w:sz w:val="19"/>
              </w:rPr>
              <w:t>• Repositorio, CI/CD y registro de imágenes — GitHub Free (2000 min/mes): S/ 0.00</w:t>
            </w:r>
          </w:p>
          <w:p w14:paraId="397D4673" w14:textId="77777777" w:rsidR="00FB61B9" w:rsidRDefault="00000000">
            <w:pPr>
              <w:spacing w:after="40"/>
            </w:pPr>
            <w:r>
              <w:rPr>
                <w:sz w:val="19"/>
              </w:rPr>
              <w:t>• Plataforma de gestión ágil — Atlassian Jira Free (hasta 10 usuarios): S/ 0.00</w:t>
            </w:r>
          </w:p>
          <w:p w14:paraId="16047109" w14:textId="77777777" w:rsidR="00FB61B9" w:rsidRDefault="00000000">
            <w:pPr>
              <w:spacing w:after="40"/>
            </w:pPr>
            <w:r>
              <w:rPr>
                <w:sz w:val="19"/>
              </w:rPr>
              <w:t>• Análisis estático y quality gate — SonarCloud para proyectos públicos: S/ 0.00</w:t>
            </w:r>
          </w:p>
          <w:p w14:paraId="43713625" w14:textId="77777777" w:rsidR="00FB61B9" w:rsidRDefault="00000000">
            <w:pPr>
              <w:spacing w:after="40"/>
            </w:pPr>
            <w:r>
              <w:rPr>
                <w:sz w:val="19"/>
              </w:rPr>
              <w:t>• Túnel de acceso y certificados TLS — Cloudflare y Let's Encrypt: S/ 0.00</w:t>
            </w:r>
          </w:p>
          <w:p w14:paraId="6936F50B" w14:textId="77777777" w:rsidR="00FB61B9" w:rsidRDefault="00000000">
            <w:pPr>
              <w:spacing w:after="40"/>
            </w:pPr>
            <w:r>
              <w:rPr>
                <w:sz w:val="19"/>
              </w:rPr>
              <w:t>• Correo transaccional — Brevo/Resend, capa gratuita: S/ 0.00</w:t>
            </w:r>
          </w:p>
          <w:p w14:paraId="7C638B66" w14:textId="77777777" w:rsidR="00FB61B9" w:rsidRDefault="00000000">
            <w:pPr>
              <w:spacing w:after="40"/>
            </w:pPr>
            <w:r>
              <w:rPr>
                <w:sz w:val="19"/>
              </w:rPr>
              <w:t>• Notificaciones SMS — proveedor simulado con contrato documentado: S/ 0.00</w:t>
            </w:r>
          </w:p>
          <w:p w14:paraId="11E7B12F" w14:textId="77777777" w:rsidR="00FB61B9" w:rsidRDefault="00FB61B9">
            <w:pPr>
              <w:spacing w:after="40"/>
            </w:pPr>
          </w:p>
          <w:p w14:paraId="0085058F" w14:textId="77777777" w:rsidR="00FB61B9" w:rsidRDefault="00000000">
            <w:pPr>
              <w:spacing w:after="40"/>
            </w:pPr>
            <w:r>
              <w:rPr>
                <w:sz w:val="19"/>
              </w:rPr>
              <w:t>COSTO DEL EQUIPO SCRUM (valorizado, no desembolsado): S/ 20 601.00</w:t>
            </w:r>
          </w:p>
          <w:p w14:paraId="0A32FC3F" w14:textId="77777777" w:rsidR="00FB61B9" w:rsidRDefault="00000000">
            <w:pPr>
              <w:spacing w:after="40"/>
            </w:pPr>
            <w:r>
              <w:rPr>
                <w:sz w:val="19"/>
              </w:rPr>
              <w:t>El trabajo del equipo no genera desembolso, pero sí tiene un costo real. Se valoriza a precios del mercado peruano para dimensionar lo que costaría este proyecto en una organización, con una dedicación del 25 % (unas 10 horas semanales) durante 4 meses:</w:t>
            </w:r>
          </w:p>
          <w:p w14:paraId="6103A054" w14:textId="77777777" w:rsidR="00FB61B9" w:rsidRDefault="00000000">
            <w:pPr>
              <w:spacing w:after="40"/>
            </w:pPr>
            <w:r>
              <w:rPr>
                <w:sz w:val="19"/>
              </w:rPr>
              <w:t>• Scrum Master — 1 persona a S/ 7 946 mensuales (promedio Lima): S/ 7 946.00</w:t>
            </w:r>
          </w:p>
          <w:p w14:paraId="632A98A2" w14:textId="77777777" w:rsidR="00FB61B9" w:rsidRDefault="00000000">
            <w:pPr>
              <w:spacing w:after="40"/>
            </w:pPr>
            <w:r>
              <w:rPr>
                <w:sz w:val="19"/>
              </w:rPr>
              <w:t>• Developers — 5 personas a S/ 2 531 mensuales cada una: S/ 12 655.00</w:t>
            </w:r>
          </w:p>
          <w:p w14:paraId="742E6666" w14:textId="77777777" w:rsidR="00FB61B9" w:rsidRDefault="00000000">
            <w:pPr>
              <w:spacing w:after="40"/>
            </w:pPr>
            <w:r>
              <w:rPr>
                <w:sz w:val="19"/>
              </w:rPr>
              <w:t>• Product Owner — aporte académico del docente del curso: no imputado</w:t>
            </w:r>
          </w:p>
          <w:p w14:paraId="331B584F" w14:textId="77777777" w:rsidR="00FB61B9" w:rsidRDefault="00000000">
            <w:pPr>
              <w:spacing w:after="40"/>
            </w:pPr>
            <w:r>
              <w:rPr>
                <w:sz w:val="19"/>
              </w:rPr>
              <w:t>Fuentes salariales: Indeed Perú y Computrabajo, consultadas en 2026. El rango de un desarrollador junior en el mercado peruano se sitúa entre S/ 1 188 y S/ 1 570; se emplea la tarifa de «desarrollador de software» por corresponder mejor al perfil de un estudiante de décimo ciclo.</w:t>
            </w:r>
          </w:p>
          <w:p w14:paraId="3B178EEA" w14:textId="77777777" w:rsidR="00FB61B9" w:rsidRDefault="00FB61B9">
            <w:pPr>
              <w:spacing w:after="40"/>
            </w:pPr>
          </w:p>
          <w:p w14:paraId="11D2740A" w14:textId="77777777" w:rsidR="00FB61B9" w:rsidRDefault="00000000">
            <w:pPr>
              <w:spacing w:after="40"/>
            </w:pPr>
            <w:r>
              <w:rPr>
                <w:sz w:val="19"/>
              </w:rPr>
              <w:t>COSTO TOTAL VALORIZADO DEL PROYECTO: S/ 20 616.00</w:t>
            </w:r>
          </w:p>
          <w:p w14:paraId="51BA4C9E" w14:textId="77777777" w:rsidR="00FB61B9" w:rsidRDefault="00000000">
            <w:pPr>
              <w:spacing w:after="40"/>
            </w:pPr>
            <w:r>
              <w:rPr>
                <w:sz w:val="19"/>
              </w:rPr>
              <w:lastRenderedPageBreak/>
              <w:t>(S/ 20 601.00 de mano de obra más S/ 15.00 de infraestructura durante el ciclo).</w:t>
            </w:r>
          </w:p>
          <w:p w14:paraId="731A30F2" w14:textId="77777777" w:rsidR="00FB61B9" w:rsidRDefault="00FB61B9">
            <w:pPr>
              <w:spacing w:after="40"/>
            </w:pPr>
          </w:p>
          <w:p w14:paraId="4ED4B52A" w14:textId="77777777" w:rsidR="00FB61B9" w:rsidRDefault="00000000">
            <w:pPr>
              <w:spacing w:after="40"/>
            </w:pPr>
            <w:r>
              <w:rPr>
                <w:sz w:val="19"/>
              </w:rPr>
              <w:t>COSTO DE REFERENCIA PARA OPERACIÓN COMERCIAL: USD 270 – 410 mensuales.</w:t>
            </w:r>
          </w:p>
          <w:p w14:paraId="5136F2D5" w14:textId="77777777" w:rsidR="00FB61B9" w:rsidRDefault="00000000">
            <w:pPr>
              <w:spacing w:after="40"/>
            </w:pPr>
            <w:r>
              <w:rPr>
                <w:sz w:val="19"/>
              </w:rPr>
              <w:t>Cómputo en dos zonas de disponibilidad (USD 60–80), base de datos gestionada Multi-AZ (USD 120–180), almacenamiento de objetos con replicación (USD 15–25), balanceador de carga (USD 25–35), observabilidad (USD 30–50) y transferencia de datos (USD 20–40).</w:t>
            </w:r>
          </w:p>
          <w:p w14:paraId="440EC8C5" w14:textId="77777777" w:rsidR="00FB61B9" w:rsidRDefault="00000000">
            <w:pPr>
              <w:spacing w:after="40"/>
            </w:pPr>
            <w:r>
              <w:rPr>
                <w:sz w:val="19"/>
              </w:rPr>
              <w:t>La diferencia entre ambos escenarios evidencia que la elección de infraestructura responde a una decisión arquitectónica deliberada y no a una limitación no gestionada.</w:t>
            </w:r>
          </w:p>
        </w:tc>
      </w:tr>
      <w:tr w:rsidR="005D01B0" w:rsidRPr="00AF7F97" w14:paraId="13293CD7" w14:textId="77777777" w:rsidTr="005D01B0">
        <w:trPr>
          <w:trHeight w:val="288"/>
        </w:trPr>
        <w:tc>
          <w:tcPr>
            <w:tcW w:w="10456" w:type="dxa"/>
            <w:gridSpan w:val="4"/>
            <w:shd w:val="clear" w:color="auto" w:fill="004C96"/>
            <w:vAlign w:val="center"/>
          </w:tcPr>
          <w:p w14:paraId="534B848F" w14:textId="77777777" w:rsidR="00FB61B9" w:rsidRPr="00577CEE" w:rsidRDefault="00000000">
            <w:pPr>
              <w:spacing w:after="40"/>
              <w:rPr>
                <w:color w:val="FFFFFF" w:themeColor="background1"/>
              </w:rPr>
            </w:pPr>
            <w:r w:rsidRPr="00577CEE">
              <w:rPr>
                <w:b/>
                <w:color w:val="FFFFFF" w:themeColor="background1"/>
                <w:sz w:val="19"/>
              </w:rPr>
              <w:lastRenderedPageBreak/>
              <w:t>HITOS  ·  Milestones</w:t>
            </w:r>
          </w:p>
        </w:tc>
      </w:tr>
      <w:tr w:rsidR="00CF7DF6" w:rsidRPr="00AF7F97" w14:paraId="39084DD8" w14:textId="77777777" w:rsidTr="00437FCB">
        <w:trPr>
          <w:trHeight w:val="288"/>
        </w:trPr>
        <w:tc>
          <w:tcPr>
            <w:tcW w:w="2614" w:type="dxa"/>
            <w:shd w:val="clear" w:color="auto" w:fill="E6E6E6"/>
            <w:vAlign w:val="center"/>
          </w:tcPr>
          <w:p w14:paraId="300FC43F" w14:textId="77777777" w:rsidR="00FB61B9" w:rsidRDefault="00000000">
            <w:pPr>
              <w:spacing w:after="40"/>
            </w:pPr>
            <w:r>
              <w:rPr>
                <w:b/>
                <w:sz w:val="19"/>
              </w:rPr>
              <w:t>Hitos del Proyecto</w:t>
            </w:r>
          </w:p>
          <w:p w14:paraId="67E86AF1" w14:textId="77777777" w:rsidR="00FB61B9" w:rsidRDefault="00000000">
            <w:pPr>
              <w:spacing w:after="40"/>
            </w:pPr>
            <w:r>
              <w:rPr>
                <w:b/>
                <w:sz w:val="19"/>
              </w:rPr>
              <w:t>Project Milestones</w:t>
            </w:r>
          </w:p>
        </w:tc>
        <w:tc>
          <w:tcPr>
            <w:tcW w:w="7842" w:type="dxa"/>
            <w:gridSpan w:val="3"/>
            <w:vAlign w:val="center"/>
          </w:tcPr>
          <w:p w14:paraId="5A5B9962" w14:textId="77777777" w:rsidR="00FB61B9" w:rsidRDefault="00000000">
            <w:pPr>
              <w:spacing w:after="40"/>
            </w:pPr>
            <w:r>
              <w:rPr>
                <w:sz w:val="19"/>
              </w:rPr>
              <w:t>17 de agosto de 2026 — Acta de Constitución aprobada.</w:t>
            </w:r>
          </w:p>
          <w:p w14:paraId="07182BC8" w14:textId="77777777" w:rsidR="00FB61B9" w:rsidRDefault="00000000">
            <w:pPr>
              <w:spacing w:after="40"/>
            </w:pPr>
            <w:r>
              <w:rPr>
                <w:sz w:val="19"/>
              </w:rPr>
              <w:t>23 de agosto de 2026 — Línea base de planificación establecida y fundación técnica operativa.</w:t>
            </w:r>
          </w:p>
          <w:p w14:paraId="45544FB4" w14:textId="77777777" w:rsidR="00FB61B9" w:rsidRDefault="00000000">
            <w:pPr>
              <w:spacing w:after="40"/>
            </w:pPr>
            <w:r>
              <w:rPr>
                <w:sz w:val="19"/>
              </w:rPr>
              <w:t>6 de septiembre de 2026 — Integración entre servicios validada (esqueleto ambulante).</w:t>
            </w:r>
          </w:p>
          <w:p w14:paraId="4E828122" w14:textId="77777777" w:rsidR="00FB61B9" w:rsidRDefault="00000000">
            <w:pPr>
              <w:spacing w:after="40"/>
            </w:pPr>
            <w:r>
              <w:rPr>
                <w:sz w:val="19"/>
              </w:rPr>
              <w:t>20 de septiembre de 2026 — Cierre de la fase de identidad digital y onboarding KYC.</w:t>
            </w:r>
          </w:p>
          <w:p w14:paraId="7FA0DFE5" w14:textId="77777777" w:rsidR="00FB61B9" w:rsidRDefault="00000000">
            <w:pPr>
              <w:spacing w:after="40"/>
            </w:pPr>
            <w:r>
              <w:rPr>
                <w:sz w:val="19"/>
              </w:rPr>
              <w:t>4 de octubre de 2026 — Despliegue a producción versión 1.</w:t>
            </w:r>
          </w:p>
          <w:p w14:paraId="59BA5FA2" w14:textId="77777777" w:rsidR="00FB61B9" w:rsidRDefault="00000000">
            <w:pPr>
              <w:spacing w:after="40"/>
            </w:pPr>
            <w:r>
              <w:rPr>
                <w:sz w:val="19"/>
              </w:rPr>
              <w:t>18 de octubre de 2026 — Transferencias y notificaciones operativas.</w:t>
            </w:r>
          </w:p>
          <w:p w14:paraId="5DF3A50A" w14:textId="77777777" w:rsidR="00FB61B9" w:rsidRDefault="00000000">
            <w:pPr>
              <w:spacing w:after="40"/>
            </w:pPr>
            <w:r>
              <w:rPr>
                <w:sz w:val="19"/>
              </w:rPr>
              <w:t>1 de noviembre de 2026 — Despliegue a producción versión 2.</w:t>
            </w:r>
          </w:p>
          <w:p w14:paraId="670F4CA5" w14:textId="77777777" w:rsidR="00FB61B9" w:rsidRDefault="00000000">
            <w:pPr>
              <w:spacing w:after="40"/>
            </w:pPr>
            <w:r>
              <w:rPr>
                <w:sz w:val="19"/>
              </w:rPr>
              <w:t>15 de noviembre de 2026 — Interoperabilidad y operación multimoneda completas.</w:t>
            </w:r>
          </w:p>
          <w:p w14:paraId="50FC31E1" w14:textId="77777777" w:rsidR="00FB61B9" w:rsidRDefault="00000000">
            <w:pPr>
              <w:spacing w:after="40"/>
            </w:pPr>
            <w:r>
              <w:rPr>
                <w:sz w:val="19"/>
              </w:rPr>
              <w:t>29 de noviembre de 2026 — Evidencias de calidad ISO/IEC 25010 completas.</w:t>
            </w:r>
          </w:p>
          <w:p w14:paraId="761259B4" w14:textId="77777777" w:rsidR="00FB61B9" w:rsidRDefault="00000000">
            <w:pPr>
              <w:spacing w:after="40"/>
            </w:pPr>
            <w:r>
              <w:rPr>
                <w:sz w:val="19"/>
              </w:rPr>
              <w:t>13 de diciembre de 2026 — Producto Mínimo Viable, Release 1.0.0 y cierre formal del proyecto.</w:t>
            </w:r>
          </w:p>
        </w:tc>
      </w:tr>
      <w:tr w:rsidR="00021731" w:rsidRPr="00AF7F97" w14:paraId="0C0B372F" w14:textId="77777777" w:rsidTr="00021731">
        <w:trPr>
          <w:trHeight w:val="288"/>
        </w:trPr>
        <w:tc>
          <w:tcPr>
            <w:tcW w:w="10456" w:type="dxa"/>
            <w:gridSpan w:val="4"/>
            <w:shd w:val="clear" w:color="auto" w:fill="004C96"/>
            <w:vAlign w:val="center"/>
          </w:tcPr>
          <w:p w14:paraId="0E9F3043" w14:textId="77777777" w:rsidR="00FB61B9" w:rsidRPr="00577CEE" w:rsidRDefault="00000000">
            <w:pPr>
              <w:spacing w:after="40"/>
              <w:rPr>
                <w:color w:val="FFFFFF" w:themeColor="background1"/>
              </w:rPr>
            </w:pPr>
            <w:r w:rsidRPr="00577CEE">
              <w:rPr>
                <w:b/>
                <w:color w:val="FFFFFF" w:themeColor="background1"/>
                <w:sz w:val="19"/>
              </w:rPr>
              <w:t>SUPUESTOS, RESTRICCIONES, DEPENDENCIAS, IMPACTOS Y RIESGOS  ·  Assumptions, Constraints, Dependencies, Impacts, and Risks</w:t>
            </w:r>
          </w:p>
        </w:tc>
      </w:tr>
      <w:tr w:rsidR="00CF7DF6" w:rsidRPr="00AF7F97" w14:paraId="1621F35C" w14:textId="77777777" w:rsidTr="00F5150B">
        <w:trPr>
          <w:trHeight w:val="864"/>
        </w:trPr>
        <w:tc>
          <w:tcPr>
            <w:tcW w:w="2614" w:type="dxa"/>
            <w:shd w:val="clear" w:color="auto" w:fill="E6E6E6"/>
            <w:vAlign w:val="center"/>
          </w:tcPr>
          <w:p w14:paraId="2550CC6F" w14:textId="77777777" w:rsidR="00FB61B9" w:rsidRDefault="00000000">
            <w:pPr>
              <w:spacing w:after="40"/>
            </w:pPr>
            <w:r>
              <w:rPr>
                <w:b/>
                <w:sz w:val="19"/>
              </w:rPr>
              <w:t>Supuestos</w:t>
            </w:r>
          </w:p>
          <w:p w14:paraId="27BF874E" w14:textId="77777777" w:rsidR="00FB61B9" w:rsidRDefault="00000000">
            <w:pPr>
              <w:spacing w:after="40"/>
            </w:pPr>
            <w:r>
              <w:rPr>
                <w:b/>
                <w:sz w:val="19"/>
              </w:rPr>
              <w:t>Assumptions</w:t>
            </w:r>
          </w:p>
        </w:tc>
        <w:tc>
          <w:tcPr>
            <w:tcW w:w="7842" w:type="dxa"/>
            <w:gridSpan w:val="3"/>
            <w:vAlign w:val="center"/>
          </w:tcPr>
          <w:p w14:paraId="79B69206" w14:textId="77777777" w:rsidR="00FB61B9" w:rsidRDefault="00000000">
            <w:pPr>
              <w:spacing w:after="40"/>
            </w:pPr>
            <w:r>
              <w:rPr>
                <w:sz w:val="19"/>
              </w:rPr>
              <w:t>• El periodo académico comprende 18 semanas, del 10 de agosto al 13 de diciembre de 2026.</w:t>
            </w:r>
          </w:p>
          <w:p w14:paraId="6C0CF673" w14:textId="77777777" w:rsidR="00FB61B9" w:rsidRDefault="00000000">
            <w:pPr>
              <w:spacing w:after="40"/>
            </w:pPr>
            <w:r>
              <w:rPr>
                <w:sz w:val="19"/>
              </w:rPr>
              <w:t>• Los cuatro integrantes mantienen su dedicación durante todo el periodo y poseen conocimientos previos de Java y Spring Boot.</w:t>
            </w:r>
          </w:p>
          <w:p w14:paraId="485786CC" w14:textId="77777777" w:rsidR="00FB61B9" w:rsidRDefault="00000000">
            <w:pPr>
              <w:spacing w:after="40"/>
            </w:pPr>
            <w:r>
              <w:rPr>
                <w:sz w:val="19"/>
              </w:rPr>
              <w:t>• El nivel Always Free de Oracle Cloud Infrastructure permanece disponible con las capacidades ofertadas al inicio del proyecto.</w:t>
            </w:r>
          </w:p>
          <w:p w14:paraId="60DB2509" w14:textId="77777777" w:rsidR="00FB61B9" w:rsidRDefault="00000000">
            <w:pPr>
              <w:spacing w:after="40"/>
            </w:pPr>
            <w:r>
              <w:rPr>
                <w:sz w:val="19"/>
              </w:rPr>
              <w:t>• El servicio público de consulta de tipo de cambio de SUNAT/BCRP permanece accesible.</w:t>
            </w:r>
          </w:p>
          <w:p w14:paraId="5228BDCF" w14:textId="77777777" w:rsidR="00FB61B9" w:rsidRDefault="00000000">
            <w:pPr>
              <w:spacing w:after="40"/>
            </w:pPr>
            <w:r>
              <w:rPr>
                <w:sz w:val="19"/>
              </w:rPr>
              <w:t>• El equipo dispone de conectividad a internet y de los equipos personales necesarios.</w:t>
            </w:r>
          </w:p>
          <w:p w14:paraId="00068B7D" w14:textId="77777777" w:rsidR="00FB61B9" w:rsidRDefault="00000000">
            <w:pPr>
              <w:spacing w:after="40"/>
            </w:pPr>
            <w:r>
              <w:rPr>
                <w:sz w:val="19"/>
              </w:rPr>
              <w:t>• La Raspberry Pi 5 destinada al entorno de staging permanece operativa.</w:t>
            </w:r>
          </w:p>
        </w:tc>
      </w:tr>
      <w:tr w:rsidR="00CF7DF6" w:rsidRPr="00AF7F97" w14:paraId="096B068B" w14:textId="77777777" w:rsidTr="00F5150B">
        <w:trPr>
          <w:trHeight w:val="864"/>
        </w:trPr>
        <w:tc>
          <w:tcPr>
            <w:tcW w:w="2614" w:type="dxa"/>
            <w:shd w:val="clear" w:color="auto" w:fill="E6E6E6"/>
            <w:vAlign w:val="center"/>
          </w:tcPr>
          <w:p w14:paraId="2F81C5B3" w14:textId="77777777" w:rsidR="00FB61B9" w:rsidRDefault="00000000">
            <w:pPr>
              <w:spacing w:after="40"/>
            </w:pPr>
            <w:r>
              <w:rPr>
                <w:b/>
                <w:sz w:val="19"/>
              </w:rPr>
              <w:t>Restricciones</w:t>
            </w:r>
          </w:p>
          <w:p w14:paraId="208A2AC8" w14:textId="77777777" w:rsidR="00FB61B9" w:rsidRDefault="00000000">
            <w:pPr>
              <w:spacing w:after="40"/>
            </w:pPr>
            <w:r>
              <w:rPr>
                <w:b/>
                <w:sz w:val="19"/>
              </w:rPr>
              <w:t>Constraints</w:t>
            </w:r>
          </w:p>
        </w:tc>
        <w:tc>
          <w:tcPr>
            <w:tcW w:w="7842" w:type="dxa"/>
            <w:gridSpan w:val="3"/>
            <w:vAlign w:val="center"/>
          </w:tcPr>
          <w:p w14:paraId="6F97F83F" w14:textId="77777777" w:rsidR="00FB61B9" w:rsidRDefault="00000000">
            <w:pPr>
              <w:spacing w:after="40"/>
            </w:pPr>
            <w:r>
              <w:rPr>
                <w:sz w:val="19"/>
              </w:rPr>
              <w:t>• Plazo fijo e improrrogable: el proyecto debe cerrarse el 13 de diciembre de 2026.</w:t>
            </w:r>
          </w:p>
          <w:p w14:paraId="341B6E91" w14:textId="77777777" w:rsidR="00FB61B9" w:rsidRDefault="00000000">
            <w:pPr>
              <w:spacing w:after="40"/>
            </w:pPr>
            <w:r>
              <w:rPr>
                <w:sz w:val="19"/>
              </w:rPr>
              <w:t>• Presupuesto efectivamente nulo: no se dispone de financiamiento para licencias, servicios de pago ni infraestructura comercial.</w:t>
            </w:r>
          </w:p>
          <w:p w14:paraId="1B6D76E3" w14:textId="77777777" w:rsidR="00FB61B9" w:rsidRDefault="00000000">
            <w:pPr>
              <w:spacing w:after="40"/>
            </w:pPr>
            <w:r>
              <w:rPr>
                <w:sz w:val="19"/>
              </w:rPr>
              <w:t>• Equipo de cuatro personas con carga académica adicional simultánea.</w:t>
            </w:r>
          </w:p>
          <w:p w14:paraId="51769D82" w14:textId="77777777" w:rsidR="00FB61B9" w:rsidRDefault="00000000">
            <w:pPr>
              <w:spacing w:after="40"/>
            </w:pPr>
            <w:r>
              <w:rPr>
                <w:sz w:val="19"/>
              </w:rPr>
              <w:t>• No se dispone de acceso productivo a las APIs de RENIEC ni de la Cámara de Compensación Electrónica; ambas se resuelven mediante servicios simulados con contrato documentado.</w:t>
            </w:r>
          </w:p>
          <w:p w14:paraId="4E856329" w14:textId="77777777" w:rsidR="00FB61B9" w:rsidRDefault="00000000">
            <w:pPr>
              <w:spacing w:after="40"/>
            </w:pPr>
            <w:r>
              <w:rPr>
                <w:sz w:val="19"/>
              </w:rPr>
              <w:t>• El proyecto no persigue autorización de funcionamiento ante la SBS; se trata de una plataforma con fines académicos y demostrativos.</w:t>
            </w:r>
          </w:p>
          <w:p w14:paraId="6E39FB0D" w14:textId="77777777" w:rsidR="00FB61B9" w:rsidRDefault="00000000">
            <w:pPr>
              <w:spacing w:after="40"/>
            </w:pPr>
            <w:r>
              <w:rPr>
                <w:sz w:val="19"/>
              </w:rPr>
              <w:t>• Fechas externas de revisión fijadas por la institución en las semanas 5, 9, 13 y 18.</w:t>
            </w:r>
          </w:p>
          <w:p w14:paraId="416115C9" w14:textId="77777777" w:rsidR="00FB61B9" w:rsidRDefault="00FB61B9">
            <w:pPr>
              <w:spacing w:after="40"/>
            </w:pPr>
          </w:p>
          <w:p w14:paraId="448DA7CC" w14:textId="77777777" w:rsidR="00FB61B9" w:rsidRDefault="00000000">
            <w:pPr>
              <w:spacing w:after="40"/>
            </w:pPr>
            <w:r>
              <w:rPr>
                <w:sz w:val="19"/>
              </w:rPr>
              <w:t>DEPENDENCIAS. Disponibilidad del servicio de tipo de cambio SUNAT/BCRP; disponibilidad de GitHub Actions; continuidad del nivel gratuito de Oracle Cloud; suministro eléctrico y conectividad del entorno de staging alojado en infraestructura propia.</w:t>
            </w:r>
          </w:p>
        </w:tc>
      </w:tr>
      <w:tr w:rsidR="00CF7DF6" w:rsidRPr="00AF7F97" w14:paraId="3ECDA931" w14:textId="77777777" w:rsidTr="00F5150B">
        <w:trPr>
          <w:trHeight w:val="864"/>
        </w:trPr>
        <w:tc>
          <w:tcPr>
            <w:tcW w:w="2614" w:type="dxa"/>
            <w:shd w:val="clear" w:color="auto" w:fill="E6E6E6"/>
            <w:vAlign w:val="center"/>
          </w:tcPr>
          <w:p w14:paraId="69E6B645" w14:textId="77777777" w:rsidR="00FB61B9" w:rsidRDefault="00000000">
            <w:pPr>
              <w:spacing w:after="40"/>
            </w:pPr>
            <w:r>
              <w:rPr>
                <w:b/>
                <w:sz w:val="19"/>
              </w:rPr>
              <w:t>Riesgos</w:t>
            </w:r>
          </w:p>
          <w:p w14:paraId="52EB629C" w14:textId="77777777" w:rsidR="00FB61B9" w:rsidRDefault="00000000">
            <w:pPr>
              <w:spacing w:after="40"/>
            </w:pPr>
            <w:r>
              <w:rPr>
                <w:b/>
                <w:sz w:val="19"/>
              </w:rPr>
              <w:t>Risks</w:t>
            </w:r>
          </w:p>
        </w:tc>
        <w:tc>
          <w:tcPr>
            <w:tcW w:w="7842" w:type="dxa"/>
            <w:gridSpan w:val="3"/>
            <w:vAlign w:val="center"/>
          </w:tcPr>
          <w:p w14:paraId="2B32E9F1" w14:textId="77777777" w:rsidR="00FB61B9" w:rsidRDefault="00000000">
            <w:pPr>
              <w:spacing w:after="40"/>
            </w:pPr>
            <w:r>
              <w:rPr>
                <w:sz w:val="19"/>
              </w:rPr>
              <w:t>Se han identificado 13 riesgos, documentados en la Matriz de Gestión de Riesgos del proyecto con su probabilidad sustentada en datos verificables del contexto peruano, impacto, exposición calculada, plan de mitigación, plan de contingencia y responsable nominal. Los riesgos no se eliminan: se gestionan y se mitigan. La numeración aquí consignada es la misma de dicha matriz.</w:t>
            </w:r>
          </w:p>
          <w:p w14:paraId="5B459246" w14:textId="77777777" w:rsidR="00FB61B9" w:rsidRDefault="00FB61B9">
            <w:pPr>
              <w:spacing w:after="40"/>
            </w:pPr>
          </w:p>
          <w:p w14:paraId="17096B76" w14:textId="77777777" w:rsidR="00FB61B9" w:rsidRDefault="00000000">
            <w:pPr>
              <w:spacing w:after="40"/>
            </w:pPr>
            <w:r>
              <w:rPr>
                <w:sz w:val="19"/>
              </w:rPr>
              <w:t>EXPOSICIÓN CRÍTICA (15 – 25)</w:t>
            </w:r>
          </w:p>
          <w:p w14:paraId="5F6C5426" w14:textId="77777777" w:rsidR="00FB61B9" w:rsidRDefault="00000000">
            <w:pPr>
              <w:spacing w:after="40"/>
            </w:pPr>
            <w:r>
              <w:rPr>
                <w:sz w:val="19"/>
              </w:rPr>
              <w:t>R-01 · Suplantación de identidad durante el onboarding digital. Probabilidad alta, impacto muy alto (exposición 20). Sustento: 7 507 casos de fraude de identidad registrados en el Perú en 2025. Mitigación: prueba de vivacidad obligatoria, umbral de cotejo facial ≥ 80%, derivación automática a revisión manual del Oficial de Cumplimiento y límites operativos reducidos durante los primeros 30 días de la cuenta.</w:t>
            </w:r>
          </w:p>
          <w:p w14:paraId="59E51E2E" w14:textId="77777777" w:rsidR="00FB61B9" w:rsidRDefault="00000000">
            <w:pPr>
              <w:spacing w:after="40"/>
            </w:pPr>
            <w:r>
              <w:rPr>
                <w:sz w:val="19"/>
              </w:rPr>
              <w:t>R-02 · Precisión insuficiente del OCR o del cotejo biométrico facial. Probabilidad alta, impacto alto (16). Mitigación: validación previa de calidad de imagen, umbrales configurables sin desplegar y conjunto de imágenes de control medido en cada sprint.</w:t>
            </w:r>
          </w:p>
          <w:p w14:paraId="45C3A586" w14:textId="77777777" w:rsidR="00FB61B9" w:rsidRDefault="00000000">
            <w:pPr>
              <w:spacing w:after="40"/>
            </w:pPr>
            <w:r>
              <w:rPr>
                <w:sz w:val="19"/>
              </w:rPr>
              <w:lastRenderedPageBreak/>
              <w:t>R-03 · Sobredimensionamiento del alcance frente a la capacidad del equipo. Probabilidad alta, impacto alto (16). Sustento: el 52% de los proyectos sufre ampliación no controlada del alcance según el PMI (2025). Mitigación: línea base cerrada en esta Acta y regla de que toda incorporación de alcance exige retirar un ítem equivalente.</w:t>
            </w:r>
          </w:p>
          <w:p w14:paraId="7DB1E536" w14:textId="77777777" w:rsidR="00FB61B9" w:rsidRDefault="00000000">
            <w:pPr>
              <w:spacing w:after="40"/>
            </w:pPr>
            <w:r>
              <w:rPr>
                <w:sz w:val="19"/>
              </w:rPr>
              <w:t>R-05 · Pérdida de integridad contable por operaciones concurrentes. Probabilidad media, impacto muy alto (15). Mitigación: transacción única con bloqueo pesimista, idempotencia obligatoria, asientos de doble partida y pruebas de concurrencia automatizadas.</w:t>
            </w:r>
          </w:p>
          <w:p w14:paraId="2CB33929" w14:textId="77777777" w:rsidR="00FB61B9" w:rsidRDefault="00FB61B9">
            <w:pPr>
              <w:spacing w:after="40"/>
            </w:pPr>
          </w:p>
          <w:p w14:paraId="72A4AD23" w14:textId="77777777" w:rsidR="00FB61B9" w:rsidRDefault="00000000">
            <w:pPr>
              <w:spacing w:after="40"/>
            </w:pPr>
            <w:r>
              <w:rPr>
                <w:sz w:val="19"/>
              </w:rPr>
              <w:t>EXPOSICIÓN MODERADA (8 – 12)</w:t>
            </w:r>
          </w:p>
          <w:p w14:paraId="3293105A" w14:textId="77777777" w:rsidR="00FB61B9" w:rsidRDefault="00000000">
            <w:pPr>
              <w:spacing w:after="40"/>
            </w:pPr>
            <w:r>
              <w:rPr>
                <w:sz w:val="19"/>
              </w:rPr>
              <w:t>R-04 · Indisponibilidad del entorno de staging por corte eléctrico o de conectividad (10). Sustento: SAIFI de 1.3 interrupciones por usuario-mes según Osinergmin (2025), lo que sobre cuatro meses arroja una probabilidad del 99.5% de al menos una interrupción. Mitigación: el entorno de producción reside en la nube y es independiente de la infraestructura local.</w:t>
            </w:r>
          </w:p>
          <w:p w14:paraId="4EE71141" w14:textId="77777777" w:rsidR="00FB61B9" w:rsidRDefault="00000000">
            <w:pPr>
              <w:spacing w:after="40"/>
            </w:pPr>
            <w:r>
              <w:rPr>
                <w:sz w:val="19"/>
              </w:rPr>
              <w:t>R-06 · Reducción de la disponibilidad del equipo por carga académica simultánea (12).</w:t>
            </w:r>
          </w:p>
          <w:p w14:paraId="118DCC2C" w14:textId="77777777" w:rsidR="00FB61B9" w:rsidRDefault="00000000">
            <w:pPr>
              <w:spacing w:after="40"/>
            </w:pPr>
            <w:r>
              <w:rPr>
                <w:sz w:val="19"/>
              </w:rPr>
              <w:t>R-07 · Complejidad de la arquitectura distribuida superior a la prevista (12). Mitigación: esqueleto ambulante en el Sprint 1, que valida la integración completa en la cuarta semana del proyecto.</w:t>
            </w:r>
          </w:p>
          <w:p w14:paraId="07DE7A7F" w14:textId="77777777" w:rsidR="00FB61B9" w:rsidRDefault="00000000">
            <w:pPr>
              <w:spacing w:after="40"/>
            </w:pPr>
            <w:r>
              <w:rPr>
                <w:sz w:val="19"/>
              </w:rPr>
              <w:t>R-08 · Filtración de credenciales o secretos en el repositorio público (12). Mitigación: Gitleaks como verificación bloqueante en cada Pull Request.</w:t>
            </w:r>
          </w:p>
          <w:p w14:paraId="7D0E0AB0" w14:textId="77777777" w:rsidR="00FB61B9" w:rsidRDefault="00000000">
            <w:pPr>
              <w:spacing w:after="40"/>
            </w:pPr>
            <w:r>
              <w:rPr>
                <w:sz w:val="19"/>
              </w:rPr>
              <w:t>R-09 · Tratamiento inadecuado de datos biométricos frente a la Ley N.º 29733 (10). Mitigación: consentimiento explícito e informado, cifrado en reposo, política de retención y procedimiento de borrado documentados.</w:t>
            </w:r>
          </w:p>
          <w:p w14:paraId="1EBCF6C1" w14:textId="77777777" w:rsidR="00FB61B9" w:rsidRDefault="00000000">
            <w:pPr>
              <w:spacing w:after="40"/>
            </w:pPr>
            <w:r>
              <w:rPr>
                <w:sz w:val="19"/>
              </w:rPr>
              <w:t>R-10 · Discontinuidad del nivel gratuito de la nube (8). Mitigación: infraestructura íntegramente contenedorizada y portable.</w:t>
            </w:r>
          </w:p>
          <w:p w14:paraId="5253047B" w14:textId="77777777" w:rsidR="00FB61B9" w:rsidRDefault="00000000">
            <w:pPr>
              <w:spacing w:after="40"/>
            </w:pPr>
            <w:r>
              <w:rPr>
                <w:sz w:val="19"/>
              </w:rPr>
              <w:t>R-11 · Baja o rotación de un integrante del equipo (8).</w:t>
            </w:r>
          </w:p>
          <w:p w14:paraId="55DFCFA1" w14:textId="77777777" w:rsidR="00FB61B9" w:rsidRDefault="00000000">
            <w:pPr>
              <w:spacing w:after="40"/>
            </w:pPr>
            <w:r>
              <w:rPr>
                <w:sz w:val="19"/>
              </w:rPr>
              <w:t>R-13 · Criterios de aceptación ambiguos que generan retrabajo (9).</w:t>
            </w:r>
          </w:p>
          <w:p w14:paraId="062D3161" w14:textId="77777777" w:rsidR="00FB61B9" w:rsidRDefault="00FB61B9">
            <w:pPr>
              <w:spacing w:after="40"/>
            </w:pPr>
          </w:p>
          <w:p w14:paraId="0ECBFA35" w14:textId="77777777" w:rsidR="00FB61B9" w:rsidRDefault="00000000">
            <w:pPr>
              <w:spacing w:after="40"/>
            </w:pPr>
            <w:r>
              <w:rPr>
                <w:sz w:val="19"/>
              </w:rPr>
              <w:t>EXPOSICIÓN TOLERABLE (1 – 6)</w:t>
            </w:r>
          </w:p>
          <w:p w14:paraId="424A7DEC" w14:textId="77777777" w:rsidR="00FB61B9" w:rsidRDefault="00000000">
            <w:pPr>
              <w:spacing w:after="40"/>
            </w:pPr>
            <w:r>
              <w:rPr>
                <w:sz w:val="19"/>
              </w:rPr>
              <w:t>R-12 · Indisponibilidad del servicio de tipo de cambio de SUNAT/BCRP (6). Mitigación: caché diaria, circuit breaker y uso del último valor conocido con advertencia al cliente.</w:t>
            </w:r>
          </w:p>
        </w:tc>
      </w:tr>
      <w:tr w:rsidR="00357073" w:rsidRPr="00AF7F97" w14:paraId="6E153DC9" w14:textId="77777777" w:rsidTr="00357073">
        <w:trPr>
          <w:trHeight w:val="288"/>
        </w:trPr>
        <w:tc>
          <w:tcPr>
            <w:tcW w:w="5228" w:type="dxa"/>
            <w:gridSpan w:val="2"/>
            <w:shd w:val="clear" w:color="auto" w:fill="004C96"/>
            <w:vAlign w:val="center"/>
          </w:tcPr>
          <w:p w14:paraId="72E08A33" w14:textId="77777777" w:rsidR="00FB61B9" w:rsidRPr="00577CEE" w:rsidRDefault="00000000">
            <w:pPr>
              <w:spacing w:after="40"/>
              <w:rPr>
                <w:color w:val="FFFFFF" w:themeColor="background1"/>
              </w:rPr>
            </w:pPr>
            <w:r w:rsidRPr="00577CEE">
              <w:rPr>
                <w:b/>
                <w:color w:val="FFFFFF" w:themeColor="background1"/>
                <w:sz w:val="19"/>
              </w:rPr>
              <w:lastRenderedPageBreak/>
              <w:t>NOMBRE Y FIRMA  ·  Name/Signatures</w:t>
            </w:r>
          </w:p>
        </w:tc>
        <w:tc>
          <w:tcPr>
            <w:tcW w:w="5228" w:type="dxa"/>
            <w:gridSpan w:val="2"/>
            <w:shd w:val="clear" w:color="auto" w:fill="004C96"/>
            <w:vAlign w:val="center"/>
          </w:tcPr>
          <w:p w14:paraId="2B22B8B8" w14:textId="77777777" w:rsidR="00FB61B9" w:rsidRPr="00577CEE" w:rsidRDefault="00000000">
            <w:pPr>
              <w:spacing w:after="40"/>
              <w:rPr>
                <w:color w:val="FFFFFF" w:themeColor="background1"/>
              </w:rPr>
            </w:pPr>
            <w:r w:rsidRPr="00577CEE">
              <w:rPr>
                <w:b/>
                <w:color w:val="FFFFFF" w:themeColor="background1"/>
                <w:sz w:val="19"/>
              </w:rPr>
              <w:t>ROL Y RESPONSABILIDAD  ·  Roles and Responsibility</w:t>
            </w:r>
          </w:p>
        </w:tc>
      </w:tr>
      <w:tr w:rsidR="00357073" w:rsidRPr="00AF7F97" w14:paraId="3B16381B" w14:textId="77777777" w:rsidTr="002457F6">
        <w:trPr>
          <w:trHeight w:val="288"/>
        </w:trPr>
        <w:tc>
          <w:tcPr>
            <w:tcW w:w="5228" w:type="dxa"/>
            <w:gridSpan w:val="2"/>
            <w:vAlign w:val="center"/>
          </w:tcPr>
          <w:p w14:paraId="3FF04B25" w14:textId="77777777" w:rsidR="00FB61B9" w:rsidRDefault="00000000">
            <w:pPr>
              <w:spacing w:after="40"/>
            </w:pPr>
            <w:r>
              <w:rPr>
                <w:sz w:val="19"/>
              </w:rPr>
              <w:t>Directorio de Ayni Bank S.A.</w:t>
            </w:r>
          </w:p>
        </w:tc>
        <w:tc>
          <w:tcPr>
            <w:tcW w:w="5228" w:type="dxa"/>
            <w:gridSpan w:val="2"/>
            <w:vAlign w:val="center"/>
          </w:tcPr>
          <w:p w14:paraId="007F9F7D" w14:textId="77777777" w:rsidR="00FB61B9" w:rsidRDefault="00000000">
            <w:pPr>
              <w:spacing w:after="40"/>
            </w:pPr>
            <w:r>
              <w:rPr>
                <w:sz w:val="19"/>
              </w:rPr>
              <w:t>Patrocinador del Proyecto — autoriza el inicio y aprueba alcance y presupuesto.</w:t>
            </w:r>
          </w:p>
        </w:tc>
      </w:tr>
      <w:tr w:rsidR="00357073" w:rsidRPr="00AF7F97" w14:paraId="2A245A14" w14:textId="77777777" w:rsidTr="002457F6">
        <w:trPr>
          <w:trHeight w:val="288"/>
        </w:trPr>
        <w:tc>
          <w:tcPr>
            <w:tcW w:w="5228" w:type="dxa"/>
            <w:gridSpan w:val="2"/>
            <w:vAlign w:val="center"/>
          </w:tcPr>
          <w:p w14:paraId="5E733867" w14:textId="77777777" w:rsidR="00FB61B9" w:rsidRDefault="00000000">
            <w:pPr>
              <w:spacing w:after="40"/>
            </w:pPr>
            <w:r>
              <w:rPr>
                <w:sz w:val="19"/>
              </w:rPr>
              <w:t>Dr. Carlos R. P. Tovar</w:t>
            </w:r>
          </w:p>
        </w:tc>
        <w:tc>
          <w:tcPr>
            <w:tcW w:w="5228" w:type="dxa"/>
            <w:gridSpan w:val="2"/>
            <w:vAlign w:val="center"/>
          </w:tcPr>
          <w:p w14:paraId="0547AF7F" w14:textId="77777777" w:rsidR="00FB61B9" w:rsidRDefault="00000000">
            <w:pPr>
              <w:spacing w:after="40"/>
            </w:pPr>
            <w:r>
              <w:rPr>
                <w:sz w:val="19"/>
              </w:rPr>
              <w:t>Product Owner — visión del producto, priorización del backlog y decisión de release.</w:t>
            </w:r>
          </w:p>
        </w:tc>
      </w:tr>
      <w:tr w:rsidR="00357073" w:rsidRPr="00AF7F97" w14:paraId="26505BB1" w14:textId="77777777" w:rsidTr="002457F6">
        <w:trPr>
          <w:trHeight w:val="288"/>
        </w:trPr>
        <w:tc>
          <w:tcPr>
            <w:tcW w:w="5228" w:type="dxa"/>
            <w:gridSpan w:val="2"/>
            <w:vAlign w:val="center"/>
          </w:tcPr>
          <w:p w14:paraId="4FA07AEB" w14:textId="77777777" w:rsidR="00FB61B9" w:rsidRDefault="00000000">
            <w:pPr>
              <w:spacing w:after="40"/>
            </w:pPr>
            <w:r>
              <w:rPr>
                <w:sz w:val="19"/>
              </w:rPr>
              <w:t>Joaquín Alfonso Loa Denegri</w:t>
            </w:r>
          </w:p>
        </w:tc>
        <w:tc>
          <w:tcPr>
            <w:tcW w:w="5228" w:type="dxa"/>
            <w:gridSpan w:val="2"/>
            <w:vAlign w:val="center"/>
          </w:tcPr>
          <w:p w14:paraId="5A98786A" w14:textId="77777777" w:rsidR="00FB61B9" w:rsidRDefault="00000000">
            <w:pPr>
              <w:spacing w:after="40"/>
            </w:pPr>
            <w:r>
              <w:rPr>
                <w:sz w:val="19"/>
              </w:rPr>
              <w:t>Scrum Master / Developer — facilita los eventos y vela por la Definition of Done.</w:t>
            </w:r>
          </w:p>
        </w:tc>
      </w:tr>
      <w:tr w:rsidR="00357073" w:rsidRPr="00AF7F97" w14:paraId="4C361D49" w14:textId="77777777" w:rsidTr="002457F6">
        <w:trPr>
          <w:trHeight w:val="288"/>
        </w:trPr>
        <w:tc>
          <w:tcPr>
            <w:tcW w:w="5228" w:type="dxa"/>
            <w:gridSpan w:val="2"/>
            <w:vAlign w:val="center"/>
          </w:tcPr>
          <w:p w14:paraId="73DA5F54" w14:textId="77777777" w:rsidR="00FB61B9" w:rsidRDefault="00000000">
            <w:pPr>
              <w:spacing w:after="40"/>
            </w:pPr>
            <w:r>
              <w:rPr>
                <w:sz w:val="19"/>
              </w:rPr>
              <w:t>Kiara Santti / Gerardo Socualaya / Eduardo Vargas / Frank Sotomayor / Fabián García</w:t>
            </w:r>
          </w:p>
        </w:tc>
        <w:tc>
          <w:tcPr>
            <w:tcW w:w="5228" w:type="dxa"/>
            <w:gridSpan w:val="2"/>
            <w:vAlign w:val="center"/>
          </w:tcPr>
          <w:p w14:paraId="1B88050A" w14:textId="77777777" w:rsidR="00FB61B9" w:rsidRDefault="00000000">
            <w:pPr>
              <w:spacing w:after="40"/>
            </w:pPr>
            <w:r>
              <w:rPr>
                <w:sz w:val="19"/>
              </w:rPr>
              <w:t>Developers — construyen el incremento del producto.</w:t>
            </w:r>
          </w:p>
        </w:tc>
      </w:tr>
      <w:tr w:rsidR="005C6121" w:rsidRPr="00AF7F97" w14:paraId="66956E1E" w14:textId="77777777" w:rsidTr="005C6121">
        <w:trPr>
          <w:trHeight w:val="288"/>
        </w:trPr>
        <w:tc>
          <w:tcPr>
            <w:tcW w:w="10456" w:type="dxa"/>
            <w:gridSpan w:val="4"/>
            <w:shd w:val="clear" w:color="auto" w:fill="004C96"/>
            <w:vAlign w:val="center"/>
          </w:tcPr>
          <w:p w14:paraId="530E4C64" w14:textId="77777777" w:rsidR="00FB61B9" w:rsidRPr="00577CEE" w:rsidRDefault="00000000">
            <w:pPr>
              <w:spacing w:after="40"/>
              <w:rPr>
                <w:color w:val="FFFFFF" w:themeColor="background1"/>
              </w:rPr>
            </w:pPr>
            <w:r w:rsidRPr="00577CEE">
              <w:rPr>
                <w:b/>
                <w:color w:val="FFFFFF" w:themeColor="background1"/>
                <w:sz w:val="19"/>
              </w:rPr>
              <w:t>Declaramos que el presente proyecto es viable. Autorizamos el inicio de la etapa de planificación y ejecución del proyecto.</w:t>
            </w:r>
          </w:p>
        </w:tc>
      </w:tr>
      <w:tr w:rsidR="00DB17C7" w:rsidRPr="00AF7F97" w14:paraId="543BDD9B" w14:textId="77777777" w:rsidTr="00867352">
        <w:trPr>
          <w:trHeight w:val="864"/>
        </w:trPr>
        <w:tc>
          <w:tcPr>
            <w:tcW w:w="2614" w:type="dxa"/>
            <w:shd w:val="clear" w:color="auto" w:fill="E6E6E6"/>
            <w:vAlign w:val="center"/>
          </w:tcPr>
          <w:p w14:paraId="0DAE7448" w14:textId="77777777" w:rsidR="00FB61B9" w:rsidRDefault="00000000">
            <w:pPr>
              <w:spacing w:after="40"/>
            </w:pPr>
            <w:r>
              <w:rPr>
                <w:b/>
                <w:sz w:val="19"/>
              </w:rPr>
              <w:t>Firma</w:t>
            </w:r>
          </w:p>
        </w:tc>
        <w:tc>
          <w:tcPr>
            <w:tcW w:w="2614" w:type="dxa"/>
            <w:vAlign w:val="center"/>
          </w:tcPr>
          <w:p w14:paraId="78AF9989"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03A2237F" w14:textId="77777777" w:rsidR="00FB61B9" w:rsidRDefault="00000000">
            <w:pPr>
              <w:spacing w:after="40"/>
            </w:pPr>
            <w:r>
              <w:rPr>
                <w:b/>
                <w:sz w:val="19"/>
              </w:rPr>
              <w:t>Firma</w:t>
            </w:r>
          </w:p>
        </w:tc>
        <w:tc>
          <w:tcPr>
            <w:tcW w:w="2614" w:type="dxa"/>
            <w:vAlign w:val="center"/>
          </w:tcPr>
          <w:p w14:paraId="7E386306" w14:textId="77777777" w:rsidR="00DB17C7" w:rsidRPr="00AF7F97" w:rsidRDefault="00DB17C7" w:rsidP="00054D35">
            <w:pPr>
              <w:ind w:left="90"/>
              <w:rPr>
                <w:rFonts w:ascii="Inter" w:hAnsi="Inter" w:cs="Arial"/>
                <w:color w:val="082146"/>
                <w:sz w:val="20"/>
                <w:szCs w:val="20"/>
              </w:rPr>
            </w:pPr>
          </w:p>
        </w:tc>
      </w:tr>
      <w:tr w:rsidR="00DB17C7" w:rsidRPr="00AF7F97" w14:paraId="106C5831" w14:textId="77777777" w:rsidTr="002457F6">
        <w:trPr>
          <w:trHeight w:val="288"/>
        </w:trPr>
        <w:tc>
          <w:tcPr>
            <w:tcW w:w="2614" w:type="dxa"/>
            <w:shd w:val="clear" w:color="auto" w:fill="E6E6E6"/>
            <w:vAlign w:val="center"/>
          </w:tcPr>
          <w:p w14:paraId="17B16A0A" w14:textId="77777777" w:rsidR="00FB61B9" w:rsidRDefault="00000000">
            <w:pPr>
              <w:spacing w:after="40"/>
            </w:pPr>
            <w:r>
              <w:rPr>
                <w:b/>
                <w:sz w:val="19"/>
              </w:rPr>
              <w:t>Fecha</w:t>
            </w:r>
          </w:p>
        </w:tc>
        <w:tc>
          <w:tcPr>
            <w:tcW w:w="2614" w:type="dxa"/>
            <w:vAlign w:val="center"/>
          </w:tcPr>
          <w:p w14:paraId="0C3DB63C" w14:textId="77777777" w:rsidR="00DB17C7" w:rsidRPr="00AF7F97" w:rsidRDefault="00DB17C7" w:rsidP="00054D35">
            <w:pPr>
              <w:ind w:left="90"/>
              <w:rPr>
                <w:rFonts w:ascii="Inter" w:hAnsi="Inter" w:cs="Arial"/>
                <w:color w:val="082146"/>
                <w:sz w:val="20"/>
                <w:szCs w:val="20"/>
              </w:rPr>
            </w:pPr>
          </w:p>
        </w:tc>
        <w:tc>
          <w:tcPr>
            <w:tcW w:w="2614" w:type="dxa"/>
            <w:shd w:val="clear" w:color="auto" w:fill="E6E6E6"/>
            <w:vAlign w:val="center"/>
          </w:tcPr>
          <w:p w14:paraId="3684E2E8" w14:textId="77777777" w:rsidR="00FB61B9" w:rsidRDefault="00000000">
            <w:pPr>
              <w:spacing w:after="40"/>
            </w:pPr>
            <w:r>
              <w:rPr>
                <w:b/>
                <w:sz w:val="19"/>
              </w:rPr>
              <w:t>Fecha</w:t>
            </w:r>
          </w:p>
        </w:tc>
        <w:tc>
          <w:tcPr>
            <w:tcW w:w="2614" w:type="dxa"/>
            <w:vAlign w:val="center"/>
          </w:tcPr>
          <w:p w14:paraId="2301A038" w14:textId="77777777" w:rsidR="00DB17C7" w:rsidRPr="00AF7F97" w:rsidRDefault="00DB17C7" w:rsidP="00054D35">
            <w:pPr>
              <w:ind w:left="90"/>
              <w:rPr>
                <w:rFonts w:ascii="Inter" w:hAnsi="Inter" w:cs="Arial"/>
                <w:color w:val="082146"/>
                <w:sz w:val="20"/>
                <w:szCs w:val="20"/>
              </w:rPr>
            </w:pPr>
          </w:p>
        </w:tc>
      </w:tr>
      <w:tr w:rsidR="00021731" w:rsidRPr="00AF7F97" w14:paraId="4D7E5E7D" w14:textId="77777777" w:rsidTr="002457F6">
        <w:trPr>
          <w:trHeight w:val="288"/>
        </w:trPr>
        <w:tc>
          <w:tcPr>
            <w:tcW w:w="2614" w:type="dxa"/>
            <w:shd w:val="clear" w:color="auto" w:fill="E6E6E6"/>
            <w:vAlign w:val="center"/>
          </w:tcPr>
          <w:p w14:paraId="27800D18" w14:textId="77777777" w:rsidR="00FB61B9" w:rsidRDefault="00000000">
            <w:pPr>
              <w:spacing w:after="40"/>
            </w:pPr>
            <w:r>
              <w:rPr>
                <w:b/>
                <w:sz w:val="19"/>
              </w:rPr>
              <w:t>Patrocinador del Proyecto</w:t>
            </w:r>
          </w:p>
          <w:p w14:paraId="76831B85" w14:textId="77777777" w:rsidR="00FB61B9" w:rsidRDefault="00000000">
            <w:pPr>
              <w:spacing w:after="40"/>
            </w:pPr>
            <w:r>
              <w:rPr>
                <w:b/>
                <w:sz w:val="19"/>
              </w:rPr>
              <w:t>Project Sponsor</w:t>
            </w:r>
          </w:p>
        </w:tc>
        <w:tc>
          <w:tcPr>
            <w:tcW w:w="2614" w:type="dxa"/>
            <w:vAlign w:val="center"/>
          </w:tcPr>
          <w:p w14:paraId="1EC3BA4D" w14:textId="77777777" w:rsidR="00021731" w:rsidRPr="00AF7F97" w:rsidRDefault="00021731" w:rsidP="00054D35">
            <w:pPr>
              <w:ind w:left="90"/>
              <w:rPr>
                <w:rFonts w:ascii="Inter" w:hAnsi="Inter" w:cs="Arial"/>
                <w:color w:val="082146"/>
                <w:sz w:val="20"/>
                <w:szCs w:val="20"/>
              </w:rPr>
            </w:pPr>
          </w:p>
        </w:tc>
        <w:tc>
          <w:tcPr>
            <w:tcW w:w="2614" w:type="dxa"/>
            <w:shd w:val="clear" w:color="auto" w:fill="E6E6E6"/>
            <w:vAlign w:val="center"/>
          </w:tcPr>
          <w:p w14:paraId="55CECE8C" w14:textId="77777777" w:rsidR="00FB61B9" w:rsidRDefault="00000000">
            <w:pPr>
              <w:spacing w:after="40"/>
            </w:pPr>
            <w:r>
              <w:rPr>
                <w:b/>
                <w:sz w:val="19"/>
              </w:rPr>
              <w:t>Scrum Master</w:t>
            </w:r>
          </w:p>
          <w:p w14:paraId="79D6C1FF" w14:textId="77777777" w:rsidR="00FB61B9" w:rsidRDefault="00000000">
            <w:pPr>
              <w:spacing w:after="40"/>
            </w:pPr>
            <w:r>
              <w:rPr>
                <w:b/>
                <w:sz w:val="19"/>
              </w:rPr>
              <w:t>Scrum Master</w:t>
            </w:r>
          </w:p>
        </w:tc>
        <w:tc>
          <w:tcPr>
            <w:tcW w:w="2614" w:type="dxa"/>
            <w:vAlign w:val="center"/>
          </w:tcPr>
          <w:p w14:paraId="3EDD5E7B" w14:textId="77777777" w:rsidR="00021731" w:rsidRPr="00AF7F97" w:rsidRDefault="00021731" w:rsidP="00054D35">
            <w:pPr>
              <w:ind w:left="90"/>
              <w:rPr>
                <w:rFonts w:ascii="Inter" w:hAnsi="Inter" w:cs="Arial"/>
                <w:color w:val="082146"/>
                <w:sz w:val="20"/>
                <w:szCs w:val="20"/>
              </w:rPr>
            </w:pPr>
          </w:p>
        </w:tc>
      </w:tr>
    </w:tbl>
    <w:p w14:paraId="03FBB808" w14:textId="77777777" w:rsidR="00054D35" w:rsidRPr="00AF7F97" w:rsidRDefault="00054D35" w:rsidP="00054D35">
      <w:pPr>
        <w:ind w:left="90"/>
        <w:rPr>
          <w:rFonts w:ascii="Inter" w:hAnsi="Inter"/>
        </w:rPr>
      </w:pPr>
    </w:p>
    <w:p w14:paraId="6ACFBD7B" w14:textId="77777777" w:rsidR="005447F8" w:rsidRPr="00AF7F97" w:rsidRDefault="00AF7F97" w:rsidP="00111BDE">
      <w:pPr>
        <w:widowControl/>
        <w:autoSpaceDE/>
        <w:autoSpaceDN/>
        <w:spacing w:after="160" w:line="259" w:lineRule="auto"/>
        <w:rPr>
          <w:rFonts w:ascii="Inter" w:hAnsi="Inter"/>
        </w:rPr>
      </w:pPr>
      <w:r w:rsidRPr="00AF7F97">
        <w:rPr>
          <w:rFonts w:ascii="Inter" w:hAnsi="Inter"/>
          <w:noProof/>
          <w14:ligatures w14:val="standardContextual"/>
        </w:rPr>
        <w:t xml:space="preserve"> </w:t>
      </w:r>
    </w:p>
    <w:sectPr w:rsidR="005447F8" w:rsidRPr="00AF7F97" w:rsidSect="00054D35">
      <w:headerReference w:type="default" r:id="rId6"/>
      <w:pgSz w:w="11906" w:h="16838"/>
      <w:pgMar w:top="144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B5EC2" w14:textId="77777777" w:rsidR="00641B59" w:rsidRDefault="00641B59" w:rsidP="00054D35">
      <w:r>
        <w:separator/>
      </w:r>
    </w:p>
  </w:endnote>
  <w:endnote w:type="continuationSeparator" w:id="0">
    <w:p w14:paraId="7E626C87" w14:textId="77777777" w:rsidR="00641B59" w:rsidRDefault="00641B59" w:rsidP="00054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variable"/>
    <w:sig w:usb0="E00002FF" w:usb1="1200A1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F8D35" w14:textId="77777777" w:rsidR="00641B59" w:rsidRDefault="00641B59" w:rsidP="00054D35">
      <w:r>
        <w:separator/>
      </w:r>
    </w:p>
  </w:footnote>
  <w:footnote w:type="continuationSeparator" w:id="0">
    <w:p w14:paraId="17FD4200" w14:textId="77777777" w:rsidR="00641B59" w:rsidRDefault="00641B59" w:rsidP="00054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1068E" w14:textId="6496302D" w:rsidR="00054D35" w:rsidRDefault="00577CEE">
    <w:pPr>
      <w:pStyle w:val="Encabezado"/>
    </w:pPr>
    <w:r w:rsidRPr="009C1222">
      <w:rPr>
        <w:noProof/>
        <w:lang w:val="es-PE"/>
      </w:rPr>
      <w:drawing>
        <wp:anchor distT="0" distB="0" distL="114300" distR="114300" simplePos="0" relativeHeight="251659264" behindDoc="0" locked="0" layoutInCell="1" allowOverlap="1" wp14:anchorId="70C32269" wp14:editId="69B76D21">
          <wp:simplePos x="0" y="0"/>
          <wp:positionH relativeFrom="margin">
            <wp:posOffset>-379730</wp:posOffset>
          </wp:positionH>
          <wp:positionV relativeFrom="paragraph">
            <wp:posOffset>-378791</wp:posOffset>
          </wp:positionV>
          <wp:extent cx="781050" cy="78105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87"/>
    <w:rsid w:val="00021731"/>
    <w:rsid w:val="00054D35"/>
    <w:rsid w:val="000D6BCE"/>
    <w:rsid w:val="00111BDE"/>
    <w:rsid w:val="001505E2"/>
    <w:rsid w:val="001E305D"/>
    <w:rsid w:val="002457F6"/>
    <w:rsid w:val="002A3973"/>
    <w:rsid w:val="002E1339"/>
    <w:rsid w:val="00347E73"/>
    <w:rsid w:val="00357073"/>
    <w:rsid w:val="00357C87"/>
    <w:rsid w:val="003C531D"/>
    <w:rsid w:val="003D796D"/>
    <w:rsid w:val="003D7C3A"/>
    <w:rsid w:val="00400002"/>
    <w:rsid w:val="004665F8"/>
    <w:rsid w:val="004729B1"/>
    <w:rsid w:val="004B37D5"/>
    <w:rsid w:val="00543BA6"/>
    <w:rsid w:val="005447F8"/>
    <w:rsid w:val="00577CEE"/>
    <w:rsid w:val="005A4A45"/>
    <w:rsid w:val="005B2EC5"/>
    <w:rsid w:val="005C3FBE"/>
    <w:rsid w:val="005C6121"/>
    <w:rsid w:val="005D01B0"/>
    <w:rsid w:val="006371FE"/>
    <w:rsid w:val="00641B59"/>
    <w:rsid w:val="00651037"/>
    <w:rsid w:val="006B191C"/>
    <w:rsid w:val="00742EC6"/>
    <w:rsid w:val="00833AC8"/>
    <w:rsid w:val="00862ABD"/>
    <w:rsid w:val="00867352"/>
    <w:rsid w:val="008D38C3"/>
    <w:rsid w:val="0092617D"/>
    <w:rsid w:val="009C034F"/>
    <w:rsid w:val="009D0A6F"/>
    <w:rsid w:val="00A32FD0"/>
    <w:rsid w:val="00A57B05"/>
    <w:rsid w:val="00AB552F"/>
    <w:rsid w:val="00AD040E"/>
    <w:rsid w:val="00AF7F97"/>
    <w:rsid w:val="00B53CE4"/>
    <w:rsid w:val="00C40D6D"/>
    <w:rsid w:val="00CA7131"/>
    <w:rsid w:val="00CB5336"/>
    <w:rsid w:val="00CF7DF6"/>
    <w:rsid w:val="00D03501"/>
    <w:rsid w:val="00D674E7"/>
    <w:rsid w:val="00D86ED3"/>
    <w:rsid w:val="00DA0FE8"/>
    <w:rsid w:val="00DB17C7"/>
    <w:rsid w:val="00E636AF"/>
    <w:rsid w:val="00E862C2"/>
    <w:rsid w:val="00F01EE7"/>
    <w:rsid w:val="00F22599"/>
    <w:rsid w:val="00F5150B"/>
    <w:rsid w:val="00F7191B"/>
    <w:rsid w:val="00FB1EFE"/>
    <w:rsid w:val="00FB61B9"/>
    <w:rsid w:val="00FD6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3F4DD"/>
  <w15:chartTrackingRefBased/>
  <w15:docId w15:val="{D084768E-AA9F-4AF3-BD3B-970244766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F8"/>
    <w:pPr>
      <w:widowControl w:val="0"/>
      <w:autoSpaceDE w:val="0"/>
      <w:autoSpaceDN w:val="0"/>
      <w:spacing w:after="0" w:line="240" w:lineRule="auto"/>
    </w:pPr>
    <w:rPr>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Paragraph">
    <w:name w:val="Table Paragraph"/>
    <w:basedOn w:val="Normal"/>
    <w:uiPriority w:val="1"/>
    <w:qFormat/>
    <w:rsid w:val="00357C87"/>
    <w:pPr>
      <w:ind w:left="106"/>
    </w:pPr>
    <w:rPr>
      <w:rFonts w:ascii="Arial" w:eastAsia="Arial" w:hAnsi="Arial" w:cs="Arial"/>
    </w:rPr>
  </w:style>
  <w:style w:type="table" w:styleId="Tablaconcuadrcula">
    <w:name w:val="Table Grid"/>
    <w:basedOn w:val="Tablanormal"/>
    <w:uiPriority w:val="39"/>
    <w:rsid w:val="00E862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54D35"/>
    <w:pPr>
      <w:tabs>
        <w:tab w:val="center" w:pos="4536"/>
        <w:tab w:val="right" w:pos="9072"/>
      </w:tabs>
    </w:pPr>
  </w:style>
  <w:style w:type="character" w:customStyle="1" w:styleId="EncabezadoCar">
    <w:name w:val="Encabezado Car"/>
    <w:basedOn w:val="Fuentedeprrafopredeter"/>
    <w:link w:val="Encabezado"/>
    <w:uiPriority w:val="99"/>
    <w:rsid w:val="00054D35"/>
    <w:rPr>
      <w:kern w:val="0"/>
      <w:lang w:val="en-US"/>
      <w14:ligatures w14:val="none"/>
    </w:rPr>
  </w:style>
  <w:style w:type="paragraph" w:styleId="Piedepgina">
    <w:name w:val="footer"/>
    <w:basedOn w:val="Normal"/>
    <w:link w:val="PiedepginaCar"/>
    <w:uiPriority w:val="99"/>
    <w:unhideWhenUsed/>
    <w:rsid w:val="00054D35"/>
    <w:pPr>
      <w:tabs>
        <w:tab w:val="center" w:pos="4536"/>
        <w:tab w:val="right" w:pos="9072"/>
      </w:tabs>
    </w:pPr>
  </w:style>
  <w:style w:type="character" w:customStyle="1" w:styleId="PiedepginaCar">
    <w:name w:val="Pie de página Car"/>
    <w:basedOn w:val="Fuentedeprrafopredeter"/>
    <w:link w:val="Piedepgina"/>
    <w:uiPriority w:val="99"/>
    <w:rsid w:val="00054D35"/>
    <w:rPr>
      <w:kern w:val="0"/>
      <w:lang w:val="en-US"/>
      <w14:ligatures w14:val="none"/>
    </w:rPr>
  </w:style>
  <w:style w:type="paragraph" w:styleId="Textoindependiente">
    <w:name w:val="Body Text"/>
    <w:basedOn w:val="Normal"/>
    <w:link w:val="TextoindependienteCar"/>
    <w:rsid w:val="00054D35"/>
    <w:pPr>
      <w:widowControl/>
      <w:autoSpaceDE/>
      <w:autoSpaceDN/>
      <w:spacing w:line="240" w:lineRule="atLeast"/>
      <w:jc w:val="both"/>
    </w:pPr>
    <w:rPr>
      <w:rFonts w:ascii="Arial" w:eastAsia="Times New Roman" w:hAnsi="Arial" w:cs="Times New Roman"/>
      <w:spacing w:val="-5"/>
      <w:szCs w:val="20"/>
    </w:rPr>
  </w:style>
  <w:style w:type="character" w:customStyle="1" w:styleId="TextoindependienteCar">
    <w:name w:val="Texto independiente Car"/>
    <w:basedOn w:val="Fuentedeprrafopredeter"/>
    <w:link w:val="Textoindependiente"/>
    <w:rsid w:val="00054D35"/>
    <w:rPr>
      <w:rFonts w:ascii="Arial" w:eastAsia="Times New Roman" w:hAnsi="Arial" w:cs="Times New Roman"/>
      <w:spacing w:val="-5"/>
      <w:kern w:val="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3002</Words>
  <Characters>16517</Characters>
  <Application>Microsoft Office Word</Application>
  <DocSecurity>0</DocSecurity>
  <Lines>137</Lines>
  <Paragraphs>38</Paragraphs>
  <ScaleCrop>false</ScaleCrop>
  <Company/>
  <LinksUpToDate>false</LinksUpToDate>
  <CharactersWithSpaces>19481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projectmanagement.ie</dc:creator>
  <cp:keywords/>
  <dc:description/>
  <cp:lastModifiedBy>ALUMNO - JOAQUIN ALFONSO LOA DENEGRI</cp:lastModifiedBy>
  <cp:revision>12</cp:revision>
  <dcterms:created xsi:type="dcterms:W3CDTF">2022-07-27T16:11:00Z</dcterms:created>
  <dcterms:modified xsi:type="dcterms:W3CDTF">2026-08-23T18:56:00Z</dcterms:modified>
</cp:coreProperties>
</file>