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64475"/>
          <w:sz w:val="36"/>
        </w:rPr>
        <w:t>ARQUITECTURA, ESTRUCTURA DEL CÓDIGO Y NAVEGACIÓN</w:t>
      </w:r>
    </w:p>
    <w:p>
      <w:pPr>
        <w:spacing w:after="40"/>
        <w:jc w:val="center"/>
      </w:pPr>
      <w:r>
        <w:rPr>
          <w:rFonts w:ascii="Calibri" w:hAnsi="Calibri"/>
          <w:b w:val="0"/>
          <w:sz w:val="24"/>
        </w:rPr>
        <w:t>Proyecto Ayni Bank — Plataforma de Banca 100 % Digital</w:t>
      </w:r>
    </w:p>
    <w:p>
      <w:pPr>
        <w:spacing w:after="280"/>
        <w:jc w:val="center"/>
      </w:pPr>
      <w:r>
        <w:rPr>
          <w:rFonts w:ascii="Calibri" w:hAnsi="Calibri"/>
          <w:b w:val="0"/>
          <w:color w:val="4A4A4A"/>
          <w:sz w:val="18"/>
        </w:rPr>
        <w:t>Versión 1.0 · 4 de septiembre de 2026 · Elaborado por Joaquín Alfonso Loa Denegri (Scrum Master)</w:t>
      </w:r>
    </w:p>
    <w:p>
      <w:pPr>
        <w:spacing w:before="300" w:after="100"/>
      </w:pPr>
      <w:r>
        <w:rPr>
          <w:rFonts w:ascii="Calibri" w:hAnsi="Calibri"/>
          <w:b/>
          <w:color w:val="064475"/>
          <w:sz w:val="26"/>
        </w:rPr>
        <w:t>1. ARQUITECTURA GENERAL DEL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8348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834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00"/>
      </w:pPr>
      <w:r>
        <w:rPr>
          <w:rFonts w:ascii="Calibri" w:hAnsi="Calibri"/>
          <w:b/>
          <w:color w:val="064475"/>
          <w:sz w:val="22"/>
        </w:rPr>
        <w:t>1.1 Por qué microservicios, y por qué estos cuatro</w:t>
      </w:r>
    </w:p>
    <w:p>
      <w:pPr>
        <w:spacing w:after="160"/>
        <w:jc w:val="both"/>
      </w:pPr>
      <w:r>
        <w:rPr>
          <w:rFonts w:ascii="Calibri" w:hAnsi="Calibri"/>
          <w:b w:val="0"/>
          <w:sz w:val="20"/>
        </w:rPr>
        <w:t xml:space="preserve">La pregunta no es si conviene dividir, sino </w:t>
      </w:r>
      <w:r>
        <w:rPr>
          <w:rFonts w:ascii="Calibri" w:hAnsi="Calibri"/>
          <w:b/>
          <w:sz w:val="20"/>
        </w:rPr>
        <w:t>por dónde</w:t>
      </w:r>
      <w:r>
        <w:rPr>
          <w:rFonts w:ascii="Calibri" w:hAnsi="Calibri"/>
          <w:b w:val="0"/>
          <w:sz w:val="20"/>
        </w:rPr>
        <w:t xml:space="preserve">. Un error frecuente es partir por entidad —un servicio de cuentas, otro de movimientos, otro de saldos—, y ese reparto tiene una consecuencia fatal en banca: </w:t>
      </w:r>
      <w:r>
        <w:rPr>
          <w:rFonts w:ascii="Calibri" w:hAnsi="Calibri"/>
          <w:b/>
          <w:sz w:val="20"/>
        </w:rPr>
        <w:t>una transferencia dejaría de ser una transacción y pasaría a ser una coreografía entre tres servicios</w:t>
      </w:r>
      <w:r>
        <w:rPr>
          <w:rFonts w:ascii="Calibri" w:hAnsi="Calibri"/>
          <w:b w:val="0"/>
          <w:sz w:val="20"/>
        </w:rPr>
        <w:t>, con la posibilidad real de que el dinero salga de una cuenta y no entre en la otra.</w:t>
      </w:r>
    </w:p>
    <w:p>
      <w:pPr>
        <w:spacing w:after="160"/>
        <w:jc w:val="both"/>
      </w:pPr>
      <w:r>
        <w:rPr>
          <w:rFonts w:ascii="Calibri" w:hAnsi="Calibri"/>
          <w:b w:val="0"/>
          <w:sz w:val="20"/>
        </w:rPr>
        <w:t xml:space="preserve">El corte se hace por </w:t>
      </w:r>
      <w:r>
        <w:rPr>
          <w:rFonts w:ascii="Calibri" w:hAnsi="Calibri"/>
          <w:b/>
          <w:sz w:val="20"/>
        </w:rPr>
        <w:t>contexto delimitado</w:t>
      </w:r>
      <w:r>
        <w:rPr>
          <w:rFonts w:ascii="Calibri" w:hAnsi="Calibri"/>
          <w:b w:val="0"/>
          <w:sz w:val="20"/>
        </w:rPr>
        <w:t xml:space="preserve">, siguiendo la regla de que </w:t>
      </w:r>
      <w:r>
        <w:rPr>
          <w:rFonts w:ascii="Calibri" w:hAnsi="Calibri"/>
          <w:b/>
          <w:sz w:val="20"/>
        </w:rPr>
        <w:t>el dinero viaja junto</w:t>
      </w:r>
      <w:r>
        <w:rPr>
          <w:rFonts w:ascii="Calibri" w:hAnsi="Calibri"/>
          <w:b w:val="0"/>
          <w:sz w:val="20"/>
        </w:rPr>
        <w:t>: cuentas, asientos y saldos viven en el mismo servicio y en la misma transacción. Ver ADR-0001.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061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Servicio</w:t>
            </w:r>
          </w:p>
        </w:tc>
        <w:tc>
          <w:tcPr>
            <w:tcW w:type="dxa" w:w="2494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Contexto delimitado</w:t>
            </w:r>
          </w:p>
        </w:tc>
        <w:tc>
          <w:tcPr>
            <w:tcW w:type="dxa" w:w="5102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Por qué está separado</w:t>
            </w:r>
          </w:p>
        </w:tc>
        <w:tc>
          <w:tcPr>
            <w:tcW w:type="dxa" w:w="4479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Qué NO hace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7"/>
              </w:rPr>
              <w:t>ayni-gateway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Borde de la red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Concentra las preocupaciones transversales —token, CORS, tasa— en un solo punto. Es el único con puerto publicado.</w:t>
            </w:r>
          </w:p>
        </w:tc>
        <w:tc>
          <w:tcPr>
            <w:tcW w:type="dxa" w:w="44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No contiene lógica de negocio. Si la tuviera, sería un cuello de botella y un punto único de fallo con estado.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7"/>
              </w:rPr>
              <w:t>ayni-identity-service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Quién eres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La identidad cambia por motivos distintos que el dinero: políticas de contraseña, segundos factores, normativa de datos personales.</w:t>
            </w:r>
          </w:p>
        </w:tc>
        <w:tc>
          <w:tcPr>
            <w:tcW w:type="dxa" w:w="44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No conoce saldos ni cuentas. Publica un evento cuando aprueba una solicitud y se desentiende.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7"/>
              </w:rPr>
              <w:t>ayni-core-banking-service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Cuánto tienes y qué hiciste con ello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 xml:space="preserve">Es el corazón contable. </w:t>
            </w:r>
            <w:r>
              <w:rPr>
                <w:rFonts w:ascii="Calibri" w:hAnsi="Calibri"/>
                <w:b/>
                <w:sz w:val="17"/>
              </w:rPr>
              <w:t>Todo lo que toca dinero está aquí</w:t>
            </w:r>
            <w:r>
              <w:rPr>
                <w:rFonts w:ascii="Calibri" w:hAnsi="Calibri"/>
                <w:b w:val="0"/>
                <w:sz w:val="17"/>
              </w:rPr>
              <w:t>, de modo que una operación monetaria nunca cruza una frontera de red.</w:t>
            </w:r>
          </w:p>
        </w:tc>
        <w:tc>
          <w:tcPr>
            <w:tcW w:type="dxa" w:w="44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No autentica ni verifica identidad. Confía en el titular que el gateway ya validó.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7"/>
              </w:rPr>
              <w:t>ayni-kyc-service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Eres quien dices ser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 xml:space="preserve">Único servicio en Python, porque el ecosistema de OCR y biometría vive ahí. </w:t>
            </w:r>
            <w:r>
              <w:rPr>
                <w:rFonts w:ascii="Calibri" w:hAnsi="Calibri"/>
                <w:b/>
                <w:sz w:val="17"/>
              </w:rPr>
              <w:t>El lenguaje lo impone la biblioteca, no la preferencia.</w:t>
            </w:r>
          </w:p>
        </w:tc>
        <w:tc>
          <w:tcPr>
            <w:tcW w:type="dxa" w:w="44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No decide si se abre la cuenta. Devuelve un valor de similitud; la decisión es de identity.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7"/>
              </w:rPr>
              <w:t>ayni-notification-service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Avisar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Consume eventos y no conoce a nadie. Si se cae, el negocio sigue funcionando: los avisos se acumulan y salen después.</w:t>
            </w:r>
          </w:p>
        </w:tc>
        <w:tc>
          <w:tcPr>
            <w:tcW w:type="dxa" w:w="44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No es llamado por nadie de forma síncrona. Nunca bloquea una operación.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7"/>
              </w:rPr>
              <w:t>ayni-web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Experiencia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Renderizado en servidor para que el contenido llegue pintado y no ensamblado en el navegador.</w:t>
            </w:r>
          </w:p>
        </w:tc>
        <w:tc>
          <w:tcPr>
            <w:tcW w:type="dxa" w:w="44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No habla con ningún servicio directamente. Solo con el gateway.</w:t>
            </w:r>
          </w:p>
        </w:tc>
      </w:tr>
    </w:tbl>
    <w:p>
      <w:pPr>
        <w:spacing w:after="160"/>
        <w:jc w:val="both"/>
      </w:pPr>
    </w:p>
    <w:p>
      <w:pPr>
        <w:spacing w:before="200" w:after="100"/>
      </w:pPr>
      <w:r>
        <w:rPr>
          <w:rFonts w:ascii="Calibri" w:hAnsi="Calibri"/>
          <w:b/>
          <w:color w:val="064475"/>
          <w:sz w:val="22"/>
        </w:rPr>
        <w:t>1.2 Comunicación entre servicios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402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Camino</w:t>
            </w:r>
          </w:p>
        </w:tc>
        <w:tc>
          <w:tcPr>
            <w:tcW w:type="dxa" w:w="2494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Mecanismo</w:t>
            </w:r>
          </w:p>
        </w:tc>
        <w:tc>
          <w:tcPr>
            <w:tcW w:type="dxa" w:w="4309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Cuándo se usa</w:t>
            </w:r>
          </w:p>
        </w:tc>
        <w:tc>
          <w:tcPr>
            <w:tcW w:type="dxa" w:w="4932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Garantía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Navegador → gateway → servicio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HTTP síncrono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Cuando quien llama necesita la respuesta para continuar: iniciar sesión, consultar un saldo.</w:t>
            </w:r>
          </w:p>
        </w:tc>
        <w:tc>
          <w:tcPr>
            <w:tcW w:type="dxa" w:w="49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El gateway valida el token antes de enrutar. Ningún servicio es alcanzable por otra vía.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Servicio → servicio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Eventos por RabbitMQ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Cuando el emisor no necesita esperar: identity aprueba una solicitud y core-banking abre la cuenta.</w:t>
            </w:r>
          </w:p>
        </w:tc>
        <w:tc>
          <w:tcPr>
            <w:tcW w:type="dxa" w:w="49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7"/>
              </w:rPr>
              <w:t>Patrón de bandeja de salida (ADR-0003):</w:t>
            </w:r>
            <w:r>
              <w:rPr>
                <w:rFonts w:ascii="Calibri" w:hAnsi="Calibri"/>
                <w:b w:val="0"/>
                <w:sz w:val="17"/>
              </w:rPr>
              <w:t xml:space="preserve"> el evento se escribe en la misma transacción que el hecho que lo origina, y un publicador lo envía después. Si el envío falla, se reintenta; el hecho y su evento nunca se separan.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Navegador → MinIO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URL prefirmada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Subida de documentos e imágenes biométricas.</w:t>
            </w:r>
          </w:p>
        </w:tc>
        <w:tc>
          <w:tcPr>
            <w:tcW w:type="dxa" w:w="49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 xml:space="preserve">Las imágenes </w:t>
            </w:r>
            <w:r>
              <w:rPr>
                <w:rFonts w:ascii="Calibri" w:hAnsi="Calibri"/>
                <w:b/>
                <w:sz w:val="17"/>
              </w:rPr>
              <w:t>no atraviesan la API</w:t>
            </w:r>
            <w:r>
              <w:rPr>
                <w:rFonts w:ascii="Calibri" w:hAnsi="Calibri"/>
                <w:b w:val="0"/>
                <w:sz w:val="17"/>
              </w:rPr>
              <w:t>: el servicio firma una URL temporal y el navegador sube directamente. Menos carga y menos superficie.</w:t>
            </w:r>
          </w:p>
        </w:tc>
      </w:tr>
    </w:tbl>
    <w:p>
      <w:pPr>
        <w:spacing w:after="160"/>
        <w:jc w:val="both"/>
      </w:pPr>
    </w:p>
    <w:p>
      <w:pPr>
        <w:spacing w:after="160"/>
        <w:jc w:val="both"/>
      </w:pPr>
      <w:r>
        <w:rPr>
          <w:rFonts w:ascii="Calibri" w:hAnsi="Calibri"/>
          <w:b/>
          <w:sz w:val="20"/>
        </w:rPr>
        <w:t>Una consecuencia incómoda de la mensajería asíncrona, y cómo se resuelve.</w:t>
      </w:r>
      <w:r>
        <w:rPr>
          <w:rFonts w:ascii="Calibri" w:hAnsi="Calibri"/>
          <w:b w:val="0"/>
          <w:sz w:val="20"/>
        </w:rPr>
        <w:t xml:space="preserve"> RabbitMQ entrega </w:t>
      </w:r>
      <w:r>
        <w:rPr>
          <w:rFonts w:ascii="Calibri" w:hAnsi="Calibri"/>
          <w:b/>
          <w:sz w:val="20"/>
        </w:rPr>
        <w:t>al menos una vez</w:t>
      </w:r>
      <w:r>
        <w:rPr>
          <w:rFonts w:ascii="Calibri" w:hAnsi="Calibri"/>
          <w:b w:val="0"/>
          <w:sz w:val="20"/>
        </w:rPr>
        <w:t xml:space="preserve">, no exactamente una vez: ante un fallo de red el mismo evento puede llegar dos veces. En un sistema que abre cuentas eso significaría abrir dos. Por eso </w:t>
      </w:r>
      <w:r>
        <w:rPr>
          <w:rFonts w:ascii="Calibri" w:hAnsi="Calibri"/>
          <w:b/>
          <w:sz w:val="20"/>
        </w:rPr>
        <w:t>toda operación monetaria es idempotente</w:t>
      </w:r>
      <w:r>
        <w:rPr>
          <w:rFonts w:ascii="Calibri" w:hAnsi="Calibri"/>
          <w:b w:val="0"/>
          <w:sz w:val="20"/>
        </w:rPr>
        <w:t>: se registra la clave de la operación antes de ejecutarla y un segundo intento con la misma clave devuelve el resultado del primero sin volver a hacer nada. Está verificado con una prueba que reenvía el mismo evento y comprueba que sigue existiendo una sola cuenta.</w:t>
      </w:r>
    </w:p>
    <w:p>
      <w:r>
        <w:br w:type="page"/>
      </w:r>
    </w:p>
    <w:p>
      <w:pPr>
        <w:spacing w:before="300" w:after="100"/>
      </w:pPr>
      <w:r>
        <w:rPr>
          <w:rFonts w:ascii="Calibri" w:hAnsi="Calibri"/>
          <w:b/>
          <w:color w:val="064475"/>
          <w:sz w:val="26"/>
        </w:rPr>
        <w:t>2. ESTRUCTURA DEL CÓDIGO FUENTE</w:t>
      </w:r>
    </w:p>
    <w:p>
      <w:pPr>
        <w:spacing w:after="160"/>
        <w:jc w:val="both"/>
      </w:pPr>
      <w:r>
        <w:rPr>
          <w:rFonts w:ascii="Calibri" w:hAnsi="Calibri"/>
          <w:b/>
          <w:sz w:val="20"/>
        </w:rPr>
        <w:t>Un solo repositorio para los seis desplegables.</w:t>
      </w:r>
      <w:r>
        <w:rPr>
          <w:rFonts w:ascii="Calibri" w:hAnsi="Calibri"/>
          <w:b w:val="0"/>
          <w:sz w:val="20"/>
        </w:rPr>
        <w:t xml:space="preserve"> La alternativa —un repositorio por servicio— obligaría a coordinar seis cambios y seis Pull Requests para modificar un contrato compartido, y haría imposible verificar en una sola ejecución que el conjunto sigue integrándose.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7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7"/>
              </w:rPr>
              <w:t>ayni-bank/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├── contracts/                  Contratos OpenAPI compartidos entre servicios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├── docs/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├── arquitectura/           Documento de diseño y once ADR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├── gestion/                Product Backlog y un Sprint Backlog por sprint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└── marca/                  Tokens de la guía de estilo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├── infra/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├── docker/                 docker-compose.yml con los once contenedores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└── observability/          Configuración de Prometheus, Grafana y Loki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├── services/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├── ayni-gateway/           Java · Spring Cloud Gateway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├── ayni-identity-service/  Java · hexagonal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├── ayni-core-banking-service/  Java · hexagonal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├── ayni-kyc-service/       Python · FastAPI, estructura equivalente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└── ayni-notification-service/  Java · hexagonal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├── web/ayni-web/               Next.js · App Router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├── .github/workflows/          ci.yml y cd.yml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├── pom.xml                     Proyecto Maven multimódulo · Java 21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└── mvnw                        Envoltorio de Maven: nadie necesita instalarlo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</w:r>
          </w:p>
        </w:tc>
      </w:tr>
    </w:tbl>
    <w:p>
      <w:pPr>
        <w:spacing w:after="160"/>
        <w:jc w:val="both"/>
      </w:pPr>
    </w:p>
    <w:p>
      <w:pPr>
        <w:spacing w:before="200" w:after="100"/>
      </w:pPr>
      <w:r>
        <w:rPr>
          <w:rFonts w:ascii="Calibri" w:hAnsi="Calibri"/>
          <w:b/>
          <w:color w:val="064475"/>
          <w:sz w:val="22"/>
        </w:rPr>
        <w:t>2.1 Estructura interna de un servicio Java</w:t>
      </w:r>
    </w:p>
    <w:p>
      <w:pPr>
        <w:spacing w:after="160"/>
        <w:jc w:val="both"/>
      </w:pPr>
      <w:r>
        <w:rPr>
          <w:rFonts w:ascii="Calibri" w:hAnsi="Calibri"/>
          <w:b w:val="0"/>
          <w:sz w:val="20"/>
        </w:rPr>
        <w:t>Los tres servicios de negocio en Java comparten la misma estructura hexagonal. El ejemplo es `ayni-identity-service`, pero el reparto de paquetes es idéntico en los demás: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7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7"/>
              </w:rPr>
              <w:t>pe/ayni/bank/identity/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├── domain/                     ← NO importa ningún framework. ArchUnit lo verifica.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├── model/                  Entidades y objetos de valor: Usuario, ControlDeAcceso,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│                           SecretoTotp, RefreshToken, DocumentoDeIdentidad…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├── port/in/                Qué se le puede pedir al dominio (casos de uso)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├── port/out/               Qué necesita el dominio del exterior (repositorios, cifrado…)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└── service/                Reglas que no pertenecen a una sola entidad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├── application/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└── usecase/                Orquesta el dominio. Depende de puertos, no de adaptadores.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└── infrastructure/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 xml:space="preserve">    ├── config/                 Cableado de Spring: aquí y en ningún otro sitio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 xml:space="preserve">    ├── in/web/                 Controladores REST y DTO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 xml:space="preserve">    └── out/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 xml:space="preserve">        ├── persistence/        Adaptador JPA y sus entidades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 xml:space="preserve">        ├── crypto/             Argon2id, AES-256-GCM, TOTP y firma de JWT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 xml:space="preserve">        └── messaging/          Publicación de eventos a RabbitMQ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</w:r>
          </w:p>
        </w:tc>
      </w:tr>
    </w:tbl>
    <w:p>
      <w:pPr>
        <w:spacing w:after="160"/>
        <w:jc w:val="both"/>
      </w:pPr>
    </w:p>
    <w:p>
      <w:pPr>
        <w:spacing w:after="160"/>
        <w:jc w:val="both"/>
      </w:pPr>
      <w:r>
        <w:rPr>
          <w:rFonts w:ascii="Calibri" w:hAnsi="Calibri"/>
          <w:b/>
          <w:sz w:val="20"/>
        </w:rPr>
        <w:t>La dirección de las dependencias es la regla, y es lo único que hace que esto sirva de algo.</w:t>
      </w:r>
      <w:r>
        <w:rPr>
          <w:rFonts w:ascii="Calibri" w:hAnsi="Calibri"/>
          <w:b w:val="0"/>
          <w:sz w:val="20"/>
        </w:rPr>
        <w:t xml:space="preserve"> `infrastructure` conoce a `application`, que conoce a `domain`. </w:t>
      </w:r>
      <w:r>
        <w:rPr>
          <w:rFonts w:ascii="Calibri" w:hAnsi="Calibri"/>
          <w:b/>
          <w:sz w:val="20"/>
        </w:rPr>
        <w:t>Nunca al revés.</w:t>
      </w:r>
      <w:r>
        <w:rPr>
          <w:rFonts w:ascii="Calibri" w:hAnsi="Calibri"/>
          <w:b w:val="0"/>
          <w:sz w:val="20"/>
        </w:rPr>
        <w:t xml:space="preserve"> El dominio define un puerto —`CifradorDeDatosPort`— y la infraestructura lo implementa —`CifradorAes256Gcm`—; si mañana se cambia el algoritmo, se escribe otro adaptador y el dominio no se entera.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762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Qué se verifica</w:t>
            </w:r>
          </w:p>
        </w:tc>
        <w:tc>
          <w:tcPr>
            <w:tcW w:type="dxa" w:w="5102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Cómo</w:t>
            </w:r>
          </w:p>
        </w:tc>
        <w:tc>
          <w:tcPr>
            <w:tcW w:type="dxa" w:w="5272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Qué ocurre si se incumple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Que `domain` no importe Spring, JPA ni Jackson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`ArquitecturaHexagonalTest` con ArchUnit, en cada construcción</w:t>
            </w:r>
          </w:p>
        </w:tc>
        <w:tc>
          <w:tcPr>
            <w:tcW w:type="dxa" w:w="52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7"/>
              </w:rPr>
              <w:t>La construcción falla.</w:t>
            </w:r>
            <w:r>
              <w:rPr>
                <w:rFonts w:ascii="Calibri" w:hAnsi="Calibri"/>
                <w:b w:val="0"/>
                <w:sz w:val="17"/>
              </w:rPr>
              <w:t xml:space="preserve"> No es una recomendación del documento de estilo: es una prueba roja.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Que no haya tipos anidados dentro de un puerto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Regla de ArchUnit sobre `domain.port`</w:t>
            </w:r>
          </w:p>
        </w:tc>
        <w:tc>
          <w:tcPr>
            <w:tcW w:type="dxa" w:w="52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La construcción falla. Se detectó dos veces durante el Sprint 1 y obligó a mover clases a `domain.model`.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Que todo importe monetario use `BigDecimal`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Revisión en el Pull Request y ausencia de `double`/`float` en el dominio</w:t>
            </w:r>
          </w:p>
        </w:tc>
        <w:tc>
          <w:tcPr>
            <w:tcW w:type="dxa" w:w="52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Rechazo del Pull Request. La aritmética de coma flotante no representa 0.10 de forma exacta.</w:t>
            </w:r>
          </w:p>
        </w:tc>
      </w:tr>
    </w:tbl>
    <w:p>
      <w:pPr>
        <w:spacing w:after="160"/>
        <w:jc w:val="both"/>
      </w:pPr>
    </w:p>
    <w:p>
      <w:pPr>
        <w:spacing w:before="200" w:after="100"/>
      </w:pPr>
      <w:r>
        <w:rPr>
          <w:rFonts w:ascii="Calibri" w:hAnsi="Calibri"/>
          <w:b/>
          <w:color w:val="064475"/>
          <w:sz w:val="22"/>
        </w:rPr>
        <w:t>2.2 Estructura del front-end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7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7"/>
              </w:rPr>
              <w:t>web/ayni-web/src/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├── app/                        Enrutado por sistema de ficheros (App Router)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├── page.tsx                /              Landing pública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├── registro/page.tsx       /registro      Onboarding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├── registro/listo/         /registro/listo  Resultado de la verificación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├── ingresar/page.tsx       /ingresar      Acceso con segundo factor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└── pendiente/page.tsx      /pendiente     Destino honesto de lo aún no construido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├── componentes/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├── landing/                Secciones de la página pública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├── ingreso/                Pasos del acceso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│   └── onboarding/             Indicador de progreso y piezas comunes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└── lib/api.ts                  Único punto que habla con el gateway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  <w:t>e2e/                            140 pruebas de navegador con Playwright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7"/>
              </w:rPr>
            </w:r>
          </w:p>
        </w:tc>
      </w:tr>
    </w:tbl>
    <w:p>
      <w:pPr>
        <w:spacing w:after="160"/>
        <w:jc w:val="both"/>
      </w:pPr>
    </w:p>
    <w:p>
      <w:pPr>
        <w:spacing w:after="160"/>
        <w:jc w:val="both"/>
      </w:pPr>
      <w:r>
        <w:rPr>
          <w:rFonts w:ascii="Calibri" w:hAnsi="Calibri"/>
          <w:b/>
          <w:sz w:val="20"/>
        </w:rPr>
        <w:t>Sobre `/pendiente`.</w:t>
      </w:r>
      <w:r>
        <w:rPr>
          <w:rFonts w:ascii="Calibri" w:hAnsi="Calibri"/>
          <w:b w:val="0"/>
          <w:sz w:val="20"/>
        </w:rPr>
        <w:t xml:space="preserve"> Es una ruta real, no un descuido. Todo enlace del prototipo cuya funcionalidad aún no existe —recuperar contraseña, biometría del dispositivo— apunta ahí y explica qué falta y en qué sprint llega. La alternativa sería un botón que no hace nada, que es peor: </w:t>
      </w:r>
      <w:r>
        <w:rPr>
          <w:rFonts w:ascii="Calibri" w:hAnsi="Calibri"/>
          <w:b/>
          <w:sz w:val="20"/>
        </w:rPr>
        <w:t>el usuario no distingue entre «no implementado» y «roto», y el evaluador tampoco.</w:t>
      </w:r>
    </w:p>
    <w:p>
      <w:r>
        <w:br w:type="page"/>
      </w:r>
    </w:p>
    <w:p>
      <w:pPr>
        <w:spacing w:before="300" w:after="100"/>
      </w:pPr>
      <w:r>
        <w:rPr>
          <w:rFonts w:ascii="Calibri" w:hAnsi="Calibri"/>
          <w:b/>
          <w:color w:val="064475"/>
          <w:sz w:val="26"/>
        </w:rPr>
        <w:t>3. MAPA DE NAVEGACIÓN Y FLUJO DE INTERACCIÓN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65743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6574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00" w:after="100"/>
      </w:pPr>
      <w:r>
        <w:rPr>
          <w:rFonts w:ascii="Calibri" w:hAnsi="Calibri"/>
          <w:b/>
          <w:color w:val="064475"/>
          <w:sz w:val="26"/>
        </w:rPr>
        <w:t>4. DECISIONES ARQUITECTÓNICAS REGISTRADAS</w:t>
      </w:r>
    </w:p>
    <w:p>
      <w:pPr>
        <w:spacing w:after="160"/>
        <w:jc w:val="both"/>
      </w:pPr>
      <w:r>
        <w:rPr>
          <w:rFonts w:ascii="Calibri" w:hAnsi="Calibri"/>
          <w:b w:val="0"/>
          <w:sz w:val="20"/>
        </w:rPr>
        <w:t xml:space="preserve">Once decisiones documentadas como ADR. El formato obliga a escribir </w:t>
      </w:r>
      <w:r>
        <w:rPr>
          <w:rFonts w:ascii="Calibri" w:hAnsi="Calibri"/>
          <w:b/>
          <w:sz w:val="20"/>
        </w:rPr>
        <w:t>el contexto, las alternativas evaluadas y las consecuencias aceptadas</w:t>
      </w:r>
      <w:r>
        <w:rPr>
          <w:rFonts w:ascii="Calibri" w:hAnsi="Calibri"/>
          <w:b w:val="0"/>
          <w:sz w:val="20"/>
        </w:rPr>
        <w:t xml:space="preserve">, no solo la conclusión. Un ADR </w:t>
      </w:r>
      <w:r>
        <w:rPr>
          <w:rFonts w:ascii="Calibri" w:hAnsi="Calibri"/>
          <w:b/>
          <w:sz w:val="20"/>
        </w:rPr>
        <w:t>no se edita jamás</w:t>
      </w:r>
      <w:r>
        <w:rPr>
          <w:rFonts w:ascii="Calibri" w:hAnsi="Calibri"/>
          <w:b w:val="0"/>
          <w:sz w:val="20"/>
        </w:rPr>
        <w:t>: si una decisión cambia, se escribe uno nuevo que reemplaza al anterior, de modo que el histórico del razonamiento queda intacto.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ADR</w:t>
            </w:r>
          </w:p>
        </w:tc>
        <w:tc>
          <w:tcPr>
            <w:tcW w:type="dxa" w:w="5896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8107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Consecuencia aceptada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0001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Microservicios por contexto delimitado, no por entidad</w:t>
            </w:r>
          </w:p>
        </w:tc>
        <w:tc>
          <w:tcPr>
            <w:tcW w:type="dxa" w:w="810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Cuentas y asientos quedan juntos aunque el servicio crezca. El dinero no cruza la red.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0002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Arquitectura hexagonal verificada con ArchUnit</w:t>
            </w:r>
          </w:p>
        </w:tc>
        <w:tc>
          <w:tcPr>
            <w:tcW w:type="dxa" w:w="810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Más ficheros y más indirección a cambio de que la erosión arquitectónica sea imposible en silencio.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0003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Patrón de bandeja de salida transaccional</w:t>
            </w:r>
          </w:p>
        </w:tc>
        <w:tc>
          <w:tcPr>
            <w:tcW w:type="dxa" w:w="810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Latencia de segundos en la propagación de eventos, a cambio de que un hecho y su evento nunca se separen.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0004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Proyección local en vez de clave foránea entre esquemas</w:t>
            </w:r>
          </w:p>
        </w:tc>
        <w:tc>
          <w:tcPr>
            <w:tcW w:type="dxa" w:w="810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Datos duplicados y consistencia eventual, a cambio de independencia real entre servicios.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0005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Infraestructura híbrida ARM64: Raspberry Pi y Oracle Cloud</w:t>
            </w:r>
          </w:p>
        </w:tc>
        <w:tc>
          <w:tcPr>
            <w:tcW w:type="dxa" w:w="810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Dependencia de un nivel gratuito, mitigada por la portabilidad del contenedor (riesgo R-10).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0006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Activación escalonada de las puertas de calidad</w:t>
            </w:r>
          </w:p>
        </w:tc>
        <w:tc>
          <w:tcPr>
            <w:tcW w:type="dxa" w:w="810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Algunas verificaciones no bloquearon desde el primer día, para no paralizar el arranque.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0007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pen.dev para el prototipado de interfaces</w:t>
            </w:r>
          </w:p>
        </w:tc>
        <w:tc>
          <w:tcPr>
            <w:tcW w:type="dxa" w:w="810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Herramienta menos extendida que Figma, a cambio de exportar código coherente con el sistema de componentes.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0008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Respuesta indistinguible en el registro y en el ingreso</w:t>
            </w:r>
          </w:p>
        </w:tc>
        <w:tc>
          <w:tcPr>
            <w:tcW w:type="dxa" w:w="810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Mensajes de error menos útiles para el usuario legítimo, a cambio de no revelar qué cuentas existen.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0009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Identidad declarada antes del OCR</w:t>
            </w:r>
          </w:p>
        </w:tc>
        <w:tc>
          <w:tcPr>
            <w:tcW w:type="dxa" w:w="810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El solicitante teclea datos que el OCR volverá a leer, lo que permite contrastarlos y detectar discrepancias.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0010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Segundo factor TOTP y sesión rotativa</w:t>
            </w:r>
          </w:p>
        </w:tc>
        <w:tc>
          <w:tcPr>
            <w:tcW w:type="dxa" w:w="810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El usuario debe instalar una aplicación, a cambio de un factor que funciona sin señal y no viaja por la red.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0011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>Saldo derivado de los asientos</w:t>
            </w:r>
          </w:p>
        </w:tc>
        <w:tc>
          <w:tcPr>
            <w:tcW w:type="dxa" w:w="810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7"/>
              </w:rPr>
              <w:t xml:space="preserve">Cada consulta de saldo es una suma, no una lectura. A cambio, </w:t>
            </w:r>
            <w:r>
              <w:rPr>
                <w:rFonts w:ascii="Calibri" w:hAnsi="Calibri"/>
                <w:b/>
                <w:sz w:val="17"/>
              </w:rPr>
              <w:t>el saldo no puede descuadrar por construcción</w:t>
            </w:r>
            <w:r>
              <w:rPr>
                <w:rFonts w:ascii="Calibri" w:hAnsi="Calibri"/>
                <w:b w:val="0"/>
                <w:sz w:val="17"/>
              </w:rPr>
              <w:t>.</w:t>
            </w:r>
          </w:p>
        </w:tc>
      </w:tr>
    </w:tbl>
    <w:p>
      <w:pPr>
        <w:spacing w:after="160"/>
        <w:jc w:val="both"/>
      </w:pPr>
    </w:p>
    <w:p>
      <w:pPr>
        <w:spacing w:after="160"/>
        <w:jc w:val="both"/>
      </w:pPr>
      <w:r>
        <w:rPr>
          <w:rFonts w:ascii="Calibri" w:hAnsi="Calibri"/>
          <w:b/>
          <w:sz w:val="20"/>
        </w:rPr>
        <w:t>Por qué esta sección importa más de lo que parece.</w:t>
      </w:r>
      <w:r>
        <w:rPr>
          <w:rFonts w:ascii="Calibri" w:hAnsi="Calibri"/>
          <w:b w:val="0"/>
          <w:sz w:val="20"/>
        </w:rPr>
        <w:t xml:space="preserve"> El riesgo R-11 de la matriz es la pérdida de un integrante con conocimiento concentrado. La mitigación no es documentar </w:t>
      </w:r>
      <w:r>
        <w:rPr>
          <w:rFonts w:ascii="Calibri" w:hAnsi="Calibri"/>
          <w:b/>
          <w:sz w:val="20"/>
        </w:rPr>
        <w:t>qué</w:t>
      </w:r>
      <w:r>
        <w:rPr>
          <w:rFonts w:ascii="Calibri" w:hAnsi="Calibri"/>
          <w:b w:val="0"/>
          <w:sz w:val="20"/>
        </w:rPr>
        <w:t xml:space="preserve"> hace el código —eso se lee en el código— sino </w:t>
      </w:r>
      <w:r>
        <w:rPr>
          <w:rFonts w:ascii="Calibri" w:hAnsi="Calibri"/>
          <w:b/>
          <w:sz w:val="20"/>
        </w:rPr>
        <w:t>por qué se decidió así</w:t>
      </w:r>
      <w:r>
        <w:rPr>
          <w:rFonts w:ascii="Calibri" w:hAnsi="Calibri"/>
          <w:b w:val="0"/>
          <w:sz w:val="20"/>
        </w:rPr>
        <w:t>, que es lo único que no se puede reconstruir leyéndolo. Los ADR son esa mitigación, y su utilidad se comprobó al incorporar a un nuevo integrante en la semana 4.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