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64475"/>
          <w:sz w:val="36"/>
        </w:rPr>
        <w:t>MÉTRICAS, NIVELES DE SERVICIO Y PLAN DE MONITOREO</w:t>
      </w:r>
    </w:p>
    <w:p>
      <w:pPr>
        <w:spacing w:after="40"/>
        <w:jc w:val="center"/>
      </w:pPr>
      <w:r>
        <w:rPr>
          <w:rFonts w:ascii="Calibri" w:hAnsi="Calibri"/>
          <w:b w:val="0"/>
          <w:sz w:val="24"/>
        </w:rPr>
        <w:t>Proyecto Ayni Bank — Plataforma de Banca 100 % Digital</w:t>
      </w:r>
    </w:p>
    <w:p>
      <w:pPr>
        <w:spacing w:after="280"/>
        <w:jc w:val="center"/>
      </w:pPr>
      <w:r>
        <w:rPr>
          <w:rFonts w:ascii="Calibri" w:hAnsi="Calibri"/>
          <w:b w:val="0"/>
          <w:color w:val="4A4A4A"/>
          <w:sz w:val="18"/>
        </w:rPr>
        <w:t>Versión 1.0 · 3 de septiembre de 2026 · Elaborado por Joaquín Alfonso Loa Denegri (Scrum Master)</w:t>
      </w:r>
    </w:p>
    <w:p>
      <w:pPr>
        <w:spacing w:after="160"/>
        <w:jc w:val="both"/>
      </w:pPr>
      <w:r>
        <w:rPr>
          <w:rFonts w:ascii="Calibri" w:hAnsi="Calibri"/>
          <w:b/>
          <w:sz w:val="19"/>
        </w:rPr>
        <w:t>Principio rector:</w:t>
      </w:r>
      <w:r>
        <w:rPr>
          <w:rFonts w:ascii="Calibri" w:hAnsi="Calibri"/>
          <w:b w:val="0"/>
          <w:sz w:val="19"/>
        </w:rPr>
        <w:t xml:space="preserve"> ningún umbral de este documento se fija por intuición. Cada valor objetivo procede de una de tres fuentes —normativa peruana aplicable, estándar de industria medido por un organismo independiente, o línea base propia obtenida por medición— y la fuente se cita en la misma fila que el umbral. Un indicador sin umbral no sirve para alertar, y un umbral sin sustento no sirve para defenderse.</w:t>
      </w:r>
    </w:p>
    <w:p>
      <w:pPr>
        <w:spacing w:before="320" w:after="120"/>
      </w:pPr>
      <w:r>
        <w:rPr>
          <w:rFonts w:ascii="Calibri" w:hAnsi="Calibri"/>
          <w:b/>
          <w:color w:val="064475"/>
          <w:sz w:val="26"/>
        </w:rPr>
        <w:t>1. MARCO CONCEPTUAL: KPI, SLI, SLO Y SLA</w:t>
      </w:r>
    </w:p>
    <w:p>
      <w:pPr>
        <w:spacing w:after="160"/>
        <w:jc w:val="both"/>
      </w:pPr>
      <w:r>
        <w:rPr>
          <w:rFonts w:ascii="Calibri" w:hAnsi="Calibri"/>
          <w:b w:val="0"/>
          <w:sz w:val="19"/>
        </w:rPr>
        <w:t>Los cuatro términos se usan a menudo como sinónimos y no lo son. La distinción importa porque determina qué se mide, qué se promete y qué ocurre cuando la promesa se incumple.</w:t>
      </w:r>
    </w:p>
    <w:tbl>
      <w:tblPr>
        <w:tblStyle w:val="TableGrid"/>
        <w:tblW w:type="auto" w:w="0"/>
        <w:tblLook w:firstColumn="1" w:firstRow="1" w:lastColumn="0" w:lastRow="0" w:noHBand="0" w:noVBand="1" w:val="04A0"/>
      </w:tblPr>
      <w:tblGrid>
        <w:gridCol w:w="5046"/>
        <w:gridCol w:w="5046"/>
        <w:gridCol w:w="5046"/>
      </w:tblGrid>
      <w:tr>
        <w:tc>
          <w:tcPr>
            <w:tcW w:type="dxa" w:w="3061"/>
            <w:shd w:val="clear" w:color="auto" w:fill="064475"/>
          </w:tcPr>
          <w:p>
            <w:pPr>
              <w:spacing w:after="40" w:before="40"/>
            </w:pPr>
            <w:r/>
            <w:r>
              <w:rPr>
                <w:rFonts w:ascii="Calibri" w:hAnsi="Calibri"/>
                <w:b/>
                <w:color w:val="FFFFFF"/>
                <w:sz w:val="18"/>
              </w:rPr>
              <w:t>Término</w:t>
            </w:r>
          </w:p>
        </w:tc>
        <w:tc>
          <w:tcPr>
            <w:tcW w:type="dxa" w:w="5896"/>
            <w:shd w:val="clear" w:color="auto" w:fill="064475"/>
          </w:tcPr>
          <w:p>
            <w:pPr>
              <w:spacing w:after="40" w:before="40"/>
            </w:pPr>
            <w:r/>
            <w:r>
              <w:rPr>
                <w:rFonts w:ascii="Calibri" w:hAnsi="Calibri"/>
                <w:b/>
                <w:color w:val="FFFFFF"/>
                <w:sz w:val="18"/>
              </w:rPr>
              <w:t>Qué es</w:t>
            </w:r>
          </w:p>
        </w:tc>
        <w:tc>
          <w:tcPr>
            <w:tcW w:type="dxa" w:w="6180"/>
            <w:shd w:val="clear" w:color="auto" w:fill="064475"/>
          </w:tcPr>
          <w:p>
            <w:pPr>
              <w:spacing w:after="40" w:before="40"/>
            </w:pPr>
            <w:r/>
            <w:r>
              <w:rPr>
                <w:rFonts w:ascii="Calibri" w:hAnsi="Calibri"/>
                <w:b/>
                <w:color w:val="FFFFFF"/>
                <w:sz w:val="18"/>
              </w:rPr>
              <w:t>Ejemplo en Ayni Bank</w:t>
            </w:r>
          </w:p>
        </w:tc>
      </w:tr>
      <w:tr>
        <w:tc>
          <w:tcPr>
            <w:tcW w:type="dxa" w:w="3061"/>
          </w:tcPr>
          <w:p>
            <w:pPr>
              <w:spacing w:after="40" w:before="40"/>
            </w:pPr>
            <w:r/>
            <w:r>
              <w:rPr>
                <w:rFonts w:ascii="Calibri" w:hAnsi="Calibri"/>
                <w:b/>
                <w:sz w:val="18"/>
              </w:rPr>
              <w:t>KPI</w:t>
            </w:r>
            <w:r>
              <w:rPr>
                <w:rFonts w:ascii="Calibri" w:hAnsi="Calibri"/>
                <w:b w:val="0"/>
                <w:sz w:val="18"/>
              </w:rPr>
              <w:t xml:space="preserve"> — Key Performance Indicator</w:t>
            </w:r>
          </w:p>
        </w:tc>
        <w:tc>
          <w:tcPr>
            <w:tcW w:type="dxa" w:w="5896"/>
          </w:tcPr>
          <w:p>
            <w:pPr>
              <w:spacing w:after="40" w:before="40"/>
            </w:pPr>
            <w:r/>
            <w:r>
              <w:rPr>
                <w:rFonts w:ascii="Calibri" w:hAnsi="Calibri"/>
                <w:b w:val="0"/>
                <w:sz w:val="18"/>
              </w:rPr>
              <w:t>Métrica cuantificable que mide el éxito de un proceso. Responde a «¿cómo vamos?». Es el instrumento de medición.</w:t>
            </w:r>
          </w:p>
        </w:tc>
        <w:tc>
          <w:tcPr>
            <w:tcW w:type="dxa" w:w="6180"/>
          </w:tcPr>
          <w:p>
            <w:pPr>
              <w:spacing w:after="40" w:before="40"/>
            </w:pPr>
            <w:r/>
            <w:r>
              <w:rPr>
                <w:rFonts w:ascii="Calibri" w:hAnsi="Calibri"/>
                <w:b w:val="0"/>
                <w:sz w:val="18"/>
              </w:rPr>
              <w:t>Tasa de finalización del onboarding: 47 % de las solicitudes iniciadas terminan en cuenta abierta.</w:t>
            </w:r>
          </w:p>
        </w:tc>
      </w:tr>
      <w:tr>
        <w:tc>
          <w:tcPr>
            <w:tcW w:type="dxa" w:w="3061"/>
          </w:tcPr>
          <w:p>
            <w:pPr>
              <w:spacing w:after="40" w:before="40"/>
            </w:pPr>
            <w:r/>
            <w:r>
              <w:rPr>
                <w:rFonts w:ascii="Calibri" w:hAnsi="Calibri"/>
                <w:b/>
                <w:sz w:val="18"/>
              </w:rPr>
              <w:t>SLI</w:t>
            </w:r>
            <w:r>
              <w:rPr>
                <w:rFonts w:ascii="Calibri" w:hAnsi="Calibri"/>
                <w:b w:val="0"/>
                <w:sz w:val="18"/>
              </w:rPr>
              <w:t xml:space="preserve"> — Service Level Indicator</w:t>
            </w:r>
          </w:p>
        </w:tc>
        <w:tc>
          <w:tcPr>
            <w:tcW w:type="dxa" w:w="5896"/>
          </w:tcPr>
          <w:p>
            <w:pPr>
              <w:spacing w:after="40" w:before="40"/>
            </w:pPr>
            <w:r/>
            <w:r>
              <w:rPr>
                <w:rFonts w:ascii="Calibri" w:hAnsi="Calibri"/>
                <w:b w:val="0"/>
                <w:sz w:val="18"/>
              </w:rPr>
              <w:t>El KPI concreto que se ha elegido para vigilar un compromiso, con su fórmula exacta y su ventana de cálculo. No todo KPI es un SLI.</w:t>
            </w:r>
          </w:p>
        </w:tc>
        <w:tc>
          <w:tcPr>
            <w:tcW w:type="dxa" w:w="6180"/>
          </w:tcPr>
          <w:p>
            <w:pPr>
              <w:spacing w:after="40" w:before="40"/>
            </w:pPr>
            <w:r/>
            <w:r>
              <w:rPr>
                <w:rFonts w:ascii="Calibri" w:hAnsi="Calibri"/>
                <w:b w:val="0"/>
                <w:sz w:val="18"/>
              </w:rPr>
              <w:t>Proporción de peticiones a /api/v1/cuentas respondidas en menos de 800 ms, medida sobre ventana móvil de 28 días.</w:t>
            </w:r>
          </w:p>
        </w:tc>
      </w:tr>
      <w:tr>
        <w:tc>
          <w:tcPr>
            <w:tcW w:type="dxa" w:w="3061"/>
          </w:tcPr>
          <w:p>
            <w:pPr>
              <w:spacing w:after="40" w:before="40"/>
            </w:pPr>
            <w:r/>
            <w:r>
              <w:rPr>
                <w:rFonts w:ascii="Calibri" w:hAnsi="Calibri"/>
                <w:b/>
                <w:sz w:val="18"/>
              </w:rPr>
              <w:t>SLO</w:t>
            </w:r>
            <w:r>
              <w:rPr>
                <w:rFonts w:ascii="Calibri" w:hAnsi="Calibri"/>
                <w:b w:val="0"/>
                <w:sz w:val="18"/>
              </w:rPr>
              <w:t xml:space="preserve"> — Service Level Objective</w:t>
            </w:r>
          </w:p>
        </w:tc>
        <w:tc>
          <w:tcPr>
            <w:tcW w:type="dxa" w:w="5896"/>
          </w:tcPr>
          <w:p>
            <w:pPr>
              <w:spacing w:after="40" w:before="40"/>
            </w:pPr>
            <w:r/>
            <w:r>
              <w:rPr>
                <w:rFonts w:ascii="Calibri" w:hAnsi="Calibri"/>
                <w:b w:val="0"/>
                <w:sz w:val="18"/>
              </w:rPr>
              <w:t>El valor objetivo que ese SLI debe alcanzar. Es un objetivo interno del equipo, más exigente que lo prometido al cliente.</w:t>
            </w:r>
          </w:p>
        </w:tc>
        <w:tc>
          <w:tcPr>
            <w:tcW w:type="dxa" w:w="6180"/>
          </w:tcPr>
          <w:p>
            <w:pPr>
              <w:spacing w:after="40" w:before="40"/>
            </w:pPr>
            <w:r/>
            <w:r>
              <w:rPr>
                <w:rFonts w:ascii="Calibri" w:hAnsi="Calibri"/>
                <w:b w:val="0"/>
                <w:sz w:val="18"/>
              </w:rPr>
              <w:t>El 95 % de esas peticiones responde en menos de 800 ms.</w:t>
            </w:r>
          </w:p>
        </w:tc>
      </w:tr>
      <w:tr>
        <w:tc>
          <w:tcPr>
            <w:tcW w:type="dxa" w:w="3061"/>
          </w:tcPr>
          <w:p>
            <w:pPr>
              <w:spacing w:after="40" w:before="40"/>
            </w:pPr>
            <w:r/>
            <w:r>
              <w:rPr>
                <w:rFonts w:ascii="Calibri" w:hAnsi="Calibri"/>
                <w:b/>
                <w:sz w:val="18"/>
              </w:rPr>
              <w:t>SLA</w:t>
            </w:r>
            <w:r>
              <w:rPr>
                <w:rFonts w:ascii="Calibri" w:hAnsi="Calibri"/>
                <w:b w:val="0"/>
                <w:sz w:val="18"/>
              </w:rPr>
              <w:t xml:space="preserve"> — Service Level Agreement</w:t>
            </w:r>
          </w:p>
        </w:tc>
        <w:tc>
          <w:tcPr>
            <w:tcW w:type="dxa" w:w="5896"/>
          </w:tcPr>
          <w:p>
            <w:pPr>
              <w:spacing w:after="40" w:before="40"/>
            </w:pPr>
            <w:r/>
            <w:r>
              <w:rPr>
                <w:rFonts w:ascii="Calibri" w:hAnsi="Calibri"/>
                <w:b w:val="0"/>
                <w:sz w:val="18"/>
              </w:rPr>
              <w:t>El compromiso formal frente a quien recibe el servicio, con consecuencias declaradas si se incumple. Es más laxo que el SLO, a propósito: el margen entre ambos es el que permite reaccionar antes de incumplir.</w:t>
            </w:r>
          </w:p>
        </w:tc>
        <w:tc>
          <w:tcPr>
            <w:tcW w:type="dxa" w:w="6180"/>
          </w:tcPr>
          <w:p>
            <w:pPr>
              <w:spacing w:after="40" w:before="40"/>
            </w:pPr>
            <w:r/>
            <w:r>
              <w:rPr>
                <w:rFonts w:ascii="Calibri" w:hAnsi="Calibri"/>
                <w:b w:val="0"/>
                <w:sz w:val="18"/>
              </w:rPr>
              <w:t>Disponibilidad mensual del canal digital no inferior al 99.5 %.</w:t>
            </w:r>
          </w:p>
        </w:tc>
      </w:tr>
    </w:tbl>
    <w:p>
      <w:pPr>
        <w:spacing w:after="160"/>
        <w:jc w:val="both"/>
      </w:pPr>
    </w:p>
    <w:p>
      <w:pPr>
        <w:spacing w:after="160"/>
        <w:jc w:val="both"/>
      </w:pPr>
      <w:r>
        <w:rPr>
          <w:rFonts w:ascii="Calibri" w:hAnsi="Calibri"/>
          <w:b/>
          <w:sz w:val="19"/>
        </w:rPr>
        <w:t>Por qué el SLO es más estricto que el SLA.</w:t>
      </w:r>
      <w:r>
        <w:rPr>
          <w:rFonts w:ascii="Calibri" w:hAnsi="Calibri"/>
          <w:b w:val="0"/>
          <w:sz w:val="19"/>
        </w:rPr>
        <w:t xml:space="preserve"> Si ambos coincidieran, el equipo se enteraría de que ha incumplido el compromiso en el mismo instante en que lo incumple, sin margen para evitarlo. Fijando el objetivo interno por encima del compromiso externo, el incumplimiento del SLO es una alerta y no una falta. Es la práctica que Google documenta en su ingeniería de fiabilidad y la razón por la que este documento distingue, en cada indicador, un </w:t>
      </w:r>
      <w:r>
        <w:rPr>
          <w:rFonts w:ascii="Calibri" w:hAnsi="Calibri"/>
          <w:b/>
          <w:sz w:val="19"/>
        </w:rPr>
        <w:t>umbral objetivo</w:t>
      </w:r>
      <w:r>
        <w:rPr>
          <w:rFonts w:ascii="Calibri" w:hAnsi="Calibri"/>
          <w:b w:val="0"/>
          <w:sz w:val="19"/>
        </w:rPr>
        <w:t xml:space="preserve"> de un </w:t>
      </w:r>
      <w:r>
        <w:rPr>
          <w:rFonts w:ascii="Calibri" w:hAnsi="Calibri"/>
          <w:b/>
          <w:sz w:val="19"/>
        </w:rPr>
        <w:t>umbral de alerta</w:t>
      </w:r>
      <w:r>
        <w:rPr>
          <w:rFonts w:ascii="Calibri" w:hAnsi="Calibri"/>
          <w:b w:val="0"/>
          <w:sz w:val="19"/>
        </w:rPr>
        <w:t>.</w:t>
      </w:r>
    </w:p>
    <w:p>
      <w:pPr>
        <w:spacing w:before="320" w:after="120"/>
      </w:pPr>
      <w:r>
        <w:rPr>
          <w:rFonts w:ascii="Calibri" w:hAnsi="Calibri"/>
          <w:b/>
          <w:color w:val="064475"/>
          <w:sz w:val="26"/>
        </w:rPr>
        <w:t>2. METODOLOGÍA PARA FIJAR LOS UMBRALES</w:t>
      </w:r>
    </w:p>
    <w:p>
      <w:pPr>
        <w:spacing w:after="160"/>
        <w:jc w:val="both"/>
      </w:pPr>
      <w:r>
        <w:rPr>
          <w:rFonts w:ascii="Calibri" w:hAnsi="Calibri"/>
          <w:b w:val="0"/>
          <w:sz w:val="19"/>
        </w:rPr>
        <w:t>El problema de un umbral mal calibrado no es que sea alto o bajo, sino el ruido: un umbral demasiado sensible dispara alertas continuamente hasta que el equipo deja de mirarlas, y uno demasiado laxo no dispara nunca y los incidentes pasan inadvertidos. Para evitar ambos extremos, cada umbral de este documento se clasifica según su procedencia:</w:t>
      </w:r>
    </w:p>
    <w:tbl>
      <w:tblPr>
        <w:tblStyle w:val="TableGrid"/>
        <w:tblW w:type="auto" w:w="0"/>
        <w:tblLook w:firstColumn="1" w:firstRow="1" w:lastColumn="0" w:lastRow="0" w:noHBand="0" w:noVBand="1" w:val="04A0"/>
      </w:tblPr>
      <w:tblGrid>
        <w:gridCol w:w="5046"/>
        <w:gridCol w:w="5046"/>
        <w:gridCol w:w="5046"/>
      </w:tblGrid>
      <w:tr>
        <w:tc>
          <w:tcPr>
            <w:tcW w:type="dxa" w:w="2835"/>
            <w:shd w:val="clear" w:color="auto" w:fill="064475"/>
          </w:tcPr>
          <w:p>
            <w:pPr>
              <w:spacing w:after="40" w:before="40"/>
            </w:pPr>
            <w:r/>
            <w:r>
              <w:rPr>
                <w:rFonts w:ascii="Calibri" w:hAnsi="Calibri"/>
                <w:b/>
                <w:color w:val="FFFFFF"/>
                <w:sz w:val="18"/>
              </w:rPr>
              <w:t>Tipo de fuente</w:t>
            </w:r>
          </w:p>
        </w:tc>
        <w:tc>
          <w:tcPr>
            <w:tcW w:type="dxa" w:w="5329"/>
            <w:shd w:val="clear" w:color="auto" w:fill="064475"/>
          </w:tcPr>
          <w:p>
            <w:pPr>
              <w:spacing w:after="40" w:before="40"/>
            </w:pPr>
            <w:r/>
            <w:r>
              <w:rPr>
                <w:rFonts w:ascii="Calibri" w:hAnsi="Calibri"/>
                <w:b/>
                <w:color w:val="FFFFFF"/>
                <w:sz w:val="18"/>
              </w:rPr>
              <w:t>Qué aporta</w:t>
            </w:r>
          </w:p>
        </w:tc>
        <w:tc>
          <w:tcPr>
            <w:tcW w:type="dxa" w:w="6973"/>
            <w:shd w:val="clear" w:color="auto" w:fill="064475"/>
          </w:tcPr>
          <w:p>
            <w:pPr>
              <w:spacing w:after="40" w:before="40"/>
            </w:pPr>
            <w:r/>
            <w:r>
              <w:rPr>
                <w:rFonts w:ascii="Calibri" w:hAnsi="Calibri"/>
                <w:b/>
                <w:color w:val="FFFFFF"/>
                <w:sz w:val="18"/>
              </w:rPr>
              <w:t>Cómo se aplica aquí</w:t>
            </w:r>
          </w:p>
        </w:tc>
      </w:tr>
      <w:tr>
        <w:tc>
          <w:tcPr>
            <w:tcW w:type="dxa" w:w="2835"/>
          </w:tcPr>
          <w:p>
            <w:pPr>
              <w:spacing w:after="40" w:before="40"/>
            </w:pPr>
            <w:r/>
            <w:r>
              <w:rPr>
                <w:rFonts w:ascii="Calibri" w:hAnsi="Calibri"/>
                <w:b/>
                <w:sz w:val="18"/>
              </w:rPr>
              <w:t>N · Normativa</w:t>
            </w:r>
          </w:p>
        </w:tc>
        <w:tc>
          <w:tcPr>
            <w:tcW w:type="dxa" w:w="5329"/>
          </w:tcPr>
          <w:p>
            <w:pPr>
              <w:spacing w:after="40" w:before="40"/>
            </w:pPr>
            <w:r/>
            <w:r>
              <w:rPr>
                <w:rFonts w:ascii="Calibri" w:hAnsi="Calibri"/>
                <w:b w:val="0"/>
                <w:sz w:val="18"/>
              </w:rPr>
              <w:t>Obligación legal o regulatoria peruana. No es negociable ni se justifica por conveniencia técnica.</w:t>
            </w:r>
          </w:p>
        </w:tc>
        <w:tc>
          <w:tcPr>
            <w:tcW w:type="dxa" w:w="6973"/>
          </w:tcPr>
          <w:p>
            <w:pPr>
              <w:spacing w:after="40" w:before="40"/>
            </w:pPr>
            <w:r/>
            <w:r>
              <w:rPr>
                <w:rFonts w:ascii="Calibri" w:hAnsi="Calibri"/>
                <w:b w:val="0"/>
                <w:sz w:val="18"/>
              </w:rPr>
              <w:t>Resolución SBS N.º 504-2021 (seguridad de la información y ciberseguridad) y Resolución SBS N.º 877-2020 (continuidad del negocio). Ley N.º 29733 de protección de datos personales.</w:t>
            </w:r>
          </w:p>
        </w:tc>
      </w:tr>
      <w:tr>
        <w:tc>
          <w:tcPr>
            <w:tcW w:type="dxa" w:w="2835"/>
          </w:tcPr>
          <w:p>
            <w:pPr>
              <w:spacing w:after="40" w:before="40"/>
            </w:pPr>
            <w:r/>
            <w:r>
              <w:rPr>
                <w:rFonts w:ascii="Calibri" w:hAnsi="Calibri"/>
                <w:b/>
                <w:sz w:val="18"/>
              </w:rPr>
              <w:t>E · Estándar de industria</w:t>
            </w:r>
          </w:p>
        </w:tc>
        <w:tc>
          <w:tcPr>
            <w:tcW w:type="dxa" w:w="5329"/>
          </w:tcPr>
          <w:p>
            <w:pPr>
              <w:spacing w:after="40" w:before="40"/>
            </w:pPr>
            <w:r/>
            <w:r>
              <w:rPr>
                <w:rFonts w:ascii="Calibri" w:hAnsi="Calibri"/>
                <w:b w:val="0"/>
                <w:sz w:val="18"/>
              </w:rPr>
              <w:t>Valor medido y publicado por un organismo independiente sobre una población amplia. Permite comparar contra el sector y no contra uno mismo.</w:t>
            </w:r>
          </w:p>
        </w:tc>
        <w:tc>
          <w:tcPr>
            <w:tcW w:type="dxa" w:w="6973"/>
          </w:tcPr>
          <w:p>
            <w:pPr>
              <w:spacing w:after="40" w:before="40"/>
            </w:pPr>
            <w:r/>
            <w:r>
              <w:rPr>
                <w:rFonts w:ascii="Calibri" w:hAnsi="Calibri"/>
                <w:b w:val="0"/>
                <w:sz w:val="18"/>
              </w:rPr>
              <w:t>Umbrales de Core Web Vitals de Google, medidos al percentil 75 de datos de campo. Tasas de error del reconocimiento facial del NIST. Tasa de abandono del onboarting financiero de Signicat.</w:t>
            </w:r>
          </w:p>
        </w:tc>
      </w:tr>
      <w:tr>
        <w:tc>
          <w:tcPr>
            <w:tcW w:type="dxa" w:w="2835"/>
          </w:tcPr>
          <w:p>
            <w:pPr>
              <w:spacing w:after="40" w:before="40"/>
            </w:pPr>
            <w:r/>
            <w:r>
              <w:rPr>
                <w:rFonts w:ascii="Calibri" w:hAnsi="Calibri"/>
                <w:b/>
                <w:sz w:val="18"/>
              </w:rPr>
              <w:t>B · Línea base propia</w:t>
            </w:r>
          </w:p>
        </w:tc>
        <w:tc>
          <w:tcPr>
            <w:tcW w:type="dxa" w:w="5329"/>
          </w:tcPr>
          <w:p>
            <w:pPr>
              <w:spacing w:after="40" w:before="40"/>
            </w:pPr>
            <w:r/>
            <w:r>
              <w:rPr>
                <w:rFonts w:ascii="Calibri" w:hAnsi="Calibri"/>
                <w:b w:val="0"/>
                <w:sz w:val="18"/>
              </w:rPr>
              <w:t>Medición realizada sobre nuestro propio sistema. Es la única fuente válida cuando no existe referencia externa comparable.</w:t>
            </w:r>
          </w:p>
        </w:tc>
        <w:tc>
          <w:tcPr>
            <w:tcW w:type="dxa" w:w="6973"/>
          </w:tcPr>
          <w:p>
            <w:pPr>
              <w:spacing w:after="40" w:before="40"/>
            </w:pPr>
            <w:r/>
            <w:r>
              <w:rPr>
                <w:rFonts w:ascii="Calibri" w:hAnsi="Calibri"/>
                <w:b w:val="0"/>
                <w:sz w:val="18"/>
              </w:rPr>
              <w:t>Tasa de acierto del cotejo facial sobre el conjunto de imágenes de control del proyecto; latencia de la API medida sobre el hardware real de despliegue.</w:t>
            </w:r>
          </w:p>
        </w:tc>
      </w:tr>
    </w:tbl>
    <w:p>
      <w:pPr>
        <w:spacing w:after="160"/>
        <w:jc w:val="both"/>
      </w:pPr>
    </w:p>
    <w:p>
      <w:pPr>
        <w:spacing w:after="160"/>
        <w:jc w:val="both"/>
      </w:pPr>
      <w:r>
        <w:rPr>
          <w:rFonts w:ascii="Calibri" w:hAnsi="Calibri"/>
          <w:b/>
          <w:sz w:val="19"/>
        </w:rPr>
        <w:t>Una advertencia sobre el tipo B.</w:t>
      </w:r>
      <w:r>
        <w:rPr>
          <w:rFonts w:ascii="Calibri" w:hAnsi="Calibri"/>
          <w:b w:val="0"/>
          <w:sz w:val="19"/>
        </w:rPr>
        <w:t xml:space="preserve"> Una línea base propia no es un estándar: describe cómo se comporta este sistema, no cómo debería comportarse. Se usa únicamente donde no existe referencia externa aplicable, y se declara como tal para que nadie la lea como si tuviera el respaldo de un organismo independiente.</w:t>
      </w:r>
    </w:p>
    <w:p>
      <w:r>
        <w:br w:type="page"/>
      </w:r>
    </w:p>
    <w:p>
      <w:pPr>
        <w:spacing w:before="320" w:after="120"/>
      </w:pPr>
      <w:r>
        <w:rPr>
          <w:rFonts w:ascii="Calibri" w:hAnsi="Calibri"/>
          <w:b/>
          <w:color w:val="064475"/>
          <w:sz w:val="26"/>
        </w:rPr>
        <w:t>3. KPIs Y MÉTRICAS DEL SISTEMA</w:t>
      </w:r>
    </w:p>
    <w:p>
      <w:pPr>
        <w:spacing w:after="160"/>
        <w:jc w:val="both"/>
      </w:pPr>
      <w:r>
        <w:rPr>
          <w:rFonts w:ascii="Calibri" w:hAnsi="Calibri"/>
          <w:b w:val="0"/>
          <w:sz w:val="19"/>
        </w:rPr>
        <w:t xml:space="preserve">Los indicadores se agrupan en las cuatro capas en que un fallo puede originarse: negocio, aplicación, identidad y seguridad, e infraestructura. La columna </w:t>
      </w:r>
      <w:r>
        <w:rPr>
          <w:rFonts w:ascii="Calibri" w:hAnsi="Calibri"/>
          <w:b/>
          <w:sz w:val="19"/>
        </w:rPr>
        <w:t>Tipo</w:t>
      </w:r>
      <w:r>
        <w:rPr>
          <w:rFonts w:ascii="Calibri" w:hAnsi="Calibri"/>
          <w:b w:val="0"/>
          <w:sz w:val="19"/>
        </w:rPr>
        <w:t xml:space="preserve"> remite a la metodología de la sección anterior.</w:t>
      </w:r>
    </w:p>
    <w:tbl>
      <w:tblPr>
        <w:tblStyle w:val="TableGrid"/>
        <w:tblW w:type="auto" w:w="0"/>
        <w:tblLook w:firstColumn="1" w:firstRow="1" w:lastColumn="0" w:lastRow="0" w:noHBand="0" w:noVBand="1" w:val="04A0"/>
      </w:tblPr>
      <w:tblGrid>
        <w:gridCol w:w="1892"/>
        <w:gridCol w:w="1892"/>
        <w:gridCol w:w="1892"/>
        <w:gridCol w:w="1892"/>
        <w:gridCol w:w="1892"/>
        <w:gridCol w:w="1892"/>
        <w:gridCol w:w="1892"/>
        <w:gridCol w:w="1892"/>
      </w:tblGrid>
      <w:tr>
        <w:tc>
          <w:tcPr>
            <w:tcW w:type="dxa" w:w="737"/>
            <w:shd w:val="clear" w:color="auto" w:fill="064475"/>
          </w:tcPr>
          <w:p>
            <w:pPr>
              <w:spacing w:after="40" w:before="40"/>
            </w:pPr>
            <w:r/>
            <w:r>
              <w:rPr>
                <w:rFonts w:ascii="Calibri" w:hAnsi="Calibri"/>
                <w:b/>
                <w:color w:val="FFFFFF"/>
                <w:sz w:val="15"/>
              </w:rPr>
              <w:t>ID</w:t>
            </w:r>
          </w:p>
        </w:tc>
        <w:tc>
          <w:tcPr>
            <w:tcW w:type="dxa" w:w="2041"/>
            <w:shd w:val="clear" w:color="auto" w:fill="064475"/>
          </w:tcPr>
          <w:p>
            <w:pPr>
              <w:spacing w:after="40" w:before="40"/>
            </w:pPr>
            <w:r/>
            <w:r>
              <w:rPr>
                <w:rFonts w:ascii="Calibri" w:hAnsi="Calibri"/>
                <w:b/>
                <w:color w:val="FFFFFF"/>
                <w:sz w:val="15"/>
              </w:rPr>
              <w:t>Indicador</w:t>
            </w:r>
          </w:p>
        </w:tc>
        <w:tc>
          <w:tcPr>
            <w:tcW w:type="dxa" w:w="3005"/>
            <w:shd w:val="clear" w:color="auto" w:fill="064475"/>
          </w:tcPr>
          <w:p>
            <w:pPr>
              <w:spacing w:after="40" w:before="40"/>
            </w:pPr>
            <w:r/>
            <w:r>
              <w:rPr>
                <w:rFonts w:ascii="Calibri" w:hAnsi="Calibri"/>
                <w:b/>
                <w:color w:val="FFFFFF"/>
                <w:sz w:val="15"/>
              </w:rPr>
              <w:t>Definición y fórmula</w:t>
            </w:r>
          </w:p>
        </w:tc>
        <w:tc>
          <w:tcPr>
            <w:tcW w:type="dxa" w:w="1474"/>
            <w:shd w:val="clear" w:color="auto" w:fill="064475"/>
          </w:tcPr>
          <w:p>
            <w:pPr>
              <w:spacing w:after="40" w:before="40"/>
            </w:pPr>
            <w:r/>
            <w:r>
              <w:rPr>
                <w:rFonts w:ascii="Calibri" w:hAnsi="Calibri"/>
                <w:b/>
                <w:color w:val="FFFFFF"/>
                <w:sz w:val="15"/>
              </w:rPr>
              <w:t>Objetivo (SLO)</w:t>
            </w:r>
          </w:p>
        </w:tc>
        <w:tc>
          <w:tcPr>
            <w:tcW w:type="dxa" w:w="1247"/>
            <w:shd w:val="clear" w:color="auto" w:fill="064475"/>
          </w:tcPr>
          <w:p>
            <w:pPr>
              <w:spacing w:after="40" w:before="40"/>
            </w:pPr>
            <w:r/>
            <w:r>
              <w:rPr>
                <w:rFonts w:ascii="Calibri" w:hAnsi="Calibri"/>
                <w:b/>
                <w:color w:val="FFFFFF"/>
                <w:sz w:val="15"/>
              </w:rPr>
              <w:t>Alerta</w:t>
            </w:r>
          </w:p>
        </w:tc>
        <w:tc>
          <w:tcPr>
            <w:tcW w:type="dxa" w:w="624"/>
            <w:shd w:val="clear" w:color="auto" w:fill="064475"/>
          </w:tcPr>
          <w:p>
            <w:pPr>
              <w:spacing w:after="40" w:before="40"/>
            </w:pPr>
            <w:r/>
            <w:r>
              <w:rPr>
                <w:rFonts w:ascii="Calibri" w:hAnsi="Calibri"/>
                <w:b/>
                <w:color w:val="FFFFFF"/>
                <w:sz w:val="15"/>
              </w:rPr>
              <w:t>Tipo</w:t>
            </w:r>
          </w:p>
        </w:tc>
        <w:tc>
          <w:tcPr>
            <w:tcW w:type="dxa" w:w="4535"/>
            <w:shd w:val="clear" w:color="auto" w:fill="064475"/>
          </w:tcPr>
          <w:p>
            <w:pPr>
              <w:spacing w:after="40" w:before="40"/>
            </w:pPr>
            <w:r/>
            <w:r>
              <w:rPr>
                <w:rFonts w:ascii="Calibri" w:hAnsi="Calibri"/>
                <w:b/>
                <w:color w:val="FFFFFF"/>
                <w:sz w:val="15"/>
              </w:rPr>
              <w:t>Sustento del umbral</w:t>
            </w:r>
          </w:p>
        </w:tc>
        <w:tc>
          <w:tcPr>
            <w:tcW w:type="dxa" w:w="1474"/>
            <w:shd w:val="clear" w:color="auto" w:fill="064475"/>
          </w:tcPr>
          <w:p>
            <w:pPr>
              <w:spacing w:after="40" w:before="40"/>
            </w:pPr>
            <w:r/>
            <w:r>
              <w:rPr>
                <w:rFonts w:ascii="Calibri" w:hAnsi="Calibri"/>
                <w:b/>
                <w:color w:val="FFFFFF"/>
                <w:sz w:val="15"/>
              </w:rPr>
              <w:t>HU</w:t>
            </w:r>
          </w:p>
        </w:tc>
      </w:tr>
      <w:tr>
        <w:tc>
          <w:tcPr>
            <w:tcW w:type="dxa" w:w="15136"/>
            <w:gridSpan w:val="8"/>
            <w:shd w:val="clear" w:color="auto" w:fill="DCE6F1"/>
          </w:tcPr>
          <w:p>
            <w:pPr>
              <w:spacing w:after="40" w:before="40"/>
            </w:pPr>
            <w:r/>
            <w:r>
              <w:rPr>
                <w:rFonts w:ascii="Calibri" w:hAnsi="Calibri"/>
                <w:b/>
                <w:color w:val="064475"/>
                <w:sz w:val="16"/>
              </w:rPr>
              <w:t>CAPA DE NEGOCIO — lo que le importa a quien es dueño del producto</w:t>
            </w:r>
          </w:p>
        </w:tc>
      </w:tr>
      <w:tr>
        <w:tc>
          <w:tcPr>
            <w:tcW w:type="dxa" w:w="737"/>
          </w:tcPr>
          <w:p>
            <w:pPr>
              <w:spacing w:after="40" w:before="40"/>
              <w:jc w:val="center"/>
            </w:pPr>
            <w:r/>
            <w:r>
              <w:rPr>
                <w:rFonts w:ascii="Calibri" w:hAnsi="Calibri"/>
                <w:b w:val="0"/>
                <w:sz w:val="15"/>
              </w:rPr>
              <w:t>KPI-01</w:t>
            </w:r>
          </w:p>
        </w:tc>
        <w:tc>
          <w:tcPr>
            <w:tcW w:type="dxa" w:w="2041"/>
          </w:tcPr>
          <w:p>
            <w:pPr>
              <w:spacing w:after="40" w:before="40"/>
            </w:pPr>
            <w:r/>
            <w:r>
              <w:rPr>
                <w:rFonts w:ascii="Calibri" w:hAnsi="Calibri"/>
                <w:b w:val="0"/>
                <w:sz w:val="15"/>
              </w:rPr>
              <w:t>Tasa de finalización del onboarding</w:t>
            </w:r>
          </w:p>
        </w:tc>
        <w:tc>
          <w:tcPr>
            <w:tcW w:type="dxa" w:w="3005"/>
          </w:tcPr>
          <w:p>
            <w:pPr>
              <w:spacing w:after="40" w:before="40"/>
            </w:pPr>
            <w:r/>
            <w:r>
              <w:rPr>
                <w:rFonts w:ascii="Calibri" w:hAnsi="Calibri"/>
                <w:b w:val="0"/>
                <w:sz w:val="15"/>
              </w:rPr>
              <w:t>Solicitudes que terminan en cuenta abierta ÷ solicitudes iniciadas. Ventana: 28 días.</w:t>
            </w:r>
          </w:p>
        </w:tc>
        <w:tc>
          <w:tcPr>
            <w:tcW w:type="dxa" w:w="1474"/>
          </w:tcPr>
          <w:p>
            <w:pPr>
              <w:spacing w:after="40" w:before="40"/>
              <w:jc w:val="center"/>
            </w:pPr>
            <w:r/>
            <w:r>
              <w:rPr>
                <w:rFonts w:ascii="Calibri" w:hAnsi="Calibri"/>
                <w:b w:val="0"/>
                <w:sz w:val="15"/>
              </w:rPr>
              <w:t>≥ 45 %</w:t>
            </w:r>
          </w:p>
        </w:tc>
        <w:tc>
          <w:tcPr>
            <w:tcW w:type="dxa" w:w="1247"/>
          </w:tcPr>
          <w:p>
            <w:pPr>
              <w:spacing w:after="40" w:before="40"/>
              <w:jc w:val="center"/>
            </w:pPr>
            <w:r/>
            <w:r>
              <w:rPr>
                <w:rFonts w:ascii="Calibri" w:hAnsi="Calibri"/>
                <w:b w:val="0"/>
                <w:sz w:val="15"/>
              </w:rPr>
              <w:t>&lt; 35 %</w:t>
            </w:r>
          </w:p>
        </w:tc>
        <w:tc>
          <w:tcPr>
            <w:tcW w:type="dxa" w:w="624"/>
          </w:tcPr>
          <w:p>
            <w:pPr>
              <w:spacing w:after="40" w:before="40"/>
              <w:jc w:val="center"/>
            </w:pPr>
            <w:r/>
            <w:r>
              <w:rPr>
                <w:rFonts w:ascii="Calibri" w:hAnsi="Calibri"/>
                <w:b w:val="0"/>
                <w:sz w:val="15"/>
              </w:rPr>
              <w:t>E</w:t>
            </w:r>
          </w:p>
        </w:tc>
        <w:tc>
          <w:tcPr>
            <w:tcW w:type="dxa" w:w="4535"/>
          </w:tcPr>
          <w:p>
            <w:pPr>
              <w:spacing w:after="40" w:before="40"/>
            </w:pPr>
            <w:r/>
            <w:r>
              <w:rPr>
                <w:rFonts w:ascii="Calibri" w:hAnsi="Calibri"/>
                <w:b w:val="0"/>
                <w:sz w:val="15"/>
              </w:rPr>
              <w:t>Signicat, «The Battle to Onboard» 2022: el 68 % de los consumidores abandonó una solicitud financiera en el último año, de modo que la referencia sectorial de finalización es del 32 %. Se fija el objetivo por encima de la media porque el diseño ataca de forma explícita las dos causas principales que ese estudio identifica: no disponer del documento en ese momento (38 %) —resuelto con «guardar y salir» y con la subida de archivo— y tener que aportar demasiada información personal (21 %) —resuelto porque el OCR rellena en lugar de preguntar—.</w:t>
            </w:r>
          </w:p>
        </w:tc>
        <w:tc>
          <w:tcPr>
            <w:tcW w:type="dxa" w:w="1474"/>
          </w:tcPr>
          <w:p>
            <w:pPr>
              <w:spacing w:after="40" w:before="40"/>
            </w:pPr>
            <w:r/>
            <w:r>
              <w:rPr>
                <w:rFonts w:ascii="Calibri" w:hAnsi="Calibri"/>
                <w:b w:val="0"/>
                <w:sz w:val="15"/>
              </w:rPr>
              <w:t>HU-01, HU-02, HU-03</w:t>
            </w:r>
          </w:p>
        </w:tc>
      </w:tr>
      <w:tr>
        <w:tc>
          <w:tcPr>
            <w:tcW w:type="dxa" w:w="737"/>
          </w:tcPr>
          <w:p>
            <w:pPr>
              <w:spacing w:after="40" w:before="40"/>
              <w:jc w:val="center"/>
            </w:pPr>
            <w:r/>
            <w:r>
              <w:rPr>
                <w:rFonts w:ascii="Calibri" w:hAnsi="Calibri"/>
                <w:b w:val="0"/>
                <w:sz w:val="15"/>
              </w:rPr>
              <w:t>KPI-02</w:t>
            </w:r>
          </w:p>
        </w:tc>
        <w:tc>
          <w:tcPr>
            <w:tcW w:type="dxa" w:w="2041"/>
          </w:tcPr>
          <w:p>
            <w:pPr>
              <w:spacing w:after="40" w:before="40"/>
            </w:pPr>
            <w:r/>
            <w:r>
              <w:rPr>
                <w:rFonts w:ascii="Calibri" w:hAnsi="Calibri"/>
                <w:b w:val="0"/>
                <w:sz w:val="15"/>
              </w:rPr>
              <w:t>Tiempo de apertura de cuenta</w:t>
            </w:r>
          </w:p>
        </w:tc>
        <w:tc>
          <w:tcPr>
            <w:tcW w:type="dxa" w:w="3005"/>
          </w:tcPr>
          <w:p>
            <w:pPr>
              <w:spacing w:after="40" w:before="40"/>
            </w:pPr>
            <w:r/>
            <w:r>
              <w:rPr>
                <w:rFonts w:ascii="Calibri" w:hAnsi="Calibri"/>
                <w:b w:val="0"/>
                <w:sz w:val="15"/>
              </w:rPr>
              <w:t>Minutos transcurridos entre el inicio del registro y la cuenta activa. Se reporta la mediana y el percentil 90.</w:t>
            </w:r>
          </w:p>
        </w:tc>
        <w:tc>
          <w:tcPr>
            <w:tcW w:type="dxa" w:w="1474"/>
          </w:tcPr>
          <w:p>
            <w:pPr>
              <w:spacing w:after="40" w:before="40"/>
              <w:jc w:val="center"/>
            </w:pPr>
            <w:r/>
            <w:r>
              <w:rPr>
                <w:rFonts w:ascii="Calibri" w:hAnsi="Calibri"/>
                <w:b w:val="0"/>
                <w:sz w:val="15"/>
              </w:rPr>
              <w:t>p50 ≤ 5 min</w:t>
            </w:r>
          </w:p>
          <w:p>
            <w:pPr>
              <w:spacing w:after="40"/>
              <w:jc w:val="center"/>
            </w:pPr>
            <w:r>
              <w:rPr>
                <w:rFonts w:ascii="Calibri" w:hAnsi="Calibri"/>
                <w:b w:val="0"/>
                <w:sz w:val="15"/>
              </w:rPr>
              <w:t>p90 ≤ 8 min</w:t>
            </w:r>
          </w:p>
        </w:tc>
        <w:tc>
          <w:tcPr>
            <w:tcW w:type="dxa" w:w="1247"/>
          </w:tcPr>
          <w:p>
            <w:pPr>
              <w:spacing w:after="40" w:before="40"/>
              <w:jc w:val="center"/>
            </w:pPr>
            <w:r/>
            <w:r>
              <w:rPr>
                <w:rFonts w:ascii="Calibri" w:hAnsi="Calibri"/>
                <w:b w:val="0"/>
                <w:sz w:val="15"/>
              </w:rPr>
              <w:t>p90 &gt; 12 min</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La landing promete «ábrela en 5 minutos». Este indicador existe para que esa promesa comercial sea auditable y no una figura retórica. El percentil 90 se vigila además de la mediana porque una mediana buena puede esconder una cola larga que afecte a uno de cada diez solicitantes.</w:t>
            </w:r>
          </w:p>
        </w:tc>
        <w:tc>
          <w:tcPr>
            <w:tcW w:type="dxa" w:w="1474"/>
          </w:tcPr>
          <w:p>
            <w:pPr>
              <w:spacing w:after="40" w:before="40"/>
            </w:pPr>
            <w:r/>
            <w:r>
              <w:rPr>
                <w:rFonts w:ascii="Calibri" w:hAnsi="Calibri"/>
                <w:b w:val="0"/>
                <w:sz w:val="15"/>
              </w:rPr>
              <w:t>HU-01 … HU-05</w:t>
            </w:r>
          </w:p>
        </w:tc>
      </w:tr>
      <w:tr>
        <w:tc>
          <w:tcPr>
            <w:tcW w:type="dxa" w:w="737"/>
          </w:tcPr>
          <w:p>
            <w:pPr>
              <w:spacing w:after="40" w:before="40"/>
              <w:jc w:val="center"/>
            </w:pPr>
            <w:r/>
            <w:r>
              <w:rPr>
                <w:rFonts w:ascii="Calibri" w:hAnsi="Calibri"/>
                <w:b w:val="0"/>
                <w:sz w:val="15"/>
              </w:rPr>
              <w:t>KPI-03</w:t>
            </w:r>
          </w:p>
        </w:tc>
        <w:tc>
          <w:tcPr>
            <w:tcW w:type="dxa" w:w="2041"/>
          </w:tcPr>
          <w:p>
            <w:pPr>
              <w:spacing w:after="40" w:before="40"/>
            </w:pPr>
            <w:r/>
            <w:r>
              <w:rPr>
                <w:rFonts w:ascii="Calibri" w:hAnsi="Calibri"/>
                <w:b w:val="0"/>
                <w:sz w:val="15"/>
              </w:rPr>
              <w:t>Tasa de derivación a revisión manual</w:t>
            </w:r>
          </w:p>
        </w:tc>
        <w:tc>
          <w:tcPr>
            <w:tcW w:type="dxa" w:w="3005"/>
          </w:tcPr>
          <w:p>
            <w:pPr>
              <w:spacing w:after="40" w:before="40"/>
            </w:pPr>
            <w:r/>
            <w:r>
              <w:rPr>
                <w:rFonts w:ascii="Calibri" w:hAnsi="Calibri"/>
                <w:b w:val="0"/>
                <w:sz w:val="15"/>
              </w:rPr>
              <w:t>Solicitudes derivadas al Oficial de Cumplimiento ÷ solicitudes con biometría completada.</w:t>
            </w:r>
          </w:p>
        </w:tc>
        <w:tc>
          <w:tcPr>
            <w:tcW w:type="dxa" w:w="1474"/>
          </w:tcPr>
          <w:p>
            <w:pPr>
              <w:spacing w:after="40" w:before="40"/>
              <w:jc w:val="center"/>
            </w:pPr>
            <w:r/>
            <w:r>
              <w:rPr>
                <w:rFonts w:ascii="Calibri" w:hAnsi="Calibri"/>
                <w:b w:val="0"/>
                <w:sz w:val="15"/>
              </w:rPr>
              <w:t>≤ 15 %</w:t>
            </w:r>
          </w:p>
        </w:tc>
        <w:tc>
          <w:tcPr>
            <w:tcW w:type="dxa" w:w="1247"/>
          </w:tcPr>
          <w:p>
            <w:pPr>
              <w:spacing w:after="40" w:before="40"/>
              <w:jc w:val="center"/>
            </w:pPr>
            <w:r/>
            <w:r>
              <w:rPr>
                <w:rFonts w:ascii="Calibri" w:hAnsi="Calibri"/>
                <w:b w:val="0"/>
                <w:sz w:val="15"/>
              </w:rPr>
              <w:t>&gt; 25 %</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Es el indicador que traduce la calidad del OCR y del cotejo facial a coste operativo: cada derivación es trabajo humano. Un valor alto no significa que el sistema sea inseguro, sino que está siendo impreciso y trasladando su imprecisión a una persona. Se calibra contra el conjunto de imágenes de control en cada sprint.</w:t>
            </w:r>
          </w:p>
        </w:tc>
        <w:tc>
          <w:tcPr>
            <w:tcW w:type="dxa" w:w="1474"/>
          </w:tcPr>
          <w:p>
            <w:pPr>
              <w:spacing w:after="40" w:before="40"/>
            </w:pPr>
            <w:r/>
            <w:r>
              <w:rPr>
                <w:rFonts w:ascii="Calibri" w:hAnsi="Calibri"/>
                <w:b w:val="0"/>
                <w:sz w:val="15"/>
              </w:rPr>
              <w:t>HU-02, HU-03</w:t>
            </w:r>
          </w:p>
        </w:tc>
      </w:tr>
      <w:tr>
        <w:tc>
          <w:tcPr>
            <w:tcW w:type="dxa" w:w="737"/>
          </w:tcPr>
          <w:p>
            <w:pPr>
              <w:spacing w:after="40" w:before="40"/>
              <w:jc w:val="center"/>
            </w:pPr>
            <w:r/>
            <w:r>
              <w:rPr>
                <w:rFonts w:ascii="Calibri" w:hAnsi="Calibri"/>
                <w:b w:val="0"/>
                <w:sz w:val="15"/>
              </w:rPr>
              <w:t>KPI-04</w:t>
            </w:r>
          </w:p>
        </w:tc>
        <w:tc>
          <w:tcPr>
            <w:tcW w:type="dxa" w:w="2041"/>
          </w:tcPr>
          <w:p>
            <w:pPr>
              <w:spacing w:after="40" w:before="40"/>
            </w:pPr>
            <w:r/>
            <w:r>
              <w:rPr>
                <w:rFonts w:ascii="Calibri" w:hAnsi="Calibri"/>
                <w:b w:val="0"/>
                <w:sz w:val="15"/>
              </w:rPr>
              <w:t>Tasa de operaciones monetarias completadas</w:t>
            </w:r>
          </w:p>
        </w:tc>
        <w:tc>
          <w:tcPr>
            <w:tcW w:type="dxa" w:w="3005"/>
          </w:tcPr>
          <w:p>
            <w:pPr>
              <w:spacing w:after="40" w:before="40"/>
            </w:pPr>
            <w:r/>
            <w:r>
              <w:rPr>
                <w:rFonts w:ascii="Calibri" w:hAnsi="Calibri"/>
                <w:b w:val="0"/>
                <w:sz w:val="15"/>
              </w:rPr>
              <w:t>Operaciones confirmadas ÷ operaciones iniciadas, excluyendo las rechazadas por saldo insuficiente.</w:t>
            </w:r>
          </w:p>
        </w:tc>
        <w:tc>
          <w:tcPr>
            <w:tcW w:type="dxa" w:w="1474"/>
          </w:tcPr>
          <w:p>
            <w:pPr>
              <w:spacing w:after="40" w:before="40"/>
              <w:jc w:val="center"/>
            </w:pPr>
            <w:r/>
            <w:r>
              <w:rPr>
                <w:rFonts w:ascii="Calibri" w:hAnsi="Calibri"/>
                <w:b w:val="0"/>
                <w:sz w:val="15"/>
              </w:rPr>
              <w:t>≥ 99.5 %</w:t>
            </w:r>
          </w:p>
        </w:tc>
        <w:tc>
          <w:tcPr>
            <w:tcW w:type="dxa" w:w="1247"/>
          </w:tcPr>
          <w:p>
            <w:pPr>
              <w:spacing w:after="40" w:before="40"/>
              <w:jc w:val="center"/>
            </w:pPr>
            <w:r/>
            <w:r>
              <w:rPr>
                <w:rFonts w:ascii="Calibri" w:hAnsi="Calibri"/>
                <w:b w:val="0"/>
                <w:sz w:val="15"/>
              </w:rPr>
              <w:t>&lt; 99.0 %</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Una operación iniciada y no completada por causa técnica es el peor fallo posible en banca: el cliente no sabe si su dinero se movió. El umbral es exigente a propósito y se apoya en que toda operación es idempotente y se asienta en una única transacción ACID.</w:t>
            </w:r>
          </w:p>
        </w:tc>
        <w:tc>
          <w:tcPr>
            <w:tcW w:type="dxa" w:w="1474"/>
          </w:tcPr>
          <w:p>
            <w:pPr>
              <w:spacing w:after="40" w:before="40"/>
            </w:pPr>
            <w:r/>
            <w:r>
              <w:rPr>
                <w:rFonts w:ascii="Calibri" w:hAnsi="Calibri"/>
                <w:b w:val="0"/>
                <w:sz w:val="15"/>
              </w:rPr>
              <w:t>HU-07, HU-11</w:t>
            </w:r>
          </w:p>
        </w:tc>
      </w:tr>
      <w:tr>
        <w:tc>
          <w:tcPr>
            <w:tcW w:type="dxa" w:w="737"/>
          </w:tcPr>
          <w:p>
            <w:pPr>
              <w:spacing w:after="40" w:before="40"/>
              <w:jc w:val="center"/>
            </w:pPr>
            <w:r/>
            <w:r>
              <w:rPr>
                <w:rFonts w:ascii="Calibri" w:hAnsi="Calibri"/>
                <w:b w:val="0"/>
                <w:sz w:val="15"/>
              </w:rPr>
              <w:t>KPI-05</w:t>
            </w:r>
          </w:p>
        </w:tc>
        <w:tc>
          <w:tcPr>
            <w:tcW w:type="dxa" w:w="2041"/>
          </w:tcPr>
          <w:p>
            <w:pPr>
              <w:spacing w:after="40" w:before="40"/>
            </w:pPr>
            <w:r/>
            <w:r>
              <w:rPr>
                <w:rFonts w:ascii="Calibri" w:hAnsi="Calibri"/>
                <w:b w:val="0"/>
                <w:sz w:val="15"/>
              </w:rPr>
              <w:t>Usuarios concurrentes activos</w:t>
            </w:r>
          </w:p>
        </w:tc>
        <w:tc>
          <w:tcPr>
            <w:tcW w:type="dxa" w:w="3005"/>
          </w:tcPr>
          <w:p>
            <w:pPr>
              <w:spacing w:after="40" w:before="40"/>
            </w:pPr>
            <w:r/>
            <w:r>
              <w:rPr>
                <w:rFonts w:ascii="Calibri" w:hAnsi="Calibri"/>
                <w:b w:val="0"/>
                <w:sz w:val="15"/>
              </w:rPr>
              <w:t>Sesiones con al menos una petición en los últimos 15 minutos.</w:t>
            </w:r>
          </w:p>
        </w:tc>
        <w:tc>
          <w:tcPr>
            <w:tcW w:type="dxa" w:w="1474"/>
          </w:tcPr>
          <w:p>
            <w:pPr>
              <w:spacing w:after="40" w:before="40"/>
              <w:jc w:val="center"/>
            </w:pPr>
            <w:r/>
            <w:r>
              <w:rPr>
                <w:rFonts w:ascii="Calibri" w:hAnsi="Calibri"/>
                <w:b w:val="0"/>
                <w:sz w:val="15"/>
              </w:rPr>
              <w:t>Capacidad ≥ 200</w:t>
            </w:r>
          </w:p>
        </w:tc>
        <w:tc>
          <w:tcPr>
            <w:tcW w:type="dxa" w:w="1247"/>
          </w:tcPr>
          <w:p>
            <w:pPr>
              <w:spacing w:after="40" w:before="40"/>
              <w:jc w:val="center"/>
            </w:pPr>
            <w:r/>
            <w:r>
              <w:rPr>
                <w:rFonts w:ascii="Calibri" w:hAnsi="Calibri"/>
                <w:b w:val="0"/>
                <w:sz w:val="15"/>
              </w:rPr>
              <w:t>&gt; 160 sostenido</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No es un objetivo de negocio sino de capacidad: marca a partir de qué punto la infraestructura debe crecer. El umbral de alerta se sitúa en el 80 % de la capacidad probada, para que el aviso llegue antes de la saturación y no durante.</w:t>
            </w:r>
          </w:p>
        </w:tc>
        <w:tc>
          <w:tcPr>
            <w:tcW w:type="dxa" w:w="1474"/>
          </w:tcPr>
          <w:p>
            <w:pPr>
              <w:spacing w:after="40" w:before="40"/>
            </w:pPr>
            <w:r/>
            <w:r>
              <w:rPr>
                <w:rFonts w:ascii="Calibri" w:hAnsi="Calibri"/>
                <w:b w:val="0"/>
                <w:sz w:val="15"/>
              </w:rPr>
              <w:t>HU-14</w:t>
            </w:r>
          </w:p>
        </w:tc>
      </w:tr>
      <w:tr>
        <w:tc>
          <w:tcPr>
            <w:tcW w:type="dxa" w:w="15136"/>
            <w:gridSpan w:val="8"/>
            <w:shd w:val="clear" w:color="auto" w:fill="DCE6F1"/>
          </w:tcPr>
          <w:p>
            <w:pPr>
              <w:spacing w:after="40" w:before="40"/>
            </w:pPr>
            <w:r/>
            <w:r>
              <w:rPr>
                <w:rFonts w:ascii="Calibri" w:hAnsi="Calibri"/>
                <w:b/>
                <w:color w:val="064475"/>
                <w:sz w:val="16"/>
              </w:rPr>
              <w:t>CAPA DE APLICACIÓN — lo que el usuario percibe directamente</w:t>
            </w:r>
          </w:p>
        </w:tc>
      </w:tr>
      <w:tr>
        <w:tc>
          <w:tcPr>
            <w:tcW w:type="dxa" w:w="737"/>
          </w:tcPr>
          <w:p>
            <w:pPr>
              <w:spacing w:after="40" w:before="40"/>
              <w:jc w:val="center"/>
            </w:pPr>
            <w:r/>
            <w:r>
              <w:rPr>
                <w:rFonts w:ascii="Calibri" w:hAnsi="Calibri"/>
                <w:b w:val="0"/>
                <w:sz w:val="15"/>
              </w:rPr>
              <w:t>KPI-06</w:t>
            </w:r>
          </w:p>
        </w:tc>
        <w:tc>
          <w:tcPr>
            <w:tcW w:type="dxa" w:w="2041"/>
          </w:tcPr>
          <w:p>
            <w:pPr>
              <w:spacing w:after="40" w:before="40"/>
            </w:pPr>
            <w:r/>
            <w:r>
              <w:rPr>
                <w:rFonts w:ascii="Calibri" w:hAnsi="Calibri"/>
                <w:b w:val="0"/>
                <w:sz w:val="15"/>
              </w:rPr>
              <w:t>LCP · Largest Contentful Paint</w:t>
            </w:r>
          </w:p>
        </w:tc>
        <w:tc>
          <w:tcPr>
            <w:tcW w:type="dxa" w:w="3005"/>
          </w:tcPr>
          <w:p>
            <w:pPr>
              <w:spacing w:after="40" w:before="40"/>
            </w:pPr>
            <w:r/>
            <w:r>
              <w:rPr>
                <w:rFonts w:ascii="Calibri" w:hAnsi="Calibri"/>
                <w:b w:val="0"/>
                <w:sz w:val="15"/>
              </w:rPr>
              <w:t>Tiempo hasta que se pinta el elemento de contenido mayor. Percentil 75 de sesiones reales, ventana móvil de 28 días.</w:t>
            </w:r>
          </w:p>
        </w:tc>
        <w:tc>
          <w:tcPr>
            <w:tcW w:type="dxa" w:w="1474"/>
          </w:tcPr>
          <w:p>
            <w:pPr>
              <w:spacing w:after="40" w:before="40"/>
              <w:jc w:val="center"/>
            </w:pPr>
            <w:r/>
            <w:r>
              <w:rPr>
                <w:rFonts w:ascii="Calibri" w:hAnsi="Calibri"/>
                <w:b w:val="0"/>
                <w:sz w:val="15"/>
              </w:rPr>
              <w:t>≤ 2.5 s</w:t>
            </w:r>
          </w:p>
        </w:tc>
        <w:tc>
          <w:tcPr>
            <w:tcW w:type="dxa" w:w="1247"/>
          </w:tcPr>
          <w:p>
            <w:pPr>
              <w:spacing w:after="40" w:before="40"/>
              <w:jc w:val="center"/>
            </w:pPr>
            <w:r/>
            <w:r>
              <w:rPr>
                <w:rFonts w:ascii="Calibri" w:hAnsi="Calibri"/>
                <w:b w:val="0"/>
                <w:sz w:val="15"/>
              </w:rPr>
              <w:t>&gt; 4.0 s</w:t>
            </w:r>
          </w:p>
        </w:tc>
        <w:tc>
          <w:tcPr>
            <w:tcW w:type="dxa" w:w="624"/>
          </w:tcPr>
          <w:p>
            <w:pPr>
              <w:spacing w:after="40" w:before="40"/>
              <w:jc w:val="center"/>
            </w:pPr>
            <w:r/>
            <w:r>
              <w:rPr>
                <w:rFonts w:ascii="Calibri" w:hAnsi="Calibri"/>
                <w:b w:val="0"/>
                <w:sz w:val="15"/>
              </w:rPr>
              <w:t>E</w:t>
            </w:r>
          </w:p>
        </w:tc>
        <w:tc>
          <w:tcPr>
            <w:tcW w:type="dxa" w:w="4535"/>
          </w:tcPr>
          <w:p>
            <w:pPr>
              <w:spacing w:after="40" w:before="40"/>
            </w:pPr>
            <w:r/>
            <w:r>
              <w:rPr>
                <w:rFonts w:ascii="Calibri" w:hAnsi="Calibri"/>
                <w:b w:val="0"/>
                <w:sz w:val="15"/>
              </w:rPr>
              <w:t>Umbral «bueno» de Core Web Vitals definido por Google. La evaluación se hace al percentil 75 —no a la media— para que la experiencia de la cuarta parte más lenta de los usuarios no quede oculta tras un promedio favorable.</w:t>
            </w:r>
          </w:p>
        </w:tc>
        <w:tc>
          <w:tcPr>
            <w:tcW w:type="dxa" w:w="1474"/>
          </w:tcPr>
          <w:p>
            <w:pPr>
              <w:spacing w:after="40" w:before="40"/>
            </w:pPr>
            <w:r/>
            <w:r>
              <w:rPr>
                <w:rFonts w:ascii="Calibri" w:hAnsi="Calibri"/>
                <w:b w:val="0"/>
                <w:sz w:val="15"/>
              </w:rPr>
              <w:t>HU-14, HU-17</w:t>
            </w:r>
          </w:p>
        </w:tc>
      </w:tr>
      <w:tr>
        <w:tc>
          <w:tcPr>
            <w:tcW w:type="dxa" w:w="737"/>
          </w:tcPr>
          <w:p>
            <w:pPr>
              <w:spacing w:after="40" w:before="40"/>
              <w:jc w:val="center"/>
            </w:pPr>
            <w:r/>
            <w:r>
              <w:rPr>
                <w:rFonts w:ascii="Calibri" w:hAnsi="Calibri"/>
                <w:b w:val="0"/>
                <w:sz w:val="15"/>
              </w:rPr>
              <w:t>KPI-07</w:t>
            </w:r>
          </w:p>
        </w:tc>
        <w:tc>
          <w:tcPr>
            <w:tcW w:type="dxa" w:w="2041"/>
          </w:tcPr>
          <w:p>
            <w:pPr>
              <w:spacing w:after="40" w:before="40"/>
            </w:pPr>
            <w:r/>
            <w:r>
              <w:rPr>
                <w:rFonts w:ascii="Calibri" w:hAnsi="Calibri"/>
                <w:b w:val="0"/>
                <w:sz w:val="15"/>
              </w:rPr>
              <w:t>INP · Interaction to Next Paint</w:t>
            </w:r>
          </w:p>
        </w:tc>
        <w:tc>
          <w:tcPr>
            <w:tcW w:type="dxa" w:w="3005"/>
          </w:tcPr>
          <w:p>
            <w:pPr>
              <w:spacing w:after="40" w:before="40"/>
            </w:pPr>
            <w:r/>
            <w:r>
              <w:rPr>
                <w:rFonts w:ascii="Calibri" w:hAnsi="Calibri"/>
                <w:b w:val="0"/>
                <w:sz w:val="15"/>
              </w:rPr>
              <w:t>Latencia entre una interacción del usuario y el siguiente pintado. Percentil 75.</w:t>
            </w:r>
          </w:p>
        </w:tc>
        <w:tc>
          <w:tcPr>
            <w:tcW w:type="dxa" w:w="1474"/>
          </w:tcPr>
          <w:p>
            <w:pPr>
              <w:spacing w:after="40" w:before="40"/>
              <w:jc w:val="center"/>
            </w:pPr>
            <w:r/>
            <w:r>
              <w:rPr>
                <w:rFonts w:ascii="Calibri" w:hAnsi="Calibri"/>
                <w:b w:val="0"/>
                <w:sz w:val="15"/>
              </w:rPr>
              <w:t>≤ 200 ms</w:t>
            </w:r>
          </w:p>
        </w:tc>
        <w:tc>
          <w:tcPr>
            <w:tcW w:type="dxa" w:w="1247"/>
          </w:tcPr>
          <w:p>
            <w:pPr>
              <w:spacing w:after="40" w:before="40"/>
              <w:jc w:val="center"/>
            </w:pPr>
            <w:r/>
            <w:r>
              <w:rPr>
                <w:rFonts w:ascii="Calibri" w:hAnsi="Calibri"/>
                <w:b w:val="0"/>
                <w:sz w:val="15"/>
              </w:rPr>
              <w:t>&gt; 500 ms</w:t>
            </w:r>
          </w:p>
        </w:tc>
        <w:tc>
          <w:tcPr>
            <w:tcW w:type="dxa" w:w="624"/>
          </w:tcPr>
          <w:p>
            <w:pPr>
              <w:spacing w:after="40" w:before="40"/>
              <w:jc w:val="center"/>
            </w:pPr>
            <w:r/>
            <w:r>
              <w:rPr>
                <w:rFonts w:ascii="Calibri" w:hAnsi="Calibri"/>
                <w:b w:val="0"/>
                <w:sz w:val="15"/>
              </w:rPr>
              <w:t>E</w:t>
            </w:r>
          </w:p>
        </w:tc>
        <w:tc>
          <w:tcPr>
            <w:tcW w:type="dxa" w:w="4535"/>
          </w:tcPr>
          <w:p>
            <w:pPr>
              <w:spacing w:after="40" w:before="40"/>
            </w:pPr>
            <w:r/>
            <w:r>
              <w:rPr>
                <w:rFonts w:ascii="Calibri" w:hAnsi="Calibri"/>
                <w:b w:val="0"/>
                <w:sz w:val="15"/>
              </w:rPr>
              <w:t>Umbral «bueno» de Core Web Vitals. Sustituyó a FID en marzo de 2024 porque mide la interacción completa y no solo la primera.</w:t>
            </w:r>
          </w:p>
        </w:tc>
        <w:tc>
          <w:tcPr>
            <w:tcW w:type="dxa" w:w="1474"/>
          </w:tcPr>
          <w:p>
            <w:pPr>
              <w:spacing w:after="40" w:before="40"/>
            </w:pPr>
            <w:r/>
            <w:r>
              <w:rPr>
                <w:rFonts w:ascii="Calibri" w:hAnsi="Calibri"/>
                <w:b w:val="0"/>
                <w:sz w:val="15"/>
              </w:rPr>
              <w:t>HU-14, HU-17</w:t>
            </w:r>
          </w:p>
        </w:tc>
      </w:tr>
      <w:tr>
        <w:tc>
          <w:tcPr>
            <w:tcW w:type="dxa" w:w="737"/>
          </w:tcPr>
          <w:p>
            <w:pPr>
              <w:spacing w:after="40" w:before="40"/>
              <w:jc w:val="center"/>
            </w:pPr>
            <w:r/>
            <w:r>
              <w:rPr>
                <w:rFonts w:ascii="Calibri" w:hAnsi="Calibri"/>
                <w:b w:val="0"/>
                <w:sz w:val="15"/>
              </w:rPr>
              <w:t>KPI-08</w:t>
            </w:r>
          </w:p>
        </w:tc>
        <w:tc>
          <w:tcPr>
            <w:tcW w:type="dxa" w:w="2041"/>
          </w:tcPr>
          <w:p>
            <w:pPr>
              <w:spacing w:after="40" w:before="40"/>
            </w:pPr>
            <w:r/>
            <w:r>
              <w:rPr>
                <w:rFonts w:ascii="Calibri" w:hAnsi="Calibri"/>
                <w:b w:val="0"/>
                <w:sz w:val="15"/>
              </w:rPr>
              <w:t>CLS · Cumulative Layout Shift</w:t>
            </w:r>
          </w:p>
        </w:tc>
        <w:tc>
          <w:tcPr>
            <w:tcW w:type="dxa" w:w="3005"/>
          </w:tcPr>
          <w:p>
            <w:pPr>
              <w:spacing w:after="40" w:before="40"/>
            </w:pPr>
            <w:r/>
            <w:r>
              <w:rPr>
                <w:rFonts w:ascii="Calibri" w:hAnsi="Calibri"/>
                <w:b w:val="0"/>
                <w:sz w:val="15"/>
              </w:rPr>
              <w:t>Suma de los desplazamientos inesperados de contenido durante la vida de la página. Percentil 75.</w:t>
            </w:r>
          </w:p>
        </w:tc>
        <w:tc>
          <w:tcPr>
            <w:tcW w:type="dxa" w:w="1474"/>
          </w:tcPr>
          <w:p>
            <w:pPr>
              <w:spacing w:after="40" w:before="40"/>
              <w:jc w:val="center"/>
            </w:pPr>
            <w:r/>
            <w:r>
              <w:rPr>
                <w:rFonts w:ascii="Calibri" w:hAnsi="Calibri"/>
                <w:b w:val="0"/>
                <w:sz w:val="15"/>
              </w:rPr>
              <w:t>≤ 0.1</w:t>
            </w:r>
          </w:p>
        </w:tc>
        <w:tc>
          <w:tcPr>
            <w:tcW w:type="dxa" w:w="1247"/>
          </w:tcPr>
          <w:p>
            <w:pPr>
              <w:spacing w:after="40" w:before="40"/>
              <w:jc w:val="center"/>
            </w:pPr>
            <w:r/>
            <w:r>
              <w:rPr>
                <w:rFonts w:ascii="Calibri" w:hAnsi="Calibri"/>
                <w:b w:val="0"/>
                <w:sz w:val="15"/>
              </w:rPr>
              <w:t>&gt; 0.25</w:t>
            </w:r>
          </w:p>
        </w:tc>
        <w:tc>
          <w:tcPr>
            <w:tcW w:type="dxa" w:w="624"/>
          </w:tcPr>
          <w:p>
            <w:pPr>
              <w:spacing w:after="40" w:before="40"/>
              <w:jc w:val="center"/>
            </w:pPr>
            <w:r/>
            <w:r>
              <w:rPr>
                <w:rFonts w:ascii="Calibri" w:hAnsi="Calibri"/>
                <w:b w:val="0"/>
                <w:sz w:val="15"/>
              </w:rPr>
              <w:t>E</w:t>
            </w:r>
          </w:p>
        </w:tc>
        <w:tc>
          <w:tcPr>
            <w:tcW w:type="dxa" w:w="4535"/>
          </w:tcPr>
          <w:p>
            <w:pPr>
              <w:spacing w:after="40" w:before="40"/>
            </w:pPr>
            <w:r/>
            <w:r>
              <w:rPr>
                <w:rFonts w:ascii="Calibri" w:hAnsi="Calibri"/>
                <w:b w:val="0"/>
                <w:sz w:val="15"/>
              </w:rPr>
              <w:t>Umbral «bueno» de Core Web Vitals. En banca importa más que en otros sectores: un desplazamiento inesperado sobre un botón de confirmación puede provocar que el usuario apruebe una operación que no pretendía.</w:t>
            </w:r>
          </w:p>
        </w:tc>
        <w:tc>
          <w:tcPr>
            <w:tcW w:type="dxa" w:w="1474"/>
          </w:tcPr>
          <w:p>
            <w:pPr>
              <w:spacing w:after="40" w:before="40"/>
            </w:pPr>
            <w:r/>
            <w:r>
              <w:rPr>
                <w:rFonts w:ascii="Calibri" w:hAnsi="Calibri"/>
                <w:b w:val="0"/>
                <w:sz w:val="15"/>
              </w:rPr>
              <w:t>HU-14, HU-17</w:t>
            </w:r>
          </w:p>
        </w:tc>
      </w:tr>
      <w:tr>
        <w:tc>
          <w:tcPr>
            <w:tcW w:type="dxa" w:w="737"/>
          </w:tcPr>
          <w:p>
            <w:pPr>
              <w:spacing w:after="40" w:before="40"/>
              <w:jc w:val="center"/>
            </w:pPr>
            <w:r/>
            <w:r>
              <w:rPr>
                <w:rFonts w:ascii="Calibri" w:hAnsi="Calibri"/>
                <w:b w:val="0"/>
                <w:sz w:val="15"/>
              </w:rPr>
              <w:t>KPI-09</w:t>
            </w:r>
          </w:p>
        </w:tc>
        <w:tc>
          <w:tcPr>
            <w:tcW w:type="dxa" w:w="2041"/>
          </w:tcPr>
          <w:p>
            <w:pPr>
              <w:spacing w:after="40" w:before="40"/>
            </w:pPr>
            <w:r/>
            <w:r>
              <w:rPr>
                <w:rFonts w:ascii="Calibri" w:hAnsi="Calibri"/>
                <w:b w:val="0"/>
                <w:sz w:val="15"/>
              </w:rPr>
              <w:t>Latencia de la API</w:t>
            </w:r>
          </w:p>
        </w:tc>
        <w:tc>
          <w:tcPr>
            <w:tcW w:type="dxa" w:w="3005"/>
          </w:tcPr>
          <w:p>
            <w:pPr>
              <w:spacing w:after="40" w:before="40"/>
            </w:pPr>
            <w:r/>
            <w:r>
              <w:rPr>
                <w:rFonts w:ascii="Calibri" w:hAnsi="Calibri"/>
                <w:b w:val="0"/>
                <w:sz w:val="15"/>
              </w:rPr>
              <w:t>Percentil 95 del tiempo de respuesta del gateway, separando consulta de operación monetaria.</w:t>
            </w:r>
          </w:p>
        </w:tc>
        <w:tc>
          <w:tcPr>
            <w:tcW w:type="dxa" w:w="1474"/>
          </w:tcPr>
          <w:p>
            <w:pPr>
              <w:spacing w:after="40" w:before="40"/>
              <w:jc w:val="center"/>
            </w:pPr>
            <w:r/>
            <w:r>
              <w:rPr>
                <w:rFonts w:ascii="Calibri" w:hAnsi="Calibri"/>
                <w:b w:val="0"/>
                <w:sz w:val="15"/>
              </w:rPr>
              <w:t>Consulta ≤ 800 ms</w:t>
            </w:r>
          </w:p>
          <w:p>
            <w:pPr>
              <w:spacing w:after="40"/>
              <w:jc w:val="center"/>
            </w:pPr>
            <w:r>
              <w:rPr>
                <w:rFonts w:ascii="Calibri" w:hAnsi="Calibri"/>
                <w:b w:val="0"/>
                <w:sz w:val="15"/>
              </w:rPr>
              <w:t>Operación ≤ 1500 ms</w:t>
            </w:r>
          </w:p>
        </w:tc>
        <w:tc>
          <w:tcPr>
            <w:tcW w:type="dxa" w:w="1247"/>
          </w:tcPr>
          <w:p>
            <w:pPr>
              <w:spacing w:after="40" w:before="40"/>
              <w:jc w:val="center"/>
            </w:pPr>
            <w:r/>
            <w:r>
              <w:rPr>
                <w:rFonts w:ascii="Calibri" w:hAnsi="Calibri"/>
                <w:b w:val="0"/>
                <w:sz w:val="15"/>
              </w:rPr>
              <w:t>&gt; 1200 ms</w:t>
            </w:r>
          </w:p>
          <w:p>
            <w:pPr>
              <w:spacing w:after="40"/>
              <w:jc w:val="center"/>
            </w:pPr>
            <w:r>
              <w:rPr>
                <w:rFonts w:ascii="Calibri" w:hAnsi="Calibri"/>
                <w:b w:val="0"/>
                <w:sz w:val="15"/>
              </w:rPr>
              <w:t>&gt; 2500 ms</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Derivado de KPI-06: si el objetivo de pintado completo es 2.5 s, el trabajo de servidor no puede consumirlo entero. Se separan lectura y escritura porque una operación monetaria hace más trabajo legítimo —bloqueo, asientos, bandeja de salida— y penalizarla con el mismo umbral llevaría a sacrificar garantías contables por velocidad.</w:t>
            </w:r>
          </w:p>
        </w:tc>
        <w:tc>
          <w:tcPr>
            <w:tcW w:type="dxa" w:w="1474"/>
          </w:tcPr>
          <w:p>
            <w:pPr>
              <w:spacing w:after="40" w:before="40"/>
            </w:pPr>
            <w:r/>
            <w:r>
              <w:rPr>
                <w:rFonts w:ascii="Calibri" w:hAnsi="Calibri"/>
                <w:b w:val="0"/>
                <w:sz w:val="15"/>
              </w:rPr>
              <w:t>HU-08, HU-14</w:t>
            </w:r>
          </w:p>
        </w:tc>
      </w:tr>
      <w:tr>
        <w:tc>
          <w:tcPr>
            <w:tcW w:type="dxa" w:w="737"/>
          </w:tcPr>
          <w:p>
            <w:pPr>
              <w:spacing w:after="40" w:before="40"/>
              <w:jc w:val="center"/>
            </w:pPr>
            <w:r/>
            <w:r>
              <w:rPr>
                <w:rFonts w:ascii="Calibri" w:hAnsi="Calibri"/>
                <w:b w:val="0"/>
                <w:sz w:val="15"/>
              </w:rPr>
              <w:t>KPI-10</w:t>
            </w:r>
          </w:p>
        </w:tc>
        <w:tc>
          <w:tcPr>
            <w:tcW w:type="dxa" w:w="2041"/>
          </w:tcPr>
          <w:p>
            <w:pPr>
              <w:spacing w:after="40" w:before="40"/>
            </w:pPr>
            <w:r/>
            <w:r>
              <w:rPr>
                <w:rFonts w:ascii="Calibri" w:hAnsi="Calibri"/>
                <w:b w:val="0"/>
                <w:sz w:val="15"/>
              </w:rPr>
              <w:t>Tasa de errores del servidor</w:t>
            </w:r>
          </w:p>
        </w:tc>
        <w:tc>
          <w:tcPr>
            <w:tcW w:type="dxa" w:w="3005"/>
          </w:tcPr>
          <w:p>
            <w:pPr>
              <w:spacing w:after="40" w:before="40"/>
            </w:pPr>
            <w:r/>
            <w:r>
              <w:rPr>
                <w:rFonts w:ascii="Calibri" w:hAnsi="Calibri"/>
                <w:b w:val="0"/>
                <w:sz w:val="15"/>
              </w:rPr>
              <w:t>Respuestas 5xx ÷ total de respuestas. Se reporta aparte la tasa de 4xx.</w:t>
            </w:r>
          </w:p>
        </w:tc>
        <w:tc>
          <w:tcPr>
            <w:tcW w:type="dxa" w:w="1474"/>
          </w:tcPr>
          <w:p>
            <w:pPr>
              <w:spacing w:after="40" w:before="40"/>
              <w:jc w:val="center"/>
            </w:pPr>
            <w:r/>
            <w:r>
              <w:rPr>
                <w:rFonts w:ascii="Calibri" w:hAnsi="Calibri"/>
                <w:b w:val="0"/>
                <w:sz w:val="15"/>
              </w:rPr>
              <w:t>≤ 0.5 %</w:t>
            </w:r>
          </w:p>
        </w:tc>
        <w:tc>
          <w:tcPr>
            <w:tcW w:type="dxa" w:w="1247"/>
          </w:tcPr>
          <w:p>
            <w:pPr>
              <w:spacing w:after="40" w:before="40"/>
              <w:jc w:val="center"/>
            </w:pPr>
            <w:r/>
            <w:r>
              <w:rPr>
                <w:rFonts w:ascii="Calibri" w:hAnsi="Calibri"/>
                <w:b w:val="0"/>
                <w:sz w:val="15"/>
              </w:rPr>
              <w:t>&gt; 1.0 %</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Los 5xx son fallos nuestros y los 4xx del cliente: mezclarlos oculta el problema. Un repunte de 4xx sin repunte de 5xx no es una avería sino una señal de diseño —campos mal explicados, validaciones sorprendentes— o de un intento de abuso.</w:t>
            </w:r>
          </w:p>
        </w:tc>
        <w:tc>
          <w:tcPr>
            <w:tcW w:type="dxa" w:w="1474"/>
          </w:tcPr>
          <w:p>
            <w:pPr>
              <w:spacing w:after="40" w:before="40"/>
            </w:pPr>
            <w:r/>
            <w:r>
              <w:rPr>
                <w:rFonts w:ascii="Calibri" w:hAnsi="Calibri"/>
                <w:b w:val="0"/>
                <w:sz w:val="15"/>
              </w:rPr>
              <w:t>HU-14</w:t>
            </w:r>
          </w:p>
        </w:tc>
      </w:tr>
      <w:tr>
        <w:tc>
          <w:tcPr>
            <w:tcW w:type="dxa" w:w="737"/>
          </w:tcPr>
          <w:p>
            <w:pPr>
              <w:spacing w:after="40" w:before="40"/>
              <w:jc w:val="center"/>
            </w:pPr>
            <w:r/>
            <w:r>
              <w:rPr>
                <w:rFonts w:ascii="Calibri" w:hAnsi="Calibri"/>
                <w:b w:val="0"/>
                <w:sz w:val="15"/>
              </w:rPr>
              <w:t>KPI-11</w:t>
            </w:r>
          </w:p>
        </w:tc>
        <w:tc>
          <w:tcPr>
            <w:tcW w:type="dxa" w:w="2041"/>
          </w:tcPr>
          <w:p>
            <w:pPr>
              <w:spacing w:after="40" w:before="40"/>
            </w:pPr>
            <w:r/>
            <w:r>
              <w:rPr>
                <w:rFonts w:ascii="Calibri" w:hAnsi="Calibri"/>
                <w:b w:val="0"/>
                <w:sz w:val="15"/>
              </w:rPr>
              <w:t>Rendimiento sostenido</w:t>
            </w:r>
          </w:p>
        </w:tc>
        <w:tc>
          <w:tcPr>
            <w:tcW w:type="dxa" w:w="3005"/>
          </w:tcPr>
          <w:p>
            <w:pPr>
              <w:spacing w:after="40" w:before="40"/>
            </w:pPr>
            <w:r/>
            <w:r>
              <w:rPr>
                <w:rFonts w:ascii="Calibri" w:hAnsi="Calibri"/>
                <w:b w:val="0"/>
                <w:sz w:val="15"/>
              </w:rPr>
              <w:t>Solicitudes por segundo atendidas sin degradar KPI-09.</w:t>
            </w:r>
          </w:p>
        </w:tc>
        <w:tc>
          <w:tcPr>
            <w:tcW w:type="dxa" w:w="1474"/>
          </w:tcPr>
          <w:p>
            <w:pPr>
              <w:spacing w:after="40" w:before="40"/>
              <w:jc w:val="center"/>
            </w:pPr>
            <w:r/>
            <w:r>
              <w:rPr>
                <w:rFonts w:ascii="Calibri" w:hAnsi="Calibri"/>
                <w:b w:val="0"/>
                <w:sz w:val="15"/>
              </w:rPr>
              <w:t>≥ 50 rps</w:t>
            </w:r>
          </w:p>
        </w:tc>
        <w:tc>
          <w:tcPr>
            <w:tcW w:type="dxa" w:w="1247"/>
          </w:tcPr>
          <w:p>
            <w:pPr>
              <w:spacing w:after="40" w:before="40"/>
              <w:jc w:val="center"/>
            </w:pPr>
            <w:r/>
            <w:r>
              <w:rPr>
                <w:rFonts w:ascii="Calibri" w:hAnsi="Calibri"/>
                <w:b w:val="0"/>
                <w:sz w:val="15"/>
              </w:rPr>
              <w:t>&lt; 35 rps</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Medido sobre el hardware real de despliegue —4 vCPU ARM Ampere, 24 GB— y no sobre la máquina de desarrollo. Una cifra obtenida en un portátil no describe el sistema que el usuario va a usar.</w:t>
            </w:r>
          </w:p>
        </w:tc>
        <w:tc>
          <w:tcPr>
            <w:tcW w:type="dxa" w:w="1474"/>
          </w:tcPr>
          <w:p>
            <w:pPr>
              <w:spacing w:after="40" w:before="40"/>
            </w:pPr>
            <w:r/>
            <w:r>
              <w:rPr>
                <w:rFonts w:ascii="Calibri" w:hAnsi="Calibri"/>
                <w:b w:val="0"/>
                <w:sz w:val="15"/>
              </w:rPr>
              <w:t>HU-14</w:t>
            </w:r>
          </w:p>
        </w:tc>
      </w:tr>
      <w:tr>
        <w:tc>
          <w:tcPr>
            <w:tcW w:type="dxa" w:w="737"/>
          </w:tcPr>
          <w:p>
            <w:pPr>
              <w:spacing w:after="40" w:before="40"/>
              <w:jc w:val="center"/>
            </w:pPr>
            <w:r/>
            <w:r>
              <w:rPr>
                <w:rFonts w:ascii="Calibri" w:hAnsi="Calibri"/>
                <w:b w:val="0"/>
                <w:sz w:val="15"/>
              </w:rPr>
              <w:t>KPI-12</w:t>
            </w:r>
          </w:p>
        </w:tc>
        <w:tc>
          <w:tcPr>
            <w:tcW w:type="dxa" w:w="2041"/>
          </w:tcPr>
          <w:p>
            <w:pPr>
              <w:spacing w:after="40" w:before="40"/>
            </w:pPr>
            <w:r/>
            <w:r>
              <w:rPr>
                <w:rFonts w:ascii="Calibri" w:hAnsi="Calibri"/>
                <w:b w:val="0"/>
                <w:sz w:val="15"/>
              </w:rPr>
              <w:t>Accesibilidad automatizada</w:t>
            </w:r>
          </w:p>
        </w:tc>
        <w:tc>
          <w:tcPr>
            <w:tcW w:type="dxa" w:w="3005"/>
          </w:tcPr>
          <w:p>
            <w:pPr>
              <w:spacing w:after="40" w:before="40"/>
            </w:pPr>
            <w:r/>
            <w:r>
              <w:rPr>
                <w:rFonts w:ascii="Calibri" w:hAnsi="Calibri"/>
                <w:b w:val="0"/>
                <w:sz w:val="15"/>
              </w:rPr>
              <w:t>Puntuación de accesibilidad de Lighthouse y número de incumplimientos de WCAG 2.1 AA detectados por axe-core.</w:t>
            </w:r>
          </w:p>
        </w:tc>
        <w:tc>
          <w:tcPr>
            <w:tcW w:type="dxa" w:w="1474"/>
          </w:tcPr>
          <w:p>
            <w:pPr>
              <w:spacing w:after="40" w:before="40"/>
              <w:jc w:val="center"/>
            </w:pPr>
            <w:r/>
            <w:r>
              <w:rPr>
                <w:rFonts w:ascii="Calibri" w:hAnsi="Calibri"/>
                <w:b w:val="0"/>
                <w:sz w:val="15"/>
              </w:rPr>
              <w:t>≥ 95 puntos</w:t>
            </w:r>
          </w:p>
          <w:p>
            <w:pPr>
              <w:spacing w:after="40"/>
              <w:jc w:val="center"/>
            </w:pPr>
            <w:r>
              <w:rPr>
                <w:rFonts w:ascii="Calibri" w:hAnsi="Calibri"/>
                <w:b w:val="0"/>
                <w:sz w:val="15"/>
              </w:rPr>
              <w:t>0 críticos</w:t>
            </w:r>
          </w:p>
        </w:tc>
        <w:tc>
          <w:tcPr>
            <w:tcW w:type="dxa" w:w="1247"/>
          </w:tcPr>
          <w:p>
            <w:pPr>
              <w:spacing w:after="40" w:before="40"/>
              <w:jc w:val="center"/>
            </w:pPr>
            <w:r/>
            <w:r>
              <w:rPr>
                <w:rFonts w:ascii="Calibri" w:hAnsi="Calibri"/>
                <w:b w:val="0"/>
                <w:sz w:val="15"/>
              </w:rPr>
              <w:t>&lt; 90 puntos</w:t>
            </w:r>
          </w:p>
        </w:tc>
        <w:tc>
          <w:tcPr>
            <w:tcW w:type="dxa" w:w="624"/>
          </w:tcPr>
          <w:p>
            <w:pPr>
              <w:spacing w:after="40" w:before="40"/>
              <w:jc w:val="center"/>
            </w:pPr>
            <w:r/>
            <w:r>
              <w:rPr>
                <w:rFonts w:ascii="Calibri" w:hAnsi="Calibri"/>
                <w:b w:val="0"/>
                <w:sz w:val="15"/>
              </w:rPr>
              <w:t>E</w:t>
            </w:r>
          </w:p>
        </w:tc>
        <w:tc>
          <w:tcPr>
            <w:tcW w:type="dxa" w:w="4535"/>
          </w:tcPr>
          <w:p>
            <w:pPr>
              <w:spacing w:after="40" w:before="40"/>
            </w:pPr>
            <w:r/>
            <w:r>
              <w:rPr>
                <w:rFonts w:ascii="Calibri" w:hAnsi="Calibri"/>
                <w:b w:val="0"/>
                <w:sz w:val="15"/>
              </w:rPr>
              <w:t>WCAG 2.1 nivel AA, comprometido en el alcance del proyecto. La verificación automatizada cubre en torno a un tercio de los criterios: el resto exige revisión manual, y por eso el indicador se acompaña de una lista de comprobación manual y no se presenta como suficiente por sí solo.</w:t>
            </w:r>
          </w:p>
        </w:tc>
        <w:tc>
          <w:tcPr>
            <w:tcW w:type="dxa" w:w="1474"/>
          </w:tcPr>
          <w:p>
            <w:pPr>
              <w:spacing w:after="40" w:before="40"/>
            </w:pPr>
            <w:r/>
            <w:r>
              <w:rPr>
                <w:rFonts w:ascii="Calibri" w:hAnsi="Calibri"/>
                <w:b w:val="0"/>
                <w:sz w:val="15"/>
              </w:rPr>
              <w:t>HU-17</w:t>
            </w:r>
          </w:p>
        </w:tc>
      </w:tr>
      <w:tr>
        <w:tc>
          <w:tcPr>
            <w:tcW w:type="dxa" w:w="15136"/>
            <w:gridSpan w:val="8"/>
            <w:shd w:val="clear" w:color="auto" w:fill="DCE6F1"/>
          </w:tcPr>
          <w:p>
            <w:pPr>
              <w:spacing w:after="40" w:before="40"/>
            </w:pPr>
            <w:r/>
            <w:r>
              <w:rPr>
                <w:rFonts w:ascii="Calibri" w:hAnsi="Calibri"/>
                <w:b/>
                <w:color w:val="064475"/>
                <w:sz w:val="16"/>
              </w:rPr>
              <w:t>CAPA DE IDENTIDAD Y SEGURIDAD</w:t>
            </w:r>
          </w:p>
        </w:tc>
      </w:tr>
      <w:tr>
        <w:tc>
          <w:tcPr>
            <w:tcW w:type="dxa" w:w="737"/>
          </w:tcPr>
          <w:p>
            <w:pPr>
              <w:spacing w:after="40" w:before="40"/>
              <w:jc w:val="center"/>
            </w:pPr>
            <w:r/>
            <w:r>
              <w:rPr>
                <w:rFonts w:ascii="Calibri" w:hAnsi="Calibri"/>
                <w:b w:val="0"/>
                <w:sz w:val="15"/>
              </w:rPr>
              <w:t>KPI-13</w:t>
            </w:r>
          </w:p>
        </w:tc>
        <w:tc>
          <w:tcPr>
            <w:tcW w:type="dxa" w:w="2041"/>
          </w:tcPr>
          <w:p>
            <w:pPr>
              <w:spacing w:after="40" w:before="40"/>
            </w:pPr>
            <w:r/>
            <w:r>
              <w:rPr>
                <w:rFonts w:ascii="Calibri" w:hAnsi="Calibri"/>
                <w:b w:val="0"/>
                <w:sz w:val="15"/>
              </w:rPr>
              <w:t>Precisión del cotejo facial</w:t>
            </w:r>
          </w:p>
        </w:tc>
        <w:tc>
          <w:tcPr>
            <w:tcW w:type="dxa" w:w="3005"/>
          </w:tcPr>
          <w:p>
            <w:pPr>
              <w:spacing w:after="40" w:before="40"/>
            </w:pPr>
            <w:r/>
            <w:r>
              <w:rPr>
                <w:rFonts w:ascii="Calibri" w:hAnsi="Calibri"/>
                <w:b w:val="0"/>
                <w:sz w:val="15"/>
              </w:rPr>
              <w:t>Sobre el conjunto de imágenes de control: tasa de falso no-emparejamiento (FNMR) y de falso emparejamiento (FMR).</w:t>
            </w:r>
          </w:p>
        </w:tc>
        <w:tc>
          <w:tcPr>
            <w:tcW w:type="dxa" w:w="1474"/>
          </w:tcPr>
          <w:p>
            <w:pPr>
              <w:spacing w:after="40" w:before="40"/>
              <w:jc w:val="center"/>
            </w:pPr>
            <w:r/>
            <w:r>
              <w:rPr>
                <w:rFonts w:ascii="Calibri" w:hAnsi="Calibri"/>
                <w:b w:val="0"/>
                <w:sz w:val="15"/>
              </w:rPr>
              <w:t>FNMR ≤ 10 %</w:t>
            </w:r>
          </w:p>
          <w:p>
            <w:pPr>
              <w:spacing w:after="40"/>
              <w:jc w:val="center"/>
            </w:pPr>
            <w:r>
              <w:rPr>
                <w:rFonts w:ascii="Calibri" w:hAnsi="Calibri"/>
                <w:b w:val="0"/>
                <w:sz w:val="15"/>
              </w:rPr>
              <w:t>FMR ≤ 0.1 %</w:t>
            </w:r>
          </w:p>
        </w:tc>
        <w:tc>
          <w:tcPr>
            <w:tcW w:type="dxa" w:w="1247"/>
          </w:tcPr>
          <w:p>
            <w:pPr>
              <w:spacing w:after="40" w:before="40"/>
              <w:jc w:val="center"/>
            </w:pPr>
            <w:r/>
            <w:r>
              <w:rPr>
                <w:rFonts w:ascii="Calibri" w:hAnsi="Calibri"/>
                <w:b w:val="0"/>
                <w:sz w:val="15"/>
              </w:rPr>
              <w:t>FNMR &gt; 15 %</w:t>
            </w:r>
          </w:p>
        </w:tc>
        <w:tc>
          <w:tcPr>
            <w:tcW w:type="dxa" w:w="624"/>
          </w:tcPr>
          <w:p>
            <w:pPr>
              <w:spacing w:after="40" w:before="40"/>
              <w:jc w:val="center"/>
            </w:pPr>
            <w:r/>
            <w:r>
              <w:rPr>
                <w:rFonts w:ascii="Calibri" w:hAnsi="Calibri"/>
                <w:b w:val="0"/>
                <w:sz w:val="15"/>
              </w:rPr>
              <w:t>B + E</w:t>
            </w:r>
          </w:p>
        </w:tc>
        <w:tc>
          <w:tcPr>
            <w:tcW w:type="dxa" w:w="4535"/>
          </w:tcPr>
          <w:p>
            <w:pPr>
              <w:spacing w:after="40" w:before="40"/>
            </w:pPr>
            <w:r/>
            <w:r>
              <w:rPr>
                <w:rFonts w:ascii="Calibri" w:hAnsi="Calibri"/>
                <w:b w:val="0"/>
                <w:sz w:val="15"/>
              </w:rPr>
              <w:t xml:space="preserve">El NIST, en su evaluación FRVT 1:1, sitúa a los mejores algoritmos en un FNMR cercano al 0.3 % con un FMR de 1 entre 100 000, sobre imágenes de calidad controlada. </w:t>
            </w:r>
            <w:r>
              <w:rPr>
                <w:rFonts w:ascii="Calibri" w:hAnsi="Calibri"/>
                <w:b/>
                <w:sz w:val="15"/>
              </w:rPr>
              <w:t>Nuestro objetivo es deliberadamente muy inferior y no debe compararse con esa cifra:</w:t>
            </w:r>
            <w:r>
              <w:rPr>
                <w:rFonts w:ascii="Calibri" w:hAnsi="Calibri"/>
                <w:b w:val="0"/>
                <w:sz w:val="15"/>
              </w:rPr>
              <w:t xml:space="preserve"> trabajamos con cámaras web no calibradas, iluminación no controlada y una biblioteca de código abierto, no con un algoritmo comercial evaluado por el NIST. La referencia se cita para situar la distancia con el estado del arte de forma honesta, no para atribuirnos su rendimiento.</w:t>
            </w:r>
          </w:p>
        </w:tc>
        <w:tc>
          <w:tcPr>
            <w:tcW w:type="dxa" w:w="1474"/>
          </w:tcPr>
          <w:p>
            <w:pPr>
              <w:spacing w:after="40" w:before="40"/>
            </w:pPr>
            <w:r/>
            <w:r>
              <w:rPr>
                <w:rFonts w:ascii="Calibri" w:hAnsi="Calibri"/>
                <w:b w:val="0"/>
                <w:sz w:val="15"/>
              </w:rPr>
              <w:t>HU-03</w:t>
            </w:r>
          </w:p>
        </w:tc>
      </w:tr>
      <w:tr>
        <w:tc>
          <w:tcPr>
            <w:tcW w:type="dxa" w:w="737"/>
          </w:tcPr>
          <w:p>
            <w:pPr>
              <w:spacing w:after="40" w:before="40"/>
              <w:jc w:val="center"/>
            </w:pPr>
            <w:r/>
            <w:r>
              <w:rPr>
                <w:rFonts w:ascii="Calibri" w:hAnsi="Calibri"/>
                <w:b w:val="0"/>
                <w:sz w:val="15"/>
              </w:rPr>
              <w:t>KPI-14</w:t>
            </w:r>
          </w:p>
        </w:tc>
        <w:tc>
          <w:tcPr>
            <w:tcW w:type="dxa" w:w="2041"/>
          </w:tcPr>
          <w:p>
            <w:pPr>
              <w:spacing w:after="40" w:before="40"/>
            </w:pPr>
            <w:r/>
            <w:r>
              <w:rPr>
                <w:rFonts w:ascii="Calibri" w:hAnsi="Calibri"/>
                <w:b w:val="0"/>
                <w:sz w:val="15"/>
              </w:rPr>
              <w:t>Eficacia de la prueba de vivacidad</w:t>
            </w:r>
          </w:p>
        </w:tc>
        <w:tc>
          <w:tcPr>
            <w:tcW w:type="dxa" w:w="3005"/>
          </w:tcPr>
          <w:p>
            <w:pPr>
              <w:spacing w:after="40" w:before="40"/>
            </w:pPr>
            <w:r/>
            <w:r>
              <w:rPr>
                <w:rFonts w:ascii="Calibri" w:hAnsi="Calibri"/>
                <w:b w:val="0"/>
                <w:sz w:val="15"/>
              </w:rPr>
              <w:t>APCER: proporción de ataques de presentación clasificados como legítimos. BPCER: proporción de presentaciones legítimas rechazadas.</w:t>
            </w:r>
          </w:p>
        </w:tc>
        <w:tc>
          <w:tcPr>
            <w:tcW w:type="dxa" w:w="1474"/>
          </w:tcPr>
          <w:p>
            <w:pPr>
              <w:spacing w:after="40" w:before="40"/>
              <w:jc w:val="center"/>
            </w:pPr>
            <w:r/>
            <w:r>
              <w:rPr>
                <w:rFonts w:ascii="Calibri" w:hAnsi="Calibri"/>
                <w:b w:val="0"/>
                <w:sz w:val="15"/>
              </w:rPr>
              <w:t>APCER ≤ 10 %</w:t>
            </w:r>
          </w:p>
          <w:p>
            <w:pPr>
              <w:spacing w:after="40"/>
              <w:jc w:val="center"/>
            </w:pPr>
            <w:r>
              <w:rPr>
                <w:rFonts w:ascii="Calibri" w:hAnsi="Calibri"/>
                <w:b w:val="0"/>
                <w:sz w:val="15"/>
              </w:rPr>
              <w:t>BPCER ≤ 5 %</w:t>
            </w:r>
          </w:p>
        </w:tc>
        <w:tc>
          <w:tcPr>
            <w:tcW w:type="dxa" w:w="1247"/>
          </w:tcPr>
          <w:p>
            <w:pPr>
              <w:spacing w:after="40" w:before="40"/>
              <w:jc w:val="center"/>
            </w:pPr>
            <w:r/>
            <w:r>
              <w:rPr>
                <w:rFonts w:ascii="Calibri" w:hAnsi="Calibri"/>
                <w:b w:val="0"/>
                <w:sz w:val="15"/>
              </w:rPr>
              <w:t>APCER &gt; 20 %</w:t>
            </w:r>
          </w:p>
        </w:tc>
        <w:tc>
          <w:tcPr>
            <w:tcW w:type="dxa" w:w="624"/>
          </w:tcPr>
          <w:p>
            <w:pPr>
              <w:spacing w:after="40" w:before="40"/>
              <w:jc w:val="center"/>
            </w:pPr>
            <w:r/>
            <w:r>
              <w:rPr>
                <w:rFonts w:ascii="Calibri" w:hAnsi="Calibri"/>
                <w:b w:val="0"/>
                <w:sz w:val="15"/>
              </w:rPr>
              <w:t>E</w:t>
            </w:r>
          </w:p>
        </w:tc>
        <w:tc>
          <w:tcPr>
            <w:tcW w:type="dxa" w:w="4535"/>
          </w:tcPr>
          <w:p>
            <w:pPr>
              <w:spacing w:after="40" w:before="40"/>
            </w:pPr>
            <w:r/>
            <w:r>
              <w:rPr>
                <w:rFonts w:ascii="Calibri" w:hAnsi="Calibri"/>
                <w:b w:val="0"/>
                <w:sz w:val="15"/>
              </w:rPr>
              <w:t xml:space="preserve">Métricas y nomenclatura definidas por la norma ISO/IEC 30107-3. </w:t>
            </w:r>
            <w:r>
              <w:rPr>
                <w:rFonts w:ascii="Calibri" w:hAnsi="Calibri"/>
                <w:b/>
                <w:sz w:val="15"/>
              </w:rPr>
              <w:t>El alcance declarado es únicamente el nivel 1</w:t>
            </w:r>
            <w:r>
              <w:rPr>
                <w:rFonts w:ascii="Calibri" w:hAnsi="Calibri"/>
                <w:b w:val="0"/>
                <w:sz w:val="15"/>
              </w:rPr>
              <w:t xml:space="preserve"> —fotografía impresa y reproducción en pantalla—. El nivel 2 —máscaras de silicona, medios sintéticos— queda expresamente fuera: exige laboratorio acreditado y no puede afirmarse sin él.</w:t>
            </w:r>
          </w:p>
        </w:tc>
        <w:tc>
          <w:tcPr>
            <w:tcW w:type="dxa" w:w="1474"/>
          </w:tcPr>
          <w:p>
            <w:pPr>
              <w:spacing w:after="40" w:before="40"/>
            </w:pPr>
            <w:r/>
            <w:r>
              <w:rPr>
                <w:rFonts w:ascii="Calibri" w:hAnsi="Calibri"/>
                <w:b w:val="0"/>
                <w:sz w:val="15"/>
              </w:rPr>
              <w:t>HU-03</w:t>
            </w:r>
          </w:p>
        </w:tc>
      </w:tr>
      <w:tr>
        <w:tc>
          <w:tcPr>
            <w:tcW w:type="dxa" w:w="737"/>
          </w:tcPr>
          <w:p>
            <w:pPr>
              <w:spacing w:after="40" w:before="40"/>
              <w:jc w:val="center"/>
            </w:pPr>
            <w:r/>
            <w:r>
              <w:rPr>
                <w:rFonts w:ascii="Calibri" w:hAnsi="Calibri"/>
                <w:b w:val="0"/>
                <w:sz w:val="15"/>
              </w:rPr>
              <w:t>KPI-15</w:t>
            </w:r>
          </w:p>
        </w:tc>
        <w:tc>
          <w:tcPr>
            <w:tcW w:type="dxa" w:w="2041"/>
          </w:tcPr>
          <w:p>
            <w:pPr>
              <w:spacing w:after="40" w:before="40"/>
            </w:pPr>
            <w:r/>
            <w:r>
              <w:rPr>
                <w:rFonts w:ascii="Calibri" w:hAnsi="Calibri"/>
                <w:b w:val="0"/>
                <w:sz w:val="15"/>
              </w:rPr>
              <w:t>Bloqueos por intentos fallidos</w:t>
            </w:r>
          </w:p>
        </w:tc>
        <w:tc>
          <w:tcPr>
            <w:tcW w:type="dxa" w:w="3005"/>
          </w:tcPr>
          <w:p>
            <w:pPr>
              <w:spacing w:after="40" w:before="40"/>
            </w:pPr>
            <w:r/>
            <w:r>
              <w:rPr>
                <w:rFonts w:ascii="Calibri" w:hAnsi="Calibri"/>
                <w:b w:val="0"/>
                <w:sz w:val="15"/>
              </w:rPr>
              <w:t>Cuentas con bloqueo temporal activo ÷ cuentas activas, y su distribución horaria.</w:t>
            </w:r>
          </w:p>
        </w:tc>
        <w:tc>
          <w:tcPr>
            <w:tcW w:type="dxa" w:w="1474"/>
          </w:tcPr>
          <w:p>
            <w:pPr>
              <w:spacing w:after="40" w:before="40"/>
              <w:jc w:val="center"/>
            </w:pPr>
            <w:r/>
            <w:r>
              <w:rPr>
                <w:rFonts w:ascii="Calibri" w:hAnsi="Calibri"/>
                <w:b w:val="0"/>
                <w:sz w:val="15"/>
              </w:rPr>
              <w:t>≤ 2 %</w:t>
            </w:r>
          </w:p>
        </w:tc>
        <w:tc>
          <w:tcPr>
            <w:tcW w:type="dxa" w:w="1247"/>
          </w:tcPr>
          <w:p>
            <w:pPr>
              <w:spacing w:after="40" w:before="40"/>
              <w:jc w:val="center"/>
            </w:pPr>
            <w:r/>
            <w:r>
              <w:rPr>
                <w:rFonts w:ascii="Calibri" w:hAnsi="Calibri"/>
                <w:b w:val="0"/>
                <w:sz w:val="15"/>
              </w:rPr>
              <w:t>&gt; 5 % o pico anómalo</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Un valor elevado admite dos lecturas opuestas —usuarios que olvidan su contraseña, o un ataque de fuerza bruta en curso— y se distinguen por la concentración temporal y por el número de cuentas distintas afectadas. Es un indicador de seguridad, no de usabilidad.</w:t>
            </w:r>
          </w:p>
        </w:tc>
        <w:tc>
          <w:tcPr>
            <w:tcW w:type="dxa" w:w="1474"/>
          </w:tcPr>
          <w:p>
            <w:pPr>
              <w:spacing w:after="40" w:before="40"/>
            </w:pPr>
            <w:r/>
            <w:r>
              <w:rPr>
                <w:rFonts w:ascii="Calibri" w:hAnsi="Calibri"/>
                <w:b w:val="0"/>
                <w:sz w:val="15"/>
              </w:rPr>
              <w:t>HU-04</w:t>
            </w:r>
          </w:p>
        </w:tc>
      </w:tr>
      <w:tr>
        <w:tc>
          <w:tcPr>
            <w:tcW w:type="dxa" w:w="737"/>
          </w:tcPr>
          <w:p>
            <w:pPr>
              <w:spacing w:after="40" w:before="40"/>
              <w:jc w:val="center"/>
            </w:pPr>
            <w:r/>
            <w:r>
              <w:rPr>
                <w:rFonts w:ascii="Calibri" w:hAnsi="Calibri"/>
                <w:b w:val="0"/>
                <w:sz w:val="15"/>
              </w:rPr>
              <w:t>KPI-16</w:t>
            </w:r>
          </w:p>
        </w:tc>
        <w:tc>
          <w:tcPr>
            <w:tcW w:type="dxa" w:w="2041"/>
          </w:tcPr>
          <w:p>
            <w:pPr>
              <w:spacing w:after="40" w:before="40"/>
            </w:pPr>
            <w:r/>
            <w:r>
              <w:rPr>
                <w:rFonts w:ascii="Calibri" w:hAnsi="Calibri"/>
                <w:b w:val="0"/>
                <w:sz w:val="15"/>
              </w:rPr>
              <w:t>Cobertura del segundo factor</w:t>
            </w:r>
          </w:p>
        </w:tc>
        <w:tc>
          <w:tcPr>
            <w:tcW w:type="dxa" w:w="3005"/>
          </w:tcPr>
          <w:p>
            <w:pPr>
              <w:spacing w:after="40" w:before="40"/>
            </w:pPr>
            <w:r/>
            <w:r>
              <w:rPr>
                <w:rFonts w:ascii="Calibri" w:hAnsi="Calibri"/>
                <w:b w:val="0"/>
                <w:sz w:val="15"/>
              </w:rPr>
              <w:t>Titulares con un segundo factor verificado ÷ titulares activos.</w:t>
            </w:r>
          </w:p>
        </w:tc>
        <w:tc>
          <w:tcPr>
            <w:tcW w:type="dxa" w:w="1474"/>
          </w:tcPr>
          <w:p>
            <w:pPr>
              <w:spacing w:after="40" w:before="40"/>
              <w:jc w:val="center"/>
            </w:pPr>
            <w:r/>
            <w:r>
              <w:rPr>
                <w:rFonts w:ascii="Calibri" w:hAnsi="Calibri"/>
                <w:b w:val="0"/>
                <w:sz w:val="15"/>
              </w:rPr>
              <w:t>100 %</w:t>
            </w:r>
          </w:p>
        </w:tc>
        <w:tc>
          <w:tcPr>
            <w:tcW w:type="dxa" w:w="1247"/>
          </w:tcPr>
          <w:p>
            <w:pPr>
              <w:spacing w:after="40" w:before="40"/>
              <w:jc w:val="center"/>
            </w:pPr>
            <w:r/>
            <w:r>
              <w:rPr>
                <w:rFonts w:ascii="Calibri" w:hAnsi="Calibri"/>
                <w:b w:val="0"/>
                <w:sz w:val="15"/>
              </w:rPr>
              <w:t>&lt; 100 %</w:t>
            </w:r>
          </w:p>
        </w:tc>
        <w:tc>
          <w:tcPr>
            <w:tcW w:type="dxa" w:w="624"/>
          </w:tcPr>
          <w:p>
            <w:pPr>
              <w:spacing w:after="40" w:before="40"/>
              <w:jc w:val="center"/>
            </w:pPr>
            <w:r/>
            <w:r>
              <w:rPr>
                <w:rFonts w:ascii="Calibri" w:hAnsi="Calibri"/>
                <w:b w:val="0"/>
                <w:sz w:val="15"/>
              </w:rPr>
              <w:t>N</w:t>
            </w:r>
          </w:p>
        </w:tc>
        <w:tc>
          <w:tcPr>
            <w:tcW w:type="dxa" w:w="4535"/>
          </w:tcPr>
          <w:p>
            <w:pPr>
              <w:spacing w:after="40" w:before="40"/>
            </w:pPr>
            <w:r/>
            <w:r>
              <w:rPr>
                <w:rFonts w:ascii="Calibri" w:hAnsi="Calibri"/>
                <w:b w:val="0"/>
                <w:sz w:val="15"/>
              </w:rPr>
              <w:t>La Resolución SBS N.º 504-2021 exige autenticación reforzada para las operaciones sensibles del sector financiero. El umbral no admite gradación: una sola cuenta operativa sin segundo factor es un incumplimiento, no una desviación estadística.</w:t>
            </w:r>
          </w:p>
        </w:tc>
        <w:tc>
          <w:tcPr>
            <w:tcW w:type="dxa" w:w="1474"/>
          </w:tcPr>
          <w:p>
            <w:pPr>
              <w:spacing w:after="40" w:before="40"/>
            </w:pPr>
            <w:r/>
            <w:r>
              <w:rPr>
                <w:rFonts w:ascii="Calibri" w:hAnsi="Calibri"/>
                <w:b w:val="0"/>
                <w:sz w:val="15"/>
              </w:rPr>
              <w:t>HU-04, HU-22</w:t>
            </w:r>
          </w:p>
        </w:tc>
      </w:tr>
      <w:tr>
        <w:tc>
          <w:tcPr>
            <w:tcW w:type="dxa" w:w="15136"/>
            <w:gridSpan w:val="8"/>
            <w:shd w:val="clear" w:color="auto" w:fill="DCE6F1"/>
          </w:tcPr>
          <w:p>
            <w:pPr>
              <w:spacing w:after="40" w:before="40"/>
            </w:pPr>
            <w:r/>
            <w:r>
              <w:rPr>
                <w:rFonts w:ascii="Calibri" w:hAnsi="Calibri"/>
                <w:b/>
                <w:color w:val="064475"/>
                <w:sz w:val="16"/>
              </w:rPr>
              <w:t>CAPA DE INFRAESTRUCTURA — la salud del servidor determina la del servicio</w:t>
            </w:r>
          </w:p>
        </w:tc>
      </w:tr>
      <w:tr>
        <w:tc>
          <w:tcPr>
            <w:tcW w:type="dxa" w:w="737"/>
          </w:tcPr>
          <w:p>
            <w:pPr>
              <w:spacing w:after="40" w:before="40"/>
              <w:jc w:val="center"/>
            </w:pPr>
            <w:r/>
            <w:r>
              <w:rPr>
                <w:rFonts w:ascii="Calibri" w:hAnsi="Calibri"/>
                <w:b w:val="0"/>
                <w:sz w:val="15"/>
              </w:rPr>
              <w:t>KPI-17</w:t>
            </w:r>
          </w:p>
        </w:tc>
        <w:tc>
          <w:tcPr>
            <w:tcW w:type="dxa" w:w="2041"/>
          </w:tcPr>
          <w:p>
            <w:pPr>
              <w:spacing w:after="40" w:before="40"/>
            </w:pPr>
            <w:r/>
            <w:r>
              <w:rPr>
                <w:rFonts w:ascii="Calibri" w:hAnsi="Calibri"/>
                <w:b w:val="0"/>
                <w:sz w:val="15"/>
              </w:rPr>
              <w:t>Disponibilidad mensual</w:t>
            </w:r>
          </w:p>
        </w:tc>
        <w:tc>
          <w:tcPr>
            <w:tcW w:type="dxa" w:w="3005"/>
          </w:tcPr>
          <w:p>
            <w:pPr>
              <w:spacing w:after="40" w:before="40"/>
            </w:pPr>
            <w:r/>
            <w:r>
              <w:rPr>
                <w:rFonts w:ascii="Calibri" w:hAnsi="Calibri"/>
                <w:b w:val="0"/>
                <w:sz w:val="15"/>
              </w:rPr>
              <w:t>Minutos con el servicio respondiendo correctamente ÷ minutos del mes, excluyendo ventanas de mantenimiento anunciadas.</w:t>
            </w:r>
          </w:p>
        </w:tc>
        <w:tc>
          <w:tcPr>
            <w:tcW w:type="dxa" w:w="1474"/>
          </w:tcPr>
          <w:p>
            <w:pPr>
              <w:spacing w:after="40" w:before="40"/>
              <w:jc w:val="center"/>
            </w:pPr>
            <w:r/>
            <w:r>
              <w:rPr>
                <w:rFonts w:ascii="Calibri" w:hAnsi="Calibri"/>
                <w:b w:val="0"/>
                <w:sz w:val="15"/>
              </w:rPr>
              <w:t>≥ 99.6 % (SLO)</w:t>
            </w:r>
          </w:p>
        </w:tc>
        <w:tc>
          <w:tcPr>
            <w:tcW w:type="dxa" w:w="1247"/>
          </w:tcPr>
          <w:p>
            <w:pPr>
              <w:spacing w:after="40" w:before="40"/>
              <w:jc w:val="center"/>
            </w:pPr>
            <w:r/>
            <w:r>
              <w:rPr>
                <w:rFonts w:ascii="Calibri" w:hAnsi="Calibri"/>
                <w:b w:val="0"/>
                <w:sz w:val="15"/>
              </w:rPr>
              <w:t>&lt; 99.5 % (SLA)</w:t>
            </w:r>
          </w:p>
        </w:tc>
        <w:tc>
          <w:tcPr>
            <w:tcW w:type="dxa" w:w="624"/>
          </w:tcPr>
          <w:p>
            <w:pPr>
              <w:spacing w:after="40" w:before="40"/>
              <w:jc w:val="center"/>
            </w:pPr>
            <w:r/>
            <w:r>
              <w:rPr>
                <w:rFonts w:ascii="Calibri" w:hAnsi="Calibri"/>
                <w:b w:val="0"/>
                <w:sz w:val="15"/>
              </w:rPr>
              <w:t>N + B</w:t>
            </w:r>
          </w:p>
        </w:tc>
        <w:tc>
          <w:tcPr>
            <w:tcW w:type="dxa" w:w="4535"/>
          </w:tcPr>
          <w:p>
            <w:pPr>
              <w:spacing w:after="40" w:before="40"/>
            </w:pPr>
            <w:r/>
            <w:r>
              <w:rPr>
                <w:rFonts w:ascii="Calibri" w:hAnsi="Calibri"/>
                <w:b w:val="0"/>
                <w:sz w:val="15"/>
              </w:rPr>
              <w:t>La Resolución SBS N.º 877-2020 obliga a gestionar la continuidad del negocio con objetivos de recuperación definidos, sin fijar un porcentaje. El valor se deriva entonces de la infraestructura realmente contratada: un único nodo, sin balanceador ni réplica. La justificación completa está en la sección 4.</w:t>
            </w:r>
          </w:p>
        </w:tc>
        <w:tc>
          <w:tcPr>
            <w:tcW w:type="dxa" w:w="1474"/>
          </w:tcPr>
          <w:p>
            <w:pPr>
              <w:spacing w:after="40" w:before="40"/>
            </w:pPr>
            <w:r/>
            <w:r>
              <w:rPr>
                <w:rFonts w:ascii="Calibri" w:hAnsi="Calibri"/>
                <w:b w:val="0"/>
                <w:sz w:val="15"/>
              </w:rPr>
              <w:t>HU-16, HU-20</w:t>
            </w:r>
          </w:p>
        </w:tc>
      </w:tr>
      <w:tr>
        <w:tc>
          <w:tcPr>
            <w:tcW w:type="dxa" w:w="737"/>
          </w:tcPr>
          <w:p>
            <w:pPr>
              <w:spacing w:after="40" w:before="40"/>
              <w:jc w:val="center"/>
            </w:pPr>
            <w:r/>
            <w:r>
              <w:rPr>
                <w:rFonts w:ascii="Calibri" w:hAnsi="Calibri"/>
                <w:b w:val="0"/>
                <w:sz w:val="15"/>
              </w:rPr>
              <w:t>KPI-18</w:t>
            </w:r>
          </w:p>
        </w:tc>
        <w:tc>
          <w:tcPr>
            <w:tcW w:type="dxa" w:w="2041"/>
          </w:tcPr>
          <w:p>
            <w:pPr>
              <w:spacing w:after="40" w:before="40"/>
            </w:pPr>
            <w:r/>
            <w:r>
              <w:rPr>
                <w:rFonts w:ascii="Calibri" w:hAnsi="Calibri"/>
                <w:b w:val="0"/>
                <w:sz w:val="15"/>
              </w:rPr>
              <w:t>Uso de CPU y memoria</w:t>
            </w:r>
          </w:p>
        </w:tc>
        <w:tc>
          <w:tcPr>
            <w:tcW w:type="dxa" w:w="3005"/>
          </w:tcPr>
          <w:p>
            <w:pPr>
              <w:spacing w:after="40" w:before="40"/>
            </w:pPr>
            <w:r/>
            <w:r>
              <w:rPr>
                <w:rFonts w:ascii="Calibri" w:hAnsi="Calibri"/>
                <w:b w:val="0"/>
                <w:sz w:val="15"/>
              </w:rPr>
              <w:t>Media móvil de 5 minutos por contenedor.</w:t>
            </w:r>
          </w:p>
        </w:tc>
        <w:tc>
          <w:tcPr>
            <w:tcW w:type="dxa" w:w="1474"/>
          </w:tcPr>
          <w:p>
            <w:pPr>
              <w:spacing w:after="40" w:before="40"/>
              <w:jc w:val="center"/>
            </w:pPr>
            <w:r/>
            <w:r>
              <w:rPr>
                <w:rFonts w:ascii="Calibri" w:hAnsi="Calibri"/>
                <w:b w:val="0"/>
                <w:sz w:val="15"/>
              </w:rPr>
              <w:t>CPU &lt; 70 %</w:t>
            </w:r>
          </w:p>
          <w:p>
            <w:pPr>
              <w:spacing w:after="40"/>
              <w:jc w:val="center"/>
            </w:pPr>
            <w:r>
              <w:rPr>
                <w:rFonts w:ascii="Calibri" w:hAnsi="Calibri"/>
                <w:b w:val="0"/>
                <w:sz w:val="15"/>
              </w:rPr>
              <w:t>RAM &lt; 80 %</w:t>
            </w:r>
          </w:p>
        </w:tc>
        <w:tc>
          <w:tcPr>
            <w:tcW w:type="dxa" w:w="1247"/>
          </w:tcPr>
          <w:p>
            <w:pPr>
              <w:spacing w:after="40" w:before="40"/>
              <w:jc w:val="center"/>
            </w:pPr>
            <w:r/>
            <w:r>
              <w:rPr>
                <w:rFonts w:ascii="Calibri" w:hAnsi="Calibri"/>
                <w:b w:val="0"/>
                <w:sz w:val="15"/>
              </w:rPr>
              <w:t>CPU &gt; 85 %</w:t>
            </w:r>
          </w:p>
          <w:p>
            <w:pPr>
              <w:spacing w:after="40"/>
              <w:jc w:val="center"/>
            </w:pPr>
            <w:r>
              <w:rPr>
                <w:rFonts w:ascii="Calibri" w:hAnsi="Calibri"/>
                <w:b w:val="0"/>
                <w:sz w:val="15"/>
              </w:rPr>
              <w:t>RAM &gt; 90 %</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El margen del 30 % en CPU no es holgura desperdiciada: absorbe los picos de trabajo del hashing Argon2id, que consume memoria y procesador a propósito para encarecer los ataques por fuerza bruta.</w:t>
            </w:r>
          </w:p>
        </w:tc>
        <w:tc>
          <w:tcPr>
            <w:tcW w:type="dxa" w:w="1474"/>
          </w:tcPr>
          <w:p>
            <w:pPr>
              <w:spacing w:after="40" w:before="40"/>
            </w:pPr>
            <w:r/>
            <w:r>
              <w:rPr>
                <w:rFonts w:ascii="Calibri" w:hAnsi="Calibri"/>
                <w:b w:val="0"/>
                <w:sz w:val="15"/>
              </w:rPr>
              <w:t>HU-14</w:t>
            </w:r>
          </w:p>
        </w:tc>
      </w:tr>
      <w:tr>
        <w:tc>
          <w:tcPr>
            <w:tcW w:type="dxa" w:w="737"/>
          </w:tcPr>
          <w:p>
            <w:pPr>
              <w:spacing w:after="40" w:before="40"/>
              <w:jc w:val="center"/>
            </w:pPr>
            <w:r/>
            <w:r>
              <w:rPr>
                <w:rFonts w:ascii="Calibri" w:hAnsi="Calibri"/>
                <w:b w:val="0"/>
                <w:sz w:val="15"/>
              </w:rPr>
              <w:t>KPI-19</w:t>
            </w:r>
          </w:p>
        </w:tc>
        <w:tc>
          <w:tcPr>
            <w:tcW w:type="dxa" w:w="2041"/>
          </w:tcPr>
          <w:p>
            <w:pPr>
              <w:spacing w:after="40" w:before="40"/>
            </w:pPr>
            <w:r/>
            <w:r>
              <w:rPr>
                <w:rFonts w:ascii="Calibri" w:hAnsi="Calibri"/>
                <w:b w:val="0"/>
                <w:sz w:val="15"/>
              </w:rPr>
              <w:t>Latencia de PostgreSQL</w:t>
            </w:r>
          </w:p>
        </w:tc>
        <w:tc>
          <w:tcPr>
            <w:tcW w:type="dxa" w:w="3005"/>
          </w:tcPr>
          <w:p>
            <w:pPr>
              <w:spacing w:after="40" w:before="40"/>
            </w:pPr>
            <w:r/>
            <w:r>
              <w:rPr>
                <w:rFonts w:ascii="Calibri" w:hAnsi="Calibri"/>
                <w:b w:val="0"/>
                <w:sz w:val="15"/>
              </w:rPr>
              <w:t>Percentil 95 del tiempo de consulta, y número de consultas que superan 1 s.</w:t>
            </w:r>
          </w:p>
        </w:tc>
        <w:tc>
          <w:tcPr>
            <w:tcW w:type="dxa" w:w="1474"/>
          </w:tcPr>
          <w:p>
            <w:pPr>
              <w:spacing w:after="40" w:before="40"/>
              <w:jc w:val="center"/>
            </w:pPr>
            <w:r/>
            <w:r>
              <w:rPr>
                <w:rFonts w:ascii="Calibri" w:hAnsi="Calibri"/>
                <w:b w:val="0"/>
                <w:sz w:val="15"/>
              </w:rPr>
              <w:t>p95 ≤ 100 ms</w:t>
            </w:r>
          </w:p>
        </w:tc>
        <w:tc>
          <w:tcPr>
            <w:tcW w:type="dxa" w:w="1247"/>
          </w:tcPr>
          <w:p>
            <w:pPr>
              <w:spacing w:after="40" w:before="40"/>
              <w:jc w:val="center"/>
            </w:pPr>
            <w:r/>
            <w:r>
              <w:rPr>
                <w:rFonts w:ascii="Calibri" w:hAnsi="Calibri"/>
                <w:b w:val="0"/>
                <w:sz w:val="15"/>
              </w:rPr>
              <w:t>&gt; 250 ms</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Es el primer sitio donde se manifiesta la degradación gradual: los índices que bastan con mil filas dejan de bastar con un millón. Se vigila la tendencia además del valor absoluto, para anticipar la saturación en lugar de constatarla.</w:t>
            </w:r>
          </w:p>
        </w:tc>
        <w:tc>
          <w:tcPr>
            <w:tcW w:type="dxa" w:w="1474"/>
          </w:tcPr>
          <w:p>
            <w:pPr>
              <w:spacing w:after="40" w:before="40"/>
            </w:pPr>
            <w:r/>
            <w:r>
              <w:rPr>
                <w:rFonts w:ascii="Calibri" w:hAnsi="Calibri"/>
                <w:b w:val="0"/>
                <w:sz w:val="15"/>
              </w:rPr>
              <w:t>HU-14</w:t>
            </w:r>
          </w:p>
        </w:tc>
      </w:tr>
      <w:tr>
        <w:tc>
          <w:tcPr>
            <w:tcW w:type="dxa" w:w="737"/>
          </w:tcPr>
          <w:p>
            <w:pPr>
              <w:spacing w:after="40" w:before="40"/>
              <w:jc w:val="center"/>
            </w:pPr>
            <w:r/>
            <w:r>
              <w:rPr>
                <w:rFonts w:ascii="Calibri" w:hAnsi="Calibri"/>
                <w:b w:val="0"/>
                <w:sz w:val="15"/>
              </w:rPr>
              <w:t>KPI-20</w:t>
            </w:r>
          </w:p>
        </w:tc>
        <w:tc>
          <w:tcPr>
            <w:tcW w:type="dxa" w:w="2041"/>
          </w:tcPr>
          <w:p>
            <w:pPr>
              <w:spacing w:after="40" w:before="40"/>
            </w:pPr>
            <w:r/>
            <w:r>
              <w:rPr>
                <w:rFonts w:ascii="Calibri" w:hAnsi="Calibri"/>
                <w:b w:val="0"/>
                <w:sz w:val="15"/>
              </w:rPr>
              <w:t>Retraso de la bandeja de salida</w:t>
            </w:r>
          </w:p>
        </w:tc>
        <w:tc>
          <w:tcPr>
            <w:tcW w:type="dxa" w:w="3005"/>
          </w:tcPr>
          <w:p>
            <w:pPr>
              <w:spacing w:after="40" w:before="40"/>
            </w:pPr>
            <w:r/>
            <w:r>
              <w:rPr>
                <w:rFonts w:ascii="Calibri" w:hAnsi="Calibri"/>
                <w:b w:val="0"/>
                <w:sz w:val="15"/>
              </w:rPr>
              <w:t>Antigüedad del evento más antiguo pendiente de publicar en la tabla outbox.</w:t>
            </w:r>
          </w:p>
        </w:tc>
        <w:tc>
          <w:tcPr>
            <w:tcW w:type="dxa" w:w="1474"/>
          </w:tcPr>
          <w:p>
            <w:pPr>
              <w:spacing w:after="40" w:before="40"/>
              <w:jc w:val="center"/>
            </w:pPr>
            <w:r/>
            <w:r>
              <w:rPr>
                <w:rFonts w:ascii="Calibri" w:hAnsi="Calibri"/>
                <w:b w:val="0"/>
                <w:sz w:val="15"/>
              </w:rPr>
              <w:t>≤ 30 s</w:t>
            </w:r>
          </w:p>
        </w:tc>
        <w:tc>
          <w:tcPr>
            <w:tcW w:type="dxa" w:w="1247"/>
          </w:tcPr>
          <w:p>
            <w:pPr>
              <w:spacing w:after="40" w:before="40"/>
              <w:jc w:val="center"/>
            </w:pPr>
            <w:r/>
            <w:r>
              <w:rPr>
                <w:rFonts w:ascii="Calibri" w:hAnsi="Calibri"/>
                <w:b w:val="0"/>
                <w:sz w:val="15"/>
              </w:rPr>
              <w:t>&gt; 120 s</w:t>
            </w:r>
          </w:p>
        </w:tc>
        <w:tc>
          <w:tcPr>
            <w:tcW w:type="dxa" w:w="624"/>
          </w:tcPr>
          <w:p>
            <w:pPr>
              <w:spacing w:after="40" w:before="40"/>
              <w:jc w:val="center"/>
            </w:pPr>
            <w:r/>
            <w:r>
              <w:rPr>
                <w:rFonts w:ascii="Calibri" w:hAnsi="Calibri"/>
                <w:b w:val="0"/>
                <w:sz w:val="15"/>
              </w:rPr>
              <w:t>B</w:t>
            </w:r>
          </w:p>
        </w:tc>
        <w:tc>
          <w:tcPr>
            <w:tcW w:type="dxa" w:w="4535"/>
          </w:tcPr>
          <w:p>
            <w:pPr>
              <w:spacing w:after="40" w:before="40"/>
            </w:pPr>
            <w:r/>
            <w:r>
              <w:rPr>
                <w:rFonts w:ascii="Calibri" w:hAnsi="Calibri"/>
                <w:b w:val="0"/>
                <w:sz w:val="15"/>
              </w:rPr>
              <w:t>Mide la salud de la mensajería asíncrona vista desde el negocio. Si crece, la cuenta del cliente tarda en abrirse aunque su solicitud ya esté aprobada, y el usuario percibe un fallo donde solo hay retraso.</w:t>
            </w:r>
          </w:p>
        </w:tc>
        <w:tc>
          <w:tcPr>
            <w:tcW w:type="dxa" w:w="1474"/>
          </w:tcPr>
          <w:p>
            <w:pPr>
              <w:spacing w:after="40" w:before="40"/>
            </w:pPr>
            <w:r/>
            <w:r>
              <w:rPr>
                <w:rFonts w:ascii="Calibri" w:hAnsi="Calibri"/>
                <w:b w:val="0"/>
                <w:sz w:val="15"/>
              </w:rPr>
              <w:t>HU-05</w:t>
            </w:r>
          </w:p>
        </w:tc>
      </w:tr>
      <w:tr>
        <w:tc>
          <w:tcPr>
            <w:tcW w:type="dxa" w:w="737"/>
          </w:tcPr>
          <w:p>
            <w:pPr>
              <w:spacing w:after="40" w:before="40"/>
              <w:jc w:val="center"/>
            </w:pPr>
            <w:r/>
            <w:r>
              <w:rPr>
                <w:rFonts w:ascii="Calibri" w:hAnsi="Calibri"/>
                <w:b w:val="0"/>
                <w:sz w:val="15"/>
              </w:rPr>
              <w:t>KPI-21</w:t>
            </w:r>
          </w:p>
        </w:tc>
        <w:tc>
          <w:tcPr>
            <w:tcW w:type="dxa" w:w="2041"/>
          </w:tcPr>
          <w:p>
            <w:pPr>
              <w:spacing w:after="40" w:before="40"/>
            </w:pPr>
            <w:r/>
            <w:r>
              <w:rPr>
                <w:rFonts w:ascii="Calibri" w:hAnsi="Calibri"/>
                <w:b w:val="0"/>
                <w:sz w:val="15"/>
              </w:rPr>
              <w:t>MTTR · Tiempo medio de restablecimiento</w:t>
            </w:r>
          </w:p>
        </w:tc>
        <w:tc>
          <w:tcPr>
            <w:tcW w:type="dxa" w:w="3005"/>
          </w:tcPr>
          <w:p>
            <w:pPr>
              <w:spacing w:after="40" w:before="40"/>
            </w:pPr>
            <w:r/>
            <w:r>
              <w:rPr>
                <w:rFonts w:ascii="Calibri" w:hAnsi="Calibri"/>
                <w:b w:val="0"/>
                <w:sz w:val="15"/>
              </w:rPr>
              <w:t>Minutos entre la detección de un incidente y su resolución confirmada.</w:t>
            </w:r>
          </w:p>
        </w:tc>
        <w:tc>
          <w:tcPr>
            <w:tcW w:type="dxa" w:w="1474"/>
          </w:tcPr>
          <w:p>
            <w:pPr>
              <w:spacing w:after="40" w:before="40"/>
              <w:jc w:val="center"/>
            </w:pPr>
            <w:r/>
            <w:r>
              <w:rPr>
                <w:rFonts w:ascii="Calibri" w:hAnsi="Calibri"/>
                <w:b w:val="0"/>
                <w:sz w:val="15"/>
              </w:rPr>
              <w:t>≤ 4 h</w:t>
            </w:r>
          </w:p>
        </w:tc>
        <w:tc>
          <w:tcPr>
            <w:tcW w:type="dxa" w:w="1247"/>
          </w:tcPr>
          <w:p>
            <w:pPr>
              <w:spacing w:after="40" w:before="40"/>
              <w:jc w:val="center"/>
            </w:pPr>
            <w:r/>
            <w:r>
              <w:rPr>
                <w:rFonts w:ascii="Calibri" w:hAnsi="Calibri"/>
                <w:b w:val="0"/>
                <w:sz w:val="15"/>
              </w:rPr>
              <w:t>&gt; 8 h</w:t>
            </w:r>
          </w:p>
        </w:tc>
        <w:tc>
          <w:tcPr>
            <w:tcW w:type="dxa" w:w="624"/>
          </w:tcPr>
          <w:p>
            <w:pPr>
              <w:spacing w:after="40" w:before="40"/>
              <w:jc w:val="center"/>
            </w:pPr>
            <w:r/>
            <w:r>
              <w:rPr>
                <w:rFonts w:ascii="Calibri" w:hAnsi="Calibri"/>
                <w:b w:val="0"/>
                <w:sz w:val="15"/>
              </w:rPr>
              <w:t>N</w:t>
            </w:r>
          </w:p>
        </w:tc>
        <w:tc>
          <w:tcPr>
            <w:tcW w:type="dxa" w:w="4535"/>
          </w:tcPr>
          <w:p>
            <w:pPr>
              <w:spacing w:after="40" w:before="40"/>
            </w:pPr>
            <w:r/>
            <w:r>
              <w:rPr>
                <w:rFonts w:ascii="Calibri" w:hAnsi="Calibri"/>
                <w:b w:val="0"/>
                <w:sz w:val="15"/>
              </w:rPr>
              <w:t>Coherente con el objetivo de tiempo de recuperación (RTO) que la Resolución SBS N.º 877-2020 exige definir para los procesos críticos. Se mide desde la detección y no desde el reporte, para que un incidente detectado tarde no salga premiado en la estadística.</w:t>
            </w:r>
          </w:p>
        </w:tc>
        <w:tc>
          <w:tcPr>
            <w:tcW w:type="dxa" w:w="1474"/>
          </w:tcPr>
          <w:p>
            <w:pPr>
              <w:spacing w:after="40" w:before="40"/>
            </w:pPr>
            <w:r/>
            <w:r>
              <w:rPr>
                <w:rFonts w:ascii="Calibri" w:hAnsi="Calibri"/>
                <w:b w:val="0"/>
                <w:sz w:val="15"/>
              </w:rPr>
              <w:t>HU-16</w:t>
            </w:r>
          </w:p>
        </w:tc>
      </w:tr>
    </w:tbl>
    <w:p>
      <w:r>
        <w:br w:type="page"/>
      </w:r>
    </w:p>
    <w:p>
      <w:pPr>
        <w:spacing w:before="320" w:after="120"/>
      </w:pPr>
      <w:r>
        <w:rPr>
          <w:rFonts w:ascii="Calibri" w:hAnsi="Calibri"/>
          <w:b/>
          <w:color w:val="064475"/>
          <w:sz w:val="26"/>
        </w:rPr>
        <w:t>4. ACUERDO DE NIVEL DE SERVICIO (SLA)</w:t>
      </w:r>
    </w:p>
    <w:p>
      <w:pPr>
        <w:spacing w:after="160"/>
        <w:jc w:val="both"/>
      </w:pPr>
      <w:r>
        <w:rPr>
          <w:rFonts w:ascii="Calibri" w:hAnsi="Calibri"/>
          <w:b/>
          <w:sz w:val="19"/>
        </w:rPr>
        <w:t>Partes.</w:t>
      </w:r>
      <w:r>
        <w:rPr>
          <w:rFonts w:ascii="Calibri" w:hAnsi="Calibri"/>
          <w:b w:val="0"/>
          <w:sz w:val="19"/>
        </w:rPr>
        <w:t xml:space="preserve"> El compromiso se establece entre el equipo de desarrollo de Ayni Bank, que presta el servicio, y el Product Owner, que lo recibe en representación de las personas usuarias.</w:t>
      </w:r>
    </w:p>
    <w:p>
      <w:pPr>
        <w:spacing w:before="220" w:after="120"/>
      </w:pPr>
      <w:r>
        <w:rPr>
          <w:rFonts w:ascii="Calibri" w:hAnsi="Calibri"/>
          <w:b/>
          <w:color w:val="064475"/>
          <w:sz w:val="22"/>
        </w:rPr>
        <w:t>4.1 Servicios cubiertos y excluidos</w:t>
      </w:r>
    </w:p>
    <w:tbl>
      <w:tblPr>
        <w:tblStyle w:val="TableGrid"/>
        <w:tblW w:type="auto" w:w="0"/>
        <w:tblLook w:firstColumn="1" w:firstRow="1" w:lastColumn="0" w:lastRow="0" w:noHBand="0" w:noVBand="1" w:val="04A0"/>
      </w:tblPr>
      <w:tblGrid>
        <w:gridCol w:w="7569"/>
        <w:gridCol w:w="7569"/>
      </w:tblGrid>
      <w:tr>
        <w:tc>
          <w:tcPr>
            <w:tcW w:type="dxa" w:w="7370"/>
            <w:shd w:val="clear" w:color="auto" w:fill="064475"/>
          </w:tcPr>
          <w:p>
            <w:pPr>
              <w:spacing w:after="40" w:before="40"/>
            </w:pPr>
            <w:r/>
            <w:r>
              <w:rPr>
                <w:rFonts w:ascii="Calibri" w:hAnsi="Calibri"/>
                <w:b/>
                <w:color w:val="FFFFFF"/>
                <w:sz w:val="18"/>
              </w:rPr>
              <w:t>Cubierto por este acuerdo</w:t>
            </w:r>
          </w:p>
        </w:tc>
        <w:tc>
          <w:tcPr>
            <w:tcW w:type="dxa" w:w="7767"/>
            <w:shd w:val="clear" w:color="auto" w:fill="064475"/>
          </w:tcPr>
          <w:p>
            <w:pPr>
              <w:spacing w:after="40" w:before="40"/>
            </w:pPr>
            <w:r/>
            <w:r>
              <w:rPr>
                <w:rFonts w:ascii="Calibri" w:hAnsi="Calibri"/>
                <w:b/>
                <w:color w:val="FFFFFF"/>
                <w:sz w:val="18"/>
              </w:rPr>
              <w:t>Excluido del acuerdo</w:t>
            </w:r>
          </w:p>
        </w:tc>
      </w:tr>
      <w:tr>
        <w:tc>
          <w:tcPr>
            <w:tcW w:type="dxa" w:w="7370"/>
          </w:tcPr>
          <w:p>
            <w:pPr>
              <w:spacing w:after="40" w:before="40"/>
            </w:pPr>
            <w:r/>
            <w:r>
              <w:rPr>
                <w:rFonts w:ascii="Calibri" w:hAnsi="Calibri"/>
                <w:b w:val="0"/>
                <w:sz w:val="18"/>
              </w:rPr>
              <w:t>Apertura de cuenta de ahorro en soles, incluidos el registro, la verificación de identidad y la activación.</w:t>
            </w:r>
          </w:p>
          <w:p>
            <w:pPr>
              <w:spacing w:after="40"/>
            </w:pPr>
          </w:p>
          <w:p>
            <w:pPr>
              <w:spacing w:after="40"/>
            </w:pPr>
            <w:r>
              <w:rPr>
                <w:rFonts w:ascii="Calibri" w:hAnsi="Calibri"/>
                <w:b w:val="0"/>
                <w:sz w:val="18"/>
              </w:rPr>
              <w:t>Ingreso a la banca por internet con segundo factor.</w:t>
            </w:r>
          </w:p>
          <w:p>
            <w:pPr>
              <w:spacing w:after="40"/>
            </w:pPr>
          </w:p>
          <w:p>
            <w:pPr>
              <w:spacing w:after="40"/>
            </w:pPr>
            <w:r>
              <w:rPr>
                <w:rFonts w:ascii="Calibri" w:hAnsi="Calibri"/>
                <w:b w:val="0"/>
                <w:sz w:val="18"/>
              </w:rPr>
              <w:t>Consulta de saldo y de movimientos.</w:t>
            </w:r>
          </w:p>
          <w:p>
            <w:pPr>
              <w:spacing w:after="40"/>
            </w:pPr>
          </w:p>
          <w:p>
            <w:pPr>
              <w:spacing w:after="40"/>
            </w:pPr>
            <w:r>
              <w:rPr>
                <w:rFonts w:ascii="Calibri" w:hAnsi="Calibri"/>
                <w:b w:val="0"/>
                <w:sz w:val="18"/>
              </w:rPr>
              <w:t>Transferencias entre cuentas Ayni.</w:t>
            </w:r>
          </w:p>
          <w:p>
            <w:pPr>
              <w:spacing w:after="40"/>
            </w:pPr>
          </w:p>
          <w:p>
            <w:pPr>
              <w:spacing w:after="40"/>
            </w:pPr>
            <w:r>
              <w:rPr>
                <w:rFonts w:ascii="Calibri" w:hAnsi="Calibri"/>
                <w:b w:val="0"/>
                <w:sz w:val="18"/>
              </w:rPr>
              <w:t>Sitio público y proceso de registro.</w:t>
            </w:r>
          </w:p>
        </w:tc>
        <w:tc>
          <w:tcPr>
            <w:tcW w:type="dxa" w:w="7767"/>
          </w:tcPr>
          <w:p>
            <w:pPr>
              <w:spacing w:after="40" w:before="40"/>
            </w:pPr>
            <w:r/>
            <w:r>
              <w:rPr>
                <w:rFonts w:ascii="Calibri" w:hAnsi="Calibri"/>
                <w:b/>
                <w:sz w:val="18"/>
              </w:rPr>
              <w:t>Ventanas de mantenimiento anunciadas</w:t>
            </w:r>
            <w:r>
              <w:rPr>
                <w:rFonts w:ascii="Calibri" w:hAnsi="Calibri"/>
                <w:b w:val="0"/>
                <w:sz w:val="18"/>
              </w:rPr>
              <w:t xml:space="preserve"> con 48 horas de antelación, hasta un máximo de 4 horas al mes y siempre entre las 02:00 y las 05:00 hora de Lima.</w:t>
            </w:r>
          </w:p>
          <w:p>
            <w:pPr>
              <w:spacing w:after="40"/>
            </w:pPr>
          </w:p>
          <w:p>
            <w:pPr>
              <w:spacing w:after="40"/>
            </w:pPr>
            <w:r>
              <w:rPr>
                <w:rFonts w:ascii="Calibri" w:hAnsi="Calibri"/>
                <w:b/>
                <w:sz w:val="18"/>
              </w:rPr>
              <w:t>Fallos de terceros fuera de nuestro control:</w:t>
            </w:r>
            <w:r>
              <w:rPr>
                <w:rFonts w:ascii="Calibri" w:hAnsi="Calibri"/>
                <w:b w:val="0"/>
                <w:sz w:val="18"/>
              </w:rPr>
              <w:t xml:space="preserve"> servicio de tipo de cambio de SUNAT o del BCRP, proveedor de correo transaccional, y la propia conectividad del usuario.</w:t>
            </w:r>
          </w:p>
          <w:p>
            <w:pPr>
              <w:spacing w:after="40"/>
            </w:pPr>
          </w:p>
          <w:p>
            <w:pPr>
              <w:spacing w:after="40"/>
            </w:pPr>
            <w:r>
              <w:rPr>
                <w:rFonts w:ascii="Calibri" w:hAnsi="Calibri"/>
                <w:b/>
                <w:sz w:val="18"/>
              </w:rPr>
              <w:t>Fuerza mayor,</w:t>
            </w:r>
            <w:r>
              <w:rPr>
                <w:rFonts w:ascii="Calibri" w:hAnsi="Calibri"/>
                <w:b w:val="0"/>
                <w:sz w:val="18"/>
              </w:rPr>
              <w:t xml:space="preserve"> incluida la interrupción del suministro eléctrico o de conectividad en el centro de datos del proveedor.</w:t>
            </w:r>
          </w:p>
          <w:p>
            <w:pPr>
              <w:spacing w:after="40"/>
            </w:pPr>
          </w:p>
          <w:p>
            <w:pPr>
              <w:spacing w:after="40"/>
            </w:pPr>
            <w:r>
              <w:rPr>
                <w:rFonts w:ascii="Calibri" w:hAnsi="Calibri"/>
                <w:b/>
                <w:sz w:val="18"/>
              </w:rPr>
              <w:t>Funcionalidades marcadas como no disponibles</w:t>
            </w:r>
            <w:r>
              <w:rPr>
                <w:rFonts w:ascii="Calibri" w:hAnsi="Calibri"/>
                <w:b w:val="0"/>
                <w:sz w:val="18"/>
              </w:rPr>
              <w:t xml:space="preserve"> en la interfaz, que no forman parte del servicio comprometido.</w:t>
            </w:r>
          </w:p>
        </w:tc>
      </w:tr>
    </w:tbl>
    <w:p>
      <w:pPr>
        <w:spacing w:before="220" w:after="120"/>
      </w:pPr>
      <w:r>
        <w:rPr>
          <w:rFonts w:ascii="Calibri" w:hAnsi="Calibri"/>
          <w:b/>
          <w:color w:val="064475"/>
          <w:sz w:val="22"/>
        </w:rPr>
        <w:t>4.2 Compromisos</w:t>
      </w:r>
    </w:p>
    <w:tbl>
      <w:tblPr>
        <w:tblStyle w:val="TableGrid"/>
        <w:tblW w:type="auto" w:w="0"/>
        <w:tblLook w:firstColumn="1" w:firstRow="1" w:lastColumn="0" w:lastRow="0" w:noHBand="0" w:noVBand="1" w:val="04A0"/>
      </w:tblPr>
      <w:tblGrid>
        <w:gridCol w:w="3784"/>
        <w:gridCol w:w="3784"/>
        <w:gridCol w:w="3784"/>
        <w:gridCol w:w="3784"/>
      </w:tblGrid>
      <w:tr>
        <w:tc>
          <w:tcPr>
            <w:tcW w:type="dxa" w:w="4876"/>
            <w:shd w:val="clear" w:color="auto" w:fill="064475"/>
          </w:tcPr>
          <w:p>
            <w:pPr>
              <w:spacing w:after="40" w:before="40"/>
            </w:pPr>
            <w:r/>
            <w:r>
              <w:rPr>
                <w:rFonts w:ascii="Calibri" w:hAnsi="Calibri"/>
                <w:b/>
                <w:color w:val="FFFFFF"/>
                <w:sz w:val="18"/>
              </w:rPr>
              <w:t>Compromiso</w:t>
            </w:r>
          </w:p>
        </w:tc>
        <w:tc>
          <w:tcPr>
            <w:tcW w:type="dxa" w:w="2608"/>
            <w:shd w:val="clear" w:color="auto" w:fill="064475"/>
          </w:tcPr>
          <w:p>
            <w:pPr>
              <w:spacing w:after="40" w:before="40"/>
            </w:pPr>
            <w:r/>
            <w:r>
              <w:rPr>
                <w:rFonts w:ascii="Calibri" w:hAnsi="Calibri"/>
                <w:b/>
                <w:color w:val="FFFFFF"/>
                <w:sz w:val="18"/>
              </w:rPr>
              <w:t>SLA (externo)</w:t>
            </w:r>
          </w:p>
        </w:tc>
        <w:tc>
          <w:tcPr>
            <w:tcW w:type="dxa" w:w="2608"/>
            <w:shd w:val="clear" w:color="auto" w:fill="064475"/>
          </w:tcPr>
          <w:p>
            <w:pPr>
              <w:spacing w:after="40" w:before="40"/>
            </w:pPr>
            <w:r/>
            <w:r>
              <w:rPr>
                <w:rFonts w:ascii="Calibri" w:hAnsi="Calibri"/>
                <w:b/>
                <w:color w:val="FFFFFF"/>
                <w:sz w:val="18"/>
              </w:rPr>
              <w:t>SLO (interno)</w:t>
            </w:r>
          </w:p>
        </w:tc>
        <w:tc>
          <w:tcPr>
            <w:tcW w:type="dxa" w:w="5046"/>
            <w:shd w:val="clear" w:color="auto" w:fill="064475"/>
          </w:tcPr>
          <w:p>
            <w:pPr>
              <w:spacing w:after="40" w:before="40"/>
            </w:pPr>
            <w:r/>
            <w:r>
              <w:rPr>
                <w:rFonts w:ascii="Calibri" w:hAnsi="Calibri"/>
                <w:b/>
                <w:color w:val="FFFFFF"/>
                <w:sz w:val="18"/>
              </w:rPr>
              <w:t>Indicador que lo audita</w:t>
            </w:r>
          </w:p>
        </w:tc>
      </w:tr>
      <w:tr>
        <w:tc>
          <w:tcPr>
            <w:tcW w:type="dxa" w:w="4876"/>
          </w:tcPr>
          <w:p>
            <w:pPr>
              <w:spacing w:after="40" w:before="40"/>
            </w:pPr>
            <w:r/>
            <w:r>
              <w:rPr>
                <w:rFonts w:ascii="Calibri" w:hAnsi="Calibri"/>
                <w:b w:val="0"/>
                <w:sz w:val="18"/>
              </w:rPr>
              <w:t>Disponibilidad del canal digital</w:t>
            </w:r>
          </w:p>
        </w:tc>
        <w:tc>
          <w:tcPr>
            <w:tcW w:type="dxa" w:w="2608"/>
          </w:tcPr>
          <w:p>
            <w:pPr>
              <w:spacing w:after="40" w:before="40"/>
              <w:jc w:val="center"/>
            </w:pPr>
            <w:r/>
            <w:r>
              <w:rPr>
                <w:rFonts w:ascii="Calibri" w:hAnsi="Calibri"/>
                <w:b w:val="0"/>
                <w:sz w:val="18"/>
              </w:rPr>
              <w:t>≥ 99.5 % mensual</w:t>
            </w:r>
          </w:p>
        </w:tc>
        <w:tc>
          <w:tcPr>
            <w:tcW w:type="dxa" w:w="2608"/>
          </w:tcPr>
          <w:p>
            <w:pPr>
              <w:spacing w:after="40" w:before="40"/>
              <w:jc w:val="center"/>
            </w:pPr>
            <w:r/>
            <w:r>
              <w:rPr>
                <w:rFonts w:ascii="Calibri" w:hAnsi="Calibri"/>
                <w:b w:val="0"/>
                <w:sz w:val="18"/>
              </w:rPr>
              <w:t>≥ 99.6 % mensual</w:t>
            </w:r>
          </w:p>
        </w:tc>
        <w:tc>
          <w:tcPr>
            <w:tcW w:type="dxa" w:w="5046"/>
          </w:tcPr>
          <w:p>
            <w:pPr>
              <w:spacing w:after="40" w:before="40"/>
            </w:pPr>
            <w:r/>
            <w:r>
              <w:rPr>
                <w:rFonts w:ascii="Calibri" w:hAnsi="Calibri"/>
                <w:b w:val="0"/>
                <w:sz w:val="18"/>
              </w:rPr>
              <w:t>KPI-17</w:t>
            </w:r>
          </w:p>
        </w:tc>
      </w:tr>
      <w:tr>
        <w:tc>
          <w:tcPr>
            <w:tcW w:type="dxa" w:w="4876"/>
          </w:tcPr>
          <w:p>
            <w:pPr>
              <w:spacing w:after="40" w:before="40"/>
            </w:pPr>
            <w:r/>
            <w:r>
              <w:rPr>
                <w:rFonts w:ascii="Calibri" w:hAnsi="Calibri"/>
                <w:b w:val="0"/>
                <w:sz w:val="18"/>
              </w:rPr>
              <w:t>Tiempo de respuesta en consultas</w:t>
            </w:r>
          </w:p>
        </w:tc>
        <w:tc>
          <w:tcPr>
            <w:tcW w:type="dxa" w:w="2608"/>
          </w:tcPr>
          <w:p>
            <w:pPr>
              <w:spacing w:after="40" w:before="40"/>
              <w:jc w:val="center"/>
            </w:pPr>
            <w:r/>
            <w:r>
              <w:rPr>
                <w:rFonts w:ascii="Calibri" w:hAnsi="Calibri"/>
                <w:b w:val="0"/>
                <w:sz w:val="18"/>
              </w:rPr>
              <w:t>p95 ≤ 1.2 s</w:t>
            </w:r>
          </w:p>
        </w:tc>
        <w:tc>
          <w:tcPr>
            <w:tcW w:type="dxa" w:w="2608"/>
          </w:tcPr>
          <w:p>
            <w:pPr>
              <w:spacing w:after="40" w:before="40"/>
              <w:jc w:val="center"/>
            </w:pPr>
            <w:r/>
            <w:r>
              <w:rPr>
                <w:rFonts w:ascii="Calibri" w:hAnsi="Calibri"/>
                <w:b w:val="0"/>
                <w:sz w:val="18"/>
              </w:rPr>
              <w:t>p95 ≤ 800 ms</w:t>
            </w:r>
          </w:p>
        </w:tc>
        <w:tc>
          <w:tcPr>
            <w:tcW w:type="dxa" w:w="5046"/>
          </w:tcPr>
          <w:p>
            <w:pPr>
              <w:spacing w:after="40" w:before="40"/>
            </w:pPr>
            <w:r/>
            <w:r>
              <w:rPr>
                <w:rFonts w:ascii="Calibri" w:hAnsi="Calibri"/>
                <w:b w:val="0"/>
                <w:sz w:val="18"/>
              </w:rPr>
              <w:t>KPI-09</w:t>
            </w:r>
          </w:p>
        </w:tc>
      </w:tr>
      <w:tr>
        <w:tc>
          <w:tcPr>
            <w:tcW w:type="dxa" w:w="4876"/>
          </w:tcPr>
          <w:p>
            <w:pPr>
              <w:spacing w:after="40" w:before="40"/>
            </w:pPr>
            <w:r/>
            <w:r>
              <w:rPr>
                <w:rFonts w:ascii="Calibri" w:hAnsi="Calibri"/>
                <w:b w:val="0"/>
                <w:sz w:val="18"/>
              </w:rPr>
              <w:t>Tiempo de respuesta en operaciones monetarias</w:t>
            </w:r>
          </w:p>
        </w:tc>
        <w:tc>
          <w:tcPr>
            <w:tcW w:type="dxa" w:w="2608"/>
          </w:tcPr>
          <w:p>
            <w:pPr>
              <w:spacing w:after="40" w:before="40"/>
              <w:jc w:val="center"/>
            </w:pPr>
            <w:r/>
            <w:r>
              <w:rPr>
                <w:rFonts w:ascii="Calibri" w:hAnsi="Calibri"/>
                <w:b w:val="0"/>
                <w:sz w:val="18"/>
              </w:rPr>
              <w:t>p95 ≤ 2.5 s</w:t>
            </w:r>
          </w:p>
        </w:tc>
        <w:tc>
          <w:tcPr>
            <w:tcW w:type="dxa" w:w="2608"/>
          </w:tcPr>
          <w:p>
            <w:pPr>
              <w:spacing w:after="40" w:before="40"/>
              <w:jc w:val="center"/>
            </w:pPr>
            <w:r/>
            <w:r>
              <w:rPr>
                <w:rFonts w:ascii="Calibri" w:hAnsi="Calibri"/>
                <w:b w:val="0"/>
                <w:sz w:val="18"/>
              </w:rPr>
              <w:t>p95 ≤ 1.5 s</w:t>
            </w:r>
          </w:p>
        </w:tc>
        <w:tc>
          <w:tcPr>
            <w:tcW w:type="dxa" w:w="5046"/>
          </w:tcPr>
          <w:p>
            <w:pPr>
              <w:spacing w:after="40" w:before="40"/>
            </w:pPr>
            <w:r/>
            <w:r>
              <w:rPr>
                <w:rFonts w:ascii="Calibri" w:hAnsi="Calibri"/>
                <w:b w:val="0"/>
                <w:sz w:val="18"/>
              </w:rPr>
              <w:t>KPI-09</w:t>
            </w:r>
          </w:p>
        </w:tc>
      </w:tr>
      <w:tr>
        <w:tc>
          <w:tcPr>
            <w:tcW w:type="dxa" w:w="4876"/>
          </w:tcPr>
          <w:p>
            <w:pPr>
              <w:spacing w:after="40" w:before="40"/>
            </w:pPr>
            <w:r/>
            <w:r>
              <w:rPr>
                <w:rFonts w:ascii="Calibri" w:hAnsi="Calibri"/>
                <w:b w:val="0"/>
                <w:sz w:val="18"/>
              </w:rPr>
              <w:t>Carga de la interfaz</w:t>
            </w:r>
          </w:p>
        </w:tc>
        <w:tc>
          <w:tcPr>
            <w:tcW w:type="dxa" w:w="2608"/>
          </w:tcPr>
          <w:p>
            <w:pPr>
              <w:spacing w:after="40" w:before="40"/>
              <w:jc w:val="center"/>
            </w:pPr>
            <w:r/>
            <w:r>
              <w:rPr>
                <w:rFonts w:ascii="Calibri" w:hAnsi="Calibri"/>
                <w:b w:val="0"/>
                <w:sz w:val="18"/>
              </w:rPr>
              <w:t>LCP p75 ≤ 4.0 s</w:t>
            </w:r>
          </w:p>
        </w:tc>
        <w:tc>
          <w:tcPr>
            <w:tcW w:type="dxa" w:w="2608"/>
          </w:tcPr>
          <w:p>
            <w:pPr>
              <w:spacing w:after="40" w:before="40"/>
              <w:jc w:val="center"/>
            </w:pPr>
            <w:r/>
            <w:r>
              <w:rPr>
                <w:rFonts w:ascii="Calibri" w:hAnsi="Calibri"/>
                <w:b w:val="0"/>
                <w:sz w:val="18"/>
              </w:rPr>
              <w:t>LCP p75 ≤ 2.5 s</w:t>
            </w:r>
          </w:p>
        </w:tc>
        <w:tc>
          <w:tcPr>
            <w:tcW w:type="dxa" w:w="5046"/>
          </w:tcPr>
          <w:p>
            <w:pPr>
              <w:spacing w:after="40" w:before="40"/>
            </w:pPr>
            <w:r/>
            <w:r>
              <w:rPr>
                <w:rFonts w:ascii="Calibri" w:hAnsi="Calibri"/>
                <w:b w:val="0"/>
                <w:sz w:val="18"/>
              </w:rPr>
              <w:t>KPI-06</w:t>
            </w:r>
          </w:p>
        </w:tc>
      </w:tr>
      <w:tr>
        <w:tc>
          <w:tcPr>
            <w:tcW w:type="dxa" w:w="4876"/>
          </w:tcPr>
          <w:p>
            <w:pPr>
              <w:spacing w:after="40" w:before="40"/>
            </w:pPr>
            <w:r/>
            <w:r>
              <w:rPr>
                <w:rFonts w:ascii="Calibri" w:hAnsi="Calibri"/>
                <w:b w:val="0"/>
                <w:sz w:val="18"/>
              </w:rPr>
              <w:t>Integridad de las operaciones monetarias</w:t>
            </w:r>
          </w:p>
        </w:tc>
        <w:tc>
          <w:tcPr>
            <w:tcW w:type="dxa" w:w="2608"/>
          </w:tcPr>
          <w:p>
            <w:pPr>
              <w:spacing w:after="40" w:before="40"/>
              <w:jc w:val="center"/>
            </w:pPr>
            <w:r/>
            <w:r>
              <w:rPr>
                <w:rFonts w:ascii="Calibri" w:hAnsi="Calibri"/>
                <w:b w:val="0"/>
                <w:sz w:val="18"/>
              </w:rPr>
              <w:t>100 %</w:t>
            </w:r>
          </w:p>
        </w:tc>
        <w:tc>
          <w:tcPr>
            <w:tcW w:type="dxa" w:w="2608"/>
          </w:tcPr>
          <w:p>
            <w:pPr>
              <w:spacing w:after="40" w:before="40"/>
              <w:jc w:val="center"/>
            </w:pPr>
            <w:r/>
            <w:r>
              <w:rPr>
                <w:rFonts w:ascii="Calibri" w:hAnsi="Calibri"/>
                <w:b w:val="0"/>
                <w:sz w:val="18"/>
              </w:rPr>
              <w:t>100 %</w:t>
            </w:r>
          </w:p>
        </w:tc>
        <w:tc>
          <w:tcPr>
            <w:tcW w:type="dxa" w:w="5046"/>
          </w:tcPr>
          <w:p>
            <w:pPr>
              <w:spacing w:after="40" w:before="40"/>
            </w:pPr>
            <w:r/>
            <w:r>
              <w:rPr>
                <w:rFonts w:ascii="Calibri" w:hAnsi="Calibri"/>
                <w:b w:val="0"/>
                <w:sz w:val="18"/>
              </w:rPr>
              <w:t>KPI-04, cuadre del libro mayor</w:t>
            </w:r>
          </w:p>
        </w:tc>
      </w:tr>
      <w:tr>
        <w:tc>
          <w:tcPr>
            <w:tcW w:type="dxa" w:w="4876"/>
          </w:tcPr>
          <w:p>
            <w:pPr>
              <w:spacing w:after="40" w:before="40"/>
            </w:pPr>
            <w:r/>
            <w:r>
              <w:rPr>
                <w:rFonts w:ascii="Calibri" w:hAnsi="Calibri"/>
                <w:b w:val="0"/>
                <w:sz w:val="18"/>
              </w:rPr>
              <w:t>Restablecimiento tras incidente crítico</w:t>
            </w:r>
          </w:p>
        </w:tc>
        <w:tc>
          <w:tcPr>
            <w:tcW w:type="dxa" w:w="2608"/>
          </w:tcPr>
          <w:p>
            <w:pPr>
              <w:spacing w:after="40" w:before="40"/>
              <w:jc w:val="center"/>
            </w:pPr>
            <w:r/>
            <w:r>
              <w:rPr>
                <w:rFonts w:ascii="Calibri" w:hAnsi="Calibri"/>
                <w:b w:val="0"/>
                <w:sz w:val="18"/>
              </w:rPr>
              <w:t>≤ 8 h</w:t>
            </w:r>
          </w:p>
        </w:tc>
        <w:tc>
          <w:tcPr>
            <w:tcW w:type="dxa" w:w="2608"/>
          </w:tcPr>
          <w:p>
            <w:pPr>
              <w:spacing w:after="40" w:before="40"/>
              <w:jc w:val="center"/>
            </w:pPr>
            <w:r/>
            <w:r>
              <w:rPr>
                <w:rFonts w:ascii="Calibri" w:hAnsi="Calibri"/>
                <w:b w:val="0"/>
                <w:sz w:val="18"/>
              </w:rPr>
              <w:t>≤ 4 h</w:t>
            </w:r>
          </w:p>
        </w:tc>
        <w:tc>
          <w:tcPr>
            <w:tcW w:type="dxa" w:w="5046"/>
          </w:tcPr>
          <w:p>
            <w:pPr>
              <w:spacing w:after="40" w:before="40"/>
            </w:pPr>
            <w:r/>
            <w:r>
              <w:rPr>
                <w:rFonts w:ascii="Calibri" w:hAnsi="Calibri"/>
                <w:b w:val="0"/>
                <w:sz w:val="18"/>
              </w:rPr>
              <w:t>KPI-21</w:t>
            </w:r>
          </w:p>
        </w:tc>
      </w:tr>
      <w:tr>
        <w:tc>
          <w:tcPr>
            <w:tcW w:type="dxa" w:w="4876"/>
          </w:tcPr>
          <w:p>
            <w:pPr>
              <w:spacing w:after="40" w:before="40"/>
            </w:pPr>
            <w:r/>
            <w:r>
              <w:rPr>
                <w:rFonts w:ascii="Calibri" w:hAnsi="Calibri"/>
                <w:b w:val="0"/>
                <w:sz w:val="18"/>
              </w:rPr>
              <w:t>Pérdida máxima de datos tolerada (RPO)</w:t>
            </w:r>
          </w:p>
        </w:tc>
        <w:tc>
          <w:tcPr>
            <w:tcW w:type="dxa" w:w="2608"/>
          </w:tcPr>
          <w:p>
            <w:pPr>
              <w:spacing w:after="40" w:before="40"/>
              <w:jc w:val="center"/>
            </w:pPr>
            <w:r/>
            <w:r>
              <w:rPr>
                <w:rFonts w:ascii="Calibri" w:hAnsi="Calibri"/>
                <w:b w:val="0"/>
                <w:sz w:val="18"/>
              </w:rPr>
              <w:t>≤ 24 h</w:t>
            </w:r>
          </w:p>
        </w:tc>
        <w:tc>
          <w:tcPr>
            <w:tcW w:type="dxa" w:w="2608"/>
          </w:tcPr>
          <w:p>
            <w:pPr>
              <w:spacing w:after="40" w:before="40"/>
              <w:jc w:val="center"/>
            </w:pPr>
            <w:r/>
            <w:r>
              <w:rPr>
                <w:rFonts w:ascii="Calibri" w:hAnsi="Calibri"/>
                <w:b w:val="0"/>
                <w:sz w:val="18"/>
              </w:rPr>
              <w:t>≤ 1 h</w:t>
            </w:r>
          </w:p>
        </w:tc>
        <w:tc>
          <w:tcPr>
            <w:tcW w:type="dxa" w:w="5046"/>
          </w:tcPr>
          <w:p>
            <w:pPr>
              <w:spacing w:after="40" w:before="40"/>
            </w:pPr>
            <w:r/>
            <w:r>
              <w:rPr>
                <w:rFonts w:ascii="Calibri" w:hAnsi="Calibri"/>
                <w:b w:val="0"/>
                <w:sz w:val="18"/>
              </w:rPr>
              <w:t>Verificación de la copia de seguridad</w:t>
            </w:r>
          </w:p>
        </w:tc>
      </w:tr>
    </w:tbl>
    <w:p>
      <w:pPr>
        <w:spacing w:after="160"/>
        <w:jc w:val="both"/>
      </w:pPr>
    </w:p>
    <w:p>
      <w:pPr>
        <w:spacing w:after="160"/>
        <w:jc w:val="both"/>
      </w:pPr>
      <w:r>
        <w:rPr>
          <w:rFonts w:ascii="Calibri" w:hAnsi="Calibri"/>
          <w:b/>
          <w:sz w:val="19"/>
        </w:rPr>
        <w:t>La integridad no admite objetivo porcentual.</w:t>
      </w:r>
      <w:r>
        <w:rPr>
          <w:rFonts w:ascii="Calibri" w:hAnsi="Calibri"/>
          <w:b w:val="0"/>
          <w:sz w:val="19"/>
        </w:rPr>
        <w:t xml:space="preserve"> Todos los demás compromisos toleran una fracción de incumplimiento; este no. El saldo de una cuenta es la suma de sus asientos de doble partida y debe cuadrar siempre. Un 99.99 % de integridad contable significaría que una de cada diez mil operaciones descuadra el balance, y eso no es un servicio degradado sino un sistema roto.</w:t>
      </w:r>
    </w:p>
    <w:p>
      <w:pPr>
        <w:spacing w:before="220" w:after="120"/>
      </w:pPr>
      <w:r>
        <w:rPr>
          <w:rFonts w:ascii="Calibri" w:hAnsi="Calibri"/>
          <w:b/>
          <w:color w:val="064475"/>
          <w:sz w:val="22"/>
        </w:rPr>
        <w:t>4.3 Por qué 99.5 % y no 99.9 %</w:t>
      </w:r>
    </w:p>
    <w:p>
      <w:pPr>
        <w:spacing w:after="160"/>
        <w:jc w:val="both"/>
      </w:pPr>
      <w:r>
        <w:rPr>
          <w:rFonts w:ascii="Calibri" w:hAnsi="Calibri"/>
          <w:b w:val="0"/>
          <w:sz w:val="19"/>
        </w:rPr>
        <w:t>Prometer 99.9 % habría quedado mejor sobre el papel y habría sido falso. La diferencia entre ambas cifras es concreta:</w:t>
      </w:r>
    </w:p>
    <w:tbl>
      <w:tblPr>
        <w:tblStyle w:val="TableGrid"/>
        <w:tblW w:type="auto" w:w="0"/>
        <w:tblLook w:firstColumn="1" w:firstRow="1" w:lastColumn="0" w:lastRow="0" w:noHBand="0" w:noVBand="1" w:val="04A0"/>
      </w:tblPr>
      <w:tblGrid>
        <w:gridCol w:w="5046"/>
        <w:gridCol w:w="5046"/>
        <w:gridCol w:w="5046"/>
      </w:tblGrid>
      <w:tr>
        <w:tc>
          <w:tcPr>
            <w:tcW w:type="dxa" w:w="1928"/>
            <w:shd w:val="clear" w:color="auto" w:fill="064475"/>
          </w:tcPr>
          <w:p>
            <w:pPr>
              <w:spacing w:after="40" w:before="40"/>
            </w:pPr>
            <w:r/>
            <w:r>
              <w:rPr>
                <w:rFonts w:ascii="Calibri" w:hAnsi="Calibri"/>
                <w:b/>
                <w:color w:val="FFFFFF"/>
                <w:sz w:val="18"/>
              </w:rPr>
              <w:t>Objetivo</w:t>
            </w:r>
          </w:p>
        </w:tc>
        <w:tc>
          <w:tcPr>
            <w:tcW w:type="dxa" w:w="3628"/>
            <w:shd w:val="clear" w:color="auto" w:fill="064475"/>
          </w:tcPr>
          <w:p>
            <w:pPr>
              <w:spacing w:after="40" w:before="40"/>
            </w:pPr>
            <w:r/>
            <w:r>
              <w:rPr>
                <w:rFonts w:ascii="Calibri" w:hAnsi="Calibri"/>
                <w:b/>
                <w:color w:val="FFFFFF"/>
                <w:sz w:val="18"/>
              </w:rPr>
              <w:t>Indisponibilidad tolerada al mes</w:t>
            </w:r>
          </w:p>
        </w:tc>
        <w:tc>
          <w:tcPr>
            <w:tcW w:type="dxa" w:w="9581"/>
            <w:shd w:val="clear" w:color="auto" w:fill="064475"/>
          </w:tcPr>
          <w:p>
            <w:pPr>
              <w:spacing w:after="40" w:before="40"/>
            </w:pPr>
            <w:r/>
            <w:r>
              <w:rPr>
                <w:rFonts w:ascii="Calibri" w:hAnsi="Calibri"/>
                <w:b/>
                <w:color w:val="FFFFFF"/>
                <w:sz w:val="18"/>
              </w:rPr>
              <w:t>¿Es alcanzable con nuestra infraestructura?</w:t>
            </w:r>
          </w:p>
        </w:tc>
      </w:tr>
      <w:tr>
        <w:tc>
          <w:tcPr>
            <w:tcW w:type="dxa" w:w="1928"/>
          </w:tcPr>
          <w:p>
            <w:pPr>
              <w:spacing w:after="40" w:before="40"/>
              <w:jc w:val="center"/>
            </w:pPr>
            <w:r/>
            <w:r>
              <w:rPr>
                <w:rFonts w:ascii="Calibri" w:hAnsi="Calibri"/>
                <w:b w:val="0"/>
                <w:sz w:val="18"/>
              </w:rPr>
              <w:t>99.9 %</w:t>
            </w:r>
          </w:p>
        </w:tc>
        <w:tc>
          <w:tcPr>
            <w:tcW w:type="dxa" w:w="3628"/>
          </w:tcPr>
          <w:p>
            <w:pPr>
              <w:spacing w:after="40" w:before="40"/>
              <w:jc w:val="center"/>
            </w:pPr>
            <w:r/>
            <w:r>
              <w:rPr>
                <w:rFonts w:ascii="Calibri" w:hAnsi="Calibri"/>
                <w:b w:val="0"/>
                <w:sz w:val="18"/>
              </w:rPr>
              <w:t>43 minutos</w:t>
            </w:r>
          </w:p>
        </w:tc>
        <w:tc>
          <w:tcPr>
            <w:tcW w:type="dxa" w:w="9581"/>
          </w:tcPr>
          <w:p>
            <w:pPr>
              <w:spacing w:after="40" w:before="40"/>
            </w:pPr>
            <w:r/>
            <w:r>
              <w:rPr>
                <w:rFonts w:ascii="Calibri" w:hAnsi="Calibri"/>
                <w:b/>
                <w:sz w:val="18"/>
              </w:rPr>
              <w:t>No.</w:t>
            </w:r>
            <w:r>
              <w:rPr>
                <w:rFonts w:ascii="Calibri" w:hAnsi="Calibri"/>
                <w:b w:val="0"/>
                <w:sz w:val="18"/>
              </w:rPr>
              <w:t xml:space="preserve"> Un solo reinicio de la pila de contenedores consume cerca de 90 segundos, y una migración de base de datos con incidencia se lleva la mitad del presupuesto mensual. Exigiría un segundo nodo, un balanceador y PostgreSQL replicado.</w:t>
            </w:r>
          </w:p>
        </w:tc>
      </w:tr>
      <w:tr>
        <w:tc>
          <w:tcPr>
            <w:tcW w:type="dxa" w:w="1928"/>
          </w:tcPr>
          <w:p>
            <w:pPr>
              <w:spacing w:after="40" w:before="40"/>
              <w:jc w:val="center"/>
            </w:pPr>
            <w:r/>
            <w:r>
              <w:rPr>
                <w:rFonts w:ascii="Calibri" w:hAnsi="Calibri"/>
                <w:b w:val="0"/>
                <w:sz w:val="18"/>
              </w:rPr>
              <w:t>99.5 %</w:t>
            </w:r>
          </w:p>
        </w:tc>
        <w:tc>
          <w:tcPr>
            <w:tcW w:type="dxa" w:w="3628"/>
          </w:tcPr>
          <w:p>
            <w:pPr>
              <w:spacing w:after="40" w:before="40"/>
              <w:jc w:val="center"/>
            </w:pPr>
            <w:r/>
            <w:r>
              <w:rPr>
                <w:rFonts w:ascii="Calibri" w:hAnsi="Calibri"/>
                <w:b w:val="0"/>
                <w:sz w:val="18"/>
              </w:rPr>
              <w:t>3 horas y 36 minutos</w:t>
            </w:r>
          </w:p>
        </w:tc>
        <w:tc>
          <w:tcPr>
            <w:tcW w:type="dxa" w:w="9581"/>
          </w:tcPr>
          <w:p>
            <w:pPr>
              <w:spacing w:after="40" w:before="40"/>
            </w:pPr>
            <w:r/>
            <w:r>
              <w:rPr>
                <w:rFonts w:ascii="Calibri" w:hAnsi="Calibri"/>
                <w:b/>
                <w:sz w:val="18"/>
              </w:rPr>
              <w:t>Sí.</w:t>
            </w:r>
            <w:r>
              <w:rPr>
                <w:rFonts w:ascii="Calibri" w:hAnsi="Calibri"/>
                <w:b w:val="0"/>
                <w:sz w:val="18"/>
              </w:rPr>
              <w:t xml:space="preserve"> Deja margen para el mantenimiento programado, un despliegue con reversión y un incidente moderado dentro del mismo mes, sobre un único nodo sin redundancia.</w:t>
            </w:r>
          </w:p>
        </w:tc>
      </w:tr>
      <w:tr>
        <w:tc>
          <w:tcPr>
            <w:tcW w:type="dxa" w:w="1928"/>
          </w:tcPr>
          <w:p>
            <w:pPr>
              <w:spacing w:after="40" w:before="40"/>
              <w:jc w:val="center"/>
            </w:pPr>
            <w:r/>
            <w:r>
              <w:rPr>
                <w:rFonts w:ascii="Calibri" w:hAnsi="Calibri"/>
                <w:b w:val="0"/>
                <w:sz w:val="18"/>
              </w:rPr>
              <w:t>99.0 %</w:t>
            </w:r>
          </w:p>
        </w:tc>
        <w:tc>
          <w:tcPr>
            <w:tcW w:type="dxa" w:w="3628"/>
          </w:tcPr>
          <w:p>
            <w:pPr>
              <w:spacing w:after="40" w:before="40"/>
              <w:jc w:val="center"/>
            </w:pPr>
            <w:r/>
            <w:r>
              <w:rPr>
                <w:rFonts w:ascii="Calibri" w:hAnsi="Calibri"/>
                <w:b w:val="0"/>
                <w:sz w:val="18"/>
              </w:rPr>
              <w:t>7 horas y 12 minutos</w:t>
            </w:r>
          </w:p>
        </w:tc>
        <w:tc>
          <w:tcPr>
            <w:tcW w:type="dxa" w:w="9581"/>
          </w:tcPr>
          <w:p>
            <w:pPr>
              <w:spacing w:after="40" w:before="40"/>
            </w:pPr>
            <w:r/>
            <w:r>
              <w:rPr>
                <w:rFonts w:ascii="Calibri" w:hAnsi="Calibri"/>
                <w:b w:val="0"/>
                <w:sz w:val="18"/>
              </w:rPr>
              <w:t>Alcanzable con holgura, pero por debajo de lo que un usuario espera de un servicio bancario. Se descarta por poco exigente.</w:t>
            </w:r>
          </w:p>
        </w:tc>
      </w:tr>
    </w:tbl>
    <w:p>
      <w:pPr>
        <w:spacing w:after="160"/>
        <w:jc w:val="both"/>
      </w:pPr>
    </w:p>
    <w:p>
      <w:pPr>
        <w:spacing w:after="160"/>
        <w:jc w:val="both"/>
      </w:pPr>
      <w:r>
        <w:rPr>
          <w:rFonts w:ascii="Calibri" w:hAnsi="Calibri"/>
          <w:b w:val="0"/>
          <w:sz w:val="19"/>
        </w:rPr>
        <w:t xml:space="preserve">La infraestructura de producción es un único nodo de Oracle Cloud Always Free —4 vCPU ARM Ampere, 24 GB de memoria, 200 GB de disco— sin balanceador, sin réplica de base de datos y sin segunda zona de disponibilidad. Comprometer 99.9 % sobre esa base sería comprometer algo que la arquitectura no puede sostener. </w:t>
      </w:r>
      <w:r>
        <w:rPr>
          <w:rFonts w:ascii="Calibri" w:hAnsi="Calibri"/>
          <w:b/>
          <w:sz w:val="19"/>
        </w:rPr>
        <w:t>Alcanzarlo requeriría alta disponibilidad real</w:t>
      </w:r>
      <w:r>
        <w:rPr>
          <w:rFonts w:ascii="Calibri" w:hAnsi="Calibri"/>
          <w:b w:val="0"/>
          <w:sz w:val="19"/>
        </w:rPr>
        <w:t>, cuyo coste el documento de diseño estima entre 300 y 450 dólares mensuales en un proveedor comercial: está documentado como escenario de operación comercial y expresamente fuera del alcance de este ciclo.</w:t>
      </w:r>
    </w:p>
    <w:p>
      <w:pPr>
        <w:spacing w:after="160"/>
        <w:jc w:val="both"/>
      </w:pPr>
      <w:r>
        <w:rPr>
          <w:rFonts w:ascii="Calibri" w:hAnsi="Calibri"/>
          <w:b/>
          <w:sz w:val="19"/>
        </w:rPr>
        <w:t>Presupuesto de error.</w:t>
      </w:r>
      <w:r>
        <w:rPr>
          <w:rFonts w:ascii="Calibri" w:hAnsi="Calibri"/>
          <w:b w:val="0"/>
          <w:sz w:val="19"/>
        </w:rPr>
        <w:t xml:space="preserve"> El 0.5 % restante no es un fallo tolerado sino un presupuesto que se administra: 3 h 36 min al mes que el equipo puede gastar en despliegues, migraciones y experimentos. Si se consume la mitad antes del día 15, se congelan los cambios no críticos hasta el cierre del mes. Convierte la fiabilidad en una decisión explícita en lugar de un accidente.</w:t>
      </w:r>
    </w:p>
    <w:p>
      <w:r>
        <w:br w:type="page"/>
      </w:r>
    </w:p>
    <w:p>
      <w:pPr>
        <w:spacing w:before="320" w:after="120"/>
      </w:pPr>
      <w:r>
        <w:rPr>
          <w:rFonts w:ascii="Calibri" w:hAnsi="Calibri"/>
          <w:b/>
          <w:color w:val="064475"/>
          <w:sz w:val="26"/>
        </w:rPr>
        <w:t>5. PLAN DE MEDICIÓN Y MONITOREO</w:t>
      </w:r>
    </w:p>
    <w:p>
      <w:pPr>
        <w:spacing w:before="220" w:after="120"/>
      </w:pPr>
      <w:r>
        <w:rPr>
          <w:rFonts w:ascii="Calibri" w:hAnsi="Calibri"/>
          <w:b/>
          <w:color w:val="064475"/>
          <w:sz w:val="22"/>
        </w:rPr>
        <w:t>5.1 Herramientas y qué recoge cada una</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2608"/>
            <w:shd w:val="clear" w:color="auto" w:fill="064475"/>
          </w:tcPr>
          <w:p>
            <w:pPr>
              <w:spacing w:after="40" w:before="40"/>
            </w:pPr>
            <w:r/>
            <w:r>
              <w:rPr>
                <w:rFonts w:ascii="Calibri" w:hAnsi="Calibri"/>
                <w:b/>
                <w:color w:val="FFFFFF"/>
                <w:sz w:val="16"/>
              </w:rPr>
              <w:t>Herramienta</w:t>
            </w:r>
          </w:p>
        </w:tc>
        <w:tc>
          <w:tcPr>
            <w:tcW w:type="dxa" w:w="4762"/>
            <w:shd w:val="clear" w:color="auto" w:fill="064475"/>
          </w:tcPr>
          <w:p>
            <w:pPr>
              <w:spacing w:after="40" w:before="40"/>
            </w:pPr>
            <w:r/>
            <w:r>
              <w:rPr>
                <w:rFonts w:ascii="Calibri" w:hAnsi="Calibri"/>
                <w:b/>
                <w:color w:val="FFFFFF"/>
                <w:sz w:val="16"/>
              </w:rPr>
              <w:t>Qué recoge</w:t>
            </w:r>
          </w:p>
        </w:tc>
        <w:tc>
          <w:tcPr>
            <w:tcW w:type="dxa" w:w="2778"/>
            <w:shd w:val="clear" w:color="auto" w:fill="064475"/>
          </w:tcPr>
          <w:p>
            <w:pPr>
              <w:spacing w:after="40" w:before="40"/>
            </w:pPr>
            <w:r/>
            <w:r>
              <w:rPr>
                <w:rFonts w:ascii="Calibri" w:hAnsi="Calibri"/>
                <w:b/>
                <w:color w:val="FFFFFF"/>
                <w:sz w:val="16"/>
              </w:rPr>
              <w:t>Estrategia</w:t>
            </w:r>
          </w:p>
        </w:tc>
        <w:tc>
          <w:tcPr>
            <w:tcW w:type="dxa" w:w="2948"/>
            <w:shd w:val="clear" w:color="auto" w:fill="064475"/>
          </w:tcPr>
          <w:p>
            <w:pPr>
              <w:spacing w:after="40" w:before="40"/>
            </w:pPr>
            <w:r/>
            <w:r>
              <w:rPr>
                <w:rFonts w:ascii="Calibri" w:hAnsi="Calibri"/>
                <w:b/>
                <w:color w:val="FFFFFF"/>
                <w:sz w:val="16"/>
              </w:rPr>
              <w:t>Indicadores que alimenta</w:t>
            </w:r>
          </w:p>
        </w:tc>
        <w:tc>
          <w:tcPr>
            <w:tcW w:type="dxa" w:w="2041"/>
            <w:shd w:val="clear" w:color="auto" w:fill="064475"/>
          </w:tcPr>
          <w:p>
            <w:pPr>
              <w:spacing w:after="40" w:before="40"/>
            </w:pPr>
            <w:r/>
            <w:r>
              <w:rPr>
                <w:rFonts w:ascii="Calibri" w:hAnsi="Calibri"/>
                <w:b/>
                <w:color w:val="FFFFFF"/>
                <w:sz w:val="16"/>
              </w:rPr>
              <w:t>Retención</w:t>
            </w:r>
          </w:p>
        </w:tc>
      </w:tr>
      <w:tr>
        <w:tc>
          <w:tcPr>
            <w:tcW w:type="dxa" w:w="2608"/>
          </w:tcPr>
          <w:p>
            <w:pPr>
              <w:spacing w:after="40" w:before="40"/>
            </w:pPr>
            <w:r/>
            <w:r>
              <w:rPr>
                <w:rFonts w:ascii="Calibri" w:hAnsi="Calibri"/>
                <w:b/>
                <w:sz w:val="16"/>
              </w:rPr>
              <w:t>Prometheus</w:t>
            </w:r>
          </w:p>
        </w:tc>
        <w:tc>
          <w:tcPr>
            <w:tcW w:type="dxa" w:w="4762"/>
          </w:tcPr>
          <w:p>
            <w:pPr>
              <w:spacing w:after="40" w:before="40"/>
            </w:pPr>
            <w:r/>
            <w:r>
              <w:rPr>
                <w:rFonts w:ascii="Calibri" w:hAnsi="Calibri"/>
                <w:b w:val="0"/>
                <w:sz w:val="16"/>
              </w:rPr>
              <w:t>Métricas numéricas de aplicación e infraestructura expuestas por cada servicio en /actuator/prometheus.</w:t>
            </w:r>
          </w:p>
        </w:tc>
        <w:tc>
          <w:tcPr>
            <w:tcW w:type="dxa" w:w="2778"/>
          </w:tcPr>
          <w:p>
            <w:pPr>
              <w:spacing w:after="40" w:before="40"/>
            </w:pPr>
            <w:r/>
            <w:r>
              <w:rPr>
                <w:rFonts w:ascii="Calibri" w:hAnsi="Calibri"/>
                <w:b w:val="0"/>
                <w:sz w:val="16"/>
              </w:rPr>
              <w:t>Pull — el servidor consulta a los servicios cada 15 s.</w:t>
            </w:r>
          </w:p>
        </w:tc>
        <w:tc>
          <w:tcPr>
            <w:tcW w:type="dxa" w:w="2948"/>
          </w:tcPr>
          <w:p>
            <w:pPr>
              <w:spacing w:after="40" w:before="40"/>
            </w:pPr>
            <w:r/>
            <w:r>
              <w:rPr>
                <w:rFonts w:ascii="Calibri" w:hAnsi="Calibri"/>
                <w:b w:val="0"/>
                <w:sz w:val="16"/>
              </w:rPr>
              <w:t>KPI-09, 10, 11, 17, 18, 19, 20</w:t>
            </w:r>
          </w:p>
        </w:tc>
        <w:tc>
          <w:tcPr>
            <w:tcW w:type="dxa" w:w="2041"/>
          </w:tcPr>
          <w:p>
            <w:pPr>
              <w:spacing w:after="40" w:before="40"/>
            </w:pPr>
            <w:r/>
            <w:r>
              <w:rPr>
                <w:rFonts w:ascii="Calibri" w:hAnsi="Calibri"/>
                <w:b w:val="0"/>
                <w:sz w:val="16"/>
              </w:rPr>
              <w:t>15 días</w:t>
            </w:r>
          </w:p>
        </w:tc>
      </w:tr>
      <w:tr>
        <w:tc>
          <w:tcPr>
            <w:tcW w:type="dxa" w:w="2608"/>
          </w:tcPr>
          <w:p>
            <w:pPr>
              <w:spacing w:after="40" w:before="40"/>
            </w:pPr>
            <w:r/>
            <w:r>
              <w:rPr>
                <w:rFonts w:ascii="Calibri" w:hAnsi="Calibri"/>
                <w:b/>
                <w:sz w:val="16"/>
              </w:rPr>
              <w:t>Grafana</w:t>
            </w:r>
          </w:p>
        </w:tc>
        <w:tc>
          <w:tcPr>
            <w:tcW w:type="dxa" w:w="4762"/>
          </w:tcPr>
          <w:p>
            <w:pPr>
              <w:spacing w:after="40" w:before="40"/>
            </w:pPr>
            <w:r/>
            <w:r>
              <w:rPr>
                <w:rFonts w:ascii="Calibri" w:hAnsi="Calibri"/>
                <w:b w:val="0"/>
                <w:sz w:val="16"/>
              </w:rPr>
              <w:t>No recoge: visualiza. Tableros por capa y alertas por umbral.</w:t>
            </w:r>
          </w:p>
        </w:tc>
        <w:tc>
          <w:tcPr>
            <w:tcW w:type="dxa" w:w="2778"/>
          </w:tcPr>
          <w:p>
            <w:pPr>
              <w:spacing w:after="40" w:before="40"/>
            </w:pPr>
            <w:r/>
            <w:r>
              <w:rPr>
                <w:rFonts w:ascii="Calibri" w:hAnsi="Calibri"/>
                <w:b w:val="0"/>
                <w:sz w:val="16"/>
              </w:rPr>
              <w:t>Consulta a Prometheus y a Loki.</w:t>
            </w:r>
          </w:p>
        </w:tc>
        <w:tc>
          <w:tcPr>
            <w:tcW w:type="dxa" w:w="2948"/>
          </w:tcPr>
          <w:p>
            <w:pPr>
              <w:spacing w:after="40" w:before="40"/>
            </w:pPr>
            <w:r/>
            <w:r>
              <w:rPr>
                <w:rFonts w:ascii="Calibri" w:hAnsi="Calibri"/>
                <w:b w:val="0"/>
                <w:sz w:val="16"/>
              </w:rPr>
              <w:t>Todos los anteriores</w:t>
            </w:r>
          </w:p>
        </w:tc>
        <w:tc>
          <w:tcPr>
            <w:tcW w:type="dxa" w:w="2041"/>
          </w:tcPr>
          <w:p>
            <w:pPr>
              <w:spacing w:after="40" w:before="40"/>
            </w:pPr>
            <w:r/>
            <w:r>
              <w:rPr>
                <w:rFonts w:ascii="Calibri" w:hAnsi="Calibri"/>
                <w:b w:val="0"/>
                <w:sz w:val="16"/>
              </w:rPr>
              <w:t>n/a</w:t>
            </w:r>
          </w:p>
        </w:tc>
      </w:tr>
      <w:tr>
        <w:tc>
          <w:tcPr>
            <w:tcW w:type="dxa" w:w="2608"/>
          </w:tcPr>
          <w:p>
            <w:pPr>
              <w:spacing w:after="40" w:before="40"/>
            </w:pPr>
            <w:r/>
            <w:r>
              <w:rPr>
                <w:rFonts w:ascii="Calibri" w:hAnsi="Calibri"/>
                <w:b/>
                <w:sz w:val="16"/>
              </w:rPr>
              <w:t>Loki + Promtail</w:t>
            </w:r>
          </w:p>
        </w:tc>
        <w:tc>
          <w:tcPr>
            <w:tcW w:type="dxa" w:w="4762"/>
          </w:tcPr>
          <w:p>
            <w:pPr>
              <w:spacing w:after="40" w:before="40"/>
            </w:pPr>
            <w:r/>
            <w:r>
              <w:rPr>
                <w:rFonts w:ascii="Calibri" w:hAnsi="Calibri"/>
                <w:b w:val="0"/>
                <w:sz w:val="16"/>
              </w:rPr>
              <w:t>Registros de eventos de los seis contenedores, correlacionados por identificador de traza.</w:t>
            </w:r>
          </w:p>
        </w:tc>
        <w:tc>
          <w:tcPr>
            <w:tcW w:type="dxa" w:w="2778"/>
          </w:tcPr>
          <w:p>
            <w:pPr>
              <w:spacing w:after="40" w:before="40"/>
            </w:pPr>
            <w:r/>
            <w:r>
              <w:rPr>
                <w:rFonts w:ascii="Calibri" w:hAnsi="Calibri"/>
                <w:b w:val="0"/>
                <w:sz w:val="16"/>
              </w:rPr>
              <w:t>Push — el agente empuja al servidor.</w:t>
            </w:r>
          </w:p>
        </w:tc>
        <w:tc>
          <w:tcPr>
            <w:tcW w:type="dxa" w:w="2948"/>
          </w:tcPr>
          <w:p>
            <w:pPr>
              <w:spacing w:after="40" w:before="40"/>
            </w:pPr>
            <w:r/>
            <w:r>
              <w:rPr>
                <w:rFonts w:ascii="Calibri" w:hAnsi="Calibri"/>
                <w:b w:val="0"/>
                <w:sz w:val="16"/>
              </w:rPr>
              <w:t>KPI-10, KPI-15, KPI-21</w:t>
            </w:r>
          </w:p>
        </w:tc>
        <w:tc>
          <w:tcPr>
            <w:tcW w:type="dxa" w:w="2041"/>
          </w:tcPr>
          <w:p>
            <w:pPr>
              <w:spacing w:after="40" w:before="40"/>
            </w:pPr>
            <w:r/>
            <w:r>
              <w:rPr>
                <w:rFonts w:ascii="Calibri" w:hAnsi="Calibri"/>
                <w:b w:val="0"/>
                <w:sz w:val="16"/>
              </w:rPr>
              <w:t>30 días</w:t>
            </w:r>
          </w:p>
        </w:tc>
      </w:tr>
      <w:tr>
        <w:tc>
          <w:tcPr>
            <w:tcW w:type="dxa" w:w="2608"/>
          </w:tcPr>
          <w:p>
            <w:pPr>
              <w:spacing w:after="40" w:before="40"/>
            </w:pPr>
            <w:r/>
            <w:r>
              <w:rPr>
                <w:rFonts w:ascii="Calibri" w:hAnsi="Calibri"/>
                <w:b/>
                <w:sz w:val="16"/>
              </w:rPr>
              <w:t>web-vitals (biblioteca)</w:t>
            </w:r>
          </w:p>
        </w:tc>
        <w:tc>
          <w:tcPr>
            <w:tcW w:type="dxa" w:w="4762"/>
          </w:tcPr>
          <w:p>
            <w:pPr>
              <w:spacing w:after="40" w:before="40"/>
            </w:pPr>
            <w:r/>
            <w:r>
              <w:rPr>
                <w:rFonts w:ascii="Calibri" w:hAnsi="Calibri"/>
                <w:b w:val="0"/>
                <w:sz w:val="16"/>
              </w:rPr>
              <w:t>LCP, INP y CLS medidos en el navegador de personas reales y enviados al servidor.</w:t>
            </w:r>
          </w:p>
        </w:tc>
        <w:tc>
          <w:tcPr>
            <w:tcW w:type="dxa" w:w="2778"/>
          </w:tcPr>
          <w:p>
            <w:pPr>
              <w:spacing w:after="40" w:before="40"/>
            </w:pPr>
            <w:r/>
            <w:r>
              <w:rPr>
                <w:rFonts w:ascii="Calibri" w:hAnsi="Calibri"/>
                <w:b w:val="0"/>
                <w:sz w:val="16"/>
              </w:rPr>
              <w:t>Push desde el cliente al cerrar la página.</w:t>
            </w:r>
          </w:p>
        </w:tc>
        <w:tc>
          <w:tcPr>
            <w:tcW w:type="dxa" w:w="2948"/>
          </w:tcPr>
          <w:p>
            <w:pPr>
              <w:spacing w:after="40" w:before="40"/>
            </w:pPr>
            <w:r/>
            <w:r>
              <w:rPr>
                <w:rFonts w:ascii="Calibri" w:hAnsi="Calibri"/>
                <w:b w:val="0"/>
                <w:sz w:val="16"/>
              </w:rPr>
              <w:t>KPI-06, 07, 08</w:t>
            </w:r>
          </w:p>
        </w:tc>
        <w:tc>
          <w:tcPr>
            <w:tcW w:type="dxa" w:w="2041"/>
          </w:tcPr>
          <w:p>
            <w:pPr>
              <w:spacing w:after="40" w:before="40"/>
            </w:pPr>
            <w:r/>
            <w:r>
              <w:rPr>
                <w:rFonts w:ascii="Calibri" w:hAnsi="Calibri"/>
                <w:b w:val="0"/>
                <w:sz w:val="16"/>
              </w:rPr>
              <w:t>28 días móviles</w:t>
            </w:r>
          </w:p>
        </w:tc>
      </w:tr>
      <w:tr>
        <w:tc>
          <w:tcPr>
            <w:tcW w:type="dxa" w:w="2608"/>
          </w:tcPr>
          <w:p>
            <w:pPr>
              <w:spacing w:after="40" w:before="40"/>
            </w:pPr>
            <w:r/>
            <w:r>
              <w:rPr>
                <w:rFonts w:ascii="Calibri" w:hAnsi="Calibri"/>
                <w:b/>
                <w:sz w:val="16"/>
              </w:rPr>
              <w:t>Lighthouse CI</w:t>
            </w:r>
          </w:p>
        </w:tc>
        <w:tc>
          <w:tcPr>
            <w:tcW w:type="dxa" w:w="4762"/>
          </w:tcPr>
          <w:p>
            <w:pPr>
              <w:spacing w:after="40" w:before="40"/>
            </w:pPr>
            <w:r/>
            <w:r>
              <w:rPr>
                <w:rFonts w:ascii="Calibri" w:hAnsi="Calibri"/>
                <w:b w:val="0"/>
                <w:sz w:val="16"/>
              </w:rPr>
              <w:t>Auditoría de rendimiento, accesibilidad y buenas prácticas sobre un build de producción.</w:t>
            </w:r>
          </w:p>
        </w:tc>
        <w:tc>
          <w:tcPr>
            <w:tcW w:type="dxa" w:w="2778"/>
          </w:tcPr>
          <w:p>
            <w:pPr>
              <w:spacing w:after="40" w:before="40"/>
            </w:pPr>
            <w:r/>
            <w:r>
              <w:rPr>
                <w:rFonts w:ascii="Calibri" w:hAnsi="Calibri"/>
                <w:b w:val="0"/>
                <w:sz w:val="16"/>
              </w:rPr>
              <w:t>Ejecución programada en cada integración.</w:t>
            </w:r>
          </w:p>
        </w:tc>
        <w:tc>
          <w:tcPr>
            <w:tcW w:type="dxa" w:w="2948"/>
          </w:tcPr>
          <w:p>
            <w:pPr>
              <w:spacing w:after="40" w:before="40"/>
            </w:pPr>
            <w:r/>
            <w:r>
              <w:rPr>
                <w:rFonts w:ascii="Calibri" w:hAnsi="Calibri"/>
                <w:b w:val="0"/>
                <w:sz w:val="16"/>
              </w:rPr>
              <w:t>KPI-06, 07, 08, 12</w:t>
            </w:r>
          </w:p>
        </w:tc>
        <w:tc>
          <w:tcPr>
            <w:tcW w:type="dxa" w:w="2041"/>
          </w:tcPr>
          <w:p>
            <w:pPr>
              <w:spacing w:after="40" w:before="40"/>
            </w:pPr>
            <w:r/>
            <w:r>
              <w:rPr>
                <w:rFonts w:ascii="Calibri" w:hAnsi="Calibri"/>
                <w:b w:val="0"/>
                <w:sz w:val="16"/>
              </w:rPr>
              <w:t>Histórico completo</w:t>
            </w:r>
          </w:p>
        </w:tc>
      </w:tr>
      <w:tr>
        <w:tc>
          <w:tcPr>
            <w:tcW w:type="dxa" w:w="2608"/>
          </w:tcPr>
          <w:p>
            <w:pPr>
              <w:spacing w:after="40" w:before="40"/>
            </w:pPr>
            <w:r/>
            <w:r>
              <w:rPr>
                <w:rFonts w:ascii="Calibri" w:hAnsi="Calibri"/>
                <w:b/>
                <w:sz w:val="16"/>
              </w:rPr>
              <w:t>Pista de auditoría (PostgreSQL)</w:t>
            </w:r>
          </w:p>
        </w:tc>
        <w:tc>
          <w:tcPr>
            <w:tcW w:type="dxa" w:w="4762"/>
          </w:tcPr>
          <w:p>
            <w:pPr>
              <w:spacing w:after="40" w:before="40"/>
            </w:pPr>
            <w:r/>
            <w:r>
              <w:rPr>
                <w:rFonts w:ascii="Calibri" w:hAnsi="Calibri"/>
                <w:b w:val="0"/>
                <w:sz w:val="16"/>
              </w:rPr>
              <w:t>Todo acceso, toda operación monetaria y toda decisión del KYC, con actor, momento y resultado.</w:t>
            </w:r>
          </w:p>
        </w:tc>
        <w:tc>
          <w:tcPr>
            <w:tcW w:type="dxa" w:w="2778"/>
          </w:tcPr>
          <w:p>
            <w:pPr>
              <w:spacing w:after="40" w:before="40"/>
            </w:pPr>
            <w:r/>
            <w:r>
              <w:rPr>
                <w:rFonts w:ascii="Calibri" w:hAnsi="Calibri"/>
                <w:b w:val="0"/>
                <w:sz w:val="16"/>
              </w:rPr>
              <w:t>Escritura síncrona en la misma transacción del hecho auditado.</w:t>
            </w:r>
          </w:p>
        </w:tc>
        <w:tc>
          <w:tcPr>
            <w:tcW w:type="dxa" w:w="2948"/>
          </w:tcPr>
          <w:p>
            <w:pPr>
              <w:spacing w:after="40" w:before="40"/>
            </w:pPr>
            <w:r/>
            <w:r>
              <w:rPr>
                <w:rFonts w:ascii="Calibri" w:hAnsi="Calibri"/>
                <w:b w:val="0"/>
                <w:sz w:val="16"/>
              </w:rPr>
              <w:t>KPI-03, 04, 13, 14, 15, 16</w:t>
            </w:r>
          </w:p>
        </w:tc>
        <w:tc>
          <w:tcPr>
            <w:tcW w:type="dxa" w:w="2041"/>
          </w:tcPr>
          <w:p>
            <w:pPr>
              <w:spacing w:after="40" w:before="40"/>
            </w:pPr>
            <w:r/>
            <w:r>
              <w:rPr>
                <w:rFonts w:ascii="Calibri" w:hAnsi="Calibri"/>
                <w:b w:val="0"/>
                <w:sz w:val="16"/>
              </w:rPr>
              <w:t>Ver 5.4</w:t>
            </w:r>
          </w:p>
        </w:tc>
      </w:tr>
      <w:tr>
        <w:tc>
          <w:tcPr>
            <w:tcW w:type="dxa" w:w="2608"/>
          </w:tcPr>
          <w:p>
            <w:pPr>
              <w:spacing w:after="40" w:before="40"/>
            </w:pPr>
            <w:r/>
            <w:r>
              <w:rPr>
                <w:rFonts w:ascii="Calibri" w:hAnsi="Calibri"/>
                <w:b/>
                <w:sz w:val="16"/>
              </w:rPr>
              <w:t>Jira</w:t>
            </w:r>
          </w:p>
        </w:tc>
        <w:tc>
          <w:tcPr>
            <w:tcW w:type="dxa" w:w="4762"/>
          </w:tcPr>
          <w:p>
            <w:pPr>
              <w:spacing w:after="40" w:before="40"/>
            </w:pPr>
            <w:r/>
            <w:r>
              <w:rPr>
                <w:rFonts w:ascii="Calibri" w:hAnsi="Calibri"/>
                <w:b w:val="0"/>
                <w:sz w:val="16"/>
              </w:rPr>
              <w:t>Estado, estimación y tiempo de ciclo de cada ítem del backlog.</w:t>
            </w:r>
          </w:p>
        </w:tc>
        <w:tc>
          <w:tcPr>
            <w:tcW w:type="dxa" w:w="2778"/>
          </w:tcPr>
          <w:p>
            <w:pPr>
              <w:spacing w:after="40" w:before="40"/>
            </w:pPr>
            <w:r/>
            <w:r>
              <w:rPr>
                <w:rFonts w:ascii="Calibri" w:hAnsi="Calibri"/>
                <w:b w:val="0"/>
                <w:sz w:val="16"/>
              </w:rPr>
              <w:t>Registro manual del equipo en las ceremonias.</w:t>
            </w:r>
          </w:p>
        </w:tc>
        <w:tc>
          <w:tcPr>
            <w:tcW w:type="dxa" w:w="2948"/>
          </w:tcPr>
          <w:p>
            <w:pPr>
              <w:spacing w:after="40" w:before="40"/>
            </w:pPr>
            <w:r/>
            <w:r>
              <w:rPr>
                <w:rFonts w:ascii="Calibri" w:hAnsi="Calibri"/>
                <w:b w:val="0"/>
                <w:sz w:val="16"/>
              </w:rPr>
              <w:t>KPI-22, 23, 24</w:t>
            </w:r>
          </w:p>
        </w:tc>
        <w:tc>
          <w:tcPr>
            <w:tcW w:type="dxa" w:w="2041"/>
          </w:tcPr>
          <w:p>
            <w:pPr>
              <w:spacing w:after="40" w:before="40"/>
            </w:pPr>
            <w:r/>
            <w:r>
              <w:rPr>
                <w:rFonts w:ascii="Calibri" w:hAnsi="Calibri"/>
                <w:b w:val="0"/>
                <w:sz w:val="16"/>
              </w:rPr>
              <w:t>Vida del proyecto</w:t>
            </w:r>
          </w:p>
        </w:tc>
      </w:tr>
    </w:tbl>
    <w:p>
      <w:pPr>
        <w:spacing w:before="220" w:after="120"/>
      </w:pPr>
      <w:r>
        <w:rPr>
          <w:rFonts w:ascii="Calibri" w:hAnsi="Calibri"/>
          <w:b/>
          <w:color w:val="064475"/>
          <w:sz w:val="22"/>
        </w:rPr>
        <w:t>5.2 Cadencia de revisión</w:t>
      </w:r>
    </w:p>
    <w:tbl>
      <w:tblPr>
        <w:tblStyle w:val="TableGrid"/>
        <w:tblW w:type="auto" w:w="0"/>
        <w:tblLook w:firstColumn="1" w:firstRow="1" w:lastColumn="0" w:lastRow="0" w:noHBand="0" w:noVBand="1" w:val="04A0"/>
      </w:tblPr>
      <w:tblGrid>
        <w:gridCol w:w="3784"/>
        <w:gridCol w:w="3784"/>
        <w:gridCol w:w="3784"/>
        <w:gridCol w:w="3784"/>
      </w:tblGrid>
      <w:tr>
        <w:tc>
          <w:tcPr>
            <w:tcW w:type="dxa" w:w="2494"/>
            <w:shd w:val="clear" w:color="auto" w:fill="064475"/>
          </w:tcPr>
          <w:p>
            <w:pPr>
              <w:spacing w:after="40" w:before="40"/>
            </w:pPr>
            <w:r/>
            <w:r>
              <w:rPr>
                <w:rFonts w:ascii="Calibri" w:hAnsi="Calibri"/>
                <w:b/>
                <w:color w:val="FFFFFF"/>
                <w:sz w:val="17"/>
              </w:rPr>
              <w:t>Momento</w:t>
            </w:r>
          </w:p>
        </w:tc>
        <w:tc>
          <w:tcPr>
            <w:tcW w:type="dxa" w:w="5102"/>
            <w:shd w:val="clear" w:color="auto" w:fill="064475"/>
          </w:tcPr>
          <w:p>
            <w:pPr>
              <w:spacing w:after="40" w:before="40"/>
            </w:pPr>
            <w:r/>
            <w:r>
              <w:rPr>
                <w:rFonts w:ascii="Calibri" w:hAnsi="Calibri"/>
                <w:b/>
                <w:color w:val="FFFFFF"/>
                <w:sz w:val="17"/>
              </w:rPr>
              <w:t>Qué se revisa</w:t>
            </w:r>
          </w:p>
        </w:tc>
        <w:tc>
          <w:tcPr>
            <w:tcW w:type="dxa" w:w="2608"/>
            <w:shd w:val="clear" w:color="auto" w:fill="064475"/>
          </w:tcPr>
          <w:p>
            <w:pPr>
              <w:spacing w:after="40" w:before="40"/>
            </w:pPr>
            <w:r/>
            <w:r>
              <w:rPr>
                <w:rFonts w:ascii="Calibri" w:hAnsi="Calibri"/>
                <w:b/>
                <w:color w:val="FFFFFF"/>
                <w:sz w:val="17"/>
              </w:rPr>
              <w:t>Quién</w:t>
            </w:r>
          </w:p>
        </w:tc>
        <w:tc>
          <w:tcPr>
            <w:tcW w:type="dxa" w:w="4932"/>
            <w:shd w:val="clear" w:color="auto" w:fill="064475"/>
          </w:tcPr>
          <w:p>
            <w:pPr>
              <w:spacing w:after="40" w:before="40"/>
            </w:pPr>
            <w:r/>
            <w:r>
              <w:rPr>
                <w:rFonts w:ascii="Calibri" w:hAnsi="Calibri"/>
                <w:b/>
                <w:color w:val="FFFFFF"/>
                <w:sz w:val="17"/>
              </w:rPr>
              <w:t>Qué decisión se toma</w:t>
            </w:r>
          </w:p>
        </w:tc>
      </w:tr>
      <w:tr>
        <w:tc>
          <w:tcPr>
            <w:tcW w:type="dxa" w:w="2494"/>
          </w:tcPr>
          <w:p>
            <w:pPr>
              <w:spacing w:after="40" w:before="40"/>
            </w:pPr>
            <w:r/>
            <w:r>
              <w:rPr>
                <w:rFonts w:ascii="Calibri" w:hAnsi="Calibri"/>
                <w:b w:val="0"/>
                <w:sz w:val="17"/>
              </w:rPr>
              <w:t>Alerta automática</w:t>
            </w:r>
          </w:p>
        </w:tc>
        <w:tc>
          <w:tcPr>
            <w:tcW w:type="dxa" w:w="5102"/>
          </w:tcPr>
          <w:p>
            <w:pPr>
              <w:spacing w:after="40" w:before="40"/>
            </w:pPr>
            <w:r/>
            <w:r>
              <w:rPr>
                <w:rFonts w:ascii="Calibri" w:hAnsi="Calibri"/>
                <w:b w:val="0"/>
                <w:sz w:val="17"/>
              </w:rPr>
              <w:t>Cualquier indicador que cruce su umbral de alerta.</w:t>
            </w:r>
          </w:p>
        </w:tc>
        <w:tc>
          <w:tcPr>
            <w:tcW w:type="dxa" w:w="2608"/>
          </w:tcPr>
          <w:p>
            <w:pPr>
              <w:spacing w:after="40" w:before="40"/>
            </w:pPr>
            <w:r/>
            <w:r>
              <w:rPr>
                <w:rFonts w:ascii="Calibri" w:hAnsi="Calibri"/>
                <w:b w:val="0"/>
                <w:sz w:val="17"/>
              </w:rPr>
              <w:t>Quien esté de guardia</w:t>
            </w:r>
          </w:p>
        </w:tc>
        <w:tc>
          <w:tcPr>
            <w:tcW w:type="dxa" w:w="4932"/>
          </w:tcPr>
          <w:p>
            <w:pPr>
              <w:spacing w:after="40" w:before="40"/>
            </w:pPr>
            <w:r/>
            <w:r>
              <w:rPr>
                <w:rFonts w:ascii="Calibri" w:hAnsi="Calibri"/>
                <w:b w:val="0"/>
                <w:sz w:val="17"/>
              </w:rPr>
              <w:t>Se abre incidente y se clasifica por nivel (sección 5.3).</w:t>
            </w:r>
          </w:p>
        </w:tc>
      </w:tr>
      <w:tr>
        <w:tc>
          <w:tcPr>
            <w:tcW w:type="dxa" w:w="2494"/>
          </w:tcPr>
          <w:p>
            <w:pPr>
              <w:spacing w:after="40" w:before="40"/>
            </w:pPr>
            <w:r/>
            <w:r>
              <w:rPr>
                <w:rFonts w:ascii="Calibri" w:hAnsi="Calibri"/>
                <w:b w:val="0"/>
                <w:sz w:val="17"/>
              </w:rPr>
              <w:t>Diaria — Daily Scrum</w:t>
            </w:r>
          </w:p>
        </w:tc>
        <w:tc>
          <w:tcPr>
            <w:tcW w:type="dxa" w:w="5102"/>
          </w:tcPr>
          <w:p>
            <w:pPr>
              <w:spacing w:after="40" w:before="40"/>
            </w:pPr>
            <w:r/>
            <w:r>
              <w:rPr>
                <w:rFonts w:ascii="Calibri" w:hAnsi="Calibri"/>
                <w:b w:val="0"/>
                <w:sz w:val="17"/>
              </w:rPr>
              <w:t>Tablero de salud: disponibilidad, errores 5xx y retraso de la bandeja de salida.</w:t>
            </w:r>
          </w:p>
        </w:tc>
        <w:tc>
          <w:tcPr>
            <w:tcW w:type="dxa" w:w="2608"/>
          </w:tcPr>
          <w:p>
            <w:pPr>
              <w:spacing w:after="40" w:before="40"/>
            </w:pPr>
            <w:r/>
            <w:r>
              <w:rPr>
                <w:rFonts w:ascii="Calibri" w:hAnsi="Calibri"/>
                <w:b w:val="0"/>
                <w:sz w:val="17"/>
              </w:rPr>
              <w:t>Development Team</w:t>
            </w:r>
          </w:p>
        </w:tc>
        <w:tc>
          <w:tcPr>
            <w:tcW w:type="dxa" w:w="4932"/>
          </w:tcPr>
          <w:p>
            <w:pPr>
              <w:spacing w:after="40" w:before="40"/>
            </w:pPr>
            <w:r/>
            <w:r>
              <w:rPr>
                <w:rFonts w:ascii="Calibri" w:hAnsi="Calibri"/>
                <w:b w:val="0"/>
                <w:sz w:val="17"/>
              </w:rPr>
              <w:t>Si algo está en ámbar, se asigna a alguien ese mismo día.</w:t>
            </w:r>
          </w:p>
        </w:tc>
      </w:tr>
      <w:tr>
        <w:tc>
          <w:tcPr>
            <w:tcW w:type="dxa" w:w="2494"/>
          </w:tcPr>
          <w:p>
            <w:pPr>
              <w:spacing w:after="40" w:before="40"/>
            </w:pPr>
            <w:r/>
            <w:r>
              <w:rPr>
                <w:rFonts w:ascii="Calibri" w:hAnsi="Calibri"/>
                <w:b w:val="0"/>
                <w:sz w:val="17"/>
              </w:rPr>
              <w:t>Quincenal — Sprint Review</w:t>
            </w:r>
          </w:p>
        </w:tc>
        <w:tc>
          <w:tcPr>
            <w:tcW w:type="dxa" w:w="5102"/>
          </w:tcPr>
          <w:p>
            <w:pPr>
              <w:spacing w:after="40" w:before="40"/>
            </w:pPr>
            <w:r/>
            <w:r>
              <w:rPr>
                <w:rFonts w:ascii="Calibri" w:hAnsi="Calibri"/>
                <w:b w:val="0"/>
                <w:sz w:val="17"/>
              </w:rPr>
              <w:t>KPIs de negocio y de aplicación del sprint cerrado, contra sus objetivos.</w:t>
            </w:r>
          </w:p>
        </w:tc>
        <w:tc>
          <w:tcPr>
            <w:tcW w:type="dxa" w:w="2608"/>
          </w:tcPr>
          <w:p>
            <w:pPr>
              <w:spacing w:after="40" w:before="40"/>
            </w:pPr>
            <w:r/>
            <w:r>
              <w:rPr>
                <w:rFonts w:ascii="Calibri" w:hAnsi="Calibri"/>
                <w:b w:val="0"/>
                <w:sz w:val="17"/>
              </w:rPr>
              <w:t>Scrum Master y Product Owner</w:t>
            </w:r>
          </w:p>
        </w:tc>
        <w:tc>
          <w:tcPr>
            <w:tcW w:type="dxa" w:w="4932"/>
          </w:tcPr>
          <w:p>
            <w:pPr>
              <w:spacing w:after="40" w:before="40"/>
            </w:pPr>
            <w:r/>
            <w:r>
              <w:rPr>
                <w:rFonts w:ascii="Calibri" w:hAnsi="Calibri"/>
                <w:b w:val="0"/>
                <w:sz w:val="17"/>
              </w:rPr>
              <w:t>Se ajusta el backlog si un indicador de negocio no mejora.</w:t>
            </w:r>
          </w:p>
        </w:tc>
      </w:tr>
      <w:tr>
        <w:tc>
          <w:tcPr>
            <w:tcW w:type="dxa" w:w="2494"/>
          </w:tcPr>
          <w:p>
            <w:pPr>
              <w:spacing w:after="40" w:before="40"/>
            </w:pPr>
            <w:r/>
            <w:r>
              <w:rPr>
                <w:rFonts w:ascii="Calibri" w:hAnsi="Calibri"/>
                <w:b w:val="0"/>
                <w:sz w:val="17"/>
              </w:rPr>
              <w:t>Quincenal — Retrospective</w:t>
            </w:r>
          </w:p>
        </w:tc>
        <w:tc>
          <w:tcPr>
            <w:tcW w:type="dxa" w:w="5102"/>
          </w:tcPr>
          <w:p>
            <w:pPr>
              <w:spacing w:after="40" w:before="40"/>
            </w:pPr>
            <w:r/>
            <w:r>
              <w:rPr>
                <w:rFonts w:ascii="Calibri" w:hAnsi="Calibri"/>
                <w:b w:val="0"/>
                <w:sz w:val="17"/>
              </w:rPr>
              <w:t>Indicadores de proceso e incidentes ocurridos, con su causa documentada.</w:t>
            </w:r>
          </w:p>
        </w:tc>
        <w:tc>
          <w:tcPr>
            <w:tcW w:type="dxa" w:w="2608"/>
          </w:tcPr>
          <w:p>
            <w:pPr>
              <w:spacing w:after="40" w:before="40"/>
            </w:pPr>
            <w:r/>
            <w:r>
              <w:rPr>
                <w:rFonts w:ascii="Calibri" w:hAnsi="Calibri"/>
                <w:b w:val="0"/>
                <w:sz w:val="17"/>
              </w:rPr>
              <w:t>Todo el equipo</w:t>
            </w:r>
          </w:p>
        </w:tc>
        <w:tc>
          <w:tcPr>
            <w:tcW w:type="dxa" w:w="4932"/>
          </w:tcPr>
          <w:p>
            <w:pPr>
              <w:spacing w:after="40" w:before="40"/>
            </w:pPr>
            <w:r/>
            <w:r>
              <w:rPr>
                <w:rFonts w:ascii="Calibri" w:hAnsi="Calibri"/>
                <w:b w:val="0"/>
                <w:sz w:val="17"/>
              </w:rPr>
              <w:t>Se recalibra el umbral si generó ruido o si nunca disparó.</w:t>
            </w:r>
          </w:p>
        </w:tc>
      </w:tr>
      <w:tr>
        <w:tc>
          <w:tcPr>
            <w:tcW w:type="dxa" w:w="2494"/>
          </w:tcPr>
          <w:p>
            <w:pPr>
              <w:spacing w:after="40" w:before="40"/>
            </w:pPr>
            <w:r/>
            <w:r>
              <w:rPr>
                <w:rFonts w:ascii="Calibri" w:hAnsi="Calibri"/>
                <w:b w:val="0"/>
                <w:sz w:val="17"/>
              </w:rPr>
              <w:t>Mensual</w:t>
            </w:r>
          </w:p>
        </w:tc>
        <w:tc>
          <w:tcPr>
            <w:tcW w:type="dxa" w:w="5102"/>
          </w:tcPr>
          <w:p>
            <w:pPr>
              <w:spacing w:after="40" w:before="40"/>
            </w:pPr>
            <w:r/>
            <w:r>
              <w:rPr>
                <w:rFonts w:ascii="Calibri" w:hAnsi="Calibri"/>
                <w:b w:val="0"/>
                <w:sz w:val="17"/>
              </w:rPr>
              <w:t>Cumplimiento del SLA y consumo del presupuesto de error.</w:t>
            </w:r>
          </w:p>
        </w:tc>
        <w:tc>
          <w:tcPr>
            <w:tcW w:type="dxa" w:w="2608"/>
          </w:tcPr>
          <w:p>
            <w:pPr>
              <w:spacing w:after="40" w:before="40"/>
            </w:pPr>
            <w:r/>
            <w:r>
              <w:rPr>
                <w:rFonts w:ascii="Calibri" w:hAnsi="Calibri"/>
                <w:b w:val="0"/>
                <w:sz w:val="17"/>
              </w:rPr>
              <w:t>Scrum Master</w:t>
            </w:r>
          </w:p>
        </w:tc>
        <w:tc>
          <w:tcPr>
            <w:tcW w:type="dxa" w:w="4932"/>
          </w:tcPr>
          <w:p>
            <w:pPr>
              <w:spacing w:after="40" w:before="40"/>
            </w:pPr>
            <w:r/>
            <w:r>
              <w:rPr>
                <w:rFonts w:ascii="Calibri" w:hAnsi="Calibri"/>
                <w:b w:val="0"/>
                <w:sz w:val="17"/>
              </w:rPr>
              <w:t>Se congelan los cambios no críticos si el presupuesto está agotado.</w:t>
            </w:r>
          </w:p>
        </w:tc>
      </w:tr>
    </w:tbl>
    <w:p>
      <w:pPr>
        <w:spacing w:before="220" w:after="120"/>
      </w:pPr>
      <w:r>
        <w:rPr>
          <w:rFonts w:ascii="Calibri" w:hAnsi="Calibri"/>
          <w:b/>
          <w:color w:val="064475"/>
          <w:sz w:val="22"/>
        </w:rPr>
        <w:t>5.3 Clasificación y escalamiento de incidentes</w:t>
      </w:r>
    </w:p>
    <w:tbl>
      <w:tblPr>
        <w:tblStyle w:val="TableGrid"/>
        <w:tblW w:type="auto" w:w="0"/>
        <w:tblLook w:firstColumn="1" w:firstRow="1" w:lastColumn="0" w:lastRow="0" w:noHBand="0" w:noVBand="1" w:val="04A0"/>
      </w:tblPr>
      <w:tblGrid>
        <w:gridCol w:w="3028"/>
        <w:gridCol w:w="3028"/>
        <w:gridCol w:w="3028"/>
        <w:gridCol w:w="3028"/>
        <w:gridCol w:w="3028"/>
      </w:tblGrid>
      <w:tr>
        <w:tc>
          <w:tcPr>
            <w:tcW w:type="dxa" w:w="2835"/>
            <w:shd w:val="clear" w:color="auto" w:fill="064475"/>
          </w:tcPr>
          <w:p>
            <w:pPr>
              <w:spacing w:after="40" w:before="40"/>
            </w:pPr>
            <w:r/>
            <w:r>
              <w:rPr>
                <w:rFonts w:ascii="Calibri" w:hAnsi="Calibri"/>
                <w:b/>
                <w:color w:val="FFFFFF"/>
                <w:sz w:val="17"/>
              </w:rPr>
              <w:t>Nivel</w:t>
            </w:r>
          </w:p>
        </w:tc>
        <w:tc>
          <w:tcPr>
            <w:tcW w:type="dxa" w:w="3175"/>
            <w:shd w:val="clear" w:color="auto" w:fill="064475"/>
          </w:tcPr>
          <w:p>
            <w:pPr>
              <w:spacing w:after="40" w:before="40"/>
            </w:pPr>
            <w:r/>
            <w:r>
              <w:rPr>
                <w:rFonts w:ascii="Calibri" w:hAnsi="Calibri"/>
                <w:b/>
                <w:color w:val="FFFFFF"/>
                <w:sz w:val="17"/>
              </w:rPr>
              <w:t>Alcance</w:t>
            </w:r>
          </w:p>
        </w:tc>
        <w:tc>
          <w:tcPr>
            <w:tcW w:type="dxa" w:w="3969"/>
            <w:shd w:val="clear" w:color="auto" w:fill="064475"/>
          </w:tcPr>
          <w:p>
            <w:pPr>
              <w:spacing w:after="40" w:before="40"/>
            </w:pPr>
            <w:r/>
            <w:r>
              <w:rPr>
                <w:rFonts w:ascii="Calibri" w:hAnsi="Calibri"/>
                <w:b/>
                <w:color w:val="FFFFFF"/>
                <w:sz w:val="17"/>
              </w:rPr>
              <w:t>Ejemplo</w:t>
            </w:r>
          </w:p>
        </w:tc>
        <w:tc>
          <w:tcPr>
            <w:tcW w:type="dxa" w:w="2494"/>
            <w:shd w:val="clear" w:color="auto" w:fill="064475"/>
          </w:tcPr>
          <w:p>
            <w:pPr>
              <w:spacing w:after="40" w:before="40"/>
            </w:pPr>
            <w:r/>
            <w:r>
              <w:rPr>
                <w:rFonts w:ascii="Calibri" w:hAnsi="Calibri"/>
                <w:b/>
                <w:color w:val="FFFFFF"/>
                <w:sz w:val="17"/>
              </w:rPr>
              <w:t>Respuesta comprometida</w:t>
            </w:r>
          </w:p>
        </w:tc>
        <w:tc>
          <w:tcPr>
            <w:tcW w:type="dxa" w:w="2665"/>
            <w:shd w:val="clear" w:color="auto" w:fill="064475"/>
          </w:tcPr>
          <w:p>
            <w:pPr>
              <w:spacing w:after="40" w:before="40"/>
            </w:pPr>
            <w:r/>
            <w:r>
              <w:rPr>
                <w:rFonts w:ascii="Calibri" w:hAnsi="Calibri"/>
                <w:b/>
                <w:color w:val="FFFFFF"/>
                <w:sz w:val="17"/>
              </w:rPr>
              <w:t>Escalamiento</w:t>
            </w:r>
          </w:p>
        </w:tc>
      </w:tr>
      <w:tr>
        <w:tc>
          <w:tcPr>
            <w:tcW w:type="dxa" w:w="2835"/>
          </w:tcPr>
          <w:p>
            <w:pPr>
              <w:spacing w:after="40" w:before="40"/>
            </w:pPr>
            <w:r/>
            <w:r>
              <w:rPr>
                <w:rFonts w:ascii="Calibri" w:hAnsi="Calibri"/>
                <w:b/>
                <w:sz w:val="17"/>
              </w:rPr>
              <w:t>N1 · Soporte básico</w:t>
            </w:r>
          </w:p>
        </w:tc>
        <w:tc>
          <w:tcPr>
            <w:tcW w:type="dxa" w:w="3175"/>
          </w:tcPr>
          <w:p>
            <w:pPr>
              <w:spacing w:after="40" w:before="40"/>
            </w:pPr>
            <w:r/>
            <w:r>
              <w:rPr>
                <w:rFonts w:ascii="Calibri" w:hAnsi="Calibri"/>
                <w:b w:val="0"/>
                <w:sz w:val="17"/>
              </w:rPr>
              <w:t>Afecta a un usuario o a una funcionalidad accesoria.</w:t>
            </w:r>
          </w:p>
        </w:tc>
        <w:tc>
          <w:tcPr>
            <w:tcW w:type="dxa" w:w="3969"/>
          </w:tcPr>
          <w:p>
            <w:pPr>
              <w:spacing w:after="40" w:before="40"/>
            </w:pPr>
            <w:r/>
            <w:r>
              <w:rPr>
                <w:rFonts w:ascii="Calibri" w:hAnsi="Calibri"/>
                <w:b w:val="0"/>
                <w:sz w:val="17"/>
              </w:rPr>
              <w:t>Un correo de verificación que no llega.</w:t>
            </w:r>
          </w:p>
        </w:tc>
        <w:tc>
          <w:tcPr>
            <w:tcW w:type="dxa" w:w="2494"/>
          </w:tcPr>
          <w:p>
            <w:pPr>
              <w:spacing w:after="40" w:before="40"/>
            </w:pPr>
            <w:r/>
            <w:r>
              <w:rPr>
                <w:rFonts w:ascii="Calibri" w:hAnsi="Calibri"/>
                <w:b w:val="0"/>
                <w:sz w:val="17"/>
              </w:rPr>
              <w:t>Siguiente día hábil</w:t>
            </w:r>
          </w:p>
        </w:tc>
        <w:tc>
          <w:tcPr>
            <w:tcW w:type="dxa" w:w="2665"/>
          </w:tcPr>
          <w:p>
            <w:pPr>
              <w:spacing w:after="40" w:before="40"/>
            </w:pPr>
            <w:r/>
            <w:r>
              <w:rPr>
                <w:rFonts w:ascii="Calibri" w:hAnsi="Calibri"/>
                <w:b w:val="0"/>
                <w:sz w:val="17"/>
              </w:rPr>
              <w:t>Development Team</w:t>
            </w:r>
          </w:p>
        </w:tc>
      </w:tr>
      <w:tr>
        <w:tc>
          <w:tcPr>
            <w:tcW w:type="dxa" w:w="2835"/>
          </w:tcPr>
          <w:p>
            <w:pPr>
              <w:spacing w:after="40" w:before="40"/>
            </w:pPr>
            <w:r/>
            <w:r>
              <w:rPr>
                <w:rFonts w:ascii="Calibri" w:hAnsi="Calibri"/>
                <w:b/>
                <w:sz w:val="17"/>
              </w:rPr>
              <w:t>N2 · Técnico</w:t>
            </w:r>
          </w:p>
        </w:tc>
        <w:tc>
          <w:tcPr>
            <w:tcW w:type="dxa" w:w="3175"/>
          </w:tcPr>
          <w:p>
            <w:pPr>
              <w:spacing w:after="40" w:before="40"/>
            </w:pPr>
            <w:r/>
            <w:r>
              <w:rPr>
                <w:rFonts w:ascii="Calibri" w:hAnsi="Calibri"/>
                <w:b w:val="0"/>
                <w:sz w:val="17"/>
              </w:rPr>
              <w:t>Afecta a una funcionalidad completa pero el resto del servicio opera.</w:t>
            </w:r>
          </w:p>
        </w:tc>
        <w:tc>
          <w:tcPr>
            <w:tcW w:type="dxa" w:w="3969"/>
          </w:tcPr>
          <w:p>
            <w:pPr>
              <w:spacing w:after="40" w:before="40"/>
            </w:pPr>
            <w:r/>
            <w:r>
              <w:rPr>
                <w:rFonts w:ascii="Calibri" w:hAnsi="Calibri"/>
                <w:b w:val="0"/>
                <w:sz w:val="17"/>
              </w:rPr>
              <w:t>El OCR rechaza todas las capturas y todo se deriva a revisión manual.</w:t>
            </w:r>
          </w:p>
        </w:tc>
        <w:tc>
          <w:tcPr>
            <w:tcW w:type="dxa" w:w="2494"/>
          </w:tcPr>
          <w:p>
            <w:pPr>
              <w:spacing w:after="40" w:before="40"/>
            </w:pPr>
            <w:r/>
            <w:r>
              <w:rPr>
                <w:rFonts w:ascii="Calibri" w:hAnsi="Calibri"/>
                <w:b w:val="0"/>
                <w:sz w:val="17"/>
              </w:rPr>
              <w:t>4 horas hábiles</w:t>
            </w:r>
          </w:p>
        </w:tc>
        <w:tc>
          <w:tcPr>
            <w:tcW w:type="dxa" w:w="2665"/>
          </w:tcPr>
          <w:p>
            <w:pPr>
              <w:spacing w:after="40" w:before="40"/>
            </w:pPr>
            <w:r/>
            <w:r>
              <w:rPr>
                <w:rFonts w:ascii="Calibri" w:hAnsi="Calibri"/>
                <w:b w:val="0"/>
                <w:sz w:val="17"/>
              </w:rPr>
              <w:t>Development Team y Scrum Master</w:t>
            </w:r>
          </w:p>
        </w:tc>
      </w:tr>
      <w:tr>
        <w:tc>
          <w:tcPr>
            <w:tcW w:type="dxa" w:w="2835"/>
          </w:tcPr>
          <w:p>
            <w:pPr>
              <w:spacing w:after="40" w:before="40"/>
            </w:pPr>
            <w:r/>
            <w:r>
              <w:rPr>
                <w:rFonts w:ascii="Calibri" w:hAnsi="Calibri"/>
                <w:b/>
                <w:sz w:val="17"/>
              </w:rPr>
              <w:t>N3 · Arquitectura o plataforma</w:t>
            </w:r>
          </w:p>
        </w:tc>
        <w:tc>
          <w:tcPr>
            <w:tcW w:type="dxa" w:w="3175"/>
          </w:tcPr>
          <w:p>
            <w:pPr>
              <w:spacing w:after="40" w:before="40"/>
            </w:pPr>
            <w:r/>
            <w:r>
              <w:rPr>
                <w:rFonts w:ascii="Calibri" w:hAnsi="Calibri"/>
                <w:b w:val="0"/>
                <w:sz w:val="17"/>
              </w:rPr>
              <w:t>Afecta a todo el servicio o compromete dinero o datos.</w:t>
            </w:r>
          </w:p>
        </w:tc>
        <w:tc>
          <w:tcPr>
            <w:tcW w:type="dxa" w:w="3969"/>
          </w:tcPr>
          <w:p>
            <w:pPr>
              <w:spacing w:after="40" w:before="40"/>
            </w:pPr>
            <w:r/>
            <w:r>
              <w:rPr>
                <w:rFonts w:ascii="Calibri" w:hAnsi="Calibri"/>
                <w:b w:val="0"/>
                <w:sz w:val="17"/>
              </w:rPr>
              <w:t>El servicio no responde; un descuadre en el libro mayor; una filtración de datos personales.</w:t>
            </w:r>
          </w:p>
        </w:tc>
        <w:tc>
          <w:tcPr>
            <w:tcW w:type="dxa" w:w="2494"/>
          </w:tcPr>
          <w:p>
            <w:pPr>
              <w:spacing w:after="40" w:before="40"/>
            </w:pPr>
            <w:r/>
            <w:r>
              <w:rPr>
                <w:rFonts w:ascii="Calibri" w:hAnsi="Calibri"/>
                <w:b w:val="0"/>
                <w:sz w:val="17"/>
              </w:rPr>
              <w:t>Inmediata, con dedicación exclusiva</w:t>
            </w:r>
          </w:p>
        </w:tc>
        <w:tc>
          <w:tcPr>
            <w:tcW w:type="dxa" w:w="2665"/>
          </w:tcPr>
          <w:p>
            <w:pPr>
              <w:spacing w:after="40" w:before="40"/>
            </w:pPr>
            <w:r/>
            <w:r>
              <w:rPr>
                <w:rFonts w:ascii="Calibri" w:hAnsi="Calibri"/>
                <w:b w:val="0"/>
                <w:sz w:val="17"/>
              </w:rPr>
              <w:t>Todo el equipo, Product Owner y —si hay datos personales implicados— notificación conforme a la Ley N.º 29733</w:t>
            </w:r>
          </w:p>
        </w:tc>
      </w:tr>
    </w:tbl>
    <w:p>
      <w:pPr>
        <w:spacing w:after="160"/>
        <w:jc w:val="both"/>
      </w:pPr>
    </w:p>
    <w:p>
      <w:pPr>
        <w:spacing w:after="160"/>
        <w:jc w:val="both"/>
      </w:pPr>
      <w:r>
        <w:rPr>
          <w:rFonts w:ascii="Calibri" w:hAnsi="Calibri"/>
          <w:b/>
          <w:sz w:val="19"/>
        </w:rPr>
        <w:t>El nivel 3 es el que gobierna los umbrales.</w:t>
      </w:r>
      <w:r>
        <w:rPr>
          <w:rFonts w:ascii="Calibri" w:hAnsi="Calibri"/>
          <w:b w:val="0"/>
          <w:sz w:val="19"/>
        </w:rPr>
        <w:t xml:space="preserve"> Un problema de soporte afecta a una funcionalidad; uno de arquitectura afecta a todo lo que se apoya en ella. Por eso los indicadores de infraestructura tienen umbrales de alerta más estrechos que los de negocio: no porque importen más, sino porque su radio de daño es mayor.</w:t>
      </w:r>
    </w:p>
    <w:p>
      <w:pPr>
        <w:spacing w:after="160"/>
        <w:jc w:val="both"/>
      </w:pPr>
      <w:r>
        <w:rPr>
          <w:rFonts w:ascii="Calibri" w:hAnsi="Calibri"/>
          <w:b/>
          <w:sz w:val="19"/>
        </w:rPr>
        <w:t>Todo incidente se documenta con su causa.</w:t>
      </w:r>
      <w:r>
        <w:rPr>
          <w:rFonts w:ascii="Calibri" w:hAnsi="Calibri"/>
          <w:b w:val="0"/>
          <w:sz w:val="19"/>
        </w:rPr>
        <w:t xml:space="preserve"> No hacerlo es el error más común y el más caro: sin causa registrada, el mismo fallo se investiga desde cero cada vez que reaparece, y nunca se sabe si un umbral está mal calibrado o si el sistema está realmente degradándose.</w:t>
      </w:r>
    </w:p>
    <w:p>
      <w:pPr>
        <w:spacing w:before="220" w:after="120"/>
      </w:pPr>
      <w:r>
        <w:rPr>
          <w:rFonts w:ascii="Calibri" w:hAnsi="Calibri"/>
          <w:b/>
          <w:color w:val="064475"/>
          <w:sz w:val="22"/>
        </w:rPr>
        <w:t>5.4 Retención de registros</w:t>
      </w:r>
    </w:p>
    <w:tbl>
      <w:tblPr>
        <w:tblStyle w:val="TableGrid"/>
        <w:tblW w:type="auto" w:w="0"/>
        <w:tblLook w:firstColumn="1" w:firstRow="1" w:lastColumn="0" w:lastRow="0" w:noHBand="0" w:noVBand="1" w:val="04A0"/>
      </w:tblPr>
      <w:tblGrid>
        <w:gridCol w:w="3784"/>
        <w:gridCol w:w="3784"/>
        <w:gridCol w:w="3784"/>
        <w:gridCol w:w="3784"/>
      </w:tblGrid>
      <w:tr>
        <w:tc>
          <w:tcPr>
            <w:tcW w:type="dxa" w:w="3628"/>
            <w:shd w:val="clear" w:color="auto" w:fill="064475"/>
          </w:tcPr>
          <w:p>
            <w:pPr>
              <w:spacing w:after="40" w:before="40"/>
            </w:pPr>
            <w:r/>
            <w:r>
              <w:rPr>
                <w:rFonts w:ascii="Calibri" w:hAnsi="Calibri"/>
                <w:b/>
                <w:color w:val="FFFFFF"/>
                <w:sz w:val="17"/>
              </w:rPr>
              <w:t>Tipo de registro</w:t>
            </w:r>
          </w:p>
        </w:tc>
        <w:tc>
          <w:tcPr>
            <w:tcW w:type="dxa" w:w="2494"/>
            <w:shd w:val="clear" w:color="auto" w:fill="064475"/>
          </w:tcPr>
          <w:p>
            <w:pPr>
              <w:spacing w:after="40" w:before="40"/>
            </w:pPr>
            <w:r/>
            <w:r>
              <w:rPr>
                <w:rFonts w:ascii="Calibri" w:hAnsi="Calibri"/>
                <w:b/>
                <w:color w:val="FFFFFF"/>
                <w:sz w:val="17"/>
              </w:rPr>
              <w:t>Plazo</w:t>
            </w:r>
          </w:p>
        </w:tc>
        <w:tc>
          <w:tcPr>
            <w:tcW w:type="dxa" w:w="2835"/>
            <w:shd w:val="clear" w:color="auto" w:fill="064475"/>
          </w:tcPr>
          <w:p>
            <w:pPr>
              <w:spacing w:after="40" w:before="40"/>
            </w:pPr>
            <w:r/>
            <w:r>
              <w:rPr>
                <w:rFonts w:ascii="Calibri" w:hAnsi="Calibri"/>
                <w:b/>
                <w:color w:val="FFFFFF"/>
                <w:sz w:val="17"/>
              </w:rPr>
              <w:t>Dónde</w:t>
            </w:r>
          </w:p>
        </w:tc>
        <w:tc>
          <w:tcPr>
            <w:tcW w:type="dxa" w:w="6180"/>
            <w:shd w:val="clear" w:color="auto" w:fill="064475"/>
          </w:tcPr>
          <w:p>
            <w:pPr>
              <w:spacing w:after="40" w:before="40"/>
            </w:pPr>
            <w:r/>
            <w:r>
              <w:rPr>
                <w:rFonts w:ascii="Calibri" w:hAnsi="Calibri"/>
                <w:b/>
                <w:color w:val="FFFFFF"/>
                <w:sz w:val="17"/>
              </w:rPr>
              <w:t>Criterio</w:t>
            </w:r>
          </w:p>
        </w:tc>
      </w:tr>
      <w:tr>
        <w:tc>
          <w:tcPr>
            <w:tcW w:type="dxa" w:w="3628"/>
          </w:tcPr>
          <w:p>
            <w:pPr>
              <w:spacing w:after="40" w:before="40"/>
            </w:pPr>
            <w:r/>
            <w:r>
              <w:rPr>
                <w:rFonts w:ascii="Calibri" w:hAnsi="Calibri"/>
                <w:b w:val="0"/>
                <w:sz w:val="17"/>
              </w:rPr>
              <w:t>Registros de aplicación y de infraestructura</w:t>
            </w:r>
          </w:p>
        </w:tc>
        <w:tc>
          <w:tcPr>
            <w:tcW w:type="dxa" w:w="2494"/>
          </w:tcPr>
          <w:p>
            <w:pPr>
              <w:spacing w:after="40" w:before="40"/>
            </w:pPr>
            <w:r/>
            <w:r>
              <w:rPr>
                <w:rFonts w:ascii="Calibri" w:hAnsi="Calibri"/>
                <w:b w:val="0"/>
                <w:sz w:val="17"/>
              </w:rPr>
              <w:t>30 días</w:t>
            </w:r>
          </w:p>
        </w:tc>
        <w:tc>
          <w:tcPr>
            <w:tcW w:type="dxa" w:w="2835"/>
          </w:tcPr>
          <w:p>
            <w:pPr>
              <w:spacing w:after="40" w:before="40"/>
            </w:pPr>
            <w:r/>
            <w:r>
              <w:rPr>
                <w:rFonts w:ascii="Calibri" w:hAnsi="Calibri"/>
                <w:b w:val="0"/>
                <w:sz w:val="17"/>
              </w:rPr>
              <w:t>Loki</w:t>
            </w:r>
          </w:p>
        </w:tc>
        <w:tc>
          <w:tcPr>
            <w:tcW w:type="dxa" w:w="6180"/>
          </w:tcPr>
          <w:p>
            <w:pPr>
              <w:spacing w:after="40" w:before="40"/>
            </w:pPr>
            <w:r/>
            <w:r>
              <w:rPr>
                <w:rFonts w:ascii="Calibri" w:hAnsi="Calibri"/>
                <w:b w:val="0"/>
                <w:sz w:val="17"/>
              </w:rPr>
              <w:t>Suficiente para diagnosticar un incidente y su reaparición. Más allá, el coste de almacenamiento supera el valor diagnóstico.</w:t>
            </w:r>
          </w:p>
        </w:tc>
      </w:tr>
      <w:tr>
        <w:tc>
          <w:tcPr>
            <w:tcW w:type="dxa" w:w="3628"/>
          </w:tcPr>
          <w:p>
            <w:pPr>
              <w:spacing w:after="40" w:before="40"/>
            </w:pPr>
            <w:r/>
            <w:r>
              <w:rPr>
                <w:rFonts w:ascii="Calibri" w:hAnsi="Calibri"/>
                <w:b w:val="0"/>
                <w:sz w:val="17"/>
              </w:rPr>
              <w:t>Métricas numéricas</w:t>
            </w:r>
          </w:p>
        </w:tc>
        <w:tc>
          <w:tcPr>
            <w:tcW w:type="dxa" w:w="2494"/>
          </w:tcPr>
          <w:p>
            <w:pPr>
              <w:spacing w:after="40" w:before="40"/>
            </w:pPr>
            <w:r/>
            <w:r>
              <w:rPr>
                <w:rFonts w:ascii="Calibri" w:hAnsi="Calibri"/>
                <w:b w:val="0"/>
                <w:sz w:val="17"/>
              </w:rPr>
              <w:t>15 días en detalle · 1 año agregadas</w:t>
            </w:r>
          </w:p>
        </w:tc>
        <w:tc>
          <w:tcPr>
            <w:tcW w:type="dxa" w:w="2835"/>
          </w:tcPr>
          <w:p>
            <w:pPr>
              <w:spacing w:after="40" w:before="40"/>
            </w:pPr>
            <w:r/>
            <w:r>
              <w:rPr>
                <w:rFonts w:ascii="Calibri" w:hAnsi="Calibri"/>
                <w:b w:val="0"/>
                <w:sz w:val="17"/>
              </w:rPr>
              <w:t>Prometheus</w:t>
            </w:r>
          </w:p>
        </w:tc>
        <w:tc>
          <w:tcPr>
            <w:tcW w:type="dxa" w:w="6180"/>
          </w:tcPr>
          <w:p>
            <w:pPr>
              <w:spacing w:after="40" w:before="40"/>
            </w:pPr>
            <w:r/>
            <w:r>
              <w:rPr>
                <w:rFonts w:ascii="Calibri" w:hAnsi="Calibri"/>
                <w:b w:val="0"/>
                <w:sz w:val="17"/>
              </w:rPr>
              <w:t>El detalle sirve para diagnosticar; el agregado, para el análisis de tendencia y la predicción de saturación.</w:t>
            </w:r>
          </w:p>
        </w:tc>
      </w:tr>
      <w:tr>
        <w:tc>
          <w:tcPr>
            <w:tcW w:type="dxa" w:w="3628"/>
          </w:tcPr>
          <w:p>
            <w:pPr>
              <w:spacing w:after="40" w:before="40"/>
            </w:pPr>
            <w:r/>
            <w:r>
              <w:rPr>
                <w:rFonts w:ascii="Calibri" w:hAnsi="Calibri"/>
                <w:b w:val="0"/>
                <w:sz w:val="17"/>
              </w:rPr>
              <w:t>Pista de auditoría de accesos y operaciones monetarias</w:t>
            </w:r>
          </w:p>
        </w:tc>
        <w:tc>
          <w:tcPr>
            <w:tcW w:type="dxa" w:w="2494"/>
          </w:tcPr>
          <w:p>
            <w:pPr>
              <w:spacing w:after="40" w:before="40"/>
            </w:pPr>
            <w:r/>
            <w:r>
              <w:rPr>
                <w:rFonts w:ascii="Calibri" w:hAnsi="Calibri"/>
                <w:b w:val="0"/>
                <w:sz w:val="17"/>
              </w:rPr>
              <w:t>10 años</w:t>
            </w:r>
          </w:p>
        </w:tc>
        <w:tc>
          <w:tcPr>
            <w:tcW w:type="dxa" w:w="2835"/>
          </w:tcPr>
          <w:p>
            <w:pPr>
              <w:spacing w:after="40" w:before="40"/>
            </w:pPr>
            <w:r/>
            <w:r>
              <w:rPr>
                <w:rFonts w:ascii="Calibri" w:hAnsi="Calibri"/>
                <w:b w:val="0"/>
                <w:sz w:val="17"/>
              </w:rPr>
              <w:t>PostgreSQL, tabla inmutable</w:t>
            </w:r>
          </w:p>
        </w:tc>
        <w:tc>
          <w:tcPr>
            <w:tcW w:type="dxa" w:w="6180"/>
          </w:tcPr>
          <w:p>
            <w:pPr>
              <w:spacing w:after="40" w:before="40"/>
            </w:pPr>
            <w:r/>
            <w:r>
              <w:rPr>
                <w:rFonts w:ascii="Calibri" w:hAnsi="Calibri"/>
                <w:b/>
                <w:sz w:val="17"/>
              </w:rPr>
              <w:t>Decisión del proyecto, pendiente de confirmación normativa.</w:t>
            </w:r>
            <w:r>
              <w:rPr>
                <w:rFonts w:ascii="Calibri" w:hAnsi="Calibri"/>
                <w:b w:val="0"/>
                <w:sz w:val="17"/>
              </w:rPr>
              <w:t xml:space="preserve"> La Resolución SBS N.º 504-2021 exige trazabilidad sin fijar un plazo público que hayamos podido verificar; el valor se alinea de forma conservadora con los plazos de conservación de documentación contable en el Perú. Debe confirmarse con el marco SBS aplicable antes de una operación real.</w:t>
            </w:r>
          </w:p>
        </w:tc>
      </w:tr>
      <w:tr>
        <w:tc>
          <w:tcPr>
            <w:tcW w:type="dxa" w:w="3628"/>
          </w:tcPr>
          <w:p>
            <w:pPr>
              <w:spacing w:after="40" w:before="40"/>
            </w:pPr>
            <w:r/>
            <w:r>
              <w:rPr>
                <w:rFonts w:ascii="Calibri" w:hAnsi="Calibri"/>
                <w:b w:val="0"/>
                <w:sz w:val="17"/>
              </w:rPr>
              <w:t>Imágenes de documento y biometría</w:t>
            </w:r>
          </w:p>
        </w:tc>
        <w:tc>
          <w:tcPr>
            <w:tcW w:type="dxa" w:w="2494"/>
          </w:tcPr>
          <w:p>
            <w:pPr>
              <w:spacing w:after="40" w:before="40"/>
            </w:pPr>
            <w:r/>
            <w:r>
              <w:rPr>
                <w:rFonts w:ascii="Calibri" w:hAnsi="Calibri"/>
                <w:b w:val="0"/>
                <w:sz w:val="17"/>
              </w:rPr>
              <w:t>Según política de retención del KYC, con borrado a solicitud del titular</w:t>
            </w:r>
          </w:p>
        </w:tc>
        <w:tc>
          <w:tcPr>
            <w:tcW w:type="dxa" w:w="2835"/>
          </w:tcPr>
          <w:p>
            <w:pPr>
              <w:spacing w:after="40" w:before="40"/>
            </w:pPr>
            <w:r/>
            <w:r>
              <w:rPr>
                <w:rFonts w:ascii="Calibri" w:hAnsi="Calibri"/>
                <w:b w:val="0"/>
                <w:sz w:val="17"/>
              </w:rPr>
              <w:t>MinIO, cifradas</w:t>
            </w:r>
          </w:p>
        </w:tc>
        <w:tc>
          <w:tcPr>
            <w:tcW w:type="dxa" w:w="6180"/>
          </w:tcPr>
          <w:p>
            <w:pPr>
              <w:spacing w:after="40" w:before="40"/>
            </w:pPr>
            <w:r/>
            <w:r>
              <w:rPr>
                <w:rFonts w:ascii="Calibri" w:hAnsi="Calibri"/>
                <w:b w:val="0"/>
                <w:sz w:val="17"/>
              </w:rPr>
              <w:t>Ley N.º 29733: son datos sensibles y su conservación indefinida no es defendible. El titular puede revocar el consentimiento y exigir su eliminación.</w:t>
            </w:r>
          </w:p>
        </w:tc>
      </w:tr>
    </w:tbl>
    <w:p>
      <w:r>
        <w:br w:type="page"/>
      </w:r>
    </w:p>
    <w:p>
      <w:pPr>
        <w:spacing w:before="320" w:after="120"/>
      </w:pPr>
      <w:r>
        <w:rPr>
          <w:rFonts w:ascii="Calibri" w:hAnsi="Calibri"/>
          <w:b/>
          <w:color w:val="064475"/>
          <w:sz w:val="26"/>
        </w:rPr>
        <w:t>6. INDICADORES DE GESTIÓN DEL PROYECTO</w:t>
      </w:r>
    </w:p>
    <w:p>
      <w:pPr>
        <w:spacing w:after="160"/>
        <w:jc w:val="both"/>
      </w:pPr>
      <w:r>
        <w:rPr>
          <w:rFonts w:ascii="Calibri" w:hAnsi="Calibri"/>
          <w:b w:val="0"/>
          <w:sz w:val="19"/>
        </w:rPr>
        <w:t>Los anteriores miden el producto. Estos miden si el equipo es capaz de construirlo, y se obtienen directamente de Jira sin instrumentación adicional.</w:t>
      </w:r>
    </w:p>
    <w:tbl>
      <w:tblPr>
        <w:tblStyle w:val="TableGrid"/>
        <w:tblW w:type="auto" w:w="0"/>
        <w:tblLook w:firstColumn="1" w:firstRow="1" w:lastColumn="0" w:lastRow="0" w:noHBand="0" w:noVBand="1" w:val="04A0"/>
      </w:tblPr>
      <w:tblGrid>
        <w:gridCol w:w="2523"/>
        <w:gridCol w:w="2523"/>
        <w:gridCol w:w="2523"/>
        <w:gridCol w:w="2523"/>
        <w:gridCol w:w="2523"/>
        <w:gridCol w:w="2523"/>
      </w:tblGrid>
      <w:tr>
        <w:tc>
          <w:tcPr>
            <w:tcW w:type="dxa" w:w="907"/>
            <w:shd w:val="clear" w:color="auto" w:fill="064475"/>
          </w:tcPr>
          <w:p>
            <w:pPr>
              <w:spacing w:after="40" w:before="40"/>
            </w:pPr>
            <w:r/>
            <w:r>
              <w:rPr>
                <w:rFonts w:ascii="Calibri" w:hAnsi="Calibri"/>
                <w:b/>
                <w:color w:val="FFFFFF"/>
                <w:sz w:val="17"/>
              </w:rPr>
              <w:t>ID</w:t>
            </w:r>
          </w:p>
        </w:tc>
        <w:tc>
          <w:tcPr>
            <w:tcW w:type="dxa" w:w="2494"/>
            <w:shd w:val="clear" w:color="auto" w:fill="064475"/>
          </w:tcPr>
          <w:p>
            <w:pPr>
              <w:spacing w:after="40" w:before="40"/>
            </w:pPr>
            <w:r/>
            <w:r>
              <w:rPr>
                <w:rFonts w:ascii="Calibri" w:hAnsi="Calibri"/>
                <w:b/>
                <w:color w:val="FFFFFF"/>
                <w:sz w:val="17"/>
              </w:rPr>
              <w:t>Indicador</w:t>
            </w:r>
          </w:p>
        </w:tc>
        <w:tc>
          <w:tcPr>
            <w:tcW w:type="dxa" w:w="3742"/>
            <w:shd w:val="clear" w:color="auto" w:fill="064475"/>
          </w:tcPr>
          <w:p>
            <w:pPr>
              <w:spacing w:after="40" w:before="40"/>
            </w:pPr>
            <w:r/>
            <w:r>
              <w:rPr>
                <w:rFonts w:ascii="Calibri" w:hAnsi="Calibri"/>
                <w:b/>
                <w:color w:val="FFFFFF"/>
                <w:sz w:val="17"/>
              </w:rPr>
              <w:t>Definición</w:t>
            </w:r>
          </w:p>
        </w:tc>
        <w:tc>
          <w:tcPr>
            <w:tcW w:type="dxa" w:w="1587"/>
            <w:shd w:val="clear" w:color="auto" w:fill="064475"/>
          </w:tcPr>
          <w:p>
            <w:pPr>
              <w:spacing w:after="40" w:before="40"/>
            </w:pPr>
            <w:r/>
            <w:r>
              <w:rPr>
                <w:rFonts w:ascii="Calibri" w:hAnsi="Calibri"/>
                <w:b/>
                <w:color w:val="FFFFFF"/>
                <w:sz w:val="17"/>
              </w:rPr>
              <w:t>Objetivo</w:t>
            </w:r>
          </w:p>
        </w:tc>
        <w:tc>
          <w:tcPr>
            <w:tcW w:type="dxa" w:w="1928"/>
            <w:shd w:val="clear" w:color="auto" w:fill="064475"/>
          </w:tcPr>
          <w:p>
            <w:pPr>
              <w:spacing w:after="40" w:before="40"/>
            </w:pPr>
            <w:r/>
            <w:r>
              <w:rPr>
                <w:rFonts w:ascii="Calibri" w:hAnsi="Calibri"/>
                <w:b/>
                <w:color w:val="FFFFFF"/>
                <w:sz w:val="17"/>
              </w:rPr>
              <w:t>Alerta</w:t>
            </w:r>
          </w:p>
        </w:tc>
        <w:tc>
          <w:tcPr>
            <w:tcW w:type="dxa" w:w="4479"/>
            <w:shd w:val="clear" w:color="auto" w:fill="064475"/>
          </w:tcPr>
          <w:p>
            <w:pPr>
              <w:spacing w:after="40" w:before="40"/>
            </w:pPr>
            <w:r/>
            <w:r>
              <w:rPr>
                <w:rFonts w:ascii="Calibri" w:hAnsi="Calibri"/>
                <w:b/>
                <w:color w:val="FFFFFF"/>
                <w:sz w:val="17"/>
              </w:rPr>
              <w:t>Para qué sirve</w:t>
            </w:r>
          </w:p>
        </w:tc>
      </w:tr>
      <w:tr>
        <w:tc>
          <w:tcPr>
            <w:tcW w:type="dxa" w:w="907"/>
          </w:tcPr>
          <w:p>
            <w:pPr>
              <w:spacing w:after="40" w:before="40"/>
              <w:jc w:val="center"/>
            </w:pPr>
            <w:r/>
            <w:r>
              <w:rPr>
                <w:rFonts w:ascii="Calibri" w:hAnsi="Calibri"/>
                <w:b w:val="0"/>
                <w:sz w:val="17"/>
              </w:rPr>
              <w:t>KPI-22</w:t>
            </w:r>
          </w:p>
        </w:tc>
        <w:tc>
          <w:tcPr>
            <w:tcW w:type="dxa" w:w="2494"/>
          </w:tcPr>
          <w:p>
            <w:pPr>
              <w:spacing w:after="40" w:before="40"/>
            </w:pPr>
            <w:r/>
            <w:r>
              <w:rPr>
                <w:rFonts w:ascii="Calibri" w:hAnsi="Calibri"/>
                <w:b w:val="0"/>
                <w:sz w:val="17"/>
              </w:rPr>
              <w:t>Cumplimiento del sprint</w:t>
            </w:r>
          </w:p>
        </w:tc>
        <w:tc>
          <w:tcPr>
            <w:tcW w:type="dxa" w:w="3742"/>
          </w:tcPr>
          <w:p>
            <w:pPr>
              <w:spacing w:after="40" w:before="40"/>
            </w:pPr>
            <w:r/>
            <w:r>
              <w:rPr>
                <w:rFonts w:ascii="Calibri" w:hAnsi="Calibri"/>
                <w:b w:val="0"/>
                <w:sz w:val="17"/>
              </w:rPr>
              <w:t>Puntos completados ÷ puntos comprometidos.</w:t>
            </w:r>
          </w:p>
        </w:tc>
        <w:tc>
          <w:tcPr>
            <w:tcW w:type="dxa" w:w="1587"/>
          </w:tcPr>
          <w:p>
            <w:pPr>
              <w:spacing w:after="40" w:before="40"/>
              <w:jc w:val="center"/>
            </w:pPr>
            <w:r/>
            <w:r>
              <w:rPr>
                <w:rFonts w:ascii="Calibri" w:hAnsi="Calibri"/>
                <w:b w:val="0"/>
                <w:sz w:val="17"/>
              </w:rPr>
              <w:t>≥ 85 %</w:t>
            </w:r>
          </w:p>
        </w:tc>
        <w:tc>
          <w:tcPr>
            <w:tcW w:type="dxa" w:w="1928"/>
          </w:tcPr>
          <w:p>
            <w:pPr>
              <w:spacing w:after="40" w:before="40"/>
              <w:jc w:val="center"/>
            </w:pPr>
            <w:r/>
            <w:r>
              <w:rPr>
                <w:rFonts w:ascii="Calibri" w:hAnsi="Calibri"/>
                <w:b w:val="0"/>
                <w:sz w:val="17"/>
              </w:rPr>
              <w:t>&lt; 70 %</w:t>
            </w:r>
          </w:p>
        </w:tc>
        <w:tc>
          <w:tcPr>
            <w:tcW w:type="dxa" w:w="4479"/>
          </w:tcPr>
          <w:p>
            <w:pPr>
              <w:spacing w:after="40" w:before="40"/>
            </w:pPr>
            <w:r/>
            <w:r>
              <w:rPr>
                <w:rFonts w:ascii="Calibri" w:hAnsi="Calibri"/>
                <w:b w:val="0"/>
                <w:sz w:val="17"/>
              </w:rPr>
              <w:t>Es el indicador adelantado de los riesgos R-03 y R-06. Dos sprints seguidos por debajo del 70 % obligan a reducir el compromiso, no a pedir más esfuerzo.</w:t>
            </w:r>
          </w:p>
        </w:tc>
      </w:tr>
      <w:tr>
        <w:tc>
          <w:tcPr>
            <w:tcW w:type="dxa" w:w="907"/>
          </w:tcPr>
          <w:p>
            <w:pPr>
              <w:spacing w:after="40" w:before="40"/>
              <w:jc w:val="center"/>
            </w:pPr>
            <w:r/>
            <w:r>
              <w:rPr>
                <w:rFonts w:ascii="Calibri" w:hAnsi="Calibri"/>
                <w:b w:val="0"/>
                <w:sz w:val="17"/>
              </w:rPr>
              <w:t>KPI-23</w:t>
            </w:r>
          </w:p>
        </w:tc>
        <w:tc>
          <w:tcPr>
            <w:tcW w:type="dxa" w:w="2494"/>
          </w:tcPr>
          <w:p>
            <w:pPr>
              <w:spacing w:after="40" w:before="40"/>
            </w:pPr>
            <w:r/>
            <w:r>
              <w:rPr>
                <w:rFonts w:ascii="Calibri" w:hAnsi="Calibri"/>
                <w:b w:val="0"/>
                <w:sz w:val="17"/>
              </w:rPr>
              <w:t>Cobertura de pruebas del código nuevo</w:t>
            </w:r>
          </w:p>
        </w:tc>
        <w:tc>
          <w:tcPr>
            <w:tcW w:type="dxa" w:w="3742"/>
          </w:tcPr>
          <w:p>
            <w:pPr>
              <w:spacing w:after="40" w:before="40"/>
            </w:pPr>
            <w:r/>
            <w:r>
              <w:rPr>
                <w:rFonts w:ascii="Calibri" w:hAnsi="Calibri"/>
                <w:b w:val="0"/>
                <w:sz w:val="17"/>
              </w:rPr>
              <w:t>Líneas cubiertas ÷ líneas nuevas o modificadas, medido por SonarCloud.</w:t>
            </w:r>
          </w:p>
        </w:tc>
        <w:tc>
          <w:tcPr>
            <w:tcW w:type="dxa" w:w="1587"/>
          </w:tcPr>
          <w:p>
            <w:pPr>
              <w:spacing w:after="40" w:before="40"/>
              <w:jc w:val="center"/>
            </w:pPr>
            <w:r/>
            <w:r>
              <w:rPr>
                <w:rFonts w:ascii="Calibri" w:hAnsi="Calibri"/>
                <w:b w:val="0"/>
                <w:sz w:val="17"/>
              </w:rPr>
              <w:t>≥ 80 %</w:t>
            </w:r>
          </w:p>
        </w:tc>
        <w:tc>
          <w:tcPr>
            <w:tcW w:type="dxa" w:w="1928"/>
          </w:tcPr>
          <w:p>
            <w:pPr>
              <w:spacing w:after="40" w:before="40"/>
              <w:jc w:val="center"/>
            </w:pPr>
            <w:r/>
            <w:r>
              <w:rPr>
                <w:rFonts w:ascii="Calibri" w:hAnsi="Calibri"/>
                <w:b w:val="0"/>
                <w:sz w:val="17"/>
              </w:rPr>
              <w:t>&lt; 80 %</w:t>
            </w:r>
          </w:p>
        </w:tc>
        <w:tc>
          <w:tcPr>
            <w:tcW w:type="dxa" w:w="4479"/>
          </w:tcPr>
          <w:p>
            <w:pPr>
              <w:spacing w:after="40" w:before="40"/>
            </w:pPr>
            <w:r/>
            <w:r>
              <w:rPr>
                <w:rFonts w:ascii="Calibri" w:hAnsi="Calibri"/>
                <w:b w:val="0"/>
                <w:sz w:val="17"/>
              </w:rPr>
              <w:t>Puerta de calidad bloqueante. No admite margen: el umbral es el objetivo y la alerta a la vez.</w:t>
            </w:r>
          </w:p>
        </w:tc>
      </w:tr>
      <w:tr>
        <w:tc>
          <w:tcPr>
            <w:tcW w:type="dxa" w:w="907"/>
          </w:tcPr>
          <w:p>
            <w:pPr>
              <w:spacing w:after="40" w:before="40"/>
              <w:jc w:val="center"/>
            </w:pPr>
            <w:r/>
            <w:r>
              <w:rPr>
                <w:rFonts w:ascii="Calibri" w:hAnsi="Calibri"/>
                <w:b w:val="0"/>
                <w:sz w:val="17"/>
              </w:rPr>
              <w:t>KPI-24</w:t>
            </w:r>
          </w:p>
        </w:tc>
        <w:tc>
          <w:tcPr>
            <w:tcW w:type="dxa" w:w="2494"/>
          </w:tcPr>
          <w:p>
            <w:pPr>
              <w:spacing w:after="40" w:before="40"/>
            </w:pPr>
            <w:r/>
            <w:r>
              <w:rPr>
                <w:rFonts w:ascii="Calibri" w:hAnsi="Calibri"/>
                <w:b w:val="0"/>
                <w:sz w:val="17"/>
              </w:rPr>
              <w:t>Tiempo de ciclo de un Pull Request</w:t>
            </w:r>
          </w:p>
        </w:tc>
        <w:tc>
          <w:tcPr>
            <w:tcW w:type="dxa" w:w="3742"/>
          </w:tcPr>
          <w:p>
            <w:pPr>
              <w:spacing w:after="40" w:before="40"/>
            </w:pPr>
            <w:r/>
            <w:r>
              <w:rPr>
                <w:rFonts w:ascii="Calibri" w:hAnsi="Calibri"/>
                <w:b w:val="0"/>
                <w:sz w:val="17"/>
              </w:rPr>
              <w:t>Horas entre la apertura y la fusión.</w:t>
            </w:r>
          </w:p>
        </w:tc>
        <w:tc>
          <w:tcPr>
            <w:tcW w:type="dxa" w:w="1587"/>
          </w:tcPr>
          <w:p>
            <w:pPr>
              <w:spacing w:after="40" w:before="40"/>
              <w:jc w:val="center"/>
            </w:pPr>
            <w:r/>
            <w:r>
              <w:rPr>
                <w:rFonts w:ascii="Calibri" w:hAnsi="Calibri"/>
                <w:b w:val="0"/>
                <w:sz w:val="17"/>
              </w:rPr>
              <w:t>≤ 48 h</w:t>
            </w:r>
          </w:p>
        </w:tc>
        <w:tc>
          <w:tcPr>
            <w:tcW w:type="dxa" w:w="1928"/>
          </w:tcPr>
          <w:p>
            <w:pPr>
              <w:spacing w:after="40" w:before="40"/>
              <w:jc w:val="center"/>
            </w:pPr>
            <w:r/>
            <w:r>
              <w:rPr>
                <w:rFonts w:ascii="Calibri" w:hAnsi="Calibri"/>
                <w:b w:val="0"/>
                <w:sz w:val="17"/>
              </w:rPr>
              <w:t>&gt; 96 h</w:t>
            </w:r>
          </w:p>
        </w:tc>
        <w:tc>
          <w:tcPr>
            <w:tcW w:type="dxa" w:w="4479"/>
          </w:tcPr>
          <w:p>
            <w:pPr>
              <w:spacing w:after="40" w:before="40"/>
            </w:pPr>
            <w:r/>
            <w:r>
              <w:rPr>
                <w:rFonts w:ascii="Calibri" w:hAnsi="Calibri"/>
                <w:b w:val="0"/>
                <w:sz w:val="17"/>
              </w:rPr>
              <w:t>Un PR que envejece acumula conflictos y desincentiva la revisión cuidadosa. Mide la fluidez de la colaboración, no la velocidad individual.</w:t>
            </w:r>
          </w:p>
        </w:tc>
      </w:tr>
      <w:tr>
        <w:tc>
          <w:tcPr>
            <w:tcW w:type="dxa" w:w="907"/>
          </w:tcPr>
          <w:p>
            <w:pPr>
              <w:spacing w:after="40" w:before="40"/>
              <w:jc w:val="center"/>
            </w:pPr>
            <w:r/>
            <w:r>
              <w:rPr>
                <w:rFonts w:ascii="Calibri" w:hAnsi="Calibri"/>
                <w:b w:val="0"/>
                <w:sz w:val="17"/>
              </w:rPr>
              <w:t>KPI-25</w:t>
            </w:r>
          </w:p>
        </w:tc>
        <w:tc>
          <w:tcPr>
            <w:tcW w:type="dxa" w:w="2494"/>
          </w:tcPr>
          <w:p>
            <w:pPr>
              <w:spacing w:after="40" w:before="40"/>
            </w:pPr>
            <w:r/>
            <w:r>
              <w:rPr>
                <w:rFonts w:ascii="Calibri" w:hAnsi="Calibri"/>
                <w:b w:val="0"/>
                <w:sz w:val="17"/>
              </w:rPr>
              <w:t>Distribución del trabajo</w:t>
            </w:r>
          </w:p>
        </w:tc>
        <w:tc>
          <w:tcPr>
            <w:tcW w:type="dxa" w:w="3742"/>
          </w:tcPr>
          <w:p>
            <w:pPr>
              <w:spacing w:after="40" w:before="40"/>
            </w:pPr>
            <w:r/>
            <w:r>
              <w:rPr>
                <w:rFonts w:ascii="Calibri" w:hAnsi="Calibri"/>
                <w:b w:val="0"/>
                <w:sz w:val="17"/>
              </w:rPr>
              <w:t>Ítems cerrados por integrante y peso acumulado.</w:t>
            </w:r>
          </w:p>
        </w:tc>
        <w:tc>
          <w:tcPr>
            <w:tcW w:type="dxa" w:w="1587"/>
          </w:tcPr>
          <w:p>
            <w:pPr>
              <w:spacing w:after="40" w:before="40"/>
              <w:jc w:val="center"/>
            </w:pPr>
            <w:r/>
            <w:r>
              <w:rPr>
                <w:rFonts w:ascii="Calibri" w:hAnsi="Calibri"/>
                <w:b w:val="0"/>
                <w:sz w:val="17"/>
              </w:rPr>
              <w:t>Reparto equilibrado</w:t>
            </w:r>
          </w:p>
        </w:tc>
        <w:tc>
          <w:tcPr>
            <w:tcW w:type="dxa" w:w="1928"/>
          </w:tcPr>
          <w:p>
            <w:pPr>
              <w:spacing w:after="40" w:before="40"/>
              <w:jc w:val="center"/>
            </w:pPr>
            <w:r/>
            <w:r>
              <w:rPr>
                <w:rFonts w:ascii="Calibri" w:hAnsi="Calibri"/>
                <w:b w:val="0"/>
                <w:sz w:val="17"/>
              </w:rPr>
              <w:t>Concentración &gt; 50 % en una persona</w:t>
            </w:r>
          </w:p>
        </w:tc>
        <w:tc>
          <w:tcPr>
            <w:tcW w:type="dxa" w:w="4479"/>
          </w:tcPr>
          <w:p>
            <w:pPr>
              <w:spacing w:after="40" w:before="40"/>
            </w:pPr>
            <w:r/>
            <w:r>
              <w:rPr>
                <w:rFonts w:ascii="Calibri" w:hAnsi="Calibri"/>
                <w:b w:val="0"/>
                <w:sz w:val="17"/>
              </w:rPr>
              <w:t>Vigila el riesgo R-11: la concentración del conocimiento es más peligrosa que la falta de manos.</w:t>
            </w:r>
          </w:p>
        </w:tc>
      </w:tr>
    </w:tbl>
    <w:p>
      <w:pPr>
        <w:spacing w:before="320" w:after="120"/>
      </w:pPr>
      <w:r>
        <w:rPr>
          <w:rFonts w:ascii="Calibri" w:hAnsi="Calibri"/>
          <w:b/>
          <w:color w:val="064475"/>
          <w:sz w:val="26"/>
        </w:rPr>
        <w:t>7. LIMITACIONES DECLARADAS DE LA MEDICIÓN ACTUAL</w:t>
      </w:r>
    </w:p>
    <w:p>
      <w:pPr>
        <w:spacing w:after="160"/>
        <w:jc w:val="both"/>
      </w:pPr>
      <w:r>
        <w:rPr>
          <w:rFonts w:ascii="Calibri" w:hAnsi="Calibri"/>
          <w:b w:val="0"/>
          <w:sz w:val="19"/>
        </w:rPr>
        <w:t xml:space="preserve">Lo que este plan </w:t>
      </w:r>
      <w:r>
        <w:rPr>
          <w:rFonts w:ascii="Calibri" w:hAnsi="Calibri"/>
          <w:b/>
          <w:sz w:val="19"/>
        </w:rPr>
        <w:t>aún no puede medir</w:t>
      </w:r>
      <w:r>
        <w:rPr>
          <w:rFonts w:ascii="Calibri" w:hAnsi="Calibri"/>
          <w:b w:val="0"/>
          <w:sz w:val="19"/>
        </w:rPr>
        <w:t xml:space="preserve"> se declara aquí de forma explícita, porque presentar un plan de monitoreo sin decir qué parte está operativa induciría a error sobre el estado real del proyecto.</w:t>
      </w:r>
    </w:p>
    <w:tbl>
      <w:tblPr>
        <w:tblStyle w:val="TableGrid"/>
        <w:tblW w:type="auto" w:w="0"/>
        <w:tblLook w:firstColumn="1" w:firstRow="1" w:lastColumn="0" w:lastRow="0" w:noHBand="0" w:noVBand="1" w:val="04A0"/>
      </w:tblPr>
      <w:tblGrid>
        <w:gridCol w:w="5046"/>
        <w:gridCol w:w="5046"/>
        <w:gridCol w:w="5046"/>
      </w:tblGrid>
      <w:tr>
        <w:tc>
          <w:tcPr>
            <w:tcW w:type="dxa" w:w="4876"/>
            <w:shd w:val="clear" w:color="auto" w:fill="064475"/>
          </w:tcPr>
          <w:p>
            <w:pPr>
              <w:spacing w:after="40" w:before="40"/>
            </w:pPr>
            <w:r/>
            <w:r>
              <w:rPr>
                <w:rFonts w:ascii="Calibri" w:hAnsi="Calibri"/>
                <w:b/>
                <w:color w:val="FFFFFF"/>
                <w:sz w:val="17"/>
              </w:rPr>
              <w:t>Limitación</w:t>
            </w:r>
          </w:p>
        </w:tc>
        <w:tc>
          <w:tcPr>
            <w:tcW w:type="dxa" w:w="5329"/>
            <w:shd w:val="clear" w:color="auto" w:fill="064475"/>
          </w:tcPr>
          <w:p>
            <w:pPr>
              <w:spacing w:after="40" w:before="40"/>
            </w:pPr>
            <w:r/>
            <w:r>
              <w:rPr>
                <w:rFonts w:ascii="Calibri" w:hAnsi="Calibri"/>
                <w:b/>
                <w:color w:val="FFFFFF"/>
                <w:sz w:val="17"/>
              </w:rPr>
              <w:t>Consecuencia</w:t>
            </w:r>
          </w:p>
        </w:tc>
        <w:tc>
          <w:tcPr>
            <w:tcW w:type="dxa" w:w="4932"/>
            <w:shd w:val="clear" w:color="auto" w:fill="064475"/>
          </w:tcPr>
          <w:p>
            <w:pPr>
              <w:spacing w:after="40" w:before="40"/>
            </w:pPr>
            <w:r/>
            <w:r>
              <w:rPr>
                <w:rFonts w:ascii="Calibri" w:hAnsi="Calibri"/>
                <w:b/>
                <w:color w:val="FFFFFF"/>
                <w:sz w:val="17"/>
              </w:rPr>
              <w:t>Cuándo se resuelve</w:t>
            </w:r>
          </w:p>
        </w:tc>
      </w:tr>
      <w:tr>
        <w:tc>
          <w:tcPr>
            <w:tcW w:type="dxa" w:w="4876"/>
          </w:tcPr>
          <w:p>
            <w:pPr>
              <w:spacing w:after="40" w:before="40"/>
            </w:pPr>
            <w:r/>
            <w:r>
              <w:rPr>
                <w:rFonts w:ascii="Calibri" w:hAnsi="Calibri"/>
                <w:b/>
                <w:sz w:val="17"/>
              </w:rPr>
              <w:t>No hay datos de campo de Core Web Vitals.</w:t>
            </w:r>
            <w:r>
              <w:rPr>
                <w:rFonts w:ascii="Calibri" w:hAnsi="Calibri"/>
                <w:b w:val="0"/>
                <w:sz w:val="17"/>
              </w:rPr>
              <w:t xml:space="preserve"> Las mediciones disponibles son de laboratorio: Lighthouse sobre un build de producción servido en local.</w:t>
            </w:r>
          </w:p>
        </w:tc>
        <w:tc>
          <w:tcPr>
            <w:tcW w:type="dxa" w:w="5329"/>
          </w:tcPr>
          <w:p>
            <w:pPr>
              <w:spacing w:after="40" w:before="40"/>
            </w:pPr>
            <w:r/>
            <w:r>
              <w:rPr>
                <w:rFonts w:ascii="Calibri" w:hAnsi="Calibri"/>
                <w:b w:val="0"/>
                <w:sz w:val="17"/>
              </w:rPr>
              <w:t>Los valores de KPI-06, 07 y 08 son representativos del código pero no de la red, el dispositivo ni la distancia al servidor de un usuario peruano real. Google evalúa Core Web Vitals sobre datos de campo al percentil 75, y esos datos solo existen con tráfico real sobre un entorno desplegado.</w:t>
            </w:r>
          </w:p>
        </w:tc>
        <w:tc>
          <w:tcPr>
            <w:tcW w:type="dxa" w:w="4932"/>
          </w:tcPr>
          <w:p>
            <w:pPr>
              <w:spacing w:after="40" w:before="40"/>
            </w:pPr>
            <w:r/>
            <w:r>
              <w:rPr>
                <w:rFonts w:ascii="Calibri" w:hAnsi="Calibri"/>
                <w:b w:val="0"/>
                <w:sz w:val="17"/>
              </w:rPr>
              <w:t>Con `HU-20 · AYNI-31`, que provisiona el entorno de producción en el Sprint 2. La instrumentación con la biblioteca `web-vitals` queda definida y se activa con el despliegue.</w:t>
            </w:r>
          </w:p>
        </w:tc>
      </w:tr>
      <w:tr>
        <w:tc>
          <w:tcPr>
            <w:tcW w:type="dxa" w:w="4876"/>
          </w:tcPr>
          <w:p>
            <w:pPr>
              <w:spacing w:after="40" w:before="40"/>
            </w:pPr>
            <w:r/>
            <w:r>
              <w:rPr>
                <w:rFonts w:ascii="Calibri" w:hAnsi="Calibri"/>
                <w:b/>
                <w:sz w:val="17"/>
              </w:rPr>
              <w:t>No hay serie histórica.</w:t>
            </w:r>
            <w:r>
              <w:rPr>
                <w:rFonts w:ascii="Calibri" w:hAnsi="Calibri"/>
                <w:b w:val="0"/>
                <w:sz w:val="17"/>
              </w:rPr>
              <w:t xml:space="preserve"> El sistema lleva un sprint en funcionamiento.</w:t>
            </w:r>
          </w:p>
        </w:tc>
        <w:tc>
          <w:tcPr>
            <w:tcW w:type="dxa" w:w="5329"/>
          </w:tcPr>
          <w:p>
            <w:pPr>
              <w:spacing w:after="40" w:before="40"/>
            </w:pPr>
            <w:r/>
            <w:r>
              <w:rPr>
                <w:rFonts w:ascii="Calibri" w:hAnsi="Calibri"/>
                <w:b w:val="0"/>
                <w:sz w:val="17"/>
              </w:rPr>
              <w:t>No existe línea base para distinguir un pico normal de una anomalía real, que es el requisito previo de cualquier alerta bien calibrada. Los umbrales de tipo B son estimaciones de partida, no observaciones.</w:t>
            </w:r>
          </w:p>
        </w:tc>
        <w:tc>
          <w:tcPr>
            <w:tcW w:type="dxa" w:w="4932"/>
          </w:tcPr>
          <w:p>
            <w:pPr>
              <w:spacing w:after="40" w:before="40"/>
            </w:pPr>
            <w:r/>
            <w:r>
              <w:rPr>
                <w:rFonts w:ascii="Calibri" w:hAnsi="Calibri"/>
                <w:b w:val="0"/>
                <w:sz w:val="17"/>
              </w:rPr>
              <w:t>Se recalibran en cada Sprint Retrospective con los datos del sprint cerrado, y el cambio se registra con su motivo.</w:t>
            </w:r>
          </w:p>
        </w:tc>
      </w:tr>
      <w:tr>
        <w:tc>
          <w:tcPr>
            <w:tcW w:type="dxa" w:w="4876"/>
          </w:tcPr>
          <w:p>
            <w:pPr>
              <w:spacing w:after="40" w:before="40"/>
            </w:pPr>
            <w:r/>
            <w:r>
              <w:rPr>
                <w:rFonts w:ascii="Calibri" w:hAnsi="Calibri"/>
                <w:b/>
                <w:sz w:val="17"/>
              </w:rPr>
              <w:t>Los umbrales de negocio no se han contrastado con usuarios reales.</w:t>
            </w:r>
            <w:r>
              <w:rPr>
                <w:rFonts w:ascii="Calibri" w:hAnsi="Calibri"/>
                <w:b w:val="0"/>
                <w:sz w:val="17"/>
              </w:rPr>
              <w:t xml:space="preserve"> No hay tráfico.</w:t>
            </w:r>
          </w:p>
        </w:tc>
        <w:tc>
          <w:tcPr>
            <w:tcW w:type="dxa" w:w="5329"/>
          </w:tcPr>
          <w:p>
            <w:pPr>
              <w:spacing w:after="40" w:before="40"/>
            </w:pPr>
            <w:r/>
            <w:r>
              <w:rPr>
                <w:rFonts w:ascii="Calibri" w:hAnsi="Calibri"/>
                <w:b w:val="0"/>
                <w:sz w:val="17"/>
              </w:rPr>
              <w:t>KPI-01, 02 y 03 se apoyan hoy en la referencia sectorial y en el diseño, no en observación propia.</w:t>
            </w:r>
          </w:p>
        </w:tc>
        <w:tc>
          <w:tcPr>
            <w:tcW w:type="dxa" w:w="4932"/>
          </w:tcPr>
          <w:p>
            <w:pPr>
              <w:spacing w:after="40" w:before="40"/>
            </w:pPr>
            <w:r/>
            <w:r>
              <w:rPr>
                <w:rFonts w:ascii="Calibri" w:hAnsi="Calibri"/>
                <w:b w:val="0"/>
                <w:sz w:val="17"/>
              </w:rPr>
              <w:t>Con las pruebas con usuarios previstas para el Sprint 7, dentro de HU-17.</w:t>
            </w:r>
          </w:p>
        </w:tc>
      </w:tr>
      <w:tr>
        <w:tc>
          <w:tcPr>
            <w:tcW w:type="dxa" w:w="4876"/>
          </w:tcPr>
          <w:p>
            <w:pPr>
              <w:spacing w:after="40" w:before="40"/>
            </w:pPr>
            <w:r/>
            <w:r>
              <w:rPr>
                <w:rFonts w:ascii="Calibri" w:hAnsi="Calibri"/>
                <w:b/>
                <w:sz w:val="17"/>
              </w:rPr>
              <w:t>El nivel 2 de la prueba de vivacidad no es verificable por nosotros.</w:t>
            </w:r>
          </w:p>
        </w:tc>
        <w:tc>
          <w:tcPr>
            <w:tcW w:type="dxa" w:w="5329"/>
          </w:tcPr>
          <w:p>
            <w:pPr>
              <w:spacing w:after="40" w:before="40"/>
            </w:pPr>
            <w:r/>
            <w:r>
              <w:rPr>
                <w:rFonts w:ascii="Calibri" w:hAnsi="Calibri"/>
                <w:b w:val="0"/>
                <w:sz w:val="17"/>
              </w:rPr>
              <w:t>KPI-14 declara alcance de nivel 1 únicamente. Afirmar resistencia a máscaras de silicona o a medios sintéticos exigiría un laboratorio acreditado.</w:t>
            </w:r>
          </w:p>
        </w:tc>
        <w:tc>
          <w:tcPr>
            <w:tcW w:type="dxa" w:w="4932"/>
          </w:tcPr>
          <w:p>
            <w:pPr>
              <w:spacing w:after="40" w:before="40"/>
            </w:pPr>
            <w:r/>
            <w:r>
              <w:rPr>
                <w:rFonts w:ascii="Calibri" w:hAnsi="Calibri"/>
                <w:b w:val="0"/>
                <w:sz w:val="17"/>
              </w:rPr>
              <w:t>Fuera del alcance del proyecto. Se declara como limitación permanente y no como pendiente.</w:t>
            </w:r>
          </w:p>
        </w:tc>
      </w:tr>
    </w:tbl>
    <w:p>
      <w:pPr>
        <w:spacing w:before="320" w:after="120"/>
      </w:pPr>
      <w:r>
        <w:rPr>
          <w:rFonts w:ascii="Calibri" w:hAnsi="Calibri"/>
          <w:b/>
          <w:color w:val="064475"/>
          <w:sz w:val="26"/>
        </w:rPr>
        <w:t>8. FUENTES CONSULTADAS</w:t>
      </w:r>
    </w:p>
    <w:p>
      <w:pPr>
        <w:pStyle w:val="ListBullet"/>
        <w:spacing w:after="100"/>
        <w:jc w:val="both"/>
      </w:pPr>
      <w:r>
        <w:rPr>
          <w:rFonts w:ascii="Calibri" w:hAnsi="Calibri"/>
          <w:sz w:val="18"/>
        </w:rPr>
        <w:t>Superintendencia de Banca, Seguros y AFP del Perú — Resolución S.B.S. N.º 504-2021, Reglamento para la Gestión de la Seguridad de la Información y la Ciberseguridad. Vigente desde el 1 de julio de 2021. https://intranet2.sbs.gob.pe/dv_int_cn/2046/v2.0/Adjuntos/504-2021.R.pdf</w:t>
      </w:r>
    </w:p>
    <w:p>
      <w:pPr>
        <w:pStyle w:val="ListBullet"/>
        <w:spacing w:after="100"/>
        <w:jc w:val="both"/>
      </w:pPr>
      <w:r>
        <w:rPr>
          <w:rFonts w:ascii="Calibri" w:hAnsi="Calibri"/>
          <w:sz w:val="18"/>
        </w:rPr>
        <w:t>Superintendencia de Banca, Seguros y AFP del Perú — Resolución S.B.S. N.º 877-2020, Reglamento para la Gestión de la Continuidad del Negocio. Vigente desde el 1 de enero de 2022; sustituye a la Circular G-139-2009. https://intranet2.sbs.gob.pe/dv_int_cn/1894/v1.0/Adjuntos/877-2020.R.pdf</w:t>
      </w:r>
    </w:p>
    <w:p>
      <w:pPr>
        <w:pStyle w:val="ListBullet"/>
        <w:spacing w:after="100"/>
        <w:jc w:val="both"/>
      </w:pPr>
      <w:r>
        <w:rPr>
          <w:rFonts w:ascii="Calibri" w:hAnsi="Calibri"/>
          <w:sz w:val="18"/>
        </w:rPr>
        <w:t>Ley N.º 29733, Ley de Protección de Datos Personales del Perú, y su Reglamento aprobado por Decreto Supremo N.º 003-2013-JUS.</w:t>
      </w:r>
    </w:p>
    <w:p>
      <w:pPr>
        <w:pStyle w:val="ListBullet"/>
        <w:spacing w:after="100"/>
        <w:jc w:val="both"/>
      </w:pPr>
      <w:r>
        <w:rPr>
          <w:rFonts w:ascii="Calibri" w:hAnsi="Calibri"/>
          <w:sz w:val="18"/>
        </w:rPr>
        <w:t>Signicat — The Battle to Onboard 2022. Informe sobre abandono en el alta digital de servicios financieros en Europa. https://www.signicat.com/the-battle-to-onboard-2022</w:t>
      </w:r>
    </w:p>
    <w:p>
      <w:pPr>
        <w:pStyle w:val="ListBullet"/>
        <w:spacing w:after="100"/>
        <w:jc w:val="both"/>
      </w:pPr>
      <w:r>
        <w:rPr>
          <w:rFonts w:ascii="Calibri" w:hAnsi="Calibri"/>
          <w:sz w:val="18"/>
        </w:rPr>
        <w:t>Google, Deloitte y 55 — Milliseconds Make Millions (2020). Estudio sobre 37 marcas y más de 30 millones de sesiones móviles: una mejora de 0.1 s en el tiempo de carga eleva la conversión un 8.4 % en comercio y un 10.1 % en viajes. https://web.dev/case-studies/milliseconds-make-millions</w:t>
      </w:r>
    </w:p>
    <w:p>
      <w:pPr>
        <w:pStyle w:val="ListBullet"/>
        <w:spacing w:after="100"/>
        <w:jc w:val="both"/>
      </w:pPr>
      <w:r>
        <w:rPr>
          <w:rFonts w:ascii="Calibri" w:hAnsi="Calibri"/>
          <w:sz w:val="18"/>
        </w:rPr>
        <w:t>Google — Defining the Core Web Vitals metrics thresholds. Metodología de definición de los umbrales de LCP, INP y CLS y justificación del percentil 75. https://web.dev/articles/defining-core-web-vitals-thresholds</w:t>
      </w:r>
    </w:p>
    <w:p>
      <w:pPr>
        <w:pStyle w:val="ListBullet"/>
        <w:spacing w:after="100"/>
        <w:jc w:val="both"/>
      </w:pPr>
      <w:r>
        <w:rPr>
          <w:rFonts w:ascii="Calibri" w:hAnsi="Calibri"/>
          <w:sz w:val="18"/>
        </w:rPr>
        <w:t>National Institute of Standards and Technology — Ongoing Face Recognition Vendor Test (FRVT) Part 1: Verification, NISTIR 8331. https://nvlpubs.nist.gov/nistpubs/ir/2020/NIST.IR.8331.pdf</w:t>
      </w:r>
    </w:p>
    <w:p>
      <w:pPr>
        <w:pStyle w:val="ListBullet"/>
        <w:spacing w:after="100"/>
        <w:jc w:val="both"/>
      </w:pPr>
      <w:r>
        <w:rPr>
          <w:rFonts w:ascii="Calibri" w:hAnsi="Calibri"/>
          <w:sz w:val="18"/>
        </w:rPr>
        <w:t>ISO/IEC 30107-3 — Information technology, Biometric presentation attack detection, Part 3: Testing and reporting. Define las métricas APCER y BPCER.</w:t>
      </w:r>
    </w:p>
    <w:p>
      <w:pPr>
        <w:pStyle w:val="ListBullet"/>
        <w:spacing w:after="100"/>
        <w:jc w:val="both"/>
      </w:pPr>
      <w:r>
        <w:rPr>
          <w:rFonts w:ascii="Calibri" w:hAnsi="Calibri"/>
          <w:sz w:val="18"/>
        </w:rPr>
        <w:t>W3C — Web Content Accessibility Guidelines (WCAG) 2.1, nivel AA. https://www.w3.org/TR/WCAG21/</w:t>
      </w:r>
    </w:p>
    <w:p>
      <w:pPr>
        <w:pStyle w:val="ListBullet"/>
        <w:spacing w:after="100"/>
        <w:jc w:val="both"/>
      </w:pPr>
      <w:r>
        <w:rPr>
          <w:rFonts w:ascii="Calibri" w:hAnsi="Calibri"/>
          <w:sz w:val="18"/>
        </w:rPr>
        <w:t>Beyer, B., Jones, C., Petoff, J. y Murphy, N. R. — Site Reliability Engineering: How Google Runs Production Systems. O'Reilly, 2016. Capítulos sobre objetivos de nivel de servicio y presupuesto de error.</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