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64475"/>
          <w:sz w:val="34"/>
        </w:rPr>
        <w:t>REPORTE TÉCNICO DE OPTIMIZACIÓN DEL RENDIMIENTO WEB (WPO)</w:t>
      </w:r>
    </w:p>
    <w:p>
      <w:pPr>
        <w:spacing w:after="40"/>
        <w:jc w:val="center"/>
      </w:pPr>
      <w:r>
        <w:rPr>
          <w:rFonts w:ascii="Calibri" w:hAnsi="Calibri"/>
          <w:b w:val="0"/>
          <w:sz w:val="24"/>
        </w:rPr>
        <w:t>Proyecto Ayni Bank — Plataforma de Banca 100 % Digital</w:t>
      </w:r>
    </w:p>
    <w:p>
      <w:pPr>
        <w:spacing w:after="280"/>
        <w:jc w:val="center"/>
      </w:pPr>
      <w:r>
        <w:rPr>
          <w:rFonts w:ascii="Calibri" w:hAnsi="Calibri"/>
          <w:b w:val="0"/>
          <w:color w:val="4A4A4A"/>
          <w:sz w:val="18"/>
        </w:rPr>
        <w:t>Versión 1.0 · 4 de septiembre de 2026 · Elaborado por Joaquín Alfonso Loa Denegri (Scrum Master)</w:t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1. RESUMEN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419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81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181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Después</w:t>
            </w:r>
          </w:p>
        </w:tc>
        <w:tc>
          <w:tcPr>
            <w:tcW w:type="dxa" w:w="306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Variación</w:t>
            </w:r>
          </w:p>
        </w:tc>
        <w:tc>
          <w:tcPr>
            <w:tcW w:type="dxa" w:w="170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Umbral</w:t>
            </w:r>
          </w:p>
        </w:tc>
        <w:tc>
          <w:tcPr>
            <w:tcW w:type="dxa" w:w="255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Puntuación de rendimiento</w:t>
            </w:r>
            <w:r>
              <w:rPr>
                <w:rFonts w:ascii="Calibri" w:hAnsi="Calibri"/>
                <w:b w:val="0"/>
                <w:sz w:val="18"/>
              </w:rPr>
              <w:t xml:space="preserve"> (Lighthouse, móvil)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+5 puntos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≥ 90</w:t>
            </w:r>
          </w:p>
        </w:tc>
        <w:tc>
          <w:tcPr>
            <w:tcW w:type="dxa" w:w="2551"/>
            <w:shd w:val="clear" w:color="auto" w:fill="D9EAD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Sí</w:t>
            </w:r>
            <w:r>
              <w:rPr>
                <w:rFonts w:ascii="Calibri" w:hAnsi="Calibri"/>
                <w:b w:val="0"/>
                <w:sz w:val="18"/>
              </w:rPr>
              <w:t xml:space="preserve"> (no cumplía)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Peso total transferido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418.0 KB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318.8 KB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−99.2 KB · −23.7 %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Sin umbral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comprometido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Métrica de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diagnóstico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LCP · Largest Contentful Paint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3 467 ms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2 984 ms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−483 ms · −13.9 %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≤ 2 500 ms</w:t>
            </w:r>
          </w:p>
        </w:tc>
        <w:tc>
          <w:tcPr>
            <w:tcW w:type="dxa" w:w="2551"/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No.</w:t>
            </w:r>
            <w:r>
              <w:rPr>
                <w:rFonts w:ascii="Calibri" w:hAnsi="Calibri"/>
                <w:b w:val="0"/>
                <w:sz w:val="18"/>
              </w:rPr>
              <w:t xml:space="preserve"> Mejora pero sigue fuera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Speed Index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3 904 ms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1 812 ms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−2 092 ms · −53.6 %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≤ 3 400 ms</w:t>
            </w:r>
          </w:p>
        </w:tc>
        <w:tc>
          <w:tcPr>
            <w:tcW w:type="dxa" w:w="2551"/>
            <w:shd w:val="clear" w:color="auto" w:fill="D9EAD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Sí</w:t>
            </w:r>
            <w:r>
              <w:rPr>
                <w:rFonts w:ascii="Calibri" w:hAnsi="Calibri"/>
                <w:b w:val="0"/>
                <w:sz w:val="18"/>
              </w:rPr>
              <w:t xml:space="preserve"> (no cumplía)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FCP · First Contentful Paint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1 210 ms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1 202 ms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−8 ms · sin cambio real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≤ 1 800 ms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Sí (ya cumplía)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TBT · Total Blocking Time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ms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ms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+17 ms · ruido de medición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≤ 200 ms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Sí (ya cumplía)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CLS · Cumulative Layout Shift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0.000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0.000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Sin cambio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≤ 0.1</w:t>
            </w:r>
          </w:p>
        </w:tc>
        <w:tc>
          <w:tcPr>
            <w:tcW w:type="dxa" w:w="2551"/>
            <w:shd w:val="clear" w:color="auto" w:fill="D9EAD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Sí · </w:t>
            </w:r>
            <w:r>
              <w:rPr>
                <w:rFonts w:ascii="Calibri" w:hAnsi="Calibri"/>
                <w:b/>
                <w:sz w:val="18"/>
              </w:rPr>
              <w:t>no se degradó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Accesibilidad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Sin cambio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≥ 95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Buenas prácticas · SEO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· 100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· 100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Sin cambio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Sin umbral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sz w:val="18"/>
              </w:rPr>
              <w:t>comprometido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 reporta como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verificación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19"/>
        </w:rPr>
        <w:t>Sobre las filas sin umbral.</w:t>
      </w:r>
      <w:r>
        <w:rPr>
          <w:rFonts w:ascii="Calibri" w:hAnsi="Calibri"/>
          <w:b w:val="0"/>
          <w:sz w:val="19"/>
        </w:rPr>
        <w:t xml:space="preserve"> Solo llevan umbral y veredicto las métricas que tienen un compromiso declarado en el documento de niveles de servicio del proyecto. El peso total y las puntuaciones de buenas prácticas y SEO no lo tienen: se miden porque explican el resultado y porque sirven para detectar una regresión, pero </w:t>
      </w:r>
      <w:r>
        <w:rPr>
          <w:rFonts w:ascii="Calibri" w:hAnsi="Calibri"/>
          <w:b/>
          <w:sz w:val="19"/>
        </w:rPr>
        <w:t>inventarles un umbral después de conocer el número sería fijar la nota a la medida del examen</w:t>
      </w:r>
      <w:r>
        <w:rPr>
          <w:rFonts w:ascii="Calibri" w:hAnsi="Calibri"/>
          <w:b w:val="0"/>
          <w:sz w:val="19"/>
        </w:rPr>
        <w:t>. Se reportan como diagnóstico y como verificación, no como cumplimiento.</w:t>
      </w:r>
    </w:p>
    <w:p>
      <w:pPr>
        <w:spacing w:after="160"/>
        <w:jc w:val="both"/>
      </w:pPr>
      <w:r>
        <w:rPr>
          <w:rFonts w:ascii="Calibri" w:hAnsi="Calibri"/>
          <w:b/>
          <w:sz w:val="20"/>
        </w:rPr>
        <w:t>Lo que este cuadro dice y lo que no.</w:t>
      </w:r>
      <w:r>
        <w:rPr>
          <w:rFonts w:ascii="Calibri" w:hAnsi="Calibri"/>
          <w:b w:val="0"/>
          <w:sz w:val="20"/>
        </w:rPr>
        <w:t xml:space="preserve"> La puntuación cruza el umbral de 90 y el peso baja casi una cuarta parte, pero </w:t>
      </w:r>
      <w:r>
        <w:rPr>
          <w:rFonts w:ascii="Calibri" w:hAnsi="Calibri"/>
          <w:b/>
          <w:sz w:val="20"/>
        </w:rPr>
        <w:t>el LCP sigue por encima de los 2.5 s que exige Core Web Vitals</w:t>
      </w:r>
      <w:r>
        <w:rPr>
          <w:rFonts w:ascii="Calibri" w:hAnsi="Calibri"/>
          <w:b w:val="0"/>
          <w:sz w:val="20"/>
        </w:rPr>
        <w:t>. Se consigna así, sin redondear a favor: el objetivo de `KPI-06` no se cumple todavía y la sección 6 explica por qué y qué haría falta.</w:t>
      </w:r>
    </w:p>
    <w:p>
      <w:pPr>
        <w:spacing w:before="220" w:after="120"/>
      </w:pPr>
      <w:r>
        <w:rPr>
          <w:rFonts w:ascii="Calibri" w:hAnsi="Calibri"/>
          <w:b/>
          <w:color w:val="064475"/>
          <w:sz w:val="22"/>
        </w:rPr>
        <w:t>1.1 De dónde salen los 99.2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1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 de recurso</w:t>
            </w:r>
          </w:p>
        </w:tc>
        <w:tc>
          <w:tcPr>
            <w:tcW w:type="dxa" w:w="192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192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Después</w:t>
            </w:r>
          </w:p>
        </w:tc>
        <w:tc>
          <w:tcPr>
            <w:tcW w:type="dxa" w:w="226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Variación</w:t>
            </w:r>
          </w:p>
        </w:tc>
        <w:tc>
          <w:tcPr>
            <w:tcW w:type="dxa" w:w="391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Causa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Otros (icono de la aplicación y documento)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107.0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43.9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−63.1 KB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Estrategia E1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Imágenes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128.5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92.5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−36.0 KB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Estrategia E2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JavaScript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119.8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119.7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−0.1 KB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E3 no tuvo efecto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Hojas de estilo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9.4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9.4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Sin cambio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Tipografías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47.6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47.6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 se intervino</w:t>
            </w:r>
          </w:p>
        </w:tc>
      </w:tr>
      <w:tr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418.0 KB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318.8 KB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−99.2 KB</w:t>
            </w:r>
          </w:p>
        </w:tc>
        <w:tc>
          <w:tcPr>
            <w:tcW w:type="dxa" w:w="3912"/>
          </w:tcPr>
          <w:p>
            <w:pPr>
              <w:spacing w:after="40" w:before="40"/>
            </w:pPr>
            <w:r/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2. METODOLOGÍA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123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Herramienta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Google Lighthouse 12, ejecutado desde la línea de comandos sobre Chrome en modo headless.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Página auditada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Landing pública, `http://localhost:3500/`. Es la página de entrada y la única que un visitante ve sin autenticarse.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Artefacto medido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Build de producción</w:t>
            </w:r>
            <w:r>
              <w:rPr>
                <w:rFonts w:ascii="Calibri" w:hAnsi="Calibri"/>
                <w:b w:val="0"/>
                <w:sz w:val="19"/>
              </w:rPr>
              <w:t>, no servidor de desarrollo. La imagen se construye con `npm run build` y arranca con `node server.js` en modo `standalone`: es exactamente el mismo contenedor que se despliega en Oracle Cloud.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Perfil de simulación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Móvil, el preajuste por omisión de Lighthouse: limitación de red equivalente a 4G lento y de CPU a la cuarta parte. Es el escenario adverso, no el favorable.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Repeticiones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Una corrida antes; </w:t>
            </w:r>
            <w:r>
              <w:rPr>
                <w:rFonts w:ascii="Calibri" w:hAnsi="Calibri"/>
                <w:b/>
                <w:sz w:val="19"/>
              </w:rPr>
              <w:t>dos corridas después</w:t>
            </w:r>
            <w:r>
              <w:rPr>
                <w:rFonts w:ascii="Calibri" w:hAnsi="Calibri"/>
                <w:b w:val="0"/>
                <w:sz w:val="19"/>
              </w:rPr>
              <w:t>, de las que se reporta la mediana. La dispersión observada se declara en la sección 5.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Verificación de no regresión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Captura final de la propia auditoría posterior, para comprobar que la página sigue renderizando correctamente tras los cambios.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Datos de laboratorio, no de campo.</w:t>
      </w:r>
      <w:r>
        <w:rPr>
          <w:rFonts w:ascii="Calibri" w:hAnsi="Calibri"/>
          <w:b w:val="0"/>
          <w:sz w:val="20"/>
        </w:rPr>
        <w:t xml:space="preserve"> Toda cifra de este informe procede de una simulación controlada. Google evalúa Core Web Vitals sobre </w:t>
      </w:r>
      <w:r>
        <w:rPr>
          <w:rFonts w:ascii="Calibri" w:hAnsi="Calibri"/>
          <w:b/>
          <w:sz w:val="20"/>
        </w:rPr>
        <w:t>datos de campo</w:t>
      </w:r>
      <w:r>
        <w:rPr>
          <w:rFonts w:ascii="Calibri" w:hAnsi="Calibri"/>
          <w:b w:val="0"/>
          <w:sz w:val="20"/>
        </w:rPr>
        <w:t xml:space="preserve"> —percentil 75 de sesiones reales, ventana móvil de 28 días—, y esos datos exigen tráfico real sobre un entorno desplegado públicamente. El entorno de producción se provisiona en `HU-20 · AYNI-31` durante el Sprint 2, y la instrumentación con la biblioteca `web-vitals` ya está definida en el plan de monitoreo. </w:t>
      </w:r>
      <w:r>
        <w:rPr>
          <w:rFonts w:ascii="Calibri" w:hAnsi="Calibri"/>
          <w:b/>
          <w:sz w:val="20"/>
        </w:rPr>
        <w:t>Mientras tanto, ninguna afirmación de este documento debe leerse como medición de usuarios reales.</w:t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3. DIAGNÓSTICO PREVIO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>La auditoría inicial descartó de entrada las sospechas habituales. El bloqueo del hilo principal era despreciable —18 ms de TBT frente a un umbral de 200—, la estabilidad visual era perfecta —CLS de 0.000— y no había JavaScript sin usar. El problema estaba en otro sitio, y el desglose del LCP lo señaló sin ambigüedad: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62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 del LCP</w:t>
            </w:r>
          </w:p>
        </w:tc>
        <w:tc>
          <w:tcPr>
            <w:tcW w:type="dxa" w:w="170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70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Proporción</w:t>
            </w:r>
          </w:p>
        </w:tc>
        <w:tc>
          <w:tcPr>
            <w:tcW w:type="dxa" w:w="8107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TTFB · respuesta del servidor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496 ms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14 %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Normal para un servidor local.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Load Delay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ms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0 %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El recurso no espera para empezar a cargarse.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Load Time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ms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0 %</w:t>
            </w:r>
          </w:p>
        </w:tc>
        <w:tc>
          <w:tcPr>
            <w:tcW w:type="dxa" w:w="810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El elemento LCP es texto, no una imagen.</w:t>
            </w:r>
            <w:r>
              <w:rPr>
                <w:rFonts w:ascii="Calibri" w:hAnsi="Calibri"/>
                <w:b w:val="0"/>
                <w:sz w:val="18"/>
              </w:rPr>
              <w:t xml:space="preserve"> No hay descarga que optimizar.</w:t>
            </w:r>
          </w:p>
        </w:tc>
      </w:tr>
      <w:tr>
        <w:tc>
          <w:tcPr>
            <w:tcW w:type="dxa" w:w="3628"/>
            <w:shd w:val="clear" w:color="auto" w:fill="FCE5C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Render Delay</w:t>
            </w:r>
          </w:p>
        </w:tc>
        <w:tc>
          <w:tcPr>
            <w:tcW w:type="dxa" w:w="1701"/>
            <w:shd w:val="clear" w:color="auto" w:fill="FCE5CD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2 971 ms</w:t>
            </w:r>
          </w:p>
        </w:tc>
        <w:tc>
          <w:tcPr>
            <w:tcW w:type="dxa" w:w="1701"/>
            <w:shd w:val="clear" w:color="auto" w:fill="FCE5CD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86 %</w:t>
            </w:r>
          </w:p>
        </w:tc>
        <w:tc>
          <w:tcPr>
            <w:tcW w:type="dxa" w:w="8107"/>
            <w:shd w:val="clear" w:color="auto" w:fill="FCE5C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Aquí está todo el problema: el navegador tarda casi tres segundos en poder pintar un párrafo que ya tiene.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 xml:space="preserve">El elemento más grande de la pantalla resultó ser el párrafo de la propuesta de valor —`section.relative &gt; div.relative &gt; div.flex &gt; p.max-w-[520px]`—, no la imagen del héroe, que ya estaba correctamente marcada con `priority`. Que un elemento </w:t>
      </w:r>
      <w:r>
        <w:rPr>
          <w:rFonts w:ascii="Calibri" w:hAnsi="Calibri"/>
          <w:b/>
          <w:sz w:val="20"/>
        </w:rPr>
        <w:t>de texto</w:t>
      </w:r>
      <w:r>
        <w:rPr>
          <w:rFonts w:ascii="Calibri" w:hAnsi="Calibri"/>
          <w:b w:val="0"/>
          <w:sz w:val="20"/>
        </w:rPr>
        <w:t xml:space="preserve"> tarde tres segundos en pintarse solo tiene una explicación cuando el hilo principal está libre: </w:t>
      </w:r>
      <w:r>
        <w:rPr>
          <w:rFonts w:ascii="Calibri" w:hAnsi="Calibri"/>
          <w:b/>
          <w:sz w:val="20"/>
        </w:rPr>
        <w:t>contención de ancho de banda</w:t>
      </w:r>
      <w:r>
        <w:rPr>
          <w:rFonts w:ascii="Calibri" w:hAnsi="Calibri"/>
          <w:b w:val="0"/>
          <w:sz w:val="20"/>
        </w:rPr>
        <w:t>. Con la red limitada a 4G lento, los 418 KB de la página compiten entre sí, y el CSS que bloquea el renderizado no puede llegar antes porque comparte el enlace con todo lo demás.</w:t>
      </w:r>
    </w:p>
    <w:p>
      <w:pPr>
        <w:spacing w:after="160"/>
        <w:jc w:val="both"/>
      </w:pPr>
      <w:r>
        <w:rPr>
          <w:rFonts w:ascii="Calibri" w:hAnsi="Calibri"/>
          <w:b/>
          <w:sz w:val="20"/>
        </w:rPr>
        <w:t>De ahí la estrategia:</w:t>
      </w:r>
      <w:r>
        <w:rPr>
          <w:rFonts w:ascii="Calibri" w:hAnsi="Calibri"/>
          <w:b w:val="0"/>
          <w:sz w:val="20"/>
        </w:rPr>
        <w:t xml:space="preserve"> el camino más corto para pintar antes no era tocar el texto ni el CSS, sino </w:t>
      </w:r>
      <w:r>
        <w:rPr>
          <w:rFonts w:ascii="Calibri" w:hAnsi="Calibri"/>
          <w:b/>
          <w:sz w:val="20"/>
        </w:rPr>
        <w:t>quitar bytes de la competición</w:t>
      </w:r>
      <w:r>
        <w:rPr>
          <w:rFonts w:ascii="Calibri" w:hAnsi="Calibri"/>
          <w:b w:val="0"/>
          <w:sz w:val="20"/>
        </w:rPr>
        <w:t>. Y el listado de recursos por peso apuntaba a un culpable difícil de defender.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4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1814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9921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402"/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`/icon.png`</w:t>
            </w:r>
          </w:p>
        </w:tc>
        <w:tc>
          <w:tcPr>
            <w:tcW w:type="dxa" w:w="1814"/>
            <w:shd w:val="clear" w:color="auto" w:fill="F4CCCC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80.6 KB</w:t>
            </w:r>
          </w:p>
        </w:tc>
        <w:tc>
          <w:tcPr>
            <w:tcW w:type="dxa" w:w="99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El recurso más pesado de toda la página, y es el icono de la pestaña.</w:t>
            </w:r>
            <w:r>
              <w:rPr>
                <w:rFonts w:ascii="Calibri" w:hAnsi="Calibri"/>
                <w:b w:val="0"/>
                <w:sz w:val="18"/>
              </w:rPr>
              <w:t xml:space="preserve"> Un PNG de 512×512 que el navegador muestra a 32×32. Representaba el 19 % del peso total.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`chunks/4bd1b696…js`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53.5 KB</w:t>
            </w:r>
          </w:p>
        </w:tc>
        <w:tc>
          <w:tcPr>
            <w:tcW w:type="dxa" w:w="99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Núcleo del framework. No es alcanzable sin cambiar de framework.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Tipografía `woff2`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47.6 KB</w:t>
            </w:r>
          </w:p>
        </w:tc>
        <w:tc>
          <w:tcPr>
            <w:tcW w:type="dxa" w:w="99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Ya subconjuntada a latín por `next/font`. Margen escaso.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Imagen del héroe (WebP)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46.5 KB</w:t>
            </w:r>
          </w:p>
        </w:tc>
        <w:tc>
          <w:tcPr>
            <w:tcW w:type="dxa" w:w="99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Ya optimizada por `next/image`, pero solo hasta WebP.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`chunks/255…js`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45.8 KB</w:t>
            </w:r>
          </w:p>
        </w:tc>
        <w:tc>
          <w:tcPr>
            <w:tcW w:type="dxa" w:w="992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Contiene 11.5 KB de polyfills para navegadores antiguos.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4. ESTRATEGIAS APLICADAS</w:t>
      </w:r>
    </w:p>
    <w:p>
      <w:pPr>
        <w:spacing w:before="220" w:after="120"/>
      </w:pPr>
      <w:r>
        <w:rPr>
          <w:rFonts w:ascii="Calibri" w:hAnsi="Calibri"/>
          <w:b/>
          <w:color w:val="064475"/>
          <w:sz w:val="22"/>
        </w:rPr>
        <w:t>E1 · Redimensionar el icono de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del informe</w:t>
            </w:r>
          </w:p>
        </w:tc>
        <w:tc>
          <w:tcPr>
            <w:tcW w:type="dxa" w:w="123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Estrategia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Optimización de assets: reducir `src/app/icon.png` de 512×512 a 180×180 píxeles, con recompresión sin pérdida.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Justificación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180 píxeles es el tamaño mayor en que el icono llega a usarse —`apple-touch-icon`, al añadir el sitio a la pantalla de inicio—; el favicon se dibuja a 32. Mantener 512×512 era transferir en cada visita píxeles que ningún dispositivo llega a mostrar. Se evaluó además reducir la paleta a 64 colores: ahorraba 0.6 KB adicionales y arriesgaba bandas visibles en los degradados del logotipo, de modo que </w:t>
            </w:r>
            <w:r>
              <w:rPr>
                <w:rFonts w:ascii="Calibri" w:hAnsi="Calibri"/>
                <w:b/>
                <w:sz w:val="18"/>
              </w:rPr>
              <w:t>se descartó por mala relación entre beneficio y riesgo</w:t>
            </w:r>
            <w:r>
              <w:rPr>
                <w:rFonts w:ascii="Calibri" w:hAnsi="Calibri"/>
                <w:b w:val="0"/>
                <w:sz w:val="18"/>
              </w:rPr>
              <w:t>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Efecto esperado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Retirar unos 63 KB de la competición por el ancho de banda, con impacto directo sobre el render delay del LCP y sobre el Speed Index.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Herramienta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Pillow (Python), remuestreo Lanczos y `optimize=True`.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Impacto conseguido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80.6 KB → 17.5 KB en la red. −63.1 KB, un 78 % menos.</w:t>
            </w:r>
            <w:r>
              <w:rPr>
                <w:rFonts w:ascii="Calibri" w:hAnsi="Calibri"/>
                <w:b w:val="0"/>
                <w:sz w:val="18"/>
              </w:rPr>
              <w:t xml:space="preserve"> Es la contribución individual mayor de todo el trabajo.</w:t>
            </w:r>
          </w:p>
        </w:tc>
      </w:tr>
    </w:tbl>
    <w:p>
      <w:pPr>
        <w:spacing w:after="160"/>
        <w:jc w:val="both"/>
      </w:pPr>
    </w:p>
    <w:p>
      <w:pPr>
        <w:spacing w:before="220" w:after="120"/>
      </w:pPr>
      <w:r>
        <w:rPr>
          <w:rFonts w:ascii="Calibri" w:hAnsi="Calibri"/>
          <w:b/>
          <w:color w:val="064475"/>
          <w:sz w:val="22"/>
        </w:rPr>
        <w:t>E2 · Negociar AVIF antes que WebP en las imágenes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del informe</w:t>
            </w:r>
          </w:p>
        </w:tc>
        <w:tc>
          <w:tcPr>
            <w:tcW w:type="dxa" w:w="123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Estrategia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Optimización de assets: declarar `formats: ["image/avif", "image/webp"]` en la configuración de Next.js, de modo que el optimizador ofrezca AVIF a los navegadores que lo admitan.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Justificación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Por omisión Next.js solo negocia WebP. AVIF comprime entre un 20 y un 30 % mejor con calidad equivalente. El orden importa: se sirve el primer formato que la cabecera `Accept` del navegador acepte, y quien no soporte AVIF recibe WebP sin degradación alguna. El coste de transcodificación se paga una vez y queda en caché, no en cada petición.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Efecto esperado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Reducir el peso de las imágenes servidas por el optimizador entre un 20 y un 30 %.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Herramienta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Optimizador de imágenes propio de Next.js 15.5 (`next/image`).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Impacto conseguido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Imágenes: 128.5 KB → 92.5 KB. −36.0 KB, un 28 % menos.</w:t>
            </w:r>
            <w:r>
              <w:rPr>
                <w:rFonts w:ascii="Calibri" w:hAnsi="Calibri"/>
                <w:b w:val="0"/>
                <w:sz w:val="18"/>
              </w:rPr>
              <w:t xml:space="preserve"> Por recurso: héroe 46.5 → 28.2 KB (−39 %); 12.5 → 8.2 KB (−34 %); 11.8 → 5.8 KB (−51 %). El resultado cae dentro del rango previsto.</w:t>
            </w:r>
          </w:p>
        </w:tc>
      </w:tr>
    </w:tbl>
    <w:p>
      <w:pPr>
        <w:spacing w:after="160"/>
        <w:jc w:val="both"/>
      </w:pPr>
    </w:p>
    <w:p>
      <w:pPr>
        <w:spacing w:before="220" w:after="120"/>
      </w:pPr>
      <w:r>
        <w:rPr>
          <w:rFonts w:ascii="Calibri" w:hAnsi="Calibri"/>
          <w:b/>
          <w:color w:val="064475"/>
          <w:sz w:val="22"/>
        </w:rPr>
        <w:t>E3 · Declarar una línea base de navegadores modernos — **sin efecto**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del informe</w:t>
            </w:r>
          </w:p>
        </w:tc>
        <w:tc>
          <w:tcPr>
            <w:tcW w:type="dxa" w:w="123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Estrategia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Añadir un campo `browserslist` a `package.json` con `&gt;0.5 %, last 2 versions, not dead, not op_mini all`, con la intención de que el compilador dejara de emitir polyfills para navegadores que el proyecto no soporta.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Justificación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Lighthouse detectaba 11.5 KB de «JavaScript heredado» en el paquete `chunks/255…js`: reimplementaciones de `Array.prototype.at`, `flat`, `flatMap`, `Object.fromEntries`, `Object.hasOwn` y `String.prototype.trimEnd`, funciones que todo navegador vigente trae de serie desde hace años.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Efecto esperado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Eliminar los 11.5 KB de polyfills y su coste de análisis sintáctico.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Herramienta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`browserslist`, leído por el compilador SWC de Next.js y por Lightning CSS.</w:t>
            </w:r>
          </w:p>
        </w:tc>
      </w:tr>
      <w:tr>
        <w:tc>
          <w:tcPr>
            <w:tcW w:type="dxa" w:w="2835"/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Impacto conseguido</w:t>
            </w:r>
          </w:p>
        </w:tc>
        <w:tc>
          <w:tcPr>
            <w:tcW w:type="dxa" w:w="12302"/>
            <w:shd w:val="clear" w:color="auto" w:fill="F4CCCC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Ninguno. JavaScript: 119.8 → 119.7 KB; CSS: 9.4 → 9.4 KB; el ahorro estimado sigue siendo de 11.5 KB.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Por qué falló, y cómo se comprobó que falló y no que no se aplicó.</w:t>
      </w:r>
      <w:r>
        <w:rPr>
          <w:rFonts w:ascii="Calibri" w:hAnsi="Calibri"/>
          <w:b w:val="0"/>
          <w:sz w:val="20"/>
        </w:rPr>
        <w:t xml:space="preserve"> El paquete </w:t>
      </w:r>
      <w:r>
        <w:rPr>
          <w:rFonts w:ascii="Calibri" w:hAnsi="Calibri"/>
          <w:b/>
          <w:sz w:val="20"/>
        </w:rPr>
        <w:t>sí se reconstruyó</w:t>
      </w:r>
      <w:r>
        <w:rPr>
          <w:rFonts w:ascii="Calibri" w:hAnsi="Calibri"/>
          <w:b w:val="0"/>
          <w:sz w:val="20"/>
        </w:rPr>
        <w:t xml:space="preserve">: su huella cambió de `255-c5a697ddbf82d774.js` a `255-1362576289794961.js`. Sin embargo la lista de polyfills detectados es idéntica, función por función, antes y después. La conclusión es que </w:t>
      </w:r>
      <w:r>
        <w:rPr>
          <w:rFonts w:ascii="Calibri" w:hAnsi="Calibri"/>
          <w:b/>
          <w:sz w:val="20"/>
        </w:rPr>
        <w:t>Next.js inyecta su propio conjunto de polyfills correspondiente a la línea base de navegadores que el framework declara soportar, y no lo deriva del campo `browserslist` de la aplicación.</w:t>
      </w:r>
      <w:r>
        <w:rPr>
          <w:rFonts w:ascii="Calibri" w:hAnsi="Calibri"/>
          <w:b w:val="0"/>
          <w:sz w:val="20"/>
        </w:rPr>
        <w:t xml:space="preserve"> Retirarlos exigiría intervenir la configuración interna del compilador, lo que queda fuera del alcance de esta iteración y con un riesgo de rotura desproporcionado para 11.5 KB.</w:t>
      </w:r>
    </w:p>
    <w:p>
      <w:pPr>
        <w:spacing w:after="160"/>
        <w:jc w:val="both"/>
      </w:pPr>
      <w:r>
        <w:rPr>
          <w:rFonts w:ascii="Calibri" w:hAnsi="Calibri"/>
          <w:b/>
          <w:sz w:val="20"/>
        </w:rPr>
        <w:t>La declaración se conserva en el repositorio.</w:t>
      </w:r>
      <w:r>
        <w:rPr>
          <w:rFonts w:ascii="Calibri" w:hAnsi="Calibri"/>
          <w:b w:val="0"/>
          <w:sz w:val="20"/>
        </w:rPr>
        <w:t xml:space="preserve"> No aporta el ahorro buscado, pero documenta de forma explícita qué navegadores soporta el producto, que es información que ningún otro artefacto recogía.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5. OPTIMIZACIÓN IDENTIFICADA Y NO APLICADA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 xml:space="preserve">Lighthouse señaló además 13.4 KB recuperables por </w:t>
      </w:r>
      <w:r>
        <w:rPr>
          <w:rFonts w:ascii="Calibri" w:hAnsi="Calibri"/>
          <w:b/>
          <w:sz w:val="20"/>
        </w:rPr>
        <w:t>carga diferida de imágenes fuera del área visible</w:t>
      </w:r>
      <w:r>
        <w:rPr>
          <w:rFonts w:ascii="Calibri" w:hAnsi="Calibri"/>
          <w:b w:val="0"/>
          <w:sz w:val="20"/>
        </w:rPr>
        <w:t xml:space="preserve">. Se decidió </w:t>
      </w:r>
      <w:r>
        <w:rPr>
          <w:rFonts w:ascii="Calibri" w:hAnsi="Calibri"/>
          <w:b/>
          <w:sz w:val="20"/>
        </w:rPr>
        <w:t>no aplicarla</w:t>
      </w:r>
      <w:r>
        <w:rPr>
          <w:rFonts w:ascii="Calibri" w:hAnsi="Calibri"/>
          <w:b w:val="0"/>
          <w:sz w:val="20"/>
        </w:rPr>
        <w:t>, y la razón forma parte del informe porque la decisión es tan relevante como los cambios hechos.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123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Qué se detectó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Dos imágenes de 9.2 y 7.6 KB que se descargan siempre pese a estar muy por debajo del pliegue: `landing-7ae19e5a05c5.webp` y `landing-4466df076e3e.webp`.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Por qué ocurre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No son elementos `&lt;img&gt;` sino fondos declarados con `background-image` en un atributo `style` en línea, dentro de `SeccionSeguridad` y `SeccionComparativa`. </w:t>
            </w:r>
            <w:r>
              <w:rPr>
                <w:rFonts w:ascii="Calibri" w:hAnsi="Calibri"/>
                <w:b/>
                <w:sz w:val="18"/>
              </w:rPr>
              <w:t>Al no pasar por `next/image`, tampoco se beneficiaron de la estrategia E2</w:t>
            </w:r>
            <w:r>
              <w:rPr>
                <w:rFonts w:ascii="Calibri" w:hAnsi="Calibri"/>
                <w:b w:val="0"/>
                <w:sz w:val="18"/>
              </w:rPr>
              <w:t>, y por eso siguen sirviéndose en WebP mientras el resto ya viaja en AVIF.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Por qué no se aplicó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La solución directa —`content-visibility: auto` sobre esas secciones— difiere el renderizado del bloque, pero si la altura reservada no coincide con la real </w:t>
            </w:r>
            <w:r>
              <w:rPr>
                <w:rFonts w:ascii="Calibri" w:hAnsi="Calibri"/>
                <w:b/>
                <w:sz w:val="18"/>
              </w:rPr>
              <w:t>introduce desplazamiento de contenido</w:t>
            </w:r>
            <w:r>
              <w:rPr>
                <w:rFonts w:ascii="Calibri" w:hAnsi="Calibri"/>
                <w:b w:val="0"/>
                <w:sz w:val="18"/>
              </w:rPr>
              <w:t>. El CLS actual es 0.000, un valor perfecto, y la estabilidad visual es un compromiso del acuerdo de nivel de servicio. Arriesgar un indicador que ya cumple para ganar 13 KB es un mal intercambio.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Qué se hará</w:t>
            </w:r>
          </w:p>
        </w:tc>
        <w:tc>
          <w:tcPr>
            <w:tcW w:type="dxa" w:w="123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Convertir ambos fondos a componentes `next/image` con `fill` y `loading="lazy"`. Así se difieren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 w:val="0"/>
                <w:sz w:val="18"/>
              </w:rPr>
              <w:t xml:space="preserve"> entran en la negociación AVIF, con lo que el ahorro sería mayor que los 13.4 KB estimados. Queda anotado como tarea de la próxima iteración.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6. LO QUE SIGUE SIN CUMPLIRSE</w:t>
      </w:r>
    </w:p>
    <w:p>
      <w:pPr>
        <w:spacing w:after="160"/>
        <w:jc w:val="both"/>
      </w:pPr>
      <w:r>
        <w:rPr>
          <w:rFonts w:ascii="Calibri" w:hAnsi="Calibri"/>
          <w:b/>
          <w:sz w:val="20"/>
        </w:rPr>
        <w:t>El LCP quedó en 2 984 ms y el umbral es 2 500 ms.</w:t>
      </w:r>
      <w:r>
        <w:rPr>
          <w:rFonts w:ascii="Calibri" w:hAnsi="Calibri"/>
          <w:b w:val="0"/>
          <w:sz w:val="20"/>
        </w:rPr>
        <w:t xml:space="preserve"> Mejoró 483 ms —casi un 14 %— pero no pasa, y el desglose explica por qué: el render delay bajó de 2 971 a 2 514 ms, es decir que </w:t>
      </w:r>
      <w:r>
        <w:rPr>
          <w:rFonts w:ascii="Calibri" w:hAnsi="Calibri"/>
          <w:b/>
          <w:sz w:val="20"/>
        </w:rPr>
        <w:t>sigue concentrando el 84 % del LCP</w:t>
      </w:r>
      <w:r>
        <w:rPr>
          <w:rFonts w:ascii="Calibri" w:hAnsi="Calibri"/>
          <w:b w:val="0"/>
          <w:sz w:val="20"/>
        </w:rPr>
        <w:t>. Retirar 99 KB alivió la contención de ancho de banda, pero no la eliminó: quedan 318 KB compitiendo por un enlace simulado de 4G lento.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>Las tres palancas que quedan, en orden de rendimiento esperado: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476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60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Ahorro estimado</w:t>
            </w:r>
          </w:p>
        </w:tc>
        <w:tc>
          <w:tcPr>
            <w:tcW w:type="dxa" w:w="340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436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Diferir las dos imágenes de fondo (sección 5)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13.4 KB y más, al entrar en AVIF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Bajo, si se hace con `next/image` en lugar de `content-visibility`</w:t>
            </w:r>
          </w:p>
        </w:tc>
        <w:tc>
          <w:tcPr>
            <w:tcW w:type="dxa" w:w="436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Es la siguiente por hacer.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Subconjuntar la tipografía a los glifos realmente usados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Hasta 25 KB de los 47.6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Medio: un glifo ausente se sustituye por otro visualmente distinto</w:t>
            </w:r>
          </w:p>
        </w:tc>
        <w:tc>
          <w:tcPr>
            <w:tcW w:type="dxa" w:w="436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`next/font` ya subconjunta a latín; afinar más exige fijar el repertorio de caracteres.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Insertar en línea el CSS crítico y diferir el resto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196 ms de bloqueo del renderizado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Alto: exige separar el CSS de la primera pantalla del resto y mantener esa separación</w:t>
            </w:r>
          </w:p>
        </w:tc>
        <w:tc>
          <w:tcPr>
            <w:tcW w:type="dxa" w:w="436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Ataca el render delay de forma directa, que es donde está el 84 % del problema.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/>
          <w:sz w:val="20"/>
        </w:rPr>
        <w:t>Una advertencia sobre el escenario de medición.</w:t>
      </w:r>
      <w:r>
        <w:rPr>
          <w:rFonts w:ascii="Calibri" w:hAnsi="Calibri"/>
          <w:b w:val="0"/>
          <w:sz w:val="20"/>
        </w:rPr>
        <w:t xml:space="preserve"> Estos números corresponden a un servidor local con la red simulada. Sobre el entorno de producción real —Oracle Cloud, con latencia física hasta el usuario peruano y sin red de distribución de contenidos— </w:t>
      </w:r>
      <w:r>
        <w:rPr>
          <w:rFonts w:ascii="Calibri" w:hAnsi="Calibri"/>
          <w:b/>
          <w:sz w:val="20"/>
        </w:rPr>
        <w:t>el TTFB será mayor que los 496 ms medidos aquí</w:t>
      </w:r>
      <w:r>
        <w:rPr>
          <w:rFonts w:ascii="Calibri" w:hAnsi="Calibri"/>
          <w:b w:val="0"/>
          <w:sz w:val="20"/>
        </w:rPr>
        <w:t>, y el LCP empeorará antes de mejorar. La incorporación de una CDN para los recursos estáticos, que hoy no existe, pasará entonces de mejora deseable a necesidad.</w:t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7. VERIFICACIÓN DE NO REGRESIÓN</w:t>
      </w:r>
    </w:p>
    <w:p>
      <w:pPr>
        <w:spacing w:after="160"/>
        <w:jc w:val="both"/>
      </w:pPr>
      <w:r>
        <w:rPr>
          <w:rFonts w:ascii="Calibri" w:hAnsi="Calibri"/>
          <w:b w:val="0"/>
          <w:sz w:val="20"/>
        </w:rPr>
        <w:t>Optimizar y romper la página es un resultado peor que no optimizar. Se comprobaron tres cosas después de los cambios: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17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11962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Estabilidad visual</w:t>
            </w:r>
          </w:p>
        </w:tc>
        <w:tc>
          <w:tcPr>
            <w:tcW w:type="dxa" w:w="119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CLS se mantiene en </w:t>
            </w:r>
            <w:r>
              <w:rPr>
                <w:rFonts w:ascii="Calibri" w:hAnsi="Calibri"/>
                <w:b/>
                <w:sz w:val="19"/>
              </w:rPr>
              <w:t>0.000</w:t>
            </w:r>
            <w:r>
              <w:rPr>
                <w:rFonts w:ascii="Calibri" w:hAnsi="Calibri"/>
                <w:b w:val="0"/>
                <w:sz w:val="19"/>
              </w:rPr>
              <w:t>. Ninguna de las estrategias introdujo desplazamiento de contenido.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Accesibilidad</w:t>
            </w:r>
          </w:p>
        </w:tc>
        <w:tc>
          <w:tcPr>
            <w:tcW w:type="dxa" w:w="119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100 sobre 100</w:t>
            </w:r>
            <w:r>
              <w:rPr>
                <w:rFonts w:ascii="Calibri" w:hAnsi="Calibri"/>
                <w:b w:val="0"/>
                <w:sz w:val="19"/>
              </w:rPr>
              <w:t>, sin variación. Reducir el icono y cambiar el formato de imagen no afectó al texto alternativo, al contraste ni a la estructura semántica.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Renderizado</w:t>
            </w:r>
          </w:p>
        </w:tc>
        <w:tc>
          <w:tcPr>
            <w:tcW w:type="dxa" w:w="119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La captura final de la auditoría posterior muestra la landing completa y correcta: logotipo, cabecera, propuesta de valor, botones e insignias de confianza. Las imágenes en AVIF se muestran sin degradación perceptible.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9"/>
              </w:rPr>
              <w:t>Buenas prácticas y SEO</w:t>
            </w:r>
          </w:p>
        </w:tc>
        <w:tc>
          <w:tcPr>
            <w:tcW w:type="dxa" w:w="119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100 y 100, sin variación.</w:t>
            </w:r>
          </w:p>
        </w:tc>
      </w:tr>
    </w:tbl>
    <w:p>
      <w:pPr>
        <w:spacing w:after="16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6506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-desp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506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color w:val="4A4A4A"/>
          <w:sz w:val="17"/>
        </w:rPr>
        <w:t>Captura final de la auditoría posterior a la optimización. Sin regresión visual.</w:t>
      </w:r>
    </w:p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8. EVIDENCIA TÉCNICA ADJUNTA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5329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9808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`evidencias-wpo/lighthouse-ANTES-landing.html`</w:t>
            </w:r>
          </w:p>
        </w:tc>
        <w:tc>
          <w:tcPr>
            <w:tcW w:type="dxa" w:w="98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Informe completo de Lighthouse previo a la intervención, con todas las auditorías, la cascada de red y las capturas de la secuencia de carga.</w:t>
            </w:r>
          </w:p>
        </w:tc>
      </w:tr>
      <w:tr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`evidencias-wpo/lighthouse-DESPUES-landing.html`</w:t>
            </w:r>
          </w:p>
        </w:tc>
        <w:tc>
          <w:tcPr>
            <w:tcW w:type="dxa" w:w="98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Informe completo posterior, generado con idéntica configuración sobre el mismo build de producción.</w:t>
            </w:r>
          </w:p>
        </w:tc>
      </w:tr>
    </w:tbl>
    <w:p>
      <w:pPr>
        <w:spacing w:after="160"/>
        <w:jc w:val="both"/>
      </w:pPr>
    </w:p>
    <w:p>
      <w:pPr>
        <w:spacing w:after="160"/>
        <w:jc w:val="both"/>
      </w:pPr>
      <w:r>
        <w:rPr>
          <w:rFonts w:ascii="Calibri" w:hAnsi="Calibri"/>
          <w:b w:val="0"/>
          <w:color w:val="4A4A4A"/>
          <w:sz w:val="19"/>
        </w:rPr>
        <w:t>Ambos se abren en cualquier navegador sin conexión y permiten verificar de forma independiente cada cifra de este informe.</w:t>
      </w:r>
    </w:p>
    <w:p>
      <w:pPr>
        <w:spacing w:before="220" w:after="120"/>
      </w:pPr>
      <w:r>
        <w:rPr>
          <w:rFonts w:ascii="Calibri" w:hAnsi="Calibri"/>
          <w:b/>
          <w:color w:val="064475"/>
          <w:sz w:val="22"/>
        </w:rPr>
        <w:t>8.1 Cambios en el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896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6406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Cambio</w:t>
            </w:r>
          </w:p>
        </w:tc>
        <w:tc>
          <w:tcPr>
            <w:tcW w:type="dxa" w:w="2835"/>
            <w:shd w:val="clear" w:color="auto" w:fill="06447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Estrategia</w:t>
            </w:r>
          </w:p>
        </w:tc>
      </w:tr>
      <w:tr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`web/ayni-web/src/app/icon.png`</w:t>
            </w:r>
          </w:p>
        </w:tc>
        <w:tc>
          <w:tcPr>
            <w:tcW w:type="dxa" w:w="640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512×512 → 180×180, recomprimido.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E1</w:t>
            </w:r>
          </w:p>
        </w:tc>
      </w:tr>
      <w:tr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`web/ayni-web/next.config.ts`</w:t>
            </w:r>
          </w:p>
        </w:tc>
        <w:tc>
          <w:tcPr>
            <w:tcW w:type="dxa" w:w="640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Añadido `images.formats = ["image/avif", "image/webp"]`.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E2</w:t>
            </w:r>
          </w:p>
        </w:tc>
      </w:tr>
      <w:tr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`web/ayni-web/package.json`</w:t>
            </w:r>
          </w:p>
        </w:tc>
        <w:tc>
          <w:tcPr>
            <w:tcW w:type="dxa" w:w="640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Añadido el campo `browserslist`.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E3 (sin efecto medible)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64475"/>
          <w:sz w:val="26"/>
        </w:rPr>
        <w:t>9. FUENTES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Google — Core Web Vitals: umbrales de LCP, INP y CLS, y metodología de su definición al percentil 75 de datos de campo. https://web.dev/articles/defining-core-web-vitals-thresholds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Google, Deloitte y 55 — Milliseconds Make Millions (2020). 37 marcas y más de 30 millones de sesiones móviles: una mejora de 0.1 s en el tiempo de carga eleva la conversión un 8.4 % en comercio electrónico y un 10.1 % en viajes. https://web.dev/case-studies/milliseconds-make-millions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Google — Lighthouse: documentación de las auditorías de rendimiento y del desglose por fases del LCP. https://developer.chrome.com/docs/lighthouse/performance/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Vercel — Next.js Image Optimization: formatos negociados y comportamiento del optimizador. https://nextjs.org/docs/app/api-reference/components/image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Alliance for Open Media — AV1 Image File Format (AVIF), especificación del formato empleado en la estrategia E2.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W3C — Web Content Accessibility Guidelines (WCAG) 2.1, nivel AA. Referencia de la verificación de no regresión de accesibilidad.</w:t>
      </w:r>
    </w:p>
    <w:p>
      <w:pPr>
        <w:pStyle w:val="ListBullet"/>
        <w:spacing w:after="100"/>
        <w:jc w:val="both"/>
      </w:pPr>
      <w:r>
        <w:rPr>
          <w:rFonts w:ascii="Calibri" w:hAnsi="Calibri"/>
          <w:sz w:val="18"/>
        </w:rPr>
        <w:t>Documento «Métricas, Niveles de Servicio y Plan de Monitoreo» del proyecto Ayni Bank — definición de los indicadores KPI-06, KPI-07 y KPI-08 y de sus umbrales.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