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64475"/>
          <w:sz w:val="38"/>
        </w:rPr>
        <w:t>SELECCIÓN DE HERRAMIENTAS DE DESARROLLO</w:t>
      </w:r>
    </w:p>
    <w:p>
      <w:pPr>
        <w:spacing w:after="40"/>
        <w:jc w:val="center"/>
      </w:pPr>
      <w:r>
        <w:rPr>
          <w:rFonts w:ascii="Calibri" w:hAnsi="Calibri"/>
          <w:b w:val="0"/>
          <w:sz w:val="24"/>
        </w:rPr>
        <w:t>Proyecto Ayni Bank — Plataforma de Banca 100 % Digital</w:t>
      </w:r>
    </w:p>
    <w:p>
      <w:pPr>
        <w:spacing w:after="280"/>
        <w:jc w:val="center"/>
      </w:pPr>
      <w:r>
        <w:rPr>
          <w:rFonts w:ascii="Calibri" w:hAnsi="Calibri"/>
          <w:b w:val="0"/>
          <w:color w:val="4A4A4A"/>
          <w:sz w:val="18"/>
        </w:rPr>
        <w:t>Versión 1.0 · 4 de septiembre de 2026 · Elaborado por Joaquín Alfonso Loa Denegri (Scrum Master)</w:t>
      </w:r>
    </w:p>
    <w:p>
      <w:pPr>
        <w:spacing w:before="300" w:after="100"/>
      </w:pPr>
      <w:r>
        <w:rPr>
          <w:rFonts w:ascii="Calibri" w:hAnsi="Calibri"/>
          <w:b/>
          <w:color w:val="064475"/>
          <w:sz w:val="26"/>
        </w:rPr>
        <w:t>1. CRITERIOS DE SELECCIÓN</w:t>
      </w:r>
    </w:p>
    <w:p>
      <w:pPr>
        <w:spacing w:after="160"/>
        <w:jc w:val="both"/>
      </w:pPr>
      <w:r>
        <w:rPr>
          <w:rFonts w:ascii="Calibri" w:hAnsi="Calibri"/>
          <w:b w:val="0"/>
          <w:sz w:val="20"/>
        </w:rPr>
        <w:t xml:space="preserve">Antes de comparar nada hubo que decidir </w:t>
      </w:r>
      <w:r>
        <w:rPr>
          <w:rFonts w:ascii="Calibri" w:hAnsi="Calibri"/>
          <w:b/>
          <w:sz w:val="20"/>
        </w:rPr>
        <w:t>con qué vara se compara</w:t>
      </w:r>
      <w:r>
        <w:rPr>
          <w:rFonts w:ascii="Calibri" w:hAnsi="Calibri"/>
          <w:b w:val="0"/>
          <w:sz w:val="20"/>
        </w:rPr>
        <w:t>. Estos cinco criterios se fijaron al inicio del proyecto y se aplican igual a todas las decisiones de este documento, de modo que ninguna herramienta entra por costumbre o por preferencia personal.</w:t>
      </w:r>
    </w:p>
    <w:tbl>
      <w:tblPr>
        <w:tblStyle w:val="TableGrid"/>
        <w:tblW w:type="auto" w:w="0"/>
        <w:tblLook w:firstColumn="1" w:firstRow="1" w:lastColumn="0" w:lastRow="0" w:noHBand="0" w:noVBand="1" w:val="04A0"/>
      </w:tblPr>
      <w:tblGrid>
        <w:gridCol w:w="5046"/>
        <w:gridCol w:w="5046"/>
        <w:gridCol w:w="5046"/>
      </w:tblGrid>
      <w:tr>
        <w:tc>
          <w:tcPr>
            <w:tcW w:type="dxa" w:w="3175"/>
            <w:shd w:val="clear" w:color="auto" w:fill="064475"/>
          </w:tcPr>
          <w:p>
            <w:pPr>
              <w:spacing w:after="40" w:before="40"/>
            </w:pPr>
            <w:r/>
            <w:r>
              <w:rPr>
                <w:rFonts w:ascii="Calibri" w:hAnsi="Calibri"/>
                <w:b/>
                <w:color w:val="FFFFFF"/>
                <w:sz w:val="18"/>
              </w:rPr>
              <w:t>Criterio</w:t>
            </w:r>
          </w:p>
        </w:tc>
        <w:tc>
          <w:tcPr>
            <w:tcW w:type="dxa" w:w="5443"/>
            <w:shd w:val="clear" w:color="auto" w:fill="064475"/>
          </w:tcPr>
          <w:p>
            <w:pPr>
              <w:spacing w:after="40" w:before="40"/>
            </w:pPr>
            <w:r/>
            <w:r>
              <w:rPr>
                <w:rFonts w:ascii="Calibri" w:hAnsi="Calibri"/>
                <w:b/>
                <w:color w:val="FFFFFF"/>
                <w:sz w:val="18"/>
              </w:rPr>
              <w:t>Qué exige</w:t>
            </w:r>
          </w:p>
        </w:tc>
        <w:tc>
          <w:tcPr>
            <w:tcW w:type="dxa" w:w="6520"/>
            <w:shd w:val="clear" w:color="auto" w:fill="064475"/>
          </w:tcPr>
          <w:p>
            <w:pPr>
              <w:spacing w:after="40" w:before="40"/>
            </w:pPr>
            <w:r/>
            <w:r>
              <w:rPr>
                <w:rFonts w:ascii="Calibri" w:hAnsi="Calibri"/>
                <w:b/>
                <w:color w:val="FFFFFF"/>
                <w:sz w:val="18"/>
              </w:rPr>
              <w:t>Por qué pesa en este proyecto</w:t>
            </w:r>
          </w:p>
        </w:tc>
      </w:tr>
      <w:tr>
        <w:tc>
          <w:tcPr>
            <w:tcW w:type="dxa" w:w="3175"/>
          </w:tcPr>
          <w:p>
            <w:pPr>
              <w:spacing w:after="40" w:before="40"/>
            </w:pPr>
            <w:r/>
            <w:r>
              <w:rPr>
                <w:rFonts w:ascii="Calibri" w:hAnsi="Calibri"/>
                <w:b/>
                <w:sz w:val="18"/>
              </w:rPr>
              <w:t>C1 · Coste cero</w:t>
            </w:r>
          </w:p>
        </w:tc>
        <w:tc>
          <w:tcPr>
            <w:tcW w:type="dxa" w:w="5443"/>
          </w:tcPr>
          <w:p>
            <w:pPr>
              <w:spacing w:after="40" w:before="40"/>
            </w:pPr>
            <w:r/>
            <w:r>
              <w:rPr>
                <w:rFonts w:ascii="Calibri" w:hAnsi="Calibri"/>
                <w:b w:val="0"/>
                <w:sz w:val="18"/>
              </w:rPr>
              <w:t>Debe existir un nivel gratuito suficiente para todo el ciclo, sin tarjeta de crédito ni periodo de prueba que caduque.</w:t>
            </w:r>
          </w:p>
        </w:tc>
        <w:tc>
          <w:tcPr>
            <w:tcW w:type="dxa" w:w="6520"/>
          </w:tcPr>
          <w:p>
            <w:pPr>
              <w:spacing w:after="40" w:before="40"/>
            </w:pPr>
            <w:r/>
            <w:r>
              <w:rPr>
                <w:rFonts w:ascii="Calibri" w:hAnsi="Calibri"/>
                <w:b w:val="0"/>
                <w:sz w:val="18"/>
              </w:rPr>
              <w:t>El proyecto no tiene presupuesto. Una herramienta que caduque a mitad de ciclo obliga a migrar en el peor momento.</w:t>
            </w:r>
          </w:p>
        </w:tc>
      </w:tr>
      <w:tr>
        <w:tc>
          <w:tcPr>
            <w:tcW w:type="dxa" w:w="3175"/>
          </w:tcPr>
          <w:p>
            <w:pPr>
              <w:spacing w:after="40" w:before="40"/>
            </w:pPr>
            <w:r/>
            <w:r>
              <w:rPr>
                <w:rFonts w:ascii="Calibri" w:hAnsi="Calibri"/>
                <w:b/>
                <w:sz w:val="18"/>
              </w:rPr>
              <w:t>C2 · Verificable en la integración continua</w:t>
            </w:r>
          </w:p>
        </w:tc>
        <w:tc>
          <w:tcPr>
            <w:tcW w:type="dxa" w:w="5443"/>
          </w:tcPr>
          <w:p>
            <w:pPr>
              <w:spacing w:after="40" w:before="40"/>
            </w:pPr>
            <w:r/>
            <w:r>
              <w:rPr>
                <w:rFonts w:ascii="Calibri" w:hAnsi="Calibri"/>
                <w:b w:val="0"/>
                <w:sz w:val="18"/>
              </w:rPr>
              <w:t>Debe poder ejecutarse sin intervención humana y devolver un código de salida que permita bloquear una fusión.</w:t>
            </w:r>
          </w:p>
        </w:tc>
        <w:tc>
          <w:tcPr>
            <w:tcW w:type="dxa" w:w="6520"/>
          </w:tcPr>
          <w:p>
            <w:pPr>
              <w:spacing w:after="40" w:before="40"/>
            </w:pPr>
            <w:r/>
            <w:r>
              <w:rPr>
                <w:rFonts w:ascii="Calibri" w:hAnsi="Calibri"/>
                <w:b w:val="0"/>
                <w:sz w:val="18"/>
              </w:rPr>
              <w:t>Una comprobación que depende de que alguien se acuerde de hacerla no es una comprobación.</w:t>
            </w:r>
          </w:p>
        </w:tc>
      </w:tr>
      <w:tr>
        <w:tc>
          <w:tcPr>
            <w:tcW w:type="dxa" w:w="3175"/>
          </w:tcPr>
          <w:p>
            <w:pPr>
              <w:spacing w:after="40" w:before="40"/>
            </w:pPr>
            <w:r/>
            <w:r>
              <w:rPr>
                <w:rFonts w:ascii="Calibri" w:hAnsi="Calibri"/>
                <w:b/>
                <w:sz w:val="18"/>
              </w:rPr>
              <w:t>C3 · Arquitectura ARM64</w:t>
            </w:r>
          </w:p>
        </w:tc>
        <w:tc>
          <w:tcPr>
            <w:tcW w:type="dxa" w:w="5443"/>
          </w:tcPr>
          <w:p>
            <w:pPr>
              <w:spacing w:after="40" w:before="40"/>
            </w:pPr>
            <w:r/>
            <w:r>
              <w:rPr>
                <w:rFonts w:ascii="Calibri" w:hAnsi="Calibri"/>
                <w:b w:val="0"/>
                <w:sz w:val="18"/>
              </w:rPr>
              <w:t>Debe funcionar en ARM64 sin emulación.</w:t>
            </w:r>
          </w:p>
        </w:tc>
        <w:tc>
          <w:tcPr>
            <w:tcW w:type="dxa" w:w="6520"/>
          </w:tcPr>
          <w:p>
            <w:pPr>
              <w:spacing w:after="40" w:before="40"/>
            </w:pPr>
            <w:r/>
            <w:r>
              <w:rPr>
                <w:rFonts w:ascii="Calibri" w:hAnsi="Calibri"/>
                <w:b w:val="0"/>
                <w:sz w:val="18"/>
              </w:rPr>
              <w:t>Los dos entornos de despliegue son ARM: Raspberry Pi 5 en pruebas y Oracle Ampere en producción. Ver ADR-0005.</w:t>
            </w:r>
          </w:p>
        </w:tc>
      </w:tr>
      <w:tr>
        <w:tc>
          <w:tcPr>
            <w:tcW w:type="dxa" w:w="3175"/>
          </w:tcPr>
          <w:p>
            <w:pPr>
              <w:spacing w:after="40" w:before="40"/>
            </w:pPr>
            <w:r/>
            <w:r>
              <w:rPr>
                <w:rFonts w:ascii="Calibri" w:hAnsi="Calibri"/>
                <w:b/>
                <w:sz w:val="18"/>
              </w:rPr>
              <w:t>C4 · Portabilidad</w:t>
            </w:r>
          </w:p>
        </w:tc>
        <w:tc>
          <w:tcPr>
            <w:tcW w:type="dxa" w:w="5443"/>
          </w:tcPr>
          <w:p>
            <w:pPr>
              <w:spacing w:after="40" w:before="40"/>
            </w:pPr>
            <w:r/>
            <w:r>
              <w:rPr>
                <w:rFonts w:ascii="Calibri" w:hAnsi="Calibri"/>
                <w:b w:val="0"/>
                <w:sz w:val="18"/>
              </w:rPr>
              <w:t>No debe atarnos a un proveedor concreto: formatos abiertos y despliegue en contenedor.</w:t>
            </w:r>
          </w:p>
        </w:tc>
        <w:tc>
          <w:tcPr>
            <w:tcW w:type="dxa" w:w="6520"/>
          </w:tcPr>
          <w:p>
            <w:pPr>
              <w:spacing w:after="40" w:before="40"/>
            </w:pPr>
            <w:r/>
            <w:r>
              <w:rPr>
                <w:rFonts w:ascii="Calibri" w:hAnsi="Calibri"/>
                <w:b w:val="0"/>
                <w:sz w:val="18"/>
              </w:rPr>
              <w:t>Mitiga el riesgo R-10 —discontinuidad del nivel gratuito—: si el proveedor cambia condiciones, migrar debe costar horas y no semanas.</w:t>
            </w:r>
          </w:p>
        </w:tc>
      </w:tr>
      <w:tr>
        <w:tc>
          <w:tcPr>
            <w:tcW w:type="dxa" w:w="3175"/>
          </w:tcPr>
          <w:p>
            <w:pPr>
              <w:spacing w:after="40" w:before="40"/>
            </w:pPr>
            <w:r/>
            <w:r>
              <w:rPr>
                <w:rFonts w:ascii="Calibri" w:hAnsi="Calibri"/>
                <w:b/>
                <w:sz w:val="18"/>
              </w:rPr>
              <w:t>C5 · Curva de entrada razonable</w:t>
            </w:r>
          </w:p>
        </w:tc>
        <w:tc>
          <w:tcPr>
            <w:tcW w:type="dxa" w:w="5443"/>
          </w:tcPr>
          <w:p>
            <w:pPr>
              <w:spacing w:after="40" w:before="40"/>
            </w:pPr>
            <w:r/>
            <w:r>
              <w:rPr>
                <w:rFonts w:ascii="Calibri" w:hAnsi="Calibri"/>
                <w:b w:val="0"/>
                <w:sz w:val="18"/>
              </w:rPr>
              <w:t>Un integrante nuevo debe poder usarla el primer día con la documentación del repositorio.</w:t>
            </w:r>
          </w:p>
        </w:tc>
        <w:tc>
          <w:tcPr>
            <w:tcW w:type="dxa" w:w="6520"/>
          </w:tcPr>
          <w:p>
            <w:pPr>
              <w:spacing w:after="40" w:before="40"/>
            </w:pPr>
            <w:r/>
            <w:r>
              <w:rPr>
                <w:rFonts w:ascii="Calibri" w:hAnsi="Calibri"/>
                <w:b w:val="0"/>
                <w:sz w:val="18"/>
              </w:rPr>
              <w:t>El equipo es de seis personas con disponibilidad desigual y se amplió a mitad de proyecto. Mitiga R-14.</w:t>
            </w:r>
          </w:p>
        </w:tc>
      </w:tr>
    </w:tbl>
    <w:p>
      <w:r>
        <w:br w:type="page"/>
      </w:r>
    </w:p>
    <w:p>
      <w:pPr>
        <w:spacing w:before="300" w:after="100"/>
      </w:pPr>
      <w:r>
        <w:rPr>
          <w:rFonts w:ascii="Calibri" w:hAnsi="Calibri"/>
          <w:b/>
          <w:color w:val="064475"/>
          <w:sz w:val="26"/>
        </w:rPr>
        <w:t>2. HERRAMIENTAS EXIGIDAS POR LA CONSIGNA</w:t>
      </w:r>
    </w:p>
    <w:p>
      <w:pPr>
        <w:spacing w:before="200" w:after="100"/>
      </w:pPr>
      <w:r>
        <w:rPr>
          <w:rFonts w:ascii="Calibri" w:hAnsi="Calibri"/>
          <w:b/>
          <w:color w:val="064475"/>
          <w:sz w:val="22"/>
        </w:rPr>
        <w:t>2.1 Entorno de desarrollo integrado para Java</w:t>
      </w:r>
    </w:p>
    <w:tbl>
      <w:tblPr>
        <w:tblStyle w:val="TableGrid"/>
        <w:tblW w:type="auto" w:w="0"/>
        <w:tblLook w:firstColumn="1" w:firstRow="1" w:lastColumn="0" w:lastRow="0" w:noHBand="0" w:noVBand="1" w:val="04A0"/>
      </w:tblPr>
      <w:tblGrid>
        <w:gridCol w:w="3784"/>
        <w:gridCol w:w="3784"/>
        <w:gridCol w:w="3784"/>
        <w:gridCol w:w="3784"/>
      </w:tblGrid>
      <w:tr>
        <w:tc>
          <w:tcPr>
            <w:tcW w:type="dxa" w:w="2608"/>
            <w:shd w:val="clear" w:color="auto" w:fill="064475"/>
          </w:tcPr>
          <w:p>
            <w:pPr>
              <w:spacing w:after="40" w:before="40"/>
            </w:pPr>
            <w:r/>
            <w:r>
              <w:rPr>
                <w:rFonts w:ascii="Calibri" w:hAnsi="Calibri"/>
                <w:b/>
                <w:color w:val="FFFFFF"/>
                <w:sz w:val="17"/>
              </w:rPr>
              <w:t>Alternativa</w:t>
            </w:r>
          </w:p>
        </w:tc>
        <w:tc>
          <w:tcPr>
            <w:tcW w:type="dxa" w:w="4876"/>
            <w:shd w:val="clear" w:color="auto" w:fill="064475"/>
          </w:tcPr>
          <w:p>
            <w:pPr>
              <w:spacing w:after="40" w:before="40"/>
            </w:pPr>
            <w:r/>
            <w:r>
              <w:rPr>
                <w:rFonts w:ascii="Calibri" w:hAnsi="Calibri"/>
                <w:b/>
                <w:color w:val="FFFFFF"/>
                <w:sz w:val="17"/>
              </w:rPr>
              <w:t>A favor</w:t>
            </w:r>
          </w:p>
        </w:tc>
        <w:tc>
          <w:tcPr>
            <w:tcW w:type="dxa" w:w="4876"/>
            <w:shd w:val="clear" w:color="auto" w:fill="064475"/>
          </w:tcPr>
          <w:p>
            <w:pPr>
              <w:spacing w:after="40" w:before="40"/>
            </w:pPr>
            <w:r/>
            <w:r>
              <w:rPr>
                <w:rFonts w:ascii="Calibri" w:hAnsi="Calibri"/>
                <w:b/>
                <w:color w:val="FFFFFF"/>
                <w:sz w:val="17"/>
              </w:rPr>
              <w:t>En contra</w:t>
            </w:r>
          </w:p>
        </w:tc>
        <w:tc>
          <w:tcPr>
            <w:tcW w:type="dxa" w:w="2778"/>
            <w:shd w:val="clear" w:color="auto" w:fill="064475"/>
          </w:tcPr>
          <w:p>
            <w:pPr>
              <w:spacing w:after="40" w:before="40"/>
            </w:pPr>
            <w:r/>
            <w:r>
              <w:rPr>
                <w:rFonts w:ascii="Calibri" w:hAnsi="Calibri"/>
                <w:b/>
                <w:color w:val="FFFFFF"/>
                <w:sz w:val="17"/>
              </w:rPr>
              <w:t>Veredicto</w:t>
            </w:r>
          </w:p>
        </w:tc>
      </w:tr>
      <w:tr>
        <w:tc>
          <w:tcPr>
            <w:tcW w:type="dxa" w:w="2608"/>
            <w:shd w:val="clear" w:color="auto" w:fill="D9EAD3"/>
          </w:tcPr>
          <w:p>
            <w:pPr>
              <w:spacing w:after="40" w:before="40"/>
            </w:pPr>
            <w:r/>
            <w:r>
              <w:rPr>
                <w:rFonts w:ascii="Calibri" w:hAnsi="Calibri"/>
                <w:b/>
                <w:sz w:val="17"/>
              </w:rPr>
              <w:t>IntelliJ IDEA Ultimate</w:t>
            </w:r>
          </w:p>
        </w:tc>
        <w:tc>
          <w:tcPr>
            <w:tcW w:type="dxa" w:w="4876"/>
            <w:shd w:val="clear" w:color="auto" w:fill="D9EAD3"/>
          </w:tcPr>
          <w:p>
            <w:pPr>
              <w:spacing w:after="40" w:before="40"/>
            </w:pPr>
            <w:r/>
            <w:r>
              <w:rPr>
                <w:rFonts w:ascii="Calibri" w:hAnsi="Calibri"/>
                <w:b w:val="0"/>
                <w:sz w:val="17"/>
              </w:rPr>
              <w:t xml:space="preserve">Soporte de primera clase para Spring Boot: navegación entre beans, validación de la configuración y consola de puntos de acceso. Integración nativa con Maven multimódulo, Docker y bases de datos. </w:t>
            </w:r>
            <w:r>
              <w:rPr>
                <w:rFonts w:ascii="Calibri" w:hAnsi="Calibri"/>
                <w:b/>
                <w:sz w:val="17"/>
              </w:rPr>
              <w:t>Licencia Ultimate gratuita para estudiantes.</w:t>
            </w:r>
          </w:p>
        </w:tc>
        <w:tc>
          <w:tcPr>
            <w:tcW w:type="dxa" w:w="4876"/>
            <w:shd w:val="clear" w:color="auto" w:fill="D9EAD3"/>
          </w:tcPr>
          <w:p>
            <w:pPr>
              <w:spacing w:after="40" w:before="40"/>
            </w:pPr>
            <w:r/>
            <w:r>
              <w:rPr>
                <w:rFonts w:ascii="Calibri" w:hAnsi="Calibri"/>
                <w:b w:val="0"/>
                <w:sz w:val="17"/>
              </w:rPr>
              <w:t>Consumo de memoria elevado. La versión Community no trae el soporte de Spring.</w:t>
            </w:r>
          </w:p>
        </w:tc>
        <w:tc>
          <w:tcPr>
            <w:tcW w:type="dxa" w:w="2778"/>
            <w:shd w:val="clear" w:color="auto" w:fill="D9EAD3"/>
          </w:tcPr>
          <w:p>
            <w:pPr>
              <w:spacing w:after="40" w:before="40"/>
            </w:pPr>
            <w:r/>
            <w:r>
              <w:rPr>
                <w:rFonts w:ascii="Calibri" w:hAnsi="Calibri"/>
                <w:b/>
                <w:sz w:val="17"/>
              </w:rPr>
              <w:t>ELEGIDA</w:t>
            </w:r>
          </w:p>
        </w:tc>
      </w:tr>
      <w:tr>
        <w:tc>
          <w:tcPr>
            <w:tcW w:type="dxa" w:w="2608"/>
          </w:tcPr>
          <w:p>
            <w:pPr>
              <w:spacing w:after="40" w:before="40"/>
            </w:pPr>
            <w:r/>
            <w:r>
              <w:rPr>
                <w:rFonts w:ascii="Calibri" w:hAnsi="Calibri"/>
                <w:b w:val="0"/>
                <w:sz w:val="17"/>
              </w:rPr>
              <w:t>Eclipse IDE</w:t>
            </w:r>
          </w:p>
        </w:tc>
        <w:tc>
          <w:tcPr>
            <w:tcW w:type="dxa" w:w="4876"/>
          </w:tcPr>
          <w:p>
            <w:pPr>
              <w:spacing w:after="40" w:before="40"/>
            </w:pPr>
            <w:r/>
            <w:r>
              <w:rPr>
                <w:rFonts w:ascii="Calibri" w:hAnsi="Calibri"/>
                <w:b w:val="0"/>
                <w:sz w:val="17"/>
              </w:rPr>
              <w:t>Gratuito y de código abierto sin condiciones. Histórico en el mundo Java empresarial.</w:t>
            </w:r>
          </w:p>
        </w:tc>
        <w:tc>
          <w:tcPr>
            <w:tcW w:type="dxa" w:w="4876"/>
          </w:tcPr>
          <w:p>
            <w:pPr>
              <w:spacing w:after="40" w:before="40"/>
            </w:pPr>
            <w:r/>
            <w:r>
              <w:rPr>
                <w:rFonts w:ascii="Calibri" w:hAnsi="Calibri"/>
                <w:b w:val="0"/>
                <w:sz w:val="17"/>
              </w:rPr>
              <w:t>El soporte de Spring depende de complementos de terceros con calidad desigual. Interfaz menos consistente y refactorizaciones menos fiables en proyectos multimódulo.</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Visual Studio Code</w:t>
            </w:r>
          </w:p>
        </w:tc>
        <w:tc>
          <w:tcPr>
            <w:tcW w:type="dxa" w:w="4876"/>
          </w:tcPr>
          <w:p>
            <w:pPr>
              <w:spacing w:after="40" w:before="40"/>
            </w:pPr>
            <w:r/>
            <w:r>
              <w:rPr>
                <w:rFonts w:ascii="Calibri" w:hAnsi="Calibri"/>
                <w:b w:val="0"/>
                <w:sz w:val="17"/>
              </w:rPr>
              <w:t>Ligero, gratuito y muy extendido.</w:t>
            </w:r>
          </w:p>
        </w:tc>
        <w:tc>
          <w:tcPr>
            <w:tcW w:type="dxa" w:w="4876"/>
          </w:tcPr>
          <w:p>
            <w:pPr>
              <w:spacing w:after="40" w:before="40"/>
            </w:pPr>
            <w:r/>
            <w:r>
              <w:rPr>
                <w:rFonts w:ascii="Calibri" w:hAnsi="Calibri"/>
                <w:b w:val="0"/>
                <w:sz w:val="17"/>
              </w:rPr>
              <w:t>El soporte de Java depende de extensiones y no alcanza la profundidad de análisis que necesita un proyecto con arquitectura hexagonal verificada.</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Apache NetBeans</w:t>
            </w:r>
          </w:p>
        </w:tc>
        <w:tc>
          <w:tcPr>
            <w:tcW w:type="dxa" w:w="4876"/>
          </w:tcPr>
          <w:p>
            <w:pPr>
              <w:spacing w:after="40" w:before="40"/>
            </w:pPr>
            <w:r/>
            <w:r>
              <w:rPr>
                <w:rFonts w:ascii="Calibri" w:hAnsi="Calibri"/>
                <w:b w:val="0"/>
                <w:sz w:val="17"/>
              </w:rPr>
              <w:t>Gratuito y con buen soporte de Maven.</w:t>
            </w:r>
          </w:p>
        </w:tc>
        <w:tc>
          <w:tcPr>
            <w:tcW w:type="dxa" w:w="4876"/>
          </w:tcPr>
          <w:p>
            <w:pPr>
              <w:spacing w:after="40" w:before="40"/>
            </w:pPr>
            <w:r/>
            <w:r>
              <w:rPr>
                <w:rFonts w:ascii="Calibri" w:hAnsi="Calibri"/>
                <w:b w:val="0"/>
                <w:sz w:val="17"/>
              </w:rPr>
              <w:t>Comunidad y ecosistema de complementos notablemente menores. Soporte de Spring Boot limitado.</w:t>
            </w:r>
          </w:p>
        </w:tc>
        <w:tc>
          <w:tcPr>
            <w:tcW w:type="dxa" w:w="2778"/>
          </w:tcPr>
          <w:p>
            <w:pPr>
              <w:spacing w:after="40" w:before="40"/>
            </w:pPr>
            <w:r/>
            <w:r>
              <w:rPr>
                <w:rFonts w:ascii="Calibri" w:hAnsi="Calibri"/>
                <w:b w:val="0"/>
                <w:sz w:val="17"/>
              </w:rPr>
              <w:t>Descartada</w:t>
            </w:r>
          </w:p>
        </w:tc>
      </w:tr>
    </w:tbl>
    <w:p>
      <w:pPr>
        <w:spacing w:after="160"/>
        <w:jc w:val="both"/>
      </w:pPr>
    </w:p>
    <w:p>
      <w:pPr>
        <w:spacing w:after="160"/>
        <w:jc w:val="both"/>
      </w:pPr>
      <w:r>
        <w:rPr>
          <w:rFonts w:ascii="Calibri" w:hAnsi="Calibri"/>
          <w:b/>
          <w:sz w:val="19"/>
        </w:rPr>
        <w:t>Decisión.</w:t>
      </w:r>
      <w:r>
        <w:rPr>
          <w:rFonts w:ascii="Calibri" w:hAnsi="Calibri"/>
          <w:b w:val="0"/>
          <w:sz w:val="19"/>
        </w:rPr>
        <w:t xml:space="preserve"> IntelliJ IDEA Ultimate, con licencia académica, para los tres servicios en Java: `ayni-gateway`, `ayni-identity-service` y `ayni-core-banking-service`.</w:t>
      </w:r>
    </w:p>
    <w:p>
      <w:pPr>
        <w:spacing w:after="160"/>
        <w:jc w:val="both"/>
      </w:pPr>
    </w:p>
    <w:p>
      <w:pPr>
        <w:spacing w:before="200" w:after="100"/>
      </w:pPr>
      <w:r>
        <w:rPr>
          <w:rFonts w:ascii="Calibri" w:hAnsi="Calibri"/>
          <w:b/>
          <w:color w:val="064475"/>
          <w:sz w:val="22"/>
        </w:rPr>
        <w:t>2.1.b Entornos para los demás lenguajes del proyecto</w:t>
      </w:r>
    </w:p>
    <w:p>
      <w:pPr>
        <w:spacing w:after="160"/>
        <w:jc w:val="both"/>
      </w:pPr>
      <w:r>
        <w:rPr>
          <w:rFonts w:ascii="Calibri" w:hAnsi="Calibri"/>
          <w:b w:val="0"/>
          <w:sz w:val="20"/>
        </w:rPr>
        <w:t xml:space="preserve">El proyecto no es solo Java. La consigna pide nombrar el entorno para Java, pero declarar solo ese dejaría fuera dos de los seis componentes desplegables. Se adopta </w:t>
      </w:r>
      <w:r>
        <w:rPr>
          <w:rFonts w:ascii="Calibri" w:hAnsi="Calibri"/>
          <w:b/>
          <w:sz w:val="20"/>
        </w:rPr>
        <w:t>la suite completa de JetBrains</w:t>
      </w:r>
      <w:r>
        <w:rPr>
          <w:rFonts w:ascii="Calibri" w:hAnsi="Calibri"/>
          <w:b w:val="0"/>
          <w:sz w:val="20"/>
        </w:rPr>
        <w:t>, que la licencia académica cubre sin coste adicional:</w:t>
      </w: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7"/>
              </w:rPr>
              <w:t>Componente</w:t>
            </w:r>
          </w:p>
        </w:tc>
        <w:tc>
          <w:tcPr>
            <w:tcW w:type="dxa" w:w="2608"/>
            <w:shd w:val="clear" w:color="auto" w:fill="064475"/>
          </w:tcPr>
          <w:p>
            <w:pPr>
              <w:spacing w:after="40" w:before="40"/>
            </w:pPr>
            <w:r/>
            <w:r>
              <w:rPr>
                <w:rFonts w:ascii="Calibri" w:hAnsi="Calibri"/>
                <w:b/>
                <w:color w:val="FFFFFF"/>
                <w:sz w:val="17"/>
              </w:rPr>
              <w:t>Entorno elegido</w:t>
            </w:r>
          </w:p>
        </w:tc>
        <w:tc>
          <w:tcPr>
            <w:tcW w:type="dxa" w:w="5329"/>
            <w:shd w:val="clear" w:color="auto" w:fill="064475"/>
          </w:tcPr>
          <w:p>
            <w:pPr>
              <w:spacing w:after="40" w:before="40"/>
            </w:pPr>
            <w:r/>
            <w:r>
              <w:rPr>
                <w:rFonts w:ascii="Calibri" w:hAnsi="Calibri"/>
                <w:b/>
                <w:color w:val="FFFFFF"/>
                <w:sz w:val="17"/>
              </w:rPr>
              <w:t>Por qué</w:t>
            </w:r>
          </w:p>
        </w:tc>
        <w:tc>
          <w:tcPr>
            <w:tcW w:type="dxa" w:w="4139"/>
            <w:shd w:val="clear" w:color="auto" w:fill="064475"/>
          </w:tcPr>
          <w:p>
            <w:pPr>
              <w:spacing w:after="40" w:before="40"/>
            </w:pPr>
            <w:r/>
            <w:r>
              <w:rPr>
                <w:rFonts w:ascii="Calibri" w:hAnsi="Calibri"/>
                <w:b/>
                <w:color w:val="FFFFFF"/>
                <w:sz w:val="17"/>
              </w:rPr>
              <w:t>Alternativas consideradas</w:t>
            </w:r>
          </w:p>
        </w:tc>
      </w:tr>
      <w:tr>
        <w:tc>
          <w:tcPr>
            <w:tcW w:type="dxa" w:w="3061"/>
          </w:tcPr>
          <w:p>
            <w:pPr>
              <w:spacing w:after="40" w:before="40"/>
            </w:pPr>
            <w:r/>
            <w:r>
              <w:rPr>
                <w:rFonts w:ascii="Calibri" w:hAnsi="Calibri"/>
                <w:b w:val="0"/>
                <w:sz w:val="17"/>
              </w:rPr>
              <w:t>`ayni-kyc-service`</w:t>
            </w:r>
          </w:p>
          <w:p>
            <w:pPr>
              <w:spacing w:after="40"/>
            </w:pPr>
            <w:r>
              <w:rPr>
                <w:rFonts w:ascii="Calibri" w:hAnsi="Calibri"/>
                <w:b w:val="0"/>
                <w:sz w:val="17"/>
              </w:rPr>
              <w:t>Python 3 + FastAPI</w:t>
            </w:r>
          </w:p>
        </w:tc>
        <w:tc>
          <w:tcPr>
            <w:tcW w:type="dxa" w:w="2608"/>
          </w:tcPr>
          <w:p>
            <w:pPr>
              <w:spacing w:after="40" w:before="40"/>
            </w:pPr>
            <w:r/>
            <w:r>
              <w:rPr>
                <w:rFonts w:ascii="Calibri" w:hAnsi="Calibri"/>
                <w:b/>
                <w:sz w:val="17"/>
              </w:rPr>
              <w:t>PyCharm Professional</w:t>
            </w:r>
          </w:p>
        </w:tc>
        <w:tc>
          <w:tcPr>
            <w:tcW w:type="dxa" w:w="5329"/>
          </w:tcPr>
          <w:p>
            <w:pPr>
              <w:spacing w:after="40" w:before="40"/>
            </w:pPr>
            <w:r/>
            <w:r>
              <w:rPr>
                <w:rFonts w:ascii="Calibri" w:hAnsi="Calibri"/>
                <w:b w:val="0"/>
                <w:sz w:val="17"/>
              </w:rPr>
              <w:t>Depurador y consola de Python integrados, soporte nativo de FastAPI y de entornos virtuales, e inspección de tipos con anotaciones. Al compartir motor con IntelliJ, los atajos y las inspecciones son los mismos: quien sabe usar uno sabe usar el otro.</w:t>
            </w:r>
          </w:p>
        </w:tc>
        <w:tc>
          <w:tcPr>
            <w:tcW w:type="dxa" w:w="4139"/>
          </w:tcPr>
          <w:p>
            <w:pPr>
              <w:spacing w:after="40" w:before="40"/>
            </w:pPr>
            <w:r/>
            <w:r>
              <w:rPr>
                <w:rFonts w:ascii="Calibri" w:hAnsi="Calibri"/>
                <w:b w:val="0"/>
                <w:sz w:val="17"/>
              </w:rPr>
              <w:t>VS Code con Pylance —capaz, pero exige configurar el intérprete y el depurador a mano en cada equipo—. Spyder, orientado a análisis de datos y no a servicios web.</w:t>
            </w:r>
          </w:p>
        </w:tc>
      </w:tr>
      <w:tr>
        <w:tc>
          <w:tcPr>
            <w:tcW w:type="dxa" w:w="3061"/>
          </w:tcPr>
          <w:p>
            <w:pPr>
              <w:spacing w:after="40" w:before="40"/>
            </w:pPr>
            <w:r/>
            <w:r>
              <w:rPr>
                <w:rFonts w:ascii="Calibri" w:hAnsi="Calibri"/>
                <w:b w:val="0"/>
                <w:sz w:val="17"/>
              </w:rPr>
              <w:t>`ayni-web`</w:t>
            </w:r>
          </w:p>
          <w:p>
            <w:pPr>
              <w:spacing w:after="40"/>
            </w:pPr>
            <w:r>
              <w:rPr>
                <w:rFonts w:ascii="Calibri" w:hAnsi="Calibri"/>
                <w:b w:val="0"/>
                <w:sz w:val="17"/>
              </w:rPr>
              <w:t>Next.js + React + TypeScript</w:t>
            </w:r>
          </w:p>
        </w:tc>
        <w:tc>
          <w:tcPr>
            <w:tcW w:type="dxa" w:w="2608"/>
          </w:tcPr>
          <w:p>
            <w:pPr>
              <w:spacing w:after="40" w:before="40"/>
            </w:pPr>
            <w:r/>
            <w:r>
              <w:rPr>
                <w:rFonts w:ascii="Calibri" w:hAnsi="Calibri"/>
                <w:b/>
                <w:sz w:val="17"/>
              </w:rPr>
              <w:t>WebStorm</w:t>
            </w:r>
          </w:p>
        </w:tc>
        <w:tc>
          <w:tcPr>
            <w:tcW w:type="dxa" w:w="5329"/>
          </w:tcPr>
          <w:p>
            <w:pPr>
              <w:spacing w:after="40" w:before="40"/>
            </w:pPr>
            <w:r/>
            <w:r>
              <w:rPr>
                <w:rFonts w:ascii="Calibri" w:hAnsi="Calibri"/>
                <w:b w:val="0"/>
                <w:sz w:val="17"/>
              </w:rPr>
              <w:t>Análisis de TypeScript en profundidad, soporte de React y de Tailwind, y ejecución de las pruebas de Vitest y Playwright desde el propio entorno.</w:t>
            </w:r>
          </w:p>
        </w:tc>
        <w:tc>
          <w:tcPr>
            <w:tcW w:type="dxa" w:w="4139"/>
          </w:tcPr>
          <w:p>
            <w:pPr>
              <w:spacing w:after="40" w:before="40"/>
            </w:pPr>
            <w:r/>
            <w:r>
              <w:rPr>
                <w:rFonts w:ascii="Calibri" w:hAnsi="Calibri"/>
                <w:b w:val="0"/>
                <w:sz w:val="17"/>
              </w:rPr>
              <w:t xml:space="preserve">VS Code, que es una opción perfectamente válida y la más extendida para front-end. </w:t>
            </w:r>
            <w:r>
              <w:rPr>
                <w:rFonts w:ascii="Calibri" w:hAnsi="Calibri"/>
                <w:b/>
                <w:sz w:val="17"/>
              </w:rPr>
              <w:t>Se admite que quien lo prefiera lo use:</w:t>
            </w:r>
            <w:r>
              <w:rPr>
                <w:rFonts w:ascii="Calibri" w:hAnsi="Calibri"/>
                <w:b w:val="0"/>
                <w:sz w:val="17"/>
              </w:rPr>
              <w:t xml:space="preserve"> el proyecto no depende de ello.</w:t>
            </w:r>
          </w:p>
        </w:tc>
      </w:tr>
    </w:tbl>
    <w:p>
      <w:pPr>
        <w:spacing w:after="160"/>
        <w:jc w:val="both"/>
      </w:pPr>
    </w:p>
    <w:p>
      <w:pPr>
        <w:spacing w:after="160"/>
        <w:jc w:val="both"/>
      </w:pPr>
      <w:r>
        <w:rPr>
          <w:rFonts w:ascii="Calibri" w:hAnsi="Calibri"/>
          <w:b/>
          <w:sz w:val="20"/>
        </w:rPr>
        <w:t>Por qué la suite completa y no una herramienta distinta por lenguaje.</w:t>
      </w:r>
      <w:r>
        <w:rPr>
          <w:rFonts w:ascii="Calibri" w:hAnsi="Calibri"/>
          <w:b w:val="0"/>
          <w:sz w:val="20"/>
        </w:rPr>
        <w:t xml:space="preserve"> El criterio que decide es </w:t>
      </w:r>
      <w:r>
        <w:rPr>
          <w:rFonts w:ascii="Calibri" w:hAnsi="Calibri"/>
          <w:b/>
          <w:sz w:val="20"/>
        </w:rPr>
        <w:t>C5, la curva de entrada</w:t>
      </w:r>
      <w:r>
        <w:rPr>
          <w:rFonts w:ascii="Calibri" w:hAnsi="Calibri"/>
          <w:b w:val="0"/>
          <w:sz w:val="20"/>
        </w:rPr>
        <w:t>. Con los tres entornos del mismo fabricante, los atajos de teclado, la integración con Git, la ventana de Docker y el ejecutor de pruebas se comportan igual en los tres. Un integrante que se incorpora a mitad de proyecto —riesgo R-14— aprende un entorno y no tres. La licencia académica de JetBrains cubre los tres productos sin coste, de modo que la coherencia no se paga.</w:t>
      </w:r>
    </w:p>
    <w:p>
      <w:pPr>
        <w:spacing w:after="160"/>
        <w:jc w:val="both"/>
      </w:pPr>
      <w:r>
        <w:rPr>
          <w:rFonts w:ascii="Calibri" w:hAnsi="Calibri"/>
          <w:b/>
          <w:sz w:val="20"/>
        </w:rPr>
        <w:t>Y una advertencia sobre el peso real de esta decisión: el proyecto no depende del entorno de desarrollo.</w:t>
      </w:r>
      <w:r>
        <w:rPr>
          <w:rFonts w:ascii="Calibri" w:hAnsi="Calibri"/>
          <w:b w:val="0"/>
          <w:sz w:val="20"/>
        </w:rPr>
        <w:t xml:space="preserve"> No hay ficheros de configuración de IntelliJ, PyCharm ni WebStorm versionados —están excluidos en el `.gitignore`—, la construcción se hace con el envoltorio de Maven (`./mvnw`) y con `npm` desde la línea de órdenes, y todas las comprobaciones de calidad corren en la integración continua. Cualquier integrante puede trabajar con otro editor sin romper nada, y eso es deliberado: </w:t>
      </w:r>
      <w:r>
        <w:rPr>
          <w:rFonts w:ascii="Calibri" w:hAnsi="Calibri"/>
          <w:b/>
          <w:sz w:val="20"/>
        </w:rPr>
        <w:t>atar un proyecto a un entorno de desarrollo concreto es una dependencia innecesaria</w:t>
      </w:r>
      <w:r>
        <w:rPr>
          <w:rFonts w:ascii="Calibri" w:hAnsi="Calibri"/>
          <w:b w:val="0"/>
          <w:sz w:val="20"/>
        </w:rPr>
        <w:t xml:space="preserve"> y convierte en obligatorio algo que debería ser preferencia.</w:t>
      </w:r>
    </w:p>
    <w:p>
      <w:r>
        <w:br w:type="page"/>
      </w:r>
    </w:p>
    <w:p>
      <w:pPr>
        <w:spacing w:before="200" w:after="100"/>
      </w:pPr>
      <w:r>
        <w:rPr>
          <w:rFonts w:ascii="Calibri" w:hAnsi="Calibri"/>
          <w:b/>
          <w:color w:val="064475"/>
          <w:sz w:val="22"/>
        </w:rPr>
        <w:t>2.2 Sistema de control de versiones y alojamiento del repositorio</w:t>
      </w:r>
    </w:p>
    <w:tbl>
      <w:tblPr>
        <w:tblStyle w:val="TableGrid"/>
        <w:tblW w:type="auto" w:w="0"/>
        <w:tblLook w:firstColumn="1" w:firstRow="1" w:lastColumn="0" w:lastRow="0" w:noHBand="0" w:noVBand="1" w:val="04A0"/>
      </w:tblPr>
      <w:tblGrid>
        <w:gridCol w:w="3784"/>
        <w:gridCol w:w="3784"/>
        <w:gridCol w:w="3784"/>
        <w:gridCol w:w="3784"/>
      </w:tblGrid>
      <w:tr>
        <w:tc>
          <w:tcPr>
            <w:tcW w:type="dxa" w:w="2608"/>
            <w:shd w:val="clear" w:color="auto" w:fill="064475"/>
          </w:tcPr>
          <w:p>
            <w:pPr>
              <w:spacing w:after="40" w:before="40"/>
            </w:pPr>
            <w:r/>
            <w:r>
              <w:rPr>
                <w:rFonts w:ascii="Calibri" w:hAnsi="Calibri"/>
                <w:b/>
                <w:color w:val="FFFFFF"/>
                <w:sz w:val="17"/>
              </w:rPr>
              <w:t>Alternativa</w:t>
            </w:r>
          </w:p>
        </w:tc>
        <w:tc>
          <w:tcPr>
            <w:tcW w:type="dxa" w:w="4876"/>
            <w:shd w:val="clear" w:color="auto" w:fill="064475"/>
          </w:tcPr>
          <w:p>
            <w:pPr>
              <w:spacing w:after="40" w:before="40"/>
            </w:pPr>
            <w:r/>
            <w:r>
              <w:rPr>
                <w:rFonts w:ascii="Calibri" w:hAnsi="Calibri"/>
                <w:b/>
                <w:color w:val="FFFFFF"/>
                <w:sz w:val="17"/>
              </w:rPr>
              <w:t>A favor</w:t>
            </w:r>
          </w:p>
        </w:tc>
        <w:tc>
          <w:tcPr>
            <w:tcW w:type="dxa" w:w="4876"/>
            <w:shd w:val="clear" w:color="auto" w:fill="064475"/>
          </w:tcPr>
          <w:p>
            <w:pPr>
              <w:spacing w:after="40" w:before="40"/>
            </w:pPr>
            <w:r/>
            <w:r>
              <w:rPr>
                <w:rFonts w:ascii="Calibri" w:hAnsi="Calibri"/>
                <w:b/>
                <w:color w:val="FFFFFF"/>
                <w:sz w:val="17"/>
              </w:rPr>
              <w:t>En contra</w:t>
            </w:r>
          </w:p>
        </w:tc>
        <w:tc>
          <w:tcPr>
            <w:tcW w:type="dxa" w:w="2778"/>
            <w:shd w:val="clear" w:color="auto" w:fill="064475"/>
          </w:tcPr>
          <w:p>
            <w:pPr>
              <w:spacing w:after="40" w:before="40"/>
            </w:pPr>
            <w:r/>
            <w:r>
              <w:rPr>
                <w:rFonts w:ascii="Calibri" w:hAnsi="Calibri"/>
                <w:b/>
                <w:color w:val="FFFFFF"/>
                <w:sz w:val="17"/>
              </w:rPr>
              <w:t>Veredicto</w:t>
            </w:r>
          </w:p>
        </w:tc>
      </w:tr>
      <w:tr>
        <w:tc>
          <w:tcPr>
            <w:tcW w:type="dxa" w:w="2608"/>
            <w:shd w:val="clear" w:color="auto" w:fill="D9EAD3"/>
          </w:tcPr>
          <w:p>
            <w:pPr>
              <w:spacing w:after="40" w:before="40"/>
            </w:pPr>
            <w:r/>
            <w:r>
              <w:rPr>
                <w:rFonts w:ascii="Calibri" w:hAnsi="Calibri"/>
                <w:b/>
                <w:sz w:val="17"/>
              </w:rPr>
              <w:t>Git + GitHub</w:t>
            </w:r>
          </w:p>
        </w:tc>
        <w:tc>
          <w:tcPr>
            <w:tcW w:type="dxa" w:w="4876"/>
            <w:shd w:val="clear" w:color="auto" w:fill="D9EAD3"/>
          </w:tcPr>
          <w:p>
            <w:pPr>
              <w:spacing w:after="40" w:before="40"/>
            </w:pPr>
            <w:r/>
            <w:r>
              <w:rPr>
                <w:rFonts w:ascii="Calibri" w:hAnsi="Calibri"/>
                <w:b w:val="0"/>
                <w:sz w:val="17"/>
              </w:rPr>
              <w:t xml:space="preserve">Estándar de facto. Ramas protegidas con revisión obligatoria. </w:t>
            </w:r>
            <w:r>
              <w:rPr>
                <w:rFonts w:ascii="Calibri" w:hAnsi="Calibri"/>
                <w:b/>
                <w:sz w:val="17"/>
              </w:rPr>
              <w:t>GitHub Actions incluido en el nivel gratuito</w:t>
            </w:r>
            <w:r>
              <w:rPr>
                <w:rFonts w:ascii="Calibri" w:hAnsi="Calibri"/>
                <w:b w:val="0"/>
                <w:sz w:val="17"/>
              </w:rPr>
              <w:t>, lo que evita montar un servidor de integración aparte. Integración nativa con Jira, SonarCloud, Gitleaks y Trivy.</w:t>
            </w:r>
          </w:p>
        </w:tc>
        <w:tc>
          <w:tcPr>
            <w:tcW w:type="dxa" w:w="4876"/>
            <w:shd w:val="clear" w:color="auto" w:fill="D9EAD3"/>
          </w:tcPr>
          <w:p>
            <w:pPr>
              <w:spacing w:after="40" w:before="40"/>
            </w:pPr>
            <w:r/>
            <w:r>
              <w:rPr>
                <w:rFonts w:ascii="Calibri" w:hAnsi="Calibri"/>
                <w:b w:val="0"/>
                <w:sz w:val="17"/>
              </w:rPr>
              <w:t>Los minutos de ejecución son limitados en repositorios privados; el nuestro es público y por tanto no consume cuota.</w:t>
            </w:r>
          </w:p>
        </w:tc>
        <w:tc>
          <w:tcPr>
            <w:tcW w:type="dxa" w:w="2778"/>
            <w:shd w:val="clear" w:color="auto" w:fill="D9EAD3"/>
          </w:tcPr>
          <w:p>
            <w:pPr>
              <w:spacing w:after="40" w:before="40"/>
            </w:pPr>
            <w:r/>
            <w:r>
              <w:rPr>
                <w:rFonts w:ascii="Calibri" w:hAnsi="Calibri"/>
                <w:b/>
                <w:sz w:val="17"/>
              </w:rPr>
              <w:t>ELEGIDA</w:t>
            </w:r>
          </w:p>
        </w:tc>
      </w:tr>
      <w:tr>
        <w:tc>
          <w:tcPr>
            <w:tcW w:type="dxa" w:w="2608"/>
          </w:tcPr>
          <w:p>
            <w:pPr>
              <w:spacing w:after="40" w:before="40"/>
            </w:pPr>
            <w:r/>
            <w:r>
              <w:rPr>
                <w:rFonts w:ascii="Calibri" w:hAnsi="Calibri"/>
                <w:b w:val="0"/>
                <w:sz w:val="17"/>
              </w:rPr>
              <w:t>Git + GitLab</w:t>
            </w:r>
          </w:p>
        </w:tc>
        <w:tc>
          <w:tcPr>
            <w:tcW w:type="dxa" w:w="4876"/>
          </w:tcPr>
          <w:p>
            <w:pPr>
              <w:spacing w:after="40" w:before="40"/>
            </w:pPr>
            <w:r/>
            <w:r>
              <w:rPr>
                <w:rFonts w:ascii="Calibri" w:hAnsi="Calibri"/>
                <w:b w:val="0"/>
                <w:sz w:val="17"/>
              </w:rPr>
              <w:t>Integración continua incluida y muy capaz. Posibilidad de alojarlo uno mismo.</w:t>
            </w:r>
          </w:p>
        </w:tc>
        <w:tc>
          <w:tcPr>
            <w:tcW w:type="dxa" w:w="4876"/>
          </w:tcPr>
          <w:p>
            <w:pPr>
              <w:spacing w:after="40" w:before="40"/>
            </w:pPr>
            <w:r/>
            <w:r>
              <w:rPr>
                <w:rFonts w:ascii="Calibri" w:hAnsi="Calibri"/>
                <w:b w:val="0"/>
                <w:sz w:val="17"/>
              </w:rPr>
              <w:t>El nivel gratuito recorta minutos de ejecución y funciones de revisión. Menos integraciones directas con el resto de herramientas que ya usamos.</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Git + Bitbucket</w:t>
            </w:r>
          </w:p>
        </w:tc>
        <w:tc>
          <w:tcPr>
            <w:tcW w:type="dxa" w:w="4876"/>
          </w:tcPr>
          <w:p>
            <w:pPr>
              <w:spacing w:after="40" w:before="40"/>
            </w:pPr>
            <w:r/>
            <w:r>
              <w:rPr>
                <w:rFonts w:ascii="Calibri" w:hAnsi="Calibri"/>
                <w:b w:val="0"/>
                <w:sz w:val="17"/>
              </w:rPr>
              <w:t>Integración estrecha con Jira, del mismo fabricante.</w:t>
            </w:r>
          </w:p>
        </w:tc>
        <w:tc>
          <w:tcPr>
            <w:tcW w:type="dxa" w:w="4876"/>
          </w:tcPr>
          <w:p>
            <w:pPr>
              <w:spacing w:after="40" w:before="40"/>
            </w:pPr>
            <w:r/>
            <w:r>
              <w:rPr>
                <w:rFonts w:ascii="Calibri" w:hAnsi="Calibri"/>
                <w:b w:val="0"/>
                <w:sz w:val="17"/>
              </w:rPr>
              <w:t>Pipelines con minutos muy limitados en el plan gratuito. Comunidad y ecosistema menores.</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Subversion (SVN)</w:t>
            </w:r>
          </w:p>
        </w:tc>
        <w:tc>
          <w:tcPr>
            <w:tcW w:type="dxa" w:w="4876"/>
          </w:tcPr>
          <w:p>
            <w:pPr>
              <w:spacing w:after="40" w:before="40"/>
            </w:pPr>
            <w:r/>
            <w:r>
              <w:rPr>
                <w:rFonts w:ascii="Calibri" w:hAnsi="Calibri"/>
                <w:b w:val="0"/>
                <w:sz w:val="17"/>
              </w:rPr>
              <w:t>Modelo centralizado, sencillo de entender para quien empieza.</w:t>
            </w:r>
          </w:p>
        </w:tc>
        <w:tc>
          <w:tcPr>
            <w:tcW w:type="dxa" w:w="4876"/>
          </w:tcPr>
          <w:p>
            <w:pPr>
              <w:spacing w:after="40" w:before="40"/>
            </w:pPr>
            <w:r/>
            <w:r>
              <w:rPr>
                <w:rFonts w:ascii="Calibri" w:hAnsi="Calibri"/>
                <w:b w:val="0"/>
                <w:sz w:val="17"/>
              </w:rPr>
              <w:t xml:space="preserve">Sin ramificación barata ni trabajo desconectado. </w:t>
            </w:r>
            <w:r>
              <w:rPr>
                <w:rFonts w:ascii="Calibri" w:hAnsi="Calibri"/>
                <w:b/>
                <w:sz w:val="17"/>
              </w:rPr>
              <w:t>Incompatible con GitFlow y con el flujo de revisión por Pull Request</w:t>
            </w:r>
            <w:r>
              <w:rPr>
                <w:rFonts w:ascii="Calibri" w:hAnsi="Calibri"/>
                <w:b w:val="0"/>
                <w:sz w:val="17"/>
              </w:rPr>
              <w:t>, que es la base de nuestro control de calidad.</w:t>
            </w:r>
          </w:p>
        </w:tc>
        <w:tc>
          <w:tcPr>
            <w:tcW w:type="dxa" w:w="2778"/>
          </w:tcPr>
          <w:p>
            <w:pPr>
              <w:spacing w:after="40" w:before="40"/>
            </w:pPr>
            <w:r/>
            <w:r>
              <w:rPr>
                <w:rFonts w:ascii="Calibri" w:hAnsi="Calibri"/>
                <w:b w:val="0"/>
                <w:sz w:val="17"/>
              </w:rPr>
              <w:t>Descartada</w:t>
            </w:r>
          </w:p>
        </w:tc>
      </w:tr>
    </w:tbl>
    <w:p>
      <w:pPr>
        <w:spacing w:after="160"/>
        <w:jc w:val="both"/>
      </w:pPr>
    </w:p>
    <w:p>
      <w:pPr>
        <w:spacing w:after="160"/>
        <w:jc w:val="both"/>
      </w:pPr>
      <w:r>
        <w:rPr>
          <w:rFonts w:ascii="Calibri" w:hAnsi="Calibri"/>
          <w:b/>
          <w:sz w:val="19"/>
        </w:rPr>
        <w:t>Decisión.</w:t>
      </w:r>
      <w:r>
        <w:rPr>
          <w:rFonts w:ascii="Calibri" w:hAnsi="Calibri"/>
          <w:b w:val="0"/>
          <w:sz w:val="19"/>
        </w:rPr>
        <w:t xml:space="preserve"> Git con alojamiento en GitHub, repositorio público, con </w:t>
      </w:r>
      <w:r>
        <w:rPr>
          <w:rFonts w:ascii="Calibri" w:hAnsi="Calibri"/>
          <w:b/>
          <w:sz w:val="19"/>
        </w:rPr>
        <w:t>GitFlow</w:t>
      </w:r>
      <w:r>
        <w:rPr>
          <w:rFonts w:ascii="Calibri" w:hAnsi="Calibri"/>
          <w:b w:val="0"/>
          <w:sz w:val="19"/>
        </w:rPr>
        <w:t xml:space="preserve"> como estrategia de ramas: `main` recibe solo desde `release` o `hotfix`, `develop` integra el trabajo, y cada historia vive en su rama `feature/AYNI-xx-descripcion`. La rama `main` está protegida: </w:t>
      </w:r>
      <w:r>
        <w:rPr>
          <w:rFonts w:ascii="Calibri" w:hAnsi="Calibri"/>
          <w:b/>
          <w:sz w:val="19"/>
        </w:rPr>
        <w:t>ninguna fusión ocurre sin Pull Request aprobado y sin que las trece comprobaciones automáticas estén en verde.</w:t>
      </w:r>
      <w:r>
        <w:rPr>
          <w:rFonts w:ascii="Calibri" w:hAnsi="Calibri"/>
          <w:b w:val="0"/>
          <w:sz w:val="19"/>
        </w:rPr>
        <w:t xml:space="preserve"> Los mensajes de confirmación siguen Conventional Commits con referencia a la clave de Jira, lo que enlaza cada línea de código con la historia que la justificó.</w:t>
      </w:r>
    </w:p>
    <w:p>
      <w:r>
        <w:br w:type="page"/>
      </w:r>
    </w:p>
    <w:p>
      <w:pPr>
        <w:spacing w:before="200" w:after="100"/>
      </w:pPr>
      <w:r>
        <w:rPr>
          <w:rFonts w:ascii="Calibri" w:hAnsi="Calibri"/>
          <w:b/>
          <w:color w:val="064475"/>
          <w:sz w:val="22"/>
        </w:rPr>
        <w:t>2.3 Plataforma de despliegue e integración continua</w:t>
      </w:r>
    </w:p>
    <w:tbl>
      <w:tblPr>
        <w:tblStyle w:val="TableGrid"/>
        <w:tblW w:type="auto" w:w="0"/>
        <w:tblLook w:firstColumn="1" w:firstRow="1" w:lastColumn="0" w:lastRow="0" w:noHBand="0" w:noVBand="1" w:val="04A0"/>
      </w:tblPr>
      <w:tblGrid>
        <w:gridCol w:w="3784"/>
        <w:gridCol w:w="3784"/>
        <w:gridCol w:w="3784"/>
        <w:gridCol w:w="3784"/>
      </w:tblGrid>
      <w:tr>
        <w:tc>
          <w:tcPr>
            <w:tcW w:type="dxa" w:w="2608"/>
            <w:shd w:val="clear" w:color="auto" w:fill="064475"/>
          </w:tcPr>
          <w:p>
            <w:pPr>
              <w:spacing w:after="40" w:before="40"/>
            </w:pPr>
            <w:r/>
            <w:r>
              <w:rPr>
                <w:rFonts w:ascii="Calibri" w:hAnsi="Calibri"/>
                <w:b/>
                <w:color w:val="FFFFFF"/>
                <w:sz w:val="17"/>
              </w:rPr>
              <w:t>Alternativa</w:t>
            </w:r>
          </w:p>
        </w:tc>
        <w:tc>
          <w:tcPr>
            <w:tcW w:type="dxa" w:w="4876"/>
            <w:shd w:val="clear" w:color="auto" w:fill="064475"/>
          </w:tcPr>
          <w:p>
            <w:pPr>
              <w:spacing w:after="40" w:before="40"/>
            </w:pPr>
            <w:r/>
            <w:r>
              <w:rPr>
                <w:rFonts w:ascii="Calibri" w:hAnsi="Calibri"/>
                <w:b/>
                <w:color w:val="FFFFFF"/>
                <w:sz w:val="17"/>
              </w:rPr>
              <w:t>A favor</w:t>
            </w:r>
          </w:p>
        </w:tc>
        <w:tc>
          <w:tcPr>
            <w:tcW w:type="dxa" w:w="4876"/>
            <w:shd w:val="clear" w:color="auto" w:fill="064475"/>
          </w:tcPr>
          <w:p>
            <w:pPr>
              <w:spacing w:after="40" w:before="40"/>
            </w:pPr>
            <w:r/>
            <w:r>
              <w:rPr>
                <w:rFonts w:ascii="Calibri" w:hAnsi="Calibri"/>
                <w:b/>
                <w:color w:val="FFFFFF"/>
                <w:sz w:val="17"/>
              </w:rPr>
              <w:t>En contra</w:t>
            </w:r>
          </w:p>
        </w:tc>
        <w:tc>
          <w:tcPr>
            <w:tcW w:type="dxa" w:w="2778"/>
            <w:shd w:val="clear" w:color="auto" w:fill="064475"/>
          </w:tcPr>
          <w:p>
            <w:pPr>
              <w:spacing w:after="40" w:before="40"/>
            </w:pPr>
            <w:r/>
            <w:r>
              <w:rPr>
                <w:rFonts w:ascii="Calibri" w:hAnsi="Calibri"/>
                <w:b/>
                <w:color w:val="FFFFFF"/>
                <w:sz w:val="17"/>
              </w:rPr>
              <w:t>Veredicto</w:t>
            </w:r>
          </w:p>
        </w:tc>
      </w:tr>
      <w:tr>
        <w:tc>
          <w:tcPr>
            <w:tcW w:type="dxa" w:w="2608"/>
            <w:shd w:val="clear" w:color="auto" w:fill="D9EAD3"/>
          </w:tcPr>
          <w:p>
            <w:pPr>
              <w:spacing w:after="40" w:before="40"/>
            </w:pPr>
            <w:r/>
            <w:r>
              <w:rPr>
                <w:rFonts w:ascii="Calibri" w:hAnsi="Calibri"/>
                <w:b/>
                <w:sz w:val="17"/>
              </w:rPr>
              <w:t>Docker + Docker Compose + GitHub Actions</w:t>
            </w:r>
          </w:p>
        </w:tc>
        <w:tc>
          <w:tcPr>
            <w:tcW w:type="dxa" w:w="4876"/>
            <w:shd w:val="clear" w:color="auto" w:fill="D9EAD3"/>
          </w:tcPr>
          <w:p>
            <w:pPr>
              <w:spacing w:after="40" w:before="40"/>
            </w:pPr>
            <w:r/>
            <w:r>
              <w:rPr>
                <w:rFonts w:ascii="Calibri" w:hAnsi="Calibri"/>
                <w:b w:val="0"/>
                <w:sz w:val="17"/>
              </w:rPr>
              <w:t>Una sola imagen que corre igual en el portátil, en la Raspberry Pi y en Oracle Cloud. La integración continua vive junto al código, versionada, sin servidor que mantener. Imágenes multiarquitectura para ARM64.</w:t>
            </w:r>
          </w:p>
        </w:tc>
        <w:tc>
          <w:tcPr>
            <w:tcW w:type="dxa" w:w="4876"/>
            <w:shd w:val="clear" w:color="auto" w:fill="D9EAD3"/>
          </w:tcPr>
          <w:p>
            <w:pPr>
              <w:spacing w:after="40" w:before="40"/>
            </w:pPr>
            <w:r/>
            <w:r>
              <w:rPr>
                <w:rFonts w:ascii="Calibri" w:hAnsi="Calibri"/>
                <w:b w:val="0"/>
                <w:sz w:val="17"/>
              </w:rPr>
              <w:t>GitHub Actions no permite despliegues complejos con aprobaciones sofisticadas sin trabajo adicional; para nuestro alcance basta con los entornos protegidos.</w:t>
            </w:r>
          </w:p>
        </w:tc>
        <w:tc>
          <w:tcPr>
            <w:tcW w:type="dxa" w:w="2778"/>
            <w:shd w:val="clear" w:color="auto" w:fill="D9EAD3"/>
          </w:tcPr>
          <w:p>
            <w:pPr>
              <w:spacing w:after="40" w:before="40"/>
            </w:pPr>
            <w:r/>
            <w:r>
              <w:rPr>
                <w:rFonts w:ascii="Calibri" w:hAnsi="Calibri"/>
                <w:b/>
                <w:sz w:val="17"/>
              </w:rPr>
              <w:t>ELEGIDA</w:t>
            </w:r>
          </w:p>
        </w:tc>
      </w:tr>
      <w:tr>
        <w:tc>
          <w:tcPr>
            <w:tcW w:type="dxa" w:w="2608"/>
          </w:tcPr>
          <w:p>
            <w:pPr>
              <w:spacing w:after="40" w:before="40"/>
            </w:pPr>
            <w:r/>
            <w:r>
              <w:rPr>
                <w:rFonts w:ascii="Calibri" w:hAnsi="Calibri"/>
                <w:b w:val="0"/>
                <w:sz w:val="17"/>
              </w:rPr>
              <w:t>Jenkins</w:t>
            </w:r>
          </w:p>
        </w:tc>
        <w:tc>
          <w:tcPr>
            <w:tcW w:type="dxa" w:w="4876"/>
          </w:tcPr>
          <w:p>
            <w:pPr>
              <w:spacing w:after="40" w:before="40"/>
            </w:pPr>
            <w:r/>
            <w:r>
              <w:rPr>
                <w:rFonts w:ascii="Calibri" w:hAnsi="Calibri"/>
                <w:b w:val="0"/>
                <w:sz w:val="17"/>
              </w:rPr>
              <w:t>Muy flexible, con un ecosistema enorme de complementos. Estándar en muchas empresas.</w:t>
            </w:r>
          </w:p>
        </w:tc>
        <w:tc>
          <w:tcPr>
            <w:tcW w:type="dxa" w:w="4876"/>
          </w:tcPr>
          <w:p>
            <w:pPr>
              <w:spacing w:after="40" w:before="40"/>
            </w:pPr>
            <w:r/>
            <w:r>
              <w:rPr>
                <w:rFonts w:ascii="Calibri" w:hAnsi="Calibri"/>
                <w:b/>
                <w:sz w:val="17"/>
              </w:rPr>
              <w:t>Exige un servidor propio permanentemente encendido</w:t>
            </w:r>
            <w:r>
              <w:rPr>
                <w:rFonts w:ascii="Calibri" w:hAnsi="Calibri"/>
                <w:b w:val="0"/>
                <w:sz w:val="17"/>
              </w:rPr>
              <w:t>, que hay que instalar, actualizar y asegurar. Ese servidor sería otro punto de fallo y otro consumidor de los recursos limitados de la Raspberry Pi.</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Vercel / Netlify</w:t>
            </w:r>
          </w:p>
        </w:tc>
        <w:tc>
          <w:tcPr>
            <w:tcW w:type="dxa" w:w="4876"/>
          </w:tcPr>
          <w:p>
            <w:pPr>
              <w:spacing w:after="40" w:before="40"/>
            </w:pPr>
            <w:r/>
            <w:r>
              <w:rPr>
                <w:rFonts w:ascii="Calibri" w:hAnsi="Calibri"/>
                <w:b w:val="0"/>
                <w:sz w:val="17"/>
              </w:rPr>
              <w:t>Despliegue de Next.js prácticamente sin configuración.</w:t>
            </w:r>
          </w:p>
        </w:tc>
        <w:tc>
          <w:tcPr>
            <w:tcW w:type="dxa" w:w="4876"/>
          </w:tcPr>
          <w:p>
            <w:pPr>
              <w:spacing w:after="40" w:before="40"/>
            </w:pPr>
            <w:r/>
            <w:r>
              <w:rPr>
                <w:rFonts w:ascii="Calibri" w:hAnsi="Calibri"/>
                <w:b w:val="0"/>
                <w:sz w:val="17"/>
              </w:rPr>
              <w:t>Resuelven solo el front-end. Los tres servicios en Java, PostgreSQL, RabbitMQ y MinIO seguirían sin sitio, de modo que haría falta una segunda plataforma igualmente.</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Kubernetes</w:t>
            </w:r>
          </w:p>
        </w:tc>
        <w:tc>
          <w:tcPr>
            <w:tcW w:type="dxa" w:w="4876"/>
          </w:tcPr>
          <w:p>
            <w:pPr>
              <w:spacing w:after="40" w:before="40"/>
            </w:pPr>
            <w:r/>
            <w:r>
              <w:rPr>
                <w:rFonts w:ascii="Calibri" w:hAnsi="Calibri"/>
                <w:b w:val="0"/>
                <w:sz w:val="17"/>
              </w:rPr>
              <w:t>Orquestación real, escalado automático, recuperación ante fallos.</w:t>
            </w:r>
          </w:p>
        </w:tc>
        <w:tc>
          <w:tcPr>
            <w:tcW w:type="dxa" w:w="4876"/>
          </w:tcPr>
          <w:p>
            <w:pPr>
              <w:spacing w:after="40" w:before="40"/>
            </w:pPr>
            <w:r/>
            <w:r>
              <w:rPr>
                <w:rFonts w:ascii="Calibri" w:hAnsi="Calibri"/>
                <w:b w:val="0"/>
                <w:sz w:val="17"/>
              </w:rPr>
              <w:t>Complejidad operativa desproporcionada para seis servicios en un solo nodo. Añadiría una curva de aprendizaje que el proyecto no puede pagar (riesgo R-14).</w:t>
            </w:r>
          </w:p>
        </w:tc>
        <w:tc>
          <w:tcPr>
            <w:tcW w:type="dxa" w:w="2778"/>
          </w:tcPr>
          <w:p>
            <w:pPr>
              <w:spacing w:after="40" w:before="40"/>
            </w:pPr>
            <w:r/>
            <w:r>
              <w:rPr>
                <w:rFonts w:ascii="Calibri" w:hAnsi="Calibri"/>
                <w:b w:val="0"/>
                <w:sz w:val="17"/>
              </w:rPr>
              <w:t>Descartada</w:t>
            </w:r>
          </w:p>
        </w:tc>
      </w:tr>
    </w:tbl>
    <w:p>
      <w:pPr>
        <w:spacing w:after="160"/>
        <w:jc w:val="both"/>
      </w:pPr>
    </w:p>
    <w:p>
      <w:pPr>
        <w:spacing w:after="160"/>
        <w:jc w:val="both"/>
      </w:pPr>
      <w:r>
        <w:rPr>
          <w:rFonts w:ascii="Calibri" w:hAnsi="Calibri"/>
          <w:b/>
          <w:sz w:val="19"/>
        </w:rPr>
        <w:t>Decisión, y por qué no las dos cosas.</w:t>
      </w:r>
      <w:r>
        <w:rPr>
          <w:rFonts w:ascii="Calibri" w:hAnsi="Calibri"/>
          <w:b w:val="0"/>
          <w:sz w:val="19"/>
        </w:rPr>
        <w:t xml:space="preserve"> En clase se planteó si convenía «Docker o Jenkins, o los dos juntos». No son alternativas del mismo tipo: </w:t>
      </w:r>
      <w:r>
        <w:rPr>
          <w:rFonts w:ascii="Calibri" w:hAnsi="Calibri"/>
          <w:b/>
          <w:sz w:val="19"/>
        </w:rPr>
        <w:t>Docker resuelve el empaquetado y Jenkins la orquestación de la integración</w:t>
      </w:r>
      <w:r>
        <w:rPr>
          <w:rFonts w:ascii="Calibri" w:hAnsi="Calibri"/>
          <w:b w:val="0"/>
          <w:sz w:val="19"/>
        </w:rPr>
        <w:t xml:space="preserve">, de modo que podrían convivir. La elección es </w:t>
      </w:r>
      <w:r>
        <w:rPr>
          <w:rFonts w:ascii="Calibri" w:hAnsi="Calibri"/>
          <w:b/>
          <w:sz w:val="19"/>
        </w:rPr>
        <w:t>Docker sin Jenkins</w:t>
      </w:r>
      <w:r>
        <w:rPr>
          <w:rFonts w:ascii="Calibri" w:hAnsi="Calibri"/>
          <w:b w:val="0"/>
          <w:sz w:val="19"/>
        </w:rPr>
        <w:t xml:space="preserve">, porque GitHub Actions ya cubre lo que Jenkins aportaría y lo hace sin exigir un servidor encendido las 24 horas. Añadir Jenkins introduciría una pieza que instalar, actualizar y asegurar, a cambio de una flexibilidad que este proyecto no necesita. La regla aplicada es la misma de todo el documento: </w:t>
      </w:r>
      <w:r>
        <w:rPr>
          <w:rFonts w:ascii="Calibri" w:hAnsi="Calibri"/>
          <w:b/>
          <w:sz w:val="19"/>
        </w:rPr>
        <w:t>una herramienta más solo entra si resuelve un problema que hoy no está resuelto.</w:t>
      </w:r>
    </w:p>
    <w:p>
      <w:pPr>
        <w:spacing w:after="160"/>
        <w:jc w:val="both"/>
      </w:pPr>
    </w:p>
    <w:p>
      <w:pPr>
        <w:spacing w:before="200" w:after="100"/>
      </w:pPr>
      <w:r>
        <w:rPr>
          <w:rFonts w:ascii="Calibri" w:hAnsi="Calibri"/>
          <w:b/>
          <w:color w:val="064475"/>
          <w:sz w:val="22"/>
        </w:rPr>
        <w:t>Infraestructura de ejecución</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2041"/>
            <w:shd w:val="clear" w:color="auto" w:fill="064475"/>
          </w:tcPr>
          <w:p>
            <w:pPr>
              <w:spacing w:after="40" w:before="40"/>
            </w:pPr>
            <w:r/>
            <w:r>
              <w:rPr>
                <w:rFonts w:ascii="Calibri" w:hAnsi="Calibri"/>
                <w:b/>
                <w:color w:val="FFFFFF"/>
                <w:sz w:val="17"/>
              </w:rPr>
              <w:t>Entorno</w:t>
            </w:r>
          </w:p>
        </w:tc>
        <w:tc>
          <w:tcPr>
            <w:tcW w:type="dxa" w:w="3061"/>
            <w:shd w:val="clear" w:color="auto" w:fill="064475"/>
          </w:tcPr>
          <w:p>
            <w:pPr>
              <w:spacing w:after="40" w:before="40"/>
            </w:pPr>
            <w:r/>
            <w:r>
              <w:rPr>
                <w:rFonts w:ascii="Calibri" w:hAnsi="Calibri"/>
                <w:b/>
                <w:color w:val="FFFFFF"/>
                <w:sz w:val="17"/>
              </w:rPr>
              <w:t>Plataforma</w:t>
            </w:r>
          </w:p>
        </w:tc>
        <w:tc>
          <w:tcPr>
            <w:tcW w:type="dxa" w:w="3628"/>
            <w:shd w:val="clear" w:color="auto" w:fill="064475"/>
          </w:tcPr>
          <w:p>
            <w:pPr>
              <w:spacing w:after="40" w:before="40"/>
            </w:pPr>
            <w:r/>
            <w:r>
              <w:rPr>
                <w:rFonts w:ascii="Calibri" w:hAnsi="Calibri"/>
                <w:b/>
                <w:color w:val="FFFFFF"/>
                <w:sz w:val="17"/>
              </w:rPr>
              <w:t>Características</w:t>
            </w:r>
          </w:p>
        </w:tc>
        <w:tc>
          <w:tcPr>
            <w:tcW w:type="dxa" w:w="1701"/>
            <w:shd w:val="clear" w:color="auto" w:fill="064475"/>
          </w:tcPr>
          <w:p>
            <w:pPr>
              <w:spacing w:after="40" w:before="40"/>
            </w:pPr>
            <w:r/>
            <w:r>
              <w:rPr>
                <w:rFonts w:ascii="Calibri" w:hAnsi="Calibri"/>
                <w:b/>
                <w:color w:val="FFFFFF"/>
                <w:sz w:val="17"/>
              </w:rPr>
              <w:t>Coste</w:t>
            </w:r>
          </w:p>
        </w:tc>
        <w:tc>
          <w:tcPr>
            <w:tcW w:type="dxa" w:w="4706"/>
            <w:shd w:val="clear" w:color="auto" w:fill="064475"/>
          </w:tcPr>
          <w:p>
            <w:pPr>
              <w:spacing w:after="40" w:before="40"/>
            </w:pPr>
            <w:r/>
            <w:r>
              <w:rPr>
                <w:rFonts w:ascii="Calibri" w:hAnsi="Calibri"/>
                <w:b/>
                <w:color w:val="FFFFFF"/>
                <w:sz w:val="17"/>
              </w:rPr>
              <w:t>Justificación</w:t>
            </w:r>
          </w:p>
        </w:tc>
      </w:tr>
      <w:tr>
        <w:tc>
          <w:tcPr>
            <w:tcW w:type="dxa" w:w="2041"/>
          </w:tcPr>
          <w:p>
            <w:pPr>
              <w:spacing w:after="40" w:before="40"/>
            </w:pPr>
            <w:r/>
            <w:r>
              <w:rPr>
                <w:rFonts w:ascii="Calibri" w:hAnsi="Calibri"/>
                <w:b w:val="0"/>
                <w:sz w:val="17"/>
              </w:rPr>
              <w:t>Desarrollo</w:t>
            </w:r>
          </w:p>
        </w:tc>
        <w:tc>
          <w:tcPr>
            <w:tcW w:type="dxa" w:w="3061"/>
          </w:tcPr>
          <w:p>
            <w:pPr>
              <w:spacing w:after="40" w:before="40"/>
            </w:pPr>
            <w:r/>
            <w:r>
              <w:rPr>
                <w:rFonts w:ascii="Calibri" w:hAnsi="Calibri"/>
                <w:b w:val="0"/>
                <w:sz w:val="17"/>
              </w:rPr>
              <w:t>Docker Desktop en el equipo de cada integrante</w:t>
            </w:r>
          </w:p>
        </w:tc>
        <w:tc>
          <w:tcPr>
            <w:tcW w:type="dxa" w:w="3628"/>
          </w:tcPr>
          <w:p>
            <w:pPr>
              <w:spacing w:after="40" w:before="40"/>
            </w:pPr>
            <w:r/>
            <w:r>
              <w:rPr>
                <w:rFonts w:ascii="Calibri" w:hAnsi="Calibri"/>
                <w:b w:val="0"/>
                <w:sz w:val="17"/>
              </w:rPr>
              <w:t>Los diez contenedores del `docker compose`</w:t>
            </w:r>
          </w:p>
        </w:tc>
        <w:tc>
          <w:tcPr>
            <w:tcW w:type="dxa" w:w="1701"/>
          </w:tcPr>
          <w:p>
            <w:pPr>
              <w:spacing w:after="40" w:before="40"/>
            </w:pPr>
            <w:r/>
            <w:r>
              <w:rPr>
                <w:rFonts w:ascii="Calibri" w:hAnsi="Calibri"/>
                <w:b w:val="0"/>
                <w:sz w:val="17"/>
              </w:rPr>
              <w:t>S/ 0</w:t>
            </w:r>
          </w:p>
        </w:tc>
        <w:tc>
          <w:tcPr>
            <w:tcW w:type="dxa" w:w="4706"/>
          </w:tcPr>
          <w:p>
            <w:pPr>
              <w:spacing w:after="40" w:before="40"/>
            </w:pPr>
            <w:r/>
            <w:r>
              <w:rPr>
                <w:rFonts w:ascii="Calibri" w:hAnsi="Calibri"/>
                <w:b w:val="0"/>
                <w:sz w:val="17"/>
              </w:rPr>
              <w:t>Un solo comando levanta el sistema completo. Elimina el «en mi máquina funciona».</w:t>
            </w:r>
          </w:p>
        </w:tc>
      </w:tr>
      <w:tr>
        <w:tc>
          <w:tcPr>
            <w:tcW w:type="dxa" w:w="2041"/>
          </w:tcPr>
          <w:p>
            <w:pPr>
              <w:spacing w:after="40" w:before="40"/>
            </w:pPr>
            <w:r/>
            <w:r>
              <w:rPr>
                <w:rFonts w:ascii="Calibri" w:hAnsi="Calibri"/>
                <w:b w:val="0"/>
                <w:sz w:val="17"/>
              </w:rPr>
              <w:t>Pruebas (staging)</w:t>
            </w:r>
          </w:p>
        </w:tc>
        <w:tc>
          <w:tcPr>
            <w:tcW w:type="dxa" w:w="3061"/>
          </w:tcPr>
          <w:p>
            <w:pPr>
              <w:spacing w:after="40" w:before="40"/>
            </w:pPr>
            <w:r/>
            <w:r>
              <w:rPr>
                <w:rFonts w:ascii="Calibri" w:hAnsi="Calibri"/>
                <w:b w:val="0"/>
                <w:sz w:val="17"/>
              </w:rPr>
              <w:t>Raspberry Pi 5</w:t>
            </w:r>
          </w:p>
        </w:tc>
        <w:tc>
          <w:tcPr>
            <w:tcW w:type="dxa" w:w="3628"/>
          </w:tcPr>
          <w:p>
            <w:pPr>
              <w:spacing w:after="40" w:before="40"/>
            </w:pPr>
            <w:r/>
            <w:r>
              <w:rPr>
                <w:rFonts w:ascii="Calibri" w:hAnsi="Calibri"/>
                <w:b w:val="0"/>
                <w:sz w:val="17"/>
              </w:rPr>
              <w:t>4 núcleos ARM Cortex-A76, 8 GB de memoria</w:t>
            </w:r>
          </w:p>
        </w:tc>
        <w:tc>
          <w:tcPr>
            <w:tcW w:type="dxa" w:w="1701"/>
          </w:tcPr>
          <w:p>
            <w:pPr>
              <w:spacing w:after="40" w:before="40"/>
            </w:pPr>
            <w:r/>
            <w:r>
              <w:rPr>
                <w:rFonts w:ascii="Calibri" w:hAnsi="Calibri"/>
                <w:b w:val="0"/>
                <w:sz w:val="17"/>
              </w:rPr>
              <w:t>Hardware ya disponible</w:t>
            </w:r>
          </w:p>
        </w:tc>
        <w:tc>
          <w:tcPr>
            <w:tcW w:type="dxa" w:w="4706"/>
          </w:tcPr>
          <w:p>
            <w:pPr>
              <w:spacing w:after="40" w:before="40"/>
            </w:pPr>
            <w:r/>
            <w:r>
              <w:rPr>
                <w:rFonts w:ascii="Calibri" w:hAnsi="Calibri"/>
                <w:b w:val="0"/>
                <w:sz w:val="17"/>
              </w:rPr>
              <w:t>Comparte arquitectura ARM64 con producción, de modo que la misma imagen corre en ambos sin recompilar.</w:t>
            </w:r>
          </w:p>
        </w:tc>
      </w:tr>
      <w:tr>
        <w:tc>
          <w:tcPr>
            <w:tcW w:type="dxa" w:w="2041"/>
          </w:tcPr>
          <w:p>
            <w:pPr>
              <w:spacing w:after="40" w:before="40"/>
            </w:pPr>
            <w:r/>
            <w:r>
              <w:rPr>
                <w:rFonts w:ascii="Calibri" w:hAnsi="Calibri"/>
                <w:b w:val="0"/>
                <w:sz w:val="17"/>
              </w:rPr>
              <w:t>Producción</w:t>
            </w:r>
          </w:p>
        </w:tc>
        <w:tc>
          <w:tcPr>
            <w:tcW w:type="dxa" w:w="3061"/>
          </w:tcPr>
          <w:p>
            <w:pPr>
              <w:spacing w:after="40" w:before="40"/>
            </w:pPr>
            <w:r/>
            <w:r>
              <w:rPr>
                <w:rFonts w:ascii="Calibri" w:hAnsi="Calibri"/>
                <w:b w:val="0"/>
                <w:sz w:val="17"/>
              </w:rPr>
              <w:t>Oracle Cloud Always Free</w:t>
            </w:r>
          </w:p>
        </w:tc>
        <w:tc>
          <w:tcPr>
            <w:tcW w:type="dxa" w:w="3628"/>
          </w:tcPr>
          <w:p>
            <w:pPr>
              <w:spacing w:after="40" w:before="40"/>
            </w:pPr>
            <w:r/>
            <w:r>
              <w:rPr>
                <w:rFonts w:ascii="Calibri" w:hAnsi="Calibri"/>
                <w:b w:val="0"/>
                <w:sz w:val="17"/>
              </w:rPr>
              <w:t>4 vCPU ARM Ampere A1, 24 GB de memoria, 200 GB de disco</w:t>
            </w:r>
          </w:p>
        </w:tc>
        <w:tc>
          <w:tcPr>
            <w:tcW w:type="dxa" w:w="1701"/>
          </w:tcPr>
          <w:p>
            <w:pPr>
              <w:spacing w:after="40" w:before="40"/>
            </w:pPr>
            <w:r/>
            <w:r>
              <w:rPr>
                <w:rFonts w:ascii="Calibri" w:hAnsi="Calibri"/>
                <w:b w:val="0"/>
                <w:sz w:val="17"/>
              </w:rPr>
              <w:t>S/ 0 permanente</w:t>
            </w:r>
          </w:p>
        </w:tc>
        <w:tc>
          <w:tcPr>
            <w:tcW w:type="dxa" w:w="4706"/>
          </w:tcPr>
          <w:p>
            <w:pPr>
              <w:spacing w:after="40" w:before="40"/>
            </w:pPr>
            <w:r/>
            <w:r>
              <w:rPr>
                <w:rFonts w:ascii="Calibri" w:hAnsi="Calibri"/>
                <w:b w:val="0"/>
                <w:sz w:val="17"/>
              </w:rPr>
              <w:t>Es el nivel gratuito más generoso del mercado y el único que ofrece esa capacidad sin caducidad. Ver ADR-0005.</w:t>
            </w:r>
          </w:p>
        </w:tc>
      </w:tr>
    </w:tbl>
    <w:p>
      <w:pPr>
        <w:spacing w:after="160"/>
        <w:jc w:val="both"/>
      </w:pPr>
    </w:p>
    <w:p>
      <w:pPr>
        <w:spacing w:after="160"/>
        <w:jc w:val="both"/>
      </w:pPr>
      <w:r>
        <w:rPr>
          <w:rFonts w:ascii="Calibri" w:hAnsi="Calibri"/>
          <w:b/>
          <w:sz w:val="20"/>
        </w:rPr>
        <w:t>Sobre la elección del proveedor de nube.</w:t>
      </w:r>
      <w:r>
        <w:rPr>
          <w:rFonts w:ascii="Calibri" w:hAnsi="Calibri"/>
          <w:b w:val="0"/>
          <w:sz w:val="20"/>
        </w:rPr>
        <w:t xml:space="preserve"> Se evaluaron AWS y Azure, ambos descartados: su nivel gratuito es un periodo de prueba de doce meses y no una oferta permanente, de modo que incumplen el criterio C1. La comparación de costes queda documentada de todos modos, porque el docente pidió expresamente que se especificaran las características del servidor y no solo «la nube»: </w:t>
      </w:r>
      <w:r>
        <w:rPr>
          <w:rFonts w:ascii="Calibri" w:hAnsi="Calibri"/>
          <w:b/>
          <w:sz w:val="20"/>
        </w:rPr>
        <w:t>un escenario de operación comercial equivalente —EC2 en dos zonas, RDS Multi-AZ, S3, balanceador y CloudWatch— se estima entre 300 y 450 dólares mensuales.</w:t>
      </w:r>
      <w:r>
        <w:rPr>
          <w:rFonts w:ascii="Calibri" w:hAnsi="Calibri"/>
          <w:b w:val="0"/>
          <w:sz w:val="20"/>
        </w:rPr>
        <w:t xml:space="preserve"> El contraste evidencia que la elección es una restricción del proyecto, no una afirmación de que esta arquitectura sea la que usaría un banco real.</w:t>
      </w:r>
    </w:p>
    <w:p>
      <w:r>
        <w:br w:type="page"/>
      </w:r>
    </w:p>
    <w:p>
      <w:pPr>
        <w:spacing w:before="200" w:after="100"/>
      </w:pPr>
      <w:r>
        <w:rPr>
          <w:rFonts w:ascii="Calibri" w:hAnsi="Calibri"/>
          <w:b/>
          <w:color w:val="064475"/>
          <w:sz w:val="22"/>
        </w:rPr>
        <w:t>2.4 Herramienta de gestión del proyecto</w:t>
      </w:r>
    </w:p>
    <w:tbl>
      <w:tblPr>
        <w:tblStyle w:val="TableGrid"/>
        <w:tblW w:type="auto" w:w="0"/>
        <w:tblLook w:firstColumn="1" w:firstRow="1" w:lastColumn="0" w:lastRow="0" w:noHBand="0" w:noVBand="1" w:val="04A0"/>
      </w:tblPr>
      <w:tblGrid>
        <w:gridCol w:w="3784"/>
        <w:gridCol w:w="3784"/>
        <w:gridCol w:w="3784"/>
        <w:gridCol w:w="3784"/>
      </w:tblGrid>
      <w:tr>
        <w:tc>
          <w:tcPr>
            <w:tcW w:type="dxa" w:w="2608"/>
            <w:shd w:val="clear" w:color="auto" w:fill="064475"/>
          </w:tcPr>
          <w:p>
            <w:pPr>
              <w:spacing w:after="40" w:before="40"/>
            </w:pPr>
            <w:r/>
            <w:r>
              <w:rPr>
                <w:rFonts w:ascii="Calibri" w:hAnsi="Calibri"/>
                <w:b/>
                <w:color w:val="FFFFFF"/>
                <w:sz w:val="17"/>
              </w:rPr>
              <w:t>Alternativa</w:t>
            </w:r>
          </w:p>
        </w:tc>
        <w:tc>
          <w:tcPr>
            <w:tcW w:type="dxa" w:w="4876"/>
            <w:shd w:val="clear" w:color="auto" w:fill="064475"/>
          </w:tcPr>
          <w:p>
            <w:pPr>
              <w:spacing w:after="40" w:before="40"/>
            </w:pPr>
            <w:r/>
            <w:r>
              <w:rPr>
                <w:rFonts w:ascii="Calibri" w:hAnsi="Calibri"/>
                <w:b/>
                <w:color w:val="FFFFFF"/>
                <w:sz w:val="17"/>
              </w:rPr>
              <w:t>A favor</w:t>
            </w:r>
          </w:p>
        </w:tc>
        <w:tc>
          <w:tcPr>
            <w:tcW w:type="dxa" w:w="4876"/>
            <w:shd w:val="clear" w:color="auto" w:fill="064475"/>
          </w:tcPr>
          <w:p>
            <w:pPr>
              <w:spacing w:after="40" w:before="40"/>
            </w:pPr>
            <w:r/>
            <w:r>
              <w:rPr>
                <w:rFonts w:ascii="Calibri" w:hAnsi="Calibri"/>
                <w:b/>
                <w:color w:val="FFFFFF"/>
                <w:sz w:val="17"/>
              </w:rPr>
              <w:t>En contra</w:t>
            </w:r>
          </w:p>
        </w:tc>
        <w:tc>
          <w:tcPr>
            <w:tcW w:type="dxa" w:w="2778"/>
            <w:shd w:val="clear" w:color="auto" w:fill="064475"/>
          </w:tcPr>
          <w:p>
            <w:pPr>
              <w:spacing w:after="40" w:before="40"/>
            </w:pPr>
            <w:r/>
            <w:r>
              <w:rPr>
                <w:rFonts w:ascii="Calibri" w:hAnsi="Calibri"/>
                <w:b/>
                <w:color w:val="FFFFFF"/>
                <w:sz w:val="17"/>
              </w:rPr>
              <w:t>Veredicto</w:t>
            </w:r>
          </w:p>
        </w:tc>
      </w:tr>
      <w:tr>
        <w:tc>
          <w:tcPr>
            <w:tcW w:type="dxa" w:w="2608"/>
            <w:shd w:val="clear" w:color="auto" w:fill="D9EAD3"/>
          </w:tcPr>
          <w:p>
            <w:pPr>
              <w:spacing w:after="40" w:before="40"/>
            </w:pPr>
            <w:r/>
            <w:r>
              <w:rPr>
                <w:rFonts w:ascii="Calibri" w:hAnsi="Calibri"/>
                <w:b/>
                <w:sz w:val="17"/>
              </w:rPr>
              <w:t>Jira</w:t>
            </w:r>
          </w:p>
        </w:tc>
        <w:tc>
          <w:tcPr>
            <w:tcW w:type="dxa" w:w="4876"/>
            <w:shd w:val="clear" w:color="auto" w:fill="D9EAD3"/>
          </w:tcPr>
          <w:p>
            <w:pPr>
              <w:spacing w:after="40" w:before="40"/>
            </w:pPr>
            <w:r/>
            <w:r>
              <w:rPr>
                <w:rFonts w:ascii="Calibri" w:hAnsi="Calibri"/>
                <w:b w:val="0"/>
                <w:sz w:val="17"/>
              </w:rPr>
              <w:t xml:space="preserve">Jerarquía real de Épica → Historia → Subtarea, que es lo que exige el backlog de este proyecto. Sprints, gráfico de trabajo pendiente y velocidad sin configuración extra. Enlace bidireccional con las ramas y los Pull Requests de GitHub. </w:t>
            </w:r>
            <w:r>
              <w:rPr>
                <w:rFonts w:ascii="Calibri" w:hAnsi="Calibri"/>
                <w:b/>
                <w:sz w:val="17"/>
              </w:rPr>
              <w:t>Gratuito hasta 10 usuarios.</w:t>
            </w:r>
          </w:p>
        </w:tc>
        <w:tc>
          <w:tcPr>
            <w:tcW w:type="dxa" w:w="4876"/>
            <w:shd w:val="clear" w:color="auto" w:fill="D9EAD3"/>
          </w:tcPr>
          <w:p>
            <w:pPr>
              <w:spacing w:after="40" w:before="40"/>
            </w:pPr>
            <w:r/>
            <w:r>
              <w:rPr>
                <w:rFonts w:ascii="Calibri" w:hAnsi="Calibri"/>
                <w:b w:val="0"/>
                <w:sz w:val="17"/>
              </w:rPr>
              <w:t>Curva de entrada mayor que un tablero simple. El proyecto es *team-managed* y no expone el campo de prioridad, que hubo que suplir con el orden del backlog.</w:t>
            </w:r>
          </w:p>
        </w:tc>
        <w:tc>
          <w:tcPr>
            <w:tcW w:type="dxa" w:w="2778"/>
            <w:shd w:val="clear" w:color="auto" w:fill="D9EAD3"/>
          </w:tcPr>
          <w:p>
            <w:pPr>
              <w:spacing w:after="40" w:before="40"/>
            </w:pPr>
            <w:r/>
            <w:r>
              <w:rPr>
                <w:rFonts w:ascii="Calibri" w:hAnsi="Calibri"/>
                <w:b/>
                <w:sz w:val="17"/>
              </w:rPr>
              <w:t>ELEGIDA</w:t>
            </w:r>
          </w:p>
        </w:tc>
      </w:tr>
      <w:tr>
        <w:tc>
          <w:tcPr>
            <w:tcW w:type="dxa" w:w="2608"/>
          </w:tcPr>
          <w:p>
            <w:pPr>
              <w:spacing w:after="40" w:before="40"/>
            </w:pPr>
            <w:r/>
            <w:r>
              <w:rPr>
                <w:rFonts w:ascii="Calibri" w:hAnsi="Calibri"/>
                <w:b w:val="0"/>
                <w:sz w:val="17"/>
              </w:rPr>
              <w:t>Trello</w:t>
            </w:r>
          </w:p>
        </w:tc>
        <w:tc>
          <w:tcPr>
            <w:tcW w:type="dxa" w:w="4876"/>
          </w:tcPr>
          <w:p>
            <w:pPr>
              <w:spacing w:after="40" w:before="40"/>
            </w:pPr>
            <w:r/>
            <w:r>
              <w:rPr>
                <w:rFonts w:ascii="Calibri" w:hAnsi="Calibri"/>
                <w:b w:val="0"/>
                <w:sz w:val="17"/>
              </w:rPr>
              <w:t>Inmediato de aprender. Gratuito.</w:t>
            </w:r>
          </w:p>
        </w:tc>
        <w:tc>
          <w:tcPr>
            <w:tcW w:type="dxa" w:w="4876"/>
          </w:tcPr>
          <w:p>
            <w:pPr>
              <w:spacing w:after="40" w:before="40"/>
            </w:pPr>
            <w:r/>
            <w:r>
              <w:rPr>
                <w:rFonts w:ascii="Calibri" w:hAnsi="Calibri"/>
                <w:b/>
                <w:sz w:val="17"/>
              </w:rPr>
              <w:t>No tiene jerarquía ni concepto de sprint.</w:t>
            </w:r>
            <w:r>
              <w:rPr>
                <w:rFonts w:ascii="Calibri" w:hAnsi="Calibri"/>
                <w:b w:val="0"/>
                <w:sz w:val="17"/>
              </w:rPr>
              <w:t xml:space="preserve"> Un backlog de 11 épicas, 22 historias y más de 200 subtareas no cabe en un tablero de tarjetas planas sin inventar convenciones frágiles.</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GitHub Projects</w:t>
            </w:r>
          </w:p>
        </w:tc>
        <w:tc>
          <w:tcPr>
            <w:tcW w:type="dxa" w:w="4876"/>
          </w:tcPr>
          <w:p>
            <w:pPr>
              <w:spacing w:after="40" w:before="40"/>
            </w:pPr>
            <w:r/>
            <w:r>
              <w:rPr>
                <w:rFonts w:ascii="Calibri" w:hAnsi="Calibri"/>
                <w:b w:val="0"/>
                <w:sz w:val="17"/>
              </w:rPr>
              <w:t>Vive en el mismo sitio que el código, sin cambiar de herramienta.</w:t>
            </w:r>
          </w:p>
        </w:tc>
        <w:tc>
          <w:tcPr>
            <w:tcW w:type="dxa" w:w="4876"/>
          </w:tcPr>
          <w:p>
            <w:pPr>
              <w:spacing w:after="40" w:before="40"/>
            </w:pPr>
            <w:r/>
            <w:r>
              <w:rPr>
                <w:rFonts w:ascii="Calibri" w:hAnsi="Calibri"/>
                <w:b w:val="0"/>
                <w:sz w:val="17"/>
              </w:rPr>
              <w:t>Los informes ágiles son limitados: no hay velocidad ni gráfico de trabajo pendiente listos para usar, que son justamente los indicadores del plan de medición (KPI-22).</w:t>
            </w:r>
          </w:p>
        </w:tc>
        <w:tc>
          <w:tcPr>
            <w:tcW w:type="dxa" w:w="2778"/>
          </w:tcPr>
          <w:p>
            <w:pPr>
              <w:spacing w:after="40" w:before="40"/>
            </w:pPr>
            <w:r/>
            <w:r>
              <w:rPr>
                <w:rFonts w:ascii="Calibri" w:hAnsi="Calibri"/>
                <w:b w:val="0"/>
                <w:sz w:val="17"/>
              </w:rPr>
              <w:t>Descartada</w:t>
            </w:r>
          </w:p>
        </w:tc>
      </w:tr>
      <w:tr>
        <w:tc>
          <w:tcPr>
            <w:tcW w:type="dxa" w:w="2608"/>
          </w:tcPr>
          <w:p>
            <w:pPr>
              <w:spacing w:after="40" w:before="40"/>
            </w:pPr>
            <w:r/>
            <w:r>
              <w:rPr>
                <w:rFonts w:ascii="Calibri" w:hAnsi="Calibri"/>
                <w:b w:val="0"/>
                <w:sz w:val="17"/>
              </w:rPr>
              <w:t>Azure DevOps</w:t>
            </w:r>
          </w:p>
        </w:tc>
        <w:tc>
          <w:tcPr>
            <w:tcW w:type="dxa" w:w="4876"/>
          </w:tcPr>
          <w:p>
            <w:pPr>
              <w:spacing w:after="40" w:before="40"/>
            </w:pPr>
            <w:r/>
            <w:r>
              <w:rPr>
                <w:rFonts w:ascii="Calibri" w:hAnsi="Calibri"/>
                <w:b w:val="0"/>
                <w:sz w:val="17"/>
              </w:rPr>
              <w:t>Muy completo, con jerarquía y tableros equiparables a Jira.</w:t>
            </w:r>
          </w:p>
        </w:tc>
        <w:tc>
          <w:tcPr>
            <w:tcW w:type="dxa" w:w="4876"/>
          </w:tcPr>
          <w:p>
            <w:pPr>
              <w:spacing w:after="40" w:before="40"/>
            </w:pPr>
            <w:r/>
            <w:r>
              <w:rPr>
                <w:rFonts w:ascii="Calibri" w:hAnsi="Calibri"/>
                <w:b w:val="0"/>
                <w:sz w:val="17"/>
              </w:rPr>
              <w:t>Nivel gratuito más restrictivo y una integración con GitHub menos directa. Sin ventaja sobre Jira que compense la migración.</w:t>
            </w:r>
          </w:p>
        </w:tc>
        <w:tc>
          <w:tcPr>
            <w:tcW w:type="dxa" w:w="2778"/>
          </w:tcPr>
          <w:p>
            <w:pPr>
              <w:spacing w:after="40" w:before="40"/>
            </w:pPr>
            <w:r/>
            <w:r>
              <w:rPr>
                <w:rFonts w:ascii="Calibri" w:hAnsi="Calibri"/>
                <w:b w:val="0"/>
                <w:sz w:val="17"/>
              </w:rPr>
              <w:t>Descartada</w:t>
            </w:r>
          </w:p>
        </w:tc>
      </w:tr>
    </w:tbl>
    <w:p>
      <w:pPr>
        <w:spacing w:after="160"/>
        <w:jc w:val="both"/>
      </w:pPr>
    </w:p>
    <w:p>
      <w:pPr>
        <w:spacing w:after="160"/>
        <w:jc w:val="both"/>
      </w:pPr>
      <w:r>
        <w:rPr>
          <w:rFonts w:ascii="Calibri" w:hAnsi="Calibri"/>
          <w:b/>
          <w:sz w:val="19"/>
        </w:rPr>
        <w:t>Decisión.</w:t>
      </w:r>
      <w:r>
        <w:rPr>
          <w:rFonts w:ascii="Calibri" w:hAnsi="Calibri"/>
          <w:b w:val="0"/>
          <w:sz w:val="19"/>
        </w:rPr>
        <w:t xml:space="preserve"> Jira, proyecto `AYNI`. La razón determinante es que </w:t>
      </w:r>
      <w:r>
        <w:rPr>
          <w:rFonts w:ascii="Calibri" w:hAnsi="Calibri"/>
          <w:b/>
          <w:sz w:val="19"/>
        </w:rPr>
        <w:t>los indicadores de gestión del proyecto se leen directamente de la herramienta</w:t>
      </w:r>
      <w:r>
        <w:rPr>
          <w:rFonts w:ascii="Calibri" w:hAnsi="Calibri"/>
          <w:b w:val="0"/>
          <w:sz w:val="19"/>
        </w:rPr>
        <w:t>: el cumplimiento del sprint (KPI-22) y la distribución del trabajo (KPI-25) son informes nativos de Jira. Con Trello habría que calcularlos a mano en una hoja aparte, y un indicador que se calcula a mano deja de calcularse en cuanto el proyecto aprieta.</w:t>
      </w:r>
    </w:p>
    <w:p>
      <w:r>
        <w:br w:type="page"/>
      </w:r>
    </w:p>
    <w:p>
      <w:pPr>
        <w:spacing w:before="300" w:after="100"/>
      </w:pPr>
      <w:r>
        <w:rPr>
          <w:rFonts w:ascii="Calibri" w:hAnsi="Calibri"/>
          <w:b/>
          <w:color w:val="064475"/>
          <w:sz w:val="26"/>
        </w:rPr>
        <w:t>3. RESTO DE LA CADENA DE HERRAMIENTAS</w:t>
      </w:r>
    </w:p>
    <w:p>
      <w:pPr>
        <w:spacing w:after="160"/>
        <w:jc w:val="both"/>
      </w:pPr>
      <w:r>
        <w:rPr>
          <w:rFonts w:ascii="Calibri" w:hAnsi="Calibri"/>
          <w:b w:val="0"/>
          <w:sz w:val="20"/>
        </w:rPr>
        <w:t>Las cuatro anteriores son las que la consigna nombra. El resto del conjunto se decide con los mismos cinco criterios y se resume aquí; las decisiones con consecuencias arquitectónicas tienen además su registro propio en `docs/arquitectura/adr/`.</w:t>
      </w: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7"/>
              </w:rPr>
              <w:t>Ámbito</w:t>
            </w:r>
          </w:p>
        </w:tc>
        <w:tc>
          <w:tcPr>
            <w:tcW w:type="dxa" w:w="3175"/>
            <w:shd w:val="clear" w:color="auto" w:fill="064475"/>
          </w:tcPr>
          <w:p>
            <w:pPr>
              <w:spacing w:after="40" w:before="40"/>
            </w:pPr>
            <w:r/>
            <w:r>
              <w:rPr>
                <w:rFonts w:ascii="Calibri" w:hAnsi="Calibri"/>
                <w:b/>
                <w:color w:val="FFFFFF"/>
                <w:sz w:val="17"/>
              </w:rPr>
              <w:t>Herramienta elegida</w:t>
            </w:r>
          </w:p>
        </w:tc>
        <w:tc>
          <w:tcPr>
            <w:tcW w:type="dxa" w:w="3061"/>
            <w:shd w:val="clear" w:color="auto" w:fill="064475"/>
          </w:tcPr>
          <w:p>
            <w:pPr>
              <w:spacing w:after="40" w:before="40"/>
            </w:pPr>
            <w:r/>
            <w:r>
              <w:rPr>
                <w:rFonts w:ascii="Calibri" w:hAnsi="Calibri"/>
                <w:b/>
                <w:color w:val="FFFFFF"/>
                <w:sz w:val="17"/>
              </w:rPr>
              <w:t>Alternativa principal descartada</w:t>
            </w:r>
          </w:p>
        </w:tc>
        <w:tc>
          <w:tcPr>
            <w:tcW w:type="dxa" w:w="5839"/>
            <w:shd w:val="clear" w:color="auto" w:fill="064475"/>
          </w:tcPr>
          <w:p>
            <w:pPr>
              <w:spacing w:after="40" w:before="40"/>
            </w:pPr>
            <w:r/>
            <w:r>
              <w:rPr>
                <w:rFonts w:ascii="Calibri" w:hAnsi="Calibri"/>
                <w:b/>
                <w:color w:val="FFFFFF"/>
                <w:sz w:val="17"/>
              </w:rPr>
              <w:t>Razón de la elección</w:t>
            </w:r>
          </w:p>
        </w:tc>
      </w:tr>
      <w:tr>
        <w:tc>
          <w:tcPr>
            <w:tcW w:type="dxa" w:w="3061"/>
          </w:tcPr>
          <w:p>
            <w:pPr>
              <w:spacing w:after="40" w:before="40"/>
            </w:pPr>
            <w:r/>
            <w:r>
              <w:rPr>
                <w:rFonts w:ascii="Calibri" w:hAnsi="Calibri"/>
                <w:b w:val="0"/>
                <w:sz w:val="17"/>
              </w:rPr>
              <w:t>Lenguaje y marco de trabajo del núcleo</w:t>
            </w:r>
          </w:p>
        </w:tc>
        <w:tc>
          <w:tcPr>
            <w:tcW w:type="dxa" w:w="3175"/>
          </w:tcPr>
          <w:p>
            <w:pPr>
              <w:spacing w:after="40" w:before="40"/>
            </w:pPr>
            <w:r/>
            <w:r>
              <w:rPr>
                <w:rFonts w:ascii="Calibri" w:hAnsi="Calibri"/>
                <w:b w:val="0"/>
                <w:sz w:val="17"/>
              </w:rPr>
              <w:t>Java 21 + Spring Boot 3.5</w:t>
            </w:r>
          </w:p>
        </w:tc>
        <w:tc>
          <w:tcPr>
            <w:tcW w:type="dxa" w:w="3061"/>
          </w:tcPr>
          <w:p>
            <w:pPr>
              <w:spacing w:after="40" w:before="40"/>
            </w:pPr>
            <w:r/>
            <w:r>
              <w:rPr>
                <w:rFonts w:ascii="Calibri" w:hAnsi="Calibri"/>
                <w:b w:val="0"/>
                <w:sz w:val="17"/>
              </w:rPr>
              <w:t>Node.js con NestJS</w:t>
            </w:r>
          </w:p>
        </w:tc>
        <w:tc>
          <w:tcPr>
            <w:tcW w:type="dxa" w:w="5839"/>
          </w:tcPr>
          <w:p>
            <w:pPr>
              <w:spacing w:after="40" w:before="40"/>
            </w:pPr>
            <w:r/>
            <w:r>
              <w:rPr>
                <w:rFonts w:ascii="Calibri" w:hAnsi="Calibri"/>
                <w:b w:val="0"/>
                <w:sz w:val="17"/>
              </w:rPr>
              <w:t>`BigDecimal` en la biblioteca estándar. En un sistema que mueve dinero, la aritmética decimal exacta no es negociable, y en JavaScript exige una biblioteca externa.</w:t>
            </w:r>
          </w:p>
        </w:tc>
      </w:tr>
      <w:tr>
        <w:tc>
          <w:tcPr>
            <w:tcW w:type="dxa" w:w="3061"/>
          </w:tcPr>
          <w:p>
            <w:pPr>
              <w:spacing w:after="40" w:before="40"/>
            </w:pPr>
            <w:r/>
            <w:r>
              <w:rPr>
                <w:rFonts w:ascii="Calibri" w:hAnsi="Calibri"/>
                <w:b w:val="0"/>
                <w:sz w:val="17"/>
              </w:rPr>
              <w:t>Servicio de verificación de identidad</w:t>
            </w:r>
          </w:p>
        </w:tc>
        <w:tc>
          <w:tcPr>
            <w:tcW w:type="dxa" w:w="3175"/>
          </w:tcPr>
          <w:p>
            <w:pPr>
              <w:spacing w:after="40" w:before="40"/>
            </w:pPr>
            <w:r/>
            <w:r>
              <w:rPr>
                <w:rFonts w:ascii="Calibri" w:hAnsi="Calibri"/>
                <w:b w:val="0"/>
                <w:sz w:val="17"/>
              </w:rPr>
              <w:t>Python 3 + FastAPI</w:t>
            </w:r>
          </w:p>
        </w:tc>
        <w:tc>
          <w:tcPr>
            <w:tcW w:type="dxa" w:w="3061"/>
          </w:tcPr>
          <w:p>
            <w:pPr>
              <w:spacing w:after="40" w:before="40"/>
            </w:pPr>
            <w:r/>
            <w:r>
              <w:rPr>
                <w:rFonts w:ascii="Calibri" w:hAnsi="Calibri"/>
                <w:b w:val="0"/>
                <w:sz w:val="17"/>
              </w:rPr>
              <w:t>Java con bibliotecas de visión artificial</w:t>
            </w:r>
          </w:p>
        </w:tc>
        <w:tc>
          <w:tcPr>
            <w:tcW w:type="dxa" w:w="5839"/>
          </w:tcPr>
          <w:p>
            <w:pPr>
              <w:spacing w:after="40" w:before="40"/>
            </w:pPr>
            <w:r/>
            <w:r>
              <w:rPr>
                <w:rFonts w:ascii="Calibri" w:hAnsi="Calibri"/>
                <w:b w:val="0"/>
                <w:sz w:val="17"/>
              </w:rPr>
              <w:t>El ecosistema de OCR y biometría vive en Python. Es el único servicio donde el lenguaje lo impone la biblioteca y no la preferencia.</w:t>
            </w:r>
          </w:p>
        </w:tc>
      </w:tr>
      <w:tr>
        <w:tc>
          <w:tcPr>
            <w:tcW w:type="dxa" w:w="3061"/>
          </w:tcPr>
          <w:p>
            <w:pPr>
              <w:spacing w:after="40" w:before="40"/>
            </w:pPr>
            <w:r/>
            <w:r>
              <w:rPr>
                <w:rFonts w:ascii="Calibri" w:hAnsi="Calibri"/>
                <w:b w:val="0"/>
                <w:sz w:val="17"/>
              </w:rPr>
              <w:t>Interfaz de usuario</w:t>
            </w:r>
          </w:p>
        </w:tc>
        <w:tc>
          <w:tcPr>
            <w:tcW w:type="dxa" w:w="3175"/>
          </w:tcPr>
          <w:p>
            <w:pPr>
              <w:spacing w:after="40" w:before="40"/>
            </w:pPr>
            <w:r/>
            <w:r>
              <w:rPr>
                <w:rFonts w:ascii="Calibri" w:hAnsi="Calibri"/>
                <w:b w:val="0"/>
                <w:sz w:val="17"/>
              </w:rPr>
              <w:t>Next.js 15 + React 19 + TypeScript</w:t>
            </w:r>
          </w:p>
        </w:tc>
        <w:tc>
          <w:tcPr>
            <w:tcW w:type="dxa" w:w="3061"/>
          </w:tcPr>
          <w:p>
            <w:pPr>
              <w:spacing w:after="40" w:before="40"/>
            </w:pPr>
            <w:r/>
            <w:r>
              <w:rPr>
                <w:rFonts w:ascii="Calibri" w:hAnsi="Calibri"/>
                <w:b w:val="0"/>
                <w:sz w:val="17"/>
              </w:rPr>
              <w:t>Angular</w:t>
            </w:r>
          </w:p>
        </w:tc>
        <w:tc>
          <w:tcPr>
            <w:tcW w:type="dxa" w:w="5839"/>
          </w:tcPr>
          <w:p>
            <w:pPr>
              <w:spacing w:after="40" w:before="40"/>
            </w:pPr>
            <w:r/>
            <w:r>
              <w:rPr>
                <w:rFonts w:ascii="Calibri" w:hAnsi="Calibri"/>
                <w:b w:val="0"/>
                <w:sz w:val="17"/>
              </w:rPr>
              <w:t>Renderizado en servidor de serie —importa para el LCP— y optimizador de imágenes integrado, que es lo que hizo posible la estrategia E2 del informe de rendimiento.</w:t>
            </w:r>
          </w:p>
        </w:tc>
      </w:tr>
      <w:tr>
        <w:tc>
          <w:tcPr>
            <w:tcW w:type="dxa" w:w="3061"/>
          </w:tcPr>
          <w:p>
            <w:pPr>
              <w:spacing w:after="40" w:before="40"/>
            </w:pPr>
            <w:r/>
            <w:r>
              <w:rPr>
                <w:rFonts w:ascii="Calibri" w:hAnsi="Calibri"/>
                <w:b w:val="0"/>
                <w:sz w:val="17"/>
              </w:rPr>
              <w:t>Estilos</w:t>
            </w:r>
          </w:p>
        </w:tc>
        <w:tc>
          <w:tcPr>
            <w:tcW w:type="dxa" w:w="3175"/>
          </w:tcPr>
          <w:p>
            <w:pPr>
              <w:spacing w:after="40" w:before="40"/>
            </w:pPr>
            <w:r/>
            <w:r>
              <w:rPr>
                <w:rFonts w:ascii="Calibri" w:hAnsi="Calibri"/>
                <w:b w:val="0"/>
                <w:sz w:val="17"/>
              </w:rPr>
              <w:t>Tailwind CSS 4</w:t>
            </w:r>
          </w:p>
        </w:tc>
        <w:tc>
          <w:tcPr>
            <w:tcW w:type="dxa" w:w="3061"/>
          </w:tcPr>
          <w:p>
            <w:pPr>
              <w:spacing w:after="40" w:before="40"/>
            </w:pPr>
            <w:r/>
            <w:r>
              <w:rPr>
                <w:rFonts w:ascii="Calibri" w:hAnsi="Calibri"/>
                <w:b w:val="0"/>
                <w:sz w:val="17"/>
              </w:rPr>
              <w:t>CSS modular o Bootstrap</w:t>
            </w:r>
          </w:p>
        </w:tc>
        <w:tc>
          <w:tcPr>
            <w:tcW w:type="dxa" w:w="5839"/>
          </w:tcPr>
          <w:p>
            <w:pPr>
              <w:spacing w:after="40" w:before="40"/>
            </w:pPr>
            <w:r/>
            <w:r>
              <w:rPr>
                <w:rFonts w:ascii="Calibri" w:hAnsi="Calibri"/>
                <w:b w:val="0"/>
                <w:sz w:val="17"/>
              </w:rPr>
              <w:t>Los tokens de la guía de estilo se declaran una vez y se consumen por nombre, de modo que el diseño y el código no pueden divergir en silencio.</w:t>
            </w:r>
          </w:p>
        </w:tc>
      </w:tr>
      <w:tr>
        <w:tc>
          <w:tcPr>
            <w:tcW w:type="dxa" w:w="3061"/>
          </w:tcPr>
          <w:p>
            <w:pPr>
              <w:spacing w:after="40" w:before="40"/>
            </w:pPr>
            <w:r/>
            <w:r>
              <w:rPr>
                <w:rFonts w:ascii="Calibri" w:hAnsi="Calibri"/>
                <w:b w:val="0"/>
                <w:sz w:val="17"/>
              </w:rPr>
              <w:t>Base de datos</w:t>
            </w:r>
          </w:p>
        </w:tc>
        <w:tc>
          <w:tcPr>
            <w:tcW w:type="dxa" w:w="3175"/>
          </w:tcPr>
          <w:p>
            <w:pPr>
              <w:spacing w:after="40" w:before="40"/>
            </w:pPr>
            <w:r/>
            <w:r>
              <w:rPr>
                <w:rFonts w:ascii="Calibri" w:hAnsi="Calibri"/>
                <w:b w:val="0"/>
                <w:sz w:val="17"/>
              </w:rPr>
              <w:t>PostgreSQL 16</w:t>
            </w:r>
          </w:p>
        </w:tc>
        <w:tc>
          <w:tcPr>
            <w:tcW w:type="dxa" w:w="3061"/>
          </w:tcPr>
          <w:p>
            <w:pPr>
              <w:spacing w:after="40" w:before="40"/>
            </w:pPr>
            <w:r/>
            <w:r>
              <w:rPr>
                <w:rFonts w:ascii="Calibri" w:hAnsi="Calibri"/>
                <w:b w:val="0"/>
                <w:sz w:val="17"/>
              </w:rPr>
              <w:t>MySQL / MariaDB</w:t>
            </w:r>
          </w:p>
        </w:tc>
        <w:tc>
          <w:tcPr>
            <w:tcW w:type="dxa" w:w="5839"/>
          </w:tcPr>
          <w:p>
            <w:pPr>
              <w:spacing w:after="40" w:before="40"/>
            </w:pPr>
            <w:r/>
            <w:r>
              <w:rPr>
                <w:rFonts w:ascii="Calibri" w:hAnsi="Calibri"/>
                <w:b w:val="0"/>
                <w:sz w:val="17"/>
              </w:rPr>
              <w:t>Transacciones serializables, tipo `numeric` de precisión arbitraria y columnas `jsonb` para la bandeja de salida de eventos.</w:t>
            </w:r>
          </w:p>
        </w:tc>
      </w:tr>
      <w:tr>
        <w:tc>
          <w:tcPr>
            <w:tcW w:type="dxa" w:w="3061"/>
          </w:tcPr>
          <w:p>
            <w:pPr>
              <w:spacing w:after="40" w:before="40"/>
            </w:pPr>
            <w:r/>
            <w:r>
              <w:rPr>
                <w:rFonts w:ascii="Calibri" w:hAnsi="Calibri"/>
                <w:b w:val="0"/>
                <w:sz w:val="17"/>
              </w:rPr>
              <w:t>Versionado del esquema</w:t>
            </w:r>
          </w:p>
        </w:tc>
        <w:tc>
          <w:tcPr>
            <w:tcW w:type="dxa" w:w="3175"/>
          </w:tcPr>
          <w:p>
            <w:pPr>
              <w:spacing w:after="40" w:before="40"/>
            </w:pPr>
            <w:r/>
            <w:r>
              <w:rPr>
                <w:rFonts w:ascii="Calibri" w:hAnsi="Calibri"/>
                <w:b w:val="0"/>
                <w:sz w:val="17"/>
              </w:rPr>
              <w:t>Flyway</w:t>
            </w:r>
          </w:p>
        </w:tc>
        <w:tc>
          <w:tcPr>
            <w:tcW w:type="dxa" w:w="3061"/>
          </w:tcPr>
          <w:p>
            <w:pPr>
              <w:spacing w:after="40" w:before="40"/>
            </w:pPr>
            <w:r/>
            <w:r>
              <w:rPr>
                <w:rFonts w:ascii="Calibri" w:hAnsi="Calibri"/>
                <w:b w:val="0"/>
                <w:sz w:val="17"/>
              </w:rPr>
              <w:t>Hibernate `ddl-auto`</w:t>
            </w:r>
          </w:p>
        </w:tc>
        <w:tc>
          <w:tcPr>
            <w:tcW w:type="dxa" w:w="5839"/>
          </w:tcPr>
          <w:p>
            <w:pPr>
              <w:spacing w:after="40" w:before="40"/>
            </w:pPr>
            <w:r/>
            <w:r>
              <w:rPr>
                <w:rFonts w:ascii="Calibri" w:hAnsi="Calibri"/>
                <w:b w:val="0"/>
                <w:sz w:val="17"/>
              </w:rPr>
              <w:t>El esquema se versiona como el código. `ddl-auto` está prohibido en el proyecto: no deja rastro de qué cambió ni permite revertir.</w:t>
            </w:r>
          </w:p>
        </w:tc>
      </w:tr>
      <w:tr>
        <w:tc>
          <w:tcPr>
            <w:tcW w:type="dxa" w:w="3061"/>
          </w:tcPr>
          <w:p>
            <w:pPr>
              <w:spacing w:after="40" w:before="40"/>
            </w:pPr>
            <w:r/>
            <w:r>
              <w:rPr>
                <w:rFonts w:ascii="Calibri" w:hAnsi="Calibri"/>
                <w:b w:val="0"/>
                <w:sz w:val="17"/>
              </w:rPr>
              <w:t>Mensajería</w:t>
            </w:r>
          </w:p>
        </w:tc>
        <w:tc>
          <w:tcPr>
            <w:tcW w:type="dxa" w:w="3175"/>
          </w:tcPr>
          <w:p>
            <w:pPr>
              <w:spacing w:after="40" w:before="40"/>
            </w:pPr>
            <w:r/>
            <w:r>
              <w:rPr>
                <w:rFonts w:ascii="Calibri" w:hAnsi="Calibri"/>
                <w:b w:val="0"/>
                <w:sz w:val="17"/>
              </w:rPr>
              <w:t>RabbitMQ</w:t>
            </w:r>
          </w:p>
        </w:tc>
        <w:tc>
          <w:tcPr>
            <w:tcW w:type="dxa" w:w="3061"/>
          </w:tcPr>
          <w:p>
            <w:pPr>
              <w:spacing w:after="40" w:before="40"/>
            </w:pPr>
            <w:r/>
            <w:r>
              <w:rPr>
                <w:rFonts w:ascii="Calibri" w:hAnsi="Calibri"/>
                <w:b w:val="0"/>
                <w:sz w:val="17"/>
              </w:rPr>
              <w:t>Apache Kafka</w:t>
            </w:r>
          </w:p>
        </w:tc>
        <w:tc>
          <w:tcPr>
            <w:tcW w:type="dxa" w:w="5839"/>
          </w:tcPr>
          <w:p>
            <w:pPr>
              <w:spacing w:after="40" w:before="40"/>
            </w:pPr>
            <w:r/>
            <w:r>
              <w:rPr>
                <w:rFonts w:ascii="Calibri" w:hAnsi="Calibri"/>
                <w:b w:val="0"/>
                <w:sz w:val="17"/>
              </w:rPr>
              <w:t>Kafka está pensado para volúmenes que este proyecto no tiene y su coste operativo es muy superior. RabbitMQ cubre el patrón de bandeja de salida con holgura.</w:t>
            </w:r>
          </w:p>
        </w:tc>
      </w:tr>
      <w:tr>
        <w:tc>
          <w:tcPr>
            <w:tcW w:type="dxa" w:w="3061"/>
          </w:tcPr>
          <w:p>
            <w:pPr>
              <w:spacing w:after="40" w:before="40"/>
            </w:pPr>
            <w:r/>
            <w:r>
              <w:rPr>
                <w:rFonts w:ascii="Calibri" w:hAnsi="Calibri"/>
                <w:b w:val="0"/>
                <w:sz w:val="17"/>
              </w:rPr>
              <w:t>Almacenamiento de objetos</w:t>
            </w:r>
          </w:p>
        </w:tc>
        <w:tc>
          <w:tcPr>
            <w:tcW w:type="dxa" w:w="3175"/>
          </w:tcPr>
          <w:p>
            <w:pPr>
              <w:spacing w:after="40" w:before="40"/>
            </w:pPr>
            <w:r/>
            <w:r>
              <w:rPr>
                <w:rFonts w:ascii="Calibri" w:hAnsi="Calibri"/>
                <w:b w:val="0"/>
                <w:sz w:val="17"/>
              </w:rPr>
              <w:t>MinIO</w:t>
            </w:r>
          </w:p>
        </w:tc>
        <w:tc>
          <w:tcPr>
            <w:tcW w:type="dxa" w:w="3061"/>
          </w:tcPr>
          <w:p>
            <w:pPr>
              <w:spacing w:after="40" w:before="40"/>
            </w:pPr>
            <w:r/>
            <w:r>
              <w:rPr>
                <w:rFonts w:ascii="Calibri" w:hAnsi="Calibri"/>
                <w:b w:val="0"/>
                <w:sz w:val="17"/>
              </w:rPr>
              <w:t>Sistema de ficheros del servidor</w:t>
            </w:r>
          </w:p>
        </w:tc>
        <w:tc>
          <w:tcPr>
            <w:tcW w:type="dxa" w:w="5839"/>
          </w:tcPr>
          <w:p>
            <w:pPr>
              <w:spacing w:after="40" w:before="40"/>
            </w:pPr>
            <w:r/>
            <w:r>
              <w:rPr>
                <w:rFonts w:ascii="Calibri" w:hAnsi="Calibri"/>
                <w:b w:val="0"/>
                <w:sz w:val="17"/>
              </w:rPr>
              <w:t>Habla el protocolo S3, que es estándar de facto: migrar a otro proveedor es cambiar la dirección del punto de acceso.</w:t>
            </w:r>
          </w:p>
        </w:tc>
      </w:tr>
      <w:tr>
        <w:tc>
          <w:tcPr>
            <w:tcW w:type="dxa" w:w="3061"/>
          </w:tcPr>
          <w:p>
            <w:pPr>
              <w:spacing w:after="40" w:before="40"/>
            </w:pPr>
            <w:r/>
            <w:r>
              <w:rPr>
                <w:rFonts w:ascii="Calibri" w:hAnsi="Calibri"/>
                <w:b w:val="0"/>
                <w:sz w:val="17"/>
              </w:rPr>
              <w:t>Observabilidad</w:t>
            </w:r>
          </w:p>
        </w:tc>
        <w:tc>
          <w:tcPr>
            <w:tcW w:type="dxa" w:w="3175"/>
          </w:tcPr>
          <w:p>
            <w:pPr>
              <w:spacing w:after="40" w:before="40"/>
            </w:pPr>
            <w:r/>
            <w:r>
              <w:rPr>
                <w:rFonts w:ascii="Calibri" w:hAnsi="Calibri"/>
                <w:b w:val="0"/>
                <w:sz w:val="17"/>
              </w:rPr>
              <w:t>Prometheus + Grafana + Loki</w:t>
            </w:r>
          </w:p>
        </w:tc>
        <w:tc>
          <w:tcPr>
            <w:tcW w:type="dxa" w:w="3061"/>
          </w:tcPr>
          <w:p>
            <w:pPr>
              <w:spacing w:after="40" w:before="40"/>
            </w:pPr>
            <w:r/>
            <w:r>
              <w:rPr>
                <w:rFonts w:ascii="Calibri" w:hAnsi="Calibri"/>
                <w:b w:val="0"/>
                <w:sz w:val="17"/>
              </w:rPr>
              <w:t>Servicio gestionado en la nube</w:t>
            </w:r>
          </w:p>
        </w:tc>
        <w:tc>
          <w:tcPr>
            <w:tcW w:type="dxa" w:w="5839"/>
          </w:tcPr>
          <w:p>
            <w:pPr>
              <w:spacing w:after="40" w:before="40"/>
            </w:pPr>
            <w:r/>
            <w:r>
              <w:rPr>
                <w:rFonts w:ascii="Calibri" w:hAnsi="Calibri"/>
                <w:b w:val="0"/>
                <w:sz w:val="17"/>
              </w:rPr>
              <w:t>Los tres corren en contenedor sin coste y sin sacar un solo dato del proyecto fuera de nuestra infraestructura.</w:t>
            </w:r>
          </w:p>
        </w:tc>
      </w:tr>
      <w:tr>
        <w:tc>
          <w:tcPr>
            <w:tcW w:type="dxa" w:w="3061"/>
          </w:tcPr>
          <w:p>
            <w:pPr>
              <w:spacing w:after="40" w:before="40"/>
            </w:pPr>
            <w:r/>
            <w:r>
              <w:rPr>
                <w:rFonts w:ascii="Calibri" w:hAnsi="Calibri"/>
                <w:b w:val="0"/>
                <w:sz w:val="17"/>
              </w:rPr>
              <w:t>Prototipado de interfaces</w:t>
            </w:r>
          </w:p>
        </w:tc>
        <w:tc>
          <w:tcPr>
            <w:tcW w:type="dxa" w:w="3175"/>
          </w:tcPr>
          <w:p>
            <w:pPr>
              <w:spacing w:after="40" w:before="40"/>
            </w:pPr>
            <w:r/>
            <w:r>
              <w:rPr>
                <w:rFonts w:ascii="Calibri" w:hAnsi="Calibri"/>
                <w:b w:val="0"/>
                <w:sz w:val="17"/>
              </w:rPr>
              <w:t>pen.dev</w:t>
            </w:r>
          </w:p>
        </w:tc>
        <w:tc>
          <w:tcPr>
            <w:tcW w:type="dxa" w:w="3061"/>
          </w:tcPr>
          <w:p>
            <w:pPr>
              <w:spacing w:after="40" w:before="40"/>
            </w:pPr>
            <w:r/>
            <w:r>
              <w:rPr>
                <w:rFonts w:ascii="Calibri" w:hAnsi="Calibri"/>
                <w:b w:val="0"/>
                <w:sz w:val="17"/>
              </w:rPr>
              <w:t>Figma</w:t>
            </w:r>
          </w:p>
        </w:tc>
        <w:tc>
          <w:tcPr>
            <w:tcW w:type="dxa" w:w="5839"/>
          </w:tcPr>
          <w:p>
            <w:pPr>
              <w:spacing w:after="40" w:before="40"/>
            </w:pPr>
            <w:r/>
            <w:r>
              <w:rPr>
                <w:rFonts w:ascii="Calibri" w:hAnsi="Calibri"/>
                <w:b w:val="0"/>
                <w:sz w:val="17"/>
              </w:rPr>
              <w:t>Exporta código coherente con el sistema de componentes en lugar de una imagen que alguien debe reinterpretar. Ver ADR-0007.</w:t>
            </w:r>
          </w:p>
        </w:tc>
      </w:tr>
    </w:tbl>
    <w:p>
      <w:pPr>
        <w:spacing w:after="160"/>
        <w:jc w:val="both"/>
      </w:pPr>
    </w:p>
    <w:p>
      <w:pPr>
        <w:spacing w:before="200" w:after="100"/>
      </w:pPr>
      <w:r>
        <w:rPr>
          <w:rFonts w:ascii="Calibri" w:hAnsi="Calibri"/>
          <w:b/>
          <w:color w:val="064475"/>
          <w:sz w:val="22"/>
        </w:rPr>
        <w:t>3.1 Herramientas de verificación de la calidad</w:t>
      </w:r>
    </w:p>
    <w:p>
      <w:pPr>
        <w:spacing w:after="160"/>
        <w:jc w:val="both"/>
      </w:pPr>
      <w:r>
        <w:rPr>
          <w:rFonts w:ascii="Calibri" w:hAnsi="Calibri"/>
          <w:b w:val="0"/>
          <w:sz w:val="20"/>
        </w:rPr>
        <w:t xml:space="preserve">Todas se ejecutan en cada Pull Request y </w:t>
      </w:r>
      <w:r>
        <w:rPr>
          <w:rFonts w:ascii="Calibri" w:hAnsi="Calibri"/>
          <w:b/>
          <w:sz w:val="20"/>
        </w:rPr>
        <w:t>bloquean la fusión si fallan</w:t>
      </w:r>
      <w:r>
        <w:rPr>
          <w:rFonts w:ascii="Calibri" w:hAnsi="Calibri"/>
          <w:b w:val="0"/>
          <w:sz w:val="20"/>
        </w:rPr>
        <w:t>. Es la aplicación directa del criterio C2: ninguna depende de que alguien se acuerde de lanzarla.</w:t>
      </w:r>
    </w:p>
    <w:tbl>
      <w:tblPr>
        <w:tblStyle w:val="TableGrid"/>
        <w:tblW w:type="auto" w:w="0"/>
        <w:tblLook w:firstColumn="1" w:firstRow="1" w:lastColumn="0" w:lastRow="0" w:noHBand="0" w:noVBand="1" w:val="04A0"/>
      </w:tblPr>
      <w:tblGrid>
        <w:gridCol w:w="5046"/>
        <w:gridCol w:w="5046"/>
        <w:gridCol w:w="5046"/>
      </w:tblGrid>
      <w:tr>
        <w:tc>
          <w:tcPr>
            <w:tcW w:type="dxa" w:w="2835"/>
            <w:shd w:val="clear" w:color="auto" w:fill="064475"/>
          </w:tcPr>
          <w:p>
            <w:pPr>
              <w:spacing w:after="40" w:before="40"/>
            </w:pPr>
            <w:r/>
            <w:r>
              <w:rPr>
                <w:rFonts w:ascii="Calibri" w:hAnsi="Calibri"/>
                <w:b/>
                <w:color w:val="FFFFFF"/>
                <w:sz w:val="17"/>
              </w:rPr>
              <w:t>Herramienta</w:t>
            </w:r>
          </w:p>
        </w:tc>
        <w:tc>
          <w:tcPr>
            <w:tcW w:type="dxa" w:w="6463"/>
            <w:shd w:val="clear" w:color="auto" w:fill="064475"/>
          </w:tcPr>
          <w:p>
            <w:pPr>
              <w:spacing w:after="40" w:before="40"/>
            </w:pPr>
            <w:r/>
            <w:r>
              <w:rPr>
                <w:rFonts w:ascii="Calibri" w:hAnsi="Calibri"/>
                <w:b/>
                <w:color w:val="FFFFFF"/>
                <w:sz w:val="17"/>
              </w:rPr>
              <w:t>Qué verifica</w:t>
            </w:r>
          </w:p>
        </w:tc>
        <w:tc>
          <w:tcPr>
            <w:tcW w:type="dxa" w:w="5839"/>
            <w:shd w:val="clear" w:color="auto" w:fill="064475"/>
          </w:tcPr>
          <w:p>
            <w:pPr>
              <w:spacing w:after="40" w:before="40"/>
            </w:pPr>
            <w:r/>
            <w:r>
              <w:rPr>
                <w:rFonts w:ascii="Calibri" w:hAnsi="Calibri"/>
                <w:b/>
                <w:color w:val="FFFFFF"/>
                <w:sz w:val="17"/>
              </w:rPr>
              <w:t>Qué ocurre si falla</w:t>
            </w:r>
          </w:p>
        </w:tc>
      </w:tr>
      <w:tr>
        <w:tc>
          <w:tcPr>
            <w:tcW w:type="dxa" w:w="2835"/>
          </w:tcPr>
          <w:p>
            <w:pPr>
              <w:spacing w:after="40" w:before="40"/>
            </w:pPr>
            <w:r/>
            <w:r>
              <w:rPr>
                <w:rFonts w:ascii="Calibri" w:hAnsi="Calibri"/>
                <w:b/>
                <w:sz w:val="17"/>
              </w:rPr>
              <w:t>JUnit 5 + AssertJ</w:t>
            </w:r>
          </w:p>
        </w:tc>
        <w:tc>
          <w:tcPr>
            <w:tcW w:type="dxa" w:w="6463"/>
          </w:tcPr>
          <w:p>
            <w:pPr>
              <w:spacing w:after="40" w:before="40"/>
            </w:pPr>
            <w:r/>
            <w:r>
              <w:rPr>
                <w:rFonts w:ascii="Calibri" w:hAnsi="Calibri"/>
                <w:b w:val="0"/>
                <w:sz w:val="17"/>
              </w:rPr>
              <w:t>Comportamiento del dominio y de los adaptadores. 308 pruebas al cierre del Sprint 1.</w:t>
            </w:r>
          </w:p>
        </w:tc>
        <w:tc>
          <w:tcPr>
            <w:tcW w:type="dxa" w:w="5839"/>
          </w:tcPr>
          <w:p>
            <w:pPr>
              <w:spacing w:after="40" w:before="40"/>
            </w:pPr>
            <w:r/>
            <w:r>
              <w:rPr>
                <w:rFonts w:ascii="Calibri" w:hAnsi="Calibri"/>
                <w:b w:val="0"/>
                <w:sz w:val="17"/>
              </w:rPr>
              <w:t>La construcción falla.</w:t>
            </w:r>
          </w:p>
        </w:tc>
      </w:tr>
      <w:tr>
        <w:tc>
          <w:tcPr>
            <w:tcW w:type="dxa" w:w="2835"/>
          </w:tcPr>
          <w:p>
            <w:pPr>
              <w:spacing w:after="40" w:before="40"/>
            </w:pPr>
            <w:r/>
            <w:r>
              <w:rPr>
                <w:rFonts w:ascii="Calibri" w:hAnsi="Calibri"/>
                <w:b/>
                <w:sz w:val="17"/>
              </w:rPr>
              <w:t>Cucumber</w:t>
            </w:r>
          </w:p>
        </w:tc>
        <w:tc>
          <w:tcPr>
            <w:tcW w:type="dxa" w:w="6463"/>
          </w:tcPr>
          <w:p>
            <w:pPr>
              <w:spacing w:after="40" w:before="40"/>
            </w:pPr>
            <w:r/>
            <w:r>
              <w:rPr>
                <w:rFonts w:ascii="Calibri" w:hAnsi="Calibri"/>
                <w:b w:val="0"/>
                <w:sz w:val="17"/>
              </w:rPr>
              <w:t>Cada criterio de aceptación, escrito en Gherkin en español, ejecutado como prueba real.</w:t>
            </w:r>
          </w:p>
        </w:tc>
        <w:tc>
          <w:tcPr>
            <w:tcW w:type="dxa" w:w="5839"/>
          </w:tcPr>
          <w:p>
            <w:pPr>
              <w:spacing w:after="40" w:before="40"/>
            </w:pPr>
            <w:r/>
            <w:r>
              <w:rPr>
                <w:rFonts w:ascii="Calibri" w:hAnsi="Calibri"/>
                <w:b w:val="0"/>
                <w:sz w:val="17"/>
              </w:rPr>
              <w:t>La construcción falla.</w:t>
            </w:r>
          </w:p>
        </w:tc>
      </w:tr>
      <w:tr>
        <w:tc>
          <w:tcPr>
            <w:tcW w:type="dxa" w:w="2835"/>
          </w:tcPr>
          <w:p>
            <w:pPr>
              <w:spacing w:after="40" w:before="40"/>
            </w:pPr>
            <w:r/>
            <w:r>
              <w:rPr>
                <w:rFonts w:ascii="Calibri" w:hAnsi="Calibri"/>
                <w:b/>
                <w:sz w:val="17"/>
              </w:rPr>
              <w:t>ArchUnit</w:t>
            </w:r>
          </w:p>
        </w:tc>
        <w:tc>
          <w:tcPr>
            <w:tcW w:type="dxa" w:w="6463"/>
          </w:tcPr>
          <w:p>
            <w:pPr>
              <w:spacing w:after="40" w:before="40"/>
            </w:pPr>
            <w:r/>
            <w:r>
              <w:rPr>
                <w:rFonts w:ascii="Calibri" w:hAnsi="Calibri"/>
                <w:b w:val="0"/>
                <w:sz w:val="17"/>
              </w:rPr>
              <w:t>Que el paquete `domain` no importe ninguna clase de marco de trabajo.</w:t>
            </w:r>
          </w:p>
        </w:tc>
        <w:tc>
          <w:tcPr>
            <w:tcW w:type="dxa" w:w="5839"/>
          </w:tcPr>
          <w:p>
            <w:pPr>
              <w:spacing w:after="40" w:before="40"/>
            </w:pPr>
            <w:r/>
            <w:r>
              <w:rPr>
                <w:rFonts w:ascii="Calibri" w:hAnsi="Calibri"/>
                <w:b w:val="0"/>
                <w:sz w:val="17"/>
              </w:rPr>
              <w:t>La construcción falla. Es lo que impide que la arquitectura hexagonal se erosione en silencio.</w:t>
            </w:r>
          </w:p>
        </w:tc>
      </w:tr>
      <w:tr>
        <w:tc>
          <w:tcPr>
            <w:tcW w:type="dxa" w:w="2835"/>
          </w:tcPr>
          <w:p>
            <w:pPr>
              <w:spacing w:after="40" w:before="40"/>
            </w:pPr>
            <w:r/>
            <w:r>
              <w:rPr>
                <w:rFonts w:ascii="Calibri" w:hAnsi="Calibri"/>
                <w:b/>
                <w:sz w:val="17"/>
              </w:rPr>
              <w:t>JaCoCo + SonarCloud</w:t>
            </w:r>
          </w:p>
        </w:tc>
        <w:tc>
          <w:tcPr>
            <w:tcW w:type="dxa" w:w="6463"/>
          </w:tcPr>
          <w:p>
            <w:pPr>
              <w:spacing w:after="40" w:before="40"/>
            </w:pPr>
            <w:r/>
            <w:r>
              <w:rPr>
                <w:rFonts w:ascii="Calibri" w:hAnsi="Calibri"/>
                <w:b w:val="0"/>
                <w:sz w:val="17"/>
              </w:rPr>
              <w:t>Cobertura del código nuevo y deuda técnica.</w:t>
            </w:r>
          </w:p>
        </w:tc>
        <w:tc>
          <w:tcPr>
            <w:tcW w:type="dxa" w:w="5839"/>
          </w:tcPr>
          <w:p>
            <w:pPr>
              <w:spacing w:after="40" w:before="40"/>
            </w:pPr>
            <w:r/>
            <w:r>
              <w:rPr>
                <w:rFonts w:ascii="Calibri" w:hAnsi="Calibri"/>
                <w:b w:val="0"/>
                <w:sz w:val="17"/>
              </w:rPr>
              <w:t>La puerta de calidad se marca en rojo si la cobertura del código nuevo baja del 80 %.</w:t>
            </w:r>
          </w:p>
        </w:tc>
      </w:tr>
      <w:tr>
        <w:tc>
          <w:tcPr>
            <w:tcW w:type="dxa" w:w="2835"/>
          </w:tcPr>
          <w:p>
            <w:pPr>
              <w:spacing w:after="40" w:before="40"/>
            </w:pPr>
            <w:r/>
            <w:r>
              <w:rPr>
                <w:rFonts w:ascii="Calibri" w:hAnsi="Calibri"/>
                <w:b/>
                <w:sz w:val="17"/>
              </w:rPr>
              <w:t>Gitleaks</w:t>
            </w:r>
          </w:p>
        </w:tc>
        <w:tc>
          <w:tcPr>
            <w:tcW w:type="dxa" w:w="6463"/>
          </w:tcPr>
          <w:p>
            <w:pPr>
              <w:spacing w:after="40" w:before="40"/>
            </w:pPr>
            <w:r/>
            <w:r>
              <w:rPr>
                <w:rFonts w:ascii="Calibri" w:hAnsi="Calibri"/>
                <w:b w:val="0"/>
                <w:sz w:val="17"/>
              </w:rPr>
              <w:t xml:space="preserve">Secretos filtrados, </w:t>
            </w:r>
            <w:r>
              <w:rPr>
                <w:rFonts w:ascii="Calibri" w:hAnsi="Calibri"/>
                <w:b/>
                <w:sz w:val="17"/>
              </w:rPr>
              <w:t>sobre el historial de la rama y no solo sobre los ficheros actuales</w:t>
            </w:r>
            <w:r>
              <w:rPr>
                <w:rFonts w:ascii="Calibri" w:hAnsi="Calibri"/>
                <w:b w:val="0"/>
                <w:sz w:val="17"/>
              </w:rPr>
              <w:t>.</w:t>
            </w:r>
          </w:p>
        </w:tc>
        <w:tc>
          <w:tcPr>
            <w:tcW w:type="dxa" w:w="5839"/>
          </w:tcPr>
          <w:p>
            <w:pPr>
              <w:spacing w:after="40" w:before="40"/>
            </w:pPr>
            <w:r/>
            <w:r>
              <w:rPr>
                <w:rFonts w:ascii="Calibri" w:hAnsi="Calibri"/>
                <w:b w:val="0"/>
                <w:sz w:val="17"/>
              </w:rPr>
              <w:t>Bloquea la fusión.</w:t>
            </w:r>
          </w:p>
        </w:tc>
      </w:tr>
      <w:tr>
        <w:tc>
          <w:tcPr>
            <w:tcW w:type="dxa" w:w="2835"/>
          </w:tcPr>
          <w:p>
            <w:pPr>
              <w:spacing w:after="40" w:before="40"/>
            </w:pPr>
            <w:r/>
            <w:r>
              <w:rPr>
                <w:rFonts w:ascii="Calibri" w:hAnsi="Calibri"/>
                <w:b/>
                <w:sz w:val="17"/>
              </w:rPr>
              <w:t>Trivy</w:t>
            </w:r>
          </w:p>
        </w:tc>
        <w:tc>
          <w:tcPr>
            <w:tcW w:type="dxa" w:w="6463"/>
          </w:tcPr>
          <w:p>
            <w:pPr>
              <w:spacing w:after="40" w:before="40"/>
            </w:pPr>
            <w:r/>
            <w:r>
              <w:rPr>
                <w:rFonts w:ascii="Calibri" w:hAnsi="Calibri"/>
                <w:b w:val="0"/>
                <w:sz w:val="17"/>
              </w:rPr>
              <w:t>Vulnerabilidades conocidas en dependencias e imágenes de contenedor.</w:t>
            </w:r>
          </w:p>
        </w:tc>
        <w:tc>
          <w:tcPr>
            <w:tcW w:type="dxa" w:w="5839"/>
          </w:tcPr>
          <w:p>
            <w:pPr>
              <w:spacing w:after="40" w:before="40"/>
            </w:pPr>
            <w:r/>
            <w:r>
              <w:rPr>
                <w:rFonts w:ascii="Calibri" w:hAnsi="Calibri"/>
                <w:b w:val="0"/>
                <w:sz w:val="17"/>
              </w:rPr>
              <w:t>Bloquea la fusión ante severidad alta o crítica.</w:t>
            </w:r>
          </w:p>
        </w:tc>
      </w:tr>
      <w:tr>
        <w:tc>
          <w:tcPr>
            <w:tcW w:type="dxa" w:w="2835"/>
          </w:tcPr>
          <w:p>
            <w:pPr>
              <w:spacing w:after="40" w:before="40"/>
            </w:pPr>
            <w:r/>
            <w:r>
              <w:rPr>
                <w:rFonts w:ascii="Calibri" w:hAnsi="Calibri"/>
                <w:b/>
                <w:sz w:val="17"/>
              </w:rPr>
              <w:t>Playwright</w:t>
            </w:r>
          </w:p>
        </w:tc>
        <w:tc>
          <w:tcPr>
            <w:tcW w:type="dxa" w:w="6463"/>
          </w:tcPr>
          <w:p>
            <w:pPr>
              <w:spacing w:after="40" w:before="40"/>
            </w:pPr>
            <w:r/>
            <w:r>
              <w:rPr>
                <w:rFonts w:ascii="Calibri" w:hAnsi="Calibri"/>
                <w:b w:val="0"/>
                <w:sz w:val="17"/>
              </w:rPr>
              <w:t>Recorridos completos en un navegador real: 140 pruebas.</w:t>
            </w:r>
          </w:p>
        </w:tc>
        <w:tc>
          <w:tcPr>
            <w:tcW w:type="dxa" w:w="5839"/>
          </w:tcPr>
          <w:p>
            <w:pPr>
              <w:spacing w:after="40" w:before="40"/>
            </w:pPr>
            <w:r/>
            <w:r>
              <w:rPr>
                <w:rFonts w:ascii="Calibri" w:hAnsi="Calibri"/>
                <w:b w:val="0"/>
                <w:sz w:val="17"/>
              </w:rPr>
              <w:t>La construcción falla.</w:t>
            </w:r>
          </w:p>
        </w:tc>
      </w:tr>
      <w:tr>
        <w:tc>
          <w:tcPr>
            <w:tcW w:type="dxa" w:w="2835"/>
          </w:tcPr>
          <w:p>
            <w:pPr>
              <w:spacing w:after="40" w:before="40"/>
            </w:pPr>
            <w:r/>
            <w:r>
              <w:rPr>
                <w:rFonts w:ascii="Calibri" w:hAnsi="Calibri"/>
                <w:b/>
                <w:sz w:val="17"/>
              </w:rPr>
              <w:t>Vitest + Testing Library</w:t>
            </w:r>
          </w:p>
        </w:tc>
        <w:tc>
          <w:tcPr>
            <w:tcW w:type="dxa" w:w="6463"/>
          </w:tcPr>
          <w:p>
            <w:pPr>
              <w:spacing w:after="40" w:before="40"/>
            </w:pPr>
            <w:r/>
            <w:r>
              <w:rPr>
                <w:rFonts w:ascii="Calibri" w:hAnsi="Calibri"/>
                <w:b w:val="0"/>
                <w:sz w:val="17"/>
              </w:rPr>
              <w:t>Componentes de la interfaz de forma aislada: 18 pruebas.</w:t>
            </w:r>
          </w:p>
        </w:tc>
        <w:tc>
          <w:tcPr>
            <w:tcW w:type="dxa" w:w="5839"/>
          </w:tcPr>
          <w:p>
            <w:pPr>
              <w:spacing w:after="40" w:before="40"/>
            </w:pPr>
            <w:r/>
            <w:r>
              <w:rPr>
                <w:rFonts w:ascii="Calibri" w:hAnsi="Calibri"/>
                <w:b w:val="0"/>
                <w:sz w:val="17"/>
              </w:rPr>
              <w:t>La construcción falla.</w:t>
            </w:r>
          </w:p>
        </w:tc>
      </w:tr>
      <w:tr>
        <w:tc>
          <w:tcPr>
            <w:tcW w:type="dxa" w:w="2835"/>
          </w:tcPr>
          <w:p>
            <w:pPr>
              <w:spacing w:after="40" w:before="40"/>
            </w:pPr>
            <w:r/>
            <w:r>
              <w:rPr>
                <w:rFonts w:ascii="Calibri" w:hAnsi="Calibri"/>
                <w:b/>
                <w:sz w:val="17"/>
              </w:rPr>
              <w:t>Lighthouse</w:t>
            </w:r>
          </w:p>
        </w:tc>
        <w:tc>
          <w:tcPr>
            <w:tcW w:type="dxa" w:w="6463"/>
          </w:tcPr>
          <w:p>
            <w:pPr>
              <w:spacing w:after="40" w:before="40"/>
            </w:pPr>
            <w:r/>
            <w:r>
              <w:rPr>
                <w:rFonts w:ascii="Calibri" w:hAnsi="Calibri"/>
                <w:b w:val="0"/>
                <w:sz w:val="17"/>
              </w:rPr>
              <w:t>Rendimiento y accesibilidad sobre un build de producción.</w:t>
            </w:r>
          </w:p>
        </w:tc>
        <w:tc>
          <w:tcPr>
            <w:tcW w:type="dxa" w:w="5839"/>
          </w:tcPr>
          <w:p>
            <w:pPr>
              <w:spacing w:after="40" w:before="40"/>
            </w:pPr>
            <w:r/>
            <w:r>
              <w:rPr>
                <w:rFonts w:ascii="Calibri" w:hAnsi="Calibri"/>
                <w:b w:val="0"/>
                <w:sz w:val="17"/>
              </w:rPr>
              <w:t>Informe adjunto; ver el reporte WPO.</w:t>
            </w:r>
          </w:p>
        </w:tc>
      </w:tr>
    </w:tbl>
    <w:p>
      <w:r>
        <w:br w:type="page"/>
      </w:r>
    </w:p>
    <w:p>
      <w:pPr>
        <w:spacing w:before="300" w:after="100"/>
      </w:pPr>
      <w:r>
        <w:rPr>
          <w:rFonts w:ascii="Calibri" w:hAnsi="Calibri"/>
          <w:b/>
          <w:color w:val="064475"/>
          <w:sz w:val="26"/>
        </w:rPr>
        <w:t>4. COHERENCIA DEL CONJUNTO</w:t>
      </w:r>
    </w:p>
    <w:p>
      <w:pPr>
        <w:spacing w:after="160"/>
        <w:jc w:val="both"/>
      </w:pPr>
      <w:r>
        <w:rPr>
          <w:rFonts w:ascii="Calibri" w:hAnsi="Calibri"/>
          <w:b w:val="0"/>
          <w:sz w:val="20"/>
        </w:rPr>
        <w:t>Una lista de herramientas buenas no forma necesariamente un conjunto coherente. Estas cuatro cadenas muestran que las piezas encajan entre sí y no solo por separado:</w:t>
      </w:r>
    </w:p>
    <w:tbl>
      <w:tblPr>
        <w:tblStyle w:val="TableGrid"/>
        <w:tblW w:type="auto" w:w="0"/>
        <w:tblLook w:firstColumn="1" w:firstRow="1" w:lastColumn="0" w:lastRow="0" w:noHBand="0" w:noVBand="1" w:val="04A0"/>
      </w:tblPr>
      <w:tblGrid>
        <w:gridCol w:w="7569"/>
        <w:gridCol w:w="7569"/>
      </w:tblGrid>
      <w:tr>
        <w:tc>
          <w:tcPr>
            <w:tcW w:type="dxa" w:w="4082"/>
            <w:shd w:val="clear" w:color="auto" w:fill="064475"/>
          </w:tcPr>
          <w:p>
            <w:pPr>
              <w:spacing w:after="40" w:before="40"/>
            </w:pPr>
            <w:r/>
            <w:r>
              <w:rPr>
                <w:rFonts w:ascii="Calibri" w:hAnsi="Calibri"/>
                <w:b/>
                <w:color w:val="FFFFFF"/>
                <w:sz w:val="18"/>
              </w:rPr>
              <w:t>Cadena</w:t>
            </w:r>
          </w:p>
        </w:tc>
        <w:tc>
          <w:tcPr>
            <w:tcW w:type="dxa" w:w="11055"/>
            <w:shd w:val="clear" w:color="auto" w:fill="064475"/>
          </w:tcPr>
          <w:p>
            <w:pPr>
              <w:spacing w:after="40" w:before="40"/>
            </w:pPr>
            <w:r/>
            <w:r>
              <w:rPr>
                <w:rFonts w:ascii="Calibri" w:hAnsi="Calibri"/>
                <w:b/>
                <w:color w:val="FFFFFF"/>
                <w:sz w:val="18"/>
              </w:rPr>
              <w:t>Cómo encajan las piezas</w:t>
            </w:r>
          </w:p>
        </w:tc>
      </w:tr>
      <w:tr>
        <w:tc>
          <w:tcPr>
            <w:tcW w:type="dxa" w:w="4082"/>
          </w:tcPr>
          <w:p>
            <w:pPr>
              <w:spacing w:after="40" w:before="40"/>
            </w:pPr>
            <w:r/>
            <w:r>
              <w:rPr>
                <w:rFonts w:ascii="Calibri" w:hAnsi="Calibri"/>
                <w:b/>
                <w:sz w:val="18"/>
              </w:rPr>
              <w:t>Trazabilidad de la historia al código</w:t>
            </w:r>
          </w:p>
        </w:tc>
        <w:tc>
          <w:tcPr>
            <w:tcW w:type="dxa" w:w="11055"/>
          </w:tcPr>
          <w:p>
            <w:pPr>
              <w:spacing w:after="40" w:before="40"/>
            </w:pPr>
            <w:r/>
            <w:r>
              <w:rPr>
                <w:rFonts w:ascii="Calibri" w:hAnsi="Calibri"/>
                <w:b w:val="0"/>
                <w:sz w:val="18"/>
              </w:rPr>
              <w:t xml:space="preserve">Una historia en </w:t>
            </w:r>
            <w:r>
              <w:rPr>
                <w:rFonts w:ascii="Calibri" w:hAnsi="Calibri"/>
                <w:b/>
                <w:sz w:val="18"/>
              </w:rPr>
              <w:t>Jira</w:t>
            </w:r>
            <w:r>
              <w:rPr>
                <w:rFonts w:ascii="Calibri" w:hAnsi="Calibri"/>
                <w:b w:val="0"/>
                <w:sz w:val="18"/>
              </w:rPr>
              <w:t xml:space="preserve"> (`AYNI-124`) da nombre a una rama en </w:t>
            </w:r>
            <w:r>
              <w:rPr>
                <w:rFonts w:ascii="Calibri" w:hAnsi="Calibri"/>
                <w:b/>
                <w:sz w:val="18"/>
              </w:rPr>
              <w:t>Git</w:t>
            </w:r>
            <w:r>
              <w:rPr>
                <w:rFonts w:ascii="Calibri" w:hAnsi="Calibri"/>
                <w:b w:val="0"/>
                <w:sz w:val="18"/>
              </w:rPr>
              <w:t xml:space="preserve"> (`feature/AYNI-124-...`), que se menciona en el mensaje de confirmación con </w:t>
            </w:r>
            <w:r>
              <w:rPr>
                <w:rFonts w:ascii="Calibri" w:hAnsi="Calibri"/>
                <w:b/>
                <w:sz w:val="18"/>
              </w:rPr>
              <w:t>Conventional Commits</w:t>
            </w:r>
            <w:r>
              <w:rPr>
                <w:rFonts w:ascii="Calibri" w:hAnsi="Calibri"/>
                <w:b w:val="0"/>
                <w:sz w:val="18"/>
              </w:rPr>
              <w:t xml:space="preserve"> (`Refs: AYNI-124`), y se integra mediante un Pull Request en </w:t>
            </w:r>
            <w:r>
              <w:rPr>
                <w:rFonts w:ascii="Calibri" w:hAnsi="Calibri"/>
                <w:b/>
                <w:sz w:val="18"/>
              </w:rPr>
              <w:t>GitHub</w:t>
            </w:r>
            <w:r>
              <w:rPr>
                <w:rFonts w:ascii="Calibri" w:hAnsi="Calibri"/>
                <w:b w:val="0"/>
                <w:sz w:val="18"/>
              </w:rPr>
              <w:t>. Desde cualquier línea de código se puede llegar a la historia que la justificó, y al revés.</w:t>
            </w:r>
          </w:p>
        </w:tc>
      </w:tr>
      <w:tr>
        <w:tc>
          <w:tcPr>
            <w:tcW w:type="dxa" w:w="4082"/>
          </w:tcPr>
          <w:p>
            <w:pPr>
              <w:spacing w:after="40" w:before="40"/>
            </w:pPr>
            <w:r/>
            <w:r>
              <w:rPr>
                <w:rFonts w:ascii="Calibri" w:hAnsi="Calibri"/>
                <w:b/>
                <w:sz w:val="18"/>
              </w:rPr>
              <w:t>Del criterio de aceptación a la prueba</w:t>
            </w:r>
          </w:p>
        </w:tc>
        <w:tc>
          <w:tcPr>
            <w:tcW w:type="dxa" w:w="11055"/>
          </w:tcPr>
          <w:p>
            <w:pPr>
              <w:spacing w:after="40" w:before="40"/>
            </w:pPr>
            <w:r/>
            <w:r>
              <w:rPr>
                <w:rFonts w:ascii="Calibri" w:hAnsi="Calibri"/>
                <w:b w:val="0"/>
                <w:sz w:val="18"/>
              </w:rPr>
              <w:t xml:space="preserve">El criterio se redacta en </w:t>
            </w:r>
            <w:r>
              <w:rPr>
                <w:rFonts w:ascii="Calibri" w:hAnsi="Calibri"/>
                <w:b/>
                <w:sz w:val="18"/>
              </w:rPr>
              <w:t>Jira</w:t>
            </w:r>
            <w:r>
              <w:rPr>
                <w:rFonts w:ascii="Calibri" w:hAnsi="Calibri"/>
                <w:b w:val="0"/>
                <w:sz w:val="18"/>
              </w:rPr>
              <w:t xml:space="preserve"> en formato DADO/CUANDO/ENTONCES, se copia a un fichero `.feature` de </w:t>
            </w:r>
            <w:r>
              <w:rPr>
                <w:rFonts w:ascii="Calibri" w:hAnsi="Calibri"/>
                <w:b/>
                <w:sz w:val="18"/>
              </w:rPr>
              <w:t>Cucumber</w:t>
            </w:r>
            <w:r>
              <w:rPr>
                <w:rFonts w:ascii="Calibri" w:hAnsi="Calibri"/>
                <w:b w:val="0"/>
                <w:sz w:val="18"/>
              </w:rPr>
              <w:t xml:space="preserve"> y se ejecuta en cada integración. Un criterio ambiguo se hace evidente al intentar automatizarlo, que es la mitigación del riesgo R-13.</w:t>
            </w:r>
          </w:p>
        </w:tc>
      </w:tr>
      <w:tr>
        <w:tc>
          <w:tcPr>
            <w:tcW w:type="dxa" w:w="4082"/>
          </w:tcPr>
          <w:p>
            <w:pPr>
              <w:spacing w:after="40" w:before="40"/>
            </w:pPr>
            <w:r/>
            <w:r>
              <w:rPr>
                <w:rFonts w:ascii="Calibri" w:hAnsi="Calibri"/>
                <w:b/>
                <w:sz w:val="18"/>
              </w:rPr>
              <w:t>Del diseño a la interfaz</w:t>
            </w:r>
          </w:p>
        </w:tc>
        <w:tc>
          <w:tcPr>
            <w:tcW w:type="dxa" w:w="11055"/>
          </w:tcPr>
          <w:p>
            <w:pPr>
              <w:spacing w:after="40" w:before="40"/>
            </w:pPr>
            <w:r/>
            <w:r>
              <w:rPr>
                <w:rFonts w:ascii="Calibri" w:hAnsi="Calibri"/>
                <w:b w:val="0"/>
                <w:sz w:val="18"/>
              </w:rPr>
              <w:t xml:space="preserve">Los tokens se definen en la guía de estilo, </w:t>
            </w:r>
            <w:r>
              <w:rPr>
                <w:rFonts w:ascii="Calibri" w:hAnsi="Calibri"/>
                <w:b/>
                <w:sz w:val="18"/>
              </w:rPr>
              <w:t>pen.dev</w:t>
            </w:r>
            <w:r>
              <w:rPr>
                <w:rFonts w:ascii="Calibri" w:hAnsi="Calibri"/>
                <w:b w:val="0"/>
                <w:sz w:val="18"/>
              </w:rPr>
              <w:t xml:space="preserve"> los usa al prototipar, </w:t>
            </w:r>
            <w:r>
              <w:rPr>
                <w:rFonts w:ascii="Calibri" w:hAnsi="Calibri"/>
                <w:b/>
                <w:sz w:val="18"/>
              </w:rPr>
              <w:t>Tailwind</w:t>
            </w:r>
            <w:r>
              <w:rPr>
                <w:rFonts w:ascii="Calibri" w:hAnsi="Calibri"/>
                <w:b w:val="0"/>
                <w:sz w:val="18"/>
              </w:rPr>
              <w:t xml:space="preserve"> los declara una sola vez y los componentes los consumen por nombre. Cambiar un color en un sitio lo cambia en todos, y </w:t>
            </w:r>
            <w:r>
              <w:rPr>
                <w:rFonts w:ascii="Calibri" w:hAnsi="Calibri"/>
                <w:b/>
                <w:sz w:val="18"/>
              </w:rPr>
              <w:t>Playwright</w:t>
            </w:r>
            <w:r>
              <w:rPr>
                <w:rFonts w:ascii="Calibri" w:hAnsi="Calibri"/>
                <w:b w:val="0"/>
                <w:sz w:val="18"/>
              </w:rPr>
              <w:t xml:space="preserve"> verifica el contraste resultante en un navegador real.</w:t>
            </w:r>
          </w:p>
        </w:tc>
      </w:tr>
      <w:tr>
        <w:tc>
          <w:tcPr>
            <w:tcW w:type="dxa" w:w="4082"/>
          </w:tcPr>
          <w:p>
            <w:pPr>
              <w:spacing w:after="40" w:before="40"/>
            </w:pPr>
            <w:r/>
            <w:r>
              <w:rPr>
                <w:rFonts w:ascii="Calibri" w:hAnsi="Calibri"/>
                <w:b/>
                <w:sz w:val="18"/>
              </w:rPr>
              <w:t>Del portátil a producción</w:t>
            </w:r>
          </w:p>
        </w:tc>
        <w:tc>
          <w:tcPr>
            <w:tcW w:type="dxa" w:w="11055"/>
          </w:tcPr>
          <w:p>
            <w:pPr>
              <w:spacing w:after="40" w:before="40"/>
            </w:pPr>
            <w:r/>
            <w:r>
              <w:rPr>
                <w:rFonts w:ascii="Calibri" w:hAnsi="Calibri"/>
                <w:b/>
                <w:sz w:val="18"/>
              </w:rPr>
              <w:t>Docker</w:t>
            </w:r>
            <w:r>
              <w:rPr>
                <w:rFonts w:ascii="Calibri" w:hAnsi="Calibri"/>
                <w:b w:val="0"/>
                <w:sz w:val="18"/>
              </w:rPr>
              <w:t xml:space="preserve"> produce una imagen ARM64 idéntica para los tres entornos. </w:t>
            </w:r>
            <w:r>
              <w:rPr>
                <w:rFonts w:ascii="Calibri" w:hAnsi="Calibri"/>
                <w:b/>
                <w:sz w:val="18"/>
              </w:rPr>
              <w:t>GitHub Actions</w:t>
            </w:r>
            <w:r>
              <w:rPr>
                <w:rFonts w:ascii="Calibri" w:hAnsi="Calibri"/>
                <w:b w:val="0"/>
                <w:sz w:val="18"/>
              </w:rPr>
              <w:t xml:space="preserve"> la construye y la publica. La misma imagen corre en la </w:t>
            </w:r>
            <w:r>
              <w:rPr>
                <w:rFonts w:ascii="Calibri" w:hAnsi="Calibri"/>
                <w:b/>
                <w:sz w:val="18"/>
              </w:rPr>
              <w:t>Raspberry Pi</w:t>
            </w:r>
            <w:r>
              <w:rPr>
                <w:rFonts w:ascii="Calibri" w:hAnsi="Calibri"/>
                <w:b w:val="0"/>
                <w:sz w:val="18"/>
              </w:rPr>
              <w:t xml:space="preserve"> y en </w:t>
            </w:r>
            <w:r>
              <w:rPr>
                <w:rFonts w:ascii="Calibri" w:hAnsi="Calibri"/>
                <w:b/>
                <w:sz w:val="18"/>
              </w:rPr>
              <w:t>Oracle Cloud</w:t>
            </w:r>
            <w:r>
              <w:rPr>
                <w:rFonts w:ascii="Calibri" w:hAnsi="Calibri"/>
                <w:b w:val="0"/>
                <w:sz w:val="18"/>
              </w:rPr>
              <w:t xml:space="preserve"> sin recompilar, porque comparten arquitectura. Es lo que hace que «funciona en mi máquina» deje de ser una frase útil.</w:t>
            </w:r>
          </w:p>
        </w:tc>
      </w:tr>
    </w:tbl>
    <w:p>
      <w:pPr>
        <w:spacing w:after="160"/>
        <w:jc w:val="both"/>
      </w:pPr>
    </w:p>
    <w:p>
      <w:pPr>
        <w:spacing w:after="160"/>
        <w:jc w:val="both"/>
      </w:pPr>
      <w:r>
        <w:rPr>
          <w:rFonts w:ascii="Calibri" w:hAnsi="Calibri"/>
          <w:b/>
          <w:sz w:val="20"/>
        </w:rPr>
        <w:t>Una comprobación de coherencia que sí falló.</w:t>
      </w:r>
      <w:r>
        <w:rPr>
          <w:rFonts w:ascii="Calibri" w:hAnsi="Calibri"/>
          <w:b w:val="0"/>
          <w:sz w:val="20"/>
        </w:rPr>
        <w:t xml:space="preserve"> Durante la auditoría de rendimiento se añadió un campo `browserslist` esperando que el compilador de Next.js lo respetara, y no lo hizo. Se documenta en el reporte WPO como resultado negativo. Se menciona aquí porque ilustra el criterio con el que está escrito este documento: </w:t>
      </w:r>
      <w:r>
        <w:rPr>
          <w:rFonts w:ascii="Calibri" w:hAnsi="Calibri"/>
          <w:b/>
          <w:sz w:val="20"/>
        </w:rPr>
        <w:t>una herramienta se declara elegida cuando se ha comprobado que hace lo que se espera de ella, no cuando la documentación dice que debería.</w:t>
      </w:r>
    </w:p>
    <w:p>
      <w:pPr>
        <w:spacing w:before="300" w:after="100"/>
      </w:pPr>
      <w:r>
        <w:rPr>
          <w:rFonts w:ascii="Calibri" w:hAnsi="Calibri"/>
          <w:b/>
          <w:color w:val="064475"/>
          <w:sz w:val="26"/>
        </w:rPr>
        <w:t>5. RESUMEN</w:t>
      </w:r>
    </w:p>
    <w:tbl>
      <w:tblPr>
        <w:tblStyle w:val="TableGrid"/>
        <w:tblW w:type="auto" w:w="0"/>
        <w:tblLook w:firstColumn="1" w:firstRow="1" w:lastColumn="0" w:lastRow="0" w:noHBand="0" w:noVBand="1" w:val="04A0"/>
      </w:tblPr>
      <w:tblGrid>
        <w:gridCol w:w="3784"/>
        <w:gridCol w:w="3784"/>
        <w:gridCol w:w="3784"/>
        <w:gridCol w:w="3784"/>
      </w:tblGrid>
      <w:tr>
        <w:tc>
          <w:tcPr>
            <w:tcW w:type="dxa" w:w="4195"/>
            <w:shd w:val="clear" w:color="auto" w:fill="064475"/>
          </w:tcPr>
          <w:p>
            <w:pPr>
              <w:spacing w:after="40" w:before="40"/>
            </w:pPr>
            <w:r/>
            <w:r>
              <w:rPr>
                <w:rFonts w:ascii="Calibri" w:hAnsi="Calibri"/>
                <w:b/>
                <w:color w:val="FFFFFF"/>
                <w:sz w:val="17"/>
              </w:rPr>
              <w:t>Categoría</w:t>
            </w:r>
          </w:p>
        </w:tc>
        <w:tc>
          <w:tcPr>
            <w:tcW w:type="dxa" w:w="4762"/>
            <w:shd w:val="clear" w:color="auto" w:fill="064475"/>
          </w:tcPr>
          <w:p>
            <w:pPr>
              <w:spacing w:after="40" w:before="40"/>
            </w:pPr>
            <w:r/>
            <w:r>
              <w:rPr>
                <w:rFonts w:ascii="Calibri" w:hAnsi="Calibri"/>
                <w:b/>
                <w:color w:val="FFFFFF"/>
                <w:sz w:val="17"/>
              </w:rPr>
              <w:t>Herramienta</w:t>
            </w:r>
          </w:p>
        </w:tc>
        <w:tc>
          <w:tcPr>
            <w:tcW w:type="dxa" w:w="2608"/>
            <w:shd w:val="clear" w:color="auto" w:fill="064475"/>
          </w:tcPr>
          <w:p>
            <w:pPr>
              <w:spacing w:after="40" w:before="40"/>
            </w:pPr>
            <w:r/>
            <w:r>
              <w:rPr>
                <w:rFonts w:ascii="Calibri" w:hAnsi="Calibri"/>
                <w:b/>
                <w:color w:val="FFFFFF"/>
                <w:sz w:val="17"/>
              </w:rPr>
              <w:t>Versión</w:t>
            </w:r>
          </w:p>
        </w:tc>
        <w:tc>
          <w:tcPr>
            <w:tcW w:type="dxa" w:w="3572"/>
            <w:shd w:val="clear" w:color="auto" w:fill="064475"/>
          </w:tcPr>
          <w:p>
            <w:pPr>
              <w:spacing w:after="40" w:before="40"/>
            </w:pPr>
            <w:r/>
            <w:r>
              <w:rPr>
                <w:rFonts w:ascii="Calibri" w:hAnsi="Calibri"/>
                <w:b/>
                <w:color w:val="FFFFFF"/>
                <w:sz w:val="17"/>
              </w:rPr>
              <w:t>Licencia / coste</w:t>
            </w:r>
          </w:p>
        </w:tc>
      </w:tr>
      <w:tr>
        <w:tc>
          <w:tcPr>
            <w:tcW w:type="dxa" w:w="4195"/>
          </w:tcPr>
          <w:p>
            <w:pPr>
              <w:spacing w:after="40" w:before="40"/>
            </w:pPr>
            <w:r/>
            <w:r>
              <w:rPr>
                <w:rFonts w:ascii="Calibri" w:hAnsi="Calibri"/>
                <w:b w:val="0"/>
                <w:sz w:val="17"/>
              </w:rPr>
              <w:t>Entorno de desarrollo · Java</w:t>
            </w:r>
          </w:p>
        </w:tc>
        <w:tc>
          <w:tcPr>
            <w:tcW w:type="dxa" w:w="4762"/>
          </w:tcPr>
          <w:p>
            <w:pPr>
              <w:spacing w:after="40" w:before="40"/>
            </w:pPr>
            <w:r/>
            <w:r>
              <w:rPr>
                <w:rFonts w:ascii="Calibri" w:hAnsi="Calibri"/>
                <w:b w:val="0"/>
                <w:sz w:val="17"/>
              </w:rPr>
              <w:t>IntelliJ IDEA Ultimate</w:t>
            </w:r>
          </w:p>
        </w:tc>
        <w:tc>
          <w:tcPr>
            <w:tcW w:type="dxa" w:w="2608"/>
          </w:tcPr>
          <w:p>
            <w:pPr>
              <w:spacing w:after="40" w:before="40"/>
            </w:pPr>
            <w:r/>
            <w:r>
              <w:rPr>
                <w:rFonts w:ascii="Calibri" w:hAnsi="Calibri"/>
                <w:b w:val="0"/>
                <w:sz w:val="17"/>
              </w:rPr>
              <w:t>2025.2</w:t>
            </w:r>
          </w:p>
        </w:tc>
        <w:tc>
          <w:tcPr>
            <w:tcW w:type="dxa" w:w="3572"/>
          </w:tcPr>
          <w:p>
            <w:pPr>
              <w:spacing w:after="40" w:before="40"/>
            </w:pPr>
            <w:r/>
            <w:r>
              <w:rPr>
                <w:rFonts w:ascii="Calibri" w:hAnsi="Calibri"/>
                <w:b w:val="0"/>
                <w:sz w:val="17"/>
              </w:rPr>
              <w:t>Licencia académica · S/ 0</w:t>
            </w:r>
          </w:p>
        </w:tc>
      </w:tr>
      <w:tr>
        <w:tc>
          <w:tcPr>
            <w:tcW w:type="dxa" w:w="4195"/>
          </w:tcPr>
          <w:p>
            <w:pPr>
              <w:spacing w:after="40" w:before="40"/>
            </w:pPr>
            <w:r/>
            <w:r>
              <w:rPr>
                <w:rFonts w:ascii="Calibri" w:hAnsi="Calibri"/>
                <w:b w:val="0"/>
                <w:sz w:val="17"/>
              </w:rPr>
              <w:t>Entorno de desarrollo · Python</w:t>
            </w:r>
          </w:p>
        </w:tc>
        <w:tc>
          <w:tcPr>
            <w:tcW w:type="dxa" w:w="4762"/>
          </w:tcPr>
          <w:p>
            <w:pPr>
              <w:spacing w:after="40" w:before="40"/>
            </w:pPr>
            <w:r/>
            <w:r>
              <w:rPr>
                <w:rFonts w:ascii="Calibri" w:hAnsi="Calibri"/>
                <w:b w:val="0"/>
                <w:sz w:val="17"/>
              </w:rPr>
              <w:t>PyCharm Professional</w:t>
            </w:r>
          </w:p>
        </w:tc>
        <w:tc>
          <w:tcPr>
            <w:tcW w:type="dxa" w:w="2608"/>
          </w:tcPr>
          <w:p>
            <w:pPr>
              <w:spacing w:after="40" w:before="40"/>
            </w:pPr>
            <w:r/>
            <w:r>
              <w:rPr>
                <w:rFonts w:ascii="Calibri" w:hAnsi="Calibri"/>
                <w:b w:val="0"/>
                <w:sz w:val="17"/>
              </w:rPr>
              <w:t>2025.2</w:t>
            </w:r>
          </w:p>
        </w:tc>
        <w:tc>
          <w:tcPr>
            <w:tcW w:type="dxa" w:w="3572"/>
          </w:tcPr>
          <w:p>
            <w:pPr>
              <w:spacing w:after="40" w:before="40"/>
            </w:pPr>
            <w:r/>
            <w:r>
              <w:rPr>
                <w:rFonts w:ascii="Calibri" w:hAnsi="Calibri"/>
                <w:b w:val="0"/>
                <w:sz w:val="17"/>
              </w:rPr>
              <w:t>Licencia académica · S/ 0</w:t>
            </w:r>
          </w:p>
        </w:tc>
      </w:tr>
      <w:tr>
        <w:tc>
          <w:tcPr>
            <w:tcW w:type="dxa" w:w="4195"/>
          </w:tcPr>
          <w:p>
            <w:pPr>
              <w:spacing w:after="40" w:before="40"/>
            </w:pPr>
            <w:r/>
            <w:r>
              <w:rPr>
                <w:rFonts w:ascii="Calibri" w:hAnsi="Calibri"/>
                <w:b w:val="0"/>
                <w:sz w:val="17"/>
              </w:rPr>
              <w:t>Entorno de desarrollo · front-end</w:t>
            </w:r>
          </w:p>
        </w:tc>
        <w:tc>
          <w:tcPr>
            <w:tcW w:type="dxa" w:w="4762"/>
          </w:tcPr>
          <w:p>
            <w:pPr>
              <w:spacing w:after="40" w:before="40"/>
            </w:pPr>
            <w:r/>
            <w:r>
              <w:rPr>
                <w:rFonts w:ascii="Calibri" w:hAnsi="Calibri"/>
                <w:b w:val="0"/>
                <w:sz w:val="17"/>
              </w:rPr>
              <w:t>WebStorm</w:t>
            </w:r>
          </w:p>
        </w:tc>
        <w:tc>
          <w:tcPr>
            <w:tcW w:type="dxa" w:w="2608"/>
          </w:tcPr>
          <w:p>
            <w:pPr>
              <w:spacing w:after="40" w:before="40"/>
            </w:pPr>
            <w:r/>
            <w:r>
              <w:rPr>
                <w:rFonts w:ascii="Calibri" w:hAnsi="Calibri"/>
                <w:b w:val="0"/>
                <w:sz w:val="17"/>
              </w:rPr>
              <w:t>2025.2</w:t>
            </w:r>
          </w:p>
        </w:tc>
        <w:tc>
          <w:tcPr>
            <w:tcW w:type="dxa" w:w="3572"/>
          </w:tcPr>
          <w:p>
            <w:pPr>
              <w:spacing w:after="40" w:before="40"/>
            </w:pPr>
            <w:r/>
            <w:r>
              <w:rPr>
                <w:rFonts w:ascii="Calibri" w:hAnsi="Calibri"/>
                <w:b w:val="0"/>
                <w:sz w:val="17"/>
              </w:rPr>
              <w:t>Licencia académica · S/ 0</w:t>
            </w:r>
          </w:p>
        </w:tc>
      </w:tr>
      <w:tr>
        <w:tc>
          <w:tcPr>
            <w:tcW w:type="dxa" w:w="4195"/>
          </w:tcPr>
          <w:p>
            <w:pPr>
              <w:spacing w:after="40" w:before="40"/>
            </w:pPr>
            <w:r/>
            <w:r>
              <w:rPr>
                <w:rFonts w:ascii="Calibri" w:hAnsi="Calibri"/>
                <w:b w:val="0"/>
                <w:sz w:val="17"/>
              </w:rPr>
              <w:t>Control de versiones</w:t>
            </w:r>
          </w:p>
        </w:tc>
        <w:tc>
          <w:tcPr>
            <w:tcW w:type="dxa" w:w="4762"/>
          </w:tcPr>
          <w:p>
            <w:pPr>
              <w:spacing w:after="40" w:before="40"/>
            </w:pPr>
            <w:r/>
            <w:r>
              <w:rPr>
                <w:rFonts w:ascii="Calibri" w:hAnsi="Calibri"/>
                <w:b w:val="0"/>
                <w:sz w:val="17"/>
              </w:rPr>
              <w:t>Git + GitHub</w:t>
            </w:r>
          </w:p>
        </w:tc>
        <w:tc>
          <w:tcPr>
            <w:tcW w:type="dxa" w:w="2608"/>
          </w:tcPr>
          <w:p>
            <w:pPr>
              <w:spacing w:after="40" w:before="40"/>
            </w:pPr>
            <w:r/>
            <w:r>
              <w:rPr>
                <w:rFonts w:ascii="Calibri" w:hAnsi="Calibri"/>
                <w:b w:val="0"/>
                <w:sz w:val="17"/>
              </w:rPr>
              <w:t>—</w:t>
            </w:r>
          </w:p>
        </w:tc>
        <w:tc>
          <w:tcPr>
            <w:tcW w:type="dxa" w:w="3572"/>
          </w:tcPr>
          <w:p>
            <w:pPr>
              <w:spacing w:after="40" w:before="40"/>
            </w:pPr>
            <w:r/>
            <w:r>
              <w:rPr>
                <w:rFonts w:ascii="Calibri" w:hAnsi="Calibri"/>
                <w:b w:val="0"/>
                <w:sz w:val="17"/>
              </w:rPr>
              <w:t>Repositorio público · S/ 0</w:t>
            </w:r>
          </w:p>
        </w:tc>
      </w:tr>
      <w:tr>
        <w:tc>
          <w:tcPr>
            <w:tcW w:type="dxa" w:w="4195"/>
          </w:tcPr>
          <w:p>
            <w:pPr>
              <w:spacing w:after="40" w:before="40"/>
            </w:pPr>
            <w:r/>
            <w:r>
              <w:rPr>
                <w:rFonts w:ascii="Calibri" w:hAnsi="Calibri"/>
                <w:b w:val="0"/>
                <w:sz w:val="17"/>
              </w:rPr>
              <w:t>Integración y entrega continuas</w:t>
            </w:r>
          </w:p>
        </w:tc>
        <w:tc>
          <w:tcPr>
            <w:tcW w:type="dxa" w:w="4762"/>
          </w:tcPr>
          <w:p>
            <w:pPr>
              <w:spacing w:after="40" w:before="40"/>
            </w:pPr>
            <w:r/>
            <w:r>
              <w:rPr>
                <w:rFonts w:ascii="Calibri" w:hAnsi="Calibri"/>
                <w:b w:val="0"/>
                <w:sz w:val="17"/>
              </w:rPr>
              <w:t>GitHub Actions</w:t>
            </w:r>
          </w:p>
        </w:tc>
        <w:tc>
          <w:tcPr>
            <w:tcW w:type="dxa" w:w="2608"/>
          </w:tcPr>
          <w:p>
            <w:pPr>
              <w:spacing w:after="40" w:before="40"/>
            </w:pPr>
            <w:r/>
            <w:r>
              <w:rPr>
                <w:rFonts w:ascii="Calibri" w:hAnsi="Calibri"/>
                <w:b w:val="0"/>
                <w:sz w:val="17"/>
              </w:rPr>
              <w:t>—</w:t>
            </w:r>
          </w:p>
        </w:tc>
        <w:tc>
          <w:tcPr>
            <w:tcW w:type="dxa" w:w="3572"/>
          </w:tcPr>
          <w:p>
            <w:pPr>
              <w:spacing w:after="40" w:before="40"/>
            </w:pPr>
            <w:r/>
            <w:r>
              <w:rPr>
                <w:rFonts w:ascii="Calibri" w:hAnsi="Calibri"/>
                <w:b w:val="0"/>
                <w:sz w:val="17"/>
              </w:rPr>
              <w:t>Incluido · S/ 0</w:t>
            </w:r>
          </w:p>
        </w:tc>
      </w:tr>
      <w:tr>
        <w:tc>
          <w:tcPr>
            <w:tcW w:type="dxa" w:w="4195"/>
          </w:tcPr>
          <w:p>
            <w:pPr>
              <w:spacing w:after="40" w:before="40"/>
            </w:pPr>
            <w:r/>
            <w:r>
              <w:rPr>
                <w:rFonts w:ascii="Calibri" w:hAnsi="Calibri"/>
                <w:b w:val="0"/>
                <w:sz w:val="17"/>
              </w:rPr>
              <w:t>Contenedores</w:t>
            </w:r>
          </w:p>
        </w:tc>
        <w:tc>
          <w:tcPr>
            <w:tcW w:type="dxa" w:w="4762"/>
          </w:tcPr>
          <w:p>
            <w:pPr>
              <w:spacing w:after="40" w:before="40"/>
            </w:pPr>
            <w:r/>
            <w:r>
              <w:rPr>
                <w:rFonts w:ascii="Calibri" w:hAnsi="Calibri"/>
                <w:b w:val="0"/>
                <w:sz w:val="17"/>
              </w:rPr>
              <w:t>Docker + Docker Compose</w:t>
            </w:r>
          </w:p>
        </w:tc>
        <w:tc>
          <w:tcPr>
            <w:tcW w:type="dxa" w:w="2608"/>
          </w:tcPr>
          <w:p>
            <w:pPr>
              <w:spacing w:after="40" w:before="40"/>
            </w:pPr>
            <w:r/>
            <w:r>
              <w:rPr>
                <w:rFonts w:ascii="Calibri" w:hAnsi="Calibri"/>
                <w:b w:val="0"/>
                <w:sz w:val="17"/>
              </w:rPr>
              <w:t>27.x</w:t>
            </w:r>
          </w:p>
        </w:tc>
        <w:tc>
          <w:tcPr>
            <w:tcW w:type="dxa" w:w="3572"/>
          </w:tcPr>
          <w:p>
            <w:pPr>
              <w:spacing w:after="40" w:before="40"/>
            </w:pPr>
            <w:r/>
            <w:r>
              <w:rPr>
                <w:rFonts w:ascii="Calibri" w:hAnsi="Calibri"/>
                <w:b w:val="0"/>
                <w:sz w:val="17"/>
              </w:rPr>
              <w:t>Docker Desktop, uso académico · S/ 0</w:t>
            </w:r>
          </w:p>
        </w:tc>
      </w:tr>
      <w:tr>
        <w:tc>
          <w:tcPr>
            <w:tcW w:type="dxa" w:w="4195"/>
          </w:tcPr>
          <w:p>
            <w:pPr>
              <w:spacing w:after="40" w:before="40"/>
            </w:pPr>
            <w:r/>
            <w:r>
              <w:rPr>
                <w:rFonts w:ascii="Calibri" w:hAnsi="Calibri"/>
                <w:b w:val="0"/>
                <w:sz w:val="17"/>
              </w:rPr>
              <w:t>Gestión del proyecto</w:t>
            </w:r>
          </w:p>
        </w:tc>
        <w:tc>
          <w:tcPr>
            <w:tcW w:type="dxa" w:w="4762"/>
          </w:tcPr>
          <w:p>
            <w:pPr>
              <w:spacing w:after="40" w:before="40"/>
            </w:pPr>
            <w:r/>
            <w:r>
              <w:rPr>
                <w:rFonts w:ascii="Calibri" w:hAnsi="Calibri"/>
                <w:b w:val="0"/>
                <w:sz w:val="17"/>
              </w:rPr>
              <w:t>Jira</w:t>
            </w:r>
          </w:p>
        </w:tc>
        <w:tc>
          <w:tcPr>
            <w:tcW w:type="dxa" w:w="2608"/>
          </w:tcPr>
          <w:p>
            <w:pPr>
              <w:spacing w:after="40" w:before="40"/>
            </w:pPr>
            <w:r/>
            <w:r>
              <w:rPr>
                <w:rFonts w:ascii="Calibri" w:hAnsi="Calibri"/>
                <w:b w:val="0"/>
                <w:sz w:val="17"/>
              </w:rPr>
              <w:t>Cloud</w:t>
            </w:r>
          </w:p>
        </w:tc>
        <w:tc>
          <w:tcPr>
            <w:tcW w:type="dxa" w:w="3572"/>
          </w:tcPr>
          <w:p>
            <w:pPr>
              <w:spacing w:after="40" w:before="40"/>
            </w:pPr>
            <w:r/>
            <w:r>
              <w:rPr>
                <w:rFonts w:ascii="Calibri" w:hAnsi="Calibri"/>
                <w:b w:val="0"/>
                <w:sz w:val="17"/>
              </w:rPr>
              <w:t>Gratuito hasta 10 usuarios · S/ 0</w:t>
            </w:r>
          </w:p>
        </w:tc>
      </w:tr>
      <w:tr>
        <w:tc>
          <w:tcPr>
            <w:tcW w:type="dxa" w:w="4195"/>
          </w:tcPr>
          <w:p>
            <w:pPr>
              <w:spacing w:after="40" w:before="40"/>
            </w:pPr>
            <w:r/>
            <w:r>
              <w:rPr>
                <w:rFonts w:ascii="Calibri" w:hAnsi="Calibri"/>
                <w:b w:val="0"/>
                <w:sz w:val="17"/>
              </w:rPr>
              <w:t>Lenguaje del núcleo</w:t>
            </w:r>
          </w:p>
        </w:tc>
        <w:tc>
          <w:tcPr>
            <w:tcW w:type="dxa" w:w="4762"/>
          </w:tcPr>
          <w:p>
            <w:pPr>
              <w:spacing w:after="40" w:before="40"/>
            </w:pPr>
            <w:r/>
            <w:r>
              <w:rPr>
                <w:rFonts w:ascii="Calibri" w:hAnsi="Calibri"/>
                <w:b w:val="0"/>
                <w:sz w:val="17"/>
              </w:rPr>
              <w:t>Java</w:t>
            </w:r>
          </w:p>
        </w:tc>
        <w:tc>
          <w:tcPr>
            <w:tcW w:type="dxa" w:w="2608"/>
          </w:tcPr>
          <w:p>
            <w:pPr>
              <w:spacing w:after="40" w:before="40"/>
            </w:pPr>
            <w:r/>
            <w:r>
              <w:rPr>
                <w:rFonts w:ascii="Calibri" w:hAnsi="Calibri"/>
                <w:b w:val="0"/>
                <w:sz w:val="17"/>
              </w:rPr>
              <w:t>21 LTS</w:t>
            </w:r>
          </w:p>
        </w:tc>
        <w:tc>
          <w:tcPr>
            <w:tcW w:type="dxa" w:w="3572"/>
          </w:tcPr>
          <w:p>
            <w:pPr>
              <w:spacing w:after="40" w:before="40"/>
            </w:pPr>
            <w:r/>
            <w:r>
              <w:rPr>
                <w:rFonts w:ascii="Calibri" w:hAnsi="Calibri"/>
                <w:b w:val="0"/>
                <w:sz w:val="17"/>
              </w:rPr>
              <w:t>OpenJDK · S/ 0</w:t>
            </w:r>
          </w:p>
        </w:tc>
      </w:tr>
      <w:tr>
        <w:tc>
          <w:tcPr>
            <w:tcW w:type="dxa" w:w="4195"/>
          </w:tcPr>
          <w:p>
            <w:pPr>
              <w:spacing w:after="40" w:before="40"/>
            </w:pPr>
            <w:r/>
            <w:r>
              <w:rPr>
                <w:rFonts w:ascii="Calibri" w:hAnsi="Calibri"/>
                <w:b w:val="0"/>
                <w:sz w:val="17"/>
              </w:rPr>
              <w:t>Marco de trabajo del núcleo</w:t>
            </w:r>
          </w:p>
        </w:tc>
        <w:tc>
          <w:tcPr>
            <w:tcW w:type="dxa" w:w="4762"/>
          </w:tcPr>
          <w:p>
            <w:pPr>
              <w:spacing w:after="40" w:before="40"/>
            </w:pPr>
            <w:r/>
            <w:r>
              <w:rPr>
                <w:rFonts w:ascii="Calibri" w:hAnsi="Calibri"/>
                <w:b w:val="0"/>
                <w:sz w:val="17"/>
              </w:rPr>
              <w:t>Spring Boot</w:t>
            </w:r>
          </w:p>
        </w:tc>
        <w:tc>
          <w:tcPr>
            <w:tcW w:type="dxa" w:w="2608"/>
          </w:tcPr>
          <w:p>
            <w:pPr>
              <w:spacing w:after="40" w:before="40"/>
            </w:pPr>
            <w:r/>
            <w:r>
              <w:rPr>
                <w:rFonts w:ascii="Calibri" w:hAnsi="Calibri"/>
                <w:b w:val="0"/>
                <w:sz w:val="17"/>
              </w:rPr>
              <w:t>3.5.16</w:t>
            </w:r>
          </w:p>
        </w:tc>
        <w:tc>
          <w:tcPr>
            <w:tcW w:type="dxa" w:w="3572"/>
          </w:tcPr>
          <w:p>
            <w:pPr>
              <w:spacing w:after="40" w:before="40"/>
            </w:pPr>
            <w:r/>
            <w:r>
              <w:rPr>
                <w:rFonts w:ascii="Calibri" w:hAnsi="Calibri"/>
                <w:b w:val="0"/>
                <w:sz w:val="17"/>
              </w:rPr>
              <w:t>Apache 2.0 · S/ 0</w:t>
            </w:r>
          </w:p>
        </w:tc>
      </w:tr>
      <w:tr>
        <w:tc>
          <w:tcPr>
            <w:tcW w:type="dxa" w:w="4195"/>
          </w:tcPr>
          <w:p>
            <w:pPr>
              <w:spacing w:after="40" w:before="40"/>
            </w:pPr>
            <w:r/>
            <w:r>
              <w:rPr>
                <w:rFonts w:ascii="Calibri" w:hAnsi="Calibri"/>
                <w:b w:val="0"/>
                <w:sz w:val="17"/>
              </w:rPr>
              <w:t>Construcción</w:t>
            </w:r>
          </w:p>
        </w:tc>
        <w:tc>
          <w:tcPr>
            <w:tcW w:type="dxa" w:w="4762"/>
          </w:tcPr>
          <w:p>
            <w:pPr>
              <w:spacing w:after="40" w:before="40"/>
            </w:pPr>
            <w:r/>
            <w:r>
              <w:rPr>
                <w:rFonts w:ascii="Calibri" w:hAnsi="Calibri"/>
                <w:b w:val="0"/>
                <w:sz w:val="17"/>
              </w:rPr>
              <w:t>Maven (envoltorio `./mvnw`)</w:t>
            </w:r>
          </w:p>
        </w:tc>
        <w:tc>
          <w:tcPr>
            <w:tcW w:type="dxa" w:w="2608"/>
          </w:tcPr>
          <w:p>
            <w:pPr>
              <w:spacing w:after="40" w:before="40"/>
            </w:pPr>
            <w:r/>
            <w:r>
              <w:rPr>
                <w:rFonts w:ascii="Calibri" w:hAnsi="Calibri"/>
                <w:b w:val="0"/>
                <w:sz w:val="17"/>
              </w:rPr>
              <w:t>3.9.x</w:t>
            </w:r>
          </w:p>
        </w:tc>
        <w:tc>
          <w:tcPr>
            <w:tcW w:type="dxa" w:w="3572"/>
          </w:tcPr>
          <w:p>
            <w:pPr>
              <w:spacing w:after="40" w:before="40"/>
            </w:pPr>
            <w:r/>
            <w:r>
              <w:rPr>
                <w:rFonts w:ascii="Calibri" w:hAnsi="Calibri"/>
                <w:b w:val="0"/>
                <w:sz w:val="17"/>
              </w:rPr>
              <w:t>Apache 2.0 · S/ 0</w:t>
            </w:r>
          </w:p>
        </w:tc>
      </w:tr>
      <w:tr>
        <w:tc>
          <w:tcPr>
            <w:tcW w:type="dxa" w:w="4195"/>
          </w:tcPr>
          <w:p>
            <w:pPr>
              <w:spacing w:after="40" w:before="40"/>
            </w:pPr>
            <w:r/>
            <w:r>
              <w:rPr>
                <w:rFonts w:ascii="Calibri" w:hAnsi="Calibri"/>
                <w:b w:val="0"/>
                <w:sz w:val="17"/>
              </w:rPr>
              <w:t>Servicio de KYC</w:t>
            </w:r>
          </w:p>
        </w:tc>
        <w:tc>
          <w:tcPr>
            <w:tcW w:type="dxa" w:w="4762"/>
          </w:tcPr>
          <w:p>
            <w:pPr>
              <w:spacing w:after="40" w:before="40"/>
            </w:pPr>
            <w:r/>
            <w:r>
              <w:rPr>
                <w:rFonts w:ascii="Calibri" w:hAnsi="Calibri"/>
                <w:b w:val="0"/>
                <w:sz w:val="17"/>
              </w:rPr>
              <w:t>Python + FastAPI</w:t>
            </w:r>
          </w:p>
        </w:tc>
        <w:tc>
          <w:tcPr>
            <w:tcW w:type="dxa" w:w="2608"/>
          </w:tcPr>
          <w:p>
            <w:pPr>
              <w:spacing w:after="40" w:before="40"/>
            </w:pPr>
            <w:r/>
            <w:r>
              <w:rPr>
                <w:rFonts w:ascii="Calibri" w:hAnsi="Calibri"/>
                <w:b w:val="0"/>
                <w:sz w:val="17"/>
              </w:rPr>
              <w:t>3.12</w:t>
            </w:r>
          </w:p>
        </w:tc>
        <w:tc>
          <w:tcPr>
            <w:tcW w:type="dxa" w:w="3572"/>
          </w:tcPr>
          <w:p>
            <w:pPr>
              <w:spacing w:after="40" w:before="40"/>
            </w:pPr>
            <w:r/>
            <w:r>
              <w:rPr>
                <w:rFonts w:ascii="Calibri" w:hAnsi="Calibri"/>
                <w:b w:val="0"/>
                <w:sz w:val="17"/>
              </w:rPr>
              <w:t>MIT · S/ 0</w:t>
            </w:r>
          </w:p>
        </w:tc>
      </w:tr>
      <w:tr>
        <w:tc>
          <w:tcPr>
            <w:tcW w:type="dxa" w:w="4195"/>
          </w:tcPr>
          <w:p>
            <w:pPr>
              <w:spacing w:after="40" w:before="40"/>
            </w:pPr>
            <w:r/>
            <w:r>
              <w:rPr>
                <w:rFonts w:ascii="Calibri" w:hAnsi="Calibri"/>
                <w:b w:val="0"/>
                <w:sz w:val="17"/>
              </w:rPr>
              <w:t>Interfaz de usuario</w:t>
            </w:r>
          </w:p>
        </w:tc>
        <w:tc>
          <w:tcPr>
            <w:tcW w:type="dxa" w:w="4762"/>
          </w:tcPr>
          <w:p>
            <w:pPr>
              <w:spacing w:after="40" w:before="40"/>
            </w:pPr>
            <w:r/>
            <w:r>
              <w:rPr>
                <w:rFonts w:ascii="Calibri" w:hAnsi="Calibri"/>
                <w:b w:val="0"/>
                <w:sz w:val="17"/>
              </w:rPr>
              <w:t>Next.js + React + TypeScript</w:t>
            </w:r>
          </w:p>
        </w:tc>
        <w:tc>
          <w:tcPr>
            <w:tcW w:type="dxa" w:w="2608"/>
          </w:tcPr>
          <w:p>
            <w:pPr>
              <w:spacing w:after="40" w:before="40"/>
            </w:pPr>
            <w:r/>
            <w:r>
              <w:rPr>
                <w:rFonts w:ascii="Calibri" w:hAnsi="Calibri"/>
                <w:b w:val="0"/>
                <w:sz w:val="17"/>
              </w:rPr>
              <w:t>15.5.24 · 19.1 · 5.9</w:t>
            </w:r>
          </w:p>
        </w:tc>
        <w:tc>
          <w:tcPr>
            <w:tcW w:type="dxa" w:w="3572"/>
          </w:tcPr>
          <w:p>
            <w:pPr>
              <w:spacing w:after="40" w:before="40"/>
            </w:pPr>
            <w:r/>
            <w:r>
              <w:rPr>
                <w:rFonts w:ascii="Calibri" w:hAnsi="Calibri"/>
                <w:b w:val="0"/>
                <w:sz w:val="17"/>
              </w:rPr>
              <w:t>MIT · S/ 0</w:t>
            </w:r>
          </w:p>
        </w:tc>
      </w:tr>
      <w:tr>
        <w:tc>
          <w:tcPr>
            <w:tcW w:type="dxa" w:w="4195"/>
          </w:tcPr>
          <w:p>
            <w:pPr>
              <w:spacing w:after="40" w:before="40"/>
            </w:pPr>
            <w:r/>
            <w:r>
              <w:rPr>
                <w:rFonts w:ascii="Calibri" w:hAnsi="Calibri"/>
                <w:b w:val="0"/>
                <w:sz w:val="17"/>
              </w:rPr>
              <w:t>Estilos</w:t>
            </w:r>
          </w:p>
        </w:tc>
        <w:tc>
          <w:tcPr>
            <w:tcW w:type="dxa" w:w="4762"/>
          </w:tcPr>
          <w:p>
            <w:pPr>
              <w:spacing w:after="40" w:before="40"/>
            </w:pPr>
            <w:r/>
            <w:r>
              <w:rPr>
                <w:rFonts w:ascii="Calibri" w:hAnsi="Calibri"/>
                <w:b w:val="0"/>
                <w:sz w:val="17"/>
              </w:rPr>
              <w:t>Tailwind CSS</w:t>
            </w:r>
          </w:p>
        </w:tc>
        <w:tc>
          <w:tcPr>
            <w:tcW w:type="dxa" w:w="2608"/>
          </w:tcPr>
          <w:p>
            <w:pPr>
              <w:spacing w:after="40" w:before="40"/>
            </w:pPr>
            <w:r/>
            <w:r>
              <w:rPr>
                <w:rFonts w:ascii="Calibri" w:hAnsi="Calibri"/>
                <w:b w:val="0"/>
                <w:sz w:val="17"/>
              </w:rPr>
              <w:t>4.1</w:t>
            </w:r>
          </w:p>
        </w:tc>
        <w:tc>
          <w:tcPr>
            <w:tcW w:type="dxa" w:w="3572"/>
          </w:tcPr>
          <w:p>
            <w:pPr>
              <w:spacing w:after="40" w:before="40"/>
            </w:pPr>
            <w:r/>
            <w:r>
              <w:rPr>
                <w:rFonts w:ascii="Calibri" w:hAnsi="Calibri"/>
                <w:b w:val="0"/>
                <w:sz w:val="17"/>
              </w:rPr>
              <w:t>MIT · S/ 0</w:t>
            </w:r>
          </w:p>
        </w:tc>
      </w:tr>
      <w:tr>
        <w:tc>
          <w:tcPr>
            <w:tcW w:type="dxa" w:w="4195"/>
          </w:tcPr>
          <w:p>
            <w:pPr>
              <w:spacing w:after="40" w:before="40"/>
            </w:pPr>
            <w:r/>
            <w:r>
              <w:rPr>
                <w:rFonts w:ascii="Calibri" w:hAnsi="Calibri"/>
                <w:b w:val="0"/>
                <w:sz w:val="17"/>
              </w:rPr>
              <w:t>Base de datos</w:t>
            </w:r>
          </w:p>
        </w:tc>
        <w:tc>
          <w:tcPr>
            <w:tcW w:type="dxa" w:w="4762"/>
          </w:tcPr>
          <w:p>
            <w:pPr>
              <w:spacing w:after="40" w:before="40"/>
            </w:pPr>
            <w:r/>
            <w:r>
              <w:rPr>
                <w:rFonts w:ascii="Calibri" w:hAnsi="Calibri"/>
                <w:b w:val="0"/>
                <w:sz w:val="17"/>
              </w:rPr>
              <w:t>PostgreSQL</w:t>
            </w:r>
          </w:p>
        </w:tc>
        <w:tc>
          <w:tcPr>
            <w:tcW w:type="dxa" w:w="2608"/>
          </w:tcPr>
          <w:p>
            <w:pPr>
              <w:spacing w:after="40" w:before="40"/>
            </w:pPr>
            <w:r/>
            <w:r>
              <w:rPr>
                <w:rFonts w:ascii="Calibri" w:hAnsi="Calibri"/>
                <w:b w:val="0"/>
                <w:sz w:val="17"/>
              </w:rPr>
              <w:t>16</w:t>
            </w:r>
          </w:p>
        </w:tc>
        <w:tc>
          <w:tcPr>
            <w:tcW w:type="dxa" w:w="3572"/>
          </w:tcPr>
          <w:p>
            <w:pPr>
              <w:spacing w:after="40" w:before="40"/>
            </w:pPr>
            <w:r/>
            <w:r>
              <w:rPr>
                <w:rFonts w:ascii="Calibri" w:hAnsi="Calibri"/>
                <w:b w:val="0"/>
                <w:sz w:val="17"/>
              </w:rPr>
              <w:t>PostgreSQL License · S/ 0</w:t>
            </w:r>
          </w:p>
        </w:tc>
      </w:tr>
      <w:tr>
        <w:tc>
          <w:tcPr>
            <w:tcW w:type="dxa" w:w="4195"/>
          </w:tcPr>
          <w:p>
            <w:pPr>
              <w:spacing w:after="40" w:before="40"/>
            </w:pPr>
            <w:r/>
            <w:r>
              <w:rPr>
                <w:rFonts w:ascii="Calibri" w:hAnsi="Calibri"/>
                <w:b w:val="0"/>
                <w:sz w:val="17"/>
              </w:rPr>
              <w:t>Migraciones</w:t>
            </w:r>
          </w:p>
        </w:tc>
        <w:tc>
          <w:tcPr>
            <w:tcW w:type="dxa" w:w="4762"/>
          </w:tcPr>
          <w:p>
            <w:pPr>
              <w:spacing w:after="40" w:before="40"/>
            </w:pPr>
            <w:r/>
            <w:r>
              <w:rPr>
                <w:rFonts w:ascii="Calibri" w:hAnsi="Calibri"/>
                <w:b w:val="0"/>
                <w:sz w:val="17"/>
              </w:rPr>
              <w:t>Flyway</w:t>
            </w:r>
          </w:p>
        </w:tc>
        <w:tc>
          <w:tcPr>
            <w:tcW w:type="dxa" w:w="2608"/>
          </w:tcPr>
          <w:p>
            <w:pPr>
              <w:spacing w:after="40" w:before="40"/>
            </w:pPr>
            <w:r/>
            <w:r>
              <w:rPr>
                <w:rFonts w:ascii="Calibri" w:hAnsi="Calibri"/>
                <w:b w:val="0"/>
                <w:sz w:val="17"/>
              </w:rPr>
              <w:t>11.7</w:t>
            </w:r>
          </w:p>
        </w:tc>
        <w:tc>
          <w:tcPr>
            <w:tcW w:type="dxa" w:w="3572"/>
          </w:tcPr>
          <w:p>
            <w:pPr>
              <w:spacing w:after="40" w:before="40"/>
            </w:pPr>
            <w:r/>
            <w:r>
              <w:rPr>
                <w:rFonts w:ascii="Calibri" w:hAnsi="Calibri"/>
                <w:b w:val="0"/>
                <w:sz w:val="17"/>
              </w:rPr>
              <w:t>Apache 2.0 · S/ 0</w:t>
            </w:r>
          </w:p>
        </w:tc>
      </w:tr>
      <w:tr>
        <w:tc>
          <w:tcPr>
            <w:tcW w:type="dxa" w:w="4195"/>
          </w:tcPr>
          <w:p>
            <w:pPr>
              <w:spacing w:after="40" w:before="40"/>
            </w:pPr>
            <w:r/>
            <w:r>
              <w:rPr>
                <w:rFonts w:ascii="Calibri" w:hAnsi="Calibri"/>
                <w:b w:val="0"/>
                <w:sz w:val="17"/>
              </w:rPr>
              <w:t>Mensajería</w:t>
            </w:r>
          </w:p>
        </w:tc>
        <w:tc>
          <w:tcPr>
            <w:tcW w:type="dxa" w:w="4762"/>
          </w:tcPr>
          <w:p>
            <w:pPr>
              <w:spacing w:after="40" w:before="40"/>
            </w:pPr>
            <w:r/>
            <w:r>
              <w:rPr>
                <w:rFonts w:ascii="Calibri" w:hAnsi="Calibri"/>
                <w:b w:val="0"/>
                <w:sz w:val="17"/>
              </w:rPr>
              <w:t>RabbitMQ</w:t>
            </w:r>
          </w:p>
        </w:tc>
        <w:tc>
          <w:tcPr>
            <w:tcW w:type="dxa" w:w="2608"/>
          </w:tcPr>
          <w:p>
            <w:pPr>
              <w:spacing w:after="40" w:before="40"/>
            </w:pPr>
            <w:r/>
            <w:r>
              <w:rPr>
                <w:rFonts w:ascii="Calibri" w:hAnsi="Calibri"/>
                <w:b w:val="0"/>
                <w:sz w:val="17"/>
              </w:rPr>
              <w:t>3.13</w:t>
            </w:r>
          </w:p>
        </w:tc>
        <w:tc>
          <w:tcPr>
            <w:tcW w:type="dxa" w:w="3572"/>
          </w:tcPr>
          <w:p>
            <w:pPr>
              <w:spacing w:after="40" w:before="40"/>
            </w:pPr>
            <w:r/>
            <w:r>
              <w:rPr>
                <w:rFonts w:ascii="Calibri" w:hAnsi="Calibri"/>
                <w:b w:val="0"/>
                <w:sz w:val="17"/>
              </w:rPr>
              <w:t>MPL 2.0 · S/ 0</w:t>
            </w:r>
          </w:p>
        </w:tc>
      </w:tr>
      <w:tr>
        <w:tc>
          <w:tcPr>
            <w:tcW w:type="dxa" w:w="4195"/>
          </w:tcPr>
          <w:p>
            <w:pPr>
              <w:spacing w:after="40" w:before="40"/>
            </w:pPr>
            <w:r/>
            <w:r>
              <w:rPr>
                <w:rFonts w:ascii="Calibri" w:hAnsi="Calibri"/>
                <w:b w:val="0"/>
                <w:sz w:val="17"/>
              </w:rPr>
              <w:t>Almacenamiento de objetos</w:t>
            </w:r>
          </w:p>
        </w:tc>
        <w:tc>
          <w:tcPr>
            <w:tcW w:type="dxa" w:w="4762"/>
          </w:tcPr>
          <w:p>
            <w:pPr>
              <w:spacing w:after="40" w:before="40"/>
            </w:pPr>
            <w:r/>
            <w:r>
              <w:rPr>
                <w:rFonts w:ascii="Calibri" w:hAnsi="Calibri"/>
                <w:b w:val="0"/>
                <w:sz w:val="17"/>
              </w:rPr>
              <w:t>MinIO</w:t>
            </w:r>
          </w:p>
        </w:tc>
        <w:tc>
          <w:tcPr>
            <w:tcW w:type="dxa" w:w="2608"/>
          </w:tcPr>
          <w:p>
            <w:pPr>
              <w:spacing w:after="40" w:before="40"/>
            </w:pPr>
            <w:r/>
            <w:r>
              <w:rPr>
                <w:rFonts w:ascii="Calibri" w:hAnsi="Calibri"/>
                <w:b w:val="0"/>
                <w:sz w:val="17"/>
              </w:rPr>
              <w:t>—</w:t>
            </w:r>
          </w:p>
        </w:tc>
        <w:tc>
          <w:tcPr>
            <w:tcW w:type="dxa" w:w="3572"/>
          </w:tcPr>
          <w:p>
            <w:pPr>
              <w:spacing w:after="40" w:before="40"/>
            </w:pPr>
            <w:r/>
            <w:r>
              <w:rPr>
                <w:rFonts w:ascii="Calibri" w:hAnsi="Calibri"/>
                <w:b w:val="0"/>
                <w:sz w:val="17"/>
              </w:rPr>
              <w:t>AGPL v3 · S/ 0</w:t>
            </w:r>
          </w:p>
        </w:tc>
      </w:tr>
      <w:tr>
        <w:tc>
          <w:tcPr>
            <w:tcW w:type="dxa" w:w="4195"/>
          </w:tcPr>
          <w:p>
            <w:pPr>
              <w:spacing w:after="40" w:before="40"/>
            </w:pPr>
            <w:r/>
            <w:r>
              <w:rPr>
                <w:rFonts w:ascii="Calibri" w:hAnsi="Calibri"/>
                <w:b w:val="0"/>
                <w:sz w:val="17"/>
              </w:rPr>
              <w:t>Observabilidad</w:t>
            </w:r>
          </w:p>
        </w:tc>
        <w:tc>
          <w:tcPr>
            <w:tcW w:type="dxa" w:w="4762"/>
          </w:tcPr>
          <w:p>
            <w:pPr>
              <w:spacing w:after="40" w:before="40"/>
            </w:pPr>
            <w:r/>
            <w:r>
              <w:rPr>
                <w:rFonts w:ascii="Calibri" w:hAnsi="Calibri"/>
                <w:b w:val="0"/>
                <w:sz w:val="17"/>
              </w:rPr>
              <w:t>Prometheus · Grafana · Loki</w:t>
            </w:r>
          </w:p>
        </w:tc>
        <w:tc>
          <w:tcPr>
            <w:tcW w:type="dxa" w:w="2608"/>
          </w:tcPr>
          <w:p>
            <w:pPr>
              <w:spacing w:after="40" w:before="40"/>
            </w:pPr>
            <w:r/>
            <w:r>
              <w:rPr>
                <w:rFonts w:ascii="Calibri" w:hAnsi="Calibri"/>
                <w:b w:val="0"/>
                <w:sz w:val="17"/>
              </w:rPr>
              <w:t>—</w:t>
            </w:r>
          </w:p>
        </w:tc>
        <w:tc>
          <w:tcPr>
            <w:tcW w:type="dxa" w:w="3572"/>
          </w:tcPr>
          <w:p>
            <w:pPr>
              <w:spacing w:after="40" w:before="40"/>
            </w:pPr>
            <w:r/>
            <w:r>
              <w:rPr>
                <w:rFonts w:ascii="Calibri" w:hAnsi="Calibri"/>
                <w:b w:val="0"/>
                <w:sz w:val="17"/>
              </w:rPr>
              <w:t>Apache 2.0 / AGPL · S/ 0</w:t>
            </w:r>
          </w:p>
        </w:tc>
      </w:tr>
      <w:tr>
        <w:tc>
          <w:tcPr>
            <w:tcW w:type="dxa" w:w="4195"/>
          </w:tcPr>
          <w:p>
            <w:pPr>
              <w:spacing w:after="40" w:before="40"/>
            </w:pPr>
            <w:r/>
            <w:r>
              <w:rPr>
                <w:rFonts w:ascii="Calibri" w:hAnsi="Calibri"/>
                <w:b w:val="0"/>
                <w:sz w:val="17"/>
              </w:rPr>
              <w:t>Calidad estática</w:t>
            </w:r>
          </w:p>
        </w:tc>
        <w:tc>
          <w:tcPr>
            <w:tcW w:type="dxa" w:w="4762"/>
          </w:tcPr>
          <w:p>
            <w:pPr>
              <w:spacing w:after="40" w:before="40"/>
            </w:pPr>
            <w:r/>
            <w:r>
              <w:rPr>
                <w:rFonts w:ascii="Calibri" w:hAnsi="Calibri"/>
                <w:b w:val="0"/>
                <w:sz w:val="17"/>
              </w:rPr>
              <w:t>SonarCloud</w:t>
            </w:r>
          </w:p>
        </w:tc>
        <w:tc>
          <w:tcPr>
            <w:tcW w:type="dxa" w:w="2608"/>
          </w:tcPr>
          <w:p>
            <w:pPr>
              <w:spacing w:after="40" w:before="40"/>
            </w:pPr>
            <w:r/>
            <w:r>
              <w:rPr>
                <w:rFonts w:ascii="Calibri" w:hAnsi="Calibri"/>
                <w:b w:val="0"/>
                <w:sz w:val="17"/>
              </w:rPr>
              <w:t>Cloud</w:t>
            </w:r>
          </w:p>
        </w:tc>
        <w:tc>
          <w:tcPr>
            <w:tcW w:type="dxa" w:w="3572"/>
          </w:tcPr>
          <w:p>
            <w:pPr>
              <w:spacing w:after="40" w:before="40"/>
            </w:pPr>
            <w:r/>
            <w:r>
              <w:rPr>
                <w:rFonts w:ascii="Calibri" w:hAnsi="Calibri"/>
                <w:b w:val="0"/>
                <w:sz w:val="17"/>
              </w:rPr>
              <w:t>Gratuito para repositorio público · S/ 0</w:t>
            </w:r>
          </w:p>
        </w:tc>
      </w:tr>
      <w:tr>
        <w:tc>
          <w:tcPr>
            <w:tcW w:type="dxa" w:w="4195"/>
          </w:tcPr>
          <w:p>
            <w:pPr>
              <w:spacing w:after="40" w:before="40"/>
            </w:pPr>
            <w:r/>
            <w:r>
              <w:rPr>
                <w:rFonts w:ascii="Calibri" w:hAnsi="Calibri"/>
                <w:b w:val="0"/>
                <w:sz w:val="17"/>
              </w:rPr>
              <w:t>Prototipado</w:t>
            </w:r>
          </w:p>
        </w:tc>
        <w:tc>
          <w:tcPr>
            <w:tcW w:type="dxa" w:w="4762"/>
          </w:tcPr>
          <w:p>
            <w:pPr>
              <w:spacing w:after="40" w:before="40"/>
            </w:pPr>
            <w:r/>
            <w:r>
              <w:rPr>
                <w:rFonts w:ascii="Calibri" w:hAnsi="Calibri"/>
                <w:b w:val="0"/>
                <w:sz w:val="17"/>
              </w:rPr>
              <w:t>pen.dev</w:t>
            </w:r>
          </w:p>
        </w:tc>
        <w:tc>
          <w:tcPr>
            <w:tcW w:type="dxa" w:w="2608"/>
          </w:tcPr>
          <w:p>
            <w:pPr>
              <w:spacing w:after="40" w:before="40"/>
            </w:pPr>
            <w:r/>
            <w:r>
              <w:rPr>
                <w:rFonts w:ascii="Calibri" w:hAnsi="Calibri"/>
                <w:b w:val="0"/>
                <w:sz w:val="17"/>
              </w:rPr>
              <w:t>—</w:t>
            </w:r>
          </w:p>
        </w:tc>
        <w:tc>
          <w:tcPr>
            <w:tcW w:type="dxa" w:w="3572"/>
          </w:tcPr>
          <w:p>
            <w:pPr>
              <w:spacing w:after="40" w:before="40"/>
            </w:pPr>
            <w:r/>
            <w:r>
              <w:rPr>
                <w:rFonts w:ascii="Calibri" w:hAnsi="Calibri"/>
                <w:b w:val="0"/>
                <w:sz w:val="17"/>
              </w:rPr>
              <w:t>S/ 0</w:t>
            </w:r>
          </w:p>
        </w:tc>
      </w:tr>
      <w:tr>
        <w:tc>
          <w:tcPr>
            <w:tcW w:type="dxa" w:w="4195"/>
          </w:tcPr>
          <w:p>
            <w:pPr>
              <w:spacing w:after="40" w:before="40"/>
            </w:pPr>
            <w:r/>
            <w:r>
              <w:rPr>
                <w:rFonts w:ascii="Calibri" w:hAnsi="Calibri"/>
                <w:b w:val="0"/>
                <w:sz w:val="17"/>
              </w:rPr>
              <w:t>Nube de producción</w:t>
            </w:r>
          </w:p>
        </w:tc>
        <w:tc>
          <w:tcPr>
            <w:tcW w:type="dxa" w:w="4762"/>
          </w:tcPr>
          <w:p>
            <w:pPr>
              <w:spacing w:after="40" w:before="40"/>
            </w:pPr>
            <w:r/>
            <w:r>
              <w:rPr>
                <w:rFonts w:ascii="Calibri" w:hAnsi="Calibri"/>
                <w:b w:val="0"/>
                <w:sz w:val="17"/>
              </w:rPr>
              <w:t>Oracle Cloud Always Free</w:t>
            </w:r>
          </w:p>
        </w:tc>
        <w:tc>
          <w:tcPr>
            <w:tcW w:type="dxa" w:w="2608"/>
          </w:tcPr>
          <w:p>
            <w:pPr>
              <w:spacing w:after="40" w:before="40"/>
            </w:pPr>
            <w:r/>
            <w:r>
              <w:rPr>
                <w:rFonts w:ascii="Calibri" w:hAnsi="Calibri"/>
                <w:b w:val="0"/>
                <w:sz w:val="17"/>
              </w:rPr>
              <w:t>—</w:t>
            </w:r>
          </w:p>
        </w:tc>
        <w:tc>
          <w:tcPr>
            <w:tcW w:type="dxa" w:w="3572"/>
          </w:tcPr>
          <w:p>
            <w:pPr>
              <w:spacing w:after="40" w:before="40"/>
            </w:pPr>
            <w:r/>
            <w:r>
              <w:rPr>
                <w:rFonts w:ascii="Calibri" w:hAnsi="Calibri"/>
                <w:b w:val="0"/>
                <w:sz w:val="17"/>
              </w:rPr>
              <w:t>S/ 0 permanente</w:t>
            </w:r>
          </w:p>
        </w:tc>
      </w:tr>
    </w:tbl>
    <w:p>
      <w:pPr>
        <w:spacing w:after="160"/>
        <w:jc w:val="both"/>
      </w:pPr>
    </w:p>
    <w:p>
      <w:pPr>
        <w:spacing w:after="160"/>
        <w:jc w:val="both"/>
      </w:pPr>
      <w:r>
        <w:rPr>
          <w:rFonts w:ascii="Calibri" w:hAnsi="Calibri"/>
          <w:b/>
          <w:sz w:val="20"/>
        </w:rPr>
        <w:t>Coste total de la cadena de herramientas: S/ 0.</w:t>
      </w:r>
      <w:r>
        <w:rPr>
          <w:rFonts w:ascii="Calibri" w:hAnsi="Calibri"/>
          <w:b w:val="0"/>
          <w:sz w:val="20"/>
        </w:rPr>
        <w:t xml:space="preserve"> No es una casualidad ni un alarde: es el criterio C1 aplicado a cada decisión. El único gasto del proyecto es el hardware de la Raspberry Pi 5, que ya estaba disponible antes de comenzar.</w:t>
      </w:r>
    </w:p>
    <w:p>
      <w:pPr>
        <w:spacing w:before="300" w:after="100"/>
      </w:pPr>
      <w:r>
        <w:rPr>
          <w:rFonts w:ascii="Calibri" w:hAnsi="Calibri"/>
          <w:b/>
          <w:color w:val="064475"/>
          <w:sz w:val="26"/>
        </w:rPr>
        <w:t>6. FUENTES Y DOCUMENTOS RELACIONADOS</w:t>
      </w:r>
    </w:p>
    <w:p>
      <w:pPr>
        <w:pStyle w:val="ListBullet"/>
        <w:spacing w:after="100"/>
        <w:jc w:val="both"/>
      </w:pPr>
      <w:r>
        <w:rPr>
          <w:rFonts w:ascii="Calibri" w:hAnsi="Calibri"/>
          <w:sz w:val="18"/>
        </w:rPr>
        <w:t>ADR-0002 · Arquitectura hexagonal verificada con ArchUnit — justifica la elección de ArchUnit como comprobación bloqueante.</w:t>
      </w:r>
    </w:p>
    <w:p>
      <w:pPr>
        <w:pStyle w:val="ListBullet"/>
        <w:spacing w:after="100"/>
        <w:jc w:val="both"/>
      </w:pPr>
      <w:r>
        <w:rPr>
          <w:rFonts w:ascii="Calibri" w:hAnsi="Calibri"/>
          <w:sz w:val="18"/>
        </w:rPr>
        <w:t>ADR-0005 · Infraestructura híbrida ARM64: Raspberry Pi 5 y Oracle Cloud — comparativa completa de proveedores de nube y justificación del criterio C3.</w:t>
      </w:r>
    </w:p>
    <w:p>
      <w:pPr>
        <w:pStyle w:val="ListBullet"/>
        <w:spacing w:after="100"/>
        <w:jc w:val="both"/>
      </w:pPr>
      <w:r>
        <w:rPr>
          <w:rFonts w:ascii="Calibri" w:hAnsi="Calibri"/>
          <w:sz w:val="18"/>
        </w:rPr>
        <w:t>ADR-0006 · Activación escalonada de las puertas de calidad — orden en que se incorporaron las verificaciones y por qué.</w:t>
      </w:r>
    </w:p>
    <w:p>
      <w:pPr>
        <w:pStyle w:val="ListBullet"/>
        <w:spacing w:after="100"/>
        <w:jc w:val="both"/>
      </w:pPr>
      <w:r>
        <w:rPr>
          <w:rFonts w:ascii="Calibri" w:hAnsi="Calibri"/>
          <w:sz w:val="18"/>
        </w:rPr>
        <w:t>ADR-0007 · pen.dev para el prototipado de interfaces — comparativa frente a Figma.</w:t>
      </w:r>
    </w:p>
    <w:p>
      <w:pPr>
        <w:pStyle w:val="ListBullet"/>
        <w:spacing w:after="100"/>
        <w:jc w:val="both"/>
      </w:pPr>
      <w:r>
        <w:rPr>
          <w:rFonts w:ascii="Calibri" w:hAnsi="Calibri"/>
          <w:sz w:val="18"/>
        </w:rPr>
        <w:t>Documento «Métricas, Niveles de Servicio y Plan de Monitoreo» — origen de los indicadores KPI-22 a KPI-25 que se obtienen de Jira.</w:t>
      </w:r>
    </w:p>
    <w:p>
      <w:pPr>
        <w:pStyle w:val="ListBullet"/>
        <w:spacing w:after="100"/>
        <w:jc w:val="both"/>
      </w:pPr>
      <w:r>
        <w:rPr>
          <w:rFonts w:ascii="Calibri" w:hAnsi="Calibri"/>
          <w:sz w:val="18"/>
        </w:rPr>
        <w:t>Documento «Reporte técnico de optimización del rendimiento web» — resultado de la auditoría con Lighthouse, incluido el resultado negativo de `browserslist`.</w:t>
      </w:r>
    </w:p>
    <w:p>
      <w:pPr>
        <w:pStyle w:val="ListBullet"/>
        <w:spacing w:after="100"/>
        <w:jc w:val="both"/>
      </w:pPr>
      <w:r>
        <w:rPr>
          <w:rFonts w:ascii="Calibri" w:hAnsi="Calibri"/>
          <w:sz w:val="18"/>
        </w:rPr>
        <w:t>Matriz de Gestión de Riesgos v2.0 — riesgos R-10 (discontinuidad del nivel gratuito), R-13 (criterios ambiguos) y R-14 (curva de entrada) que estos criterios mitigan.</w:t>
      </w:r>
    </w:p>
    <w:p>
      <w:pPr>
        <w:pStyle w:val="ListBullet"/>
        <w:spacing w:after="100"/>
        <w:jc w:val="both"/>
      </w:pPr>
      <w:r>
        <w:rPr>
          <w:rFonts w:ascii="Calibri" w:hAnsi="Calibri"/>
          <w:sz w:val="18"/>
        </w:rPr>
        <w:t>Repositorio del proyecto: https://github.com/LOAD-13/ayni-bank — `CONTRIBUTING.md` documenta el flujo de trabajo y `DEFINITION_OF_DONE.md` las condiciones de cierre.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