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64475"/>
          <w:sz w:val="30"/>
        </w:rPr>
        <w:t>UNIVERSIDAD TECNOLÓGICA DEL PERÚ</w:t>
      </w:r>
    </w:p>
    <w:p>
      <w:pPr>
        <w:spacing w:after="520"/>
        <w:jc w:val="center"/>
      </w:pPr>
      <w:r>
        <w:rPr>
          <w:rFonts w:ascii="Calibri" w:hAnsi="Calibri"/>
          <w:b w:val="0"/>
          <w:color w:val="4A4A4A"/>
          <w:sz w:val="22"/>
        </w:rPr>
        <w:t>Curso Integrador II: Software  ·  Semana 06  ·  Sesiones 11 y 12</w:t>
      </w:r>
    </w:p>
    <w:p>
      <w:pPr>
        <w:jc w:val="center"/>
      </w:pPr>
      <w:r>
        <w:rPr>
          <w:rFonts w:ascii="Calibri" w:hAnsi="Calibri"/>
          <w:b/>
          <w:color w:val="064475"/>
          <w:sz w:val="52"/>
        </w:rPr>
        <w:t>Taller de Diseño Físico de Base de Datos</w:t>
      </w:r>
    </w:p>
    <w:p>
      <w:pPr>
        <w:jc w:val="center"/>
      </w:pPr>
      <w:r>
        <w:rPr>
          <w:rFonts w:ascii="Calibri" w:hAnsi="Calibri"/>
          <w:color w:val="4A4A4A"/>
          <w:sz w:val="26"/>
        </w:rPr>
        <w:t>Modelo físico, volumetría a un millón de usuarios,</w:t>
        <w:br/>
        <w:t>política de seguridad y plan de respaldo</w:t>
      </w:r>
    </w:p>
    <w:p>
      <w:pPr>
        <w:spacing w:after="440"/>
        <w:jc w:val="both"/>
      </w:pPr>
    </w:p>
    <w:p>
      <w:pPr>
        <w:jc w:val="center"/>
      </w:pPr>
      <w:r>
        <w:rPr>
          <w:rFonts w:ascii="Calibri" w:hAnsi="Calibri"/>
          <w:b/>
          <w:color w:val="C59E41"/>
          <w:sz w:val="34"/>
        </w:rPr>
        <w:t>Proyecto  Ayni Bank</w:t>
      </w:r>
    </w:p>
    <w:p>
      <w:pPr>
        <w:spacing w:after="520"/>
        <w:jc w:val="center"/>
      </w:pPr>
      <w:r>
        <w:rPr>
          <w:rFonts w:ascii="Calibri" w:hAnsi="Calibri"/>
          <w:b w:val="0"/>
          <w:color w:val="4A4A4A"/>
          <w:sz w:val="22"/>
        </w:rPr>
        <w:t>Banca 100 % digital para personas naturales en el Perú</w:t>
      </w:r>
    </w:p>
    <w:tbl>
      <w:tblPr>
        <w:tblStyle w:val="TableGrid"/>
        <w:tblW w:type="auto" w:w="0"/>
        <w:tblLook w:firstColumn="1" w:firstRow="1" w:lastColumn="0" w:lastRow="0" w:noHBand="0" w:noVBand="1" w:val="04A0"/>
      </w:tblPr>
      <w:tblGrid>
        <w:gridCol w:w="7569"/>
        <w:gridCol w:w="7569"/>
      </w:tblGrid>
      <w:tr>
        <w:tc>
          <w:tcPr>
            <w:tcW w:type="dxa" w:w="3515"/>
            <w:shd w:val="clear" w:color="auto" w:fill="DCE6F1"/>
          </w:tcPr>
          <w:p>
            <w:pPr>
              <w:spacing w:after="40" w:before="40"/>
            </w:pPr>
            <w:r/>
            <w:r>
              <w:rPr>
                <w:rFonts w:ascii="Calibri" w:hAnsi="Calibri"/>
                <w:b/>
                <w:color w:val="064475"/>
                <w:sz w:val="20"/>
              </w:rPr>
              <w:t>Producto entregable</w:t>
            </w:r>
          </w:p>
        </w:tc>
        <w:tc>
          <w:tcPr>
            <w:tcW w:type="dxa" w:w="11622"/>
          </w:tcPr>
          <w:p>
            <w:pPr>
              <w:spacing w:after="40" w:before="40"/>
            </w:pPr>
            <w:r/>
            <w:r>
              <w:rPr>
                <w:rFonts w:ascii="Calibri" w:hAnsi="Calibri"/>
                <w:b w:val="0"/>
                <w:sz w:val="20"/>
              </w:rPr>
              <w:t>Taller de Diseño Físico — modelo físico, índices, política de seguridad del usuario de base de datos y plan de respaldo</w:t>
            </w:r>
          </w:p>
        </w:tc>
      </w:tr>
      <w:tr>
        <w:tc>
          <w:tcPr>
            <w:tcW w:type="dxa" w:w="3515"/>
            <w:shd w:val="clear" w:color="auto" w:fill="DCE6F1"/>
          </w:tcPr>
          <w:p>
            <w:pPr>
              <w:spacing w:after="40" w:before="40"/>
            </w:pPr>
            <w:r/>
            <w:r>
              <w:rPr>
                <w:rFonts w:ascii="Calibri" w:hAnsi="Calibri"/>
                <w:b/>
                <w:color w:val="064475"/>
                <w:sz w:val="20"/>
              </w:rPr>
              <w:t>Product Owner</w:t>
            </w:r>
          </w:p>
        </w:tc>
        <w:tc>
          <w:tcPr>
            <w:tcW w:type="dxa" w:w="11622"/>
          </w:tcPr>
          <w:p>
            <w:pPr>
              <w:spacing w:after="40" w:before="40"/>
            </w:pPr>
            <w:r/>
            <w:r>
              <w:rPr>
                <w:rFonts w:ascii="Calibri" w:hAnsi="Calibri"/>
                <w:b w:val="0"/>
                <w:sz w:val="20"/>
              </w:rPr>
              <w:t>Dr. Carlos R. P. Tovar</w:t>
            </w:r>
          </w:p>
        </w:tc>
      </w:tr>
      <w:tr>
        <w:tc>
          <w:tcPr>
            <w:tcW w:type="dxa" w:w="3515"/>
            <w:shd w:val="clear" w:color="auto" w:fill="DCE6F1"/>
          </w:tcPr>
          <w:p>
            <w:pPr>
              <w:spacing w:after="40" w:before="40"/>
            </w:pPr>
            <w:r/>
            <w:r>
              <w:rPr>
                <w:rFonts w:ascii="Calibri" w:hAnsi="Calibri"/>
                <w:b/>
                <w:color w:val="064475"/>
                <w:sz w:val="20"/>
              </w:rPr>
              <w:t>Scrum Master</w:t>
            </w:r>
          </w:p>
        </w:tc>
        <w:tc>
          <w:tcPr>
            <w:tcW w:type="dxa" w:w="11622"/>
          </w:tcPr>
          <w:p>
            <w:pPr>
              <w:spacing w:after="40" w:before="40"/>
            </w:pPr>
            <w:r/>
            <w:r>
              <w:rPr>
                <w:rFonts w:ascii="Calibri" w:hAnsi="Calibri"/>
                <w:b w:val="0"/>
                <w:sz w:val="20"/>
              </w:rPr>
              <w:t>Joaquín Alfonso Loa Denegri</w:t>
            </w:r>
          </w:p>
        </w:tc>
      </w:tr>
      <w:tr>
        <w:tc>
          <w:tcPr>
            <w:tcW w:type="dxa" w:w="3515"/>
            <w:shd w:val="clear" w:color="auto" w:fill="DCE6F1"/>
          </w:tcPr>
          <w:p>
            <w:pPr>
              <w:spacing w:after="40" w:before="40"/>
            </w:pPr>
            <w:r/>
            <w:r>
              <w:rPr>
                <w:rFonts w:ascii="Calibri" w:hAnsi="Calibri"/>
                <w:b/>
                <w:color w:val="064475"/>
                <w:sz w:val="20"/>
              </w:rPr>
              <w:t>Equipo de desarrollo</w:t>
            </w:r>
          </w:p>
        </w:tc>
        <w:tc>
          <w:tcPr>
            <w:tcW w:type="dxa" w:w="11622"/>
          </w:tcPr>
          <w:p>
            <w:pPr>
              <w:spacing w:after="40" w:before="40"/>
            </w:pPr>
            <w:r/>
            <w:r>
              <w:rPr>
                <w:rFonts w:ascii="Calibri" w:hAnsi="Calibri"/>
                <w:b w:val="0"/>
                <w:sz w:val="20"/>
              </w:rPr>
              <w:t>Kiara Mishell Santti Saavedra  ·  Gerardo Raúl Socualaya Mandamiento  ·  Eduardo Vargas Zumaeta  ·  Frank Grheg Sotomayor Suasnabar  ·  Fabián García Champi</w:t>
            </w:r>
          </w:p>
        </w:tc>
      </w:tr>
      <w:tr>
        <w:tc>
          <w:tcPr>
            <w:tcW w:type="dxa" w:w="3515"/>
            <w:shd w:val="clear" w:color="auto" w:fill="DCE6F1"/>
          </w:tcPr>
          <w:p>
            <w:pPr>
              <w:spacing w:after="40" w:before="40"/>
            </w:pPr>
            <w:r/>
            <w:r>
              <w:rPr>
                <w:rFonts w:ascii="Calibri" w:hAnsi="Calibri"/>
                <w:b/>
                <w:color w:val="064475"/>
                <w:sz w:val="20"/>
              </w:rPr>
              <w:t>Motor de base de datos</w:t>
            </w:r>
          </w:p>
        </w:tc>
        <w:tc>
          <w:tcPr>
            <w:tcW w:type="dxa" w:w="11622"/>
          </w:tcPr>
          <w:p>
            <w:pPr>
              <w:spacing w:after="40" w:before="40"/>
            </w:pPr>
            <w:r/>
            <w:r>
              <w:rPr>
                <w:rFonts w:ascii="Calibri" w:hAnsi="Calibri"/>
                <w:b w:val="0"/>
                <w:sz w:val="20"/>
              </w:rPr>
              <w:t>PostgreSQL 16.14 sobre contenedor, arquitectura ARM64</w:t>
            </w:r>
          </w:p>
        </w:tc>
      </w:tr>
      <w:tr>
        <w:tc>
          <w:tcPr>
            <w:tcW w:type="dxa" w:w="3515"/>
            <w:shd w:val="clear" w:color="auto" w:fill="DCE6F1"/>
          </w:tcPr>
          <w:p>
            <w:pPr>
              <w:spacing w:after="40" w:before="40"/>
            </w:pPr>
            <w:r/>
            <w:r>
              <w:rPr>
                <w:rFonts w:ascii="Calibri" w:hAnsi="Calibri"/>
                <w:b/>
                <w:color w:val="064475"/>
                <w:sz w:val="20"/>
              </w:rPr>
              <w:t>Fecha</w:t>
            </w:r>
          </w:p>
        </w:tc>
        <w:tc>
          <w:tcPr>
            <w:tcW w:type="dxa" w:w="11622"/>
          </w:tcPr>
          <w:p>
            <w:pPr>
              <w:spacing w:after="40" w:before="40"/>
            </w:pPr>
            <w:r/>
            <w:r>
              <w:rPr>
                <w:rFonts w:ascii="Calibri" w:hAnsi="Calibri"/>
                <w:b w:val="0"/>
                <w:sz w:val="20"/>
              </w:rPr>
              <w:t>15 de septiembre de 2026</w:t>
            </w:r>
          </w:p>
        </w:tc>
      </w:tr>
    </w:tbl>
    <w:p>
      <w:r>
        <w:br w:type="page"/>
      </w:r>
    </w:p>
    <w:p>
      <w:pPr>
        <w:spacing w:before="360" w:after="120"/>
        <w:pBdr>
          <w:bottom w:val="single" w:sz="12" w:space="4" w:color="064475"/>
        </w:pBdr>
      </w:pPr>
      <w:r>
        <w:rPr>
          <w:rFonts w:ascii="Calibri" w:hAnsi="Calibri"/>
          <w:b/>
          <w:color w:val="064475"/>
          <w:sz w:val="30"/>
        </w:rPr>
        <w:t>1.  Qué pide el taller y cómo lo hemos resuelto</w:t>
      </w:r>
    </w:p>
    <w:p>
      <w:pPr>
        <w:spacing w:after="160"/>
        <w:jc w:val="both"/>
      </w:pPr>
      <w:r>
        <w:rPr>
          <w:rFonts w:ascii="Calibri" w:hAnsi="Calibri"/>
          <w:b w:val="0"/>
          <w:sz w:val="20"/>
        </w:rPr>
        <w:t xml:space="preserve">El taller de la sesión 11 plantea tres encargos: </w:t>
      </w:r>
      <w:r>
        <w:rPr>
          <w:rFonts w:ascii="Calibri" w:hAnsi="Calibri"/>
          <w:b/>
          <w:sz w:val="20"/>
        </w:rPr>
        <w:t>definir el modelo físico del proyecto</w:t>
      </w:r>
      <w:r>
        <w:rPr>
          <w:rFonts w:ascii="Calibri" w:hAnsi="Calibri"/>
          <w:b w:val="0"/>
          <w:sz w:val="20"/>
        </w:rPr>
        <w:t xml:space="preserve">, </w:t>
      </w:r>
      <w:r>
        <w:rPr>
          <w:rFonts w:ascii="Calibri" w:hAnsi="Calibri"/>
          <w:b/>
          <w:sz w:val="20"/>
        </w:rPr>
        <w:t>identificar las tablas de alto tráfico</w:t>
      </w:r>
      <w:r>
        <w:rPr>
          <w:rFonts w:ascii="Calibri" w:hAnsi="Calibri"/>
          <w:b w:val="0"/>
          <w:sz w:val="20"/>
        </w:rPr>
        <w:t xml:space="preserve"> y decidir si necesitan índices, y </w:t>
      </w:r>
      <w:r>
        <w:rPr>
          <w:rFonts w:ascii="Calibri" w:hAnsi="Calibri"/>
          <w:b/>
          <w:sz w:val="20"/>
        </w:rPr>
        <w:t>definir la política de seguridad del usuario de base de datos de la aplicación</w:t>
      </w:r>
      <w:r>
        <w:rPr>
          <w:rFonts w:ascii="Calibri" w:hAnsi="Calibri"/>
          <w:b w:val="0"/>
          <w:sz w:val="20"/>
        </w:rPr>
        <w:t xml:space="preserve">. En clase se añadieron cuatro precisiones: exportar las tablas con sus claves primarias y sus restricciones, estimar el sistema para </w:t>
      </w:r>
      <w:r>
        <w:rPr>
          <w:rFonts w:ascii="Calibri" w:hAnsi="Calibri"/>
          <w:b/>
          <w:sz w:val="20"/>
        </w:rPr>
        <w:t>un millón de usuarios activos</w:t>
      </w:r>
      <w:r>
        <w:rPr>
          <w:rFonts w:ascii="Calibri" w:hAnsi="Calibri"/>
          <w:b w:val="0"/>
          <w:sz w:val="20"/>
        </w:rPr>
        <w:t xml:space="preserve">, </w:t>
      </w:r>
      <w:r>
        <w:rPr>
          <w:rFonts w:ascii="Calibri" w:hAnsi="Calibri"/>
          <w:b/>
          <w:sz w:val="20"/>
        </w:rPr>
        <w:t>validar esa estimación con un estudio</w:t>
      </w:r>
      <w:r>
        <w:rPr>
          <w:rFonts w:ascii="Calibri" w:hAnsi="Calibri"/>
          <w:b w:val="0"/>
          <w:sz w:val="20"/>
        </w:rPr>
        <w:t xml:space="preserve">, y elaborar un </w:t>
      </w:r>
      <w:r>
        <w:rPr>
          <w:rFonts w:ascii="Calibri" w:hAnsi="Calibri"/>
          <w:b/>
          <w:sz w:val="20"/>
        </w:rPr>
        <w:t>plan de respaldo</w:t>
      </w:r>
      <w:r>
        <w:rPr>
          <w:rFonts w:ascii="Calibri" w:hAnsi="Calibri"/>
          <w:b w:val="0"/>
          <w:sz w:val="20"/>
        </w:rPr>
        <w:t>. Este documento responde a los siete puntos.</w:t>
      </w:r>
    </w:p>
    <w:p>
      <w:pPr>
        <w:spacing w:after="160"/>
        <w:jc w:val="both"/>
      </w:pPr>
      <w:r>
        <w:rPr>
          <w:rFonts w:ascii="Calibri" w:hAnsi="Calibri"/>
          <w:b w:val="0"/>
          <w:sz w:val="20"/>
        </w:rPr>
        <w:t xml:space="preserve">Conviene decir de entrada de dónde salen las cifras, porque condiciona cuánto valen. </w:t>
      </w:r>
      <w:r>
        <w:rPr>
          <w:rFonts w:ascii="Calibri" w:hAnsi="Calibri"/>
          <w:b/>
          <w:sz w:val="20"/>
        </w:rPr>
        <w:t>Ayni Bank ya tiene base de datos.</w:t>
      </w:r>
      <w:r>
        <w:rPr>
          <w:rFonts w:ascii="Calibri" w:hAnsi="Calibri"/>
          <w:b w:val="0"/>
          <w:sz w:val="20"/>
        </w:rPr>
        <w:t xml:space="preserve"> No es un proyecto en fase de pizarra: hay veinte tablas creadas por migraciones de Flyway, corriendo sobre PostgreSQL 16.14 en la instancia que el equipo levanta con un solo comando. Eso permite hacer dos cosas que un trabajo de papel no puede hacer.</w:t>
      </w:r>
    </w:p>
    <w:tbl>
      <w:tblPr>
        <w:tblStyle w:val="TableGrid"/>
        <w:tblW w:type="auto" w:w="0"/>
        <w:tblLook w:firstColumn="1" w:firstRow="1" w:lastColumn="0" w:lastRow="0" w:noHBand="0" w:noVBand="1" w:val="04A0"/>
      </w:tblPr>
      <w:tblGrid>
        <w:gridCol w:w="7569"/>
        <w:gridCol w:w="7569"/>
      </w:tblGrid>
      <w:tr>
        <w:tc>
          <w:tcPr>
            <w:tcW w:type="dxa" w:w="3969"/>
            <w:shd w:val="clear" w:color="auto" w:fill="DCE6F1"/>
          </w:tcPr>
          <w:p>
            <w:pPr>
              <w:spacing w:after="40" w:before="40"/>
            </w:pPr>
            <w:r/>
            <w:r>
              <w:rPr>
                <w:rFonts w:ascii="Calibri" w:hAnsi="Calibri"/>
                <w:b/>
                <w:color w:val="064475"/>
                <w:sz w:val="19"/>
              </w:rPr>
              <w:t>El modelo físico no se dibuja: se exporta</w:t>
            </w:r>
          </w:p>
        </w:tc>
        <w:tc>
          <w:tcPr>
            <w:tcW w:type="dxa" w:w="11169"/>
          </w:tcPr>
          <w:p>
            <w:pPr>
              <w:spacing w:after="40" w:before="40"/>
            </w:pPr>
            <w:r/>
            <w:r>
              <w:rPr>
                <w:rFonts w:ascii="Calibri" w:hAnsi="Calibri"/>
                <w:b w:val="0"/>
                <w:sz w:val="19"/>
              </w:rPr>
              <w:t xml:space="preserve">El diagrama del apartado 2 se genera leyendo `information_schema` y `pg_catalog` de la instancia real. Cada columna, tipo, clave, restricción e índice que aparece está en la base de datos. </w:t>
            </w:r>
            <w:r>
              <w:rPr>
                <w:rFonts w:ascii="Calibri" w:hAnsi="Calibri"/>
                <w:b/>
                <w:sz w:val="19"/>
              </w:rPr>
              <w:t>El diagrama no puede desviarse del código porque se deriva de él.</w:t>
            </w:r>
          </w:p>
        </w:tc>
      </w:tr>
      <w:tr>
        <w:tc>
          <w:tcPr>
            <w:tcW w:type="dxa" w:w="3969"/>
            <w:shd w:val="clear" w:color="auto" w:fill="DCE6F1"/>
          </w:tcPr>
          <w:p>
            <w:pPr>
              <w:spacing w:after="40" w:before="40"/>
            </w:pPr>
            <w:r/>
            <w:r>
              <w:rPr>
                <w:rFonts w:ascii="Calibri" w:hAnsi="Calibri"/>
                <w:b/>
                <w:color w:val="064475"/>
                <w:sz w:val="19"/>
              </w:rPr>
              <w:t>La volumetría no se estima: se mide</w:t>
            </w:r>
          </w:p>
        </w:tc>
        <w:tc>
          <w:tcPr>
            <w:tcW w:type="dxa" w:w="11169"/>
          </w:tcPr>
          <w:p>
            <w:pPr>
              <w:spacing w:after="40" w:before="40"/>
            </w:pPr>
            <w:r/>
            <w:r>
              <w:rPr>
                <w:rFonts w:ascii="Calibri" w:hAnsi="Calibri"/>
                <w:b w:val="0"/>
                <w:sz w:val="19"/>
              </w:rPr>
              <w:t xml:space="preserve">Para saber cuánto ocupa un asiento contable no hemos sumado el tamaño de sus tipos de dato. Hemos </w:t>
            </w:r>
            <w:r>
              <w:rPr>
                <w:rFonts w:ascii="Calibri" w:hAnsi="Calibri"/>
                <w:b/>
                <w:sz w:val="19"/>
              </w:rPr>
              <w:t>cargado 500 000 asientos reales en una base de datos aparte y medido los bytes que PostgreSQL consumió</w:t>
            </w:r>
            <w:r>
              <w:rPr>
                <w:rFonts w:ascii="Calibri" w:hAnsi="Calibri"/>
                <w:b w:val="0"/>
                <w:sz w:val="19"/>
              </w:rPr>
              <w:t xml:space="preserve">, índices incluidos. La diferencia entre ambos métodos no es menor: la aritmética ingenua ignora la cabecera de 23 bytes por fila, el relleno de alineación y, sobre todo, el peso de los índices, que en la tabla `asiento` resultó ser el </w:t>
            </w:r>
            <w:r>
              <w:rPr>
                <w:rFonts w:ascii="Calibri" w:hAnsi="Calibri"/>
                <w:b/>
                <w:sz w:val="19"/>
              </w:rPr>
              <w:t>84 % del tamaño de los propios datos</w:t>
            </w:r>
            <w:r>
              <w:rPr>
                <w:rFonts w:ascii="Calibri" w:hAnsi="Calibri"/>
                <w:b w:val="0"/>
                <w:sz w:val="19"/>
              </w:rPr>
              <w:t>.</w:t>
            </w:r>
          </w:p>
        </w:tc>
      </w:tr>
    </w:tbl>
    <w:p>
      <w:pPr>
        <w:spacing w:after="160"/>
        <w:jc w:val="both"/>
      </w:pPr>
    </w:p>
    <w:p>
      <w:pPr>
        <w:spacing w:after="160"/>
        <w:jc w:val="both"/>
      </w:pPr>
      <w:r>
        <w:rPr>
          <w:rFonts w:ascii="Calibri" w:hAnsi="Calibri"/>
          <w:b w:val="0"/>
          <w:sz w:val="20"/>
        </w:rPr>
        <w:t xml:space="preserve">Adelantamos la conclusión que más peso tiene, porque cambia una decisión de infraestructura ya tomada: </w:t>
      </w:r>
      <w:r>
        <w:rPr>
          <w:rFonts w:ascii="Calibri" w:hAnsi="Calibri"/>
          <w:b/>
          <w:sz w:val="20"/>
        </w:rPr>
        <w:t>con la premisa de un millón de usuarios y cinco transacciones diarias, los 200 GB del nivel gratuito de Oracle Cloud se agotan en 66 días.</w:t>
      </w:r>
      <w:r>
        <w:rPr>
          <w:rFonts w:ascii="Calibri" w:hAnsi="Calibri"/>
          <w:b w:val="0"/>
          <w:sz w:val="20"/>
        </w:rPr>
        <w:t xml:space="preserve"> No es una cifra retórica; sale de multiplicar bytes medidos por filas proyectadas, y obliga a las medidas de retención y particionado del apartado 4.</w:t>
      </w:r>
    </w:p>
    <w:tbl>
      <w:tblPr>
        <w:tblStyle w:val="TableGrid"/>
        <w:tblW w:type="auto" w:w="0"/>
        <w:tblLook w:firstColumn="1" w:firstRow="1" w:lastColumn="0" w:lastRow="0" w:noHBand="0" w:noVBand="1" w:val="04A0"/>
      </w:tblPr>
      <w:tblGrid>
        <w:gridCol w:w="15138"/>
      </w:tblGrid>
      <w:tr>
        <w:tc>
          <w:tcPr>
            <w:tcW w:type="dxa" w:w="15137"/>
            <w:shd w:val="clear" w:color="auto" w:fill="FFF8E7"/>
          </w:tcPr>
          <w:p>
            <w:pPr>
              <w:spacing w:after="60"/>
            </w:pPr>
            <w:r/>
            <w:r>
              <w:rPr>
                <w:rFonts w:ascii="Calibri" w:hAnsi="Calibri"/>
                <w:b/>
                <w:color w:val="C59E41"/>
                <w:sz w:val="18"/>
              </w:rPr>
              <w:t xml:space="preserve">PREGUNTA CLAVE  ·  </w:t>
            </w:r>
            <w:r>
              <w:rPr>
                <w:rFonts w:ascii="Calibri" w:hAnsi="Calibri"/>
                <w:b/>
                <w:color w:val="064475"/>
                <w:sz w:val="20"/>
              </w:rPr>
              <w:t>¿Por qué la estimación parte de «transacciones» y no de «asientos»?</w:t>
            </w:r>
          </w:p>
          <w:p>
            <w:pPr>
              <w:spacing w:after="40"/>
            </w:pPr>
            <w:r>
              <w:rPr>
                <w:rFonts w:ascii="Calibri" w:hAnsi="Calibri"/>
                <w:b w:val="0"/>
                <w:color w:val="4A4A4A"/>
                <w:sz w:val="18"/>
              </w:rPr>
              <w:t xml:space="preserve">Porque en Ayni Bank </w:t>
            </w:r>
            <w:r>
              <w:rPr>
                <w:rFonts w:ascii="Calibri" w:hAnsi="Calibri"/>
                <w:b/>
                <w:color w:val="4A4A4A"/>
                <w:sz w:val="18"/>
              </w:rPr>
              <w:t>no son lo mismo, y el factor es dos</w:t>
            </w:r>
            <w:r>
              <w:rPr>
                <w:rFonts w:ascii="Calibri" w:hAnsi="Calibri"/>
                <w:b w:val="0"/>
                <w:color w:val="4A4A4A"/>
                <w:sz w:val="18"/>
              </w:rPr>
              <w:t>. El saldo no se guarda: se deriva de un libro mayor de partida doble (ADR-0011), de modo que cada transacción escribe dos filas en `core.asiento`, una de cargo y otra de abono. Toda la volumetría de este documento aplica ese factor. Se detalla en el apartado 4.2.</w:t>
            </w:r>
          </w:p>
        </w:tc>
      </w:tr>
    </w:tbl>
    <w:p>
      <w:r>
        <w:br w:type="page"/>
      </w:r>
    </w:p>
    <w:p>
      <w:pPr>
        <w:spacing w:before="360" w:after="120"/>
        <w:pBdr>
          <w:bottom w:val="single" w:sz="12" w:space="4" w:color="064475"/>
        </w:pBdr>
      </w:pPr>
      <w:r>
        <w:rPr>
          <w:rFonts w:ascii="Calibri" w:hAnsi="Calibri"/>
          <w:b/>
          <w:color w:val="064475"/>
          <w:sz w:val="30"/>
        </w:rPr>
        <w:t>2.  Encargo 1 · El modelo físico del proyecto</w:t>
      </w:r>
    </w:p>
    <w:p>
      <w:pPr>
        <w:spacing w:after="160"/>
        <w:jc w:val="both"/>
      </w:pPr>
      <w:r>
        <w:rPr>
          <w:rFonts w:ascii="Calibri" w:hAnsi="Calibri"/>
          <w:b w:val="0"/>
          <w:sz w:val="20"/>
        </w:rPr>
        <w:t xml:space="preserve">Veinte tablas repartidas en </w:t>
      </w:r>
      <w:r>
        <w:rPr>
          <w:rFonts w:ascii="Calibri" w:hAnsi="Calibri"/>
          <w:b/>
          <w:sz w:val="20"/>
        </w:rPr>
        <w:t>tres schemas</w:t>
      </w:r>
      <w:r>
        <w:rPr>
          <w:rFonts w:ascii="Calibri" w:hAnsi="Calibri"/>
          <w:b w:val="0"/>
          <w:sz w:val="20"/>
        </w:rPr>
        <w:t>, uno por contexto delimitado: `identity` (quién eres), `core` (tu dinero) y `notification` (qué te avisamos). El reparto no es cosmético: es la frontera que impide que un servicio lea las tablas de otro, y la que hace posible que cada uno migre su esquema sin coordinarse con los demás (ADR-0001 y ADR-0004).</w:t>
      </w:r>
    </w:p>
    <w:p>
      <w:pPr>
        <w:spacing w:before="220" w:after="120"/>
      </w:pPr>
      <w:r>
        <w:rPr>
          <w:rFonts w:ascii="Calibri" w:hAnsi="Calibri"/>
          <w:b/>
          <w:color w:val="064475"/>
          <w:sz w:val="24"/>
        </w:rPr>
        <w:t>2.1  Diagrama entidad-relación</w:t>
      </w:r>
    </w:p>
    <w:p>
      <w:pPr>
        <w:spacing w:after="120"/>
        <w:jc w:val="both"/>
      </w:pPr>
      <w:r>
        <w:rPr>
          <w:rFonts w:ascii="Calibri" w:hAnsi="Calibri"/>
          <w:b w:val="0"/>
          <w:sz w:val="20"/>
        </w:rPr>
        <w:t xml:space="preserve">Veinte entidades con sus 135 columnas, sus tipos reales, sus claves y sus 44 índices, y </w:t>
      </w:r>
      <w:r>
        <w:rPr>
          <w:rFonts w:ascii="Calibri" w:hAnsi="Calibri"/>
          <w:b/>
          <w:sz w:val="20"/>
        </w:rPr>
        <w:t>trece relaciones dibujadas con notación de pata de gallo</w:t>
      </w:r>
      <w:r>
        <w:rPr>
          <w:rFonts w:ascii="Calibri" w:hAnsi="Calibri"/>
          <w:b w:val="0"/>
          <w:sz w:val="20"/>
        </w:rPr>
        <w:t xml:space="preserve">. La pata distingue el lado «muchos» del lado «uno», de modo que se lee directamente que un usuario tiene </w:t>
      </w:r>
      <w:r>
        <w:rPr>
          <w:rFonts w:ascii="Calibri" w:hAnsi="Calibri"/>
          <w:b/>
          <w:sz w:val="20"/>
        </w:rPr>
        <w:t>una sola</w:t>
      </w:r>
      <w:r>
        <w:rPr>
          <w:rFonts w:ascii="Calibri" w:hAnsi="Calibri"/>
          <w:b w:val="0"/>
          <w:sz w:val="20"/>
        </w:rPr>
        <w:t xml:space="preserve"> fila de `segundo_factor` pero </w:t>
      </w:r>
      <w:r>
        <w:rPr>
          <w:rFonts w:ascii="Calibri" w:hAnsi="Calibri"/>
          <w:b/>
          <w:sz w:val="20"/>
        </w:rPr>
        <w:t>muchos</w:t>
      </w:r>
      <w:r>
        <w:rPr>
          <w:rFonts w:ascii="Calibri" w:hAnsi="Calibri"/>
          <w:b w:val="0"/>
          <w:sz w:val="20"/>
        </w:rPr>
        <w:t xml:space="preserve"> `refresh_token`. Las tablas con borde rojo son las de alto tráfico que identifica el apartado 4; las de borde ámbar, las de tráfico medio.</w:t>
      </w:r>
    </w:p>
    <w:p>
      <w:pPr>
        <w:spacing w:after="120"/>
        <w:jc w:val="both"/>
      </w:pPr>
      <w:r>
        <w:rPr>
          <w:rFonts w:ascii="Calibri" w:hAnsi="Calibri"/>
          <w:b/>
          <w:sz w:val="20"/>
        </w:rPr>
        <w:t>La línea dorada y discontinua es la que más dice.</w:t>
      </w:r>
      <w:r>
        <w:rPr>
          <w:rFonts w:ascii="Calibri" w:hAnsi="Calibri"/>
          <w:b w:val="0"/>
          <w:sz w:val="20"/>
        </w:rPr>
        <w:t xml:space="preserve"> Une `core.cuenta` con `identity.usuario` y es la única relación que cruza un contexto delimitado; aparece discontinua porque </w:t>
      </w:r>
      <w:r>
        <w:rPr>
          <w:rFonts w:ascii="Calibri" w:hAnsi="Calibri"/>
          <w:b/>
          <w:sz w:val="20"/>
        </w:rPr>
        <w:t>no existe como clave foránea en la base de datos</w:t>
      </w:r>
      <w:r>
        <w:rPr>
          <w:rFonts w:ascii="Calibri" w:hAnsi="Calibri"/>
          <w:b w:val="0"/>
          <w:sz w:val="20"/>
        </w:rPr>
        <w:t>: se quitó a propósito, por lo que explica el apartado 2.4.</w:t>
      </w:r>
    </w:p>
    <w:p>
      <w:pPr>
        <w:jc w:val="center"/>
      </w:pPr>
      <w:r>
        <w:drawing>
          <wp:inline xmlns:a="http://schemas.openxmlformats.org/drawingml/2006/main" xmlns:pic="http://schemas.openxmlformats.org/drawingml/2006/picture">
            <wp:extent cx="9612000" cy="3964216"/>
            <wp:docPr id="1" name="Picture 1"/>
            <wp:cNvGraphicFramePr>
              <a:graphicFrameLocks noChangeAspect="1"/>
            </wp:cNvGraphicFramePr>
            <a:graphic>
              <a:graphicData uri="http://schemas.openxmlformats.org/drawingml/2006/picture">
                <pic:pic>
                  <pic:nvPicPr>
                    <pic:cNvPr id="0" name="erd-diagrama.png"/>
                    <pic:cNvPicPr/>
                  </pic:nvPicPr>
                  <pic:blipFill>
                    <a:blip r:embed="rId9"/>
                    <a:stretch>
                      <a:fillRect/>
                    </a:stretch>
                  </pic:blipFill>
                  <pic:spPr>
                    <a:xfrm>
                      <a:off x="0" y="0"/>
                      <a:ext cx="9612000" cy="3964216"/>
                    </a:xfrm>
                    <a:prstGeom prst="rect"/>
                  </pic:spPr>
                </pic:pic>
              </a:graphicData>
            </a:graphic>
          </wp:inline>
        </w:drawing>
      </w:r>
    </w:p>
    <w:p>
      <w:pPr>
        <w:spacing w:after="200"/>
        <w:jc w:val="center"/>
      </w:pPr>
      <w:r>
        <w:rPr>
          <w:rFonts w:ascii="Calibri" w:hAnsi="Calibri"/>
          <w:b w:val="0"/>
          <w:color w:val="4A4A4A"/>
          <w:sz w:val="17"/>
        </w:rPr>
        <w:t>Diagrama entidad-relación de Ayni Bank, generado desde `information_schema` de PostgreSQL 16.14 y renderizado con JointJS 4. La versión interactiva (`erd.html`) permite arrastrar las entidades, aislar las relaciones de una tabla con un clic, hacer zoom y filtrar por nivel de tráfico o por schema.</w:t>
      </w:r>
    </w:p>
    <w:p>
      <w:r>
        <w:br w:type="page"/>
      </w:r>
    </w:p>
    <w:p>
      <w:pPr>
        <w:spacing w:before="220" w:after="120"/>
      </w:pPr>
      <w:r>
        <w:rPr>
          <w:rFonts w:ascii="Calibri" w:hAnsi="Calibri"/>
          <w:b/>
          <w:color w:val="064475"/>
          <w:sz w:val="24"/>
        </w:rPr>
        <w:t>2.2  Inventario de tablas por schema</w:t>
      </w:r>
    </w:p>
    <w:tbl>
      <w:tblPr>
        <w:tblStyle w:val="TableGrid"/>
        <w:tblW w:type="auto" w:w="0"/>
        <w:tblLook w:firstColumn="1" w:firstRow="1" w:lastColumn="0" w:lastRow="0" w:noHBand="0" w:noVBand="1" w:val="04A0"/>
      </w:tblPr>
      <w:tblGrid>
        <w:gridCol w:w="2523"/>
        <w:gridCol w:w="2523"/>
        <w:gridCol w:w="2523"/>
        <w:gridCol w:w="2523"/>
        <w:gridCol w:w="2523"/>
        <w:gridCol w:w="2523"/>
      </w:tblGrid>
      <w:tr>
        <w:tc>
          <w:tcPr>
            <w:tcW w:type="dxa" w:w="1474"/>
            <w:shd w:val="clear" w:color="auto" w:fill="064475"/>
          </w:tcPr>
          <w:p>
            <w:pPr>
              <w:spacing w:after="40" w:before="40"/>
            </w:pPr>
            <w:r/>
            <w:r>
              <w:rPr>
                <w:rFonts w:ascii="Calibri" w:hAnsi="Calibri"/>
                <w:b/>
                <w:color w:val="FFFFFF"/>
                <w:sz w:val="17"/>
              </w:rPr>
              <w:t>Schema</w:t>
            </w:r>
          </w:p>
        </w:tc>
        <w:tc>
          <w:tcPr>
            <w:tcW w:type="dxa" w:w="2948"/>
            <w:shd w:val="clear" w:color="auto" w:fill="064475"/>
          </w:tcPr>
          <w:p>
            <w:pPr>
              <w:spacing w:after="40" w:before="40"/>
            </w:pPr>
            <w:r/>
            <w:r>
              <w:rPr>
                <w:rFonts w:ascii="Calibri" w:hAnsi="Calibri"/>
                <w:b/>
                <w:color w:val="FFFFFF"/>
                <w:sz w:val="17"/>
              </w:rPr>
              <w:t>Tabla</w:t>
            </w:r>
          </w:p>
        </w:tc>
        <w:tc>
          <w:tcPr>
            <w:tcW w:type="dxa" w:w="850"/>
            <w:shd w:val="clear" w:color="auto" w:fill="064475"/>
          </w:tcPr>
          <w:p>
            <w:pPr>
              <w:spacing w:after="40" w:before="40"/>
            </w:pPr>
            <w:r/>
            <w:r>
              <w:rPr>
                <w:rFonts w:ascii="Calibri" w:hAnsi="Calibri"/>
                <w:b/>
                <w:color w:val="FFFFFF"/>
                <w:sz w:val="17"/>
              </w:rPr>
              <w:t>Cols.</w:t>
            </w:r>
          </w:p>
        </w:tc>
        <w:tc>
          <w:tcPr>
            <w:tcW w:type="dxa" w:w="794"/>
            <w:shd w:val="clear" w:color="auto" w:fill="064475"/>
          </w:tcPr>
          <w:p>
            <w:pPr>
              <w:spacing w:after="40" w:before="40"/>
            </w:pPr>
            <w:r/>
            <w:r>
              <w:rPr>
                <w:rFonts w:ascii="Calibri" w:hAnsi="Calibri"/>
                <w:b/>
                <w:color w:val="FFFFFF"/>
                <w:sz w:val="17"/>
              </w:rPr>
              <w:t>Índ.</w:t>
            </w:r>
          </w:p>
        </w:tc>
        <w:tc>
          <w:tcPr>
            <w:tcW w:type="dxa" w:w="7143"/>
            <w:shd w:val="clear" w:color="auto" w:fill="064475"/>
          </w:tcPr>
          <w:p>
            <w:pPr>
              <w:spacing w:after="40" w:before="40"/>
            </w:pPr>
            <w:r/>
            <w:r>
              <w:rPr>
                <w:rFonts w:ascii="Calibri" w:hAnsi="Calibri"/>
                <w:b/>
                <w:color w:val="FFFFFF"/>
                <w:sz w:val="17"/>
              </w:rPr>
              <w:t>Para qué existe</w:t>
            </w:r>
          </w:p>
        </w:tc>
        <w:tc>
          <w:tcPr>
            <w:tcW w:type="dxa" w:w="1928"/>
            <w:shd w:val="clear" w:color="auto" w:fill="064475"/>
          </w:tcPr>
          <w:p>
            <w:pPr>
              <w:spacing w:after="40" w:before="40"/>
            </w:pPr>
            <w:r/>
            <w:r>
              <w:rPr>
                <w:rFonts w:ascii="Calibri" w:hAnsi="Calibri"/>
                <w:b/>
                <w:color w:val="FFFFFF"/>
                <w:sz w:val="17"/>
              </w:rPr>
              <w:t>Tráfico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`usuario`</w:t>
            </w:r>
          </w:p>
        </w:tc>
        <w:tc>
          <w:tcPr>
            <w:tcW w:type="dxa" w:w="850"/>
          </w:tcPr>
          <w:p>
            <w:pPr>
              <w:spacing w:after="40" w:before="40"/>
              <w:jc w:val="center"/>
            </w:pPr>
            <w:r/>
            <w:r>
              <w:rPr>
                <w:rFonts w:ascii="Calibri" w:hAnsi="Calibri"/>
                <w:b w:val="0"/>
                <w:sz w:val="17"/>
              </w:rPr>
              <w:t>9</w:t>
            </w:r>
          </w:p>
        </w:tc>
        <w:tc>
          <w:tcPr>
            <w:tcW w:type="dxa" w:w="794"/>
          </w:tcPr>
          <w:p>
            <w:pPr>
              <w:spacing w:after="40" w:before="40"/>
              <w:jc w:val="center"/>
            </w:pPr>
            <w:r/>
            <w:r>
              <w:rPr>
                <w:rFonts w:ascii="Calibri" w:hAnsi="Calibri"/>
                <w:b w:val="0"/>
                <w:sz w:val="17"/>
              </w:rPr>
              <w:t>2</w:t>
            </w:r>
          </w:p>
        </w:tc>
        <w:tc>
          <w:tcPr>
            <w:tcW w:type="dxa" w:w="7143"/>
          </w:tcPr>
          <w:p>
            <w:pPr>
              <w:spacing w:after="40" w:before="40"/>
            </w:pPr>
            <w:r/>
            <w:r>
              <w:rPr>
                <w:rFonts w:ascii="Calibri" w:hAnsi="Calibri"/>
                <w:b w:val="0"/>
                <w:sz w:val="17"/>
              </w:rPr>
              <w:t>Credenciales, estado y consentimiento. Raíz del schema.</w:t>
            </w:r>
          </w:p>
        </w:tc>
        <w:tc>
          <w:tcPr>
            <w:tcW w:type="dxa" w:w="1928"/>
            <w:shd w:val="clear" w:color="auto" w:fill="FCE5CD"/>
          </w:tcPr>
          <w:p>
            <w:pPr>
              <w:spacing w:after="40" w:before="40"/>
              <w:jc w:val="center"/>
            </w:pPr>
            <w:r/>
            <w:r>
              <w:rPr>
                <w:rFonts w:ascii="Calibri" w:hAnsi="Calibri"/>
                <w:b w:val="0"/>
                <w:sz w:val="17"/>
              </w:rPr>
              <w:t>MEDIO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`persona`</w:t>
            </w:r>
          </w:p>
        </w:tc>
        <w:tc>
          <w:tcPr>
            <w:tcW w:type="dxa" w:w="850"/>
          </w:tcPr>
          <w:p>
            <w:pPr>
              <w:spacing w:after="40" w:before="40"/>
              <w:jc w:val="center"/>
            </w:pPr>
            <w:r/>
            <w:r>
              <w:rPr>
                <w:rFonts w:ascii="Calibri" w:hAnsi="Calibri"/>
                <w:b w:val="0"/>
                <w:sz w:val="17"/>
              </w:rPr>
              <w:t>12</w:t>
            </w:r>
          </w:p>
        </w:tc>
        <w:tc>
          <w:tcPr>
            <w:tcW w:type="dxa" w:w="794"/>
          </w:tcPr>
          <w:p>
            <w:pPr>
              <w:spacing w:after="40" w:before="40"/>
              <w:jc w:val="center"/>
            </w:pPr>
            <w:r/>
            <w:r>
              <w:rPr>
                <w:rFonts w:ascii="Calibri" w:hAnsi="Calibri"/>
                <w:b w:val="0"/>
                <w:sz w:val="17"/>
              </w:rPr>
              <w:t>2</w:t>
            </w:r>
          </w:p>
        </w:tc>
        <w:tc>
          <w:tcPr>
            <w:tcW w:type="dxa" w:w="7143"/>
          </w:tcPr>
          <w:p>
            <w:pPr>
              <w:spacing w:after="40" w:before="40"/>
            </w:pPr>
            <w:r/>
            <w:r>
              <w:rPr>
                <w:rFonts w:ascii="Calibri" w:hAnsi="Calibri"/>
                <w:b w:val="0"/>
                <w:sz w:val="17"/>
              </w:rPr>
              <w:t>Datos personales verificados. Separada de `usuario` a propósito.</w:t>
            </w:r>
          </w:p>
        </w:tc>
        <w:tc>
          <w:tcPr>
            <w:tcW w:type="dxa" w:w="1928"/>
          </w:tcPr>
          <w:p>
            <w:pPr>
              <w:spacing w:after="40" w:before="40"/>
              <w:jc w:val="center"/>
            </w:pPr>
            <w:r/>
            <w:r>
              <w:rPr>
                <w:rFonts w:ascii="Calibri" w:hAnsi="Calibri"/>
                <w:b w:val="0"/>
                <w:sz w:val="17"/>
              </w:rPr>
              <w:t>BAJO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`solicitud_onboarding`</w:t>
            </w:r>
          </w:p>
        </w:tc>
        <w:tc>
          <w:tcPr>
            <w:tcW w:type="dxa" w:w="850"/>
          </w:tcPr>
          <w:p>
            <w:pPr>
              <w:spacing w:after="40" w:before="40"/>
              <w:jc w:val="center"/>
            </w:pPr>
            <w:r/>
            <w:r>
              <w:rPr>
                <w:rFonts w:ascii="Calibri" w:hAnsi="Calibri"/>
                <w:b w:val="0"/>
                <w:sz w:val="17"/>
              </w:rPr>
              <w:t>13</w:t>
            </w:r>
          </w:p>
        </w:tc>
        <w:tc>
          <w:tcPr>
            <w:tcW w:type="dxa" w:w="794"/>
          </w:tcPr>
          <w:p>
            <w:pPr>
              <w:spacing w:after="40" w:before="40"/>
              <w:jc w:val="center"/>
            </w:pPr>
            <w:r/>
            <w:r>
              <w:rPr>
                <w:rFonts w:ascii="Calibri" w:hAnsi="Calibri"/>
                <w:b w:val="0"/>
                <w:sz w:val="17"/>
              </w:rPr>
              <w:t>3</w:t>
            </w:r>
          </w:p>
        </w:tc>
        <w:tc>
          <w:tcPr>
            <w:tcW w:type="dxa" w:w="7143"/>
          </w:tcPr>
          <w:p>
            <w:pPr>
              <w:spacing w:after="40" w:before="40"/>
            </w:pPr>
            <w:r/>
            <w:r>
              <w:rPr>
                <w:rFonts w:ascii="Calibri" w:hAnsi="Calibri"/>
                <w:b w:val="0"/>
                <w:sz w:val="17"/>
              </w:rPr>
              <w:t>Expediente del alta: estado, paso actual y datos declarados.</w:t>
            </w:r>
          </w:p>
        </w:tc>
        <w:tc>
          <w:tcPr>
            <w:tcW w:type="dxa" w:w="1928"/>
            <w:shd w:val="clear" w:color="auto" w:fill="FCE5CD"/>
          </w:tcPr>
          <w:p>
            <w:pPr>
              <w:spacing w:after="40" w:before="40"/>
              <w:jc w:val="center"/>
            </w:pPr>
            <w:r/>
            <w:r>
              <w:rPr>
                <w:rFonts w:ascii="Calibri" w:hAnsi="Calibri"/>
                <w:b w:val="0"/>
                <w:sz w:val="17"/>
              </w:rPr>
              <w:t>MEDIO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`segundo_factor`</w:t>
            </w:r>
          </w:p>
        </w:tc>
        <w:tc>
          <w:tcPr>
            <w:tcW w:type="dxa" w:w="850"/>
          </w:tcPr>
          <w:p>
            <w:pPr>
              <w:spacing w:after="40" w:before="40"/>
              <w:jc w:val="center"/>
            </w:pPr>
            <w:r/>
            <w:r>
              <w:rPr>
                <w:rFonts w:ascii="Calibri" w:hAnsi="Calibri"/>
                <w:b w:val="0"/>
                <w:sz w:val="17"/>
              </w:rPr>
              <w:t>4</w:t>
            </w:r>
          </w:p>
        </w:tc>
        <w:tc>
          <w:tcPr>
            <w:tcW w:type="dxa" w:w="794"/>
          </w:tcPr>
          <w:p>
            <w:pPr>
              <w:spacing w:after="40" w:before="40"/>
              <w:jc w:val="center"/>
            </w:pPr>
            <w:r/>
            <w:r>
              <w:rPr>
                <w:rFonts w:ascii="Calibri" w:hAnsi="Calibri"/>
                <w:b w:val="0"/>
                <w:sz w:val="17"/>
              </w:rPr>
              <w:t>1</w:t>
            </w:r>
          </w:p>
        </w:tc>
        <w:tc>
          <w:tcPr>
            <w:tcW w:type="dxa" w:w="7143"/>
          </w:tcPr>
          <w:p>
            <w:pPr>
              <w:spacing w:after="40" w:before="40"/>
            </w:pPr>
            <w:r/>
            <w:r>
              <w:rPr>
                <w:rFonts w:ascii="Calibri" w:hAnsi="Calibri"/>
                <w:b w:val="0"/>
                <w:sz w:val="17"/>
              </w:rPr>
              <w:t>Secreto TOTP del usuario.</w:t>
            </w:r>
          </w:p>
        </w:tc>
        <w:tc>
          <w:tcPr>
            <w:tcW w:type="dxa" w:w="1928"/>
          </w:tcPr>
          <w:p>
            <w:pPr>
              <w:spacing w:after="40" w:before="40"/>
              <w:jc w:val="center"/>
            </w:pPr>
            <w:r/>
            <w:r>
              <w:rPr>
                <w:rFonts w:ascii="Calibri" w:hAnsi="Calibri"/>
                <w:b w:val="0"/>
                <w:sz w:val="17"/>
              </w:rPr>
              <w:t>BAJO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`desafio_segundo_factor`</w:t>
            </w:r>
          </w:p>
        </w:tc>
        <w:tc>
          <w:tcPr>
            <w:tcW w:type="dxa" w:w="850"/>
          </w:tcPr>
          <w:p>
            <w:pPr>
              <w:spacing w:after="40" w:before="40"/>
              <w:jc w:val="center"/>
            </w:pPr>
            <w:r/>
            <w:r>
              <w:rPr>
                <w:rFonts w:ascii="Calibri" w:hAnsi="Calibri"/>
                <w:b w:val="0"/>
                <w:sz w:val="17"/>
              </w:rPr>
              <w:t>5</w:t>
            </w:r>
          </w:p>
        </w:tc>
        <w:tc>
          <w:tcPr>
            <w:tcW w:type="dxa" w:w="794"/>
          </w:tcPr>
          <w:p>
            <w:pPr>
              <w:spacing w:after="40" w:before="40"/>
              <w:jc w:val="center"/>
            </w:pPr>
            <w:r/>
            <w:r>
              <w:rPr>
                <w:rFonts w:ascii="Calibri" w:hAnsi="Calibri"/>
                <w:b w:val="0"/>
                <w:sz w:val="17"/>
              </w:rPr>
              <w:t>2</w:t>
            </w:r>
          </w:p>
        </w:tc>
        <w:tc>
          <w:tcPr>
            <w:tcW w:type="dxa" w:w="7143"/>
          </w:tcPr>
          <w:p>
            <w:pPr>
              <w:spacing w:after="40" w:before="40"/>
            </w:pPr>
            <w:r/>
            <w:r>
              <w:rPr>
                <w:rFonts w:ascii="Calibri" w:hAnsi="Calibri"/>
                <w:b w:val="0"/>
                <w:sz w:val="17"/>
              </w:rPr>
              <w:t>Reto de segundo factor en curso. Caduca en minutos.</w:t>
            </w:r>
          </w:p>
        </w:tc>
        <w:tc>
          <w:tcPr>
            <w:tcW w:type="dxa" w:w="1928"/>
            <w:shd w:val="clear" w:color="auto" w:fill="FCE5CD"/>
          </w:tcPr>
          <w:p>
            <w:pPr>
              <w:spacing w:after="40" w:before="40"/>
              <w:jc w:val="center"/>
            </w:pPr>
            <w:r/>
            <w:r>
              <w:rPr>
                <w:rFonts w:ascii="Calibri" w:hAnsi="Calibri"/>
                <w:b w:val="0"/>
                <w:sz w:val="17"/>
              </w:rPr>
              <w:t>MEDIO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`control_de_acceso`</w:t>
            </w:r>
          </w:p>
        </w:tc>
        <w:tc>
          <w:tcPr>
            <w:tcW w:type="dxa" w:w="850"/>
          </w:tcPr>
          <w:p>
            <w:pPr>
              <w:spacing w:after="40" w:before="40"/>
              <w:jc w:val="center"/>
            </w:pPr>
            <w:r/>
            <w:r>
              <w:rPr>
                <w:rFonts w:ascii="Calibri" w:hAnsi="Calibri"/>
                <w:b w:val="0"/>
                <w:sz w:val="17"/>
              </w:rPr>
              <w:t>4</w:t>
            </w:r>
          </w:p>
        </w:tc>
        <w:tc>
          <w:tcPr>
            <w:tcW w:type="dxa" w:w="794"/>
          </w:tcPr>
          <w:p>
            <w:pPr>
              <w:spacing w:after="40" w:before="40"/>
              <w:jc w:val="center"/>
            </w:pPr>
            <w:r/>
            <w:r>
              <w:rPr>
                <w:rFonts w:ascii="Calibri" w:hAnsi="Calibri"/>
                <w:b w:val="0"/>
                <w:sz w:val="17"/>
              </w:rPr>
              <w:t>1</w:t>
            </w:r>
          </w:p>
        </w:tc>
        <w:tc>
          <w:tcPr>
            <w:tcW w:type="dxa" w:w="7143"/>
          </w:tcPr>
          <w:p>
            <w:pPr>
              <w:spacing w:after="40" w:before="40"/>
            </w:pPr>
            <w:r/>
            <w:r>
              <w:rPr>
                <w:rFonts w:ascii="Calibri" w:hAnsi="Calibri"/>
                <w:b w:val="0"/>
                <w:sz w:val="17"/>
              </w:rPr>
              <w:t>Fallos consecutivos y bloqueo temporal.</w:t>
            </w:r>
          </w:p>
        </w:tc>
        <w:tc>
          <w:tcPr>
            <w:tcW w:type="dxa" w:w="1928"/>
            <w:shd w:val="clear" w:color="auto" w:fill="FCE5CD"/>
          </w:tcPr>
          <w:p>
            <w:pPr>
              <w:spacing w:after="40" w:before="40"/>
              <w:jc w:val="center"/>
            </w:pPr>
            <w:r/>
            <w:r>
              <w:rPr>
                <w:rFonts w:ascii="Calibri" w:hAnsi="Calibri"/>
                <w:b w:val="0"/>
                <w:sz w:val="17"/>
              </w:rPr>
              <w:t>MEDIO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`refresh_token`</w:t>
            </w:r>
          </w:p>
        </w:tc>
        <w:tc>
          <w:tcPr>
            <w:tcW w:type="dxa" w:w="850"/>
          </w:tcPr>
          <w:p>
            <w:pPr>
              <w:spacing w:after="40" w:before="40"/>
              <w:jc w:val="center"/>
            </w:pPr>
            <w:r/>
            <w:r>
              <w:rPr>
                <w:rFonts w:ascii="Calibri" w:hAnsi="Calibri"/>
                <w:b w:val="0"/>
                <w:sz w:val="17"/>
              </w:rPr>
              <w:t>8</w:t>
            </w:r>
          </w:p>
        </w:tc>
        <w:tc>
          <w:tcPr>
            <w:tcW w:type="dxa" w:w="794"/>
          </w:tcPr>
          <w:p>
            <w:pPr>
              <w:spacing w:after="40" w:before="40"/>
              <w:jc w:val="center"/>
            </w:pPr>
            <w:r/>
            <w:r>
              <w:rPr>
                <w:rFonts w:ascii="Calibri" w:hAnsi="Calibri"/>
                <w:b w:val="0"/>
                <w:sz w:val="17"/>
              </w:rPr>
              <w:t>4</w:t>
            </w:r>
          </w:p>
        </w:tc>
        <w:tc>
          <w:tcPr>
            <w:tcW w:type="dxa" w:w="7143"/>
          </w:tcPr>
          <w:p>
            <w:pPr>
              <w:spacing w:after="40" w:before="40"/>
            </w:pPr>
            <w:r/>
            <w:r>
              <w:rPr>
                <w:rFonts w:ascii="Calibri" w:hAnsi="Calibri"/>
                <w:b w:val="0"/>
                <w:sz w:val="17"/>
              </w:rPr>
              <w:t>Sesiones rotativas por familia (ADR-0010).</w:t>
            </w:r>
          </w:p>
        </w:tc>
        <w:tc>
          <w:tcPr>
            <w:tcW w:type="dxa" w:w="1928"/>
            <w:shd w:val="clear" w:color="auto" w:fill="F4CCCC"/>
          </w:tcPr>
          <w:p>
            <w:pPr>
              <w:spacing w:after="40" w:before="40"/>
              <w:jc w:val="center"/>
            </w:pPr>
            <w:r/>
            <w:r>
              <w:rPr>
                <w:rFonts w:ascii="Calibri" w:hAnsi="Calibri"/>
                <w:b w:val="0"/>
                <w:sz w:val="17"/>
              </w:rPr>
              <w:t>ALTO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`evento_auditoria`</w:t>
            </w:r>
          </w:p>
        </w:tc>
        <w:tc>
          <w:tcPr>
            <w:tcW w:type="dxa" w:w="850"/>
          </w:tcPr>
          <w:p>
            <w:pPr>
              <w:spacing w:after="40" w:before="40"/>
              <w:jc w:val="center"/>
            </w:pPr>
            <w:r/>
            <w:r>
              <w:rPr>
                <w:rFonts w:ascii="Calibri" w:hAnsi="Calibri"/>
                <w:b w:val="0"/>
                <w:sz w:val="17"/>
              </w:rPr>
              <w:t>6</w:t>
            </w:r>
          </w:p>
        </w:tc>
        <w:tc>
          <w:tcPr>
            <w:tcW w:type="dxa" w:w="794"/>
          </w:tcPr>
          <w:p>
            <w:pPr>
              <w:spacing w:after="40" w:before="40"/>
              <w:jc w:val="center"/>
            </w:pPr>
            <w:r/>
            <w:r>
              <w:rPr>
                <w:rFonts w:ascii="Calibri" w:hAnsi="Calibri"/>
                <w:b w:val="0"/>
                <w:sz w:val="17"/>
              </w:rPr>
              <w:t>3</w:t>
            </w:r>
          </w:p>
        </w:tc>
        <w:tc>
          <w:tcPr>
            <w:tcW w:type="dxa" w:w="7143"/>
          </w:tcPr>
          <w:p>
            <w:pPr>
              <w:spacing w:after="40" w:before="40"/>
            </w:pPr>
            <w:r/>
            <w:r>
              <w:rPr>
                <w:rFonts w:ascii="Calibri" w:hAnsi="Calibri"/>
                <w:b w:val="0"/>
                <w:sz w:val="17"/>
              </w:rPr>
              <w:t>Pista de auditoría. Solo se inserta.</w:t>
            </w:r>
          </w:p>
        </w:tc>
        <w:tc>
          <w:tcPr>
            <w:tcW w:type="dxa" w:w="1928"/>
            <w:shd w:val="clear" w:color="auto" w:fill="F4CCCC"/>
          </w:tcPr>
          <w:p>
            <w:pPr>
              <w:spacing w:after="40" w:before="40"/>
              <w:jc w:val="center"/>
            </w:pPr>
            <w:r/>
            <w:r>
              <w:rPr>
                <w:rFonts w:ascii="Calibri" w:hAnsi="Calibri"/>
                <w:b w:val="0"/>
                <w:sz w:val="17"/>
              </w:rPr>
              <w:t>ALTO</w:t>
            </w:r>
          </w:p>
        </w:tc>
      </w:tr>
      <w:tr>
        <w:tc>
          <w:tcPr>
            <w:tcW w:type="dxa" w:w="1474"/>
          </w:tcPr>
          <w:p>
            <w:pPr>
              <w:spacing w:after="40" w:before="40"/>
              <w:jc w:val="center"/>
            </w:pPr>
            <w:r/>
            <w:r>
              <w:rPr>
                <w:rFonts w:ascii="Calibri" w:hAnsi="Calibri"/>
                <w:b w:val="0"/>
                <w:sz w:val="17"/>
              </w:rPr>
              <w:t>identity</w:t>
            </w:r>
          </w:p>
        </w:tc>
        <w:tc>
          <w:tcPr>
            <w:tcW w:type="dxa" w:w="2948"/>
          </w:tcPr>
          <w:p>
            <w:pPr>
              <w:spacing w:after="40" w:before="40"/>
            </w:pPr>
            <w:r/>
            <w:r>
              <w:rPr>
                <w:rFonts w:ascii="Calibri" w:hAnsi="Calibri"/>
                <w:b w:val="0"/>
                <w:sz w:val="17"/>
              </w:rPr>
              <w:t>`rol / permiso / rol_permiso`</w:t>
            </w:r>
          </w:p>
        </w:tc>
        <w:tc>
          <w:tcPr>
            <w:tcW w:type="dxa" w:w="850"/>
          </w:tcPr>
          <w:p>
            <w:pPr>
              <w:spacing w:after="40" w:before="40"/>
              <w:jc w:val="center"/>
            </w:pPr>
            <w:r/>
            <w:r>
              <w:rPr>
                <w:rFonts w:ascii="Calibri" w:hAnsi="Calibri"/>
                <w:b w:val="0"/>
                <w:sz w:val="17"/>
              </w:rPr>
              <w:t>5 / 3 / 2</w:t>
            </w:r>
          </w:p>
        </w:tc>
        <w:tc>
          <w:tcPr>
            <w:tcW w:type="dxa" w:w="794"/>
          </w:tcPr>
          <w:p>
            <w:pPr>
              <w:spacing w:after="40" w:before="40"/>
              <w:jc w:val="center"/>
            </w:pPr>
            <w:r/>
            <w:r>
              <w:rPr>
                <w:rFonts w:ascii="Calibri" w:hAnsi="Calibri"/>
                <w:b w:val="0"/>
                <w:sz w:val="17"/>
              </w:rPr>
              <w:t>6</w:t>
            </w:r>
          </w:p>
        </w:tc>
        <w:tc>
          <w:tcPr>
            <w:tcW w:type="dxa" w:w="7143"/>
          </w:tcPr>
          <w:p>
            <w:pPr>
              <w:spacing w:after="40" w:before="40"/>
            </w:pPr>
            <w:r/>
            <w:r>
              <w:rPr>
                <w:rFonts w:ascii="Calibri" w:hAnsi="Calibri"/>
                <w:b w:val="0"/>
                <w:sz w:val="17"/>
              </w:rPr>
              <w:t>Catálogo de autorización. Sin superadministrador.</w:t>
            </w:r>
          </w:p>
        </w:tc>
        <w:tc>
          <w:tcPr>
            <w:tcW w:type="dxa" w:w="1928"/>
          </w:tcPr>
          <w:p>
            <w:pPr>
              <w:spacing w:after="40" w:before="40"/>
              <w:jc w:val="center"/>
            </w:pPr>
            <w:r/>
            <w:r>
              <w:rPr>
                <w:rFonts w:ascii="Calibri" w:hAnsi="Calibri"/>
                <w:b w:val="0"/>
                <w:sz w:val="17"/>
              </w:rPr>
              <w:t>CATÁLOGO</w:t>
            </w:r>
          </w:p>
        </w:tc>
      </w:tr>
      <w:tr>
        <w:tc>
          <w:tcPr>
            <w:tcW w:type="dxa" w:w="1474"/>
          </w:tcPr>
          <w:p>
            <w:pPr>
              <w:spacing w:after="40" w:before="40"/>
              <w:jc w:val="center"/>
            </w:pPr>
            <w:r/>
            <w:r>
              <w:rPr>
                <w:rFonts w:ascii="Calibri" w:hAnsi="Calibri"/>
                <w:b w:val="0"/>
                <w:sz w:val="17"/>
              </w:rPr>
              <w:t>core</w:t>
            </w:r>
          </w:p>
        </w:tc>
        <w:tc>
          <w:tcPr>
            <w:tcW w:type="dxa" w:w="2948"/>
          </w:tcPr>
          <w:p>
            <w:pPr>
              <w:spacing w:after="40" w:before="40"/>
            </w:pPr>
            <w:r/>
            <w:r>
              <w:rPr>
                <w:rFonts w:ascii="Calibri" w:hAnsi="Calibri"/>
                <w:b w:val="0"/>
                <w:sz w:val="17"/>
              </w:rPr>
              <w:t>`cuenta`</w:t>
            </w:r>
          </w:p>
        </w:tc>
        <w:tc>
          <w:tcPr>
            <w:tcW w:type="dxa" w:w="850"/>
          </w:tcPr>
          <w:p>
            <w:pPr>
              <w:spacing w:after="40" w:before="40"/>
              <w:jc w:val="center"/>
            </w:pPr>
            <w:r/>
            <w:r>
              <w:rPr>
                <w:rFonts w:ascii="Calibri" w:hAnsi="Calibri"/>
                <w:b w:val="0"/>
                <w:sz w:val="17"/>
              </w:rPr>
              <w:t>9</w:t>
            </w:r>
          </w:p>
        </w:tc>
        <w:tc>
          <w:tcPr>
            <w:tcW w:type="dxa" w:w="794"/>
          </w:tcPr>
          <w:p>
            <w:pPr>
              <w:spacing w:after="40" w:before="40"/>
              <w:jc w:val="center"/>
            </w:pPr>
            <w:r/>
            <w:r>
              <w:rPr>
                <w:rFonts w:ascii="Calibri" w:hAnsi="Calibri"/>
                <w:b w:val="0"/>
                <w:sz w:val="17"/>
              </w:rPr>
              <w:t>4</w:t>
            </w:r>
          </w:p>
        </w:tc>
        <w:tc>
          <w:tcPr>
            <w:tcW w:type="dxa" w:w="7143"/>
          </w:tcPr>
          <w:p>
            <w:pPr>
              <w:spacing w:after="40" w:before="40"/>
            </w:pPr>
            <w:r/>
            <w:r>
              <w:rPr>
                <w:rFonts w:ascii="Calibri" w:hAnsi="Calibri"/>
                <w:b w:val="0"/>
                <w:sz w:val="17"/>
              </w:rPr>
              <w:t>Cuenta de ahorro con número y CCI.</w:t>
            </w:r>
          </w:p>
        </w:tc>
        <w:tc>
          <w:tcPr>
            <w:tcW w:type="dxa" w:w="1928"/>
            <w:shd w:val="clear" w:color="auto" w:fill="FCE5CD"/>
          </w:tcPr>
          <w:p>
            <w:pPr>
              <w:spacing w:after="40" w:before="40"/>
              <w:jc w:val="center"/>
            </w:pPr>
            <w:r/>
            <w:r>
              <w:rPr>
                <w:rFonts w:ascii="Calibri" w:hAnsi="Calibri"/>
                <w:b w:val="0"/>
                <w:sz w:val="17"/>
              </w:rPr>
              <w:t>MEDIO</w:t>
            </w:r>
          </w:p>
        </w:tc>
      </w:tr>
      <w:tr>
        <w:tc>
          <w:tcPr>
            <w:tcW w:type="dxa" w:w="1474"/>
          </w:tcPr>
          <w:p>
            <w:pPr>
              <w:spacing w:after="40" w:before="40"/>
              <w:jc w:val="center"/>
            </w:pPr>
            <w:r/>
            <w:r>
              <w:rPr>
                <w:rFonts w:ascii="Calibri" w:hAnsi="Calibri"/>
                <w:b w:val="0"/>
                <w:sz w:val="17"/>
              </w:rPr>
              <w:t>core</w:t>
            </w:r>
          </w:p>
        </w:tc>
        <w:tc>
          <w:tcPr>
            <w:tcW w:type="dxa" w:w="2948"/>
          </w:tcPr>
          <w:p>
            <w:pPr>
              <w:spacing w:after="40" w:before="40"/>
            </w:pPr>
            <w:r/>
            <w:r>
              <w:rPr>
                <w:rFonts w:ascii="Calibri" w:hAnsi="Calibri"/>
                <w:b w:val="0"/>
                <w:sz w:val="17"/>
              </w:rPr>
              <w:t>`asiento`</w:t>
            </w:r>
          </w:p>
        </w:tc>
        <w:tc>
          <w:tcPr>
            <w:tcW w:type="dxa" w:w="850"/>
          </w:tcPr>
          <w:p>
            <w:pPr>
              <w:spacing w:after="40" w:before="40"/>
              <w:jc w:val="center"/>
            </w:pPr>
            <w:r/>
            <w:r>
              <w:rPr>
                <w:rFonts w:ascii="Calibri" w:hAnsi="Calibri"/>
                <w:b w:val="0"/>
                <w:sz w:val="17"/>
              </w:rPr>
              <w:t>8</w:t>
            </w:r>
          </w:p>
        </w:tc>
        <w:tc>
          <w:tcPr>
            <w:tcW w:type="dxa" w:w="794"/>
          </w:tcPr>
          <w:p>
            <w:pPr>
              <w:spacing w:after="40" w:before="40"/>
              <w:jc w:val="center"/>
            </w:pPr>
            <w:r/>
            <w:r>
              <w:rPr>
                <w:rFonts w:ascii="Calibri" w:hAnsi="Calibri"/>
                <w:b w:val="0"/>
                <w:sz w:val="17"/>
              </w:rPr>
              <w:t>3</w:t>
            </w:r>
          </w:p>
        </w:tc>
        <w:tc>
          <w:tcPr>
            <w:tcW w:type="dxa" w:w="7143"/>
          </w:tcPr>
          <w:p>
            <w:pPr>
              <w:spacing w:after="40" w:before="40"/>
            </w:pPr>
            <w:r/>
            <w:r>
              <w:rPr>
                <w:rFonts w:ascii="Calibri" w:hAnsi="Calibri"/>
                <w:b/>
                <w:sz w:val="17"/>
              </w:rPr>
              <w:t>Libro mayor de partida doble. La tabla que domina la volumetría.</w:t>
            </w:r>
          </w:p>
        </w:tc>
        <w:tc>
          <w:tcPr>
            <w:tcW w:type="dxa" w:w="1928"/>
            <w:shd w:val="clear" w:color="auto" w:fill="F4CCCC"/>
          </w:tcPr>
          <w:p>
            <w:pPr>
              <w:spacing w:after="40" w:before="40"/>
              <w:jc w:val="center"/>
            </w:pPr>
            <w:r/>
            <w:r>
              <w:rPr>
                <w:rFonts w:ascii="Calibri" w:hAnsi="Calibri"/>
                <w:b w:val="0"/>
                <w:sz w:val="17"/>
              </w:rPr>
              <w:t>ALTO</w:t>
            </w:r>
          </w:p>
        </w:tc>
      </w:tr>
      <w:tr>
        <w:tc>
          <w:tcPr>
            <w:tcW w:type="dxa" w:w="1474"/>
          </w:tcPr>
          <w:p>
            <w:pPr>
              <w:spacing w:after="40" w:before="40"/>
              <w:jc w:val="center"/>
            </w:pPr>
            <w:r/>
            <w:r>
              <w:rPr>
                <w:rFonts w:ascii="Calibri" w:hAnsi="Calibri"/>
                <w:b w:val="0"/>
                <w:sz w:val="17"/>
              </w:rPr>
              <w:t>core</w:t>
            </w:r>
          </w:p>
        </w:tc>
        <w:tc>
          <w:tcPr>
            <w:tcW w:type="dxa" w:w="2948"/>
          </w:tcPr>
          <w:p>
            <w:pPr>
              <w:spacing w:after="40" w:before="40"/>
            </w:pPr>
            <w:r/>
            <w:r>
              <w:rPr>
                <w:rFonts w:ascii="Calibri" w:hAnsi="Calibri"/>
                <w:b w:val="0"/>
                <w:sz w:val="17"/>
              </w:rPr>
              <w:t>`operacion_idempotente`</w:t>
            </w:r>
          </w:p>
        </w:tc>
        <w:tc>
          <w:tcPr>
            <w:tcW w:type="dxa" w:w="850"/>
          </w:tcPr>
          <w:p>
            <w:pPr>
              <w:spacing w:after="40" w:before="40"/>
              <w:jc w:val="center"/>
            </w:pPr>
            <w:r/>
            <w:r>
              <w:rPr>
                <w:rFonts w:ascii="Calibri" w:hAnsi="Calibri"/>
                <w:b w:val="0"/>
                <w:sz w:val="17"/>
              </w:rPr>
              <w:t>3</w:t>
            </w:r>
          </w:p>
        </w:tc>
        <w:tc>
          <w:tcPr>
            <w:tcW w:type="dxa" w:w="794"/>
          </w:tcPr>
          <w:p>
            <w:pPr>
              <w:spacing w:after="40" w:before="40"/>
              <w:jc w:val="center"/>
            </w:pPr>
            <w:r/>
            <w:r>
              <w:rPr>
                <w:rFonts w:ascii="Calibri" w:hAnsi="Calibri"/>
                <w:b w:val="0"/>
                <w:sz w:val="17"/>
              </w:rPr>
              <w:t>1</w:t>
            </w:r>
          </w:p>
        </w:tc>
        <w:tc>
          <w:tcPr>
            <w:tcW w:type="dxa" w:w="7143"/>
          </w:tcPr>
          <w:p>
            <w:pPr>
              <w:spacing w:after="40" w:before="40"/>
            </w:pPr>
            <w:r/>
            <w:r>
              <w:rPr>
                <w:rFonts w:ascii="Calibri" w:hAnsi="Calibri"/>
                <w:b w:val="0"/>
                <w:sz w:val="17"/>
              </w:rPr>
              <w:t>Clave de idempotencia de cada operación monetaria.</w:t>
            </w:r>
          </w:p>
        </w:tc>
        <w:tc>
          <w:tcPr>
            <w:tcW w:type="dxa" w:w="1928"/>
            <w:shd w:val="clear" w:color="auto" w:fill="FCE5CD"/>
          </w:tcPr>
          <w:p>
            <w:pPr>
              <w:spacing w:after="40" w:before="40"/>
              <w:jc w:val="center"/>
            </w:pPr>
            <w:r/>
            <w:r>
              <w:rPr>
                <w:rFonts w:ascii="Calibri" w:hAnsi="Calibri"/>
                <w:b w:val="0"/>
                <w:sz w:val="17"/>
              </w:rPr>
              <w:t>MEDIO</w:t>
            </w:r>
          </w:p>
        </w:tc>
      </w:tr>
      <w:tr>
        <w:tc>
          <w:tcPr>
            <w:tcW w:type="dxa" w:w="1474"/>
          </w:tcPr>
          <w:p>
            <w:pPr>
              <w:spacing w:after="40" w:before="40"/>
              <w:jc w:val="center"/>
            </w:pPr>
            <w:r/>
            <w:r>
              <w:rPr>
                <w:rFonts w:ascii="Calibri" w:hAnsi="Calibri"/>
                <w:b w:val="0"/>
                <w:sz w:val="17"/>
              </w:rPr>
              <w:t>core</w:t>
            </w:r>
          </w:p>
        </w:tc>
        <w:tc>
          <w:tcPr>
            <w:tcW w:type="dxa" w:w="2948"/>
          </w:tcPr>
          <w:p>
            <w:pPr>
              <w:spacing w:after="40" w:before="40"/>
            </w:pPr>
            <w:r/>
            <w:r>
              <w:rPr>
                <w:rFonts w:ascii="Calibri" w:hAnsi="Calibri"/>
                <w:b w:val="0"/>
                <w:sz w:val="17"/>
              </w:rPr>
              <w:t>`outbox`</w:t>
            </w:r>
          </w:p>
        </w:tc>
        <w:tc>
          <w:tcPr>
            <w:tcW w:type="dxa" w:w="850"/>
          </w:tcPr>
          <w:p>
            <w:pPr>
              <w:spacing w:after="40" w:before="40"/>
              <w:jc w:val="center"/>
            </w:pPr>
            <w:r/>
            <w:r>
              <w:rPr>
                <w:rFonts w:ascii="Calibri" w:hAnsi="Calibri"/>
                <w:b w:val="0"/>
                <w:sz w:val="17"/>
              </w:rPr>
              <w:t>9</w:t>
            </w:r>
          </w:p>
        </w:tc>
        <w:tc>
          <w:tcPr>
            <w:tcW w:type="dxa" w:w="794"/>
          </w:tcPr>
          <w:p>
            <w:pPr>
              <w:spacing w:after="40" w:before="40"/>
              <w:jc w:val="center"/>
            </w:pPr>
            <w:r/>
            <w:r>
              <w:rPr>
                <w:rFonts w:ascii="Calibri" w:hAnsi="Calibri"/>
                <w:b w:val="0"/>
                <w:sz w:val="17"/>
              </w:rPr>
              <w:t>2</w:t>
            </w:r>
          </w:p>
        </w:tc>
        <w:tc>
          <w:tcPr>
            <w:tcW w:type="dxa" w:w="7143"/>
          </w:tcPr>
          <w:p>
            <w:pPr>
              <w:spacing w:after="40" w:before="40"/>
            </w:pPr>
            <w:r/>
            <w:r>
              <w:rPr>
                <w:rFonts w:ascii="Calibri" w:hAnsi="Calibri"/>
                <w:b w:val="0"/>
                <w:sz w:val="17"/>
              </w:rPr>
              <w:t>Transactional Outbox (ADR-0003). Se inserta, publica y purga.</w:t>
            </w:r>
          </w:p>
        </w:tc>
        <w:tc>
          <w:tcPr>
            <w:tcW w:type="dxa" w:w="1928"/>
            <w:shd w:val="clear" w:color="auto" w:fill="F4CCCC"/>
          </w:tcPr>
          <w:p>
            <w:pPr>
              <w:spacing w:after="40" w:before="40"/>
              <w:jc w:val="center"/>
            </w:pPr>
            <w:r/>
            <w:r>
              <w:rPr>
                <w:rFonts w:ascii="Calibri" w:hAnsi="Calibri"/>
                <w:b w:val="0"/>
                <w:sz w:val="17"/>
              </w:rPr>
              <w:t>ALTO</w:t>
            </w:r>
          </w:p>
        </w:tc>
      </w:tr>
      <w:tr>
        <w:tc>
          <w:tcPr>
            <w:tcW w:type="dxa" w:w="1474"/>
          </w:tcPr>
          <w:p>
            <w:pPr>
              <w:spacing w:after="40" w:before="40"/>
              <w:jc w:val="center"/>
            </w:pPr>
            <w:r/>
            <w:r>
              <w:rPr>
                <w:rFonts w:ascii="Calibri" w:hAnsi="Calibri"/>
                <w:b w:val="0"/>
                <w:sz w:val="17"/>
              </w:rPr>
              <w:t>core</w:t>
            </w:r>
          </w:p>
        </w:tc>
        <w:tc>
          <w:tcPr>
            <w:tcW w:type="dxa" w:w="2948"/>
          </w:tcPr>
          <w:p>
            <w:pPr>
              <w:spacing w:after="40" w:before="40"/>
            </w:pPr>
            <w:r/>
            <w:r>
              <w:rPr>
                <w:rFonts w:ascii="Calibri" w:hAnsi="Calibri"/>
                <w:b w:val="0"/>
                <w:sz w:val="17"/>
              </w:rPr>
              <w:t>`producto / tasa_producto`</w:t>
            </w:r>
          </w:p>
        </w:tc>
        <w:tc>
          <w:tcPr>
            <w:tcW w:type="dxa" w:w="850"/>
          </w:tcPr>
          <w:p>
            <w:pPr>
              <w:spacing w:after="40" w:before="40"/>
              <w:jc w:val="center"/>
            </w:pPr>
            <w:r/>
            <w:r>
              <w:rPr>
                <w:rFonts w:ascii="Calibri" w:hAnsi="Calibri"/>
                <w:b w:val="0"/>
                <w:sz w:val="17"/>
              </w:rPr>
              <w:t>7 / 7</w:t>
            </w:r>
          </w:p>
        </w:tc>
        <w:tc>
          <w:tcPr>
            <w:tcW w:type="dxa" w:w="794"/>
          </w:tcPr>
          <w:p>
            <w:pPr>
              <w:spacing w:after="40" w:before="40"/>
              <w:jc w:val="center"/>
            </w:pPr>
            <w:r/>
            <w:r>
              <w:rPr>
                <w:rFonts w:ascii="Calibri" w:hAnsi="Calibri"/>
                <w:b w:val="0"/>
                <w:sz w:val="17"/>
              </w:rPr>
              <w:t>4</w:t>
            </w:r>
          </w:p>
        </w:tc>
        <w:tc>
          <w:tcPr>
            <w:tcW w:type="dxa" w:w="7143"/>
          </w:tcPr>
          <w:p>
            <w:pPr>
              <w:spacing w:after="40" w:before="40"/>
            </w:pPr>
            <w:r/>
            <w:r>
              <w:rPr>
                <w:rFonts w:ascii="Calibri" w:hAnsi="Calibri"/>
                <w:b w:val="0"/>
                <w:sz w:val="17"/>
              </w:rPr>
              <w:t>Catálogo de productos y tasas con vigencia histórica.</w:t>
            </w:r>
          </w:p>
        </w:tc>
        <w:tc>
          <w:tcPr>
            <w:tcW w:type="dxa" w:w="1928"/>
          </w:tcPr>
          <w:p>
            <w:pPr>
              <w:spacing w:after="40" w:before="40"/>
              <w:jc w:val="center"/>
            </w:pPr>
            <w:r/>
            <w:r>
              <w:rPr>
                <w:rFonts w:ascii="Calibri" w:hAnsi="Calibri"/>
                <w:b w:val="0"/>
                <w:sz w:val="17"/>
              </w:rPr>
              <w:t>CATÁLOGO</w:t>
            </w:r>
          </w:p>
        </w:tc>
      </w:tr>
      <w:tr>
        <w:tc>
          <w:tcPr>
            <w:tcW w:type="dxa" w:w="1474"/>
          </w:tcPr>
          <w:p>
            <w:pPr>
              <w:spacing w:after="40" w:before="40"/>
              <w:jc w:val="center"/>
            </w:pPr>
            <w:r/>
            <w:r>
              <w:rPr>
                <w:rFonts w:ascii="Calibri" w:hAnsi="Calibri"/>
                <w:b w:val="0"/>
                <w:sz w:val="17"/>
              </w:rPr>
              <w:t>core</w:t>
            </w:r>
          </w:p>
        </w:tc>
        <w:tc>
          <w:tcPr>
            <w:tcW w:type="dxa" w:w="2948"/>
          </w:tcPr>
          <w:p>
            <w:pPr>
              <w:spacing w:after="40" w:before="40"/>
            </w:pPr>
            <w:r/>
            <w:r>
              <w:rPr>
                <w:rFonts w:ascii="Calibri" w:hAnsi="Calibri"/>
                <w:b w:val="0"/>
                <w:sz w:val="17"/>
              </w:rPr>
              <w:t>`tipo_cambio / segmento_cambiario`</w:t>
            </w:r>
          </w:p>
        </w:tc>
        <w:tc>
          <w:tcPr>
            <w:tcW w:type="dxa" w:w="850"/>
          </w:tcPr>
          <w:p>
            <w:pPr>
              <w:spacing w:after="40" w:before="40"/>
              <w:jc w:val="center"/>
            </w:pPr>
            <w:r/>
            <w:r>
              <w:rPr>
                <w:rFonts w:ascii="Calibri" w:hAnsi="Calibri"/>
                <w:b w:val="0"/>
                <w:sz w:val="17"/>
              </w:rPr>
              <w:t>8 / 5</w:t>
            </w:r>
          </w:p>
        </w:tc>
        <w:tc>
          <w:tcPr>
            <w:tcW w:type="dxa" w:w="794"/>
          </w:tcPr>
          <w:p>
            <w:pPr>
              <w:spacing w:after="40" w:before="40"/>
              <w:jc w:val="center"/>
            </w:pPr>
            <w:r/>
            <w:r>
              <w:rPr>
                <w:rFonts w:ascii="Calibri" w:hAnsi="Calibri"/>
                <w:b w:val="0"/>
                <w:sz w:val="17"/>
              </w:rPr>
              <w:t>4</w:t>
            </w:r>
          </w:p>
        </w:tc>
        <w:tc>
          <w:tcPr>
            <w:tcW w:type="dxa" w:w="7143"/>
          </w:tcPr>
          <w:p>
            <w:pPr>
              <w:spacing w:after="40" w:before="40"/>
            </w:pPr>
            <w:r/>
            <w:r>
              <w:rPr>
                <w:rFonts w:ascii="Calibri" w:hAnsi="Calibri"/>
                <w:b w:val="0"/>
                <w:sz w:val="17"/>
              </w:rPr>
              <w:t>Tipo de cambio diario y spread por segmento.</w:t>
            </w:r>
          </w:p>
        </w:tc>
        <w:tc>
          <w:tcPr>
            <w:tcW w:type="dxa" w:w="1928"/>
          </w:tcPr>
          <w:p>
            <w:pPr>
              <w:spacing w:after="40" w:before="40"/>
              <w:jc w:val="center"/>
            </w:pPr>
            <w:r/>
            <w:r>
              <w:rPr>
                <w:rFonts w:ascii="Calibri" w:hAnsi="Calibri"/>
                <w:b w:val="0"/>
                <w:sz w:val="17"/>
              </w:rPr>
              <w:t>BAJO</w:t>
            </w:r>
          </w:p>
        </w:tc>
      </w:tr>
      <w:tr>
        <w:tc>
          <w:tcPr>
            <w:tcW w:type="dxa" w:w="1474"/>
          </w:tcPr>
          <w:p>
            <w:pPr>
              <w:spacing w:after="40" w:before="40"/>
              <w:jc w:val="center"/>
            </w:pPr>
            <w:r/>
            <w:r>
              <w:rPr>
                <w:rFonts w:ascii="Calibri" w:hAnsi="Calibri"/>
                <w:b w:val="0"/>
                <w:sz w:val="17"/>
              </w:rPr>
              <w:t>notification</w:t>
            </w:r>
          </w:p>
        </w:tc>
        <w:tc>
          <w:tcPr>
            <w:tcW w:type="dxa" w:w="2948"/>
          </w:tcPr>
          <w:p>
            <w:pPr>
              <w:spacing w:after="40" w:before="40"/>
            </w:pPr>
            <w:r/>
            <w:r>
              <w:rPr>
                <w:rFonts w:ascii="Calibri" w:hAnsi="Calibri"/>
                <w:b w:val="0"/>
                <w:sz w:val="17"/>
              </w:rPr>
              <w:t>`plantilla`</w:t>
            </w:r>
          </w:p>
        </w:tc>
        <w:tc>
          <w:tcPr>
            <w:tcW w:type="dxa" w:w="850"/>
          </w:tcPr>
          <w:p>
            <w:pPr>
              <w:spacing w:after="40" w:before="40"/>
              <w:jc w:val="center"/>
            </w:pPr>
            <w:r/>
            <w:r>
              <w:rPr>
                <w:rFonts w:ascii="Calibri" w:hAnsi="Calibri"/>
                <w:b w:val="0"/>
                <w:sz w:val="17"/>
              </w:rPr>
              <w:t>8</w:t>
            </w:r>
          </w:p>
        </w:tc>
        <w:tc>
          <w:tcPr>
            <w:tcW w:type="dxa" w:w="794"/>
          </w:tcPr>
          <w:p>
            <w:pPr>
              <w:spacing w:after="40" w:before="40"/>
              <w:jc w:val="center"/>
            </w:pPr>
            <w:r/>
            <w:r>
              <w:rPr>
                <w:rFonts w:ascii="Calibri" w:hAnsi="Calibri"/>
                <w:b w:val="0"/>
                <w:sz w:val="17"/>
              </w:rPr>
              <w:t>2</w:t>
            </w:r>
          </w:p>
        </w:tc>
        <w:tc>
          <w:tcPr>
            <w:tcW w:type="dxa" w:w="7143"/>
          </w:tcPr>
          <w:p>
            <w:pPr>
              <w:spacing w:after="40" w:before="40"/>
            </w:pPr>
            <w:r/>
            <w:r>
              <w:rPr>
                <w:rFonts w:ascii="Calibri" w:hAnsi="Calibri"/>
                <w:b w:val="0"/>
                <w:sz w:val="17"/>
              </w:rPr>
              <w:t>Plantillas de correo, SMS y push.</w:t>
            </w:r>
          </w:p>
        </w:tc>
        <w:tc>
          <w:tcPr>
            <w:tcW w:type="dxa" w:w="1928"/>
          </w:tcPr>
          <w:p>
            <w:pPr>
              <w:spacing w:after="40" w:before="40"/>
              <w:jc w:val="center"/>
            </w:pPr>
            <w:r/>
            <w:r>
              <w:rPr>
                <w:rFonts w:ascii="Calibri" w:hAnsi="Calibri"/>
                <w:b w:val="0"/>
                <w:sz w:val="17"/>
              </w:rPr>
              <w:t>CATÁLOGO</w:t>
            </w:r>
          </w:p>
        </w:tc>
      </w:tr>
    </w:tbl>
    <w:p>
      <w:pPr>
        <w:spacing w:before="220" w:after="120"/>
      </w:pPr>
      <w:r>
        <w:rPr>
          <w:rFonts w:ascii="Calibri" w:hAnsi="Calibri"/>
          <w:b/>
          <w:color w:val="064475"/>
          <w:sz w:val="24"/>
        </w:rPr>
        <w:t>2.3  Claves primarias — y por qué UUID en unas y entero en otras</w:t>
      </w:r>
    </w:p>
    <w:p>
      <w:pPr>
        <w:spacing w:after="160"/>
        <w:jc w:val="both"/>
      </w:pPr>
      <w:r>
        <w:rPr>
          <w:rFonts w:ascii="Calibri" w:hAnsi="Calibri"/>
          <w:b w:val="0"/>
          <w:sz w:val="20"/>
        </w:rPr>
        <w:t>Las veinte tablas tienen clave primaria; ninguna quedó sin ella. Pero el tipo no es uniforme, y la diferencia responde a un criterio:</w:t>
      </w:r>
    </w:p>
    <w:tbl>
      <w:tblPr>
        <w:tblStyle w:val="TableGrid"/>
        <w:tblW w:type="auto" w:w="0"/>
        <w:tblLook w:firstColumn="1" w:firstRow="1" w:lastColumn="0" w:lastRow="0" w:noHBand="0" w:noVBand="1" w:val="04A0"/>
      </w:tblPr>
      <w:tblGrid>
        <w:gridCol w:w="5046"/>
        <w:gridCol w:w="5046"/>
        <w:gridCol w:w="5046"/>
      </w:tblGrid>
      <w:tr>
        <w:tc>
          <w:tcPr>
            <w:tcW w:type="dxa" w:w="2041"/>
            <w:shd w:val="clear" w:color="auto" w:fill="064475"/>
          </w:tcPr>
          <w:p>
            <w:pPr>
              <w:spacing w:after="40" w:before="40"/>
            </w:pPr>
            <w:r/>
            <w:r>
              <w:rPr>
                <w:rFonts w:ascii="Calibri" w:hAnsi="Calibri"/>
                <w:b/>
                <w:color w:val="FFFFFF"/>
                <w:sz w:val="17"/>
              </w:rPr>
              <w:t>Tipo de clave</w:t>
            </w:r>
          </w:p>
        </w:tc>
        <w:tc>
          <w:tcPr>
            <w:tcW w:type="dxa" w:w="4762"/>
            <w:shd w:val="clear" w:color="auto" w:fill="064475"/>
          </w:tcPr>
          <w:p>
            <w:pPr>
              <w:spacing w:after="40" w:before="40"/>
            </w:pPr>
            <w:r/>
            <w:r>
              <w:rPr>
                <w:rFonts w:ascii="Calibri" w:hAnsi="Calibri"/>
                <w:b/>
                <w:color w:val="FFFFFF"/>
                <w:sz w:val="17"/>
              </w:rPr>
              <w:t>Tablas</w:t>
            </w:r>
          </w:p>
        </w:tc>
        <w:tc>
          <w:tcPr>
            <w:tcW w:type="dxa" w:w="8334"/>
            <w:shd w:val="clear" w:color="auto" w:fill="064475"/>
          </w:tcPr>
          <w:p>
            <w:pPr>
              <w:spacing w:after="40" w:before="40"/>
            </w:pPr>
            <w:r/>
            <w:r>
              <w:rPr>
                <w:rFonts w:ascii="Calibri" w:hAnsi="Calibri"/>
                <w:b/>
                <w:color w:val="FFFFFF"/>
                <w:sz w:val="17"/>
              </w:rPr>
              <w:t>Motivo</w:t>
            </w:r>
          </w:p>
        </w:tc>
      </w:tr>
      <w:tr>
        <w:tc>
          <w:tcPr>
            <w:tcW w:type="dxa" w:w="2041"/>
          </w:tcPr>
          <w:p>
            <w:pPr>
              <w:spacing w:after="40" w:before="40"/>
            </w:pPr>
            <w:r/>
            <w:r>
              <w:rPr>
                <w:rFonts w:ascii="Calibri" w:hAnsi="Calibri"/>
                <w:b w:val="0"/>
                <w:sz w:val="17"/>
              </w:rPr>
              <w:t>`UUID`</w:t>
            </w:r>
          </w:p>
        </w:tc>
        <w:tc>
          <w:tcPr>
            <w:tcW w:type="dxa" w:w="4762"/>
          </w:tcPr>
          <w:p>
            <w:pPr>
              <w:spacing w:after="40" w:before="40"/>
            </w:pPr>
            <w:r/>
            <w:r>
              <w:rPr>
                <w:rFonts w:ascii="Calibri" w:hAnsi="Calibri"/>
                <w:b w:val="0"/>
                <w:sz w:val="17"/>
              </w:rPr>
              <w:t>`usuario`, `persona`, `cuenta`, `asiento`, `outbox`, `solicitud_onboarding`, `refresh_token`, `desafio_segundo_factor`, `operacion_idempotente`</w:t>
            </w:r>
          </w:p>
        </w:tc>
        <w:tc>
          <w:tcPr>
            <w:tcW w:type="dxa" w:w="8334"/>
          </w:tcPr>
          <w:p>
            <w:pPr>
              <w:spacing w:after="40" w:before="40"/>
            </w:pPr>
            <w:r/>
            <w:r>
              <w:rPr>
                <w:rFonts w:ascii="Calibri" w:hAnsi="Calibri"/>
                <w:b w:val="0"/>
                <w:sz w:val="17"/>
              </w:rPr>
              <w:t xml:space="preserve">Entidades de negocio. Un identificador </w:t>
            </w:r>
            <w:r>
              <w:rPr>
                <w:rFonts w:ascii="Calibri" w:hAnsi="Calibri"/>
                <w:b/>
                <w:sz w:val="17"/>
              </w:rPr>
              <w:t>no adivinable y no correlativo</w:t>
            </w:r>
            <w:r>
              <w:rPr>
                <w:rFonts w:ascii="Calibri" w:hAnsi="Calibri"/>
                <w:b w:val="0"/>
                <w:sz w:val="17"/>
              </w:rPr>
              <w:t xml:space="preserve">: un entero secuencial en `cuenta` filtraría cuántos clientes tiene el banco y permitiría enumerar cuentas ajenas. Además el servicio puede generar el identificador </w:t>
            </w:r>
            <w:r>
              <w:rPr>
                <w:rFonts w:ascii="Calibri" w:hAnsi="Calibri"/>
                <w:b/>
                <w:sz w:val="17"/>
              </w:rPr>
              <w:t>antes</w:t>
            </w:r>
            <w:r>
              <w:rPr>
                <w:rFonts w:ascii="Calibri" w:hAnsi="Calibri"/>
                <w:b w:val="0"/>
                <w:sz w:val="17"/>
              </w:rPr>
              <w:t xml:space="preserve"> de escribir, lo que hace posible la idempotencia sin ida y vuelta a la base.</w:t>
            </w:r>
          </w:p>
        </w:tc>
      </w:tr>
      <w:tr>
        <w:tc>
          <w:tcPr>
            <w:tcW w:type="dxa" w:w="2041"/>
          </w:tcPr>
          <w:p>
            <w:pPr>
              <w:spacing w:after="40" w:before="40"/>
            </w:pPr>
            <w:r/>
            <w:r>
              <w:rPr>
                <w:rFonts w:ascii="Calibri" w:hAnsi="Calibri"/>
                <w:b w:val="0"/>
                <w:sz w:val="17"/>
              </w:rPr>
              <w:t>`SMALLINT`</w:t>
            </w:r>
          </w:p>
        </w:tc>
        <w:tc>
          <w:tcPr>
            <w:tcW w:type="dxa" w:w="4762"/>
          </w:tcPr>
          <w:p>
            <w:pPr>
              <w:spacing w:after="40" w:before="40"/>
            </w:pPr>
            <w:r/>
            <w:r>
              <w:rPr>
                <w:rFonts w:ascii="Calibri" w:hAnsi="Calibri"/>
                <w:b w:val="0"/>
                <w:sz w:val="17"/>
              </w:rPr>
              <w:t>`producto`, `rol`, `permiso`, `plantilla`, `segmento_cambiario`</w:t>
            </w:r>
          </w:p>
        </w:tc>
        <w:tc>
          <w:tcPr>
            <w:tcW w:type="dxa" w:w="8334"/>
          </w:tcPr>
          <w:p>
            <w:pPr>
              <w:spacing w:after="40" w:before="40"/>
            </w:pPr>
            <w:r/>
            <w:r>
              <w:rPr>
                <w:rFonts w:ascii="Calibri" w:hAnsi="Calibri"/>
                <w:b w:val="0"/>
                <w:sz w:val="17"/>
              </w:rPr>
              <w:t>Catálogos de decenas de filas con códigos estables. Un UUID de 16 bytes aquí solo engorda los índices de las tablas que los referencian.</w:t>
            </w:r>
          </w:p>
        </w:tc>
      </w:tr>
      <w:tr>
        <w:tc>
          <w:tcPr>
            <w:tcW w:type="dxa" w:w="2041"/>
          </w:tcPr>
          <w:p>
            <w:pPr>
              <w:spacing w:after="40" w:before="40"/>
            </w:pPr>
            <w:r/>
            <w:r>
              <w:rPr>
                <w:rFonts w:ascii="Calibri" w:hAnsi="Calibri"/>
                <w:b w:val="0"/>
                <w:sz w:val="17"/>
              </w:rPr>
              <w:t>`BIGINT` identidad</w:t>
            </w:r>
          </w:p>
        </w:tc>
        <w:tc>
          <w:tcPr>
            <w:tcW w:type="dxa" w:w="4762"/>
          </w:tcPr>
          <w:p>
            <w:pPr>
              <w:spacing w:after="40" w:before="40"/>
            </w:pPr>
            <w:r/>
            <w:r>
              <w:rPr>
                <w:rFonts w:ascii="Calibri" w:hAnsi="Calibri"/>
                <w:b w:val="0"/>
                <w:sz w:val="17"/>
              </w:rPr>
              <w:t>`evento_auditoria`, `tasa_producto`, `tipo_cambio`</w:t>
            </w:r>
          </w:p>
        </w:tc>
        <w:tc>
          <w:tcPr>
            <w:tcW w:type="dxa" w:w="8334"/>
          </w:tcPr>
          <w:p>
            <w:pPr>
              <w:spacing w:after="40" w:before="40"/>
            </w:pPr>
            <w:r/>
            <w:r>
              <w:rPr>
                <w:rFonts w:ascii="Calibri" w:hAnsi="Calibri"/>
                <w:b w:val="0"/>
                <w:sz w:val="17"/>
              </w:rPr>
              <w:t xml:space="preserve">Series temporales que solo crecen. El orden de inserción </w:t>
            </w:r>
            <w:r>
              <w:rPr>
                <w:rFonts w:ascii="Calibri" w:hAnsi="Calibri"/>
                <w:b/>
                <w:sz w:val="17"/>
              </w:rPr>
              <w:t>es</w:t>
            </w:r>
            <w:r>
              <w:rPr>
                <w:rFonts w:ascii="Calibri" w:hAnsi="Calibri"/>
                <w:b w:val="0"/>
                <w:sz w:val="17"/>
              </w:rPr>
              <w:t xml:space="preserve"> información útil, y un entero secuencial es el que menos fragmenta el índice al insertar siempre por el extremo.</w:t>
            </w:r>
          </w:p>
        </w:tc>
      </w:tr>
      <w:tr>
        <w:tc>
          <w:tcPr>
            <w:tcW w:type="dxa" w:w="2041"/>
          </w:tcPr>
          <w:p>
            <w:pPr>
              <w:spacing w:after="40" w:before="40"/>
            </w:pPr>
            <w:r/>
            <w:r>
              <w:rPr>
                <w:rFonts w:ascii="Calibri" w:hAnsi="Calibri"/>
                <w:b w:val="0"/>
                <w:sz w:val="17"/>
              </w:rPr>
              <w:t>Clave compuesta</w:t>
            </w:r>
          </w:p>
        </w:tc>
        <w:tc>
          <w:tcPr>
            <w:tcW w:type="dxa" w:w="4762"/>
          </w:tcPr>
          <w:p>
            <w:pPr>
              <w:spacing w:after="40" w:before="40"/>
            </w:pPr>
            <w:r/>
            <w:r>
              <w:rPr>
                <w:rFonts w:ascii="Calibri" w:hAnsi="Calibri"/>
                <w:b w:val="0"/>
                <w:sz w:val="17"/>
              </w:rPr>
              <w:t>`rol_permiso` (`rol_id`, `permiso_id`)</w:t>
            </w:r>
          </w:p>
        </w:tc>
        <w:tc>
          <w:tcPr>
            <w:tcW w:type="dxa" w:w="8334"/>
          </w:tcPr>
          <w:p>
            <w:pPr>
              <w:spacing w:after="40" w:before="40"/>
            </w:pPr>
            <w:r/>
            <w:r>
              <w:rPr>
                <w:rFonts w:ascii="Calibri" w:hAnsi="Calibri"/>
                <w:b w:val="0"/>
                <w:sz w:val="17"/>
              </w:rPr>
              <w:t xml:space="preserve">Tabla puente. La pareja </w:t>
            </w:r>
            <w:r>
              <w:rPr>
                <w:rFonts w:ascii="Calibri" w:hAnsi="Calibri"/>
                <w:b/>
                <w:sz w:val="17"/>
              </w:rPr>
              <w:t>es</w:t>
            </w:r>
            <w:r>
              <w:rPr>
                <w:rFonts w:ascii="Calibri" w:hAnsi="Calibri"/>
                <w:b w:val="0"/>
                <w:sz w:val="17"/>
              </w:rPr>
              <w:t xml:space="preserve"> la identidad; añadir un subrogado permitiría duplicar la relación.</w:t>
            </w:r>
          </w:p>
        </w:tc>
      </w:tr>
      <w:tr>
        <w:tc>
          <w:tcPr>
            <w:tcW w:type="dxa" w:w="2041"/>
          </w:tcPr>
          <w:p>
            <w:pPr>
              <w:spacing w:after="40" w:before="40"/>
            </w:pPr>
            <w:r/>
            <w:r>
              <w:rPr>
                <w:rFonts w:ascii="Calibri" w:hAnsi="Calibri"/>
                <w:b w:val="0"/>
                <w:sz w:val="17"/>
              </w:rPr>
              <w:t>Clave natural</w:t>
            </w:r>
          </w:p>
        </w:tc>
        <w:tc>
          <w:tcPr>
            <w:tcW w:type="dxa" w:w="4762"/>
          </w:tcPr>
          <w:p>
            <w:pPr>
              <w:spacing w:after="40" w:before="40"/>
            </w:pPr>
            <w:r/>
            <w:r>
              <w:rPr>
                <w:rFonts w:ascii="Calibri" w:hAnsi="Calibri"/>
                <w:b w:val="0"/>
                <w:sz w:val="17"/>
              </w:rPr>
              <w:t>`segundo_factor` y `control_de_acceso` (`usuario_id`)</w:t>
            </w:r>
          </w:p>
        </w:tc>
        <w:tc>
          <w:tcPr>
            <w:tcW w:type="dxa" w:w="8334"/>
          </w:tcPr>
          <w:p>
            <w:pPr>
              <w:spacing w:after="40" w:before="40"/>
            </w:pPr>
            <w:r/>
            <w:r>
              <w:rPr>
                <w:rFonts w:ascii="Calibri" w:hAnsi="Calibri"/>
                <w:b w:val="0"/>
                <w:sz w:val="17"/>
              </w:rPr>
              <w:t xml:space="preserve">Relación uno a uno con `usuario`. La clave ajena </w:t>
            </w:r>
            <w:r>
              <w:rPr>
                <w:rFonts w:ascii="Calibri" w:hAnsi="Calibri"/>
                <w:b/>
                <w:sz w:val="17"/>
              </w:rPr>
              <w:t>es</w:t>
            </w:r>
            <w:r>
              <w:rPr>
                <w:rFonts w:ascii="Calibri" w:hAnsi="Calibri"/>
                <w:b w:val="0"/>
                <w:sz w:val="17"/>
              </w:rPr>
              <w:t xml:space="preserve"> la primaria, y así el motor impide por construcción que un usuario tenga dos filas.</w:t>
            </w:r>
          </w:p>
        </w:tc>
      </w:tr>
    </w:tbl>
    <w:p>
      <w:pPr>
        <w:spacing w:before="220" w:after="120"/>
      </w:pPr>
      <w:r>
        <w:rPr>
          <w:rFonts w:ascii="Calibri" w:hAnsi="Calibri"/>
          <w:b/>
          <w:color w:val="064475"/>
          <w:sz w:val="24"/>
        </w:rPr>
        <w:t>2.4  Integridad referencial — doce claves foráneas, ninguna cruza un schema</w:t>
      </w:r>
    </w:p>
    <w:p>
      <w:pPr>
        <w:spacing w:after="160"/>
        <w:jc w:val="both"/>
      </w:pPr>
      <w:r>
        <w:rPr>
          <w:rFonts w:ascii="Calibri" w:hAnsi="Calibri"/>
          <w:b w:val="0"/>
          <w:sz w:val="20"/>
        </w:rPr>
        <w:t xml:space="preserve">Este es el punto donde el modelo se aparta de lo que un diseño de libro de texto haría, así que conviene justificarlo. `core.cuenta` guarda un `usuario_id`, pero </w:t>
      </w:r>
      <w:r>
        <w:rPr>
          <w:rFonts w:ascii="Calibri" w:hAnsi="Calibri"/>
          <w:b/>
          <w:sz w:val="20"/>
        </w:rPr>
        <w:t>no</w:t>
      </w:r>
      <w:r>
        <w:rPr>
          <w:rFonts w:ascii="Calibri" w:hAnsi="Calibri"/>
          <w:b w:val="0"/>
          <w:sz w:val="20"/>
        </w:rPr>
        <w:t xml:space="preserve"> lo referencia contra `identity.usuario`. Un revisor diría que falta una clave foránea. No falta: se quitó a conciencia (ADR-0004).</w:t>
      </w:r>
    </w:p>
    <w:tbl>
      <w:tblPr>
        <w:tblStyle w:val="TableGrid"/>
        <w:tblW w:type="auto" w:w="0"/>
        <w:tblLook w:firstColumn="1" w:firstRow="1" w:lastColumn="0" w:lastRow="0" w:noHBand="0" w:noVBand="1" w:val="04A0"/>
      </w:tblPr>
      <w:tblGrid>
        <w:gridCol w:w="5046"/>
        <w:gridCol w:w="5046"/>
        <w:gridCol w:w="5046"/>
      </w:tblGrid>
      <w:tr>
        <w:tc>
          <w:tcPr>
            <w:tcW w:type="dxa" w:w="2608"/>
            <w:shd w:val="clear" w:color="auto" w:fill="064475"/>
          </w:tcPr>
          <w:p>
            <w:pPr>
              <w:spacing w:after="40" w:before="40"/>
            </w:pPr>
            <w:r/>
            <w:r>
              <w:rPr>
                <w:rFonts w:ascii="Calibri" w:hAnsi="Calibri"/>
                <w:b/>
                <w:color w:val="FFFFFF"/>
                <w:sz w:val="17"/>
              </w:rPr>
              <w:t>Acción al borrar</w:t>
            </w:r>
          </w:p>
        </w:tc>
        <w:tc>
          <w:tcPr>
            <w:tcW w:type="dxa" w:w="4535"/>
            <w:shd w:val="clear" w:color="auto" w:fill="064475"/>
          </w:tcPr>
          <w:p>
            <w:pPr>
              <w:spacing w:after="40" w:before="40"/>
            </w:pPr>
            <w:r/>
            <w:r>
              <w:rPr>
                <w:rFonts w:ascii="Calibri" w:hAnsi="Calibri"/>
                <w:b/>
                <w:color w:val="FFFFFF"/>
                <w:sz w:val="17"/>
              </w:rPr>
              <w:t>Claves</w:t>
            </w:r>
          </w:p>
        </w:tc>
        <w:tc>
          <w:tcPr>
            <w:tcW w:type="dxa" w:w="7994"/>
            <w:shd w:val="clear" w:color="auto" w:fill="064475"/>
          </w:tcPr>
          <w:p>
            <w:pPr>
              <w:spacing w:after="40" w:before="40"/>
            </w:pPr>
            <w:r/>
            <w:r>
              <w:rPr>
                <w:rFonts w:ascii="Calibri" w:hAnsi="Calibri"/>
                <w:b/>
                <w:color w:val="FFFFFF"/>
                <w:sz w:val="17"/>
              </w:rPr>
              <w:t>Cuándo se usa y por qué</w:t>
            </w:r>
          </w:p>
        </w:tc>
      </w:tr>
      <w:tr>
        <w:tc>
          <w:tcPr>
            <w:tcW w:type="dxa" w:w="2608"/>
          </w:tcPr>
          <w:p>
            <w:pPr>
              <w:spacing w:after="40" w:before="40"/>
            </w:pPr>
            <w:r/>
            <w:r>
              <w:rPr>
                <w:rFonts w:ascii="Calibri" w:hAnsi="Calibri"/>
                <w:b w:val="0"/>
                <w:sz w:val="17"/>
              </w:rPr>
              <w:t>`ON DELETE CASCADE`</w:t>
            </w:r>
          </w:p>
        </w:tc>
        <w:tc>
          <w:tcPr>
            <w:tcW w:type="dxa" w:w="4535"/>
          </w:tcPr>
          <w:p>
            <w:pPr>
              <w:spacing w:after="40" w:before="40"/>
            </w:pPr>
            <w:r/>
            <w:r>
              <w:rPr>
                <w:rFonts w:ascii="Calibri" w:hAnsi="Calibri"/>
                <w:b w:val="0"/>
                <w:sz w:val="17"/>
              </w:rPr>
              <w:t>8 claves: `persona`, `solicitud_onboarding`, `segundo_factor`, `control_de_acceso`, `desafio_segundo_factor`, `refresh_token` y las dos de `rol_permiso`</w:t>
            </w:r>
          </w:p>
        </w:tc>
        <w:tc>
          <w:tcPr>
            <w:tcW w:type="dxa" w:w="7994"/>
          </w:tcPr>
          <w:p>
            <w:pPr>
              <w:spacing w:after="40" w:before="40"/>
            </w:pPr>
            <w:r/>
            <w:r>
              <w:rPr>
                <w:rFonts w:ascii="Calibri" w:hAnsi="Calibri"/>
                <w:b w:val="0"/>
                <w:sz w:val="17"/>
              </w:rPr>
              <w:t xml:space="preserve">Datos que </w:t>
            </w:r>
            <w:r>
              <w:rPr>
                <w:rFonts w:ascii="Calibri" w:hAnsi="Calibri"/>
                <w:b/>
                <w:sz w:val="17"/>
              </w:rPr>
              <w:t>no tienen vida propia</w:t>
            </w:r>
            <w:r>
              <w:rPr>
                <w:rFonts w:ascii="Calibri" w:hAnsi="Calibri"/>
                <w:b w:val="0"/>
                <w:sz w:val="17"/>
              </w:rPr>
              <w:t xml:space="preserve"> sin su usuario. Si el usuario desaparece por ejercicio del derecho de supresión, su secreto TOTP y sus sesiones deben irse con él. Dejarlos huérfanos sería una fuga de datos personales.</w:t>
            </w:r>
          </w:p>
        </w:tc>
      </w:tr>
      <w:tr>
        <w:tc>
          <w:tcPr>
            <w:tcW w:type="dxa" w:w="2608"/>
          </w:tcPr>
          <w:p>
            <w:pPr>
              <w:spacing w:after="40" w:before="40"/>
            </w:pPr>
            <w:r/>
            <w:r>
              <w:rPr>
                <w:rFonts w:ascii="Calibri" w:hAnsi="Calibri"/>
                <w:b w:val="0"/>
                <w:sz w:val="17"/>
              </w:rPr>
              <w:t>`ON DELETE SET NULL`</w:t>
            </w:r>
          </w:p>
        </w:tc>
        <w:tc>
          <w:tcPr>
            <w:tcW w:type="dxa" w:w="4535"/>
          </w:tcPr>
          <w:p>
            <w:pPr>
              <w:spacing w:after="40" w:before="40"/>
            </w:pPr>
            <w:r/>
            <w:r>
              <w:rPr>
                <w:rFonts w:ascii="Calibri" w:hAnsi="Calibri"/>
                <w:b w:val="0"/>
                <w:sz w:val="17"/>
              </w:rPr>
              <w:t>1 clave: `evento_auditoria`</w:t>
            </w:r>
          </w:p>
        </w:tc>
        <w:tc>
          <w:tcPr>
            <w:tcW w:type="dxa" w:w="7994"/>
          </w:tcPr>
          <w:p>
            <w:pPr>
              <w:spacing w:after="40" w:before="40"/>
            </w:pPr>
            <w:r/>
            <w:r>
              <w:rPr>
                <w:rFonts w:ascii="Calibri" w:hAnsi="Calibri"/>
                <w:b/>
                <w:sz w:val="17"/>
              </w:rPr>
              <w:t>La excepción deliberada.</w:t>
            </w:r>
            <w:r>
              <w:rPr>
                <w:rFonts w:ascii="Calibri" w:hAnsi="Calibri"/>
                <w:b w:val="0"/>
                <w:sz w:val="17"/>
              </w:rPr>
              <w:t xml:space="preserve"> La pista de auditoría no se borra cuando se borra al usuario: se anonimiza. Que alguien intentara entrar mil veces sigue siendo un hecho que el banco debe poder demostrar aunque la cuenta ya no exista.</w:t>
            </w:r>
          </w:p>
        </w:tc>
      </w:tr>
      <w:tr>
        <w:tc>
          <w:tcPr>
            <w:tcW w:type="dxa" w:w="2608"/>
          </w:tcPr>
          <w:p>
            <w:pPr>
              <w:spacing w:after="40" w:before="40"/>
            </w:pPr>
            <w:r/>
            <w:r>
              <w:rPr>
                <w:rFonts w:ascii="Calibri" w:hAnsi="Calibri"/>
                <w:b w:val="0"/>
                <w:sz w:val="17"/>
              </w:rPr>
              <w:t>`RESTRICT` (por omisión)</w:t>
            </w:r>
          </w:p>
        </w:tc>
        <w:tc>
          <w:tcPr>
            <w:tcW w:type="dxa" w:w="4535"/>
          </w:tcPr>
          <w:p>
            <w:pPr>
              <w:spacing w:after="40" w:before="40"/>
            </w:pPr>
            <w:r/>
            <w:r>
              <w:rPr>
                <w:rFonts w:ascii="Calibri" w:hAnsi="Calibri"/>
                <w:b w:val="0"/>
                <w:sz w:val="17"/>
              </w:rPr>
              <w:t>3 claves: `asiento`→`cuenta`, `cuenta`→`producto`, `tasa_producto`→`producto`</w:t>
            </w:r>
          </w:p>
        </w:tc>
        <w:tc>
          <w:tcPr>
            <w:tcW w:type="dxa" w:w="7994"/>
          </w:tcPr>
          <w:p>
            <w:pPr>
              <w:spacing w:after="40" w:before="40"/>
            </w:pPr>
            <w:r/>
            <w:r>
              <w:rPr>
                <w:rFonts w:ascii="Calibri" w:hAnsi="Calibri"/>
                <w:b/>
                <w:sz w:val="17"/>
              </w:rPr>
              <w:t>Dinero.</w:t>
            </w:r>
            <w:r>
              <w:rPr>
                <w:rFonts w:ascii="Calibri" w:hAnsi="Calibri"/>
                <w:b w:val="0"/>
                <w:sz w:val="17"/>
              </w:rPr>
              <w:t xml:space="preserve"> Que una cuenta con asientos no se pueda borrar no es una limitación: es el comportamiento correcto. Un libro mayor al que se le pueden arrancar hojas no es un libro mayor.</w:t>
            </w:r>
          </w:p>
        </w:tc>
      </w:tr>
      <w:tr>
        <w:tc>
          <w:tcPr>
            <w:tcW w:type="dxa" w:w="2608"/>
          </w:tcPr>
          <w:p>
            <w:pPr>
              <w:spacing w:after="40" w:before="40"/>
            </w:pPr>
            <w:r/>
            <w:r>
              <w:rPr>
                <w:rFonts w:ascii="Calibri" w:hAnsi="Calibri"/>
                <w:b w:val="0"/>
                <w:sz w:val="17"/>
              </w:rPr>
              <w:t>Sin clave foránea, a propósito</w:t>
            </w:r>
          </w:p>
        </w:tc>
        <w:tc>
          <w:tcPr>
            <w:tcW w:type="dxa" w:w="4535"/>
          </w:tcPr>
          <w:p>
            <w:pPr>
              <w:spacing w:after="40" w:before="40"/>
            </w:pPr>
            <w:r/>
            <w:r>
              <w:rPr>
                <w:rFonts w:ascii="Calibri" w:hAnsi="Calibri"/>
                <w:b w:val="0"/>
                <w:sz w:val="17"/>
              </w:rPr>
              <w:t>`core.cuenta.usuario_id` y `notification.*`</w:t>
            </w:r>
          </w:p>
        </w:tc>
        <w:tc>
          <w:tcPr>
            <w:tcW w:type="dxa" w:w="7994"/>
          </w:tcPr>
          <w:p>
            <w:pPr>
              <w:spacing w:after="40" w:before="40"/>
            </w:pPr>
            <w:r/>
            <w:r>
              <w:rPr>
                <w:rFonts w:ascii="Calibri" w:hAnsi="Calibri"/>
                <w:b w:val="0"/>
                <w:sz w:val="17"/>
              </w:rPr>
              <w:t>Cruzar el schema con una clave foránea ataría los despliegues de dos servicios y haría imposible separarlos de base de datos el día que el volumen lo exija. La coherencia la sostiene el evento, no el motor: ver ADR-0004 y el patrón Outbox del ADR-0003.</w:t>
            </w:r>
          </w:p>
        </w:tc>
      </w:tr>
    </w:tbl>
    <w:p>
      <w:pPr>
        <w:spacing w:before="220" w:after="120"/>
      </w:pPr>
      <w:r>
        <w:rPr>
          <w:rFonts w:ascii="Calibri" w:hAnsi="Calibri"/>
          <w:b/>
          <w:color w:val="064475"/>
          <w:sz w:val="24"/>
        </w:rPr>
        <w:t>2.5  Restricciones de dominio — la calidad del dato empieza en la tabla</w:t>
      </w:r>
    </w:p>
    <w:p>
      <w:pPr>
        <w:spacing w:after="160"/>
        <w:jc w:val="both"/>
      </w:pPr>
      <w:r>
        <w:rPr>
          <w:rFonts w:ascii="Calibri" w:hAnsi="Calibri"/>
          <w:b w:val="0"/>
          <w:sz w:val="20"/>
        </w:rPr>
        <w:t>La sesión 12 insiste en que el dato sucio produce decisiones erróneas, y en que la validación va en dos sitios: en la aplicación y en la base. Ayni Bank valida en ambos, y las de la base son las que no se pueden esquivar: valen igual si el dato entra por la API, por una migración o por alguien con una consola abierta.</w:t>
      </w:r>
    </w:p>
    <w:tbl>
      <w:tblPr>
        <w:tblStyle w:val="TableGrid"/>
        <w:tblW w:type="auto" w:w="0"/>
        <w:tblLook w:firstColumn="1" w:firstRow="1" w:lastColumn="0" w:lastRow="0" w:noHBand="0" w:noVBand="1" w:val="04A0"/>
      </w:tblPr>
      <w:tblGrid>
        <w:gridCol w:w="5046"/>
        <w:gridCol w:w="5046"/>
        <w:gridCol w:w="5046"/>
      </w:tblGrid>
      <w:tr>
        <w:tc>
          <w:tcPr>
            <w:tcW w:type="dxa" w:w="3742"/>
            <w:shd w:val="clear" w:color="auto" w:fill="064475"/>
          </w:tcPr>
          <w:p>
            <w:pPr>
              <w:spacing w:after="40" w:before="40"/>
            </w:pPr>
            <w:r/>
            <w:r>
              <w:rPr>
                <w:rFonts w:ascii="Calibri" w:hAnsi="Calibri"/>
                <w:b/>
                <w:color w:val="FFFFFF"/>
                <w:sz w:val="17"/>
              </w:rPr>
              <w:t>Restricción</w:t>
            </w:r>
          </w:p>
        </w:tc>
        <w:tc>
          <w:tcPr>
            <w:tcW w:type="dxa" w:w="3061"/>
            <w:shd w:val="clear" w:color="auto" w:fill="064475"/>
          </w:tcPr>
          <w:p>
            <w:pPr>
              <w:spacing w:after="40" w:before="40"/>
            </w:pPr>
            <w:r/>
            <w:r>
              <w:rPr>
                <w:rFonts w:ascii="Calibri" w:hAnsi="Calibri"/>
                <w:b/>
                <w:color w:val="FFFFFF"/>
                <w:sz w:val="17"/>
              </w:rPr>
              <w:t>Tabla</w:t>
            </w:r>
          </w:p>
        </w:tc>
        <w:tc>
          <w:tcPr>
            <w:tcW w:type="dxa" w:w="8334"/>
            <w:shd w:val="clear" w:color="auto" w:fill="064475"/>
          </w:tcPr>
          <w:p>
            <w:pPr>
              <w:spacing w:after="40" w:before="40"/>
            </w:pPr>
            <w:r/>
            <w:r>
              <w:rPr>
                <w:rFonts w:ascii="Calibri" w:hAnsi="Calibri"/>
                <w:b/>
                <w:color w:val="FFFFFF"/>
                <w:sz w:val="17"/>
              </w:rPr>
              <w:t>Qué impide que ocurra</w:t>
            </w:r>
          </w:p>
        </w:tc>
      </w:tr>
      <w:tr>
        <w:tc>
          <w:tcPr>
            <w:tcW w:type="dxa" w:w="3742"/>
          </w:tcPr>
          <w:p>
            <w:pPr>
              <w:spacing w:after="40" w:before="40"/>
            </w:pPr>
            <w:r/>
            <w:r>
              <w:rPr>
                <w:rFonts w:ascii="Calibri" w:hAnsi="Calibri"/>
                <w:b w:val="0"/>
                <w:sz w:val="17"/>
              </w:rPr>
              <w:t>`ck_asiento_importe_positivo`</w:t>
            </w:r>
          </w:p>
        </w:tc>
        <w:tc>
          <w:tcPr>
            <w:tcW w:type="dxa" w:w="3061"/>
          </w:tcPr>
          <w:p>
            <w:pPr>
              <w:spacing w:after="40" w:before="40"/>
            </w:pPr>
            <w:r/>
            <w:r>
              <w:rPr>
                <w:rFonts w:ascii="Calibri" w:hAnsi="Calibri"/>
                <w:b w:val="0"/>
                <w:sz w:val="17"/>
              </w:rPr>
              <w:t>`core.asiento`</w:t>
            </w:r>
          </w:p>
        </w:tc>
        <w:tc>
          <w:tcPr>
            <w:tcW w:type="dxa" w:w="8334"/>
          </w:tcPr>
          <w:p>
            <w:pPr>
              <w:spacing w:after="40" w:before="40"/>
            </w:pPr>
            <w:r/>
            <w:r>
              <w:rPr>
                <w:rFonts w:ascii="Calibri" w:hAnsi="Calibri"/>
                <w:b/>
                <w:sz w:val="17"/>
              </w:rPr>
              <w:t>Importes negativos.</w:t>
            </w:r>
            <w:r>
              <w:rPr>
                <w:rFonts w:ascii="Calibri" w:hAnsi="Calibri"/>
                <w:b w:val="0"/>
                <w:sz w:val="17"/>
              </w:rPr>
              <w:t xml:space="preserve"> El signo lo lleva el `tipo` (CARGO / ABONO), nunca el importe. Un importe negativo con tipo ABONO rompería la partida doble sin que ninguna suma lo delatara.</w:t>
            </w:r>
          </w:p>
        </w:tc>
      </w:tr>
      <w:tr>
        <w:tc>
          <w:tcPr>
            <w:tcW w:type="dxa" w:w="3742"/>
          </w:tcPr>
          <w:p>
            <w:pPr>
              <w:spacing w:after="40" w:before="40"/>
            </w:pPr>
            <w:r/>
            <w:r>
              <w:rPr>
                <w:rFonts w:ascii="Calibri" w:hAnsi="Calibri"/>
                <w:b w:val="0"/>
                <w:sz w:val="17"/>
              </w:rPr>
              <w:t>`ck_cuenta_numero` y `ck_cuenta_cci`</w:t>
            </w:r>
          </w:p>
        </w:tc>
        <w:tc>
          <w:tcPr>
            <w:tcW w:type="dxa" w:w="3061"/>
          </w:tcPr>
          <w:p>
            <w:pPr>
              <w:spacing w:after="40" w:before="40"/>
            </w:pPr>
            <w:r/>
            <w:r>
              <w:rPr>
                <w:rFonts w:ascii="Calibri" w:hAnsi="Calibri"/>
                <w:b w:val="0"/>
                <w:sz w:val="17"/>
              </w:rPr>
              <w:t>`core.cuenta`</w:t>
            </w:r>
          </w:p>
        </w:tc>
        <w:tc>
          <w:tcPr>
            <w:tcW w:type="dxa" w:w="8334"/>
          </w:tcPr>
          <w:p>
            <w:pPr>
              <w:spacing w:after="40" w:before="40"/>
            </w:pPr>
            <w:r/>
            <w:r>
              <w:rPr>
                <w:rFonts w:ascii="Calibri" w:hAnsi="Calibri"/>
                <w:b w:val="0"/>
                <w:sz w:val="17"/>
              </w:rPr>
              <w:t>Números de cuenta y CCI con formato inválido: expresión regular de 14 y 20 dígitos exactos.</w:t>
            </w:r>
          </w:p>
        </w:tc>
      </w:tr>
      <w:tr>
        <w:tc>
          <w:tcPr>
            <w:tcW w:type="dxa" w:w="3742"/>
          </w:tcPr>
          <w:p>
            <w:pPr>
              <w:spacing w:after="40" w:before="40"/>
            </w:pPr>
            <w:r/>
            <w:r>
              <w:rPr>
                <w:rFonts w:ascii="Calibri" w:hAnsi="Calibri"/>
                <w:b w:val="0"/>
                <w:sz w:val="17"/>
              </w:rPr>
              <w:t>`ck_usuario_hash_argon2`</w:t>
            </w:r>
          </w:p>
        </w:tc>
        <w:tc>
          <w:tcPr>
            <w:tcW w:type="dxa" w:w="3061"/>
          </w:tcPr>
          <w:p>
            <w:pPr>
              <w:spacing w:after="40" w:before="40"/>
            </w:pPr>
            <w:r/>
            <w:r>
              <w:rPr>
                <w:rFonts w:ascii="Calibri" w:hAnsi="Calibri"/>
                <w:b w:val="0"/>
                <w:sz w:val="17"/>
              </w:rPr>
              <w:t>`identity.usuario`</w:t>
            </w:r>
          </w:p>
        </w:tc>
        <w:tc>
          <w:tcPr>
            <w:tcW w:type="dxa" w:w="8334"/>
          </w:tcPr>
          <w:p>
            <w:pPr>
              <w:spacing w:after="40" w:before="40"/>
            </w:pPr>
            <w:r/>
            <w:r>
              <w:rPr>
                <w:rFonts w:ascii="Calibri" w:hAnsi="Calibri"/>
                <w:b/>
                <w:sz w:val="17"/>
              </w:rPr>
              <w:t>Contraseñas guardadas sin cifrar.</w:t>
            </w:r>
            <w:r>
              <w:rPr>
                <w:rFonts w:ascii="Calibri" w:hAnsi="Calibri"/>
                <w:b w:val="0"/>
                <w:sz w:val="17"/>
              </w:rPr>
              <w:t xml:space="preserve"> Obliga a que el campo empiece por `$argon2`. Si un error de programación intentara escribir una contraseña en claro, la inserción falla.</w:t>
            </w:r>
          </w:p>
        </w:tc>
      </w:tr>
      <w:tr>
        <w:tc>
          <w:tcPr>
            <w:tcW w:type="dxa" w:w="3742"/>
          </w:tcPr>
          <w:p>
            <w:pPr>
              <w:spacing w:after="40" w:before="40"/>
            </w:pPr>
            <w:r/>
            <w:r>
              <w:rPr>
                <w:rFonts w:ascii="Calibri" w:hAnsi="Calibri"/>
                <w:b w:val="0"/>
                <w:sz w:val="17"/>
              </w:rPr>
              <w:t>`ck_usuario_celular`</w:t>
            </w:r>
          </w:p>
        </w:tc>
        <w:tc>
          <w:tcPr>
            <w:tcW w:type="dxa" w:w="3061"/>
          </w:tcPr>
          <w:p>
            <w:pPr>
              <w:spacing w:after="40" w:before="40"/>
            </w:pPr>
            <w:r/>
            <w:r>
              <w:rPr>
                <w:rFonts w:ascii="Calibri" w:hAnsi="Calibri"/>
                <w:b w:val="0"/>
                <w:sz w:val="17"/>
              </w:rPr>
              <w:t>`identity.usuario`</w:t>
            </w:r>
          </w:p>
        </w:tc>
        <w:tc>
          <w:tcPr>
            <w:tcW w:type="dxa" w:w="8334"/>
          </w:tcPr>
          <w:p>
            <w:pPr>
              <w:spacing w:after="40" w:before="40"/>
            </w:pPr>
            <w:r/>
            <w:r>
              <w:rPr>
                <w:rFonts w:ascii="Calibri" w:hAnsi="Calibri"/>
                <w:b w:val="0"/>
                <w:sz w:val="17"/>
              </w:rPr>
              <w:t>Celulares que no son móviles peruanos: debe empezar por 9 y tener nueve dígitos.</w:t>
            </w:r>
          </w:p>
        </w:tc>
      </w:tr>
      <w:tr>
        <w:tc>
          <w:tcPr>
            <w:tcW w:type="dxa" w:w="3742"/>
          </w:tcPr>
          <w:p>
            <w:pPr>
              <w:spacing w:after="40" w:before="40"/>
            </w:pPr>
            <w:r/>
            <w:r>
              <w:rPr>
                <w:rFonts w:ascii="Calibri" w:hAnsi="Calibri"/>
                <w:b w:val="0"/>
                <w:sz w:val="17"/>
              </w:rPr>
              <w:t>`ck_tasa_vigencia`</w:t>
            </w:r>
          </w:p>
        </w:tc>
        <w:tc>
          <w:tcPr>
            <w:tcW w:type="dxa" w:w="3061"/>
          </w:tcPr>
          <w:p>
            <w:pPr>
              <w:spacing w:after="40" w:before="40"/>
            </w:pPr>
            <w:r/>
            <w:r>
              <w:rPr>
                <w:rFonts w:ascii="Calibri" w:hAnsi="Calibri"/>
                <w:b w:val="0"/>
                <w:sz w:val="17"/>
              </w:rPr>
              <w:t>`core.tasa_producto`</w:t>
            </w:r>
          </w:p>
        </w:tc>
        <w:tc>
          <w:tcPr>
            <w:tcW w:type="dxa" w:w="8334"/>
          </w:tcPr>
          <w:p>
            <w:pPr>
              <w:spacing w:after="40" w:before="40"/>
            </w:pPr>
            <w:r/>
            <w:r>
              <w:rPr>
                <w:rFonts w:ascii="Calibri" w:hAnsi="Calibri"/>
                <w:b w:val="0"/>
                <w:sz w:val="17"/>
              </w:rPr>
              <w:t>Vigencias que terminan antes de empezar.</w:t>
            </w:r>
          </w:p>
        </w:tc>
      </w:tr>
      <w:tr>
        <w:tc>
          <w:tcPr>
            <w:tcW w:type="dxa" w:w="3742"/>
          </w:tcPr>
          <w:p>
            <w:pPr>
              <w:spacing w:after="40" w:before="40"/>
            </w:pPr>
            <w:r/>
            <w:r>
              <w:rPr>
                <w:rFonts w:ascii="Calibri" w:hAnsi="Calibri"/>
                <w:b w:val="0"/>
                <w:sz w:val="17"/>
              </w:rPr>
              <w:t>`ux_cuenta_titular_moneda`</w:t>
            </w:r>
          </w:p>
        </w:tc>
        <w:tc>
          <w:tcPr>
            <w:tcW w:type="dxa" w:w="3061"/>
          </w:tcPr>
          <w:p>
            <w:pPr>
              <w:spacing w:after="40" w:before="40"/>
            </w:pPr>
            <w:r/>
            <w:r>
              <w:rPr>
                <w:rFonts w:ascii="Calibri" w:hAnsi="Calibri"/>
                <w:b w:val="0"/>
                <w:sz w:val="17"/>
              </w:rPr>
              <w:t>`core.cuenta`</w:t>
            </w:r>
          </w:p>
        </w:tc>
        <w:tc>
          <w:tcPr>
            <w:tcW w:type="dxa" w:w="8334"/>
          </w:tcPr>
          <w:p>
            <w:pPr>
              <w:spacing w:after="40" w:before="40"/>
            </w:pPr>
            <w:r/>
            <w:r>
              <w:rPr>
                <w:rFonts w:ascii="Calibri" w:hAnsi="Calibri"/>
                <w:b/>
                <w:sz w:val="17"/>
              </w:rPr>
              <w:t>Índice único parcial</w:t>
            </w:r>
            <w:r>
              <w:rPr>
                <w:rFonts w:ascii="Calibri" w:hAnsi="Calibri"/>
                <w:b w:val="0"/>
                <w:sz w:val="17"/>
              </w:rPr>
              <w:t>, solo sobre cuentas ACTIVA: un titular no puede tener dos cuentas activas en la misma moneda, pero sí puede reabrir una tras cerrar la anterior.</w:t>
            </w:r>
          </w:p>
        </w:tc>
      </w:tr>
      <w:tr>
        <w:tc>
          <w:tcPr>
            <w:tcW w:type="dxa" w:w="3742"/>
          </w:tcPr>
          <w:p>
            <w:pPr>
              <w:spacing w:after="40" w:before="40"/>
            </w:pPr>
            <w:r/>
            <w:r>
              <w:rPr>
                <w:rFonts w:ascii="Calibri" w:hAnsi="Calibri"/>
                <w:b w:val="0"/>
                <w:sz w:val="17"/>
              </w:rPr>
              <w:t>`ux_tasa_producto_vigente`</w:t>
            </w:r>
          </w:p>
        </w:tc>
        <w:tc>
          <w:tcPr>
            <w:tcW w:type="dxa" w:w="3061"/>
          </w:tcPr>
          <w:p>
            <w:pPr>
              <w:spacing w:after="40" w:before="40"/>
            </w:pPr>
            <w:r/>
            <w:r>
              <w:rPr>
                <w:rFonts w:ascii="Calibri" w:hAnsi="Calibri"/>
                <w:b w:val="0"/>
                <w:sz w:val="17"/>
              </w:rPr>
              <w:t>`core.tasa_producto`</w:t>
            </w:r>
          </w:p>
        </w:tc>
        <w:tc>
          <w:tcPr>
            <w:tcW w:type="dxa" w:w="8334"/>
          </w:tcPr>
          <w:p>
            <w:pPr>
              <w:spacing w:after="40" w:before="40"/>
            </w:pPr>
            <w:r/>
            <w:r>
              <w:rPr>
                <w:rFonts w:ascii="Calibri" w:hAnsi="Calibri"/>
                <w:b w:val="0"/>
                <w:sz w:val="17"/>
              </w:rPr>
              <w:t xml:space="preserve">Otro índice único parcial: solo puede haber </w:t>
            </w:r>
            <w:r>
              <w:rPr>
                <w:rFonts w:ascii="Calibri" w:hAnsi="Calibri"/>
                <w:b/>
                <w:sz w:val="17"/>
              </w:rPr>
              <w:t>una</w:t>
            </w:r>
            <w:r>
              <w:rPr>
                <w:rFonts w:ascii="Calibri" w:hAnsi="Calibri"/>
                <w:b w:val="0"/>
                <w:sz w:val="17"/>
              </w:rPr>
              <w:t xml:space="preserve"> tasa sin fecha de fin por producto. Impide que convivan dos tasas vigentes y que el cálculo de interés dependa del azar.</w:t>
            </w:r>
          </w:p>
        </w:tc>
      </w:tr>
      <w:tr>
        <w:tc>
          <w:tcPr>
            <w:tcW w:type="dxa" w:w="3742"/>
          </w:tcPr>
          <w:p>
            <w:pPr>
              <w:spacing w:after="40" w:before="40"/>
            </w:pPr>
            <w:r/>
            <w:r>
              <w:rPr>
                <w:rFonts w:ascii="Calibri" w:hAnsi="Calibri"/>
                <w:b w:val="0"/>
                <w:sz w:val="17"/>
              </w:rPr>
              <w:t>`ck_solicitud_paso`</w:t>
            </w:r>
          </w:p>
        </w:tc>
        <w:tc>
          <w:tcPr>
            <w:tcW w:type="dxa" w:w="3061"/>
          </w:tcPr>
          <w:p>
            <w:pPr>
              <w:spacing w:after="40" w:before="40"/>
            </w:pPr>
            <w:r/>
            <w:r>
              <w:rPr>
                <w:rFonts w:ascii="Calibri" w:hAnsi="Calibri"/>
                <w:b w:val="0"/>
                <w:sz w:val="17"/>
              </w:rPr>
              <w:t>`identity.solicitud_onboarding`</w:t>
            </w:r>
          </w:p>
        </w:tc>
        <w:tc>
          <w:tcPr>
            <w:tcW w:type="dxa" w:w="8334"/>
          </w:tcPr>
          <w:p>
            <w:pPr>
              <w:spacing w:after="40" w:before="40"/>
            </w:pPr>
            <w:r/>
            <w:r>
              <w:rPr>
                <w:rFonts w:ascii="Calibri" w:hAnsi="Calibri"/>
                <w:b w:val="0"/>
                <w:sz w:val="17"/>
              </w:rPr>
              <w:t>Pasos de onboarding fuera del rango 1–5.</w:t>
            </w:r>
          </w:p>
        </w:tc>
      </w:tr>
    </w:tbl>
    <w:p>
      <w:pPr>
        <w:spacing w:after="160"/>
        <w:jc w:val="both"/>
      </w:pPr>
      <w:r>
        <w:rPr>
          <w:rFonts w:ascii="Calibri" w:hAnsi="Calibri"/>
          <w:b/>
          <w:sz w:val="20"/>
        </w:rPr>
        <w:t>Sobre normalización.</w:t>
      </w:r>
      <w:r>
        <w:rPr>
          <w:rFonts w:ascii="Calibri" w:hAnsi="Calibri"/>
          <w:b w:val="0"/>
          <w:sz w:val="20"/>
        </w:rPr>
        <w:t xml:space="preserve"> El modelo está en tercera forma normal, con </w:t>
      </w:r>
      <w:r>
        <w:rPr>
          <w:rFonts w:ascii="Calibri" w:hAnsi="Calibri"/>
          <w:b/>
          <w:sz w:val="20"/>
        </w:rPr>
        <w:t>dos desnormalizaciones deliberadas y documentadas</w:t>
      </w:r>
      <w:r>
        <w:rPr>
          <w:rFonts w:ascii="Calibri" w:hAnsi="Calibri"/>
          <w:b w:val="0"/>
          <w:sz w:val="20"/>
        </w:rPr>
        <w:t xml:space="preserve">. La primera: `persona.documento_ultimos4` duplica los cuatro últimos dígitos del documento, que ya están en `numero_documento`; existe porque el número completo se guarda cifrado y mostrar «termina en 4821» en la interfaz no debe obligar a descifrarlo. La segunda está prevista para `HU-08`: una columna `saldo_posterior` en el movimiento, para que el extracto no tenga que recalcular la suma de asientos en cada consulta. Ambas siguen la regla de la sesión 11: </w:t>
      </w:r>
      <w:r>
        <w:rPr>
          <w:rFonts w:ascii="Calibri" w:hAnsi="Calibri"/>
          <w:b/>
          <w:sz w:val="20"/>
        </w:rPr>
        <w:t>se normaliza por defecto y se desnormaliza con motivo escrito</w:t>
      </w:r>
      <w:r>
        <w:rPr>
          <w:rFonts w:ascii="Calibri" w:hAnsi="Calibri"/>
          <w:b w:val="0"/>
          <w:sz w:val="20"/>
        </w:rPr>
        <w:t>, nunca al revés.</w:t>
      </w:r>
    </w:p>
    <w:p>
      <w:r>
        <w:br w:type="page"/>
      </w:r>
    </w:p>
    <w:p>
      <w:pPr>
        <w:spacing w:before="360" w:after="120"/>
        <w:pBdr>
          <w:bottom w:val="single" w:sz="12" w:space="4" w:color="064475"/>
        </w:pBdr>
      </w:pPr>
      <w:r>
        <w:rPr>
          <w:rFonts w:ascii="Calibri" w:hAnsi="Calibri"/>
          <w:b/>
          <w:color w:val="064475"/>
          <w:sz w:val="30"/>
        </w:rPr>
        <w:t>3.  Volumetría a un millón de usuarios, validada con estudios</w:t>
      </w:r>
    </w:p>
    <w:tbl>
      <w:tblPr>
        <w:tblStyle w:val="TableGrid"/>
        <w:tblW w:type="auto" w:w="0"/>
        <w:tblLook w:firstColumn="1" w:firstRow="1" w:lastColumn="0" w:lastRow="0" w:noHBand="0" w:noVBand="1" w:val="04A0"/>
      </w:tblPr>
      <w:tblGrid>
        <w:gridCol w:w="15138"/>
      </w:tblGrid>
      <w:tr>
        <w:tc>
          <w:tcPr>
            <w:tcW w:type="dxa" w:w="15137"/>
            <w:shd w:val="clear" w:color="auto" w:fill="FFF8E7"/>
          </w:tcPr>
          <w:p>
            <w:pPr>
              <w:spacing w:after="60"/>
            </w:pPr>
            <w:r/>
            <w:r>
              <w:rPr>
                <w:rFonts w:ascii="Calibri" w:hAnsi="Calibri"/>
                <w:b/>
                <w:color w:val="C59E41"/>
                <w:sz w:val="18"/>
              </w:rPr>
              <w:t xml:space="preserve">PREGUNTA CLAVE  ·  </w:t>
            </w:r>
            <w:r>
              <w:rPr>
                <w:rFonts w:ascii="Calibri" w:hAnsi="Calibri"/>
                <w:b/>
                <w:color w:val="064475"/>
                <w:sz w:val="20"/>
              </w:rPr>
              <w:t>¿Cuántas transacciones hace al día un usuario promedio, y con qué estudio se sostiene?</w:t>
            </w:r>
          </w:p>
          <w:p>
            <w:pPr>
              <w:spacing w:after="40"/>
            </w:pPr>
            <w:r>
              <w:rPr>
                <w:rFonts w:ascii="Calibri" w:hAnsi="Calibri"/>
                <w:b w:val="0"/>
                <w:color w:val="4A4A4A"/>
                <w:sz w:val="18"/>
              </w:rPr>
              <w:t>Se responde en 3.1 con tres fuentes independientes —BCRP, Yape y Banco Central Europeo—, y en 3.2 con la medición de bytes reales. La conclusión, en 3.3.</w:t>
            </w:r>
          </w:p>
        </w:tc>
      </w:tr>
    </w:tbl>
    <w:p>
      <w:pPr>
        <w:spacing w:before="220" w:after="120"/>
      </w:pPr>
      <w:r>
        <w:rPr>
          <w:rFonts w:ascii="Calibri" w:hAnsi="Calibri"/>
          <w:b/>
          <w:color w:val="064475"/>
          <w:sz w:val="24"/>
        </w:rPr>
        <w:t>3.1  La premisa: contrastar las cinco transacciones diarias con la evidencia</w:t>
      </w:r>
    </w:p>
    <w:p>
      <w:pPr>
        <w:spacing w:after="160"/>
        <w:jc w:val="both"/>
      </w:pPr>
      <w:r>
        <w:rPr>
          <w:rFonts w:ascii="Calibri" w:hAnsi="Calibri"/>
          <w:b w:val="0"/>
          <w:sz w:val="20"/>
        </w:rPr>
        <w:t xml:space="preserve">El enunciado propone estimar con un millón de usuarios activos y unas cinco transacciones diarias. Hemos buscado con qué sostener esa cifra y </w:t>
      </w:r>
      <w:r>
        <w:rPr>
          <w:rFonts w:ascii="Calibri" w:hAnsi="Calibri"/>
          <w:b/>
          <w:sz w:val="20"/>
        </w:rPr>
        <w:t>la evidencia disponible la sitúa por encima de lo observado</w:t>
      </w:r>
      <w:r>
        <w:rPr>
          <w:rFonts w:ascii="Calibri" w:hAnsi="Calibri"/>
          <w:b w:val="0"/>
          <w:sz w:val="20"/>
        </w:rPr>
        <w:t xml:space="preserve">. Lo decimos porque un informe que infla la demanda dimensiona de más y gasta de más; pero la conservamos como </w:t>
      </w:r>
      <w:r>
        <w:rPr>
          <w:rFonts w:ascii="Calibri" w:hAnsi="Calibri"/>
          <w:b/>
          <w:sz w:val="20"/>
        </w:rPr>
        <w:t>escenario de estrés</w:t>
      </w:r>
      <w:r>
        <w:rPr>
          <w:rFonts w:ascii="Calibri" w:hAnsi="Calibri"/>
          <w:b w:val="0"/>
          <w:sz w:val="20"/>
        </w:rPr>
        <w:t>, que es para lo que sirve una cifra alta.</w:t>
      </w: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7"/>
              </w:rPr>
              <w:t>Fuente</w:t>
            </w:r>
          </w:p>
        </w:tc>
        <w:tc>
          <w:tcPr>
            <w:tcW w:type="dxa" w:w="4195"/>
            <w:shd w:val="clear" w:color="auto" w:fill="064475"/>
          </w:tcPr>
          <w:p>
            <w:pPr>
              <w:spacing w:after="40" w:before="40"/>
            </w:pPr>
            <w:r/>
            <w:r>
              <w:rPr>
                <w:rFonts w:ascii="Calibri" w:hAnsi="Calibri"/>
                <w:b/>
                <w:color w:val="FFFFFF"/>
                <w:sz w:val="17"/>
              </w:rPr>
              <w:t>Dato publicado</w:t>
            </w:r>
          </w:p>
        </w:tc>
        <w:tc>
          <w:tcPr>
            <w:tcW w:type="dxa" w:w="1814"/>
            <w:shd w:val="clear" w:color="auto" w:fill="064475"/>
          </w:tcPr>
          <w:p>
            <w:pPr>
              <w:spacing w:after="40" w:before="40"/>
            </w:pPr>
            <w:r/>
            <w:r>
              <w:rPr>
                <w:rFonts w:ascii="Calibri" w:hAnsi="Calibri"/>
                <w:b/>
                <w:color w:val="FFFFFF"/>
                <w:sz w:val="17"/>
              </w:rPr>
              <w:t>Equivalente diario</w:t>
            </w:r>
          </w:p>
        </w:tc>
        <w:tc>
          <w:tcPr>
            <w:tcW w:type="dxa" w:w="6066"/>
            <w:shd w:val="clear" w:color="auto" w:fill="064475"/>
          </w:tcPr>
          <w:p>
            <w:pPr>
              <w:spacing w:after="40" w:before="40"/>
            </w:pPr>
            <w:r/>
            <w:r>
              <w:rPr>
                <w:rFonts w:ascii="Calibri" w:hAnsi="Calibri"/>
                <w:b/>
                <w:color w:val="FFFFFF"/>
                <w:sz w:val="17"/>
              </w:rPr>
              <w:t>Por qué es pertinente</w:t>
            </w:r>
          </w:p>
        </w:tc>
      </w:tr>
      <w:tr>
        <w:tc>
          <w:tcPr>
            <w:tcW w:type="dxa" w:w="3061"/>
          </w:tcPr>
          <w:p>
            <w:pPr>
              <w:spacing w:after="40" w:before="40"/>
            </w:pPr>
            <w:r/>
            <w:r>
              <w:rPr>
                <w:rFonts w:ascii="Calibri" w:hAnsi="Calibri"/>
                <w:b/>
                <w:sz w:val="17"/>
              </w:rPr>
              <w:t>BCRP</w:t>
            </w:r>
            <w:r>
              <w:rPr>
                <w:rFonts w:ascii="Calibri" w:hAnsi="Calibri"/>
                <w:b w:val="0"/>
                <w:sz w:val="17"/>
              </w:rPr>
              <w:t xml:space="preserve"> — Panorama regional de pagos minoristas, 2025</w:t>
            </w:r>
          </w:p>
        </w:tc>
        <w:tc>
          <w:tcPr>
            <w:tcW w:type="dxa" w:w="4195"/>
          </w:tcPr>
          <w:p>
            <w:pPr>
              <w:spacing w:after="40" w:before="40"/>
            </w:pPr>
            <w:r/>
            <w:r>
              <w:rPr>
                <w:rFonts w:ascii="Calibri" w:hAnsi="Calibri"/>
                <w:b w:val="0"/>
                <w:sz w:val="17"/>
              </w:rPr>
              <w:t xml:space="preserve">Más de </w:t>
            </w:r>
            <w:r>
              <w:rPr>
                <w:rFonts w:ascii="Calibri" w:hAnsi="Calibri"/>
                <w:b/>
                <w:sz w:val="17"/>
              </w:rPr>
              <w:t>300 pagos minoristas por persona al año</w:t>
            </w:r>
            <w:r>
              <w:rPr>
                <w:rFonts w:ascii="Calibri" w:hAnsi="Calibri"/>
                <w:b w:val="0"/>
                <w:sz w:val="17"/>
              </w:rPr>
              <w:t xml:space="preserve"> en el Perú. Los pagos inmediatos por adulto pasaron de 2 en 2018 a </w:t>
            </w:r>
            <w:r>
              <w:rPr>
                <w:rFonts w:ascii="Calibri" w:hAnsi="Calibri"/>
                <w:b/>
                <w:sz w:val="17"/>
              </w:rPr>
              <w:t>209 en 2024</w:t>
            </w:r>
            <w:r>
              <w:rPr>
                <w:rFonts w:ascii="Calibri" w:hAnsi="Calibri"/>
                <w:b w:val="0"/>
                <w:sz w:val="17"/>
              </w:rPr>
              <w:t>.</w:t>
            </w:r>
          </w:p>
        </w:tc>
        <w:tc>
          <w:tcPr>
            <w:tcW w:type="dxa" w:w="1814"/>
          </w:tcPr>
          <w:p>
            <w:pPr>
              <w:spacing w:after="40" w:before="40"/>
              <w:jc w:val="center"/>
            </w:pPr>
            <w:r/>
            <w:r>
              <w:rPr>
                <w:rFonts w:ascii="Calibri" w:hAnsi="Calibri"/>
                <w:b/>
                <w:sz w:val="17"/>
              </w:rPr>
              <w:t>0,82 / día</w:t>
            </w:r>
          </w:p>
        </w:tc>
        <w:tc>
          <w:tcPr>
            <w:tcW w:type="dxa" w:w="6066"/>
          </w:tcPr>
          <w:p>
            <w:pPr>
              <w:spacing w:after="40" w:before="40"/>
            </w:pPr>
            <w:r/>
            <w:r>
              <w:rPr>
                <w:rFonts w:ascii="Calibri" w:hAnsi="Calibri"/>
                <w:b w:val="0"/>
                <w:sz w:val="17"/>
              </w:rPr>
              <w:t xml:space="preserve">Es el dato del banco central del país donde opera Ayni. Cubre a toda la población adulta, bancarizada o no, así que marca el </w:t>
            </w:r>
            <w:r>
              <w:rPr>
                <w:rFonts w:ascii="Calibri" w:hAnsi="Calibri"/>
                <w:b/>
                <w:sz w:val="17"/>
              </w:rPr>
              <w:t>suelo</w:t>
            </w:r>
            <w:r>
              <w:rPr>
                <w:rFonts w:ascii="Calibri" w:hAnsi="Calibri"/>
                <w:b w:val="0"/>
                <w:sz w:val="17"/>
              </w:rPr>
              <w:t>.</w:t>
            </w:r>
          </w:p>
        </w:tc>
      </w:tr>
      <w:tr>
        <w:tc>
          <w:tcPr>
            <w:tcW w:type="dxa" w:w="3061"/>
          </w:tcPr>
          <w:p>
            <w:pPr>
              <w:spacing w:after="40" w:before="40"/>
            </w:pPr>
            <w:r/>
            <w:r>
              <w:rPr>
                <w:rFonts w:ascii="Calibri" w:hAnsi="Calibri"/>
                <w:b/>
                <w:sz w:val="17"/>
              </w:rPr>
              <w:t>Yape</w:t>
            </w:r>
            <w:r>
              <w:rPr>
                <w:rFonts w:ascii="Calibri" w:hAnsi="Calibri"/>
                <w:b w:val="0"/>
                <w:sz w:val="17"/>
              </w:rPr>
              <w:t xml:space="preserve"> (BCP) — cifras de operación, 2025</w:t>
            </w:r>
          </w:p>
        </w:tc>
        <w:tc>
          <w:tcPr>
            <w:tcW w:type="dxa" w:w="4195"/>
          </w:tcPr>
          <w:p>
            <w:pPr>
              <w:spacing w:after="40" w:before="40"/>
            </w:pPr>
            <w:r/>
            <w:r>
              <w:rPr>
                <w:rFonts w:ascii="Calibri" w:hAnsi="Calibri"/>
                <w:b/>
                <w:sz w:val="17"/>
              </w:rPr>
              <w:t>66,49 transacciones al mes por usuario activo</w:t>
            </w:r>
            <w:r>
              <w:rPr>
                <w:rFonts w:ascii="Calibri" w:hAnsi="Calibri"/>
                <w:b w:val="0"/>
                <w:sz w:val="17"/>
              </w:rPr>
              <w:t>, sobre 15,9 millones de usuarios activos mensuales y 9,8 millones que transaccionan a diario.</w:t>
            </w:r>
          </w:p>
        </w:tc>
        <w:tc>
          <w:tcPr>
            <w:tcW w:type="dxa" w:w="1814"/>
          </w:tcPr>
          <w:p>
            <w:pPr>
              <w:spacing w:after="40" w:before="40"/>
              <w:jc w:val="center"/>
            </w:pPr>
            <w:r/>
            <w:r>
              <w:rPr>
                <w:rFonts w:ascii="Calibri" w:hAnsi="Calibri"/>
                <w:b/>
                <w:sz w:val="17"/>
              </w:rPr>
              <w:t>2,19 / día</w:t>
            </w:r>
          </w:p>
        </w:tc>
        <w:tc>
          <w:tcPr>
            <w:tcW w:type="dxa" w:w="6066"/>
          </w:tcPr>
          <w:p>
            <w:pPr>
              <w:spacing w:after="40" w:before="40"/>
            </w:pPr>
            <w:r/>
            <w:r>
              <w:rPr>
                <w:rFonts w:ascii="Calibri" w:hAnsi="Calibri"/>
                <w:b/>
                <w:sz w:val="17"/>
              </w:rPr>
              <w:t>Es el mejor análogo que existe.</w:t>
            </w:r>
            <w:r>
              <w:rPr>
                <w:rFonts w:ascii="Calibri" w:hAnsi="Calibri"/>
                <w:b w:val="0"/>
                <w:sz w:val="17"/>
              </w:rPr>
              <w:t xml:space="preserve"> Billetera peruana, 100 % digital, medida sobre usuarios activos —exactamente la población que Ayni Bank dice tener—. Este es el escenario central.</w:t>
            </w:r>
          </w:p>
        </w:tc>
      </w:tr>
      <w:tr>
        <w:tc>
          <w:tcPr>
            <w:tcW w:type="dxa" w:w="3061"/>
          </w:tcPr>
          <w:p>
            <w:pPr>
              <w:spacing w:after="40" w:before="40"/>
            </w:pPr>
            <w:r/>
            <w:r>
              <w:rPr>
                <w:rFonts w:ascii="Calibri" w:hAnsi="Calibri"/>
                <w:b/>
                <w:sz w:val="17"/>
              </w:rPr>
              <w:t>Banco Central Europeo</w:t>
            </w:r>
            <w:r>
              <w:rPr>
                <w:rFonts w:ascii="Calibri" w:hAnsi="Calibri"/>
                <w:b w:val="0"/>
                <w:sz w:val="17"/>
              </w:rPr>
              <w:t xml:space="preserve"> — investigación de mercado del euro digital</w:t>
            </w:r>
          </w:p>
        </w:tc>
        <w:tc>
          <w:tcPr>
            <w:tcW w:type="dxa" w:w="4195"/>
          </w:tcPr>
          <w:p>
            <w:pPr>
              <w:spacing w:after="40" w:before="40"/>
            </w:pPr>
            <w:r/>
            <w:r>
              <w:rPr>
                <w:rFonts w:ascii="Calibri" w:hAnsi="Calibri"/>
                <w:b w:val="0"/>
                <w:sz w:val="17"/>
              </w:rPr>
              <w:t xml:space="preserve">Una media de </w:t>
            </w:r>
            <w:r>
              <w:rPr>
                <w:rFonts w:ascii="Calibri" w:hAnsi="Calibri"/>
                <w:b/>
                <w:sz w:val="17"/>
              </w:rPr>
              <w:t>dos transacciones financieras diarias</w:t>
            </w:r>
            <w:r>
              <w:rPr>
                <w:rFonts w:ascii="Calibri" w:hAnsi="Calibri"/>
                <w:b w:val="0"/>
                <w:sz w:val="17"/>
              </w:rPr>
              <w:t xml:space="preserve"> por persona en la zona euro, sumando todos los medios de pago.</w:t>
            </w:r>
          </w:p>
        </w:tc>
        <w:tc>
          <w:tcPr>
            <w:tcW w:type="dxa" w:w="1814"/>
          </w:tcPr>
          <w:p>
            <w:pPr>
              <w:spacing w:after="40" w:before="40"/>
              <w:jc w:val="center"/>
            </w:pPr>
            <w:r/>
            <w:r>
              <w:rPr>
                <w:rFonts w:ascii="Calibri" w:hAnsi="Calibri"/>
                <w:b/>
                <w:sz w:val="17"/>
              </w:rPr>
              <w:t>2,00 / día</w:t>
            </w:r>
          </w:p>
        </w:tc>
        <w:tc>
          <w:tcPr>
            <w:tcW w:type="dxa" w:w="6066"/>
          </w:tcPr>
          <w:p>
            <w:pPr>
              <w:spacing w:after="40" w:before="40"/>
            </w:pPr>
            <w:r/>
            <w:r>
              <w:rPr>
                <w:rFonts w:ascii="Calibri" w:hAnsi="Calibri"/>
                <w:b w:val="0"/>
                <w:sz w:val="17"/>
              </w:rPr>
              <w:t>Corrobora el orden de magnitud de Yape desde una economía y una metodología distintas. Que dos fuentes independientes converjan en ~2 refuerza la elección.</w:t>
            </w:r>
          </w:p>
        </w:tc>
      </w:tr>
      <w:tr>
        <w:tc>
          <w:tcPr>
            <w:tcW w:type="dxa" w:w="3061"/>
          </w:tcPr>
          <w:p>
            <w:pPr>
              <w:spacing w:after="40" w:before="40"/>
            </w:pPr>
            <w:r/>
            <w:r>
              <w:rPr>
                <w:rFonts w:ascii="Calibri" w:hAnsi="Calibri"/>
                <w:b/>
                <w:sz w:val="17"/>
              </w:rPr>
              <w:t>Premisa del enunciado</w:t>
            </w:r>
          </w:p>
        </w:tc>
        <w:tc>
          <w:tcPr>
            <w:tcW w:type="dxa" w:w="4195"/>
          </w:tcPr>
          <w:p>
            <w:pPr>
              <w:spacing w:after="40" w:before="40"/>
            </w:pPr>
            <w:r/>
            <w:r>
              <w:rPr>
                <w:rFonts w:ascii="Calibri" w:hAnsi="Calibri"/>
                <w:b w:val="0"/>
                <w:sz w:val="17"/>
              </w:rPr>
              <w:t>Cinco transacciones diarias por usuario activo.</w:t>
            </w:r>
          </w:p>
        </w:tc>
        <w:tc>
          <w:tcPr>
            <w:tcW w:type="dxa" w:w="1814"/>
          </w:tcPr>
          <w:p>
            <w:pPr>
              <w:spacing w:after="40" w:before="40"/>
              <w:jc w:val="center"/>
            </w:pPr>
            <w:r/>
            <w:r>
              <w:rPr>
                <w:rFonts w:ascii="Calibri" w:hAnsi="Calibri"/>
                <w:b/>
                <w:sz w:val="17"/>
              </w:rPr>
              <w:t>5,00 / día</w:t>
            </w:r>
          </w:p>
        </w:tc>
        <w:tc>
          <w:tcPr>
            <w:tcW w:type="dxa" w:w="6066"/>
          </w:tcPr>
          <w:p>
            <w:pPr>
              <w:spacing w:after="40" w:before="40"/>
            </w:pPr>
            <w:r/>
            <w:r>
              <w:rPr>
                <w:rFonts w:ascii="Calibri" w:hAnsi="Calibri"/>
                <w:b/>
                <w:sz w:val="17"/>
              </w:rPr>
              <w:t>2,3 veces el análogo más cercano.</w:t>
            </w:r>
            <w:r>
              <w:rPr>
                <w:rFonts w:ascii="Calibri" w:hAnsi="Calibri"/>
                <w:b w:val="0"/>
                <w:sz w:val="17"/>
              </w:rPr>
              <w:t xml:space="preserve"> No la descartamos: la usamos como escenario de estrés, que es donde deben tomarse las decisiones de capacidad.</w:t>
            </w:r>
          </w:p>
        </w:tc>
      </w:tr>
    </w:tbl>
    <w:p>
      <w:pPr>
        <w:spacing w:before="220" w:after="120"/>
      </w:pPr>
      <w:r>
        <w:rPr>
          <w:rFonts w:ascii="Calibri" w:hAnsi="Calibri"/>
          <w:b/>
          <w:color w:val="064475"/>
          <w:sz w:val="24"/>
        </w:rPr>
        <w:t>3.2  La medición: bytes reales, no aritmética de tipos</w:t>
      </w:r>
    </w:p>
    <w:p>
      <w:pPr>
        <w:spacing w:after="160"/>
        <w:jc w:val="both"/>
      </w:pPr>
      <w:r>
        <w:rPr>
          <w:rFonts w:ascii="Calibri" w:hAnsi="Calibri"/>
          <w:b w:val="0"/>
          <w:sz w:val="20"/>
        </w:rPr>
        <w:t xml:space="preserve">Se creó una base de datos aparte, se replicaron las cuatro tablas de mayor rotación </w:t>
      </w:r>
      <w:r>
        <w:rPr>
          <w:rFonts w:ascii="Calibri" w:hAnsi="Calibri"/>
          <w:b/>
          <w:sz w:val="20"/>
        </w:rPr>
        <w:t>con sus índices</w:t>
      </w:r>
      <w:r>
        <w:rPr>
          <w:rFonts w:ascii="Calibri" w:hAnsi="Calibri"/>
          <w:b w:val="0"/>
          <w:sz w:val="20"/>
        </w:rPr>
        <w:t>, se cargaron 1 100 000 filas en total y se midió con `pg_total_relation_size` tras un `VACUUM ANALYZE`. Estos son los bytes que PostgreSQL consumió de verdad:</w:t>
      </w:r>
    </w:p>
    <w:tbl>
      <w:tblPr>
        <w:tblStyle w:val="TableGrid"/>
        <w:tblW w:type="auto" w:w="0"/>
        <w:tblLook w:firstColumn="1" w:firstRow="1" w:lastColumn="0" w:lastRow="0" w:noHBand="0" w:noVBand="1" w:val="04A0"/>
      </w:tblPr>
      <w:tblGrid>
        <w:gridCol w:w="2163"/>
        <w:gridCol w:w="2163"/>
        <w:gridCol w:w="2163"/>
        <w:gridCol w:w="2163"/>
        <w:gridCol w:w="2163"/>
        <w:gridCol w:w="2163"/>
        <w:gridCol w:w="2163"/>
      </w:tblGrid>
      <w:tr>
        <w:tc>
          <w:tcPr>
            <w:tcW w:type="dxa" w:w="3061"/>
            <w:shd w:val="clear" w:color="auto" w:fill="064475"/>
          </w:tcPr>
          <w:p>
            <w:pPr>
              <w:spacing w:after="40" w:before="40"/>
            </w:pPr>
            <w:r/>
            <w:r>
              <w:rPr>
                <w:rFonts w:ascii="Calibri" w:hAnsi="Calibri"/>
                <w:b/>
                <w:color w:val="FFFFFF"/>
                <w:sz w:val="17"/>
              </w:rPr>
              <w:t>Tabla</w:t>
            </w:r>
          </w:p>
        </w:tc>
        <w:tc>
          <w:tcPr>
            <w:tcW w:type="dxa" w:w="1814"/>
            <w:shd w:val="clear" w:color="auto" w:fill="064475"/>
          </w:tcPr>
          <w:p>
            <w:pPr>
              <w:spacing w:after="40" w:before="40"/>
            </w:pPr>
            <w:r/>
            <w:r>
              <w:rPr>
                <w:rFonts w:ascii="Calibri" w:hAnsi="Calibri"/>
                <w:b/>
                <w:color w:val="FFFFFF"/>
                <w:sz w:val="17"/>
              </w:rPr>
              <w:t>Filas cargadas</w:t>
            </w:r>
          </w:p>
        </w:tc>
        <w:tc>
          <w:tcPr>
            <w:tcW w:type="dxa" w:w="1474"/>
            <w:shd w:val="clear" w:color="auto" w:fill="064475"/>
          </w:tcPr>
          <w:p>
            <w:pPr>
              <w:spacing w:after="40" w:before="40"/>
            </w:pPr>
            <w:r/>
            <w:r>
              <w:rPr>
                <w:rFonts w:ascii="Calibri" w:hAnsi="Calibri"/>
                <w:b/>
                <w:color w:val="FFFFFF"/>
                <w:sz w:val="17"/>
              </w:rPr>
              <w:t>Datos</w:t>
            </w:r>
          </w:p>
        </w:tc>
        <w:tc>
          <w:tcPr>
            <w:tcW w:type="dxa" w:w="1474"/>
            <w:shd w:val="clear" w:color="auto" w:fill="064475"/>
          </w:tcPr>
          <w:p>
            <w:pPr>
              <w:spacing w:after="40" w:before="40"/>
            </w:pPr>
            <w:r/>
            <w:r>
              <w:rPr>
                <w:rFonts w:ascii="Calibri" w:hAnsi="Calibri"/>
                <w:b/>
                <w:color w:val="FFFFFF"/>
                <w:sz w:val="17"/>
              </w:rPr>
              <w:t>Índices</w:t>
            </w:r>
          </w:p>
        </w:tc>
        <w:tc>
          <w:tcPr>
            <w:tcW w:type="dxa" w:w="2381"/>
            <w:shd w:val="clear" w:color="auto" w:fill="064475"/>
          </w:tcPr>
          <w:p>
            <w:pPr>
              <w:spacing w:after="40" w:before="40"/>
            </w:pPr>
            <w:r/>
            <w:r>
              <w:rPr>
                <w:rFonts w:ascii="Calibri" w:hAnsi="Calibri"/>
                <w:b/>
                <w:color w:val="FFFFFF"/>
                <w:sz w:val="17"/>
              </w:rPr>
              <w:t>Bytes/fila (datos)</w:t>
            </w:r>
          </w:p>
        </w:tc>
        <w:tc>
          <w:tcPr>
            <w:tcW w:type="dxa" w:w="2438"/>
            <w:shd w:val="clear" w:color="auto" w:fill="064475"/>
          </w:tcPr>
          <w:p>
            <w:pPr>
              <w:spacing w:after="40" w:before="40"/>
            </w:pPr>
            <w:r/>
            <w:r>
              <w:rPr>
                <w:rFonts w:ascii="Calibri" w:hAnsi="Calibri"/>
                <w:b/>
                <w:color w:val="FFFFFF"/>
                <w:sz w:val="17"/>
              </w:rPr>
              <w:t>Bytes/fila (índices)</w:t>
            </w:r>
          </w:p>
        </w:tc>
        <w:tc>
          <w:tcPr>
            <w:tcW w:type="dxa" w:w="2494"/>
            <w:shd w:val="clear" w:color="auto" w:fill="064475"/>
          </w:tcPr>
          <w:p>
            <w:pPr>
              <w:spacing w:after="40" w:before="40"/>
            </w:pPr>
            <w:r/>
            <w:r>
              <w:rPr>
                <w:rFonts w:ascii="Calibri" w:hAnsi="Calibri"/>
                <w:b/>
                <w:color w:val="FFFFFF"/>
                <w:sz w:val="17"/>
              </w:rPr>
              <w:t>Bytes/fila (total)</w:t>
            </w:r>
          </w:p>
        </w:tc>
      </w:tr>
      <w:tr>
        <w:tc>
          <w:tcPr>
            <w:tcW w:type="dxa" w:w="3061"/>
          </w:tcPr>
          <w:p>
            <w:pPr>
              <w:spacing w:after="40" w:before="40"/>
            </w:pPr>
            <w:r/>
            <w:r>
              <w:rPr>
                <w:rFonts w:ascii="Calibri" w:hAnsi="Calibri"/>
                <w:b w:val="0"/>
                <w:sz w:val="17"/>
              </w:rPr>
              <w:t>`core.asiento`</w:t>
            </w:r>
          </w:p>
        </w:tc>
        <w:tc>
          <w:tcPr>
            <w:tcW w:type="dxa" w:w="1814"/>
          </w:tcPr>
          <w:p>
            <w:pPr>
              <w:spacing w:after="40" w:before="40"/>
              <w:jc w:val="center"/>
            </w:pPr>
            <w:r/>
            <w:r>
              <w:rPr>
                <w:rFonts w:ascii="Calibri" w:hAnsi="Calibri"/>
                <w:b w:val="0"/>
                <w:sz w:val="17"/>
              </w:rPr>
              <w:t>500 000</w:t>
            </w:r>
          </w:p>
        </w:tc>
        <w:tc>
          <w:tcPr>
            <w:tcW w:type="dxa" w:w="1474"/>
          </w:tcPr>
          <w:p>
            <w:pPr>
              <w:spacing w:after="40" w:before="40"/>
              <w:jc w:val="center"/>
            </w:pPr>
            <w:r/>
            <w:r>
              <w:rPr>
                <w:rFonts w:ascii="Calibri" w:hAnsi="Calibri"/>
                <w:b w:val="0"/>
                <w:sz w:val="17"/>
              </w:rPr>
              <w:t>75 MB</w:t>
            </w:r>
          </w:p>
        </w:tc>
        <w:tc>
          <w:tcPr>
            <w:tcW w:type="dxa" w:w="1474"/>
          </w:tcPr>
          <w:p>
            <w:pPr>
              <w:spacing w:after="40" w:before="40"/>
              <w:jc w:val="center"/>
            </w:pPr>
            <w:r/>
            <w:r>
              <w:rPr>
                <w:rFonts w:ascii="Calibri" w:hAnsi="Calibri"/>
                <w:b w:val="0"/>
                <w:sz w:val="17"/>
              </w:rPr>
              <w:t>63 MB</w:t>
            </w:r>
          </w:p>
        </w:tc>
        <w:tc>
          <w:tcPr>
            <w:tcW w:type="dxa" w:w="2381"/>
          </w:tcPr>
          <w:p>
            <w:pPr>
              <w:spacing w:after="40" w:before="40"/>
              <w:jc w:val="center"/>
            </w:pPr>
            <w:r/>
            <w:r>
              <w:rPr>
                <w:rFonts w:ascii="Calibri" w:hAnsi="Calibri"/>
                <w:b w:val="0"/>
                <w:sz w:val="17"/>
              </w:rPr>
              <w:t>157,6</w:t>
            </w:r>
          </w:p>
        </w:tc>
        <w:tc>
          <w:tcPr>
            <w:tcW w:type="dxa" w:w="2438"/>
          </w:tcPr>
          <w:p>
            <w:pPr>
              <w:spacing w:after="40" w:before="40"/>
              <w:jc w:val="center"/>
            </w:pPr>
            <w:r/>
            <w:r>
              <w:rPr>
                <w:rFonts w:ascii="Calibri" w:hAnsi="Calibri"/>
                <w:b w:val="0"/>
                <w:sz w:val="17"/>
              </w:rPr>
              <w:t>131,9</w:t>
            </w:r>
          </w:p>
        </w:tc>
        <w:tc>
          <w:tcPr>
            <w:tcW w:type="dxa" w:w="2494"/>
          </w:tcPr>
          <w:p>
            <w:pPr>
              <w:spacing w:after="40" w:before="40"/>
              <w:jc w:val="center"/>
            </w:pPr>
            <w:r/>
            <w:r>
              <w:rPr>
                <w:rFonts w:ascii="Calibri" w:hAnsi="Calibri"/>
                <w:b/>
                <w:sz w:val="17"/>
              </w:rPr>
              <w:t>289,5</w:t>
            </w:r>
          </w:p>
        </w:tc>
      </w:tr>
      <w:tr>
        <w:tc>
          <w:tcPr>
            <w:tcW w:type="dxa" w:w="3061"/>
          </w:tcPr>
          <w:p>
            <w:pPr>
              <w:spacing w:after="40" w:before="40"/>
            </w:pPr>
            <w:r/>
            <w:r>
              <w:rPr>
                <w:rFonts w:ascii="Calibri" w:hAnsi="Calibri"/>
                <w:b w:val="0"/>
                <w:sz w:val="17"/>
              </w:rPr>
              <w:t>`core.outbox`</w:t>
            </w:r>
          </w:p>
        </w:tc>
        <w:tc>
          <w:tcPr>
            <w:tcW w:type="dxa" w:w="1814"/>
          </w:tcPr>
          <w:p>
            <w:pPr>
              <w:spacing w:after="40" w:before="40"/>
              <w:jc w:val="center"/>
            </w:pPr>
            <w:r/>
            <w:r>
              <w:rPr>
                <w:rFonts w:ascii="Calibri" w:hAnsi="Calibri"/>
                <w:b w:val="0"/>
                <w:sz w:val="17"/>
              </w:rPr>
              <w:t>200 000</w:t>
            </w:r>
          </w:p>
        </w:tc>
        <w:tc>
          <w:tcPr>
            <w:tcW w:type="dxa" w:w="1474"/>
          </w:tcPr>
          <w:p>
            <w:pPr>
              <w:spacing w:after="40" w:before="40"/>
              <w:jc w:val="center"/>
            </w:pPr>
            <w:r/>
            <w:r>
              <w:rPr>
                <w:rFonts w:ascii="Calibri" w:hAnsi="Calibri"/>
                <w:b w:val="0"/>
                <w:sz w:val="17"/>
              </w:rPr>
              <w:t>87 MB</w:t>
            </w:r>
          </w:p>
        </w:tc>
        <w:tc>
          <w:tcPr>
            <w:tcW w:type="dxa" w:w="1474"/>
          </w:tcPr>
          <w:p>
            <w:pPr>
              <w:spacing w:after="40" w:before="40"/>
              <w:jc w:val="center"/>
            </w:pPr>
            <w:r/>
            <w:r>
              <w:rPr>
                <w:rFonts w:ascii="Calibri" w:hAnsi="Calibri"/>
                <w:b w:val="0"/>
                <w:sz w:val="17"/>
              </w:rPr>
              <w:t>8,3 MB</w:t>
            </w:r>
          </w:p>
        </w:tc>
        <w:tc>
          <w:tcPr>
            <w:tcW w:type="dxa" w:w="2381"/>
          </w:tcPr>
          <w:p>
            <w:pPr>
              <w:spacing w:after="40" w:before="40"/>
              <w:jc w:val="center"/>
            </w:pPr>
            <w:r/>
            <w:r>
              <w:rPr>
                <w:rFonts w:ascii="Calibri" w:hAnsi="Calibri"/>
                <w:b w:val="0"/>
                <w:sz w:val="17"/>
              </w:rPr>
              <w:t>455,4</w:t>
            </w:r>
          </w:p>
        </w:tc>
        <w:tc>
          <w:tcPr>
            <w:tcW w:type="dxa" w:w="2438"/>
          </w:tcPr>
          <w:p>
            <w:pPr>
              <w:spacing w:after="40" w:before="40"/>
              <w:jc w:val="center"/>
            </w:pPr>
            <w:r/>
            <w:r>
              <w:rPr>
                <w:rFonts w:ascii="Calibri" w:hAnsi="Calibri"/>
                <w:b w:val="0"/>
                <w:sz w:val="17"/>
              </w:rPr>
              <w:t>42,6</w:t>
            </w:r>
          </w:p>
        </w:tc>
        <w:tc>
          <w:tcPr>
            <w:tcW w:type="dxa" w:w="2494"/>
          </w:tcPr>
          <w:p>
            <w:pPr>
              <w:spacing w:after="40" w:before="40"/>
              <w:jc w:val="center"/>
            </w:pPr>
            <w:r/>
            <w:r>
              <w:rPr>
                <w:rFonts w:ascii="Calibri" w:hAnsi="Calibri"/>
                <w:b/>
                <w:sz w:val="17"/>
              </w:rPr>
              <w:t>498,1</w:t>
            </w:r>
          </w:p>
        </w:tc>
      </w:tr>
      <w:tr>
        <w:tc>
          <w:tcPr>
            <w:tcW w:type="dxa" w:w="3061"/>
          </w:tcPr>
          <w:p>
            <w:pPr>
              <w:spacing w:after="40" w:before="40"/>
            </w:pPr>
            <w:r/>
            <w:r>
              <w:rPr>
                <w:rFonts w:ascii="Calibri" w:hAnsi="Calibri"/>
                <w:b w:val="0"/>
                <w:sz w:val="17"/>
              </w:rPr>
              <w:t>`identity.usuario`</w:t>
            </w:r>
          </w:p>
        </w:tc>
        <w:tc>
          <w:tcPr>
            <w:tcW w:type="dxa" w:w="1814"/>
          </w:tcPr>
          <w:p>
            <w:pPr>
              <w:spacing w:after="40" w:before="40"/>
              <w:jc w:val="center"/>
            </w:pPr>
            <w:r/>
            <w:r>
              <w:rPr>
                <w:rFonts w:ascii="Calibri" w:hAnsi="Calibri"/>
                <w:b w:val="0"/>
                <w:sz w:val="17"/>
              </w:rPr>
              <w:t>200 000</w:t>
            </w:r>
          </w:p>
        </w:tc>
        <w:tc>
          <w:tcPr>
            <w:tcW w:type="dxa" w:w="1474"/>
          </w:tcPr>
          <w:p>
            <w:pPr>
              <w:spacing w:after="40" w:before="40"/>
              <w:jc w:val="center"/>
            </w:pPr>
            <w:r/>
            <w:r>
              <w:rPr>
                <w:rFonts w:ascii="Calibri" w:hAnsi="Calibri"/>
                <w:b w:val="0"/>
                <w:sz w:val="17"/>
              </w:rPr>
              <w:t>41 MB</w:t>
            </w:r>
          </w:p>
        </w:tc>
        <w:tc>
          <w:tcPr>
            <w:tcW w:type="dxa" w:w="1474"/>
          </w:tcPr>
          <w:p>
            <w:pPr>
              <w:spacing w:after="40" w:before="40"/>
              <w:jc w:val="center"/>
            </w:pPr>
            <w:r/>
            <w:r>
              <w:rPr>
                <w:rFonts w:ascii="Calibri" w:hAnsi="Calibri"/>
                <w:b w:val="0"/>
                <w:sz w:val="17"/>
              </w:rPr>
              <w:t>23 MB</w:t>
            </w:r>
          </w:p>
        </w:tc>
        <w:tc>
          <w:tcPr>
            <w:tcW w:type="dxa" w:w="2381"/>
          </w:tcPr>
          <w:p>
            <w:pPr>
              <w:spacing w:after="40" w:before="40"/>
              <w:jc w:val="center"/>
            </w:pPr>
            <w:r/>
            <w:r>
              <w:rPr>
                <w:rFonts w:ascii="Calibri" w:hAnsi="Calibri"/>
                <w:b w:val="0"/>
                <w:sz w:val="17"/>
              </w:rPr>
              <w:t>215,9</w:t>
            </w:r>
          </w:p>
        </w:tc>
        <w:tc>
          <w:tcPr>
            <w:tcW w:type="dxa" w:w="2438"/>
          </w:tcPr>
          <w:p>
            <w:pPr>
              <w:spacing w:after="40" w:before="40"/>
              <w:jc w:val="center"/>
            </w:pPr>
            <w:r/>
            <w:r>
              <w:rPr>
                <w:rFonts w:ascii="Calibri" w:hAnsi="Calibri"/>
                <w:b w:val="0"/>
                <w:sz w:val="17"/>
              </w:rPr>
              <w:t>122,2</w:t>
            </w:r>
          </w:p>
        </w:tc>
        <w:tc>
          <w:tcPr>
            <w:tcW w:type="dxa" w:w="2494"/>
          </w:tcPr>
          <w:p>
            <w:pPr>
              <w:spacing w:after="40" w:before="40"/>
              <w:jc w:val="center"/>
            </w:pPr>
            <w:r/>
            <w:r>
              <w:rPr>
                <w:rFonts w:ascii="Calibri" w:hAnsi="Calibri"/>
                <w:b/>
                <w:sz w:val="17"/>
              </w:rPr>
              <w:t>338,1</w:t>
            </w:r>
          </w:p>
        </w:tc>
      </w:tr>
      <w:tr>
        <w:tc>
          <w:tcPr>
            <w:tcW w:type="dxa" w:w="3061"/>
          </w:tcPr>
          <w:p>
            <w:pPr>
              <w:spacing w:after="40" w:before="40"/>
            </w:pPr>
            <w:r/>
            <w:r>
              <w:rPr>
                <w:rFonts w:ascii="Calibri" w:hAnsi="Calibri"/>
                <w:b w:val="0"/>
                <w:sz w:val="17"/>
              </w:rPr>
              <w:t>`identity.evento_auditoria`</w:t>
            </w:r>
          </w:p>
        </w:tc>
        <w:tc>
          <w:tcPr>
            <w:tcW w:type="dxa" w:w="1814"/>
          </w:tcPr>
          <w:p>
            <w:pPr>
              <w:spacing w:after="40" w:before="40"/>
              <w:jc w:val="center"/>
            </w:pPr>
            <w:r/>
            <w:r>
              <w:rPr>
                <w:rFonts w:ascii="Calibri" w:hAnsi="Calibri"/>
                <w:b w:val="0"/>
                <w:sz w:val="17"/>
              </w:rPr>
              <w:t>200 000</w:t>
            </w:r>
          </w:p>
        </w:tc>
        <w:tc>
          <w:tcPr>
            <w:tcW w:type="dxa" w:w="1474"/>
          </w:tcPr>
          <w:p>
            <w:pPr>
              <w:spacing w:after="40" w:before="40"/>
              <w:jc w:val="center"/>
            </w:pPr>
            <w:r/>
            <w:r>
              <w:rPr>
                <w:rFonts w:ascii="Calibri" w:hAnsi="Calibri"/>
                <w:b w:val="0"/>
                <w:sz w:val="17"/>
              </w:rPr>
              <w:t>42 MB</w:t>
            </w:r>
          </w:p>
        </w:tc>
        <w:tc>
          <w:tcPr>
            <w:tcW w:type="dxa" w:w="1474"/>
          </w:tcPr>
          <w:p>
            <w:pPr>
              <w:spacing w:after="40" w:before="40"/>
              <w:jc w:val="center"/>
            </w:pPr>
            <w:r/>
            <w:r>
              <w:rPr>
                <w:rFonts w:ascii="Calibri" w:hAnsi="Calibri"/>
                <w:b w:val="0"/>
                <w:sz w:val="17"/>
              </w:rPr>
              <w:t>16 MB</w:t>
            </w:r>
          </w:p>
        </w:tc>
        <w:tc>
          <w:tcPr>
            <w:tcW w:type="dxa" w:w="2381"/>
          </w:tcPr>
          <w:p>
            <w:pPr>
              <w:spacing w:after="40" w:before="40"/>
              <w:jc w:val="center"/>
            </w:pPr>
            <w:r/>
            <w:r>
              <w:rPr>
                <w:rFonts w:ascii="Calibri" w:hAnsi="Calibri"/>
                <w:b w:val="0"/>
                <w:sz w:val="17"/>
              </w:rPr>
              <w:t>221,6</w:t>
            </w:r>
          </w:p>
        </w:tc>
        <w:tc>
          <w:tcPr>
            <w:tcW w:type="dxa" w:w="2438"/>
          </w:tcPr>
          <w:p>
            <w:pPr>
              <w:spacing w:after="40" w:before="40"/>
              <w:jc w:val="center"/>
            </w:pPr>
            <w:r/>
            <w:r>
              <w:rPr>
                <w:rFonts w:ascii="Calibri" w:hAnsi="Calibri"/>
                <w:b w:val="0"/>
                <w:sz w:val="17"/>
              </w:rPr>
              <w:t>84,3</w:t>
            </w:r>
          </w:p>
        </w:tc>
        <w:tc>
          <w:tcPr>
            <w:tcW w:type="dxa" w:w="2494"/>
          </w:tcPr>
          <w:p>
            <w:pPr>
              <w:spacing w:after="40" w:before="40"/>
              <w:jc w:val="center"/>
            </w:pPr>
            <w:r/>
            <w:r>
              <w:rPr>
                <w:rFonts w:ascii="Calibri" w:hAnsi="Calibri"/>
                <w:b/>
                <w:sz w:val="17"/>
              </w:rPr>
              <w:t>305,9</w:t>
            </w:r>
          </w:p>
        </w:tc>
      </w:tr>
    </w:tbl>
    <w:p>
      <w:pPr>
        <w:spacing w:after="200"/>
        <w:jc w:val="both"/>
      </w:pPr>
      <w:r>
        <w:rPr>
          <w:rFonts w:ascii="Calibri" w:hAnsi="Calibri"/>
          <w:b/>
          <w:sz w:val="20"/>
        </w:rPr>
        <w:t>Dos lecturas que la aritmética habría escondido.</w:t>
      </w:r>
      <w:r>
        <w:rPr>
          <w:rFonts w:ascii="Calibri" w:hAnsi="Calibri"/>
          <w:b w:val="0"/>
          <w:sz w:val="20"/>
        </w:rPr>
        <w:t xml:space="preserve"> En `asiento`, los índices pesan </w:t>
      </w:r>
      <w:r>
        <w:rPr>
          <w:rFonts w:ascii="Calibri" w:hAnsi="Calibri"/>
          <w:b/>
          <w:sz w:val="20"/>
        </w:rPr>
        <w:t>el 84 % de los datos</w:t>
      </w:r>
      <w:r>
        <w:rPr>
          <w:rFonts w:ascii="Calibri" w:hAnsi="Calibri"/>
          <w:b w:val="0"/>
          <w:sz w:val="20"/>
        </w:rPr>
        <w:t>: los dos índices que la tabla necesita para funcionar casi doblan su coste de almacenamiento, y ese coste hay que pagarlo también en cada inserción. En `outbox`, la carga `JSONB` dispara la fila a 455 bytes, casi el triple que un asiento —lo que convierte la purga de eventos ya publicados en una necesidad operativa, no en una limpieza opcional.</w:t>
      </w:r>
    </w:p>
    <w:p>
      <w:pPr>
        <w:spacing w:before="220" w:after="120"/>
      </w:pPr>
      <w:r>
        <w:rPr>
          <w:rFonts w:ascii="Calibri" w:hAnsi="Calibri"/>
          <w:b/>
          <w:color w:val="064475"/>
          <w:sz w:val="24"/>
        </w:rPr>
        <w:t>3.3  La proyección a un millón de usuarios</w:t>
      </w:r>
    </w:p>
    <w:p>
      <w:pPr>
        <w:spacing w:after="160"/>
        <w:jc w:val="both"/>
      </w:pPr>
      <w:r>
        <w:rPr>
          <w:rFonts w:ascii="Calibri" w:hAnsi="Calibri"/>
          <w:b w:val="0"/>
          <w:sz w:val="20"/>
        </w:rPr>
        <w:t>Modelo de cálculo: `usuarios × transacciones/día × 2 asientos` (partida doble), más un evento de auditoría por usuario y día, más el 1 % del outbox que queda pendiente de publicar. Multiplicado por los bytes medidos arriba.</w:t>
      </w:r>
    </w:p>
    <w:tbl>
      <w:tblPr>
        <w:tblStyle w:val="TableGrid"/>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2835"/>
            <w:shd w:val="clear" w:color="auto" w:fill="064475"/>
          </w:tcPr>
          <w:p>
            <w:pPr>
              <w:spacing w:after="40" w:before="40"/>
            </w:pPr>
            <w:r/>
            <w:r>
              <w:rPr>
                <w:rFonts w:ascii="Calibri" w:hAnsi="Calibri"/>
                <w:b/>
                <w:color w:val="FFFFFF"/>
                <w:sz w:val="17"/>
              </w:rPr>
              <w:t>Escenario</w:t>
            </w:r>
          </w:p>
        </w:tc>
        <w:tc>
          <w:tcPr>
            <w:tcW w:type="dxa" w:w="1928"/>
            <w:shd w:val="clear" w:color="auto" w:fill="064475"/>
          </w:tcPr>
          <w:p>
            <w:pPr>
              <w:spacing w:after="40" w:before="40"/>
            </w:pPr>
            <w:r/>
            <w:r>
              <w:rPr>
                <w:rFonts w:ascii="Calibri" w:hAnsi="Calibri"/>
                <w:b/>
                <w:color w:val="FFFFFF"/>
                <w:sz w:val="17"/>
              </w:rPr>
              <w:t>Movimientos/día</w:t>
            </w:r>
          </w:p>
        </w:tc>
        <w:tc>
          <w:tcPr>
            <w:tcW w:type="dxa" w:w="1928"/>
            <w:shd w:val="clear" w:color="auto" w:fill="064475"/>
          </w:tcPr>
          <w:p>
            <w:pPr>
              <w:spacing w:after="40" w:before="40"/>
            </w:pPr>
            <w:r/>
            <w:r>
              <w:rPr>
                <w:rFonts w:ascii="Calibri" w:hAnsi="Calibri"/>
                <w:b/>
                <w:color w:val="FFFFFF"/>
                <w:sz w:val="17"/>
              </w:rPr>
              <w:t>Asientos/día</w:t>
            </w:r>
          </w:p>
        </w:tc>
        <w:tc>
          <w:tcPr>
            <w:tcW w:type="dxa" w:w="1814"/>
            <w:shd w:val="clear" w:color="auto" w:fill="064475"/>
          </w:tcPr>
          <w:p>
            <w:pPr>
              <w:spacing w:after="40" w:before="40"/>
            </w:pPr>
            <w:r/>
            <w:r>
              <w:rPr>
                <w:rFonts w:ascii="Calibri" w:hAnsi="Calibri"/>
                <w:b/>
                <w:color w:val="FFFFFF"/>
                <w:sz w:val="17"/>
              </w:rPr>
              <w:t>Inserciones/s (media)</w:t>
            </w:r>
          </w:p>
        </w:tc>
        <w:tc>
          <w:tcPr>
            <w:tcW w:type="dxa" w:w="1928"/>
            <w:shd w:val="clear" w:color="auto" w:fill="064475"/>
          </w:tcPr>
          <w:p>
            <w:pPr>
              <w:spacing w:after="40" w:before="40"/>
            </w:pPr>
            <w:r/>
            <w:r>
              <w:rPr>
                <w:rFonts w:ascii="Calibri" w:hAnsi="Calibri"/>
                <w:b/>
                <w:color w:val="FFFFFF"/>
                <w:sz w:val="17"/>
              </w:rPr>
              <w:t>Inserciones/s (pico ×10)</w:t>
            </w:r>
          </w:p>
        </w:tc>
        <w:tc>
          <w:tcPr>
            <w:tcW w:type="dxa" w:w="1304"/>
            <w:shd w:val="clear" w:color="auto" w:fill="064475"/>
          </w:tcPr>
          <w:p>
            <w:pPr>
              <w:spacing w:after="40" w:before="40"/>
            </w:pPr>
            <w:r/>
            <w:r>
              <w:rPr>
                <w:rFonts w:ascii="Calibri" w:hAnsi="Calibri"/>
                <w:b/>
                <w:color w:val="FFFFFF"/>
                <w:sz w:val="17"/>
              </w:rPr>
              <w:t>GiB/día</w:t>
            </w:r>
          </w:p>
        </w:tc>
        <w:tc>
          <w:tcPr>
            <w:tcW w:type="dxa" w:w="1474"/>
            <w:shd w:val="clear" w:color="auto" w:fill="064475"/>
          </w:tcPr>
          <w:p>
            <w:pPr>
              <w:spacing w:after="40" w:before="40"/>
            </w:pPr>
            <w:r/>
            <w:r>
              <w:rPr>
                <w:rFonts w:ascii="Calibri" w:hAnsi="Calibri"/>
                <w:b/>
                <w:color w:val="FFFFFF"/>
                <w:sz w:val="17"/>
              </w:rPr>
              <w:t>GiB/año</w:t>
            </w:r>
          </w:p>
        </w:tc>
        <w:tc>
          <w:tcPr>
            <w:tcW w:type="dxa" w:w="1928"/>
            <w:shd w:val="clear" w:color="auto" w:fill="064475"/>
          </w:tcPr>
          <w:p>
            <w:pPr>
              <w:spacing w:after="40" w:before="40"/>
            </w:pPr>
            <w:r/>
            <w:r>
              <w:rPr>
                <w:rFonts w:ascii="Calibri" w:hAnsi="Calibri"/>
                <w:b/>
                <w:color w:val="FFFFFF"/>
                <w:sz w:val="17"/>
              </w:rPr>
              <w:t>Días hasta llenar 200 GB</w:t>
            </w:r>
          </w:p>
        </w:tc>
      </w:tr>
      <w:tr>
        <w:tc>
          <w:tcPr>
            <w:tcW w:type="dxa" w:w="2835"/>
          </w:tcPr>
          <w:p>
            <w:pPr>
              <w:spacing w:after="40" w:before="40"/>
            </w:pPr>
            <w:r/>
            <w:r>
              <w:rPr>
                <w:rFonts w:ascii="Calibri" w:hAnsi="Calibri"/>
                <w:b w:val="0"/>
                <w:sz w:val="17"/>
              </w:rPr>
              <w:t>Conservador · BCRP (0,82)</w:t>
            </w:r>
          </w:p>
        </w:tc>
        <w:tc>
          <w:tcPr>
            <w:tcW w:type="dxa" w:w="1928"/>
          </w:tcPr>
          <w:p>
            <w:pPr>
              <w:spacing w:after="40" w:before="40"/>
              <w:jc w:val="center"/>
            </w:pPr>
            <w:r/>
            <w:r>
              <w:rPr>
                <w:rFonts w:ascii="Calibri" w:hAnsi="Calibri"/>
                <w:b w:val="0"/>
                <w:sz w:val="17"/>
              </w:rPr>
              <w:t>820 000</w:t>
            </w:r>
          </w:p>
        </w:tc>
        <w:tc>
          <w:tcPr>
            <w:tcW w:type="dxa" w:w="1928"/>
          </w:tcPr>
          <w:p>
            <w:pPr>
              <w:spacing w:after="40" w:before="40"/>
              <w:jc w:val="center"/>
            </w:pPr>
            <w:r/>
            <w:r>
              <w:rPr>
                <w:rFonts w:ascii="Calibri" w:hAnsi="Calibri"/>
                <w:b/>
                <w:sz w:val="17"/>
              </w:rPr>
              <w:t>1 640 000</w:t>
            </w:r>
          </w:p>
        </w:tc>
        <w:tc>
          <w:tcPr>
            <w:tcW w:type="dxa" w:w="1814"/>
          </w:tcPr>
          <w:p>
            <w:pPr>
              <w:spacing w:after="40" w:before="40"/>
              <w:jc w:val="center"/>
            </w:pPr>
            <w:r/>
            <w:r>
              <w:rPr>
                <w:rFonts w:ascii="Calibri" w:hAnsi="Calibri"/>
                <w:b w:val="0"/>
                <w:sz w:val="17"/>
              </w:rPr>
              <w:t>19</w:t>
            </w:r>
          </w:p>
        </w:tc>
        <w:tc>
          <w:tcPr>
            <w:tcW w:type="dxa" w:w="1928"/>
          </w:tcPr>
          <w:p>
            <w:pPr>
              <w:spacing w:after="40" w:before="40"/>
              <w:jc w:val="center"/>
            </w:pPr>
            <w:r/>
            <w:r>
              <w:rPr>
                <w:rFonts w:ascii="Calibri" w:hAnsi="Calibri"/>
                <w:b w:val="0"/>
                <w:sz w:val="17"/>
              </w:rPr>
              <w:t>190</w:t>
            </w:r>
          </w:p>
        </w:tc>
        <w:tc>
          <w:tcPr>
            <w:tcW w:type="dxa" w:w="1304"/>
          </w:tcPr>
          <w:p>
            <w:pPr>
              <w:spacing w:after="40" w:before="40"/>
              <w:jc w:val="center"/>
            </w:pPr>
            <w:r/>
            <w:r>
              <w:rPr>
                <w:rFonts w:ascii="Calibri" w:hAnsi="Calibri"/>
                <w:b w:val="0"/>
                <w:sz w:val="17"/>
              </w:rPr>
              <w:t>0,73</w:t>
            </w:r>
          </w:p>
        </w:tc>
        <w:tc>
          <w:tcPr>
            <w:tcW w:type="dxa" w:w="1474"/>
          </w:tcPr>
          <w:p>
            <w:pPr>
              <w:spacing w:after="40" w:before="40"/>
              <w:jc w:val="center"/>
            </w:pPr>
            <w:r/>
            <w:r>
              <w:rPr>
                <w:rFonts w:ascii="Calibri" w:hAnsi="Calibri"/>
                <w:b/>
                <w:sz w:val="17"/>
              </w:rPr>
              <w:t>267</w:t>
            </w:r>
          </w:p>
        </w:tc>
        <w:tc>
          <w:tcPr>
            <w:tcW w:type="dxa" w:w="1928"/>
          </w:tcPr>
          <w:p>
            <w:pPr>
              <w:spacing w:after="40" w:before="40"/>
              <w:jc w:val="center"/>
            </w:pPr>
            <w:r/>
            <w:r>
              <w:rPr>
                <w:rFonts w:ascii="Calibri" w:hAnsi="Calibri"/>
                <w:b w:val="0"/>
                <w:sz w:val="17"/>
              </w:rPr>
              <w:t>273</w:t>
            </w:r>
          </w:p>
        </w:tc>
      </w:tr>
      <w:tr>
        <w:tc>
          <w:tcPr>
            <w:tcW w:type="dxa" w:w="2835"/>
            <w:shd w:val="clear" w:color="auto" w:fill="D9EAD3"/>
          </w:tcPr>
          <w:p>
            <w:pPr>
              <w:spacing w:after="40" w:before="40"/>
            </w:pPr>
            <w:r/>
            <w:r>
              <w:rPr>
                <w:rFonts w:ascii="Calibri" w:hAnsi="Calibri"/>
                <w:b/>
                <w:sz w:val="17"/>
              </w:rPr>
              <w:t>Central · Yape (2,19)</w:t>
            </w:r>
          </w:p>
        </w:tc>
        <w:tc>
          <w:tcPr>
            <w:tcW w:type="dxa" w:w="1928"/>
          </w:tcPr>
          <w:p>
            <w:pPr>
              <w:spacing w:after="40" w:before="40"/>
              <w:jc w:val="center"/>
            </w:pPr>
            <w:r/>
            <w:r>
              <w:rPr>
                <w:rFonts w:ascii="Calibri" w:hAnsi="Calibri"/>
                <w:b w:val="0"/>
                <w:sz w:val="17"/>
              </w:rPr>
              <w:t>2 187 171</w:t>
            </w:r>
          </w:p>
        </w:tc>
        <w:tc>
          <w:tcPr>
            <w:tcW w:type="dxa" w:w="1928"/>
          </w:tcPr>
          <w:p>
            <w:pPr>
              <w:spacing w:after="40" w:before="40"/>
              <w:jc w:val="center"/>
            </w:pPr>
            <w:r/>
            <w:r>
              <w:rPr>
                <w:rFonts w:ascii="Calibri" w:hAnsi="Calibri"/>
                <w:b/>
                <w:sz w:val="17"/>
              </w:rPr>
              <w:t>4 374 342</w:t>
            </w:r>
          </w:p>
        </w:tc>
        <w:tc>
          <w:tcPr>
            <w:tcW w:type="dxa" w:w="1814"/>
          </w:tcPr>
          <w:p>
            <w:pPr>
              <w:spacing w:after="40" w:before="40"/>
              <w:jc w:val="center"/>
            </w:pPr>
            <w:r/>
            <w:r>
              <w:rPr>
                <w:rFonts w:ascii="Calibri" w:hAnsi="Calibri"/>
                <w:b w:val="0"/>
                <w:sz w:val="17"/>
              </w:rPr>
              <w:t>51</w:t>
            </w:r>
          </w:p>
        </w:tc>
        <w:tc>
          <w:tcPr>
            <w:tcW w:type="dxa" w:w="1928"/>
          </w:tcPr>
          <w:p>
            <w:pPr>
              <w:spacing w:after="40" w:before="40"/>
              <w:jc w:val="center"/>
            </w:pPr>
            <w:r/>
            <w:r>
              <w:rPr>
                <w:rFonts w:ascii="Calibri" w:hAnsi="Calibri"/>
                <w:b w:val="0"/>
                <w:sz w:val="17"/>
              </w:rPr>
              <w:t>506</w:t>
            </w:r>
          </w:p>
        </w:tc>
        <w:tc>
          <w:tcPr>
            <w:tcW w:type="dxa" w:w="1304"/>
          </w:tcPr>
          <w:p>
            <w:pPr>
              <w:spacing w:after="40" w:before="40"/>
              <w:jc w:val="center"/>
            </w:pPr>
            <w:r/>
            <w:r>
              <w:rPr>
                <w:rFonts w:ascii="Calibri" w:hAnsi="Calibri"/>
                <w:b w:val="0"/>
                <w:sz w:val="17"/>
              </w:rPr>
              <w:t>1,47</w:t>
            </w:r>
          </w:p>
        </w:tc>
        <w:tc>
          <w:tcPr>
            <w:tcW w:type="dxa" w:w="1474"/>
          </w:tcPr>
          <w:p>
            <w:pPr>
              <w:spacing w:after="40" w:before="40"/>
              <w:jc w:val="center"/>
            </w:pPr>
            <w:r/>
            <w:r>
              <w:rPr>
                <w:rFonts w:ascii="Calibri" w:hAnsi="Calibri"/>
                <w:b/>
                <w:sz w:val="17"/>
              </w:rPr>
              <w:t>538</w:t>
            </w:r>
          </w:p>
        </w:tc>
        <w:tc>
          <w:tcPr>
            <w:tcW w:type="dxa" w:w="1928"/>
          </w:tcPr>
          <w:p>
            <w:pPr>
              <w:spacing w:after="40" w:before="40"/>
              <w:jc w:val="center"/>
            </w:pPr>
            <w:r/>
            <w:r>
              <w:rPr>
                <w:rFonts w:ascii="Calibri" w:hAnsi="Calibri"/>
                <w:b w:val="0"/>
                <w:sz w:val="17"/>
              </w:rPr>
              <w:t>135</w:t>
            </w:r>
          </w:p>
        </w:tc>
      </w:tr>
      <w:tr>
        <w:tc>
          <w:tcPr>
            <w:tcW w:type="dxa" w:w="2835"/>
          </w:tcPr>
          <w:p>
            <w:pPr>
              <w:spacing w:after="40" w:before="40"/>
            </w:pPr>
            <w:r/>
            <w:r>
              <w:rPr>
                <w:rFonts w:ascii="Calibri" w:hAnsi="Calibri"/>
                <w:b w:val="0"/>
                <w:sz w:val="17"/>
              </w:rPr>
              <w:t>Estrés · enunciado (5,00)</w:t>
            </w:r>
          </w:p>
        </w:tc>
        <w:tc>
          <w:tcPr>
            <w:tcW w:type="dxa" w:w="1928"/>
          </w:tcPr>
          <w:p>
            <w:pPr>
              <w:spacing w:after="40" w:before="40"/>
              <w:jc w:val="center"/>
            </w:pPr>
            <w:r/>
            <w:r>
              <w:rPr>
                <w:rFonts w:ascii="Calibri" w:hAnsi="Calibri"/>
                <w:b w:val="0"/>
                <w:sz w:val="17"/>
              </w:rPr>
              <w:t>5 000 000</w:t>
            </w:r>
          </w:p>
        </w:tc>
        <w:tc>
          <w:tcPr>
            <w:tcW w:type="dxa" w:w="1928"/>
          </w:tcPr>
          <w:p>
            <w:pPr>
              <w:spacing w:after="40" w:before="40"/>
              <w:jc w:val="center"/>
            </w:pPr>
            <w:r/>
            <w:r>
              <w:rPr>
                <w:rFonts w:ascii="Calibri" w:hAnsi="Calibri"/>
                <w:b/>
                <w:sz w:val="17"/>
              </w:rPr>
              <w:t>10 000 000</w:t>
            </w:r>
          </w:p>
        </w:tc>
        <w:tc>
          <w:tcPr>
            <w:tcW w:type="dxa" w:w="1814"/>
          </w:tcPr>
          <w:p>
            <w:pPr>
              <w:spacing w:after="40" w:before="40"/>
              <w:jc w:val="center"/>
            </w:pPr>
            <w:r/>
            <w:r>
              <w:rPr>
                <w:rFonts w:ascii="Calibri" w:hAnsi="Calibri"/>
                <w:b w:val="0"/>
                <w:sz w:val="17"/>
              </w:rPr>
              <w:t>116</w:t>
            </w:r>
          </w:p>
        </w:tc>
        <w:tc>
          <w:tcPr>
            <w:tcW w:type="dxa" w:w="1928"/>
          </w:tcPr>
          <w:p>
            <w:pPr>
              <w:spacing w:after="40" w:before="40"/>
              <w:jc w:val="center"/>
            </w:pPr>
            <w:r/>
            <w:r>
              <w:rPr>
                <w:rFonts w:ascii="Calibri" w:hAnsi="Calibri"/>
                <w:b w:val="0"/>
                <w:sz w:val="17"/>
              </w:rPr>
              <w:t>1 157</w:t>
            </w:r>
          </w:p>
        </w:tc>
        <w:tc>
          <w:tcPr>
            <w:tcW w:type="dxa" w:w="1304"/>
          </w:tcPr>
          <w:p>
            <w:pPr>
              <w:spacing w:after="40" w:before="40"/>
              <w:jc w:val="center"/>
            </w:pPr>
            <w:r/>
            <w:r>
              <w:rPr>
                <w:rFonts w:ascii="Calibri" w:hAnsi="Calibri"/>
                <w:b w:val="0"/>
                <w:sz w:val="17"/>
              </w:rPr>
              <w:t>3,00</w:t>
            </w:r>
          </w:p>
        </w:tc>
        <w:tc>
          <w:tcPr>
            <w:tcW w:type="dxa" w:w="1474"/>
          </w:tcPr>
          <w:p>
            <w:pPr>
              <w:spacing w:after="40" w:before="40"/>
              <w:jc w:val="center"/>
            </w:pPr>
            <w:r/>
            <w:r>
              <w:rPr>
                <w:rFonts w:ascii="Calibri" w:hAnsi="Calibri"/>
                <w:b/>
                <w:sz w:val="17"/>
              </w:rPr>
              <w:t>1 097</w:t>
            </w:r>
          </w:p>
        </w:tc>
        <w:tc>
          <w:tcPr>
            <w:tcW w:type="dxa" w:w="1928"/>
            <w:shd w:val="clear" w:color="auto" w:fill="F4CCCC"/>
          </w:tcPr>
          <w:p>
            <w:pPr>
              <w:spacing w:after="40" w:before="40"/>
              <w:jc w:val="center"/>
            </w:pPr>
            <w:r/>
            <w:r>
              <w:rPr>
                <w:rFonts w:ascii="Calibri" w:hAnsi="Calibri"/>
                <w:b/>
                <w:sz w:val="17"/>
              </w:rPr>
              <w:t>66</w:t>
            </w:r>
          </w:p>
        </w:tc>
      </w:tr>
    </w:tbl>
    <w:p>
      <w:pPr>
        <w:spacing w:after="160"/>
        <w:jc w:val="both"/>
      </w:pPr>
      <w:r>
        <w:rPr>
          <w:rFonts w:ascii="Calibri" w:hAnsi="Calibri"/>
          <w:b/>
          <w:sz w:val="20"/>
        </w:rPr>
        <w:t>La conclusión que obliga a actuar.</w:t>
      </w:r>
      <w:r>
        <w:rPr>
          <w:rFonts w:ascii="Calibri" w:hAnsi="Calibri"/>
          <w:b w:val="0"/>
          <w:sz w:val="20"/>
        </w:rPr>
        <w:t xml:space="preserve"> La instancia de producción prevista es una Oracle Ampere A1 del nivel siempre gratuito: 4 vCPU ARM, 24 GB de memoria y </w:t>
      </w:r>
      <w:r>
        <w:rPr>
          <w:rFonts w:ascii="Calibri" w:hAnsi="Calibri"/>
          <w:b/>
          <w:sz w:val="20"/>
        </w:rPr>
        <w:t>200 GB de disco</w:t>
      </w:r>
      <w:r>
        <w:rPr>
          <w:rFonts w:ascii="Calibri" w:hAnsi="Calibri"/>
          <w:b w:val="0"/>
          <w:sz w:val="20"/>
        </w:rPr>
        <w:t xml:space="preserve">. En el escenario central ese disco se llena en </w:t>
      </w:r>
      <w:r>
        <w:rPr>
          <w:rFonts w:ascii="Calibri" w:hAnsi="Calibri"/>
          <w:b/>
          <w:sz w:val="20"/>
        </w:rPr>
        <w:t>135 días</w:t>
      </w:r>
      <w:r>
        <w:rPr>
          <w:rFonts w:ascii="Calibri" w:hAnsi="Calibri"/>
          <w:b w:val="0"/>
          <w:sz w:val="20"/>
        </w:rPr>
        <w:t xml:space="preserve">; en el de estrés, en </w:t>
      </w:r>
      <w:r>
        <w:rPr>
          <w:rFonts w:ascii="Calibri" w:hAnsi="Calibri"/>
          <w:b/>
          <w:sz w:val="20"/>
        </w:rPr>
        <w:t>66</w:t>
      </w:r>
      <w:r>
        <w:rPr>
          <w:rFonts w:ascii="Calibri" w:hAnsi="Calibri"/>
          <w:b w:val="0"/>
          <w:sz w:val="20"/>
        </w:rPr>
        <w:t xml:space="preserve">. Trabajar con retención de doce meses en línea exigiría </w:t>
      </w:r>
      <w:r>
        <w:rPr>
          <w:rFonts w:ascii="Calibri" w:hAnsi="Calibri"/>
          <w:b/>
          <w:sz w:val="20"/>
        </w:rPr>
        <w:t>1 097 GiB</w:t>
      </w:r>
      <w:r>
        <w:rPr>
          <w:rFonts w:ascii="Calibri" w:hAnsi="Calibri"/>
          <w:b w:val="0"/>
          <w:sz w:val="20"/>
        </w:rPr>
        <w:t>, cinco veces y media lo disponible. El apartado 4.4 detalla la respuesta: particionado mensual y archivado en frío.</w:t>
      </w:r>
    </w:p>
    <w:p>
      <w:r>
        <w:br w:type="page"/>
      </w:r>
    </w:p>
    <w:p>
      <w:pPr>
        <w:spacing w:before="360" w:after="120"/>
        <w:pBdr>
          <w:bottom w:val="single" w:sz="12" w:space="4" w:color="064475"/>
        </w:pBdr>
      </w:pPr>
      <w:r>
        <w:rPr>
          <w:rFonts w:ascii="Calibri" w:hAnsi="Calibri"/>
          <w:b/>
          <w:color w:val="064475"/>
          <w:sz w:val="30"/>
        </w:rPr>
        <w:t>4.  Encargo 2 · Tablas de alto tráfico y su estrategia de índices</w:t>
      </w:r>
    </w:p>
    <w:p>
      <w:pPr>
        <w:spacing w:before="220" w:after="120"/>
      </w:pPr>
      <w:r>
        <w:rPr>
          <w:rFonts w:ascii="Calibri" w:hAnsi="Calibri"/>
          <w:b/>
          <w:color w:val="064475"/>
          <w:sz w:val="24"/>
        </w:rPr>
        <w:t>4.1  Clasificación</w:t>
      </w: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7"/>
              </w:rPr>
              <w:t>Tabla</w:t>
            </w:r>
          </w:p>
        </w:tc>
        <w:tc>
          <w:tcPr>
            <w:tcW w:type="dxa" w:w="1247"/>
            <w:shd w:val="clear" w:color="auto" w:fill="064475"/>
          </w:tcPr>
          <w:p>
            <w:pPr>
              <w:spacing w:after="40" w:before="40"/>
            </w:pPr>
            <w:r/>
            <w:r>
              <w:rPr>
                <w:rFonts w:ascii="Calibri" w:hAnsi="Calibri"/>
                <w:b/>
                <w:color w:val="FFFFFF"/>
                <w:sz w:val="17"/>
              </w:rPr>
              <w:t>Nivel</w:t>
            </w:r>
          </w:p>
        </w:tc>
        <w:tc>
          <w:tcPr>
            <w:tcW w:type="dxa" w:w="3628"/>
            <w:shd w:val="clear" w:color="auto" w:fill="064475"/>
          </w:tcPr>
          <w:p>
            <w:pPr>
              <w:spacing w:after="40" w:before="40"/>
            </w:pPr>
            <w:r/>
            <w:r>
              <w:rPr>
                <w:rFonts w:ascii="Calibri" w:hAnsi="Calibri"/>
                <w:b/>
                <w:color w:val="FFFFFF"/>
                <w:sz w:val="17"/>
              </w:rPr>
              <w:t>Volumen proyectado (escenario central)</w:t>
            </w:r>
          </w:p>
        </w:tc>
        <w:tc>
          <w:tcPr>
            <w:tcW w:type="dxa" w:w="7200"/>
            <w:shd w:val="clear" w:color="auto" w:fill="064475"/>
          </w:tcPr>
          <w:p>
            <w:pPr>
              <w:spacing w:after="40" w:before="40"/>
            </w:pPr>
            <w:r/>
            <w:r>
              <w:rPr>
                <w:rFonts w:ascii="Calibri" w:hAnsi="Calibri"/>
                <w:b/>
                <w:color w:val="FFFFFF"/>
                <w:sz w:val="17"/>
              </w:rPr>
              <w:t>Patrón de acceso</w:t>
            </w:r>
          </w:p>
        </w:tc>
      </w:tr>
      <w:tr>
        <w:tc>
          <w:tcPr>
            <w:tcW w:type="dxa" w:w="3061"/>
          </w:tcPr>
          <w:p>
            <w:pPr>
              <w:spacing w:after="40" w:before="40"/>
            </w:pPr>
            <w:r/>
            <w:r>
              <w:rPr>
                <w:rFonts w:ascii="Calibri" w:hAnsi="Calibri"/>
                <w:b w:val="0"/>
                <w:sz w:val="17"/>
              </w:rPr>
              <w:t>`core.asiento`</w:t>
            </w:r>
          </w:p>
        </w:tc>
        <w:tc>
          <w:tcPr>
            <w:tcW w:type="dxa" w:w="1247"/>
            <w:shd w:val="clear" w:color="auto" w:fill="F4CCCC"/>
          </w:tcPr>
          <w:p>
            <w:pPr>
              <w:spacing w:after="40" w:before="40"/>
              <w:jc w:val="center"/>
            </w:pPr>
            <w:r/>
            <w:r>
              <w:rPr>
                <w:rFonts w:ascii="Calibri" w:hAnsi="Calibri"/>
                <w:b/>
                <w:sz w:val="17"/>
              </w:rPr>
              <w:t>ALTO</w:t>
            </w:r>
          </w:p>
        </w:tc>
        <w:tc>
          <w:tcPr>
            <w:tcW w:type="dxa" w:w="3628"/>
          </w:tcPr>
          <w:p>
            <w:pPr>
              <w:spacing w:after="40" w:before="40"/>
            </w:pPr>
            <w:r/>
            <w:r>
              <w:rPr>
                <w:rFonts w:ascii="Calibri" w:hAnsi="Calibri"/>
                <w:b/>
                <w:sz w:val="17"/>
              </w:rPr>
              <w:t>4,37 M filas/día · 1 596 M/año</w:t>
            </w:r>
          </w:p>
        </w:tc>
        <w:tc>
          <w:tcPr>
            <w:tcW w:type="dxa" w:w="7200"/>
          </w:tcPr>
          <w:p>
            <w:pPr>
              <w:spacing w:after="40" w:before="40"/>
            </w:pPr>
            <w:r/>
            <w:r>
              <w:rPr>
                <w:rFonts w:ascii="Calibri" w:hAnsi="Calibri"/>
                <w:b w:val="0"/>
                <w:sz w:val="17"/>
              </w:rPr>
              <w:t xml:space="preserve">Inserción masiva en lote de dos. Lectura por `cuenta_id` ordenada por fecha. </w:t>
            </w:r>
            <w:r>
              <w:rPr>
                <w:rFonts w:ascii="Calibri" w:hAnsi="Calibri"/>
                <w:b/>
                <w:sz w:val="17"/>
              </w:rPr>
              <w:t>Nunca se actualiza ni se borra</w:t>
            </w:r>
            <w:r>
              <w:rPr>
                <w:rFonts w:ascii="Calibri" w:hAnsi="Calibri"/>
                <w:b w:val="0"/>
                <w:sz w:val="17"/>
              </w:rPr>
              <w:t>: un asiento es inmutable.</w:t>
            </w:r>
          </w:p>
        </w:tc>
      </w:tr>
      <w:tr>
        <w:tc>
          <w:tcPr>
            <w:tcW w:type="dxa" w:w="3061"/>
          </w:tcPr>
          <w:p>
            <w:pPr>
              <w:spacing w:after="40" w:before="40"/>
            </w:pPr>
            <w:r/>
            <w:r>
              <w:rPr>
                <w:rFonts w:ascii="Calibri" w:hAnsi="Calibri"/>
                <w:b w:val="0"/>
                <w:sz w:val="17"/>
              </w:rPr>
              <w:t>`core.outbox`</w:t>
            </w:r>
          </w:p>
        </w:tc>
        <w:tc>
          <w:tcPr>
            <w:tcW w:type="dxa" w:w="1247"/>
            <w:shd w:val="clear" w:color="auto" w:fill="F4CCCC"/>
          </w:tcPr>
          <w:p>
            <w:pPr>
              <w:spacing w:after="40" w:before="40"/>
              <w:jc w:val="center"/>
            </w:pPr>
            <w:r/>
            <w:r>
              <w:rPr>
                <w:rFonts w:ascii="Calibri" w:hAnsi="Calibri"/>
                <w:b/>
                <w:sz w:val="17"/>
              </w:rPr>
              <w:t>ALTO</w:t>
            </w:r>
          </w:p>
        </w:tc>
        <w:tc>
          <w:tcPr>
            <w:tcW w:type="dxa" w:w="3628"/>
          </w:tcPr>
          <w:p>
            <w:pPr>
              <w:spacing w:after="40" w:before="40"/>
            </w:pPr>
            <w:r/>
            <w:r>
              <w:rPr>
                <w:rFonts w:ascii="Calibri" w:hAnsi="Calibri"/>
                <w:b w:val="0"/>
                <w:sz w:val="17"/>
              </w:rPr>
              <w:t xml:space="preserve">2,19 M filas/día, pero </w:t>
            </w:r>
            <w:r>
              <w:rPr>
                <w:rFonts w:ascii="Calibri" w:hAnsi="Calibri"/>
                <w:b/>
                <w:sz w:val="17"/>
              </w:rPr>
              <w:t>rotación completa</w:t>
            </w:r>
          </w:p>
        </w:tc>
        <w:tc>
          <w:tcPr>
            <w:tcW w:type="dxa" w:w="7200"/>
          </w:tcPr>
          <w:p>
            <w:pPr>
              <w:spacing w:after="40" w:before="40"/>
            </w:pPr>
            <w:r/>
            <w:r>
              <w:rPr>
                <w:rFonts w:ascii="Calibri" w:hAnsi="Calibri"/>
                <w:b w:val="0"/>
                <w:sz w:val="17"/>
              </w:rPr>
              <w:t>Inserción, lectura de los pendientes, actualización al publicar y purga. Su tamaño en reposo debe mantenerse cercano a cero.</w:t>
            </w:r>
          </w:p>
        </w:tc>
      </w:tr>
      <w:tr>
        <w:tc>
          <w:tcPr>
            <w:tcW w:type="dxa" w:w="3061"/>
          </w:tcPr>
          <w:p>
            <w:pPr>
              <w:spacing w:after="40" w:before="40"/>
            </w:pPr>
            <w:r/>
            <w:r>
              <w:rPr>
                <w:rFonts w:ascii="Calibri" w:hAnsi="Calibri"/>
                <w:b w:val="0"/>
                <w:sz w:val="17"/>
              </w:rPr>
              <w:t>`identity.evento_auditoria`</w:t>
            </w:r>
          </w:p>
        </w:tc>
        <w:tc>
          <w:tcPr>
            <w:tcW w:type="dxa" w:w="1247"/>
            <w:shd w:val="clear" w:color="auto" w:fill="F4CCCC"/>
          </w:tcPr>
          <w:p>
            <w:pPr>
              <w:spacing w:after="40" w:before="40"/>
              <w:jc w:val="center"/>
            </w:pPr>
            <w:r/>
            <w:r>
              <w:rPr>
                <w:rFonts w:ascii="Calibri" w:hAnsi="Calibri"/>
                <w:b/>
                <w:sz w:val="17"/>
              </w:rPr>
              <w:t>ALTO</w:t>
            </w:r>
          </w:p>
        </w:tc>
        <w:tc>
          <w:tcPr>
            <w:tcW w:type="dxa" w:w="3628"/>
          </w:tcPr>
          <w:p>
            <w:pPr>
              <w:spacing w:after="40" w:before="40"/>
            </w:pPr>
            <w:r/>
            <w:r>
              <w:rPr>
                <w:rFonts w:ascii="Calibri" w:hAnsi="Calibri"/>
                <w:b w:val="0"/>
                <w:sz w:val="17"/>
              </w:rPr>
              <w:t>1 M filas/día · 365 M/año</w:t>
            </w:r>
          </w:p>
        </w:tc>
        <w:tc>
          <w:tcPr>
            <w:tcW w:type="dxa" w:w="7200"/>
          </w:tcPr>
          <w:p>
            <w:pPr>
              <w:spacing w:after="40" w:before="40"/>
            </w:pPr>
            <w:r/>
            <w:r>
              <w:rPr>
                <w:rFonts w:ascii="Calibri" w:hAnsi="Calibri"/>
                <w:b w:val="0"/>
                <w:sz w:val="17"/>
              </w:rPr>
              <w:t>Solo inserción. Lectura esporádica por usuario o por tipo, siempre acotada por fecha.</w:t>
            </w:r>
          </w:p>
        </w:tc>
      </w:tr>
      <w:tr>
        <w:tc>
          <w:tcPr>
            <w:tcW w:type="dxa" w:w="3061"/>
          </w:tcPr>
          <w:p>
            <w:pPr>
              <w:spacing w:after="40" w:before="40"/>
            </w:pPr>
            <w:r/>
            <w:r>
              <w:rPr>
                <w:rFonts w:ascii="Calibri" w:hAnsi="Calibri"/>
                <w:b w:val="0"/>
                <w:sz w:val="17"/>
              </w:rPr>
              <w:t>`identity.refresh_token`</w:t>
            </w:r>
          </w:p>
        </w:tc>
        <w:tc>
          <w:tcPr>
            <w:tcW w:type="dxa" w:w="1247"/>
            <w:shd w:val="clear" w:color="auto" w:fill="F4CCCC"/>
          </w:tcPr>
          <w:p>
            <w:pPr>
              <w:spacing w:after="40" w:before="40"/>
              <w:jc w:val="center"/>
            </w:pPr>
            <w:r/>
            <w:r>
              <w:rPr>
                <w:rFonts w:ascii="Calibri" w:hAnsi="Calibri"/>
                <w:b/>
                <w:sz w:val="17"/>
              </w:rPr>
              <w:t>ALTO</w:t>
            </w:r>
          </w:p>
        </w:tc>
        <w:tc>
          <w:tcPr>
            <w:tcW w:type="dxa" w:w="3628"/>
          </w:tcPr>
          <w:p>
            <w:pPr>
              <w:spacing w:after="40" w:before="40"/>
            </w:pPr>
            <w:r/>
            <w:r>
              <w:rPr>
                <w:rFonts w:ascii="Calibri" w:hAnsi="Calibri"/>
                <w:b w:val="0"/>
                <w:sz w:val="17"/>
              </w:rPr>
              <w:t>~2 M filas vivas</w:t>
            </w:r>
          </w:p>
        </w:tc>
        <w:tc>
          <w:tcPr>
            <w:tcW w:type="dxa" w:w="7200"/>
          </w:tcPr>
          <w:p>
            <w:pPr>
              <w:spacing w:after="40" w:before="40"/>
            </w:pPr>
            <w:r/>
            <w:r>
              <w:rPr>
                <w:rFonts w:ascii="Calibri" w:hAnsi="Calibri"/>
                <w:b w:val="0"/>
                <w:sz w:val="17"/>
              </w:rPr>
              <w:t>Inserción y actualización en cada renovación de sesión. Lectura por huella en cada petición autenticada.</w:t>
            </w:r>
          </w:p>
        </w:tc>
      </w:tr>
      <w:tr>
        <w:tc>
          <w:tcPr>
            <w:tcW w:type="dxa" w:w="3061"/>
          </w:tcPr>
          <w:p>
            <w:pPr>
              <w:spacing w:after="40" w:before="40"/>
            </w:pPr>
            <w:r/>
            <w:r>
              <w:rPr>
                <w:rFonts w:ascii="Calibri" w:hAnsi="Calibri"/>
                <w:b w:val="0"/>
                <w:sz w:val="17"/>
              </w:rPr>
              <w:t>`core.cuenta`</w:t>
            </w:r>
          </w:p>
        </w:tc>
        <w:tc>
          <w:tcPr>
            <w:tcW w:type="dxa" w:w="1247"/>
            <w:shd w:val="clear" w:color="auto" w:fill="FCE5CD"/>
          </w:tcPr>
          <w:p>
            <w:pPr>
              <w:spacing w:after="40" w:before="40"/>
              <w:jc w:val="center"/>
            </w:pPr>
            <w:r/>
            <w:r>
              <w:rPr>
                <w:rFonts w:ascii="Calibri" w:hAnsi="Calibri"/>
                <w:b w:val="0"/>
                <w:sz w:val="17"/>
              </w:rPr>
              <w:t>MEDIO</w:t>
            </w:r>
          </w:p>
        </w:tc>
        <w:tc>
          <w:tcPr>
            <w:tcW w:type="dxa" w:w="3628"/>
          </w:tcPr>
          <w:p>
            <w:pPr>
              <w:spacing w:after="40" w:before="40"/>
            </w:pPr>
            <w:r/>
            <w:r>
              <w:rPr>
                <w:rFonts w:ascii="Calibri" w:hAnsi="Calibri"/>
                <w:b w:val="0"/>
                <w:sz w:val="17"/>
              </w:rPr>
              <w:t>1–2 M filas (una por usuario y moneda)</w:t>
            </w:r>
          </w:p>
        </w:tc>
        <w:tc>
          <w:tcPr>
            <w:tcW w:type="dxa" w:w="7200"/>
          </w:tcPr>
          <w:p>
            <w:pPr>
              <w:spacing w:after="40" w:before="40"/>
            </w:pPr>
            <w:r/>
            <w:r>
              <w:rPr>
                <w:rFonts w:ascii="Calibri" w:hAnsi="Calibri"/>
                <w:b/>
                <w:sz w:val="17"/>
              </w:rPr>
              <w:t>Lectura en cada operación monetaria.</w:t>
            </w:r>
            <w:r>
              <w:rPr>
                <w:rFonts w:ascii="Calibri" w:hAnsi="Calibri"/>
                <w:b w:val="0"/>
                <w:sz w:val="17"/>
              </w:rPr>
              <w:t xml:space="preserve"> Escritura solo al abrir o cerrar.</w:t>
            </w:r>
          </w:p>
        </w:tc>
      </w:tr>
      <w:tr>
        <w:tc>
          <w:tcPr>
            <w:tcW w:type="dxa" w:w="3061"/>
          </w:tcPr>
          <w:p>
            <w:pPr>
              <w:spacing w:after="40" w:before="40"/>
            </w:pPr>
            <w:r/>
            <w:r>
              <w:rPr>
                <w:rFonts w:ascii="Calibri" w:hAnsi="Calibri"/>
                <w:b w:val="0"/>
                <w:sz w:val="17"/>
              </w:rPr>
              <w:t>`identity.usuario`</w:t>
            </w:r>
          </w:p>
        </w:tc>
        <w:tc>
          <w:tcPr>
            <w:tcW w:type="dxa" w:w="1247"/>
            <w:shd w:val="clear" w:color="auto" w:fill="FCE5CD"/>
          </w:tcPr>
          <w:p>
            <w:pPr>
              <w:spacing w:after="40" w:before="40"/>
              <w:jc w:val="center"/>
            </w:pPr>
            <w:r/>
            <w:r>
              <w:rPr>
                <w:rFonts w:ascii="Calibri" w:hAnsi="Calibri"/>
                <w:b w:val="0"/>
                <w:sz w:val="17"/>
              </w:rPr>
              <w:t>MEDIO</w:t>
            </w:r>
          </w:p>
        </w:tc>
        <w:tc>
          <w:tcPr>
            <w:tcW w:type="dxa" w:w="3628"/>
          </w:tcPr>
          <w:p>
            <w:pPr>
              <w:spacing w:after="40" w:before="40"/>
            </w:pPr>
            <w:r/>
            <w:r>
              <w:rPr>
                <w:rFonts w:ascii="Calibri" w:hAnsi="Calibri"/>
                <w:b w:val="0"/>
                <w:sz w:val="17"/>
              </w:rPr>
              <w:t>1 M filas</w:t>
            </w:r>
          </w:p>
        </w:tc>
        <w:tc>
          <w:tcPr>
            <w:tcW w:type="dxa" w:w="7200"/>
          </w:tcPr>
          <w:p>
            <w:pPr>
              <w:spacing w:after="40" w:before="40"/>
            </w:pPr>
            <w:r/>
            <w:r>
              <w:rPr>
                <w:rFonts w:ascii="Calibri" w:hAnsi="Calibri"/>
                <w:b w:val="0"/>
                <w:sz w:val="17"/>
              </w:rPr>
              <w:t>Lectura por correo en cada intento de ingreso.</w:t>
            </w:r>
          </w:p>
        </w:tc>
      </w:tr>
      <w:tr>
        <w:tc>
          <w:tcPr>
            <w:tcW w:type="dxa" w:w="3061"/>
          </w:tcPr>
          <w:p>
            <w:pPr>
              <w:spacing w:after="40" w:before="40"/>
            </w:pPr>
            <w:r/>
            <w:r>
              <w:rPr>
                <w:rFonts w:ascii="Calibri" w:hAnsi="Calibri"/>
                <w:b w:val="0"/>
                <w:sz w:val="17"/>
              </w:rPr>
              <w:t>`core.operacion_idempotente`</w:t>
            </w:r>
          </w:p>
        </w:tc>
        <w:tc>
          <w:tcPr>
            <w:tcW w:type="dxa" w:w="1247"/>
            <w:shd w:val="clear" w:color="auto" w:fill="FCE5CD"/>
          </w:tcPr>
          <w:p>
            <w:pPr>
              <w:spacing w:after="40" w:before="40"/>
              <w:jc w:val="center"/>
            </w:pPr>
            <w:r/>
            <w:r>
              <w:rPr>
                <w:rFonts w:ascii="Calibri" w:hAnsi="Calibri"/>
                <w:b w:val="0"/>
                <w:sz w:val="17"/>
              </w:rPr>
              <w:t>MEDIO</w:t>
            </w:r>
          </w:p>
        </w:tc>
        <w:tc>
          <w:tcPr>
            <w:tcW w:type="dxa" w:w="3628"/>
          </w:tcPr>
          <w:p>
            <w:pPr>
              <w:spacing w:after="40" w:before="40"/>
            </w:pPr>
            <w:r/>
            <w:r>
              <w:rPr>
                <w:rFonts w:ascii="Calibri" w:hAnsi="Calibri"/>
                <w:b w:val="0"/>
                <w:sz w:val="17"/>
              </w:rPr>
              <w:t>2,19 M filas/día</w:t>
            </w:r>
          </w:p>
        </w:tc>
        <w:tc>
          <w:tcPr>
            <w:tcW w:type="dxa" w:w="7200"/>
          </w:tcPr>
          <w:p>
            <w:pPr>
              <w:spacing w:after="40" w:before="40"/>
            </w:pPr>
            <w:r/>
            <w:r>
              <w:rPr>
                <w:rFonts w:ascii="Calibri" w:hAnsi="Calibri"/>
                <w:b w:val="0"/>
                <w:sz w:val="17"/>
              </w:rPr>
              <w:t>Escritura y lectura por clave en cada operación monetaria. Purgable a los 30 días.</w:t>
            </w:r>
          </w:p>
        </w:tc>
      </w:tr>
      <w:tr>
        <w:tc>
          <w:tcPr>
            <w:tcW w:type="dxa" w:w="3061"/>
          </w:tcPr>
          <w:p>
            <w:pPr>
              <w:spacing w:after="40" w:before="40"/>
            </w:pPr>
            <w:r/>
            <w:r>
              <w:rPr>
                <w:rFonts w:ascii="Calibri" w:hAnsi="Calibri"/>
                <w:b w:val="0"/>
                <w:sz w:val="17"/>
              </w:rPr>
              <w:t>Catálogos</w:t>
            </w:r>
          </w:p>
        </w:tc>
        <w:tc>
          <w:tcPr>
            <w:tcW w:type="dxa" w:w="1247"/>
          </w:tcPr>
          <w:p>
            <w:pPr>
              <w:spacing w:after="40" w:before="40"/>
              <w:jc w:val="center"/>
            </w:pPr>
            <w:r/>
            <w:r>
              <w:rPr>
                <w:rFonts w:ascii="Calibri" w:hAnsi="Calibri"/>
                <w:b w:val="0"/>
                <w:sz w:val="17"/>
              </w:rPr>
              <w:t>BAJO</w:t>
            </w:r>
          </w:p>
        </w:tc>
        <w:tc>
          <w:tcPr>
            <w:tcW w:type="dxa" w:w="3628"/>
          </w:tcPr>
          <w:p>
            <w:pPr>
              <w:spacing w:after="40" w:before="40"/>
            </w:pPr>
            <w:r/>
            <w:r>
              <w:rPr>
                <w:rFonts w:ascii="Calibri" w:hAnsi="Calibri"/>
                <w:b w:val="0"/>
                <w:sz w:val="17"/>
              </w:rPr>
              <w:t>Decenas de filas</w:t>
            </w:r>
          </w:p>
        </w:tc>
        <w:tc>
          <w:tcPr>
            <w:tcW w:type="dxa" w:w="7200"/>
          </w:tcPr>
          <w:p>
            <w:pPr>
              <w:spacing w:after="40" w:before="40"/>
            </w:pPr>
            <w:r/>
            <w:r>
              <w:rPr>
                <w:rFonts w:ascii="Calibri" w:hAnsi="Calibri"/>
                <w:b w:val="0"/>
                <w:sz w:val="17"/>
              </w:rPr>
              <w:t xml:space="preserve">Lectura constante, escritura casi nula. </w:t>
            </w:r>
            <w:r>
              <w:rPr>
                <w:rFonts w:ascii="Calibri" w:hAnsi="Calibri"/>
                <w:b/>
                <w:sz w:val="17"/>
              </w:rPr>
              <w:t>Caben enteros en memoria</w:t>
            </w:r>
            <w:r>
              <w:rPr>
                <w:rFonts w:ascii="Calibri" w:hAnsi="Calibri"/>
                <w:b w:val="0"/>
                <w:sz w:val="17"/>
              </w:rPr>
              <w:t>; el plan de ejecución los resolverá por barrido secuencial y será lo correcto.</w:t>
            </w:r>
          </w:p>
        </w:tc>
      </w:tr>
    </w:tbl>
    <w:p>
      <w:pPr>
        <w:spacing w:before="220" w:after="120"/>
      </w:pPr>
      <w:r>
        <w:rPr>
          <w:rFonts w:ascii="Calibri" w:hAnsi="Calibri"/>
          <w:b/>
          <w:color w:val="064475"/>
          <w:sz w:val="24"/>
        </w:rPr>
        <w:t>4.2  Los índices que ya existen y por qué están</w:t>
      </w:r>
    </w:p>
    <w:p>
      <w:pPr>
        <w:spacing w:after="160"/>
        <w:jc w:val="both"/>
      </w:pPr>
      <w:r>
        <w:rPr>
          <w:rFonts w:ascii="Calibri" w:hAnsi="Calibri"/>
          <w:b w:val="0"/>
          <w:sz w:val="20"/>
        </w:rPr>
        <w:t xml:space="preserve">La base tiene </w:t>
      </w:r>
      <w:r>
        <w:rPr>
          <w:rFonts w:ascii="Calibri" w:hAnsi="Calibri"/>
          <w:b/>
          <w:sz w:val="20"/>
        </w:rPr>
        <w:t>44 índices</w:t>
      </w:r>
      <w:r>
        <w:rPr>
          <w:rFonts w:ascii="Calibri" w:hAnsi="Calibri"/>
          <w:b w:val="0"/>
          <w:sz w:val="20"/>
        </w:rPr>
        <w:t>: 20 vienen de las claves primarias y 24 se crearon a mano. No se añadieron por costumbre; cada uno responde a una consulta concreta.</w:t>
      </w:r>
    </w:p>
    <w:tbl>
      <w:tblPr>
        <w:tblStyle w:val="TableGrid"/>
        <w:tblW w:type="auto" w:w="0"/>
        <w:tblLook w:firstColumn="1" w:firstRow="1" w:lastColumn="0" w:lastRow="0" w:noHBand="0" w:noVBand="1" w:val="04A0"/>
      </w:tblPr>
      <w:tblGrid>
        <w:gridCol w:w="5046"/>
        <w:gridCol w:w="5046"/>
        <w:gridCol w:w="5046"/>
      </w:tblGrid>
      <w:tr>
        <w:tc>
          <w:tcPr>
            <w:tcW w:type="dxa" w:w="3515"/>
            <w:shd w:val="clear" w:color="auto" w:fill="064475"/>
          </w:tcPr>
          <w:p>
            <w:pPr>
              <w:spacing w:after="40" w:before="40"/>
            </w:pPr>
            <w:r/>
            <w:r>
              <w:rPr>
                <w:rFonts w:ascii="Calibri" w:hAnsi="Calibri"/>
                <w:b/>
                <w:color w:val="FFFFFF"/>
                <w:sz w:val="17"/>
              </w:rPr>
              <w:t>Índice</w:t>
            </w:r>
          </w:p>
        </w:tc>
        <w:tc>
          <w:tcPr>
            <w:tcW w:type="dxa" w:w="3628"/>
            <w:shd w:val="clear" w:color="auto" w:fill="064475"/>
          </w:tcPr>
          <w:p>
            <w:pPr>
              <w:spacing w:after="40" w:before="40"/>
            </w:pPr>
            <w:r/>
            <w:r>
              <w:rPr>
                <w:rFonts w:ascii="Calibri" w:hAnsi="Calibri"/>
                <w:b/>
                <w:color w:val="FFFFFF"/>
                <w:sz w:val="17"/>
              </w:rPr>
              <w:t>Definición</w:t>
            </w:r>
          </w:p>
        </w:tc>
        <w:tc>
          <w:tcPr>
            <w:tcW w:type="dxa" w:w="7994"/>
            <w:shd w:val="clear" w:color="auto" w:fill="064475"/>
          </w:tcPr>
          <w:p>
            <w:pPr>
              <w:spacing w:after="40" w:before="40"/>
            </w:pPr>
            <w:r/>
            <w:r>
              <w:rPr>
                <w:rFonts w:ascii="Calibri" w:hAnsi="Calibri"/>
                <w:b/>
                <w:color w:val="FFFFFF"/>
                <w:sz w:val="17"/>
              </w:rPr>
              <w:t>Consulta que sostiene</w:t>
            </w:r>
          </w:p>
        </w:tc>
      </w:tr>
      <w:tr>
        <w:tc>
          <w:tcPr>
            <w:tcW w:type="dxa" w:w="3515"/>
          </w:tcPr>
          <w:p>
            <w:pPr>
              <w:spacing w:after="40" w:before="40"/>
            </w:pPr>
            <w:r/>
            <w:r>
              <w:rPr>
                <w:rFonts w:ascii="Calibri" w:hAnsi="Calibri"/>
                <w:b w:val="0"/>
                <w:sz w:val="17"/>
              </w:rPr>
              <w:t>`ix_asiento_cuenta`</w:t>
            </w:r>
          </w:p>
        </w:tc>
        <w:tc>
          <w:tcPr>
            <w:tcW w:type="dxa" w:w="3628"/>
          </w:tcPr>
          <w:p>
            <w:pPr>
              <w:spacing w:after="40" w:before="40"/>
            </w:pPr>
            <w:r/>
            <w:r>
              <w:rPr>
                <w:rFonts w:ascii="Calibri" w:hAnsi="Calibri"/>
                <w:b w:val="0"/>
                <w:sz w:val="17"/>
              </w:rPr>
              <w:t>`(cuenta_id, registrado_en DESC)`</w:t>
            </w:r>
          </w:p>
        </w:tc>
        <w:tc>
          <w:tcPr>
            <w:tcW w:type="dxa" w:w="7994"/>
          </w:tcPr>
          <w:p>
            <w:pPr>
              <w:spacing w:after="40" w:before="40"/>
            </w:pPr>
            <w:r/>
            <w:r>
              <w:rPr>
                <w:rFonts w:ascii="Calibri" w:hAnsi="Calibri"/>
                <w:b/>
                <w:sz w:val="17"/>
              </w:rPr>
              <w:t>El más importante del sistema.</w:t>
            </w:r>
            <w:r>
              <w:rPr>
                <w:rFonts w:ascii="Calibri" w:hAnsi="Calibri"/>
                <w:b w:val="0"/>
                <w:sz w:val="17"/>
              </w:rPr>
              <w:t xml:space="preserve"> Es el extracto de movimientos: «los últimos N de esta cuenta». Compuesto y ya ordenado en descendente, de modo que el motor no ordena en memoria. Sin él, `HU-08` obligaría a recorrer 1 596 millones de filas.</w:t>
            </w:r>
          </w:p>
        </w:tc>
      </w:tr>
      <w:tr>
        <w:tc>
          <w:tcPr>
            <w:tcW w:type="dxa" w:w="3515"/>
          </w:tcPr>
          <w:p>
            <w:pPr>
              <w:spacing w:after="40" w:before="40"/>
            </w:pPr>
            <w:r/>
            <w:r>
              <w:rPr>
                <w:rFonts w:ascii="Calibri" w:hAnsi="Calibri"/>
                <w:b w:val="0"/>
                <w:sz w:val="17"/>
              </w:rPr>
              <w:t>`ix_asiento_movimiento`</w:t>
            </w:r>
          </w:p>
        </w:tc>
        <w:tc>
          <w:tcPr>
            <w:tcW w:type="dxa" w:w="3628"/>
          </w:tcPr>
          <w:p>
            <w:pPr>
              <w:spacing w:after="40" w:before="40"/>
            </w:pPr>
            <w:r/>
            <w:r>
              <w:rPr>
                <w:rFonts w:ascii="Calibri" w:hAnsi="Calibri"/>
                <w:b w:val="0"/>
                <w:sz w:val="17"/>
              </w:rPr>
              <w:t>`(movimiento_id)`</w:t>
            </w:r>
          </w:p>
        </w:tc>
        <w:tc>
          <w:tcPr>
            <w:tcW w:type="dxa" w:w="7994"/>
          </w:tcPr>
          <w:p>
            <w:pPr>
              <w:spacing w:after="40" w:before="40"/>
            </w:pPr>
            <w:r/>
            <w:r>
              <w:rPr>
                <w:rFonts w:ascii="Calibri" w:hAnsi="Calibri"/>
                <w:b w:val="0"/>
                <w:sz w:val="17"/>
              </w:rPr>
              <w:t xml:space="preserve">Recuperar las </w:t>
            </w:r>
            <w:r>
              <w:rPr>
                <w:rFonts w:ascii="Calibri" w:hAnsi="Calibri"/>
                <w:b/>
                <w:sz w:val="17"/>
              </w:rPr>
              <w:t>dos</w:t>
            </w:r>
            <w:r>
              <w:rPr>
                <w:rFonts w:ascii="Calibri" w:hAnsi="Calibri"/>
                <w:b w:val="0"/>
                <w:sz w:val="17"/>
              </w:rPr>
              <w:t xml:space="preserve"> patas de una misma transacción. Es también el índice que permite verificar que los asientos de un movimiento suman cero.</w:t>
            </w:r>
          </w:p>
        </w:tc>
      </w:tr>
      <w:tr>
        <w:tc>
          <w:tcPr>
            <w:tcW w:type="dxa" w:w="3515"/>
          </w:tcPr>
          <w:p>
            <w:pPr>
              <w:spacing w:after="40" w:before="40"/>
            </w:pPr>
            <w:r/>
            <w:r>
              <w:rPr>
                <w:rFonts w:ascii="Calibri" w:hAnsi="Calibri"/>
                <w:b w:val="0"/>
                <w:sz w:val="17"/>
              </w:rPr>
              <w:t>`ux_refresh_token_huella`</w:t>
            </w:r>
          </w:p>
        </w:tc>
        <w:tc>
          <w:tcPr>
            <w:tcW w:type="dxa" w:w="3628"/>
          </w:tcPr>
          <w:p>
            <w:pPr>
              <w:spacing w:after="40" w:before="40"/>
            </w:pPr>
            <w:r/>
            <w:r>
              <w:rPr>
                <w:rFonts w:ascii="Calibri" w:hAnsi="Calibri"/>
                <w:b w:val="0"/>
                <w:sz w:val="17"/>
              </w:rPr>
              <w:t>`(huella)` único</w:t>
            </w:r>
          </w:p>
        </w:tc>
        <w:tc>
          <w:tcPr>
            <w:tcW w:type="dxa" w:w="7994"/>
          </w:tcPr>
          <w:p>
            <w:pPr>
              <w:spacing w:after="40" w:before="40"/>
            </w:pPr>
            <w:r/>
            <w:r>
              <w:rPr>
                <w:rFonts w:ascii="Calibri" w:hAnsi="Calibri"/>
                <w:b w:val="0"/>
                <w:sz w:val="17"/>
              </w:rPr>
              <w:t xml:space="preserve">Validación de la sesión en </w:t>
            </w:r>
            <w:r>
              <w:rPr>
                <w:rFonts w:ascii="Calibri" w:hAnsi="Calibri"/>
                <w:b/>
                <w:sz w:val="17"/>
              </w:rPr>
              <w:t>cada petición autenticada</w:t>
            </w:r>
            <w:r>
              <w:rPr>
                <w:rFonts w:ascii="Calibri" w:hAnsi="Calibri"/>
                <w:b w:val="0"/>
                <w:sz w:val="17"/>
              </w:rPr>
              <w:t>. Es la lectura más frecuente del sistema y debe resolverse por índice único.</w:t>
            </w:r>
          </w:p>
        </w:tc>
      </w:tr>
      <w:tr>
        <w:tc>
          <w:tcPr>
            <w:tcW w:type="dxa" w:w="3515"/>
          </w:tcPr>
          <w:p>
            <w:pPr>
              <w:spacing w:after="40" w:before="40"/>
            </w:pPr>
            <w:r/>
            <w:r>
              <w:rPr>
                <w:rFonts w:ascii="Calibri" w:hAnsi="Calibri"/>
                <w:b w:val="0"/>
                <w:sz w:val="17"/>
              </w:rPr>
              <w:t>`ux_usuario_correo`</w:t>
            </w:r>
          </w:p>
        </w:tc>
        <w:tc>
          <w:tcPr>
            <w:tcW w:type="dxa" w:w="3628"/>
          </w:tcPr>
          <w:p>
            <w:pPr>
              <w:spacing w:after="40" w:before="40"/>
            </w:pPr>
            <w:r/>
            <w:r>
              <w:rPr>
                <w:rFonts w:ascii="Calibri" w:hAnsi="Calibri"/>
                <w:b w:val="0"/>
                <w:sz w:val="17"/>
              </w:rPr>
              <w:t>`(correo)` único</w:t>
            </w:r>
          </w:p>
        </w:tc>
        <w:tc>
          <w:tcPr>
            <w:tcW w:type="dxa" w:w="7994"/>
          </w:tcPr>
          <w:p>
            <w:pPr>
              <w:spacing w:after="40" w:before="40"/>
            </w:pPr>
            <w:r/>
            <w:r>
              <w:rPr>
                <w:rFonts w:ascii="Calibri" w:hAnsi="Calibri"/>
                <w:b w:val="0"/>
                <w:sz w:val="17"/>
              </w:rPr>
              <w:t>Ingreso y control de unicidad. Un barrido secuencial aquí filtraría además, por el tiempo de respuesta, si un correo existe —justo lo que el ADR-0008 prohíbe.</w:t>
            </w:r>
          </w:p>
        </w:tc>
      </w:tr>
      <w:tr>
        <w:tc>
          <w:tcPr>
            <w:tcW w:type="dxa" w:w="3515"/>
          </w:tcPr>
          <w:p>
            <w:pPr>
              <w:spacing w:after="40" w:before="40"/>
            </w:pPr>
            <w:r/>
            <w:r>
              <w:rPr>
                <w:rFonts w:ascii="Calibri" w:hAnsi="Calibri"/>
                <w:b w:val="0"/>
                <w:sz w:val="17"/>
              </w:rPr>
              <w:t>`ix_outbox_pendiente`</w:t>
            </w:r>
          </w:p>
        </w:tc>
        <w:tc>
          <w:tcPr>
            <w:tcW w:type="dxa" w:w="3628"/>
          </w:tcPr>
          <w:p>
            <w:pPr>
              <w:spacing w:after="40" w:before="40"/>
            </w:pPr>
            <w:r/>
            <w:r>
              <w:rPr>
                <w:rFonts w:ascii="Calibri" w:hAnsi="Calibri"/>
                <w:b w:val="0"/>
                <w:sz w:val="17"/>
              </w:rPr>
              <w:t>`(creado_en) WHERE publicado_en IS NULL`</w:t>
            </w:r>
          </w:p>
        </w:tc>
        <w:tc>
          <w:tcPr>
            <w:tcW w:type="dxa" w:w="7994"/>
          </w:tcPr>
          <w:p>
            <w:pPr>
              <w:spacing w:after="40" w:before="40"/>
            </w:pPr>
            <w:r/>
            <w:r>
              <w:rPr>
                <w:rFonts w:ascii="Calibri" w:hAnsi="Calibri"/>
                <w:b/>
                <w:sz w:val="17"/>
              </w:rPr>
              <w:t>Índice parcial, y es la decisión más rentable de la tabla.</w:t>
            </w:r>
            <w:r>
              <w:rPr>
                <w:rFonts w:ascii="Calibri" w:hAnsi="Calibri"/>
                <w:b w:val="0"/>
                <w:sz w:val="17"/>
              </w:rPr>
              <w:t xml:space="preserve"> El publicador solo pregunta por lo no publicado, que es el 1 %. El índice ocupa el 1 % de lo que ocuparía uno total y no crece con el histórico.</w:t>
            </w:r>
          </w:p>
        </w:tc>
      </w:tr>
      <w:tr>
        <w:tc>
          <w:tcPr>
            <w:tcW w:type="dxa" w:w="3515"/>
          </w:tcPr>
          <w:p>
            <w:pPr>
              <w:spacing w:after="40" w:before="40"/>
            </w:pPr>
            <w:r/>
            <w:r>
              <w:rPr>
                <w:rFonts w:ascii="Calibri" w:hAnsi="Calibri"/>
                <w:b w:val="0"/>
                <w:sz w:val="17"/>
              </w:rPr>
              <w:t>`ix_evento_auditoria_usuario` y `_tipo`</w:t>
            </w:r>
          </w:p>
        </w:tc>
        <w:tc>
          <w:tcPr>
            <w:tcW w:type="dxa" w:w="3628"/>
          </w:tcPr>
          <w:p>
            <w:pPr>
              <w:spacing w:after="40" w:before="40"/>
            </w:pPr>
            <w:r/>
            <w:r>
              <w:rPr>
                <w:rFonts w:ascii="Calibri" w:hAnsi="Calibri"/>
                <w:b w:val="0"/>
                <w:sz w:val="17"/>
              </w:rPr>
              <w:t>`(usuario_id, ocurrido_en DESC)` y `(tipo, ocurrido_en DESC)`</w:t>
            </w:r>
          </w:p>
        </w:tc>
        <w:tc>
          <w:tcPr>
            <w:tcW w:type="dxa" w:w="7994"/>
          </w:tcPr>
          <w:p>
            <w:pPr>
              <w:spacing w:after="40" w:before="40"/>
            </w:pPr>
            <w:r/>
            <w:r>
              <w:rPr>
                <w:rFonts w:ascii="Calibri" w:hAnsi="Calibri"/>
                <w:b w:val="0"/>
                <w:sz w:val="17"/>
              </w:rPr>
              <w:t>Las dos preguntas que se le hacen a una auditoría: «qué hizo este usuario» y «cuántos fallos de credenciales hubo». Ambas acotadas por fecha.</w:t>
            </w:r>
          </w:p>
        </w:tc>
      </w:tr>
      <w:tr>
        <w:tc>
          <w:tcPr>
            <w:tcW w:type="dxa" w:w="3515"/>
          </w:tcPr>
          <w:p>
            <w:pPr>
              <w:spacing w:after="40" w:before="40"/>
            </w:pPr>
            <w:r/>
            <w:r>
              <w:rPr>
                <w:rFonts w:ascii="Calibri" w:hAnsi="Calibri"/>
                <w:b w:val="0"/>
                <w:sz w:val="17"/>
              </w:rPr>
              <w:t>`ux_cuenta_numero`, `ux_cuenta_cci`</w:t>
            </w:r>
          </w:p>
        </w:tc>
        <w:tc>
          <w:tcPr>
            <w:tcW w:type="dxa" w:w="3628"/>
          </w:tcPr>
          <w:p>
            <w:pPr>
              <w:spacing w:after="40" w:before="40"/>
            </w:pPr>
            <w:r/>
            <w:r>
              <w:rPr>
                <w:rFonts w:ascii="Calibri" w:hAnsi="Calibri"/>
                <w:b w:val="0"/>
                <w:sz w:val="17"/>
              </w:rPr>
              <w:t>únicos</w:t>
            </w:r>
          </w:p>
        </w:tc>
        <w:tc>
          <w:tcPr>
            <w:tcW w:type="dxa" w:w="7994"/>
          </w:tcPr>
          <w:p>
            <w:pPr>
              <w:spacing w:after="40" w:before="40"/>
            </w:pPr>
            <w:r/>
            <w:r>
              <w:rPr>
                <w:rFonts w:ascii="Calibri" w:hAnsi="Calibri"/>
                <w:b w:val="0"/>
                <w:sz w:val="17"/>
              </w:rPr>
              <w:t>Resolución de cuenta destino en una transferencia, y garantía de unicidad.</w:t>
            </w:r>
          </w:p>
        </w:tc>
      </w:tr>
      <w:tr>
        <w:tc>
          <w:tcPr>
            <w:tcW w:type="dxa" w:w="3515"/>
          </w:tcPr>
          <w:p>
            <w:pPr>
              <w:spacing w:after="40" w:before="40"/>
            </w:pPr>
            <w:r/>
            <w:r>
              <w:rPr>
                <w:rFonts w:ascii="Calibri" w:hAnsi="Calibri"/>
                <w:b w:val="0"/>
                <w:sz w:val="17"/>
              </w:rPr>
              <w:t>`ix_desafio_expira`, `ix_refresh_token_expira`</w:t>
            </w:r>
          </w:p>
        </w:tc>
        <w:tc>
          <w:tcPr>
            <w:tcW w:type="dxa" w:w="3628"/>
          </w:tcPr>
          <w:p>
            <w:pPr>
              <w:spacing w:after="40" w:before="40"/>
            </w:pPr>
            <w:r/>
            <w:r>
              <w:rPr>
                <w:rFonts w:ascii="Calibri" w:hAnsi="Calibri"/>
                <w:b w:val="0"/>
                <w:sz w:val="17"/>
              </w:rPr>
              <w:t>`(expira_en)`</w:t>
            </w:r>
          </w:p>
        </w:tc>
        <w:tc>
          <w:tcPr>
            <w:tcW w:type="dxa" w:w="7994"/>
          </w:tcPr>
          <w:p>
            <w:pPr>
              <w:spacing w:after="40" w:before="40"/>
            </w:pPr>
            <w:r/>
            <w:r>
              <w:rPr>
                <w:rFonts w:ascii="Calibri" w:hAnsi="Calibri"/>
                <w:b/>
                <w:sz w:val="17"/>
              </w:rPr>
              <w:t>Índices de limpieza.</w:t>
            </w:r>
            <w:r>
              <w:rPr>
                <w:rFonts w:ascii="Calibri" w:hAnsi="Calibri"/>
                <w:b w:val="0"/>
                <w:sz w:val="17"/>
              </w:rPr>
              <w:t xml:space="preserve"> Los usa el proceso que borra lo caducado; sin ellos, la purga nocturna recorrería la tabla entera.</w:t>
            </w:r>
          </w:p>
        </w:tc>
      </w:tr>
    </w:tbl>
    <w:p>
      <w:pPr>
        <w:spacing w:before="220" w:after="120"/>
      </w:pPr>
      <w:r>
        <w:rPr>
          <w:rFonts w:ascii="Calibri" w:hAnsi="Calibri"/>
          <w:b/>
          <w:color w:val="064475"/>
          <w:sz w:val="24"/>
        </w:rPr>
        <w:t>4.3  Índices que hacen falta y uno que sobra</w:t>
      </w:r>
    </w:p>
    <w:p>
      <w:pPr>
        <w:spacing w:after="160"/>
        <w:jc w:val="both"/>
      </w:pPr>
      <w:r>
        <w:rPr>
          <w:rFonts w:ascii="Calibri" w:hAnsi="Calibri"/>
          <w:b w:val="0"/>
          <w:sz w:val="20"/>
        </w:rPr>
        <w:t>La sesión 11 advierte que los índices no son gratis: aceleran la lectura y frenan la escritura. En `asiento`, con 4,37 millones de inserciones diarias, cada índice de más se paga 4,37 millones de veces al día. Por eso la propuesta es corta y va acompañada del motivo.</w:t>
      </w:r>
    </w:p>
    <w:tbl>
      <w:tblPr>
        <w:tblStyle w:val="TableGrid"/>
        <w:tblW w:type="auto" w:w="0"/>
        <w:tblLook w:firstColumn="1" w:firstRow="1" w:lastColumn="0" w:lastRow="0" w:noHBand="0" w:noVBand="1" w:val="04A0"/>
      </w:tblPr>
      <w:tblGrid>
        <w:gridCol w:w="3784"/>
        <w:gridCol w:w="3784"/>
        <w:gridCol w:w="3784"/>
        <w:gridCol w:w="3784"/>
      </w:tblGrid>
      <w:tr>
        <w:tc>
          <w:tcPr>
            <w:tcW w:type="dxa" w:w="1587"/>
            <w:shd w:val="clear" w:color="auto" w:fill="064475"/>
          </w:tcPr>
          <w:p>
            <w:pPr>
              <w:spacing w:after="40" w:before="40"/>
            </w:pPr>
            <w:r/>
            <w:r>
              <w:rPr>
                <w:rFonts w:ascii="Calibri" w:hAnsi="Calibri"/>
                <w:b/>
                <w:color w:val="FFFFFF"/>
                <w:sz w:val="17"/>
              </w:rPr>
              <w:t>Acción</w:t>
            </w:r>
          </w:p>
        </w:tc>
        <w:tc>
          <w:tcPr>
            <w:tcW w:type="dxa" w:w="3742"/>
            <w:shd w:val="clear" w:color="auto" w:fill="064475"/>
          </w:tcPr>
          <w:p>
            <w:pPr>
              <w:spacing w:after="40" w:before="40"/>
            </w:pPr>
            <w:r/>
            <w:r>
              <w:rPr>
                <w:rFonts w:ascii="Calibri" w:hAnsi="Calibri"/>
                <w:b/>
                <w:color w:val="FFFFFF"/>
                <w:sz w:val="17"/>
              </w:rPr>
              <w:t>Índice</w:t>
            </w:r>
          </w:p>
        </w:tc>
        <w:tc>
          <w:tcPr>
            <w:tcW w:type="dxa" w:w="8277"/>
            <w:shd w:val="clear" w:color="auto" w:fill="064475"/>
          </w:tcPr>
          <w:p>
            <w:pPr>
              <w:spacing w:after="40" w:before="40"/>
            </w:pPr>
            <w:r/>
            <w:r>
              <w:rPr>
                <w:rFonts w:ascii="Calibri" w:hAnsi="Calibri"/>
                <w:b/>
                <w:color w:val="FFFFFF"/>
                <w:sz w:val="17"/>
              </w:rPr>
              <w:t>Justificación</w:t>
            </w:r>
          </w:p>
        </w:tc>
        <w:tc>
          <w:tcPr>
            <w:tcW w:type="dxa" w:w="1531"/>
            <w:shd w:val="clear" w:color="auto" w:fill="064475"/>
          </w:tcPr>
          <w:p>
            <w:pPr>
              <w:spacing w:after="40" w:before="40"/>
            </w:pPr>
            <w:r/>
            <w:r>
              <w:rPr>
                <w:rFonts w:ascii="Calibri" w:hAnsi="Calibri"/>
                <w:b/>
                <w:color w:val="FFFFFF"/>
                <w:sz w:val="17"/>
              </w:rPr>
              <w:t>Prioridad</w:t>
            </w:r>
          </w:p>
        </w:tc>
      </w:tr>
      <w:tr>
        <w:tc>
          <w:tcPr>
            <w:tcW w:type="dxa" w:w="1587"/>
          </w:tcPr>
          <w:p>
            <w:pPr>
              <w:spacing w:after="40" w:before="40"/>
              <w:jc w:val="center"/>
            </w:pPr>
            <w:r/>
            <w:r>
              <w:rPr>
                <w:rFonts w:ascii="Calibri" w:hAnsi="Calibri"/>
                <w:b/>
                <w:sz w:val="17"/>
              </w:rPr>
              <w:t>Crear</w:t>
            </w:r>
          </w:p>
        </w:tc>
        <w:tc>
          <w:tcPr>
            <w:tcW w:type="dxa" w:w="3742"/>
          </w:tcPr>
          <w:p>
            <w:pPr>
              <w:spacing w:after="40" w:before="40"/>
            </w:pPr>
            <w:r/>
            <w:r>
              <w:rPr>
                <w:rFonts w:ascii="Calibri" w:hAnsi="Calibri"/>
                <w:b w:val="0"/>
                <w:sz w:val="17"/>
              </w:rPr>
              <w:t>`core.cuenta (usuario_id)`</w:t>
            </w:r>
          </w:p>
        </w:tc>
        <w:tc>
          <w:tcPr>
            <w:tcW w:type="dxa" w:w="8277"/>
          </w:tcPr>
          <w:p>
            <w:pPr>
              <w:spacing w:after="40" w:before="40"/>
            </w:pPr>
            <w:r/>
            <w:r>
              <w:rPr>
                <w:rFonts w:ascii="Calibri" w:hAnsi="Calibri"/>
                <w:b w:val="0"/>
                <w:sz w:val="17"/>
              </w:rPr>
              <w:t>Hoy solo existe el único parcial sobre cuentas ACTIVA. La consulta «todas las cuentas de este usuario, incluidas las cerradas» —que el panel necesita— no tiene índice que la sostenga.</w:t>
            </w:r>
          </w:p>
        </w:tc>
        <w:tc>
          <w:tcPr>
            <w:tcW w:type="dxa" w:w="1531"/>
          </w:tcPr>
          <w:p>
            <w:pPr>
              <w:spacing w:after="40" w:before="40"/>
              <w:jc w:val="center"/>
            </w:pPr>
            <w:r/>
            <w:r>
              <w:rPr>
                <w:rFonts w:ascii="Calibri" w:hAnsi="Calibri"/>
                <w:b w:val="0"/>
                <w:sz w:val="17"/>
              </w:rPr>
              <w:t>Sprint 3</w:t>
            </w:r>
          </w:p>
        </w:tc>
      </w:tr>
      <w:tr>
        <w:tc>
          <w:tcPr>
            <w:tcW w:type="dxa" w:w="1587"/>
          </w:tcPr>
          <w:p>
            <w:pPr>
              <w:spacing w:after="40" w:before="40"/>
              <w:jc w:val="center"/>
            </w:pPr>
            <w:r/>
            <w:r>
              <w:rPr>
                <w:rFonts w:ascii="Calibri" w:hAnsi="Calibri"/>
                <w:b/>
                <w:sz w:val="17"/>
              </w:rPr>
              <w:t>Crear</w:t>
            </w:r>
          </w:p>
        </w:tc>
        <w:tc>
          <w:tcPr>
            <w:tcW w:type="dxa" w:w="3742"/>
          </w:tcPr>
          <w:p>
            <w:pPr>
              <w:spacing w:after="40" w:before="40"/>
            </w:pPr>
            <w:r/>
            <w:r>
              <w:rPr>
                <w:rFonts w:ascii="Calibri" w:hAnsi="Calibri"/>
                <w:b w:val="0"/>
                <w:sz w:val="17"/>
              </w:rPr>
              <w:t>`core.operacion_idempotente (registrado_en)`</w:t>
            </w:r>
          </w:p>
        </w:tc>
        <w:tc>
          <w:tcPr>
            <w:tcW w:type="dxa" w:w="8277"/>
          </w:tcPr>
          <w:p>
            <w:pPr>
              <w:spacing w:after="40" w:before="40"/>
            </w:pPr>
            <w:r/>
            <w:r>
              <w:rPr>
                <w:rFonts w:ascii="Calibri" w:hAnsi="Calibri"/>
                <w:b w:val="0"/>
                <w:sz w:val="17"/>
              </w:rPr>
              <w:t>La purga de claves de idempotencia con más de 30 días recorrería hoy la tabla entera: 800 millones de filas al año en el escenario de estrés.</w:t>
            </w:r>
          </w:p>
        </w:tc>
        <w:tc>
          <w:tcPr>
            <w:tcW w:type="dxa" w:w="1531"/>
          </w:tcPr>
          <w:p>
            <w:pPr>
              <w:spacing w:after="40" w:before="40"/>
              <w:jc w:val="center"/>
            </w:pPr>
            <w:r/>
            <w:r>
              <w:rPr>
                <w:rFonts w:ascii="Calibri" w:hAnsi="Calibri"/>
                <w:b w:val="0"/>
                <w:sz w:val="17"/>
              </w:rPr>
              <w:t>Sprint 3</w:t>
            </w:r>
          </w:p>
        </w:tc>
      </w:tr>
      <w:tr>
        <w:tc>
          <w:tcPr>
            <w:tcW w:type="dxa" w:w="1587"/>
          </w:tcPr>
          <w:p>
            <w:pPr>
              <w:spacing w:after="40" w:before="40"/>
              <w:jc w:val="center"/>
            </w:pPr>
            <w:r/>
            <w:r>
              <w:rPr>
                <w:rFonts w:ascii="Calibri" w:hAnsi="Calibri"/>
                <w:b/>
                <w:sz w:val="17"/>
              </w:rPr>
              <w:t>Evaluar</w:t>
            </w:r>
          </w:p>
        </w:tc>
        <w:tc>
          <w:tcPr>
            <w:tcW w:type="dxa" w:w="3742"/>
          </w:tcPr>
          <w:p>
            <w:pPr>
              <w:spacing w:after="40" w:before="40"/>
            </w:pPr>
            <w:r/>
            <w:r>
              <w:rPr>
                <w:rFonts w:ascii="Calibri" w:hAnsi="Calibri"/>
                <w:b w:val="0"/>
                <w:sz w:val="17"/>
              </w:rPr>
              <w:t xml:space="preserve">`core.asiento (registrado_en)` </w:t>
            </w:r>
            <w:r>
              <w:rPr>
                <w:rFonts w:ascii="Calibri" w:hAnsi="Calibri"/>
                <w:b/>
                <w:sz w:val="17"/>
              </w:rPr>
              <w:t>BRIN</w:t>
            </w:r>
          </w:p>
        </w:tc>
        <w:tc>
          <w:tcPr>
            <w:tcW w:type="dxa" w:w="8277"/>
          </w:tcPr>
          <w:p>
            <w:pPr>
              <w:spacing w:after="40" w:before="40"/>
            </w:pPr>
            <w:r/>
            <w:r>
              <w:rPr>
                <w:rFonts w:ascii="Calibri" w:hAnsi="Calibri"/>
                <w:b w:val="0"/>
                <w:sz w:val="17"/>
              </w:rPr>
              <w:t xml:space="preserve">Para el proceso de devengo diario, que barre por rango de fecha. Un BRIN sobre una tabla que se inserta siempre en orden cronológico ocupa </w:t>
            </w:r>
            <w:r>
              <w:rPr>
                <w:rFonts w:ascii="Calibri" w:hAnsi="Calibri"/>
                <w:b/>
                <w:sz w:val="17"/>
              </w:rPr>
              <w:t>kilobytes en lugar de gigabytes</w:t>
            </w:r>
            <w:r>
              <w:rPr>
                <w:rFonts w:ascii="Calibri" w:hAnsi="Calibri"/>
                <w:b w:val="0"/>
                <w:sz w:val="17"/>
              </w:rPr>
              <w:t>. Es el índice adecuado para este patrón; un B-tree aquí sería un desperdicio.</w:t>
            </w:r>
          </w:p>
        </w:tc>
        <w:tc>
          <w:tcPr>
            <w:tcW w:type="dxa" w:w="1531"/>
          </w:tcPr>
          <w:p>
            <w:pPr>
              <w:spacing w:after="40" w:before="40"/>
              <w:jc w:val="center"/>
            </w:pPr>
            <w:r/>
            <w:r>
              <w:rPr>
                <w:rFonts w:ascii="Calibri" w:hAnsi="Calibri"/>
                <w:b w:val="0"/>
                <w:sz w:val="17"/>
              </w:rPr>
              <w:t>Sprint 3</w:t>
            </w:r>
          </w:p>
        </w:tc>
      </w:tr>
      <w:tr>
        <w:tc>
          <w:tcPr>
            <w:tcW w:type="dxa" w:w="1587"/>
          </w:tcPr>
          <w:p>
            <w:pPr>
              <w:spacing w:after="40" w:before="40"/>
              <w:jc w:val="center"/>
            </w:pPr>
            <w:r/>
            <w:r>
              <w:rPr>
                <w:rFonts w:ascii="Calibri" w:hAnsi="Calibri"/>
                <w:b/>
                <w:sz w:val="17"/>
              </w:rPr>
              <w:t>No crear</w:t>
            </w:r>
          </w:p>
        </w:tc>
        <w:tc>
          <w:tcPr>
            <w:tcW w:type="dxa" w:w="3742"/>
          </w:tcPr>
          <w:p>
            <w:pPr>
              <w:spacing w:after="40" w:before="40"/>
            </w:pPr>
            <w:r/>
            <w:r>
              <w:rPr>
                <w:rFonts w:ascii="Calibri" w:hAnsi="Calibri"/>
                <w:b w:val="0"/>
                <w:sz w:val="17"/>
              </w:rPr>
              <w:t>`core.asiento (tipo)`</w:t>
            </w:r>
          </w:p>
        </w:tc>
        <w:tc>
          <w:tcPr>
            <w:tcW w:type="dxa" w:w="8277"/>
          </w:tcPr>
          <w:p>
            <w:pPr>
              <w:spacing w:after="40" w:before="40"/>
            </w:pPr>
            <w:r/>
            <w:r>
              <w:rPr>
                <w:rFonts w:ascii="Calibri" w:hAnsi="Calibri"/>
                <w:b/>
                <w:sz w:val="17"/>
              </w:rPr>
              <w:t>Se descarta a propósito.</w:t>
            </w:r>
            <w:r>
              <w:rPr>
                <w:rFonts w:ascii="Calibri" w:hAnsi="Calibri"/>
                <w:b w:val="0"/>
                <w:sz w:val="17"/>
              </w:rPr>
              <w:t xml:space="preserve"> Solo tiene dos valores, CARGO y ABONO: la selectividad es del 50 % y el planificador no lo usaría nunca. Sería coste de escritura puro.</w:t>
            </w:r>
          </w:p>
        </w:tc>
        <w:tc>
          <w:tcPr>
            <w:tcW w:type="dxa" w:w="1531"/>
          </w:tcPr>
          <w:p>
            <w:pPr>
              <w:spacing w:after="40" w:before="40"/>
              <w:jc w:val="center"/>
            </w:pPr>
            <w:r/>
            <w:r>
              <w:rPr>
                <w:rFonts w:ascii="Calibri" w:hAnsi="Calibri"/>
                <w:b w:val="0"/>
                <w:sz w:val="17"/>
              </w:rPr>
              <w:t>—</w:t>
            </w:r>
          </w:p>
        </w:tc>
      </w:tr>
      <w:tr>
        <w:tc>
          <w:tcPr>
            <w:tcW w:type="dxa" w:w="1587"/>
          </w:tcPr>
          <w:p>
            <w:pPr>
              <w:spacing w:after="40" w:before="40"/>
              <w:jc w:val="center"/>
            </w:pPr>
            <w:r/>
            <w:r>
              <w:rPr>
                <w:rFonts w:ascii="Calibri" w:hAnsi="Calibri"/>
                <w:b/>
                <w:sz w:val="17"/>
              </w:rPr>
              <w:t>Revisar</w:t>
            </w:r>
          </w:p>
        </w:tc>
        <w:tc>
          <w:tcPr>
            <w:tcW w:type="dxa" w:w="3742"/>
          </w:tcPr>
          <w:p>
            <w:pPr>
              <w:spacing w:after="40" w:before="40"/>
            </w:pPr>
            <w:r/>
            <w:r>
              <w:rPr>
                <w:rFonts w:ascii="Calibri" w:hAnsi="Calibri"/>
                <w:b w:val="0"/>
                <w:sz w:val="17"/>
              </w:rPr>
              <w:t>`ix_solicitud_estado`</w:t>
            </w:r>
          </w:p>
        </w:tc>
        <w:tc>
          <w:tcPr>
            <w:tcW w:type="dxa" w:w="8277"/>
          </w:tcPr>
          <w:p>
            <w:pPr>
              <w:spacing w:after="40" w:before="40"/>
            </w:pPr>
            <w:r/>
            <w:r>
              <w:rPr>
                <w:rFonts w:ascii="Calibri" w:hAnsi="Calibri"/>
                <w:b w:val="0"/>
                <w:sz w:val="17"/>
              </w:rPr>
              <w:t>Sospechoso de sobrar. `solicitud_onboarding` se consulta casi siempre por `usuario_id`, que ya tiene su índice. Se decidirá con `pg_stat_user_indexes` cuando haya tráfico real: si el contador de usos sigue en cero, se elimina.</w:t>
            </w:r>
          </w:p>
        </w:tc>
        <w:tc>
          <w:tcPr>
            <w:tcW w:type="dxa" w:w="1531"/>
          </w:tcPr>
          <w:p>
            <w:pPr>
              <w:spacing w:after="40" w:before="40"/>
              <w:jc w:val="center"/>
            </w:pPr>
            <w:r/>
            <w:r>
              <w:rPr>
                <w:rFonts w:ascii="Calibri" w:hAnsi="Calibri"/>
                <w:b w:val="0"/>
                <w:sz w:val="17"/>
              </w:rPr>
              <w:t>Sprint 4</w:t>
            </w:r>
          </w:p>
        </w:tc>
      </w:tr>
    </w:tbl>
    <w:p>
      <w:pPr>
        <w:spacing w:before="220" w:after="120"/>
      </w:pPr>
      <w:r>
        <w:rPr>
          <w:rFonts w:ascii="Calibri" w:hAnsi="Calibri"/>
          <w:b/>
          <w:color w:val="064475"/>
          <w:sz w:val="24"/>
        </w:rPr>
        <w:t>4.4  Particionado y retención — la respuesta a los 200 GB</w:t>
      </w:r>
    </w:p>
    <w:p>
      <w:pPr>
        <w:spacing w:after="160"/>
        <w:jc w:val="both"/>
      </w:pPr>
      <w:r>
        <w:rPr>
          <w:rFonts w:ascii="Calibri" w:hAnsi="Calibri"/>
          <w:b w:val="0"/>
          <w:sz w:val="20"/>
        </w:rPr>
        <w:t xml:space="preserve">Ningún índice arregla un problema de volumen. Con 1 097 GiB al año y 200 GB de disco, la medida que corresponde es </w:t>
      </w:r>
      <w:r>
        <w:rPr>
          <w:rFonts w:ascii="Calibri" w:hAnsi="Calibri"/>
          <w:b/>
          <w:sz w:val="20"/>
        </w:rPr>
        <w:t>particionar `core.asiento` por rango mensual</w:t>
      </w:r>
      <w:r>
        <w:rPr>
          <w:rFonts w:ascii="Calibri" w:hAnsi="Calibri"/>
          <w:b w:val="0"/>
          <w:sz w:val="20"/>
        </w:rPr>
        <w:t xml:space="preserve"> sobre `registrado_en`, y separar lo caliente de lo frío.</w:t>
      </w:r>
    </w:p>
    <w:tbl>
      <w:tblPr>
        <w:tblStyle w:val="TableGrid"/>
        <w:tblW w:type="auto" w:w="0"/>
        <w:tblLook w:firstColumn="1" w:firstRow="1" w:lastColumn="0" w:lastRow="0" w:noHBand="0" w:noVBand="1" w:val="04A0"/>
      </w:tblPr>
      <w:tblGrid>
        <w:gridCol w:w="5046"/>
        <w:gridCol w:w="5046"/>
        <w:gridCol w:w="5046"/>
      </w:tblGrid>
      <w:tr>
        <w:tc>
          <w:tcPr>
            <w:tcW w:type="dxa" w:w="3742"/>
            <w:shd w:val="clear" w:color="auto" w:fill="064475"/>
          </w:tcPr>
          <w:p>
            <w:pPr>
              <w:spacing w:after="40" w:before="40"/>
            </w:pPr>
            <w:r/>
            <w:r>
              <w:rPr>
                <w:rFonts w:ascii="Calibri" w:hAnsi="Calibri"/>
                <w:b/>
                <w:color w:val="FFFFFF"/>
                <w:sz w:val="17"/>
              </w:rPr>
              <w:t>Medida</w:t>
            </w:r>
          </w:p>
        </w:tc>
        <w:tc>
          <w:tcPr>
            <w:tcW w:type="dxa" w:w="5329"/>
            <w:shd w:val="clear" w:color="auto" w:fill="064475"/>
          </w:tcPr>
          <w:p>
            <w:pPr>
              <w:spacing w:after="40" w:before="40"/>
            </w:pPr>
            <w:r/>
            <w:r>
              <w:rPr>
                <w:rFonts w:ascii="Calibri" w:hAnsi="Calibri"/>
                <w:b/>
                <w:color w:val="FFFFFF"/>
                <w:sz w:val="17"/>
              </w:rPr>
              <w:t>Detalle</w:t>
            </w:r>
          </w:p>
        </w:tc>
        <w:tc>
          <w:tcPr>
            <w:tcW w:type="dxa" w:w="6066"/>
            <w:shd w:val="clear" w:color="auto" w:fill="064475"/>
          </w:tcPr>
          <w:p>
            <w:pPr>
              <w:spacing w:after="40" w:before="40"/>
            </w:pPr>
            <w:r/>
            <w:r>
              <w:rPr>
                <w:rFonts w:ascii="Calibri" w:hAnsi="Calibri"/>
                <w:b/>
                <w:color w:val="FFFFFF"/>
                <w:sz w:val="17"/>
              </w:rPr>
              <w:t>Efecto</w:t>
            </w:r>
          </w:p>
        </w:tc>
      </w:tr>
      <w:tr>
        <w:tc>
          <w:tcPr>
            <w:tcW w:type="dxa" w:w="3742"/>
          </w:tcPr>
          <w:p>
            <w:pPr>
              <w:spacing w:after="40" w:before="40"/>
            </w:pPr>
            <w:r/>
            <w:r>
              <w:rPr>
                <w:rFonts w:ascii="Calibri" w:hAnsi="Calibri"/>
                <w:b w:val="0"/>
                <w:sz w:val="17"/>
              </w:rPr>
              <w:t>Particionado mensual de `core.asiento`</w:t>
            </w:r>
          </w:p>
        </w:tc>
        <w:tc>
          <w:tcPr>
            <w:tcW w:type="dxa" w:w="5329"/>
          </w:tcPr>
          <w:p>
            <w:pPr>
              <w:spacing w:after="40" w:before="40"/>
            </w:pPr>
            <w:r/>
            <w:r>
              <w:rPr>
                <w:rFonts w:ascii="Calibri" w:hAnsi="Calibri"/>
                <w:b w:val="0"/>
                <w:sz w:val="17"/>
              </w:rPr>
              <w:t>`PARTITION BY RANGE (registrado_en)`, una partición por mes, creadas con tres meses de antelación.</w:t>
            </w:r>
          </w:p>
        </w:tc>
        <w:tc>
          <w:tcPr>
            <w:tcW w:type="dxa" w:w="6066"/>
          </w:tcPr>
          <w:p>
            <w:pPr>
              <w:spacing w:after="40" w:before="40"/>
            </w:pPr>
            <w:r/>
            <w:r>
              <w:rPr>
                <w:rFonts w:ascii="Calibri" w:hAnsi="Calibri"/>
                <w:b/>
                <w:sz w:val="17"/>
              </w:rPr>
              <w:t>91 GiB por partición</w:t>
            </w:r>
            <w:r>
              <w:rPr>
                <w:rFonts w:ascii="Calibri" w:hAnsi="Calibri"/>
                <w:b w:val="0"/>
                <w:sz w:val="17"/>
              </w:rPr>
              <w:t xml:space="preserve"> en el escenario de estrés. Las consultas de extracto, que siempre llevan fecha, tocan una o dos particiones en lugar de la tabla entera.</w:t>
            </w:r>
          </w:p>
        </w:tc>
      </w:tr>
      <w:tr>
        <w:tc>
          <w:tcPr>
            <w:tcW w:type="dxa" w:w="3742"/>
          </w:tcPr>
          <w:p>
            <w:pPr>
              <w:spacing w:after="40" w:before="40"/>
            </w:pPr>
            <w:r/>
            <w:r>
              <w:rPr>
                <w:rFonts w:ascii="Calibri" w:hAnsi="Calibri"/>
                <w:b w:val="0"/>
                <w:sz w:val="17"/>
              </w:rPr>
              <w:t>Retención en línea de 3 meses</w:t>
            </w:r>
          </w:p>
        </w:tc>
        <w:tc>
          <w:tcPr>
            <w:tcW w:type="dxa" w:w="5329"/>
          </w:tcPr>
          <w:p>
            <w:pPr>
              <w:spacing w:after="40" w:before="40"/>
            </w:pPr>
            <w:r/>
            <w:r>
              <w:rPr>
                <w:rFonts w:ascii="Calibri" w:hAnsi="Calibri"/>
                <w:b w:val="0"/>
                <w:sz w:val="17"/>
              </w:rPr>
              <w:t>Las particiones de más de 90 días se desvinculan con `DETACH PARTITION`.</w:t>
            </w:r>
          </w:p>
        </w:tc>
        <w:tc>
          <w:tcPr>
            <w:tcW w:type="dxa" w:w="6066"/>
          </w:tcPr>
          <w:p>
            <w:pPr>
              <w:spacing w:after="40" w:before="40"/>
            </w:pPr>
            <w:r/>
            <w:r>
              <w:rPr>
                <w:rFonts w:ascii="Calibri" w:hAnsi="Calibri"/>
                <w:b w:val="0"/>
                <w:sz w:val="17"/>
              </w:rPr>
              <w:t xml:space="preserve">Mantiene el disco por debajo de 200 GB </w:t>
            </w:r>
            <w:r>
              <w:rPr>
                <w:rFonts w:ascii="Calibri" w:hAnsi="Calibri"/>
                <w:b/>
                <w:sz w:val="17"/>
              </w:rPr>
              <w:t>sin borrar un solo asiento</w:t>
            </w:r>
            <w:r>
              <w:rPr>
                <w:rFonts w:ascii="Calibri" w:hAnsi="Calibri"/>
                <w:b w:val="0"/>
                <w:sz w:val="17"/>
              </w:rPr>
              <w:t>. Desvincular es instantáneo; borrar 300 millones de filas no lo es.</w:t>
            </w:r>
          </w:p>
        </w:tc>
      </w:tr>
      <w:tr>
        <w:tc>
          <w:tcPr>
            <w:tcW w:type="dxa" w:w="3742"/>
          </w:tcPr>
          <w:p>
            <w:pPr>
              <w:spacing w:after="40" w:before="40"/>
            </w:pPr>
            <w:r/>
            <w:r>
              <w:rPr>
                <w:rFonts w:ascii="Calibri" w:hAnsi="Calibri"/>
                <w:b w:val="0"/>
                <w:sz w:val="17"/>
              </w:rPr>
              <w:t>Archivado en frío a MinIO / almacenamiento de objetos</w:t>
            </w:r>
          </w:p>
        </w:tc>
        <w:tc>
          <w:tcPr>
            <w:tcW w:type="dxa" w:w="5329"/>
          </w:tcPr>
          <w:p>
            <w:pPr>
              <w:spacing w:after="40" w:before="40"/>
            </w:pPr>
            <w:r/>
            <w:r>
              <w:rPr>
                <w:rFonts w:ascii="Calibri" w:hAnsi="Calibri"/>
                <w:b w:val="0"/>
                <w:sz w:val="17"/>
              </w:rPr>
              <w:t>La partición desvinculada se vuelca con `COPY ... TO` comprimido y se sube al almacenamiento de objetos.</w:t>
            </w:r>
          </w:p>
        </w:tc>
        <w:tc>
          <w:tcPr>
            <w:tcW w:type="dxa" w:w="6066"/>
          </w:tcPr>
          <w:p>
            <w:pPr>
              <w:spacing w:after="40" w:before="40"/>
            </w:pPr>
            <w:r/>
            <w:r>
              <w:rPr>
                <w:rFonts w:ascii="Calibri" w:hAnsi="Calibri"/>
                <w:b w:val="0"/>
                <w:sz w:val="17"/>
              </w:rPr>
              <w:t>El histórico completo sigue disponible para auditoría a un coste por gigabyte mucho menor. Cumple `HU-15`, que exige pista de auditoría inalterable.</w:t>
            </w:r>
          </w:p>
        </w:tc>
      </w:tr>
      <w:tr>
        <w:tc>
          <w:tcPr>
            <w:tcW w:type="dxa" w:w="3742"/>
          </w:tcPr>
          <w:p>
            <w:pPr>
              <w:spacing w:after="40" w:before="40"/>
            </w:pPr>
            <w:r/>
            <w:r>
              <w:rPr>
                <w:rFonts w:ascii="Calibri" w:hAnsi="Calibri"/>
                <w:b w:val="0"/>
                <w:sz w:val="17"/>
              </w:rPr>
              <w:t>Purga de `core.outbox`</w:t>
            </w:r>
          </w:p>
        </w:tc>
        <w:tc>
          <w:tcPr>
            <w:tcW w:type="dxa" w:w="5329"/>
          </w:tcPr>
          <w:p>
            <w:pPr>
              <w:spacing w:after="40" w:before="40"/>
            </w:pPr>
            <w:r/>
            <w:r>
              <w:rPr>
                <w:rFonts w:ascii="Calibri" w:hAnsi="Calibri"/>
                <w:b w:val="0"/>
                <w:sz w:val="17"/>
              </w:rPr>
              <w:t>Borrado de eventos publicados con más de 7 días, cada noche.</w:t>
            </w:r>
          </w:p>
        </w:tc>
        <w:tc>
          <w:tcPr>
            <w:tcW w:type="dxa" w:w="6066"/>
          </w:tcPr>
          <w:p>
            <w:pPr>
              <w:spacing w:after="40" w:before="40"/>
            </w:pPr>
            <w:r/>
            <w:r>
              <w:rPr>
                <w:rFonts w:ascii="Calibri" w:hAnsi="Calibri"/>
                <w:b w:val="0"/>
                <w:sz w:val="17"/>
              </w:rPr>
              <w:t>Mantiene la tabla de 498 bytes por fila en tamaño casi constante en lugar de crecer 400 GiB al año.</w:t>
            </w:r>
          </w:p>
        </w:tc>
      </w:tr>
      <w:tr>
        <w:tc>
          <w:tcPr>
            <w:tcW w:type="dxa" w:w="3742"/>
          </w:tcPr>
          <w:p>
            <w:pPr>
              <w:spacing w:after="40" w:before="40"/>
            </w:pPr>
            <w:r/>
            <w:r>
              <w:rPr>
                <w:rFonts w:ascii="Calibri" w:hAnsi="Calibri"/>
                <w:b w:val="0"/>
                <w:sz w:val="17"/>
              </w:rPr>
              <w:t>Purga de `operacion_idempotente` y tokens caducados</w:t>
            </w:r>
          </w:p>
        </w:tc>
        <w:tc>
          <w:tcPr>
            <w:tcW w:type="dxa" w:w="5329"/>
          </w:tcPr>
          <w:p>
            <w:pPr>
              <w:spacing w:after="40" w:before="40"/>
            </w:pPr>
            <w:r/>
            <w:r>
              <w:rPr>
                <w:rFonts w:ascii="Calibri" w:hAnsi="Calibri"/>
                <w:b w:val="0"/>
                <w:sz w:val="17"/>
              </w:rPr>
              <w:t>Retención de 30 días para las claves de idempotencia; borrado inmediato de `refresh_token` y `desafio_segundo_factor` vencidos.</w:t>
            </w:r>
          </w:p>
        </w:tc>
        <w:tc>
          <w:tcPr>
            <w:tcW w:type="dxa" w:w="6066"/>
          </w:tcPr>
          <w:p>
            <w:pPr>
              <w:spacing w:after="40" w:before="40"/>
            </w:pPr>
            <w:r/>
            <w:r>
              <w:rPr>
                <w:rFonts w:ascii="Calibri" w:hAnsi="Calibri"/>
                <w:b w:val="0"/>
                <w:sz w:val="17"/>
              </w:rPr>
              <w:t>Evita que tablas de apoyo acaben pesando más que las de negocio.</w:t>
            </w:r>
          </w:p>
        </w:tc>
      </w:tr>
    </w:tbl>
    <w:p>
      <w:pPr>
        <w:spacing w:before="220" w:after="120"/>
      </w:pPr>
      <w:r>
        <w:rPr>
          <w:rFonts w:ascii="Calibri" w:hAnsi="Calibri"/>
          <w:b/>
          <w:color w:val="064475"/>
          <w:sz w:val="24"/>
        </w:rPr>
        <w:t>4.5  Conexiones y ORM — la respuesta que da la volumetría</w:t>
      </w:r>
    </w:p>
    <w:p>
      <w:pPr>
        <w:spacing w:after="160"/>
        <w:jc w:val="both"/>
      </w:pPr>
      <w:r>
        <w:rPr>
          <w:rFonts w:ascii="Calibri" w:hAnsi="Calibri"/>
          <w:b w:val="0"/>
          <w:sz w:val="20"/>
        </w:rPr>
        <w:t>Las sesiones 11 y 12 dedican espacio al *pooling* y a la disyuntiva entre ORM y SQL nativo. La proyección permite responder con números en lugar de con preferencias.</w:t>
      </w:r>
    </w:p>
    <w:tbl>
      <w:tblPr>
        <w:tblStyle w:val="TableGrid"/>
        <w:tblW w:type="auto" w:w="0"/>
        <w:tblLook w:firstColumn="1" w:firstRow="1" w:lastColumn="0" w:lastRow="0" w:noHBand="0" w:noVBand="1" w:val="04A0"/>
      </w:tblPr>
      <w:tblGrid>
        <w:gridCol w:w="5046"/>
        <w:gridCol w:w="5046"/>
        <w:gridCol w:w="5046"/>
      </w:tblGrid>
      <w:tr>
        <w:tc>
          <w:tcPr>
            <w:tcW w:type="dxa" w:w="2494"/>
            <w:shd w:val="clear" w:color="auto" w:fill="064475"/>
          </w:tcPr>
          <w:p>
            <w:pPr>
              <w:spacing w:after="40" w:before="40"/>
            </w:pPr>
            <w:r/>
            <w:r>
              <w:rPr>
                <w:rFonts w:ascii="Calibri" w:hAnsi="Calibri"/>
                <w:b/>
                <w:color w:val="FFFFFF"/>
                <w:sz w:val="17"/>
              </w:rPr>
              <w:t>Decisión</w:t>
            </w:r>
          </w:p>
        </w:tc>
        <w:tc>
          <w:tcPr>
            <w:tcW w:type="dxa" w:w="4535"/>
            <w:shd w:val="clear" w:color="auto" w:fill="064475"/>
          </w:tcPr>
          <w:p>
            <w:pPr>
              <w:spacing w:after="40" w:before="40"/>
            </w:pPr>
            <w:r/>
            <w:r>
              <w:rPr>
                <w:rFonts w:ascii="Calibri" w:hAnsi="Calibri"/>
                <w:b/>
                <w:color w:val="FFFFFF"/>
                <w:sz w:val="17"/>
              </w:rPr>
              <w:t>Configuración actual</w:t>
            </w:r>
          </w:p>
        </w:tc>
        <w:tc>
          <w:tcPr>
            <w:tcW w:type="dxa" w:w="8107"/>
            <w:shd w:val="clear" w:color="auto" w:fill="064475"/>
          </w:tcPr>
          <w:p>
            <w:pPr>
              <w:spacing w:after="40" w:before="40"/>
            </w:pPr>
            <w:r/>
            <w:r>
              <w:rPr>
                <w:rFonts w:ascii="Calibri" w:hAnsi="Calibri"/>
                <w:b/>
                <w:color w:val="FFFFFF"/>
                <w:sz w:val="17"/>
              </w:rPr>
              <w:t>Justificación cuantitativa</w:t>
            </w:r>
          </w:p>
        </w:tc>
      </w:tr>
      <w:tr>
        <w:tc>
          <w:tcPr>
            <w:tcW w:type="dxa" w:w="2494"/>
          </w:tcPr>
          <w:p>
            <w:pPr>
              <w:spacing w:after="40" w:before="40"/>
            </w:pPr>
            <w:r/>
            <w:r>
              <w:rPr>
                <w:rFonts w:ascii="Calibri" w:hAnsi="Calibri"/>
                <w:b w:val="0"/>
                <w:sz w:val="17"/>
              </w:rPr>
              <w:t>Tamaño del pool</w:t>
            </w:r>
          </w:p>
        </w:tc>
        <w:tc>
          <w:tcPr>
            <w:tcW w:type="dxa" w:w="4535"/>
          </w:tcPr>
          <w:p>
            <w:pPr>
              <w:spacing w:after="40" w:before="40"/>
            </w:pPr>
            <w:r/>
            <w:r>
              <w:rPr>
                <w:rFonts w:ascii="Calibri" w:hAnsi="Calibri"/>
                <w:b/>
                <w:sz w:val="17"/>
              </w:rPr>
              <w:t>HikariCP, `maximum-pool-size: 10`</w:t>
            </w:r>
            <w:r>
              <w:rPr>
                <w:rFonts w:ascii="Calibri" w:hAnsi="Calibri"/>
                <w:b w:val="0"/>
                <w:sz w:val="17"/>
              </w:rPr>
              <w:t xml:space="preserve"> por servicio. Cuatro servicios con base de datos → 40 conexiones. `max_connections` del servidor: 100.</w:t>
            </w:r>
          </w:p>
        </w:tc>
        <w:tc>
          <w:tcPr>
            <w:tcW w:type="dxa" w:w="8107"/>
          </w:tcPr>
          <w:p>
            <w:pPr>
              <w:spacing w:after="40" w:before="40"/>
            </w:pPr>
            <w:r/>
            <w:r>
              <w:rPr>
                <w:rFonts w:ascii="Calibri" w:hAnsi="Calibri"/>
                <w:b w:val="0"/>
                <w:sz w:val="17"/>
              </w:rPr>
              <w:t xml:space="preserve">La regla práctica para PostgreSQL es `núcleos × 2 + husillos`; con </w:t>
            </w:r>
            <w:r>
              <w:rPr>
                <w:rFonts w:ascii="Calibri" w:hAnsi="Calibri"/>
                <w:b/>
                <w:sz w:val="17"/>
              </w:rPr>
              <w:t>4 vCPU</w:t>
            </w:r>
            <w:r>
              <w:rPr>
                <w:rFonts w:ascii="Calibri" w:hAnsi="Calibri"/>
                <w:b w:val="0"/>
                <w:sz w:val="17"/>
              </w:rPr>
              <w:t xml:space="preserve"> el punto óptimo está en torno a </w:t>
            </w:r>
            <w:r>
              <w:rPr>
                <w:rFonts w:ascii="Calibri" w:hAnsi="Calibri"/>
                <w:b/>
                <w:sz w:val="17"/>
              </w:rPr>
              <w:t>10 conexiones concurrentes útiles</w:t>
            </w:r>
            <w:r>
              <w:rPr>
                <w:rFonts w:ascii="Calibri" w:hAnsi="Calibri"/>
                <w:b w:val="0"/>
                <w:sz w:val="17"/>
              </w:rPr>
              <w:t xml:space="preserve"> por instancia. Más conexiones no dan más trabajo hecho: dan más cambio de contexto. Con un pico de </w:t>
            </w:r>
            <w:r>
              <w:rPr>
                <w:rFonts w:ascii="Calibri" w:hAnsi="Calibri"/>
                <w:b/>
                <w:sz w:val="17"/>
              </w:rPr>
              <w:t>506 inserciones/s</w:t>
            </w:r>
            <w:r>
              <w:rPr>
                <w:rFonts w:ascii="Calibri" w:hAnsi="Calibri"/>
                <w:b w:val="0"/>
                <w:sz w:val="17"/>
              </w:rPr>
              <w:t xml:space="preserve"> y transacciones de pocos milisegundos, 10 conexiones por servicio sobran. </w:t>
            </w:r>
            <w:r>
              <w:rPr>
                <w:rFonts w:ascii="Calibri" w:hAnsi="Calibri"/>
                <w:b/>
                <w:sz w:val="17"/>
              </w:rPr>
              <w:t>El pool está bien dimensionado y no se toca.</w:t>
            </w:r>
          </w:p>
        </w:tc>
      </w:tr>
      <w:tr>
        <w:tc>
          <w:tcPr>
            <w:tcW w:type="dxa" w:w="2494"/>
          </w:tcPr>
          <w:p>
            <w:pPr>
              <w:spacing w:after="40" w:before="40"/>
            </w:pPr>
            <w:r/>
            <w:r>
              <w:rPr>
                <w:rFonts w:ascii="Calibri" w:hAnsi="Calibri"/>
                <w:b w:val="0"/>
                <w:sz w:val="17"/>
              </w:rPr>
              <w:t>ORM elegido</w:t>
            </w:r>
          </w:p>
        </w:tc>
        <w:tc>
          <w:tcPr>
            <w:tcW w:type="dxa" w:w="4535"/>
          </w:tcPr>
          <w:p>
            <w:pPr>
              <w:spacing w:after="40" w:before="40"/>
            </w:pPr>
            <w:r/>
            <w:r>
              <w:rPr>
                <w:rFonts w:ascii="Calibri" w:hAnsi="Calibri"/>
                <w:b/>
                <w:sz w:val="17"/>
              </w:rPr>
              <w:t>Spring Data JPA (Hibernate)</w:t>
            </w:r>
            <w:r>
              <w:rPr>
                <w:rFonts w:ascii="Calibri" w:hAnsi="Calibri"/>
                <w:b w:val="0"/>
                <w:sz w:val="17"/>
              </w:rPr>
              <w:t xml:space="preserve"> en los tres servicios Java.</w:t>
            </w:r>
          </w:p>
        </w:tc>
        <w:tc>
          <w:tcPr>
            <w:tcW w:type="dxa" w:w="8107"/>
          </w:tcPr>
          <w:p>
            <w:pPr>
              <w:spacing w:after="40" w:before="40"/>
            </w:pPr>
            <w:r/>
            <w:r>
              <w:rPr>
                <w:rFonts w:ascii="Calibri" w:hAnsi="Calibri"/>
                <w:b w:val="0"/>
                <w:sz w:val="17"/>
              </w:rPr>
              <w:t xml:space="preserve">El 90 % del acceso a datos son operaciones por clave primaria y altas simples, donde el ORM elimina código repetitivo sin coste medible. </w:t>
            </w:r>
            <w:r>
              <w:rPr>
                <w:rFonts w:ascii="Calibri" w:hAnsi="Calibri"/>
                <w:b/>
                <w:sz w:val="17"/>
              </w:rPr>
              <w:t>Se reserva SQL nativo para el 10 % que importa</w:t>
            </w:r>
            <w:r>
              <w:rPr>
                <w:rFonts w:ascii="Calibri" w:hAnsi="Calibri"/>
                <w:b w:val="0"/>
                <w:sz w:val="17"/>
              </w:rPr>
              <w:t>: el cálculo de saldo agregando asientos y el devengo diario, donde el control del plan de ejecución vale más que la comodidad.</w:t>
            </w:r>
          </w:p>
        </w:tc>
      </w:tr>
      <w:tr>
        <w:tc>
          <w:tcPr>
            <w:tcW w:type="dxa" w:w="2494"/>
          </w:tcPr>
          <w:p>
            <w:pPr>
              <w:spacing w:after="40" w:before="40"/>
            </w:pPr>
            <w:r/>
            <w:r>
              <w:rPr>
                <w:rFonts w:ascii="Calibri" w:hAnsi="Calibri"/>
                <w:b w:val="0"/>
                <w:sz w:val="17"/>
              </w:rPr>
              <w:t>`open-in-view: false`</w:t>
            </w:r>
          </w:p>
        </w:tc>
        <w:tc>
          <w:tcPr>
            <w:tcW w:type="dxa" w:w="4535"/>
          </w:tcPr>
          <w:p>
            <w:pPr>
              <w:spacing w:after="40" w:before="40"/>
            </w:pPr>
            <w:r/>
            <w:r>
              <w:rPr>
                <w:rFonts w:ascii="Calibri" w:hAnsi="Calibri"/>
                <w:b w:val="0"/>
                <w:sz w:val="17"/>
              </w:rPr>
              <w:t>Desactivado explícitamente en los tres servicios.</w:t>
            </w:r>
          </w:p>
        </w:tc>
        <w:tc>
          <w:tcPr>
            <w:tcW w:type="dxa" w:w="8107"/>
          </w:tcPr>
          <w:p>
            <w:pPr>
              <w:spacing w:after="40" w:before="40"/>
            </w:pPr>
            <w:r/>
            <w:r>
              <w:rPr>
                <w:rFonts w:ascii="Calibri" w:hAnsi="Calibri"/>
                <w:b/>
                <w:sz w:val="17"/>
              </w:rPr>
              <w:t>Es la decisión de rendimiento más importante de la configuración.</w:t>
            </w:r>
            <w:r>
              <w:rPr>
                <w:rFonts w:ascii="Calibri" w:hAnsi="Calibri"/>
                <w:b w:val="0"/>
                <w:sz w:val="17"/>
              </w:rPr>
              <w:t xml:space="preserve"> Con el valor por omisión (activado), la conexión se retiene hasta que termina de renderizarse la respuesta: con 506 peticiones/s, el pool de 10 se agotaría y la aplicación se bloquearía esperando conexiones que no están haciendo nada.</w:t>
            </w:r>
          </w:p>
        </w:tc>
      </w:tr>
      <w:tr>
        <w:tc>
          <w:tcPr>
            <w:tcW w:type="dxa" w:w="2494"/>
          </w:tcPr>
          <w:p>
            <w:pPr>
              <w:spacing w:after="40" w:before="40"/>
            </w:pPr>
            <w:r/>
            <w:r>
              <w:rPr>
                <w:rFonts w:ascii="Calibri" w:hAnsi="Calibri"/>
                <w:b w:val="0"/>
                <w:sz w:val="17"/>
              </w:rPr>
              <w:t>`ddl-auto: none`</w:t>
            </w:r>
          </w:p>
        </w:tc>
        <w:tc>
          <w:tcPr>
            <w:tcW w:type="dxa" w:w="4535"/>
          </w:tcPr>
          <w:p>
            <w:pPr>
              <w:spacing w:after="40" w:before="40"/>
            </w:pPr>
            <w:r/>
            <w:r>
              <w:rPr>
                <w:rFonts w:ascii="Calibri" w:hAnsi="Calibri"/>
                <w:b w:val="0"/>
                <w:sz w:val="17"/>
              </w:rPr>
              <w:t>Desactivado. El esquema lo define Flyway y solo Flyway.</w:t>
            </w:r>
          </w:p>
        </w:tc>
        <w:tc>
          <w:tcPr>
            <w:tcW w:type="dxa" w:w="8107"/>
          </w:tcPr>
          <w:p>
            <w:pPr>
              <w:spacing w:after="40" w:before="40"/>
            </w:pPr>
            <w:r/>
            <w:r>
              <w:rPr>
                <w:rFonts w:ascii="Calibri" w:hAnsi="Calibri"/>
                <w:b w:val="0"/>
                <w:sz w:val="17"/>
              </w:rPr>
              <w:t>Que Hibernate altere tablas en arranque es inaceptable en un sistema que mueve dinero: haría que el esquema dependiera del código desplegado y no de una migración revisada.</w:t>
            </w:r>
          </w:p>
        </w:tc>
      </w:tr>
      <w:tr>
        <w:tc>
          <w:tcPr>
            <w:tcW w:type="dxa" w:w="2494"/>
          </w:tcPr>
          <w:p>
            <w:pPr>
              <w:spacing w:after="40" w:before="40"/>
            </w:pPr>
            <w:r/>
            <w:r>
              <w:rPr>
                <w:rFonts w:ascii="Calibri" w:hAnsi="Calibri"/>
                <w:b w:val="0"/>
                <w:sz w:val="17"/>
              </w:rPr>
              <w:t>Lectura por réplica</w:t>
            </w:r>
          </w:p>
        </w:tc>
        <w:tc>
          <w:tcPr>
            <w:tcW w:type="dxa" w:w="4535"/>
          </w:tcPr>
          <w:p>
            <w:pPr>
              <w:spacing w:after="40" w:before="40"/>
            </w:pPr>
            <w:r/>
            <w:r>
              <w:rPr>
                <w:rFonts w:ascii="Calibri" w:hAnsi="Calibri"/>
                <w:b/>
                <w:sz w:val="17"/>
              </w:rPr>
              <w:t>No implantada.</w:t>
            </w:r>
            <w:r>
              <w:rPr>
                <w:rFonts w:ascii="Calibri" w:hAnsi="Calibri"/>
                <w:b w:val="0"/>
                <w:sz w:val="17"/>
              </w:rPr>
              <w:t xml:space="preserve"> Nodo único, sin balanceador.</w:t>
            </w:r>
          </w:p>
        </w:tc>
        <w:tc>
          <w:tcPr>
            <w:tcW w:type="dxa" w:w="8107"/>
          </w:tcPr>
          <w:p>
            <w:pPr>
              <w:spacing w:after="40" w:before="40"/>
            </w:pPr>
            <w:r/>
            <w:r>
              <w:rPr>
                <w:rFonts w:ascii="Calibri" w:hAnsi="Calibri"/>
                <w:b w:val="0"/>
                <w:sz w:val="17"/>
              </w:rPr>
              <w:t>La replicación maestro-esclavo de la sesión 11 es la evolución natural, pero exige una segunda instancia que el nivel gratuito no da. Queda registrada como deuda y como mitigación del riesgo R-16.</w:t>
            </w:r>
          </w:p>
        </w:tc>
      </w:tr>
    </w:tbl>
    <w:p>
      <w:r>
        <w:br w:type="page"/>
      </w:r>
    </w:p>
    <w:p>
      <w:pPr>
        <w:spacing w:before="360" w:after="120"/>
        <w:pBdr>
          <w:bottom w:val="single" w:sz="12" w:space="4" w:color="064475"/>
        </w:pBdr>
      </w:pPr>
      <w:r>
        <w:rPr>
          <w:rFonts w:ascii="Calibri" w:hAnsi="Calibri"/>
          <w:b/>
          <w:color w:val="064475"/>
          <w:sz w:val="30"/>
        </w:rPr>
        <w:t>5.  Encargo 3 · Política de seguridad del usuario de base de datos</w:t>
      </w:r>
    </w:p>
    <w:p>
      <w:pPr>
        <w:spacing w:before="220" w:after="120"/>
      </w:pPr>
      <w:r>
        <w:rPr>
          <w:rFonts w:ascii="Calibri" w:hAnsi="Calibri"/>
          <w:b/>
          <w:color w:val="064475"/>
          <w:sz w:val="24"/>
        </w:rPr>
        <w:t>5.1  Auditoría del estado actual — y lo que encontramos</w:t>
      </w:r>
    </w:p>
    <w:p>
      <w:pPr>
        <w:spacing w:after="160"/>
        <w:jc w:val="both"/>
      </w:pPr>
      <w:r>
        <w:rPr>
          <w:rFonts w:ascii="Calibri" w:hAnsi="Calibri"/>
          <w:b w:val="0"/>
          <w:sz w:val="20"/>
        </w:rPr>
        <w:t>Antes de proponer una política hemos comprobado la que hay. El resultado no es bueno, y lo recogemos tal cual porque un informe que solo describe el estado deseado no sirve para corregir nada. Consulta ejecutada sobre `pg_roles` en la instancia real:</w:t>
      </w:r>
    </w:p>
    <w:tbl>
      <w:tblPr>
        <w:tblStyle w:val="TableGrid"/>
        <w:tblW w:type="auto" w:w="0"/>
        <w:tblLook w:firstColumn="1" w:firstRow="1" w:lastColumn="0" w:lastRow="0" w:noHBand="0" w:noVBand="1" w:val="04A0"/>
      </w:tblPr>
      <w:tblGrid>
        <w:gridCol w:w="15138"/>
      </w:tblGrid>
      <w:tr>
        <w:tc>
          <w:tcPr>
            <w:tcW w:type="dxa" w:w="15137"/>
            <w:shd w:val="clear" w:color="auto" w:fill="F4CCCC"/>
          </w:tcPr>
          <w:p>
            <w:pPr>
              <w:spacing w:after="40" w:before="40"/>
            </w:pPr>
            <w:r/>
            <w:r>
              <w:rPr>
                <w:rFonts w:ascii="Calibri" w:hAnsi="Calibri"/>
                <w:b/>
                <w:sz w:val="19"/>
              </w:rPr>
              <w:t>HALLAZGO · `ayni_app` es SUPERUSER</w:t>
            </w:r>
          </w:p>
          <w:p>
            <w:pPr>
              <w:spacing w:after="40"/>
            </w:pPr>
            <w:r>
              <w:rPr>
                <w:rFonts w:ascii="Calibri" w:hAnsi="Calibri"/>
                <w:b w:val="0"/>
                <w:sz w:val="19"/>
              </w:rPr>
              <w:t xml:space="preserve">El único rol de la base de datos es el que usa la aplicación, y tiene los atributos `Superuser`, `Create role`, `Create DB`, `Replication` y `Bypass RLS`. Es además el </w:t>
            </w:r>
            <w:r>
              <w:rPr>
                <w:rFonts w:ascii="Calibri" w:hAnsi="Calibri"/>
                <w:b/>
                <w:sz w:val="19"/>
              </w:rPr>
              <w:t>propietario de las veinte tablas</w:t>
            </w:r>
            <w:r>
              <w:rPr>
                <w:rFonts w:ascii="Calibri" w:hAnsi="Calibri"/>
                <w:b w:val="0"/>
                <w:sz w:val="19"/>
              </w:rPr>
              <w:t>. En la práctica, una inyección SQL con éxito en cualquiera de los cuatro servicios no comprometería una tabla: comprometería el motor entero, incluida la capacidad de crear usuarios nuevos y de leer cualquier dato saltándose cualquier política. Es exactamente lo contrario del principio de menor privilegio.</w:t>
            </w:r>
          </w:p>
        </w:tc>
      </w:tr>
    </w:tbl>
    <w:p>
      <w:pPr>
        <w:spacing w:after="160"/>
        <w:jc w:val="both"/>
      </w:pPr>
    </w:p>
    <w:p>
      <w:pPr>
        <w:spacing w:after="160"/>
        <w:jc w:val="both"/>
      </w:pPr>
      <w:r>
        <w:rPr>
          <w:rFonts w:ascii="Calibri" w:hAnsi="Calibri"/>
          <w:b w:val="0"/>
          <w:sz w:val="20"/>
        </w:rPr>
        <w:t xml:space="preserve">En descargo del equipo: esto viene de la imagen de PostgreSQL por omisión, que crea el usuario indicado en `POSTGRES_USER` como superusuario, y hasta hoy nadie lo había revisado porque en local no molesta. Ese es justamente el problema: </w:t>
      </w:r>
      <w:r>
        <w:rPr>
          <w:rFonts w:ascii="Calibri" w:hAnsi="Calibri"/>
          <w:b/>
          <w:sz w:val="20"/>
        </w:rPr>
        <w:t>una configuración de desarrollo que nunca se cuestionó iba camino de producción.</w:t>
      </w:r>
      <w:r>
        <w:rPr>
          <w:rFonts w:ascii="Calibri" w:hAnsi="Calibri"/>
          <w:b w:val="0"/>
          <w:sz w:val="20"/>
        </w:rPr>
        <w:t xml:space="preserve"> El taller lo ha detectado a tiempo.</w:t>
      </w:r>
    </w:p>
    <w:p>
      <w:pPr>
        <w:spacing w:before="220" w:after="120"/>
      </w:pPr>
      <w:r>
        <w:rPr>
          <w:rFonts w:ascii="Calibri" w:hAnsi="Calibri"/>
          <w:b/>
          <w:color w:val="064475"/>
          <w:sz w:val="24"/>
        </w:rPr>
        <w:t>5.2  Política propuesta — cuatro roles y ningún superusuario</w:t>
      </w:r>
    </w:p>
    <w:p>
      <w:pPr>
        <w:spacing w:after="160"/>
        <w:jc w:val="both"/>
      </w:pPr>
      <w:r>
        <w:rPr>
          <w:rFonts w:ascii="Calibri" w:hAnsi="Calibri"/>
          <w:b w:val="0"/>
          <w:sz w:val="20"/>
        </w:rPr>
        <w:t xml:space="preserve">La política separa </w:t>
      </w:r>
      <w:r>
        <w:rPr>
          <w:rFonts w:ascii="Calibri" w:hAnsi="Calibri"/>
          <w:b/>
          <w:sz w:val="20"/>
        </w:rPr>
        <w:t>quién es dueño del esquema</w:t>
      </w:r>
      <w:r>
        <w:rPr>
          <w:rFonts w:ascii="Calibri" w:hAnsi="Calibri"/>
          <w:b w:val="0"/>
          <w:sz w:val="20"/>
        </w:rPr>
        <w:t xml:space="preserve"> de </w:t>
      </w:r>
      <w:r>
        <w:rPr>
          <w:rFonts w:ascii="Calibri" w:hAnsi="Calibri"/>
          <w:b/>
          <w:sz w:val="20"/>
        </w:rPr>
        <w:t>quién lo usa en tiempo de ejecución</w:t>
      </w:r>
      <w:r>
        <w:rPr>
          <w:rFonts w:ascii="Calibri" w:hAnsi="Calibri"/>
          <w:b w:val="0"/>
          <w:sz w:val="20"/>
        </w:rPr>
        <w:t>. Es la separación que impide que una inyección SQL pueda alterar la estructura de la base.</w:t>
      </w:r>
    </w:p>
    <w:tbl>
      <w:tblPr>
        <w:tblStyle w:val="TableGrid"/>
        <w:tblW w:type="auto" w:w="0"/>
        <w:tblLook w:firstColumn="1" w:firstRow="1" w:lastColumn="0" w:lastRow="0" w:noHBand="0" w:noVBand="1" w:val="04A0"/>
      </w:tblPr>
      <w:tblGrid>
        <w:gridCol w:w="3784"/>
        <w:gridCol w:w="3784"/>
        <w:gridCol w:w="3784"/>
        <w:gridCol w:w="3784"/>
      </w:tblGrid>
      <w:tr>
        <w:tc>
          <w:tcPr>
            <w:tcW w:type="dxa" w:w="2268"/>
            <w:shd w:val="clear" w:color="auto" w:fill="064475"/>
          </w:tcPr>
          <w:p>
            <w:pPr>
              <w:spacing w:after="40" w:before="40"/>
            </w:pPr>
            <w:r/>
            <w:r>
              <w:rPr>
                <w:rFonts w:ascii="Calibri" w:hAnsi="Calibri"/>
                <w:b/>
                <w:color w:val="FFFFFF"/>
                <w:sz w:val="17"/>
              </w:rPr>
              <w:t>Rol</w:t>
            </w:r>
          </w:p>
        </w:tc>
        <w:tc>
          <w:tcPr>
            <w:tcW w:type="dxa" w:w="3515"/>
            <w:shd w:val="clear" w:color="auto" w:fill="064475"/>
          </w:tcPr>
          <w:p>
            <w:pPr>
              <w:spacing w:after="40" w:before="40"/>
            </w:pPr>
            <w:r/>
            <w:r>
              <w:rPr>
                <w:rFonts w:ascii="Calibri" w:hAnsi="Calibri"/>
                <w:b/>
                <w:color w:val="FFFFFF"/>
                <w:sz w:val="17"/>
              </w:rPr>
              <w:t>Para qué</w:t>
            </w:r>
          </w:p>
        </w:tc>
        <w:tc>
          <w:tcPr>
            <w:tcW w:type="dxa" w:w="5953"/>
            <w:shd w:val="clear" w:color="auto" w:fill="064475"/>
          </w:tcPr>
          <w:p>
            <w:pPr>
              <w:spacing w:after="40" w:before="40"/>
            </w:pPr>
            <w:r/>
            <w:r>
              <w:rPr>
                <w:rFonts w:ascii="Calibri" w:hAnsi="Calibri"/>
                <w:b/>
                <w:color w:val="FFFFFF"/>
                <w:sz w:val="17"/>
              </w:rPr>
              <w:t>Privilegios</w:t>
            </w:r>
          </w:p>
        </w:tc>
        <w:tc>
          <w:tcPr>
            <w:tcW w:type="dxa" w:w="3402"/>
            <w:shd w:val="clear" w:color="auto" w:fill="064475"/>
          </w:tcPr>
          <w:p>
            <w:pPr>
              <w:spacing w:after="40" w:before="40"/>
            </w:pPr>
            <w:r/>
            <w:r>
              <w:rPr>
                <w:rFonts w:ascii="Calibri" w:hAnsi="Calibri"/>
                <w:b/>
                <w:color w:val="FFFFFF"/>
                <w:sz w:val="17"/>
              </w:rPr>
              <w:t>Quién lo usa</w:t>
            </w:r>
          </w:p>
        </w:tc>
      </w:tr>
      <w:tr>
        <w:tc>
          <w:tcPr>
            <w:tcW w:type="dxa" w:w="2268"/>
          </w:tcPr>
          <w:p>
            <w:pPr>
              <w:spacing w:after="40" w:before="40"/>
            </w:pPr>
            <w:r/>
            <w:r>
              <w:rPr>
                <w:rFonts w:ascii="Calibri" w:hAnsi="Calibri"/>
                <w:b w:val="0"/>
                <w:sz w:val="17"/>
              </w:rPr>
              <w:t>`ayni_owner`</w:t>
            </w:r>
          </w:p>
        </w:tc>
        <w:tc>
          <w:tcPr>
            <w:tcW w:type="dxa" w:w="3515"/>
          </w:tcPr>
          <w:p>
            <w:pPr>
              <w:spacing w:after="40" w:before="40"/>
            </w:pPr>
            <w:r/>
            <w:r>
              <w:rPr>
                <w:rFonts w:ascii="Calibri" w:hAnsi="Calibri"/>
                <w:b w:val="0"/>
                <w:sz w:val="17"/>
              </w:rPr>
              <w:t xml:space="preserve">Dueño del esquema. </w:t>
            </w:r>
            <w:r>
              <w:rPr>
                <w:rFonts w:ascii="Calibri" w:hAnsi="Calibri"/>
                <w:b/>
                <w:sz w:val="17"/>
              </w:rPr>
              <w:t>Solo lo usa Flyway</w:t>
            </w:r>
            <w:r>
              <w:rPr>
                <w:rFonts w:ascii="Calibri" w:hAnsi="Calibri"/>
                <w:b w:val="0"/>
                <w:sz w:val="17"/>
              </w:rPr>
              <w:t>, durante la migración.</w:t>
            </w:r>
          </w:p>
        </w:tc>
        <w:tc>
          <w:tcPr>
            <w:tcW w:type="dxa" w:w="5953"/>
          </w:tcPr>
          <w:p>
            <w:pPr>
              <w:spacing w:after="40" w:before="40"/>
            </w:pPr>
            <w:r/>
            <w:r>
              <w:rPr>
                <w:rFonts w:ascii="Calibri" w:hAnsi="Calibri"/>
                <w:b w:val="0"/>
                <w:sz w:val="17"/>
              </w:rPr>
              <w:t xml:space="preserve">`CREATE`, `ALTER`, `DROP` sobre sus schemas. </w:t>
            </w:r>
            <w:r>
              <w:rPr>
                <w:rFonts w:ascii="Calibri" w:hAnsi="Calibri"/>
                <w:b/>
                <w:sz w:val="17"/>
              </w:rPr>
              <w:t>No</w:t>
            </w:r>
            <w:r>
              <w:rPr>
                <w:rFonts w:ascii="Calibri" w:hAnsi="Calibri"/>
                <w:b w:val="0"/>
                <w:sz w:val="17"/>
              </w:rPr>
              <w:t xml:space="preserve"> es superusuario. Sin `LOGIN` fuera de la ventana de migración.</w:t>
            </w:r>
          </w:p>
        </w:tc>
        <w:tc>
          <w:tcPr>
            <w:tcW w:type="dxa" w:w="3402"/>
          </w:tcPr>
          <w:p>
            <w:pPr>
              <w:spacing w:after="40" w:before="40"/>
            </w:pPr>
            <w:r/>
            <w:r>
              <w:rPr>
                <w:rFonts w:ascii="Calibri" w:hAnsi="Calibri"/>
                <w:b w:val="0"/>
                <w:sz w:val="17"/>
              </w:rPr>
              <w:t>El contenedor de migración al desplegar. Nunca la aplicación.</w:t>
            </w:r>
          </w:p>
        </w:tc>
      </w:tr>
      <w:tr>
        <w:tc>
          <w:tcPr>
            <w:tcW w:type="dxa" w:w="2268"/>
          </w:tcPr>
          <w:p>
            <w:pPr>
              <w:spacing w:after="40" w:before="40"/>
            </w:pPr>
            <w:r/>
            <w:r>
              <w:rPr>
                <w:rFonts w:ascii="Calibri" w:hAnsi="Calibri"/>
                <w:b w:val="0"/>
                <w:sz w:val="17"/>
              </w:rPr>
              <w:t>`ayni_app`</w:t>
            </w:r>
          </w:p>
        </w:tc>
        <w:tc>
          <w:tcPr>
            <w:tcW w:type="dxa" w:w="3515"/>
          </w:tcPr>
          <w:p>
            <w:pPr>
              <w:spacing w:after="40" w:before="40"/>
            </w:pPr>
            <w:r/>
            <w:r>
              <w:rPr>
                <w:rFonts w:ascii="Calibri" w:hAnsi="Calibri"/>
                <w:b/>
                <w:sz w:val="17"/>
              </w:rPr>
              <w:t>El usuario de la aplicación.</w:t>
            </w:r>
            <w:r>
              <w:rPr>
                <w:rFonts w:ascii="Calibri" w:hAnsi="Calibri"/>
                <w:b w:val="0"/>
                <w:sz w:val="17"/>
              </w:rPr>
              <w:t xml:space="preserve"> El que pide el encargo del taller.</w:t>
            </w:r>
          </w:p>
        </w:tc>
        <w:tc>
          <w:tcPr>
            <w:tcW w:type="dxa" w:w="5953"/>
          </w:tcPr>
          <w:p>
            <w:pPr>
              <w:spacing w:after="40" w:before="40"/>
            </w:pPr>
            <w:r/>
            <w:r>
              <w:rPr>
                <w:rFonts w:ascii="Calibri" w:hAnsi="Calibri"/>
                <w:b w:val="0"/>
                <w:sz w:val="17"/>
              </w:rPr>
              <w:t xml:space="preserve">`SELECT`, `INSERT`, `UPDATE`, `DELETE` sobre las tablas de su schema y `USAGE` sobre las secuencias. </w:t>
            </w:r>
            <w:r>
              <w:rPr>
                <w:rFonts w:ascii="Calibri" w:hAnsi="Calibri"/>
                <w:b/>
                <w:sz w:val="17"/>
              </w:rPr>
              <w:t>Sin `CREATE`, sin `DROP`, sin `TRUNCATE`, sin superusuario.</w:t>
            </w:r>
            <w:r>
              <w:rPr>
                <w:rFonts w:ascii="Calibri" w:hAnsi="Calibri"/>
                <w:b w:val="0"/>
                <w:sz w:val="17"/>
              </w:rPr>
              <w:t xml:space="preserve"> Un rol distinto por servicio, con acceso solo a su propio schema.</w:t>
            </w:r>
          </w:p>
        </w:tc>
        <w:tc>
          <w:tcPr>
            <w:tcW w:type="dxa" w:w="3402"/>
          </w:tcPr>
          <w:p>
            <w:pPr>
              <w:spacing w:after="40" w:before="40"/>
            </w:pPr>
            <w:r/>
            <w:r>
              <w:rPr>
                <w:rFonts w:ascii="Calibri" w:hAnsi="Calibri"/>
                <w:b w:val="0"/>
                <w:sz w:val="17"/>
              </w:rPr>
              <w:t>Los cuatro servicios, cada uno con su credencial.</w:t>
            </w:r>
          </w:p>
        </w:tc>
      </w:tr>
      <w:tr>
        <w:tc>
          <w:tcPr>
            <w:tcW w:type="dxa" w:w="2268"/>
          </w:tcPr>
          <w:p>
            <w:pPr>
              <w:spacing w:after="40" w:before="40"/>
            </w:pPr>
            <w:r/>
            <w:r>
              <w:rPr>
                <w:rFonts w:ascii="Calibri" w:hAnsi="Calibri"/>
                <w:b w:val="0"/>
                <w:sz w:val="17"/>
              </w:rPr>
              <w:t>`ayni_readonly`</w:t>
            </w:r>
          </w:p>
        </w:tc>
        <w:tc>
          <w:tcPr>
            <w:tcW w:type="dxa" w:w="3515"/>
          </w:tcPr>
          <w:p>
            <w:pPr>
              <w:spacing w:after="40" w:before="40"/>
            </w:pPr>
            <w:r/>
            <w:r>
              <w:rPr>
                <w:rFonts w:ascii="Calibri" w:hAnsi="Calibri"/>
                <w:b w:val="0"/>
                <w:sz w:val="17"/>
              </w:rPr>
              <w:t>Consulta y diagnóstico.</w:t>
            </w:r>
          </w:p>
        </w:tc>
        <w:tc>
          <w:tcPr>
            <w:tcW w:type="dxa" w:w="5953"/>
          </w:tcPr>
          <w:p>
            <w:pPr>
              <w:spacing w:after="40" w:before="40"/>
            </w:pPr>
            <w:r/>
            <w:r>
              <w:rPr>
                <w:rFonts w:ascii="Calibri" w:hAnsi="Calibri"/>
                <w:b w:val="0"/>
                <w:sz w:val="17"/>
              </w:rPr>
              <w:t xml:space="preserve">`SELECT` sobre las tablas, </w:t>
            </w:r>
            <w:r>
              <w:rPr>
                <w:rFonts w:ascii="Calibri" w:hAnsi="Calibri"/>
                <w:b/>
                <w:sz w:val="17"/>
              </w:rPr>
              <w:t>excepto</w:t>
            </w:r>
            <w:r>
              <w:rPr>
                <w:rFonts w:ascii="Calibri" w:hAnsi="Calibri"/>
                <w:b w:val="0"/>
                <w:sz w:val="17"/>
              </w:rPr>
              <w:t xml:space="preserve"> las que contienen datos personales sin enmascarar. `pg_monitor` para leer estadísticas.</w:t>
            </w:r>
          </w:p>
        </w:tc>
        <w:tc>
          <w:tcPr>
            <w:tcW w:type="dxa" w:w="3402"/>
          </w:tcPr>
          <w:p>
            <w:pPr>
              <w:spacing w:after="40" w:before="40"/>
            </w:pPr>
            <w:r/>
            <w:r>
              <w:rPr>
                <w:rFonts w:ascii="Calibri" w:hAnsi="Calibri"/>
                <w:b w:val="0"/>
                <w:sz w:val="17"/>
              </w:rPr>
              <w:t>Grafana, informes y quien depure en staging.</w:t>
            </w:r>
          </w:p>
        </w:tc>
      </w:tr>
      <w:tr>
        <w:tc>
          <w:tcPr>
            <w:tcW w:type="dxa" w:w="2268"/>
          </w:tcPr>
          <w:p>
            <w:pPr>
              <w:spacing w:after="40" w:before="40"/>
            </w:pPr>
            <w:r/>
            <w:r>
              <w:rPr>
                <w:rFonts w:ascii="Calibri" w:hAnsi="Calibri"/>
                <w:b w:val="0"/>
                <w:sz w:val="17"/>
              </w:rPr>
              <w:t>`ayni_backup`</w:t>
            </w:r>
          </w:p>
        </w:tc>
        <w:tc>
          <w:tcPr>
            <w:tcW w:type="dxa" w:w="3515"/>
          </w:tcPr>
          <w:p>
            <w:pPr>
              <w:spacing w:after="40" w:before="40"/>
            </w:pPr>
            <w:r/>
            <w:r>
              <w:rPr>
                <w:rFonts w:ascii="Calibri" w:hAnsi="Calibri"/>
                <w:b w:val="0"/>
                <w:sz w:val="17"/>
              </w:rPr>
              <w:t>Respaldo.</w:t>
            </w:r>
          </w:p>
        </w:tc>
        <w:tc>
          <w:tcPr>
            <w:tcW w:type="dxa" w:w="5953"/>
          </w:tcPr>
          <w:p>
            <w:pPr>
              <w:spacing w:after="40" w:before="40"/>
            </w:pPr>
            <w:r/>
            <w:r>
              <w:rPr>
                <w:rFonts w:ascii="Calibri" w:hAnsi="Calibri"/>
                <w:b w:val="0"/>
                <w:sz w:val="17"/>
              </w:rPr>
              <w:t>`pg_read_all_data` y `REPLICATION`, nada más. Sin capacidad de escribir.</w:t>
            </w:r>
          </w:p>
        </w:tc>
        <w:tc>
          <w:tcPr>
            <w:tcW w:type="dxa" w:w="3402"/>
          </w:tcPr>
          <w:p>
            <w:pPr>
              <w:spacing w:after="40" w:before="40"/>
            </w:pPr>
            <w:r/>
            <w:r>
              <w:rPr>
                <w:rFonts w:ascii="Calibri" w:hAnsi="Calibri"/>
                <w:b w:val="0"/>
                <w:sz w:val="17"/>
              </w:rPr>
              <w:t>El proceso de respaldo del apartado 6.</w:t>
            </w:r>
          </w:p>
        </w:tc>
      </w:tr>
    </w:tbl>
    <w:p>
      <w:pPr>
        <w:spacing w:after="160"/>
        <w:jc w:val="both"/>
      </w:pPr>
      <w:r>
        <w:rPr>
          <w:rFonts w:ascii="Calibri" w:hAnsi="Calibri"/>
          <w:b/>
          <w:sz w:val="20"/>
        </w:rPr>
        <w:t>Restricción adicional, específica de `asiento`.</w:t>
      </w:r>
      <w:r>
        <w:rPr>
          <w:rFonts w:ascii="Calibri" w:hAnsi="Calibri"/>
          <w:b w:val="0"/>
          <w:sz w:val="20"/>
        </w:rPr>
        <w:t xml:space="preserve"> El libro mayor es inmutable por regla de negocio, así que el permiso debe reflejarlo: `ayni_app` recibe `SELECT` e `INSERT` sobre `core.asiento`, pero </w:t>
      </w:r>
      <w:r>
        <w:rPr>
          <w:rFonts w:ascii="Calibri" w:hAnsi="Calibri"/>
          <w:b/>
          <w:sz w:val="20"/>
        </w:rPr>
        <w:t>no `UPDATE` ni `DELETE`</w:t>
      </w:r>
      <w:r>
        <w:rPr>
          <w:rFonts w:ascii="Calibri" w:hAnsi="Calibri"/>
          <w:b w:val="0"/>
          <w:sz w:val="20"/>
        </w:rPr>
        <w:t>. Si un error de programación intentara corregir un asiento en lugar de compensarlo con uno nuevo, el motor lo rechaza. Es la invariante del dominio defendida en la capa que no se puede esquivar.</w:t>
      </w:r>
    </w:p>
    <w:p>
      <w:pPr>
        <w:spacing w:before="220" w:after="120"/>
      </w:pPr>
      <w:r>
        <w:rPr>
          <w:rFonts w:ascii="Calibri" w:hAnsi="Calibri"/>
          <w:b/>
          <w:color w:val="064475"/>
          <w:sz w:val="24"/>
        </w:rPr>
        <w:t>5.3  Las tres medidas que acompañan a los permisos</w:t>
      </w: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7"/>
              </w:rPr>
              <w:t>Medida</w:t>
            </w:r>
          </w:p>
        </w:tc>
        <w:tc>
          <w:tcPr>
            <w:tcW w:type="dxa" w:w="1474"/>
            <w:shd w:val="clear" w:color="auto" w:fill="064475"/>
          </w:tcPr>
          <w:p>
            <w:pPr>
              <w:spacing w:after="40" w:before="40"/>
            </w:pPr>
            <w:r/>
            <w:r>
              <w:rPr>
                <w:rFonts w:ascii="Calibri" w:hAnsi="Calibri"/>
                <w:b/>
                <w:color w:val="FFFFFF"/>
                <w:sz w:val="17"/>
              </w:rPr>
              <w:t>Estado</w:t>
            </w:r>
          </w:p>
        </w:tc>
        <w:tc>
          <w:tcPr>
            <w:tcW w:type="dxa" w:w="10602"/>
            <w:shd w:val="clear" w:color="auto" w:fill="064475"/>
          </w:tcPr>
          <w:p>
            <w:pPr>
              <w:spacing w:after="40" w:before="40"/>
            </w:pPr>
            <w:r/>
            <w:r>
              <w:rPr>
                <w:rFonts w:ascii="Calibri" w:hAnsi="Calibri"/>
                <w:b/>
                <w:color w:val="FFFFFF"/>
                <w:sz w:val="17"/>
              </w:rPr>
              <w:t>Qué se hace</w:t>
            </w:r>
          </w:p>
        </w:tc>
      </w:tr>
      <w:tr>
        <w:tc>
          <w:tcPr>
            <w:tcW w:type="dxa" w:w="3061"/>
          </w:tcPr>
          <w:p>
            <w:pPr>
              <w:spacing w:after="40" w:before="40"/>
            </w:pPr>
            <w:r/>
            <w:r>
              <w:rPr>
                <w:rFonts w:ascii="Calibri" w:hAnsi="Calibri"/>
                <w:b/>
                <w:sz w:val="17"/>
              </w:rPr>
              <w:t>Cifrado en tránsito</w:t>
            </w:r>
          </w:p>
        </w:tc>
        <w:tc>
          <w:tcPr>
            <w:tcW w:type="dxa" w:w="1474"/>
            <w:shd w:val="clear" w:color="auto" w:fill="FCE5CD"/>
          </w:tcPr>
          <w:p>
            <w:pPr>
              <w:spacing w:after="40" w:before="40"/>
              <w:jc w:val="center"/>
            </w:pPr>
            <w:r/>
            <w:r>
              <w:rPr>
                <w:rFonts w:ascii="Calibri" w:hAnsi="Calibri"/>
                <w:b w:val="0"/>
                <w:sz w:val="17"/>
              </w:rPr>
              <w:t>Pendiente</w:t>
            </w:r>
          </w:p>
        </w:tc>
        <w:tc>
          <w:tcPr>
            <w:tcW w:type="dxa" w:w="10602"/>
          </w:tcPr>
          <w:p>
            <w:pPr>
              <w:spacing w:after="40" w:before="40"/>
            </w:pPr>
            <w:r/>
            <w:r>
              <w:rPr>
                <w:rFonts w:ascii="Calibri" w:hAnsi="Calibri"/>
                <w:b w:val="0"/>
                <w:sz w:val="17"/>
              </w:rPr>
              <w:t>`ssl = on` en el servidor y `sslmode=verify-full` en la cadena de conexión de los servicios. Hoy el tráfico entre servicio y base viaja en claro por la red interna del compose; en producción, con base y aplicación en la misma máquina, el riesgo es menor, pero la configuración debe estar puesta antes de que dejen de estarlo.</w:t>
            </w:r>
          </w:p>
        </w:tc>
      </w:tr>
      <w:tr>
        <w:tc>
          <w:tcPr>
            <w:tcW w:type="dxa" w:w="3061"/>
          </w:tcPr>
          <w:p>
            <w:pPr>
              <w:spacing w:after="40" w:before="40"/>
            </w:pPr>
            <w:r/>
            <w:r>
              <w:rPr>
                <w:rFonts w:ascii="Calibri" w:hAnsi="Calibri"/>
                <w:b/>
                <w:sz w:val="17"/>
              </w:rPr>
              <w:t>Cifrado en reposo</w:t>
            </w:r>
          </w:p>
        </w:tc>
        <w:tc>
          <w:tcPr>
            <w:tcW w:type="dxa" w:w="1474"/>
            <w:shd w:val="clear" w:color="auto" w:fill="FCE5CD"/>
          </w:tcPr>
          <w:p>
            <w:pPr>
              <w:spacing w:after="40" w:before="40"/>
              <w:jc w:val="center"/>
            </w:pPr>
            <w:r/>
            <w:r>
              <w:rPr>
                <w:rFonts w:ascii="Calibri" w:hAnsi="Calibri"/>
                <w:b w:val="0"/>
                <w:sz w:val="17"/>
              </w:rPr>
              <w:t>Parcial</w:t>
            </w:r>
          </w:p>
        </w:tc>
        <w:tc>
          <w:tcPr>
            <w:tcW w:type="dxa" w:w="10602"/>
          </w:tcPr>
          <w:p>
            <w:pPr>
              <w:spacing w:after="40" w:before="40"/>
            </w:pPr>
            <w:r/>
            <w:r>
              <w:rPr>
                <w:rFonts w:ascii="Calibri" w:hAnsi="Calibri"/>
                <w:b w:val="0"/>
                <w:sz w:val="17"/>
              </w:rPr>
              <w:t>El número de documento ya se guarda cifrado a nivel de aplicación —de ahí la columna `documento_ultimos4`—. Falta el cifrado del volumen completo, que en Oracle Cloud es una opción del disco y no cuesta nada activar.</w:t>
            </w:r>
          </w:p>
        </w:tc>
      </w:tr>
      <w:tr>
        <w:tc>
          <w:tcPr>
            <w:tcW w:type="dxa" w:w="3061"/>
          </w:tcPr>
          <w:p>
            <w:pPr>
              <w:spacing w:after="40" w:before="40"/>
            </w:pPr>
            <w:r/>
            <w:r>
              <w:rPr>
                <w:rFonts w:ascii="Calibri" w:hAnsi="Calibri"/>
                <w:b/>
                <w:sz w:val="17"/>
              </w:rPr>
              <w:t>Auditoría de accesos</w:t>
            </w:r>
          </w:p>
        </w:tc>
        <w:tc>
          <w:tcPr>
            <w:tcW w:type="dxa" w:w="1474"/>
            <w:shd w:val="clear" w:color="auto" w:fill="FCE5CD"/>
          </w:tcPr>
          <w:p>
            <w:pPr>
              <w:spacing w:after="40" w:before="40"/>
              <w:jc w:val="center"/>
            </w:pPr>
            <w:r/>
            <w:r>
              <w:rPr>
                <w:rFonts w:ascii="Calibri" w:hAnsi="Calibri"/>
                <w:b w:val="0"/>
                <w:sz w:val="17"/>
              </w:rPr>
              <w:t>Parcial</w:t>
            </w:r>
          </w:p>
        </w:tc>
        <w:tc>
          <w:tcPr>
            <w:tcW w:type="dxa" w:w="10602"/>
          </w:tcPr>
          <w:p>
            <w:pPr>
              <w:spacing w:after="40" w:before="40"/>
            </w:pPr>
            <w:r/>
            <w:r>
              <w:rPr>
                <w:rFonts w:ascii="Calibri" w:hAnsi="Calibri"/>
                <w:b w:val="0"/>
                <w:sz w:val="17"/>
              </w:rPr>
              <w:t xml:space="preserve">`identity.evento_auditoria` registra los accesos </w:t>
            </w:r>
            <w:r>
              <w:rPr>
                <w:rFonts w:ascii="Calibri" w:hAnsi="Calibri"/>
                <w:b/>
                <w:sz w:val="17"/>
              </w:rPr>
              <w:t>de negocio</w:t>
            </w:r>
            <w:r>
              <w:rPr>
                <w:rFonts w:ascii="Calibri" w:hAnsi="Calibri"/>
                <w:b w:val="0"/>
                <w:sz w:val="17"/>
              </w:rPr>
              <w:t xml:space="preserve">. Falta la auditoría </w:t>
            </w:r>
            <w:r>
              <w:rPr>
                <w:rFonts w:ascii="Calibri" w:hAnsi="Calibri"/>
                <w:b/>
                <w:sz w:val="17"/>
              </w:rPr>
              <w:t>del motor</w:t>
            </w:r>
            <w:r>
              <w:rPr>
                <w:rFonts w:ascii="Calibri" w:hAnsi="Calibri"/>
                <w:b w:val="0"/>
                <w:sz w:val="17"/>
              </w:rPr>
              <w:t>: quién se conectó a la base y qué ejecutó. Se activará `pgaudit` limitado a `DDL` y `ROLE`, no a `READ`, porque auditar todas las lecturas con 4,37 millones de asientos diarios generaría más registro que datos.</w:t>
            </w:r>
          </w:p>
        </w:tc>
      </w:tr>
      <w:tr>
        <w:tc>
          <w:tcPr>
            <w:tcW w:type="dxa" w:w="3061"/>
          </w:tcPr>
          <w:p>
            <w:pPr>
              <w:spacing w:after="40" w:before="40"/>
            </w:pPr>
            <w:r/>
            <w:r>
              <w:rPr>
                <w:rFonts w:ascii="Calibri" w:hAnsi="Calibri"/>
                <w:b/>
                <w:sz w:val="17"/>
              </w:rPr>
              <w:t>Nada sensible en el registro</w:t>
            </w:r>
          </w:p>
        </w:tc>
        <w:tc>
          <w:tcPr>
            <w:tcW w:type="dxa" w:w="1474"/>
            <w:shd w:val="clear" w:color="auto" w:fill="D9EAD3"/>
          </w:tcPr>
          <w:p>
            <w:pPr>
              <w:spacing w:after="40" w:before="40"/>
              <w:jc w:val="center"/>
            </w:pPr>
            <w:r/>
            <w:r>
              <w:rPr>
                <w:rFonts w:ascii="Calibri" w:hAnsi="Calibri"/>
                <w:b w:val="0"/>
                <w:sz w:val="17"/>
              </w:rPr>
              <w:t>Cumplido</w:t>
            </w:r>
          </w:p>
        </w:tc>
        <w:tc>
          <w:tcPr>
            <w:tcW w:type="dxa" w:w="10602"/>
          </w:tcPr>
          <w:p>
            <w:pPr>
              <w:spacing w:after="40" w:before="40"/>
            </w:pPr>
            <w:r/>
            <w:r>
              <w:rPr>
                <w:rFonts w:ascii="Calibri" w:hAnsi="Calibri"/>
                <w:b w:val="0"/>
                <w:sz w:val="17"/>
              </w:rPr>
              <w:t>Ni PAN, ni contraseñas, ni tokens, ni número de documento, ni biometría aparecen en los registros. Es invariante del proyecto y se verifica en revisión de código.</w:t>
            </w:r>
          </w:p>
        </w:tc>
      </w:tr>
    </w:tbl>
    <w:p>
      <w:r>
        <w:br w:type="page"/>
      </w:r>
    </w:p>
    <w:p>
      <w:pPr>
        <w:spacing w:before="360" w:after="120"/>
        <w:pBdr>
          <w:bottom w:val="single" w:sz="12" w:space="4" w:color="064475"/>
        </w:pBdr>
      </w:pPr>
      <w:r>
        <w:rPr>
          <w:rFonts w:ascii="Calibri" w:hAnsi="Calibri"/>
          <w:b/>
          <w:color w:val="064475"/>
          <w:sz w:val="30"/>
        </w:rPr>
        <w:t>6.  Plan de respaldo y recuperación</w:t>
      </w:r>
    </w:p>
    <w:tbl>
      <w:tblPr>
        <w:tblStyle w:val="TableGrid"/>
        <w:tblW w:type="auto" w:w="0"/>
        <w:tblLook w:firstColumn="1" w:firstRow="1" w:lastColumn="0" w:lastRow="0" w:noHBand="0" w:noVBand="1" w:val="04A0"/>
      </w:tblPr>
      <w:tblGrid>
        <w:gridCol w:w="15138"/>
      </w:tblGrid>
      <w:tr>
        <w:tc>
          <w:tcPr>
            <w:tcW w:type="dxa" w:w="15137"/>
            <w:shd w:val="clear" w:color="auto" w:fill="FFF8E7"/>
          </w:tcPr>
          <w:p>
            <w:pPr>
              <w:spacing w:after="60"/>
            </w:pPr>
            <w:r/>
            <w:r>
              <w:rPr>
                <w:rFonts w:ascii="Calibri" w:hAnsi="Calibri"/>
                <w:b/>
                <w:color w:val="C59E41"/>
                <w:sz w:val="18"/>
              </w:rPr>
              <w:t xml:space="preserve">PREGUNTA CLAVE  ·  </w:t>
            </w:r>
            <w:r>
              <w:rPr>
                <w:rFonts w:ascii="Calibri" w:hAnsi="Calibri"/>
                <w:b/>
                <w:color w:val="064475"/>
                <w:sz w:val="20"/>
              </w:rPr>
              <w:t>¿Respaldo total o incremental, y cada cuánto?</w:t>
            </w:r>
          </w:p>
          <w:p>
            <w:pPr>
              <w:spacing w:after="40"/>
            </w:pPr>
            <w:r>
              <w:rPr>
                <w:rFonts w:ascii="Calibri" w:hAnsi="Calibri"/>
                <w:b w:val="0"/>
                <w:color w:val="4A4A4A"/>
                <w:sz w:val="18"/>
              </w:rPr>
              <w:t>Los dos, y la frecuencia la fija el RPO, no la costumbre. Se responde en 6.2 y 6.3.</w:t>
            </w:r>
          </w:p>
        </w:tc>
      </w:tr>
    </w:tbl>
    <w:p>
      <w:pPr>
        <w:spacing w:before="220" w:after="120"/>
      </w:pPr>
      <w:r>
        <w:rPr>
          <w:rFonts w:ascii="Calibri" w:hAnsi="Calibri"/>
          <w:b/>
          <w:color w:val="064475"/>
          <w:sz w:val="24"/>
        </w:rPr>
        <w:t>6.1  Primero el hallazgo: hoy no se puede recuperar a un punto en el tiempo</w:t>
      </w:r>
    </w:p>
    <w:tbl>
      <w:tblPr>
        <w:tblStyle w:val="TableGrid"/>
        <w:tblW w:type="auto" w:w="0"/>
        <w:tblLook w:firstColumn="1" w:firstRow="1" w:lastColumn="0" w:lastRow="0" w:noHBand="0" w:noVBand="1" w:val="04A0"/>
      </w:tblPr>
      <w:tblGrid>
        <w:gridCol w:w="15138"/>
      </w:tblGrid>
      <w:tr>
        <w:tc>
          <w:tcPr>
            <w:tcW w:type="dxa" w:w="15137"/>
            <w:shd w:val="clear" w:color="auto" w:fill="F4CCCC"/>
          </w:tcPr>
          <w:p>
            <w:pPr>
              <w:spacing w:after="40" w:before="40"/>
            </w:pPr>
            <w:r/>
            <w:r>
              <w:rPr>
                <w:rFonts w:ascii="Calibri" w:hAnsi="Calibri"/>
                <w:b/>
                <w:sz w:val="19"/>
              </w:rPr>
              <w:t>HALLAZGO · `archive_mode = off`</w:t>
            </w:r>
          </w:p>
          <w:p>
            <w:pPr>
              <w:spacing w:after="40"/>
            </w:pPr>
            <w:r>
              <w:rPr>
                <w:rFonts w:ascii="Calibri" w:hAnsi="Calibri"/>
                <w:b w:val="0"/>
                <w:sz w:val="19"/>
              </w:rPr>
              <w:t xml:space="preserve">La instancia corre con `wal_level = replica` pero </w:t>
            </w:r>
            <w:r>
              <w:rPr>
                <w:rFonts w:ascii="Calibri" w:hAnsi="Calibri"/>
                <w:b/>
                <w:sz w:val="19"/>
              </w:rPr>
              <w:t>sin archivado de WAL</w:t>
            </w:r>
            <w:r>
              <w:rPr>
                <w:rFonts w:ascii="Calibri" w:hAnsi="Calibri"/>
                <w:b w:val="0"/>
                <w:sz w:val="19"/>
              </w:rPr>
              <w:t xml:space="preserve">. Esto significa que hoy la única recuperación posible es «volver al último volcado completo», perdiendo todo lo ocurrido desde entonces. </w:t>
            </w:r>
            <w:r>
              <w:rPr>
                <w:rFonts w:ascii="Calibri" w:hAnsi="Calibri"/>
                <w:b/>
                <w:sz w:val="19"/>
              </w:rPr>
              <w:t>La recuperación a un instante concreto —justo antes del borrado erróneo— es imposible hoy.</w:t>
            </w:r>
            <w:r>
              <w:rPr>
                <w:rFonts w:ascii="Calibri" w:hAnsi="Calibri"/>
                <w:b w:val="0"/>
                <w:sz w:val="19"/>
              </w:rPr>
              <w:t xml:space="preserve"> Para un sistema que mueve dinero, esto es la carencia más grave de las detectadas en este taller.</w:t>
            </w:r>
          </w:p>
        </w:tc>
      </w:tr>
    </w:tbl>
    <w:p>
      <w:pPr>
        <w:spacing w:after="160"/>
        <w:jc w:val="both"/>
      </w:pPr>
    </w:p>
    <w:p>
      <w:pPr>
        <w:spacing w:before="220" w:after="120"/>
      </w:pPr>
      <w:r>
        <w:rPr>
          <w:rFonts w:ascii="Calibri" w:hAnsi="Calibri"/>
          <w:b/>
          <w:color w:val="064475"/>
          <w:sz w:val="24"/>
        </w:rPr>
        <w:t>6.2  Objetivos: qué se está dispuesto a perder y cuánto se puede tardar</w:t>
      </w:r>
    </w:p>
    <w:p>
      <w:pPr>
        <w:spacing w:after="160"/>
        <w:jc w:val="both"/>
      </w:pPr>
      <w:r>
        <w:rPr>
          <w:rFonts w:ascii="Calibri" w:hAnsi="Calibri"/>
          <w:b w:val="0"/>
          <w:sz w:val="20"/>
        </w:rPr>
        <w:t xml:space="preserve">En un sistema que mueve dinero, el objetivo de punto de recuperación </w:t>
      </w:r>
      <w:r>
        <w:rPr>
          <w:rFonts w:ascii="Calibri" w:hAnsi="Calibri"/>
          <w:b/>
          <w:sz w:val="20"/>
        </w:rPr>
        <w:t>se fija por lo que el negocio puede tolerar, no por lo que la infraestructura disponible permite</w:t>
      </w:r>
      <w:r>
        <w:rPr>
          <w:rFonts w:ascii="Calibri" w:hAnsi="Calibri"/>
          <w:b w:val="0"/>
          <w:sz w:val="20"/>
        </w:rPr>
        <w:t xml:space="preserve">. Y lo que el negocio tolera aquí es nada: cinco minutos de pérdida no son cinco minutos de registros, son </w:t>
      </w:r>
      <w:r>
        <w:rPr>
          <w:rFonts w:ascii="Calibri" w:hAnsi="Calibri"/>
          <w:b/>
          <w:sz w:val="20"/>
        </w:rPr>
        <w:t>unas 7 600 transacciones confirmadas al cliente que dejarían de existir</w:t>
      </w:r>
      <w:r>
        <w:rPr>
          <w:rFonts w:ascii="Calibri" w:hAnsi="Calibri"/>
          <w:b w:val="0"/>
          <w:sz w:val="20"/>
        </w:rPr>
        <w:t>. El cliente vio su comprobante; el banco no tendría el asiento. Ningún supervisor financiero lo aceptaría, y con razón.</w:t>
      </w:r>
    </w:p>
    <w:p>
      <w:pPr>
        <w:spacing w:after="160"/>
        <w:jc w:val="both"/>
      </w:pPr>
      <w:r>
        <w:rPr>
          <w:rFonts w:ascii="Calibri" w:hAnsi="Calibri"/>
          <w:b w:val="0"/>
          <w:sz w:val="20"/>
        </w:rPr>
        <w:t xml:space="preserve">Ahora bien, </w:t>
      </w:r>
      <w:r>
        <w:rPr>
          <w:rFonts w:ascii="Calibri" w:hAnsi="Calibri"/>
          <w:b/>
          <w:sz w:val="20"/>
        </w:rPr>
        <w:t>un cero absoluto y para todo sería tan poco realista como un RPO de veinticuatro horas</w:t>
      </w:r>
      <w:r>
        <w:rPr>
          <w:rFonts w:ascii="Calibri" w:hAnsi="Calibri"/>
          <w:b w:val="0"/>
          <w:sz w:val="20"/>
        </w:rPr>
        <w:t xml:space="preserve">, y conviene decir por qué. La replicación síncrona obliga a que cada confirmación espere el acuse de la réplica: dentro del mismo centro de datos son entre 0,5 y 2 ms, entre zonas de una misma región entre 1 y 3 ms, pero </w:t>
      </w:r>
      <w:r>
        <w:rPr>
          <w:rFonts w:ascii="Calibri" w:hAnsi="Calibri"/>
          <w:b/>
          <w:sz w:val="20"/>
        </w:rPr>
        <w:t>entre regiones distintas sube a 20–80 ms</w:t>
      </w:r>
      <w:r>
        <w:rPr>
          <w:rFonts w:ascii="Calibri" w:hAnsi="Calibri"/>
          <w:b w:val="0"/>
          <w:sz w:val="20"/>
        </w:rPr>
        <w:t>. Replicar de forma síncrona a un sitio lejano no es caro: es inviable, porque arruinaría el tiempo de respuesta de cada operación.</w:t>
      </w:r>
    </w:p>
    <w:p>
      <w:pPr>
        <w:spacing w:after="160"/>
        <w:jc w:val="both"/>
      </w:pPr>
      <w:r>
        <w:rPr>
          <w:rFonts w:ascii="Calibri" w:hAnsi="Calibri"/>
          <w:b w:val="0"/>
          <w:sz w:val="20"/>
        </w:rPr>
        <w:t xml:space="preserve">Por eso la banca no fija un RPO, fija </w:t>
      </w:r>
      <w:r>
        <w:rPr>
          <w:rFonts w:ascii="Calibri" w:hAnsi="Calibri"/>
          <w:b/>
          <w:sz w:val="20"/>
        </w:rPr>
        <w:t>dos</w:t>
      </w:r>
      <w:r>
        <w:rPr>
          <w:rFonts w:ascii="Calibri" w:hAnsi="Calibri"/>
          <w:b w:val="0"/>
          <w:sz w:val="20"/>
        </w:rPr>
        <w:t xml:space="preserve">, y es el criterio que adoptamos aquí: </w:t>
      </w:r>
      <w:r>
        <w:rPr>
          <w:rFonts w:ascii="Calibri" w:hAnsi="Calibri"/>
          <w:b/>
          <w:sz w:val="20"/>
        </w:rPr>
        <w:t>cero frente a la caída de un nodo</w:t>
      </w:r>
      <w:r>
        <w:rPr>
          <w:rFonts w:ascii="Calibri" w:hAnsi="Calibri"/>
          <w:b w:val="0"/>
          <w:sz w:val="20"/>
        </w:rPr>
        <w:t xml:space="preserve"> —que es el fallo habitual, y se resuelve con una réplica síncrona cercana— y </w:t>
      </w:r>
      <w:r>
        <w:rPr>
          <w:rFonts w:ascii="Calibri" w:hAnsi="Calibri"/>
          <w:b/>
          <w:sz w:val="20"/>
        </w:rPr>
        <w:t>unos pocos minutos frente al desastre regional</w:t>
      </w:r>
      <w:r>
        <w:rPr>
          <w:rFonts w:ascii="Calibri" w:hAnsi="Calibri"/>
          <w:b w:val="0"/>
          <w:sz w:val="20"/>
        </w:rPr>
        <w:t xml:space="preserve"> —que es el fallo raro, y se cubre con una réplica asíncrona lejana más el WAL archivado—. La alta disponibilidad y la redundancia de disco no figuran, pues, como una mejora deseable, sino como </w:t>
      </w:r>
      <w:r>
        <w:rPr>
          <w:rFonts w:ascii="Calibri" w:hAnsi="Calibri"/>
          <w:b/>
          <w:sz w:val="20"/>
        </w:rPr>
        <w:t>requisito de producto</w:t>
      </w:r>
      <w:r>
        <w:rPr>
          <w:rFonts w:ascii="Calibri" w:hAnsi="Calibri"/>
          <w:b w:val="0"/>
          <w:sz w:val="20"/>
        </w:rPr>
        <w:t>, al mismo nivel que la partida doble o la idempotencia. El apartado 6.3 cuantifica lo que cuesta.</w:t>
      </w:r>
    </w:p>
    <w:tbl>
      <w:tblPr>
        <w:tblStyle w:val="TableGrid"/>
        <w:tblW w:type="auto" w:w="0"/>
        <w:tblLook w:firstColumn="1" w:firstRow="1" w:lastColumn="0" w:lastRow="0" w:noHBand="0" w:noVBand="1" w:val="04A0"/>
      </w:tblPr>
      <w:tblGrid>
        <w:gridCol w:w="5046"/>
        <w:gridCol w:w="5046"/>
        <w:gridCol w:w="5046"/>
      </w:tblGrid>
      <w:tr>
        <w:tc>
          <w:tcPr>
            <w:tcW w:type="dxa" w:w="4195"/>
            <w:shd w:val="clear" w:color="auto" w:fill="064475"/>
          </w:tcPr>
          <w:p>
            <w:pPr>
              <w:spacing w:after="40" w:before="40"/>
            </w:pPr>
            <w:r/>
            <w:r>
              <w:rPr>
                <w:rFonts w:ascii="Calibri" w:hAnsi="Calibri"/>
                <w:b/>
                <w:color w:val="FFFFFF"/>
                <w:sz w:val="17"/>
              </w:rPr>
              <w:t>Objetivo</w:t>
            </w:r>
          </w:p>
        </w:tc>
        <w:tc>
          <w:tcPr>
            <w:tcW w:type="dxa" w:w="3061"/>
            <w:shd w:val="clear" w:color="auto" w:fill="064475"/>
          </w:tcPr>
          <w:p>
            <w:pPr>
              <w:spacing w:after="40" w:before="40"/>
            </w:pPr>
            <w:r/>
            <w:r>
              <w:rPr>
                <w:rFonts w:ascii="Calibri" w:hAnsi="Calibri"/>
                <w:b/>
                <w:color w:val="FFFFFF"/>
                <w:sz w:val="17"/>
              </w:rPr>
              <w:t>Valor</w:t>
            </w:r>
          </w:p>
        </w:tc>
        <w:tc>
          <w:tcPr>
            <w:tcW w:type="dxa" w:w="7880"/>
            <w:shd w:val="clear" w:color="auto" w:fill="064475"/>
          </w:tcPr>
          <w:p>
            <w:pPr>
              <w:spacing w:after="40" w:before="40"/>
            </w:pPr>
            <w:r/>
            <w:r>
              <w:rPr>
                <w:rFonts w:ascii="Calibri" w:hAnsi="Calibri"/>
                <w:b/>
                <w:color w:val="FFFFFF"/>
                <w:sz w:val="17"/>
              </w:rPr>
              <w:t>De dónde sale</w:t>
            </w:r>
          </w:p>
        </w:tc>
      </w:tr>
      <w:tr>
        <w:tc>
          <w:tcPr>
            <w:tcW w:type="dxa" w:w="4195"/>
          </w:tcPr>
          <w:p>
            <w:pPr>
              <w:spacing w:after="40" w:before="40"/>
            </w:pPr>
            <w:r/>
            <w:r>
              <w:rPr>
                <w:rFonts w:ascii="Calibri" w:hAnsi="Calibri"/>
                <w:b/>
                <w:sz w:val="17"/>
              </w:rPr>
              <w:t>RPO · nivel 1</w:t>
            </w:r>
            <w:r>
              <w:rPr>
                <w:rFonts w:ascii="Calibri" w:hAnsi="Calibri"/>
                <w:b w:val="0"/>
                <w:sz w:val="17"/>
              </w:rPr>
              <w:t xml:space="preserve"> — caída de un nodo</w:t>
            </w:r>
          </w:p>
          <w:p>
            <w:pPr>
              <w:spacing w:after="40"/>
            </w:pPr>
            <w:r>
              <w:rPr>
                <w:rFonts w:ascii="Calibri" w:hAnsi="Calibri"/>
                <w:b w:val="0"/>
                <w:sz w:val="17"/>
              </w:rPr>
              <w:t>*(el fallo habitual)*</w:t>
            </w:r>
          </w:p>
        </w:tc>
        <w:tc>
          <w:tcPr>
            <w:tcW w:type="dxa" w:w="3061"/>
          </w:tcPr>
          <w:p>
            <w:pPr>
              <w:spacing w:after="40" w:before="40"/>
              <w:jc w:val="center"/>
            </w:pPr>
            <w:r/>
            <w:r>
              <w:rPr>
                <w:rFonts w:ascii="Calibri" w:hAnsi="Calibri"/>
                <w:b/>
                <w:sz w:val="17"/>
              </w:rPr>
              <w:t>0 · ninguna transacción confirmada</w:t>
            </w:r>
          </w:p>
        </w:tc>
        <w:tc>
          <w:tcPr>
            <w:tcW w:type="dxa" w:w="7880"/>
          </w:tcPr>
          <w:p>
            <w:pPr>
              <w:spacing w:after="40" w:before="40"/>
            </w:pPr>
            <w:r/>
            <w:r>
              <w:rPr>
                <w:rFonts w:ascii="Calibri" w:hAnsi="Calibri"/>
                <w:b/>
                <w:sz w:val="17"/>
              </w:rPr>
              <w:t>Replicación en flujo síncrona</w:t>
            </w:r>
            <w:r>
              <w:rPr>
                <w:rFonts w:ascii="Calibri" w:hAnsi="Calibri"/>
                <w:b w:val="0"/>
                <w:sz w:val="17"/>
              </w:rPr>
              <w:t xml:space="preserve"> hacia un segundo nodo en la misma región: PostgreSQL con `synchronous_commit = remote_apply` no confirma la transacción al cliente hasta que la réplica la tiene escrita. Si el primario se pierde, la réplica conserva </w:t>
            </w:r>
            <w:r>
              <w:rPr>
                <w:rFonts w:ascii="Calibri" w:hAnsi="Calibri"/>
                <w:b/>
                <w:sz w:val="17"/>
              </w:rPr>
              <w:t>todo</w:t>
            </w:r>
            <w:r>
              <w:rPr>
                <w:rFonts w:ascii="Calibri" w:hAnsi="Calibri"/>
                <w:b w:val="0"/>
                <w:sz w:val="17"/>
              </w:rPr>
              <w:t xml:space="preserve"> lo confirmado. El coste es de 1 a 3 ms por confirmación, asumible.</w:t>
            </w:r>
          </w:p>
        </w:tc>
      </w:tr>
      <w:tr>
        <w:tc>
          <w:tcPr>
            <w:tcW w:type="dxa" w:w="4195"/>
          </w:tcPr>
          <w:p>
            <w:pPr>
              <w:spacing w:after="40" w:before="40"/>
            </w:pPr>
            <w:r/>
            <w:r>
              <w:rPr>
                <w:rFonts w:ascii="Calibri" w:hAnsi="Calibri"/>
                <w:b/>
                <w:sz w:val="17"/>
              </w:rPr>
              <w:t>RPO · nivel 2</w:t>
            </w:r>
            <w:r>
              <w:rPr>
                <w:rFonts w:ascii="Calibri" w:hAnsi="Calibri"/>
                <w:b w:val="0"/>
                <w:sz w:val="17"/>
              </w:rPr>
              <w:t xml:space="preserve"> — desastre regional</w:t>
            </w:r>
          </w:p>
          <w:p>
            <w:pPr>
              <w:spacing w:after="40"/>
            </w:pPr>
            <w:r>
              <w:rPr>
                <w:rFonts w:ascii="Calibri" w:hAnsi="Calibri"/>
                <w:b w:val="0"/>
                <w:sz w:val="17"/>
              </w:rPr>
              <w:t>*(el fallo raro)*</w:t>
            </w:r>
          </w:p>
        </w:tc>
        <w:tc>
          <w:tcPr>
            <w:tcW w:type="dxa" w:w="3061"/>
          </w:tcPr>
          <w:p>
            <w:pPr>
              <w:spacing w:after="40" w:before="40"/>
              <w:jc w:val="center"/>
            </w:pPr>
            <w:r/>
            <w:r>
              <w:rPr>
                <w:rFonts w:ascii="Calibri" w:hAnsi="Calibri"/>
                <w:b/>
                <w:sz w:val="17"/>
              </w:rPr>
              <w:t>&lt; 5 minutos</w:t>
            </w:r>
          </w:p>
        </w:tc>
        <w:tc>
          <w:tcPr>
            <w:tcW w:type="dxa" w:w="7880"/>
          </w:tcPr>
          <w:p>
            <w:pPr>
              <w:spacing w:after="40" w:before="40"/>
            </w:pPr>
            <w:r/>
            <w:r>
              <w:rPr>
                <w:rFonts w:ascii="Calibri" w:hAnsi="Calibri"/>
                <w:b/>
                <w:sz w:val="17"/>
              </w:rPr>
              <w:t>Réplica asíncrona</w:t>
            </w:r>
            <w:r>
              <w:rPr>
                <w:rFonts w:ascii="Calibri" w:hAnsi="Calibri"/>
                <w:b w:val="0"/>
                <w:sz w:val="17"/>
              </w:rPr>
              <w:t xml:space="preserve"> a un sitio lejano más el WAL archivado cada 5 minutos. Aquí el cero es inalcanzable por física: la latencia entre regiones haría inviable la confirmación síncrona. Cinco minutos de exposición ante un suceso que ocurre una vez cada varios años es el compromiso que toma la industria.</w:t>
            </w:r>
          </w:p>
        </w:tc>
      </w:tr>
      <w:tr>
        <w:tc>
          <w:tcPr>
            <w:tcW w:type="dxa" w:w="4195"/>
          </w:tcPr>
          <w:p>
            <w:pPr>
              <w:spacing w:after="40" w:before="40"/>
            </w:pPr>
            <w:r/>
            <w:r>
              <w:rPr>
                <w:rFonts w:ascii="Calibri" w:hAnsi="Calibri"/>
                <w:b/>
                <w:sz w:val="17"/>
              </w:rPr>
              <w:t>RTO</w:t>
            </w:r>
            <w:r>
              <w:rPr>
                <w:rFonts w:ascii="Calibri" w:hAnsi="Calibri"/>
                <w:b w:val="0"/>
                <w:sz w:val="17"/>
              </w:rPr>
              <w:t xml:space="preserve"> · tiempo máximo hasta volver a operar</w:t>
            </w:r>
          </w:p>
        </w:tc>
        <w:tc>
          <w:tcPr>
            <w:tcW w:type="dxa" w:w="3061"/>
          </w:tcPr>
          <w:p>
            <w:pPr>
              <w:spacing w:after="40" w:before="40"/>
              <w:jc w:val="center"/>
            </w:pPr>
            <w:r/>
            <w:r>
              <w:rPr>
                <w:rFonts w:ascii="Calibri" w:hAnsi="Calibri"/>
                <w:b/>
                <w:sz w:val="17"/>
              </w:rPr>
              <w:t>&lt; 5 minutos</w:t>
            </w:r>
            <w:r>
              <w:rPr>
                <w:rFonts w:ascii="Calibri" w:hAnsi="Calibri"/>
                <w:b w:val="0"/>
                <w:sz w:val="17"/>
              </w:rPr>
              <w:t xml:space="preserve"> ante la caída de un nodo</w:t>
            </w:r>
          </w:p>
          <w:p>
            <w:pPr>
              <w:spacing w:after="40"/>
              <w:jc w:val="center"/>
            </w:pPr>
            <w:r>
              <w:rPr>
                <w:rFonts w:ascii="Calibri" w:hAnsi="Calibri"/>
                <w:b/>
                <w:sz w:val="17"/>
              </w:rPr>
              <w:t>&lt; 4 horas</w:t>
            </w:r>
            <w:r>
              <w:rPr>
                <w:rFonts w:ascii="Calibri" w:hAnsi="Calibri"/>
                <w:b w:val="0"/>
                <w:sz w:val="17"/>
              </w:rPr>
              <w:t xml:space="preserve"> ante desastre regional</w:t>
            </w:r>
          </w:p>
        </w:tc>
        <w:tc>
          <w:tcPr>
            <w:tcW w:type="dxa" w:w="7880"/>
          </w:tcPr>
          <w:p>
            <w:pPr>
              <w:spacing w:after="40" w:before="40"/>
            </w:pPr>
            <w:r/>
            <w:r>
              <w:rPr>
                <w:rFonts w:ascii="Calibri" w:hAnsi="Calibri"/>
                <w:b w:val="0"/>
                <w:sz w:val="17"/>
              </w:rPr>
              <w:t>Mismos dos escenarios. La caída de un nodo se resuelve con promoción automática de la réplica (Patroni o repmgr) y se mide en segundos. Las 4 horas corresponden al caso catastrófico, en el que hay que levantar el sitio secundario y verificar antes de abrir al público.</w:t>
            </w:r>
          </w:p>
        </w:tc>
      </w:tr>
      <w:tr>
        <w:tc>
          <w:tcPr>
            <w:tcW w:type="dxa" w:w="4195"/>
          </w:tcPr>
          <w:p>
            <w:pPr>
              <w:spacing w:after="40" w:before="40"/>
            </w:pPr>
            <w:r/>
            <w:r>
              <w:rPr>
                <w:rFonts w:ascii="Calibri" w:hAnsi="Calibri"/>
                <w:b/>
                <w:sz w:val="17"/>
              </w:rPr>
              <w:t>Alcance del nivel 1</w:t>
            </w:r>
          </w:p>
        </w:tc>
        <w:tc>
          <w:tcPr>
            <w:tcW w:type="dxa" w:w="3061"/>
          </w:tcPr>
          <w:p>
            <w:pPr>
              <w:spacing w:after="40" w:before="40"/>
              <w:jc w:val="center"/>
            </w:pPr>
            <w:r/>
            <w:r>
              <w:rPr>
                <w:rFonts w:ascii="Calibri" w:hAnsi="Calibri"/>
                <w:b w:val="0"/>
                <w:sz w:val="17"/>
              </w:rPr>
              <w:t xml:space="preserve">Solo el </w:t>
            </w:r>
            <w:r>
              <w:rPr>
                <w:rFonts w:ascii="Calibri" w:hAnsi="Calibri"/>
                <w:b/>
                <w:sz w:val="17"/>
              </w:rPr>
              <w:t>libro mayor</w:t>
            </w:r>
            <w:r>
              <w:rPr>
                <w:rFonts w:ascii="Calibri" w:hAnsi="Calibri"/>
                <w:b w:val="0"/>
                <w:sz w:val="17"/>
              </w:rPr>
              <w:t xml:space="preserve"> y la </w:t>
            </w:r>
            <w:r>
              <w:rPr>
                <w:rFonts w:ascii="Calibri" w:hAnsi="Calibri"/>
                <w:b/>
                <w:sz w:val="17"/>
              </w:rPr>
              <w:t>identidad</w:t>
            </w:r>
          </w:p>
        </w:tc>
        <w:tc>
          <w:tcPr>
            <w:tcW w:type="dxa" w:w="7880"/>
          </w:tcPr>
          <w:p>
            <w:pPr>
              <w:spacing w:after="40" w:before="40"/>
            </w:pPr>
            <w:r/>
            <w:r>
              <w:rPr>
                <w:rFonts w:ascii="Calibri" w:hAnsi="Calibri"/>
                <w:b/>
                <w:sz w:val="17"/>
              </w:rPr>
              <w:t>No todo merece RPO cero, y pagarlo para todo sería malgastar.</w:t>
            </w:r>
            <w:r>
              <w:rPr>
                <w:rFonts w:ascii="Calibri" w:hAnsi="Calibri"/>
                <w:b w:val="0"/>
                <w:sz w:val="17"/>
              </w:rPr>
              <w:t xml:space="preserve"> `core.asiento`, `core.cuenta` e `identity.usuario` van a nivel 1 porque son dinero e identidad. Los catálogos, las plantillas de notificación y los datos de informes toleran perfectamente el nivel 2: se regeneran o se vuelven a cargar.</w:t>
            </w:r>
          </w:p>
        </w:tc>
      </w:tr>
      <w:tr>
        <w:tc>
          <w:tcPr>
            <w:tcW w:type="dxa" w:w="4195"/>
          </w:tcPr>
          <w:p>
            <w:pPr>
              <w:spacing w:after="40" w:before="40"/>
            </w:pPr>
            <w:r/>
            <w:r>
              <w:rPr>
                <w:rFonts w:ascii="Calibri" w:hAnsi="Calibri"/>
                <w:b/>
                <w:sz w:val="17"/>
              </w:rPr>
              <w:t>Disponibilidad</w:t>
            </w:r>
          </w:p>
        </w:tc>
        <w:tc>
          <w:tcPr>
            <w:tcW w:type="dxa" w:w="3061"/>
          </w:tcPr>
          <w:p>
            <w:pPr>
              <w:spacing w:after="40" w:before="40"/>
              <w:jc w:val="center"/>
            </w:pPr>
            <w:r/>
            <w:r>
              <w:rPr>
                <w:rFonts w:ascii="Calibri" w:hAnsi="Calibri"/>
                <w:b/>
                <w:sz w:val="17"/>
              </w:rPr>
              <w:t>99,9 %</w:t>
            </w:r>
            <w:r>
              <w:rPr>
                <w:rFonts w:ascii="Calibri" w:hAnsi="Calibri"/>
                <w:b w:val="0"/>
                <w:sz w:val="17"/>
              </w:rPr>
              <w:t xml:space="preserve"> · 43 min/mes</w:t>
            </w:r>
          </w:p>
        </w:tc>
        <w:tc>
          <w:tcPr>
            <w:tcW w:type="dxa" w:w="7880"/>
          </w:tcPr>
          <w:p>
            <w:pPr>
              <w:spacing w:after="40" w:before="40"/>
            </w:pPr>
            <w:r/>
            <w:r>
              <w:rPr>
                <w:rFonts w:ascii="Calibri" w:hAnsi="Calibri"/>
                <w:b w:val="0"/>
                <w:sz w:val="17"/>
              </w:rPr>
              <w:t>Con nodo único, el 99,5 % es optimista: cualquier reinicio del motor consume una parte sustancial del presupuesto de error. Con conmutación automática, el 99,9 % es alcanzable y es el mínimo que se espera de un servicio financiero.</w:t>
            </w:r>
          </w:p>
        </w:tc>
      </w:tr>
      <w:tr>
        <w:tc>
          <w:tcPr>
            <w:tcW w:type="dxa" w:w="4195"/>
          </w:tcPr>
          <w:p>
            <w:pPr>
              <w:spacing w:after="40" w:before="40"/>
            </w:pPr>
            <w:r/>
            <w:r>
              <w:rPr>
                <w:rFonts w:ascii="Calibri" w:hAnsi="Calibri"/>
                <w:b/>
                <w:sz w:val="17"/>
              </w:rPr>
              <w:t>Redundancia de disco</w:t>
            </w:r>
          </w:p>
        </w:tc>
        <w:tc>
          <w:tcPr>
            <w:tcW w:type="dxa" w:w="3061"/>
          </w:tcPr>
          <w:p>
            <w:pPr>
              <w:spacing w:after="40" w:before="40"/>
              <w:jc w:val="center"/>
            </w:pPr>
            <w:r/>
            <w:r>
              <w:rPr>
                <w:rFonts w:ascii="Calibri" w:hAnsi="Calibri"/>
                <w:b/>
                <w:sz w:val="17"/>
              </w:rPr>
              <w:t>RAID 1 o 10 en todo nodo con datos</w:t>
            </w:r>
          </w:p>
        </w:tc>
        <w:tc>
          <w:tcPr>
            <w:tcW w:type="dxa" w:w="7880"/>
          </w:tcPr>
          <w:p>
            <w:pPr>
              <w:spacing w:after="40" w:before="40"/>
            </w:pPr>
            <w:r/>
            <w:r>
              <w:rPr>
                <w:rFonts w:ascii="Calibri" w:hAnsi="Calibri"/>
                <w:b w:val="0"/>
                <w:sz w:val="17"/>
              </w:rPr>
              <w:t>Un disco único bajo una base de datos transaccional significa que la avería de una sola pieza de hardware para el banco. Es la clase de fallo más probable de cuantas se listan aquí y la más barata de evitar.</w:t>
            </w:r>
          </w:p>
        </w:tc>
      </w:tr>
      <w:tr>
        <w:tc>
          <w:tcPr>
            <w:tcW w:type="dxa" w:w="4195"/>
          </w:tcPr>
          <w:p>
            <w:pPr>
              <w:spacing w:after="40" w:before="40"/>
            </w:pPr>
            <w:r/>
            <w:r>
              <w:rPr>
                <w:rFonts w:ascii="Calibri" w:hAnsi="Calibri"/>
                <w:b w:val="0"/>
                <w:sz w:val="17"/>
              </w:rPr>
              <w:t>Volumen de WAL generado</w:t>
            </w:r>
          </w:p>
        </w:tc>
        <w:tc>
          <w:tcPr>
            <w:tcW w:type="dxa" w:w="3061"/>
          </w:tcPr>
          <w:p>
            <w:pPr>
              <w:spacing w:after="40" w:before="40"/>
              <w:jc w:val="center"/>
            </w:pPr>
            <w:r/>
            <w:r>
              <w:rPr>
                <w:rFonts w:ascii="Calibri" w:hAnsi="Calibri"/>
                <w:b/>
                <w:sz w:val="17"/>
              </w:rPr>
              <w:t>3,7 GiB/día</w:t>
            </w:r>
            <w:r>
              <w:rPr>
                <w:rFonts w:ascii="Calibri" w:hAnsi="Calibri"/>
                <w:b w:val="0"/>
                <w:sz w:val="17"/>
              </w:rPr>
              <w:t xml:space="preserve"> (escenario central)</w:t>
            </w:r>
          </w:p>
          <w:p>
            <w:pPr>
              <w:spacing w:after="40"/>
              <w:jc w:val="center"/>
            </w:pPr>
            <w:r>
              <w:rPr>
                <w:rFonts w:ascii="Calibri" w:hAnsi="Calibri"/>
                <w:b/>
                <w:sz w:val="17"/>
              </w:rPr>
              <w:t>7,5 GiB/día</w:t>
            </w:r>
            <w:r>
              <w:rPr>
                <w:rFonts w:ascii="Calibri" w:hAnsi="Calibri"/>
                <w:b w:val="0"/>
                <w:sz w:val="17"/>
              </w:rPr>
              <w:t xml:space="preserve"> (estrés)</w:t>
            </w:r>
          </w:p>
        </w:tc>
        <w:tc>
          <w:tcPr>
            <w:tcW w:type="dxa" w:w="7880"/>
          </w:tcPr>
          <w:p>
            <w:pPr>
              <w:spacing w:after="40" w:before="40"/>
            </w:pPr>
            <w:r/>
            <w:r>
              <w:rPr>
                <w:rFonts w:ascii="Calibri" w:hAnsi="Calibri"/>
                <w:b w:val="0"/>
                <w:sz w:val="17"/>
              </w:rPr>
              <w:t xml:space="preserve">Medido como ~2,5 veces el volumen de datos escritos. Con archivado cada 15 minutos son </w:t>
            </w:r>
            <w:r>
              <w:rPr>
                <w:rFonts w:ascii="Calibri" w:hAnsi="Calibri"/>
                <w:b/>
                <w:sz w:val="17"/>
              </w:rPr>
              <w:t>39 MiB</w:t>
            </w:r>
            <w:r>
              <w:rPr>
                <w:rFonts w:ascii="Calibri" w:hAnsi="Calibri"/>
                <w:b w:val="0"/>
                <w:sz w:val="17"/>
              </w:rPr>
              <w:t xml:space="preserve"> por fichero: transferible sin saturar la subida de la Raspberry Pi.</w:t>
            </w:r>
          </w:p>
        </w:tc>
      </w:tr>
      <w:tr>
        <w:tc>
          <w:tcPr>
            <w:tcW w:type="dxa" w:w="4195"/>
          </w:tcPr>
          <w:p>
            <w:pPr>
              <w:spacing w:after="40" w:before="40"/>
            </w:pPr>
            <w:r/>
            <w:r>
              <w:rPr>
                <w:rFonts w:ascii="Calibri" w:hAnsi="Calibri"/>
                <w:b w:val="0"/>
                <w:sz w:val="17"/>
              </w:rPr>
              <w:t>Retención</w:t>
            </w:r>
          </w:p>
        </w:tc>
        <w:tc>
          <w:tcPr>
            <w:tcW w:type="dxa" w:w="3061"/>
          </w:tcPr>
          <w:p>
            <w:pPr>
              <w:spacing w:after="40" w:before="40"/>
              <w:jc w:val="center"/>
            </w:pPr>
            <w:r/>
            <w:r>
              <w:rPr>
                <w:rFonts w:ascii="Calibri" w:hAnsi="Calibri"/>
                <w:b w:val="0"/>
                <w:sz w:val="17"/>
              </w:rPr>
              <w:t>7 diarios · 4 semanales · 12 mensuales</w:t>
            </w:r>
          </w:p>
        </w:tc>
        <w:tc>
          <w:tcPr>
            <w:tcW w:type="dxa" w:w="7880"/>
          </w:tcPr>
          <w:p>
            <w:pPr>
              <w:spacing w:after="40" w:before="40"/>
            </w:pPr>
            <w:r/>
            <w:r>
              <w:rPr>
                <w:rFonts w:ascii="Calibri" w:hAnsi="Calibri"/>
                <w:b w:val="0"/>
                <w:sz w:val="17"/>
              </w:rPr>
              <w:t>El esquema clásico de abuelo-padre-hijo. Los mensuales cubren la exigencia de conservación documental; los diarios, el error humano reciente.</w:t>
            </w:r>
          </w:p>
        </w:tc>
      </w:tr>
    </w:tbl>
    <w:p>
      <w:pPr>
        <w:spacing w:after="200"/>
        <w:jc w:val="both"/>
      </w:pPr>
      <w:r>
        <w:rPr>
          <w:rFonts w:ascii="Calibri" w:hAnsi="Calibri"/>
          <w:b/>
          <w:sz w:val="20"/>
        </w:rPr>
        <w:t>Una advertencia que conviene no pasar por alto: el RPO cero no protege del error humano.</w:t>
      </w:r>
      <w:r>
        <w:rPr>
          <w:rFonts w:ascii="Calibri" w:hAnsi="Calibri"/>
          <w:b w:val="0"/>
          <w:sz w:val="20"/>
        </w:rPr>
        <w:t xml:space="preserve"> Un `DELETE` mal filtrado se replica al nodo secundario en milisegundos, con la misma fidelidad con que se replica un dato bueno. La réplica cubre la pérdida de hardware; </w:t>
      </w:r>
      <w:r>
        <w:rPr>
          <w:rFonts w:ascii="Calibri" w:hAnsi="Calibri"/>
          <w:b/>
          <w:sz w:val="20"/>
        </w:rPr>
        <w:t>no cubre que alguien escriba algo incorrecto</w:t>
      </w:r>
      <w:r>
        <w:rPr>
          <w:rFonts w:ascii="Calibri" w:hAnsi="Calibri"/>
          <w:b w:val="0"/>
          <w:sz w:val="20"/>
        </w:rPr>
        <w:t>. Para eso está el WAL archivado, que permite retroceder al instante anterior al error. No son dos mecanismos redundantes: tapan agujeros distintos, y por eso el plan exige los dos. El apartado 6.5 lo desglosa.</w:t>
      </w:r>
    </w:p>
    <w:p>
      <w:pPr>
        <w:spacing w:before="220" w:after="120"/>
      </w:pPr>
      <w:r>
        <w:rPr>
          <w:rFonts w:ascii="Calibri" w:hAnsi="Calibri"/>
          <w:b/>
          <w:color w:val="064475"/>
          <w:sz w:val="24"/>
        </w:rPr>
        <w:t>6.3  Lo que esto cuesta, y por qué el nivel gratuito ya no es una opción</w:t>
      </w:r>
    </w:p>
    <w:tbl>
      <w:tblPr>
        <w:tblStyle w:val="TableGrid"/>
        <w:tblW w:type="auto" w:w="0"/>
        <w:tblLook w:firstColumn="1" w:firstRow="1" w:lastColumn="0" w:lastRow="0" w:noHBand="0" w:noVBand="1" w:val="04A0"/>
      </w:tblPr>
      <w:tblGrid>
        <w:gridCol w:w="15138"/>
      </w:tblGrid>
      <w:tr>
        <w:tc>
          <w:tcPr>
            <w:tcW w:type="dxa" w:w="15137"/>
            <w:shd w:val="clear" w:color="auto" w:fill="F4CCCC"/>
          </w:tcPr>
          <w:p>
            <w:pPr>
              <w:spacing w:after="40" w:before="40"/>
            </w:pPr>
            <w:r/>
            <w:r>
              <w:rPr>
                <w:rFonts w:ascii="Calibri" w:hAnsi="Calibri"/>
                <w:b/>
                <w:sz w:val="19"/>
              </w:rPr>
              <w:t>HALLAZGO · la máquina de producción que tenemos documentada ya no existe</w:t>
            </w:r>
          </w:p>
          <w:p>
            <w:pPr>
              <w:spacing w:after="40"/>
            </w:pPr>
            <w:r>
              <w:rPr>
                <w:rFonts w:ascii="Calibri" w:hAnsi="Calibri"/>
                <w:b w:val="0"/>
                <w:sz w:val="19"/>
              </w:rPr>
              <w:t xml:space="preserve">Al verificar la viabilidad de un segundo nodo descubrimos que </w:t>
            </w:r>
            <w:r>
              <w:rPr>
                <w:rFonts w:ascii="Calibri" w:hAnsi="Calibri"/>
                <w:b/>
                <w:sz w:val="19"/>
              </w:rPr>
              <w:t>Oracle redujo el nivel siempre gratuito de ARM a la mitad el 15 de junio de 2026</w:t>
            </w:r>
            <w:r>
              <w:rPr>
                <w:rFonts w:ascii="Calibri" w:hAnsi="Calibri"/>
                <w:b w:val="0"/>
                <w:sz w:val="19"/>
              </w:rPr>
              <w:t xml:space="preserve">: de 4 OCPU y 24 GB a </w:t>
            </w:r>
            <w:r>
              <w:rPr>
                <w:rFonts w:ascii="Calibri" w:hAnsi="Calibri"/>
                <w:b/>
                <w:sz w:val="19"/>
              </w:rPr>
              <w:t>2 OCPU y 12 GB</w:t>
            </w:r>
            <w:r>
              <w:rPr>
                <w:rFonts w:ascii="Calibri" w:hAnsi="Calibri"/>
                <w:b w:val="0"/>
                <w:sz w:val="19"/>
              </w:rPr>
              <w:t xml:space="preserve"> por tenencia, y desde el </w:t>
            </w:r>
            <w:r>
              <w:rPr>
                <w:rFonts w:ascii="Calibri" w:hAnsi="Calibri"/>
                <w:b/>
                <w:sz w:val="19"/>
              </w:rPr>
              <w:t>18 de agosto de 2026</w:t>
            </w:r>
            <w:r>
              <w:rPr>
                <w:rFonts w:ascii="Calibri" w:hAnsi="Calibri"/>
                <w:b w:val="0"/>
                <w:sz w:val="19"/>
              </w:rPr>
              <w:t xml:space="preserve"> termina las instancias que excedan el nuevo límite. El documento de diseño y el diagrama de despliegue describen una Ampere A1 de </w:t>
            </w:r>
            <w:r>
              <w:rPr>
                <w:rFonts w:ascii="Calibri" w:hAnsi="Calibri"/>
                <w:b/>
                <w:sz w:val="19"/>
              </w:rPr>
              <w:t>4 vCPU y 24 GB</w:t>
            </w:r>
            <w:r>
              <w:rPr>
                <w:rFonts w:ascii="Calibri" w:hAnsi="Calibri"/>
                <w:b w:val="0"/>
                <w:sz w:val="19"/>
              </w:rPr>
              <w:t xml:space="preserve">: esa máquina ya no se puede tener gratis. </w:t>
            </w:r>
            <w:r>
              <w:rPr>
                <w:rFonts w:ascii="Calibri" w:hAnsi="Calibri"/>
                <w:b/>
                <w:sz w:val="19"/>
              </w:rPr>
              <w:t>El riesgo R-10 —que el nivel gratuito cambie sus condiciones— no es un riesgo: ya ocurrió.</w:t>
            </w:r>
          </w:p>
        </w:tc>
      </w:tr>
    </w:tbl>
    <w:p>
      <w:pPr>
        <w:spacing w:after="160"/>
        <w:jc w:val="both"/>
      </w:pPr>
    </w:p>
    <w:p>
      <w:pPr>
        <w:spacing w:after="160"/>
        <w:jc w:val="both"/>
      </w:pPr>
      <w:r>
        <w:rPr>
          <w:rFonts w:ascii="Calibri" w:hAnsi="Calibri"/>
          <w:b w:val="0"/>
          <w:sz w:val="20"/>
        </w:rPr>
        <w:t xml:space="preserve">Esto cierra el debate por sí solo. Aun renunciando a la alta disponibilidad, el nivel gratuito </w:t>
      </w:r>
      <w:r>
        <w:rPr>
          <w:rFonts w:ascii="Calibri" w:hAnsi="Calibri"/>
          <w:b/>
          <w:sz w:val="20"/>
        </w:rPr>
        <w:t>no da para el nodo único que teníamos planificado</w:t>
      </w:r>
      <w:r>
        <w:rPr>
          <w:rFonts w:ascii="Calibri" w:hAnsi="Calibri"/>
          <w:b w:val="0"/>
          <w:sz w:val="20"/>
        </w:rPr>
        <w:t>. Y con 2 OCPU y 12 GB repartidos por toda la tenencia, no caben dos nodos de base de datos con margen para los seis contenedores de aplicación. La configuración mínima que cumple lo que el apartado 6.2 exige es esta:</w:t>
      </w:r>
    </w:p>
    <w:tbl>
      <w:tblPr>
        <w:tblStyle w:val="TableGrid"/>
        <w:tblW w:type="auto" w:w="0"/>
        <w:tblLook w:firstColumn="1" w:firstRow="1" w:lastColumn="0" w:lastRow="0" w:noHBand="0" w:noVBand="1" w:val="04A0"/>
      </w:tblPr>
      <w:tblGrid>
        <w:gridCol w:w="3784"/>
        <w:gridCol w:w="3784"/>
        <w:gridCol w:w="3784"/>
        <w:gridCol w:w="3784"/>
      </w:tblGrid>
      <w:tr>
        <w:tc>
          <w:tcPr>
            <w:tcW w:type="dxa" w:w="3061"/>
            <w:shd w:val="clear" w:color="auto" w:fill="064475"/>
          </w:tcPr>
          <w:p>
            <w:pPr>
              <w:spacing w:after="40" w:before="40"/>
            </w:pPr>
            <w:r/>
            <w:r>
              <w:rPr>
                <w:rFonts w:ascii="Calibri" w:hAnsi="Calibri"/>
                <w:b/>
                <w:color w:val="FFFFFF"/>
                <w:sz w:val="17"/>
              </w:rPr>
              <w:t>Componente</w:t>
            </w:r>
          </w:p>
        </w:tc>
        <w:tc>
          <w:tcPr>
            <w:tcW w:type="dxa" w:w="3402"/>
            <w:shd w:val="clear" w:color="auto" w:fill="064475"/>
          </w:tcPr>
          <w:p>
            <w:pPr>
              <w:spacing w:after="40" w:before="40"/>
            </w:pPr>
            <w:r/>
            <w:r>
              <w:rPr>
                <w:rFonts w:ascii="Calibri" w:hAnsi="Calibri"/>
                <w:b/>
                <w:color w:val="FFFFFF"/>
                <w:sz w:val="17"/>
              </w:rPr>
              <w:t>Configuración mínima</w:t>
            </w:r>
          </w:p>
        </w:tc>
        <w:tc>
          <w:tcPr>
            <w:tcW w:type="dxa" w:w="6406"/>
            <w:shd w:val="clear" w:color="auto" w:fill="064475"/>
          </w:tcPr>
          <w:p>
            <w:pPr>
              <w:spacing w:after="40" w:before="40"/>
            </w:pPr>
            <w:r/>
            <w:r>
              <w:rPr>
                <w:rFonts w:ascii="Calibri" w:hAnsi="Calibri"/>
                <w:b/>
                <w:color w:val="FFFFFF"/>
                <w:sz w:val="17"/>
              </w:rPr>
              <w:t>Por qué no se puede recortar</w:t>
            </w:r>
          </w:p>
        </w:tc>
        <w:tc>
          <w:tcPr>
            <w:tcW w:type="dxa" w:w="2268"/>
            <w:shd w:val="clear" w:color="auto" w:fill="064475"/>
          </w:tcPr>
          <w:p>
            <w:pPr>
              <w:spacing w:after="40" w:before="40"/>
            </w:pPr>
            <w:r/>
            <w:r>
              <w:rPr>
                <w:rFonts w:ascii="Calibri" w:hAnsi="Calibri"/>
                <w:b/>
                <w:color w:val="FFFFFF"/>
                <w:sz w:val="17"/>
              </w:rPr>
              <w:t>Coste mensual aprox.</w:t>
            </w:r>
          </w:p>
        </w:tc>
      </w:tr>
      <w:tr>
        <w:tc>
          <w:tcPr>
            <w:tcW w:type="dxa" w:w="3061"/>
          </w:tcPr>
          <w:p>
            <w:pPr>
              <w:spacing w:after="40" w:before="40"/>
            </w:pPr>
            <w:r/>
            <w:r>
              <w:rPr>
                <w:rFonts w:ascii="Calibri" w:hAnsi="Calibri"/>
                <w:b w:val="0"/>
                <w:sz w:val="17"/>
              </w:rPr>
              <w:t>Nodo primario de base de datos</w:t>
            </w:r>
          </w:p>
        </w:tc>
        <w:tc>
          <w:tcPr>
            <w:tcW w:type="dxa" w:w="3402"/>
          </w:tcPr>
          <w:p>
            <w:pPr>
              <w:spacing w:after="40" w:before="40"/>
            </w:pPr>
            <w:r/>
            <w:r>
              <w:rPr>
                <w:rFonts w:ascii="Calibri" w:hAnsi="Calibri"/>
                <w:b w:val="0"/>
                <w:sz w:val="17"/>
              </w:rPr>
              <w:t>2 OCPU ARM · 12 GB · disco en bloque con redundancia</w:t>
            </w:r>
          </w:p>
        </w:tc>
        <w:tc>
          <w:tcPr>
            <w:tcW w:type="dxa" w:w="6406"/>
          </w:tcPr>
          <w:p>
            <w:pPr>
              <w:spacing w:after="40" w:before="40"/>
            </w:pPr>
            <w:r/>
            <w:r>
              <w:rPr>
                <w:rFonts w:ascii="Calibri" w:hAnsi="Calibri"/>
                <w:b w:val="0"/>
                <w:sz w:val="17"/>
              </w:rPr>
              <w:t>Es el que atiende las escrituras. Con 506 inserciones/s de pico necesita memoria para `shared_buffers` muy por encima de los 128 MB por omisión que tiene hoy.</w:t>
            </w:r>
          </w:p>
        </w:tc>
        <w:tc>
          <w:tcPr>
            <w:tcW w:type="dxa" w:w="2268"/>
          </w:tcPr>
          <w:p>
            <w:pPr>
              <w:spacing w:after="40" w:before="40"/>
              <w:jc w:val="center"/>
            </w:pPr>
            <w:r/>
            <w:r>
              <w:rPr>
                <w:rFonts w:ascii="Calibri" w:hAnsi="Calibri"/>
                <w:b w:val="0"/>
                <w:sz w:val="17"/>
              </w:rPr>
              <w:t>~ US$ 28</w:t>
            </w:r>
          </w:p>
        </w:tc>
      </w:tr>
      <w:tr>
        <w:tc>
          <w:tcPr>
            <w:tcW w:type="dxa" w:w="3061"/>
          </w:tcPr>
          <w:p>
            <w:pPr>
              <w:spacing w:after="40" w:before="40"/>
            </w:pPr>
            <w:r/>
            <w:r>
              <w:rPr>
                <w:rFonts w:ascii="Calibri" w:hAnsi="Calibri"/>
                <w:b w:val="0"/>
                <w:sz w:val="17"/>
              </w:rPr>
              <w:t>Nodo réplica síncrona</w:t>
            </w:r>
          </w:p>
        </w:tc>
        <w:tc>
          <w:tcPr>
            <w:tcW w:type="dxa" w:w="3402"/>
            <w:shd w:val="clear" w:color="auto" w:fill="D9EAD3"/>
          </w:tcPr>
          <w:p>
            <w:pPr>
              <w:spacing w:after="40" w:before="40"/>
            </w:pPr>
            <w:r/>
            <w:r>
              <w:rPr>
                <w:rFonts w:ascii="Calibri" w:hAnsi="Calibri"/>
                <w:b w:val="0"/>
                <w:sz w:val="17"/>
              </w:rPr>
              <w:t>2 OCPU ARM · 12 GB · disco en bloque con redundancia</w:t>
            </w:r>
          </w:p>
        </w:tc>
        <w:tc>
          <w:tcPr>
            <w:tcW w:type="dxa" w:w="6406"/>
          </w:tcPr>
          <w:p>
            <w:pPr>
              <w:spacing w:after="40" w:before="40"/>
            </w:pPr>
            <w:r/>
            <w:r>
              <w:rPr>
                <w:rFonts w:ascii="Calibri" w:hAnsi="Calibri"/>
                <w:b/>
                <w:sz w:val="17"/>
              </w:rPr>
              <w:t>Es el que hace que el RPO sea cero.</w:t>
            </w:r>
            <w:r>
              <w:rPr>
                <w:rFonts w:ascii="Calibri" w:hAnsi="Calibri"/>
                <w:b w:val="0"/>
                <w:sz w:val="17"/>
              </w:rPr>
              <w:t xml:space="preserve"> Sin él, la replicación síncrona no existe y volvemos a perder transacciones confirmadas. También absorbe las lecturas de informes.</w:t>
            </w:r>
          </w:p>
        </w:tc>
        <w:tc>
          <w:tcPr>
            <w:tcW w:type="dxa" w:w="2268"/>
          </w:tcPr>
          <w:p>
            <w:pPr>
              <w:spacing w:after="40" w:before="40"/>
              <w:jc w:val="center"/>
            </w:pPr>
            <w:r/>
            <w:r>
              <w:rPr>
                <w:rFonts w:ascii="Calibri" w:hAnsi="Calibri"/>
                <w:b w:val="0"/>
                <w:sz w:val="17"/>
              </w:rPr>
              <w:t>~ US$ 28</w:t>
            </w:r>
          </w:p>
        </w:tc>
      </w:tr>
      <w:tr>
        <w:tc>
          <w:tcPr>
            <w:tcW w:type="dxa" w:w="3061"/>
          </w:tcPr>
          <w:p>
            <w:pPr>
              <w:spacing w:after="40" w:before="40"/>
            </w:pPr>
            <w:r/>
            <w:r>
              <w:rPr>
                <w:rFonts w:ascii="Calibri" w:hAnsi="Calibri"/>
                <w:b w:val="0"/>
                <w:sz w:val="17"/>
              </w:rPr>
              <w:t>Almacenamiento en bloque</w:t>
            </w:r>
          </w:p>
        </w:tc>
        <w:tc>
          <w:tcPr>
            <w:tcW w:type="dxa" w:w="3402"/>
          </w:tcPr>
          <w:p>
            <w:pPr>
              <w:spacing w:after="40" w:before="40"/>
            </w:pPr>
            <w:r/>
            <w:r>
              <w:rPr>
                <w:rFonts w:ascii="Calibri" w:hAnsi="Calibri"/>
                <w:b w:val="0"/>
                <w:sz w:val="17"/>
              </w:rPr>
              <w:t>200 GB replicados, ampliables</w:t>
            </w:r>
          </w:p>
        </w:tc>
        <w:tc>
          <w:tcPr>
            <w:tcW w:type="dxa" w:w="6406"/>
          </w:tcPr>
          <w:p>
            <w:pPr>
              <w:spacing w:after="40" w:before="40"/>
            </w:pPr>
            <w:r/>
            <w:r>
              <w:rPr>
                <w:rFonts w:ascii="Calibri" w:hAnsi="Calibri"/>
                <w:b w:val="0"/>
                <w:sz w:val="17"/>
              </w:rPr>
              <w:t>Con el particionado y la retención de 3 meses del apartado 4.4 los 200 GB bastan; sin ellos, no. Las dos medidas van juntas.</w:t>
            </w:r>
          </w:p>
        </w:tc>
        <w:tc>
          <w:tcPr>
            <w:tcW w:type="dxa" w:w="2268"/>
          </w:tcPr>
          <w:p>
            <w:pPr>
              <w:spacing w:after="40" w:before="40"/>
              <w:jc w:val="center"/>
            </w:pPr>
            <w:r/>
            <w:r>
              <w:rPr>
                <w:rFonts w:ascii="Calibri" w:hAnsi="Calibri"/>
                <w:b w:val="0"/>
                <w:sz w:val="17"/>
              </w:rPr>
              <w:t>~ US$ 5</w:t>
            </w:r>
          </w:p>
        </w:tc>
      </w:tr>
      <w:tr>
        <w:tc>
          <w:tcPr>
            <w:tcW w:type="dxa" w:w="3061"/>
          </w:tcPr>
          <w:p>
            <w:pPr>
              <w:spacing w:after="40" w:before="40"/>
            </w:pPr>
            <w:r/>
            <w:r>
              <w:rPr>
                <w:rFonts w:ascii="Calibri" w:hAnsi="Calibri"/>
                <w:b w:val="0"/>
                <w:sz w:val="17"/>
              </w:rPr>
              <w:t>Almacenamiento de objetos para el archivo</w:t>
            </w:r>
          </w:p>
        </w:tc>
        <w:tc>
          <w:tcPr>
            <w:tcW w:type="dxa" w:w="3402"/>
          </w:tcPr>
          <w:p>
            <w:pPr>
              <w:spacing w:after="40" w:before="40"/>
            </w:pPr>
            <w:r/>
            <w:r>
              <w:rPr>
                <w:rFonts w:ascii="Calibri" w:hAnsi="Calibri"/>
                <w:b w:val="0"/>
                <w:sz w:val="17"/>
              </w:rPr>
              <w:t>~ 500 GB de WAL y particiones frías</w:t>
            </w:r>
          </w:p>
        </w:tc>
        <w:tc>
          <w:tcPr>
            <w:tcW w:type="dxa" w:w="6406"/>
          </w:tcPr>
          <w:p>
            <w:pPr>
              <w:spacing w:after="40" w:before="40"/>
            </w:pPr>
            <w:r/>
            <w:r>
              <w:rPr>
                <w:rFonts w:ascii="Calibri" w:hAnsi="Calibri"/>
                <w:b w:val="0"/>
                <w:sz w:val="17"/>
              </w:rPr>
              <w:t>Es el destino del archivado continuo y del histórico desvinculado. Es la capa más barata y la que hace posible conservar el libro mayor completo.</w:t>
            </w:r>
          </w:p>
        </w:tc>
        <w:tc>
          <w:tcPr>
            <w:tcW w:type="dxa" w:w="2268"/>
          </w:tcPr>
          <w:p>
            <w:pPr>
              <w:spacing w:after="40" w:before="40"/>
              <w:jc w:val="center"/>
            </w:pPr>
            <w:r/>
            <w:r>
              <w:rPr>
                <w:rFonts w:ascii="Calibri" w:hAnsi="Calibri"/>
                <w:b w:val="0"/>
                <w:sz w:val="17"/>
              </w:rPr>
              <w:t>~ US$ 12</w:t>
            </w:r>
          </w:p>
        </w:tc>
      </w:tr>
      <w:tr>
        <w:tc>
          <w:tcPr>
            <w:tcW w:type="dxa" w:w="3061"/>
            <w:shd w:val="clear" w:color="auto" w:fill="DCE6F1"/>
          </w:tcPr>
          <w:p>
            <w:pPr>
              <w:spacing w:after="40" w:before="40"/>
            </w:pPr>
            <w:r/>
            <w:r>
              <w:rPr>
                <w:rFonts w:ascii="Calibri" w:hAnsi="Calibri"/>
                <w:b/>
                <w:sz w:val="17"/>
              </w:rPr>
              <w:t>Total</w:t>
            </w:r>
          </w:p>
        </w:tc>
        <w:tc>
          <w:tcPr>
            <w:tcW w:type="dxa" w:w="3402"/>
            <w:shd w:val="clear" w:color="auto" w:fill="DCE6F1"/>
          </w:tcPr>
          <w:p>
            <w:pPr>
              <w:spacing w:after="40" w:before="40"/>
            </w:pPr>
            <w:r/>
            <w:r>
              <w:rPr>
                <w:rFonts w:ascii="Calibri" w:hAnsi="Calibri"/>
                <w:b/>
                <w:sz w:val="17"/>
              </w:rPr>
              <w:t>Dos nodos con conmutación automática</w:t>
            </w:r>
          </w:p>
        </w:tc>
        <w:tc>
          <w:tcPr>
            <w:tcW w:type="dxa" w:w="6406"/>
            <w:shd w:val="clear" w:color="auto" w:fill="DCE6F1"/>
          </w:tcPr>
          <w:p>
            <w:pPr>
              <w:spacing w:after="40" w:before="40"/>
            </w:pPr>
            <w:r/>
            <w:r>
              <w:rPr>
                <w:rFonts w:ascii="Calibri" w:hAnsi="Calibri"/>
                <w:b/>
                <w:sz w:val="17"/>
              </w:rPr>
              <w:t>Es el precio de que una transacción confirmada no se pierda nunca.</w:t>
            </w:r>
          </w:p>
        </w:tc>
        <w:tc>
          <w:tcPr>
            <w:tcW w:type="dxa" w:w="2268"/>
            <w:shd w:val="clear" w:color="auto" w:fill="DCE6F1"/>
          </w:tcPr>
          <w:p>
            <w:pPr>
              <w:spacing w:after="40" w:before="40"/>
              <w:jc w:val="center"/>
            </w:pPr>
            <w:r/>
            <w:r>
              <w:rPr>
                <w:rFonts w:ascii="Calibri" w:hAnsi="Calibri"/>
                <w:b/>
                <w:sz w:val="17"/>
              </w:rPr>
              <w:t>~ US$ 73 · S/ 275</w:t>
            </w:r>
          </w:p>
        </w:tc>
      </w:tr>
    </w:tbl>
    <w:p>
      <w:pPr>
        <w:spacing w:after="160"/>
        <w:jc w:val="both"/>
      </w:pPr>
      <w:r>
        <w:rPr>
          <w:rFonts w:ascii="Calibri" w:hAnsi="Calibri"/>
          <w:b/>
          <w:sz w:val="20"/>
        </w:rPr>
        <w:t>Las cifras son de orden de magnitud</w:t>
      </w:r>
      <w:r>
        <w:rPr>
          <w:rFonts w:ascii="Calibri" w:hAnsi="Calibri"/>
          <w:b w:val="0"/>
          <w:sz w:val="20"/>
        </w:rPr>
        <w:t xml:space="preserve"> y proceden de la tarifa pública de OCI; hay que confirmarlas al contratar. Lo que no es de orden de magnitud es la conclusión: </w:t>
      </w:r>
      <w:r>
        <w:rPr>
          <w:rFonts w:ascii="Calibri" w:hAnsi="Calibri"/>
          <w:b/>
          <w:sz w:val="20"/>
        </w:rPr>
        <w:t>son unos S/ 275 al mes, repartidos entre seis integrantes, para que un sistema que mueve dinero deje de tener un único punto de fallo.</w:t>
      </w:r>
      <w:r>
        <w:rPr>
          <w:rFonts w:ascii="Calibri" w:hAnsi="Calibri"/>
          <w:b w:val="0"/>
          <w:sz w:val="20"/>
        </w:rPr>
        <w:t xml:space="preserve"> Comparado con el coste de perder el libro mayor de un día, no admite discusión.</w:t>
      </w:r>
    </w:p>
    <w:p>
      <w:pPr>
        <w:spacing w:after="160"/>
        <w:jc w:val="both"/>
      </w:pPr>
      <w:r>
        <w:rPr>
          <w:rFonts w:ascii="Calibri" w:hAnsi="Calibri"/>
          <w:b/>
          <w:sz w:val="20"/>
        </w:rPr>
        <w:t>Mientras tanto, y sin gastar nada, hay tres medidas que sí se pueden aplicar ya</w:t>
      </w:r>
      <w:r>
        <w:rPr>
          <w:rFonts w:ascii="Calibri" w:hAnsi="Calibri"/>
          <w:b w:val="0"/>
          <w:sz w:val="20"/>
        </w:rPr>
        <w:t xml:space="preserve">, y son las que se llevan al Sprint 2: activar el archivado de WAL (apartado 6.1), montar la Raspberry Pi como </w:t>
      </w:r>
      <w:r>
        <w:rPr>
          <w:rFonts w:ascii="Calibri" w:hAnsi="Calibri"/>
          <w:b/>
          <w:sz w:val="20"/>
        </w:rPr>
        <w:t>réplica en flujo asíncrona</w:t>
      </w:r>
      <w:r>
        <w:rPr>
          <w:rFonts w:ascii="Calibri" w:hAnsi="Calibri"/>
          <w:b w:val="0"/>
          <w:sz w:val="20"/>
        </w:rPr>
        <w:t xml:space="preserve"> de producción —da un RPO de segundos en lugar de cero, pero es infinitamente mejor que nada y no cuesta un céntimo—, y añadir un segundo SSD a la Raspberry en </w:t>
      </w:r>
      <w:r>
        <w:rPr>
          <w:rFonts w:ascii="Calibri" w:hAnsi="Calibri"/>
          <w:b/>
          <w:sz w:val="20"/>
        </w:rPr>
        <w:t>RAID 1</w:t>
      </w:r>
      <w:r>
        <w:rPr>
          <w:rFonts w:ascii="Calibri" w:hAnsi="Calibri"/>
          <w:b w:val="0"/>
          <w:sz w:val="20"/>
        </w:rPr>
        <w:t>. Ninguna sustituye a la configuración de arriba; todas reducen el daño mientras se aprueba el gasto.</w:t>
      </w:r>
    </w:p>
    <w:p>
      <w:pPr>
        <w:spacing w:before="220" w:after="120"/>
      </w:pPr>
      <w:r>
        <w:rPr>
          <w:rFonts w:ascii="Calibri" w:hAnsi="Calibri"/>
          <w:b/>
          <w:color w:val="064475"/>
          <w:sz w:val="24"/>
        </w:rPr>
        <w:t>6.4  Calendario: total, incremental y continuo</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2494"/>
            <w:shd w:val="clear" w:color="auto" w:fill="064475"/>
          </w:tcPr>
          <w:p>
            <w:pPr>
              <w:spacing w:after="40" w:before="40"/>
            </w:pPr>
            <w:r/>
            <w:r>
              <w:rPr>
                <w:rFonts w:ascii="Calibri" w:hAnsi="Calibri"/>
                <w:b/>
                <w:color w:val="FFFFFF"/>
                <w:sz w:val="17"/>
              </w:rPr>
              <w:t>Tipo</w:t>
            </w:r>
          </w:p>
        </w:tc>
        <w:tc>
          <w:tcPr>
            <w:tcW w:type="dxa" w:w="2835"/>
            <w:shd w:val="clear" w:color="auto" w:fill="064475"/>
          </w:tcPr>
          <w:p>
            <w:pPr>
              <w:spacing w:after="40" w:before="40"/>
            </w:pPr>
            <w:r/>
            <w:r>
              <w:rPr>
                <w:rFonts w:ascii="Calibri" w:hAnsi="Calibri"/>
                <w:b/>
                <w:color w:val="FFFFFF"/>
                <w:sz w:val="17"/>
              </w:rPr>
              <w:t>Frecuencia</w:t>
            </w:r>
          </w:p>
        </w:tc>
        <w:tc>
          <w:tcPr>
            <w:tcW w:type="dxa" w:w="3402"/>
            <w:shd w:val="clear" w:color="auto" w:fill="064475"/>
          </w:tcPr>
          <w:p>
            <w:pPr>
              <w:spacing w:after="40" w:before="40"/>
            </w:pPr>
            <w:r/>
            <w:r>
              <w:rPr>
                <w:rFonts w:ascii="Calibri" w:hAnsi="Calibri"/>
                <w:b/>
                <w:color w:val="FFFFFF"/>
                <w:sz w:val="17"/>
              </w:rPr>
              <w:t>Herramienta</w:t>
            </w:r>
          </w:p>
        </w:tc>
        <w:tc>
          <w:tcPr>
            <w:tcW w:type="dxa" w:w="2438"/>
            <w:shd w:val="clear" w:color="auto" w:fill="064475"/>
          </w:tcPr>
          <w:p>
            <w:pPr>
              <w:spacing w:after="40" w:before="40"/>
            </w:pPr>
            <w:r/>
            <w:r>
              <w:rPr>
                <w:rFonts w:ascii="Calibri" w:hAnsi="Calibri"/>
                <w:b/>
                <w:color w:val="FFFFFF"/>
                <w:sz w:val="17"/>
              </w:rPr>
              <w:t>Tamaño estimado</w:t>
            </w:r>
          </w:p>
        </w:tc>
        <w:tc>
          <w:tcPr>
            <w:tcW w:type="dxa" w:w="3969"/>
            <w:shd w:val="clear" w:color="auto" w:fill="064475"/>
          </w:tcPr>
          <w:p>
            <w:pPr>
              <w:spacing w:after="40" w:before="40"/>
            </w:pPr>
            <w:r/>
            <w:r>
              <w:rPr>
                <w:rFonts w:ascii="Calibri" w:hAnsi="Calibri"/>
                <w:b/>
                <w:color w:val="FFFFFF"/>
                <w:sz w:val="17"/>
              </w:rPr>
              <w:t>Qué recupera</w:t>
            </w:r>
          </w:p>
        </w:tc>
      </w:tr>
      <w:tr>
        <w:tc>
          <w:tcPr>
            <w:tcW w:type="dxa" w:w="2494"/>
          </w:tcPr>
          <w:p>
            <w:pPr>
              <w:spacing w:after="40" w:before="40"/>
            </w:pPr>
            <w:r/>
            <w:r>
              <w:rPr>
                <w:rFonts w:ascii="Calibri" w:hAnsi="Calibri"/>
                <w:b/>
                <w:sz w:val="17"/>
              </w:rPr>
              <w:t>Total</w:t>
            </w:r>
            <w:r>
              <w:rPr>
                <w:rFonts w:ascii="Calibri" w:hAnsi="Calibri"/>
                <w:b w:val="0"/>
                <w:sz w:val="17"/>
              </w:rPr>
              <w:t xml:space="preserve"> (base)</w:t>
            </w:r>
          </w:p>
        </w:tc>
        <w:tc>
          <w:tcPr>
            <w:tcW w:type="dxa" w:w="2835"/>
          </w:tcPr>
          <w:p>
            <w:pPr>
              <w:spacing w:after="40" w:before="40"/>
            </w:pPr>
            <w:r/>
            <w:r>
              <w:rPr>
                <w:rFonts w:ascii="Calibri" w:hAnsi="Calibri"/>
                <w:b w:val="0"/>
                <w:sz w:val="17"/>
              </w:rPr>
              <w:t>Semanal, domingo 03:00</w:t>
            </w:r>
          </w:p>
        </w:tc>
        <w:tc>
          <w:tcPr>
            <w:tcW w:type="dxa" w:w="3402"/>
          </w:tcPr>
          <w:p>
            <w:pPr>
              <w:spacing w:after="40" w:before="40"/>
            </w:pPr>
            <w:r/>
            <w:r>
              <w:rPr>
                <w:rFonts w:ascii="Calibri" w:hAnsi="Calibri"/>
                <w:b w:val="0"/>
                <w:sz w:val="17"/>
              </w:rPr>
              <w:t>`pg_basebackup` en formato tar comprimido</w:t>
            </w:r>
          </w:p>
        </w:tc>
        <w:tc>
          <w:tcPr>
            <w:tcW w:type="dxa" w:w="2438"/>
          </w:tcPr>
          <w:p>
            <w:pPr>
              <w:spacing w:after="40" w:before="40"/>
            </w:pPr>
            <w:r/>
            <w:r>
              <w:rPr>
                <w:rFonts w:ascii="Calibri" w:hAnsi="Calibri"/>
                <w:b w:val="0"/>
                <w:sz w:val="17"/>
              </w:rPr>
              <w:t>~60 GB comprimido con retención de 3 meses en línea</w:t>
            </w:r>
          </w:p>
        </w:tc>
        <w:tc>
          <w:tcPr>
            <w:tcW w:type="dxa" w:w="3969"/>
          </w:tcPr>
          <w:p>
            <w:pPr>
              <w:spacing w:after="40" w:before="40"/>
            </w:pPr>
            <w:r/>
            <w:r>
              <w:rPr>
                <w:rFonts w:ascii="Calibri" w:hAnsi="Calibri"/>
                <w:b w:val="0"/>
                <w:sz w:val="17"/>
              </w:rPr>
              <w:t>El punto de partida. Sin una base, los incrementales no sirven de nada.</w:t>
            </w:r>
          </w:p>
        </w:tc>
      </w:tr>
      <w:tr>
        <w:tc>
          <w:tcPr>
            <w:tcW w:type="dxa" w:w="2494"/>
          </w:tcPr>
          <w:p>
            <w:pPr>
              <w:spacing w:after="40" w:before="40"/>
            </w:pPr>
            <w:r/>
            <w:r>
              <w:rPr>
                <w:rFonts w:ascii="Calibri" w:hAnsi="Calibri"/>
                <w:b/>
                <w:sz w:val="17"/>
              </w:rPr>
              <w:t>Incremental</w:t>
            </w:r>
            <w:r>
              <w:rPr>
                <w:rFonts w:ascii="Calibri" w:hAnsi="Calibri"/>
                <w:b w:val="0"/>
                <w:sz w:val="17"/>
              </w:rPr>
              <w:t xml:space="preserve"> (WAL continuo)</w:t>
            </w:r>
          </w:p>
        </w:tc>
        <w:tc>
          <w:tcPr>
            <w:tcW w:type="dxa" w:w="2835"/>
          </w:tcPr>
          <w:p>
            <w:pPr>
              <w:spacing w:after="40" w:before="40"/>
            </w:pPr>
            <w:r/>
            <w:r>
              <w:rPr>
                <w:rFonts w:ascii="Calibri" w:hAnsi="Calibri"/>
                <w:b/>
                <w:sz w:val="17"/>
              </w:rPr>
              <w:t>Continuo</w:t>
            </w:r>
            <w:r>
              <w:rPr>
                <w:rFonts w:ascii="Calibri" w:hAnsi="Calibri"/>
                <w:b w:val="0"/>
                <w:sz w:val="17"/>
              </w:rPr>
              <w:t>, con cierre forzado cada 5 min (`archive_timeout`)</w:t>
            </w:r>
          </w:p>
        </w:tc>
        <w:tc>
          <w:tcPr>
            <w:tcW w:type="dxa" w:w="3402"/>
          </w:tcPr>
          <w:p>
            <w:pPr>
              <w:spacing w:after="40" w:before="40"/>
            </w:pPr>
            <w:r/>
            <w:r>
              <w:rPr>
                <w:rFonts w:ascii="Calibri" w:hAnsi="Calibri"/>
                <w:b w:val="0"/>
                <w:sz w:val="17"/>
              </w:rPr>
              <w:t>`archive_command` hacia MinIO / almacenamiento de objetos</w:t>
            </w:r>
          </w:p>
        </w:tc>
        <w:tc>
          <w:tcPr>
            <w:tcW w:type="dxa" w:w="2438"/>
          </w:tcPr>
          <w:p>
            <w:pPr>
              <w:spacing w:after="40" w:before="40"/>
            </w:pPr>
            <w:r/>
            <w:r>
              <w:rPr>
                <w:rFonts w:ascii="Calibri" w:hAnsi="Calibri"/>
                <w:b w:val="0"/>
                <w:sz w:val="17"/>
              </w:rPr>
              <w:t>3,7 GiB/día</w:t>
            </w:r>
          </w:p>
        </w:tc>
        <w:tc>
          <w:tcPr>
            <w:tcW w:type="dxa" w:w="3969"/>
          </w:tcPr>
          <w:p>
            <w:pPr>
              <w:spacing w:after="40" w:before="40"/>
            </w:pPr>
            <w:r/>
            <w:r>
              <w:rPr>
                <w:rFonts w:ascii="Calibri" w:hAnsi="Calibri"/>
                <w:b/>
                <w:sz w:val="17"/>
              </w:rPr>
              <w:t>Cualquier instante</w:t>
            </w:r>
            <w:r>
              <w:rPr>
                <w:rFonts w:ascii="Calibri" w:hAnsi="Calibri"/>
                <w:b w:val="0"/>
                <w:sz w:val="17"/>
              </w:rPr>
              <w:t xml:space="preserve"> entre el último total y ahora. Es la defensa contra el </w:t>
            </w:r>
            <w:r>
              <w:rPr>
                <w:rFonts w:ascii="Calibri" w:hAnsi="Calibri"/>
                <w:b/>
                <w:sz w:val="17"/>
              </w:rPr>
              <w:t>fallo lógico</w:t>
            </w:r>
            <w:r>
              <w:rPr>
                <w:rFonts w:ascii="Calibri" w:hAnsi="Calibri"/>
                <w:b w:val="0"/>
                <w:sz w:val="17"/>
              </w:rPr>
              <w:t>, que la réplica síncrona no cubre. Hoy no existe.</w:t>
            </w:r>
          </w:p>
        </w:tc>
      </w:tr>
      <w:tr>
        <w:tc>
          <w:tcPr>
            <w:tcW w:type="dxa" w:w="2494"/>
          </w:tcPr>
          <w:p>
            <w:pPr>
              <w:spacing w:after="40" w:before="40"/>
            </w:pPr>
            <w:r/>
            <w:r>
              <w:rPr>
                <w:rFonts w:ascii="Calibri" w:hAnsi="Calibri"/>
                <w:b/>
                <w:sz w:val="17"/>
              </w:rPr>
              <w:t>Lógico</w:t>
            </w:r>
            <w:r>
              <w:rPr>
                <w:rFonts w:ascii="Calibri" w:hAnsi="Calibri"/>
                <w:b w:val="0"/>
                <w:sz w:val="17"/>
              </w:rPr>
              <w:t xml:space="preserve"> (por tabla)</w:t>
            </w:r>
          </w:p>
        </w:tc>
        <w:tc>
          <w:tcPr>
            <w:tcW w:type="dxa" w:w="2835"/>
          </w:tcPr>
          <w:p>
            <w:pPr>
              <w:spacing w:after="40" w:before="40"/>
            </w:pPr>
            <w:r/>
            <w:r>
              <w:rPr>
                <w:rFonts w:ascii="Calibri" w:hAnsi="Calibri"/>
                <w:b w:val="0"/>
                <w:sz w:val="17"/>
              </w:rPr>
              <w:t>Diario, 04:00</w:t>
            </w:r>
          </w:p>
        </w:tc>
        <w:tc>
          <w:tcPr>
            <w:tcW w:type="dxa" w:w="3402"/>
          </w:tcPr>
          <w:p>
            <w:pPr>
              <w:spacing w:after="40" w:before="40"/>
            </w:pPr>
            <w:r/>
            <w:r>
              <w:rPr>
                <w:rFonts w:ascii="Calibri" w:hAnsi="Calibri"/>
                <w:b w:val="0"/>
                <w:sz w:val="17"/>
              </w:rPr>
              <w:t>`pg_dump --format=custom`, por schema</w:t>
            </w:r>
          </w:p>
        </w:tc>
        <w:tc>
          <w:tcPr>
            <w:tcW w:type="dxa" w:w="2438"/>
          </w:tcPr>
          <w:p>
            <w:pPr>
              <w:spacing w:after="40" w:before="40"/>
            </w:pPr>
            <w:r/>
            <w:r>
              <w:rPr>
                <w:rFonts w:ascii="Calibri" w:hAnsi="Calibri"/>
                <w:b w:val="0"/>
                <w:sz w:val="17"/>
              </w:rPr>
              <w:t>~8 GB/día</w:t>
            </w:r>
          </w:p>
        </w:tc>
        <w:tc>
          <w:tcPr>
            <w:tcW w:type="dxa" w:w="3969"/>
          </w:tcPr>
          <w:p>
            <w:pPr>
              <w:spacing w:after="40" w:before="40"/>
            </w:pPr>
            <w:r/>
            <w:r>
              <w:rPr>
                <w:rFonts w:ascii="Calibri" w:hAnsi="Calibri"/>
                <w:b w:val="0"/>
                <w:sz w:val="17"/>
              </w:rPr>
              <w:t xml:space="preserve">Restauración selectiva de </w:t>
            </w:r>
            <w:r>
              <w:rPr>
                <w:rFonts w:ascii="Calibri" w:hAnsi="Calibri"/>
                <w:b/>
                <w:sz w:val="17"/>
              </w:rPr>
              <w:t>una tabla</w:t>
            </w:r>
            <w:r>
              <w:rPr>
                <w:rFonts w:ascii="Calibri" w:hAnsi="Calibri"/>
                <w:b w:val="0"/>
                <w:sz w:val="17"/>
              </w:rPr>
              <w:t xml:space="preserve"> sin tocar el resto. Es el respaldo que salva de un `DELETE` mal filtrado sin revertir el sistema entero.</w:t>
            </w:r>
          </w:p>
        </w:tc>
      </w:tr>
      <w:tr>
        <w:tc>
          <w:tcPr>
            <w:tcW w:type="dxa" w:w="2494"/>
          </w:tcPr>
          <w:p>
            <w:pPr>
              <w:spacing w:after="40" w:before="40"/>
            </w:pPr>
            <w:r/>
            <w:r>
              <w:rPr>
                <w:rFonts w:ascii="Calibri" w:hAnsi="Calibri"/>
                <w:b/>
                <w:sz w:val="17"/>
              </w:rPr>
              <w:t>Catálogos y roles</w:t>
            </w:r>
          </w:p>
        </w:tc>
        <w:tc>
          <w:tcPr>
            <w:tcW w:type="dxa" w:w="2835"/>
          </w:tcPr>
          <w:p>
            <w:pPr>
              <w:spacing w:after="40" w:before="40"/>
            </w:pPr>
            <w:r/>
            <w:r>
              <w:rPr>
                <w:rFonts w:ascii="Calibri" w:hAnsi="Calibri"/>
                <w:b w:val="0"/>
                <w:sz w:val="17"/>
              </w:rPr>
              <w:t>Diario</w:t>
            </w:r>
          </w:p>
        </w:tc>
        <w:tc>
          <w:tcPr>
            <w:tcW w:type="dxa" w:w="3402"/>
          </w:tcPr>
          <w:p>
            <w:pPr>
              <w:spacing w:after="40" w:before="40"/>
            </w:pPr>
            <w:r/>
            <w:r>
              <w:rPr>
                <w:rFonts w:ascii="Calibri" w:hAnsi="Calibri"/>
                <w:b w:val="0"/>
                <w:sz w:val="17"/>
              </w:rPr>
              <w:t>`pg_dumpall --globals-only`</w:t>
            </w:r>
          </w:p>
        </w:tc>
        <w:tc>
          <w:tcPr>
            <w:tcW w:type="dxa" w:w="2438"/>
          </w:tcPr>
          <w:p>
            <w:pPr>
              <w:spacing w:after="40" w:before="40"/>
            </w:pPr>
            <w:r/>
            <w:r>
              <w:rPr>
                <w:rFonts w:ascii="Calibri" w:hAnsi="Calibri"/>
                <w:b w:val="0"/>
                <w:sz w:val="17"/>
              </w:rPr>
              <w:t>Kilobytes</w:t>
            </w:r>
          </w:p>
        </w:tc>
        <w:tc>
          <w:tcPr>
            <w:tcW w:type="dxa" w:w="3969"/>
          </w:tcPr>
          <w:p>
            <w:pPr>
              <w:spacing w:after="40" w:before="40"/>
            </w:pPr>
            <w:r/>
            <w:r>
              <w:rPr>
                <w:rFonts w:ascii="Calibri" w:hAnsi="Calibri"/>
                <w:b w:val="0"/>
                <w:sz w:val="17"/>
              </w:rPr>
              <w:t>Usuarios, roles y permisos. `pg_basebackup` los incluye, pero tenerlos aparte permite reconstruir la política de seguridad sin restaurar los datos.</w:t>
            </w:r>
          </w:p>
        </w:tc>
      </w:tr>
    </w:tbl>
    <w:p>
      <w:pPr>
        <w:spacing w:after="160"/>
        <w:jc w:val="both"/>
      </w:pPr>
      <w:r>
        <w:rPr>
          <w:rFonts w:ascii="Calibri" w:hAnsi="Calibri"/>
          <w:b/>
          <w:sz w:val="20"/>
        </w:rPr>
        <w:t>Regla de los 3-2-1.</w:t>
      </w:r>
      <w:r>
        <w:rPr>
          <w:rFonts w:ascii="Calibri" w:hAnsi="Calibri"/>
          <w:b w:val="0"/>
          <w:sz w:val="20"/>
        </w:rPr>
        <w:t xml:space="preserve"> Tres copias (la de producción, la del disco local y la del almacenamiento de objetos), en dos medios distintos, con </w:t>
      </w:r>
      <w:r>
        <w:rPr>
          <w:rFonts w:ascii="Calibri" w:hAnsi="Calibri"/>
          <w:b/>
          <w:sz w:val="20"/>
        </w:rPr>
        <w:t>una fuera de la máquina</w:t>
      </w:r>
      <w:r>
        <w:rPr>
          <w:rFonts w:ascii="Calibri" w:hAnsi="Calibri"/>
          <w:b w:val="0"/>
          <w:sz w:val="20"/>
        </w:rPr>
        <w:t>. Este último punto es el que importa: un respaldo que vive en el mismo disco que la base no es un respaldo, es una copia. Aquí la Raspberry Pi cumple una segunda función además de ser el entorno de pruebas: es el destino externo del respaldo de producción.</w:t>
      </w:r>
    </w:p>
    <w:p>
      <w:pPr>
        <w:spacing w:before="220" w:after="120"/>
      </w:pPr>
      <w:r>
        <w:rPr>
          <w:rFonts w:ascii="Calibri" w:hAnsi="Calibri"/>
          <w:b/>
          <w:color w:val="064475"/>
          <w:sz w:val="24"/>
        </w:rPr>
        <w:t>6.5  RAID y replicación — qué cubre cada uno, y por qué hacen falta los dos</w:t>
      </w:r>
    </w:p>
    <w:p>
      <w:pPr>
        <w:spacing w:after="160"/>
        <w:jc w:val="both"/>
      </w:pPr>
      <w:r>
        <w:rPr>
          <w:rFonts w:ascii="Calibri" w:hAnsi="Calibri"/>
          <w:b w:val="0"/>
          <w:sz w:val="20"/>
        </w:rPr>
        <w:t xml:space="preserve">RAID, réplica y respaldo se confunden con frecuencia porque los tres «tienen una copia». Cubren fallos distintos y </w:t>
      </w:r>
      <w:r>
        <w:rPr>
          <w:rFonts w:ascii="Calibri" w:hAnsi="Calibri"/>
          <w:b/>
          <w:sz w:val="20"/>
        </w:rPr>
        <w:t>ninguno sustituye a los otros dos</w:t>
      </w:r>
      <w:r>
        <w:rPr>
          <w:rFonts w:ascii="Calibri" w:hAnsi="Calibri"/>
          <w:b w:val="0"/>
          <w:sz w:val="20"/>
        </w:rPr>
        <w:t>. La tabla lo separa, porque de ahí sale por qué el plan los exige los tres:</w:t>
      </w:r>
    </w:p>
    <w:tbl>
      <w:tblPr>
        <w:tblStyle w:val="TableGrid"/>
        <w:tblW w:type="auto" w:w="0"/>
        <w:tblLook w:firstColumn="1" w:firstRow="1" w:lastColumn="0" w:lastRow="0" w:noHBand="0" w:noVBand="1" w:val="04A0"/>
      </w:tblPr>
      <w:tblGrid>
        <w:gridCol w:w="3784"/>
        <w:gridCol w:w="3784"/>
        <w:gridCol w:w="3784"/>
        <w:gridCol w:w="3784"/>
      </w:tblGrid>
      <w:tr>
        <w:tc>
          <w:tcPr>
            <w:tcW w:type="dxa" w:w="2494"/>
            <w:shd w:val="clear" w:color="auto" w:fill="064475"/>
          </w:tcPr>
          <w:p>
            <w:pPr>
              <w:spacing w:after="40" w:before="40"/>
            </w:pPr>
            <w:r/>
            <w:r>
              <w:rPr>
                <w:rFonts w:ascii="Calibri" w:hAnsi="Calibri"/>
                <w:b/>
                <w:color w:val="FFFFFF"/>
                <w:sz w:val="17"/>
              </w:rPr>
              <w:t>Mecanismo</w:t>
            </w:r>
          </w:p>
        </w:tc>
        <w:tc>
          <w:tcPr>
            <w:tcW w:type="dxa" w:w="4195"/>
            <w:shd w:val="clear" w:color="auto" w:fill="064475"/>
          </w:tcPr>
          <w:p>
            <w:pPr>
              <w:spacing w:after="40" w:before="40"/>
            </w:pPr>
            <w:r/>
            <w:r>
              <w:rPr>
                <w:rFonts w:ascii="Calibri" w:hAnsi="Calibri"/>
                <w:b/>
                <w:color w:val="FFFFFF"/>
                <w:sz w:val="17"/>
              </w:rPr>
              <w:t>Cubre</w:t>
            </w:r>
          </w:p>
        </w:tc>
        <w:tc>
          <w:tcPr>
            <w:tcW w:type="dxa" w:w="4195"/>
            <w:shd w:val="clear" w:color="auto" w:fill="064475"/>
          </w:tcPr>
          <w:p>
            <w:pPr>
              <w:spacing w:after="40" w:before="40"/>
            </w:pPr>
            <w:r/>
            <w:r>
              <w:rPr>
                <w:rFonts w:ascii="Calibri" w:hAnsi="Calibri"/>
                <w:b/>
                <w:color w:val="FFFFFF"/>
                <w:sz w:val="17"/>
              </w:rPr>
              <w:t>No</w:t>
            </w:r>
            <w:r>
              <w:rPr>
                <w:rFonts w:ascii="Calibri" w:hAnsi="Calibri"/>
                <w:b/>
                <w:color w:val="FFFFFF"/>
                <w:sz w:val="17"/>
              </w:rPr>
              <w:t xml:space="preserve"> cubre</w:t>
            </w:r>
          </w:p>
        </w:tc>
        <w:tc>
          <w:tcPr>
            <w:tcW w:type="dxa" w:w="4252"/>
            <w:shd w:val="clear" w:color="auto" w:fill="064475"/>
          </w:tcPr>
          <w:p>
            <w:pPr>
              <w:spacing w:after="40" w:before="40"/>
            </w:pPr>
            <w:r/>
            <w:r>
              <w:rPr>
                <w:rFonts w:ascii="Calibri" w:hAnsi="Calibri"/>
                <w:b/>
                <w:color w:val="FFFFFF"/>
                <w:sz w:val="17"/>
              </w:rPr>
              <w:t>Estado en Ayni Bank</w:t>
            </w:r>
          </w:p>
        </w:tc>
      </w:tr>
      <w:tr>
        <w:tc>
          <w:tcPr>
            <w:tcW w:type="dxa" w:w="2494"/>
          </w:tcPr>
          <w:p>
            <w:pPr>
              <w:spacing w:after="40" w:before="40"/>
            </w:pPr>
            <w:r/>
            <w:r>
              <w:rPr>
                <w:rFonts w:ascii="Calibri" w:hAnsi="Calibri"/>
                <w:b/>
                <w:sz w:val="17"/>
              </w:rPr>
              <w:t>RAID 1 / 10</w:t>
            </w:r>
          </w:p>
        </w:tc>
        <w:tc>
          <w:tcPr>
            <w:tcW w:type="dxa" w:w="4195"/>
          </w:tcPr>
          <w:p>
            <w:pPr>
              <w:spacing w:after="40" w:before="40"/>
            </w:pPr>
            <w:r/>
            <w:r>
              <w:rPr>
                <w:rFonts w:ascii="Calibri" w:hAnsi="Calibri"/>
                <w:b w:val="0"/>
                <w:sz w:val="17"/>
              </w:rPr>
              <w:t>La avería física de un disco. El servicio ni se entera: sigue funcionando con el espejo.</w:t>
            </w:r>
          </w:p>
        </w:tc>
        <w:tc>
          <w:tcPr>
            <w:tcW w:type="dxa" w:w="4195"/>
          </w:tcPr>
          <w:p>
            <w:pPr>
              <w:spacing w:after="40" w:before="40"/>
            </w:pPr>
            <w:r/>
            <w:r>
              <w:rPr>
                <w:rFonts w:ascii="Calibri" w:hAnsi="Calibri"/>
                <w:b w:val="0"/>
                <w:sz w:val="17"/>
              </w:rPr>
              <w:t xml:space="preserve">El error humano y el fallo lógico. </w:t>
            </w:r>
            <w:r>
              <w:rPr>
                <w:rFonts w:ascii="Calibri" w:hAnsi="Calibri"/>
                <w:b/>
                <w:sz w:val="17"/>
              </w:rPr>
              <w:t>Un `DROP TABLE` se replica en el espejo con la misma fidelidad que un dato bueno, y a la misma velocidad.</w:t>
            </w:r>
          </w:p>
        </w:tc>
        <w:tc>
          <w:tcPr>
            <w:tcW w:type="dxa" w:w="4252"/>
            <w:shd w:val="clear" w:color="auto" w:fill="F4CCCC"/>
          </w:tcPr>
          <w:p>
            <w:pPr>
              <w:spacing w:after="40" w:before="40"/>
            </w:pPr>
            <w:r/>
            <w:r>
              <w:rPr>
                <w:rFonts w:ascii="Calibri" w:hAnsi="Calibri"/>
                <w:b/>
                <w:sz w:val="17"/>
              </w:rPr>
              <w:t>Ausente.</w:t>
            </w:r>
            <w:r>
              <w:rPr>
                <w:rFonts w:ascii="Calibri" w:hAnsi="Calibri"/>
                <w:b w:val="0"/>
                <w:sz w:val="17"/>
              </w:rPr>
              <w:t xml:space="preserve"> La Raspberry lleva un SSD único. Acción: segundo SSD en RAID 1.</w:t>
            </w:r>
          </w:p>
        </w:tc>
      </w:tr>
      <w:tr>
        <w:tc>
          <w:tcPr>
            <w:tcW w:type="dxa" w:w="2494"/>
          </w:tcPr>
          <w:p>
            <w:pPr>
              <w:spacing w:after="40" w:before="40"/>
            </w:pPr>
            <w:r/>
            <w:r>
              <w:rPr>
                <w:rFonts w:ascii="Calibri" w:hAnsi="Calibri"/>
                <w:b/>
                <w:sz w:val="17"/>
              </w:rPr>
              <w:t>Réplica síncrona</w:t>
            </w:r>
          </w:p>
        </w:tc>
        <w:tc>
          <w:tcPr>
            <w:tcW w:type="dxa" w:w="4195"/>
          </w:tcPr>
          <w:p>
            <w:pPr>
              <w:spacing w:after="40" w:before="40"/>
            </w:pPr>
            <w:r/>
            <w:r>
              <w:rPr>
                <w:rFonts w:ascii="Calibri" w:hAnsi="Calibri"/>
                <w:b w:val="0"/>
                <w:sz w:val="17"/>
              </w:rPr>
              <w:t xml:space="preserve">La pérdida del nodo entero: máquina, sistema o centro de datos. Con conmutación automática, </w:t>
            </w:r>
            <w:r>
              <w:rPr>
                <w:rFonts w:ascii="Calibri" w:hAnsi="Calibri"/>
                <w:b/>
                <w:sz w:val="17"/>
              </w:rPr>
              <w:t>sin perder transacciones confirmadas</w:t>
            </w:r>
            <w:r>
              <w:rPr>
                <w:rFonts w:ascii="Calibri" w:hAnsi="Calibri"/>
                <w:b w:val="0"/>
                <w:sz w:val="17"/>
              </w:rPr>
              <w:t>.</w:t>
            </w:r>
          </w:p>
        </w:tc>
        <w:tc>
          <w:tcPr>
            <w:tcW w:type="dxa" w:w="4195"/>
          </w:tcPr>
          <w:p>
            <w:pPr>
              <w:spacing w:after="40" w:before="40"/>
            </w:pPr>
            <w:r/>
            <w:r>
              <w:rPr>
                <w:rFonts w:ascii="Calibri" w:hAnsi="Calibri"/>
                <w:b w:val="0"/>
                <w:sz w:val="17"/>
              </w:rPr>
              <w:t>El error humano: el `DELETE` mal filtrado se replica al instante. Tampoco cubre la corrupción lógica propagada.</w:t>
            </w:r>
          </w:p>
        </w:tc>
        <w:tc>
          <w:tcPr>
            <w:tcW w:type="dxa" w:w="4252"/>
            <w:shd w:val="clear" w:color="auto" w:fill="F4CCCC"/>
          </w:tcPr>
          <w:p>
            <w:pPr>
              <w:spacing w:after="40" w:before="40"/>
            </w:pPr>
            <w:r/>
            <w:r>
              <w:rPr>
                <w:rFonts w:ascii="Calibri" w:hAnsi="Calibri"/>
                <w:b/>
                <w:sz w:val="17"/>
              </w:rPr>
              <w:t>Ausente.</w:t>
            </w:r>
            <w:r>
              <w:rPr>
                <w:rFonts w:ascii="Calibri" w:hAnsi="Calibri"/>
                <w:b w:val="0"/>
                <w:sz w:val="17"/>
              </w:rPr>
              <w:t xml:space="preserve"> Nodo único. Es la carencia que obliga al gasto del apartado 6.3.</w:t>
            </w:r>
          </w:p>
        </w:tc>
      </w:tr>
      <w:tr>
        <w:tc>
          <w:tcPr>
            <w:tcW w:type="dxa" w:w="2494"/>
          </w:tcPr>
          <w:p>
            <w:pPr>
              <w:spacing w:after="40" w:before="40"/>
            </w:pPr>
            <w:r/>
            <w:r>
              <w:rPr>
                <w:rFonts w:ascii="Calibri" w:hAnsi="Calibri"/>
                <w:b/>
                <w:sz w:val="17"/>
              </w:rPr>
              <w:t>WAL archivado</w:t>
            </w:r>
          </w:p>
        </w:tc>
        <w:tc>
          <w:tcPr>
            <w:tcW w:type="dxa" w:w="4195"/>
          </w:tcPr>
          <w:p>
            <w:pPr>
              <w:spacing w:after="40" w:before="40"/>
            </w:pPr>
            <w:r/>
            <w:r>
              <w:rPr>
                <w:rFonts w:ascii="Calibri" w:hAnsi="Calibri"/>
                <w:b w:val="0"/>
                <w:sz w:val="17"/>
              </w:rPr>
              <w:t xml:space="preserve">El error humano y el fallo lógico, porque permite volver </w:t>
            </w:r>
            <w:r>
              <w:rPr>
                <w:rFonts w:ascii="Calibri" w:hAnsi="Calibri"/>
                <w:b/>
                <w:sz w:val="17"/>
              </w:rPr>
              <w:t>al instante anterior</w:t>
            </w:r>
            <w:r>
              <w:rPr>
                <w:rFonts w:ascii="Calibri" w:hAnsi="Calibri"/>
                <w:b w:val="0"/>
                <w:sz w:val="17"/>
              </w:rPr>
              <w:t xml:space="preserve"> al desastre.</w:t>
            </w:r>
          </w:p>
        </w:tc>
        <w:tc>
          <w:tcPr>
            <w:tcW w:type="dxa" w:w="4195"/>
          </w:tcPr>
          <w:p>
            <w:pPr>
              <w:spacing w:after="40" w:before="40"/>
            </w:pPr>
            <w:r/>
            <w:r>
              <w:rPr>
                <w:rFonts w:ascii="Calibri" w:hAnsi="Calibri"/>
                <w:b w:val="0"/>
                <w:sz w:val="17"/>
              </w:rPr>
              <w:t>La caída del servicio: recuperar lleva tiempo. No da continuidad, da reversibilidad.</w:t>
            </w:r>
          </w:p>
        </w:tc>
        <w:tc>
          <w:tcPr>
            <w:tcW w:type="dxa" w:w="4252"/>
            <w:shd w:val="clear" w:color="auto" w:fill="F4CCCC"/>
          </w:tcPr>
          <w:p>
            <w:pPr>
              <w:spacing w:after="40" w:before="40"/>
            </w:pPr>
            <w:r/>
            <w:r>
              <w:rPr>
                <w:rFonts w:ascii="Calibri" w:hAnsi="Calibri"/>
                <w:b/>
                <w:sz w:val="17"/>
              </w:rPr>
              <w:t>Ausente.</w:t>
            </w:r>
            <w:r>
              <w:rPr>
                <w:rFonts w:ascii="Calibri" w:hAnsi="Calibri"/>
                <w:b w:val="0"/>
                <w:sz w:val="17"/>
              </w:rPr>
              <w:t xml:space="preserve"> `archive_mode = off`. Es lo más grave y lo más barato de arreglar.</w:t>
            </w:r>
          </w:p>
        </w:tc>
      </w:tr>
      <w:tr>
        <w:tc>
          <w:tcPr>
            <w:tcW w:type="dxa" w:w="2494"/>
          </w:tcPr>
          <w:p>
            <w:pPr>
              <w:spacing w:after="40" w:before="40"/>
            </w:pPr>
            <w:r/>
            <w:r>
              <w:rPr>
                <w:rFonts w:ascii="Calibri" w:hAnsi="Calibri"/>
                <w:b/>
                <w:sz w:val="17"/>
              </w:rPr>
              <w:t>Respaldo externo</w:t>
            </w:r>
          </w:p>
        </w:tc>
        <w:tc>
          <w:tcPr>
            <w:tcW w:type="dxa" w:w="4195"/>
          </w:tcPr>
          <w:p>
            <w:pPr>
              <w:spacing w:after="40" w:before="40"/>
            </w:pPr>
            <w:r/>
            <w:r>
              <w:rPr>
                <w:rFonts w:ascii="Calibri" w:hAnsi="Calibri"/>
                <w:b w:val="0"/>
                <w:sz w:val="17"/>
              </w:rPr>
              <w:t>La pérdida total de la infraestructura, el cifrado por programa maligno y el borrado en cascada.</w:t>
            </w:r>
          </w:p>
        </w:tc>
        <w:tc>
          <w:tcPr>
            <w:tcW w:type="dxa" w:w="4195"/>
          </w:tcPr>
          <w:p>
            <w:pPr>
              <w:spacing w:after="40" w:before="40"/>
            </w:pPr>
            <w:r/>
            <w:r>
              <w:rPr>
                <w:rFonts w:ascii="Calibri" w:hAnsi="Calibri"/>
                <w:b w:val="0"/>
                <w:sz w:val="17"/>
              </w:rPr>
              <w:t>Nada operativo: es el último recurso, con el RTO más largo de todos.</w:t>
            </w:r>
          </w:p>
        </w:tc>
        <w:tc>
          <w:tcPr>
            <w:tcW w:type="dxa" w:w="4252"/>
            <w:shd w:val="clear" w:color="auto" w:fill="FCE5CD"/>
          </w:tcPr>
          <w:p>
            <w:pPr>
              <w:spacing w:after="40" w:before="40"/>
            </w:pPr>
            <w:r/>
            <w:r>
              <w:rPr>
                <w:rFonts w:ascii="Calibri" w:hAnsi="Calibri"/>
                <w:b/>
                <w:sz w:val="17"/>
              </w:rPr>
              <w:t>Parcial.</w:t>
            </w:r>
            <w:r>
              <w:rPr>
                <w:rFonts w:ascii="Calibri" w:hAnsi="Calibri"/>
                <w:b w:val="0"/>
                <w:sz w:val="17"/>
              </w:rPr>
              <w:t xml:space="preserve"> Hay volcado, pero sin la regla 3-2-1 completa.</w:t>
            </w:r>
          </w:p>
        </w:tc>
      </w:tr>
    </w:tbl>
    <w:p>
      <w:pPr>
        <w:spacing w:after="160"/>
        <w:jc w:val="both"/>
      </w:pPr>
      <w:r>
        <w:rPr>
          <w:rFonts w:ascii="Calibri" w:hAnsi="Calibri"/>
          <w:b/>
          <w:sz w:val="20"/>
        </w:rPr>
        <w:t>Por qué RAID 10 y no RAID 5.</w:t>
      </w:r>
      <w:r>
        <w:rPr>
          <w:rFonts w:ascii="Calibri" w:hAnsi="Calibri"/>
          <w:b w:val="0"/>
          <w:sz w:val="20"/>
        </w:rPr>
        <w:t xml:space="preserve"> RAID 5 calcula paridad en cada escritura, lo que obliga a leer antes de escribir: la penalización es de cuatro operaciones de disco por cada escritura lógica. Con 4,37 millones de inserciones diarias en `core.asiento`, esa penalización es exactamente lo que no se puede pagar. </w:t>
      </w:r>
      <w:r>
        <w:rPr>
          <w:rFonts w:ascii="Calibri" w:hAnsi="Calibri"/>
          <w:b/>
          <w:sz w:val="20"/>
        </w:rPr>
        <w:t>RAID 10 espeja y reparte</w:t>
      </w:r>
      <w:r>
        <w:rPr>
          <w:rFonts w:ascii="Calibri" w:hAnsi="Calibri"/>
          <w:b w:val="0"/>
          <w:sz w:val="20"/>
        </w:rPr>
        <w:t>, sin paridad que calcular, y es la configuración estándar bajo una base de datos transaccional. En la Raspberry Pi, con dos discos, la forma que cabe es RAID 1 —solo espejo—, que es suficiente para lo que ese nodo hace.</w:t>
      </w:r>
    </w:p>
    <w:p>
      <w:pPr>
        <w:spacing w:before="220" w:after="120"/>
      </w:pPr>
      <w:r>
        <w:rPr>
          <w:rFonts w:ascii="Calibri" w:hAnsi="Calibri"/>
          <w:b/>
          <w:color w:val="064475"/>
          <w:sz w:val="24"/>
        </w:rPr>
        <w:t>6.6  «Un respaldo no existe hasta que se prueba su restauración»</w:t>
      </w:r>
    </w:p>
    <w:p>
      <w:pPr>
        <w:spacing w:after="160"/>
        <w:jc w:val="both"/>
      </w:pPr>
      <w:r>
        <w:rPr>
          <w:rFonts w:ascii="Calibri" w:hAnsi="Calibri"/>
          <w:b w:val="0"/>
          <w:sz w:val="20"/>
        </w:rPr>
        <w:t>La frase es de la diapositiva y es la parte del plan que más se incumple en la práctica, así que la convertimos en tarea con periodicidad y responsable, no en buena intención.</w:t>
      </w:r>
    </w:p>
    <w:tbl>
      <w:tblPr>
        <w:tblStyle w:val="TableGrid"/>
        <w:tblW w:type="auto" w:w="0"/>
        <w:tblLook w:firstColumn="1" w:firstRow="1" w:lastColumn="0" w:lastRow="0" w:noHBand="0" w:noVBand="1" w:val="04A0"/>
      </w:tblPr>
      <w:tblGrid>
        <w:gridCol w:w="5046"/>
        <w:gridCol w:w="5046"/>
        <w:gridCol w:w="5046"/>
      </w:tblGrid>
      <w:tr>
        <w:tc>
          <w:tcPr>
            <w:tcW w:type="dxa" w:w="4195"/>
            <w:shd w:val="clear" w:color="auto" w:fill="064475"/>
          </w:tcPr>
          <w:p>
            <w:pPr>
              <w:spacing w:after="40" w:before="40"/>
            </w:pPr>
            <w:r/>
            <w:r>
              <w:rPr>
                <w:rFonts w:ascii="Calibri" w:hAnsi="Calibri"/>
                <w:b/>
                <w:color w:val="FFFFFF"/>
                <w:sz w:val="17"/>
              </w:rPr>
              <w:t>Prueba</w:t>
            </w:r>
          </w:p>
        </w:tc>
        <w:tc>
          <w:tcPr>
            <w:tcW w:type="dxa" w:w="2494"/>
            <w:shd w:val="clear" w:color="auto" w:fill="064475"/>
          </w:tcPr>
          <w:p>
            <w:pPr>
              <w:spacing w:after="40" w:before="40"/>
            </w:pPr>
            <w:r/>
            <w:r>
              <w:rPr>
                <w:rFonts w:ascii="Calibri" w:hAnsi="Calibri"/>
                <w:b/>
                <w:color w:val="FFFFFF"/>
                <w:sz w:val="17"/>
              </w:rPr>
              <w:t>Periodicidad</w:t>
            </w:r>
          </w:p>
        </w:tc>
        <w:tc>
          <w:tcPr>
            <w:tcW w:type="dxa" w:w="8447"/>
            <w:shd w:val="clear" w:color="auto" w:fill="064475"/>
          </w:tcPr>
          <w:p>
            <w:pPr>
              <w:spacing w:after="40" w:before="40"/>
            </w:pPr>
            <w:r/>
            <w:r>
              <w:rPr>
                <w:rFonts w:ascii="Calibri" w:hAnsi="Calibri"/>
                <w:b/>
                <w:color w:val="FFFFFF"/>
                <w:sz w:val="17"/>
              </w:rPr>
              <w:t>Criterio de éxito</w:t>
            </w:r>
          </w:p>
        </w:tc>
      </w:tr>
      <w:tr>
        <w:tc>
          <w:tcPr>
            <w:tcW w:type="dxa" w:w="4195"/>
          </w:tcPr>
          <w:p>
            <w:pPr>
              <w:spacing w:after="40" w:before="40"/>
            </w:pPr>
            <w:r/>
            <w:r>
              <w:rPr>
                <w:rFonts w:ascii="Calibri" w:hAnsi="Calibri"/>
                <w:b w:val="0"/>
                <w:sz w:val="17"/>
              </w:rPr>
              <w:t>Restauración completa en entorno limpio</w:t>
            </w:r>
          </w:p>
        </w:tc>
        <w:tc>
          <w:tcPr>
            <w:tcW w:type="dxa" w:w="2494"/>
          </w:tcPr>
          <w:p>
            <w:pPr>
              <w:spacing w:after="40" w:before="40"/>
              <w:jc w:val="center"/>
            </w:pPr>
            <w:r/>
            <w:r>
              <w:rPr>
                <w:rFonts w:ascii="Calibri" w:hAnsi="Calibri"/>
                <w:b/>
                <w:sz w:val="17"/>
              </w:rPr>
              <w:t>Mensual</w:t>
            </w:r>
            <w:r>
              <w:rPr>
                <w:rFonts w:ascii="Calibri" w:hAnsi="Calibri"/>
                <w:b w:val="0"/>
                <w:sz w:val="17"/>
              </w:rPr>
              <w:t>, primer lunes</w:t>
            </w:r>
          </w:p>
        </w:tc>
        <w:tc>
          <w:tcPr>
            <w:tcW w:type="dxa" w:w="8447"/>
          </w:tcPr>
          <w:p>
            <w:pPr>
              <w:spacing w:after="40" w:before="40"/>
            </w:pPr>
            <w:r/>
            <w:r>
              <w:rPr>
                <w:rFonts w:ascii="Calibri" w:hAnsi="Calibri"/>
                <w:b w:val="0"/>
                <w:sz w:val="17"/>
              </w:rPr>
              <w:t xml:space="preserve">La base restaurada arranca, Flyway informa de la misma versión de esquema y el recuento de filas de `core.asiento` coincide con el de origen. </w:t>
            </w:r>
            <w:r>
              <w:rPr>
                <w:rFonts w:ascii="Calibri" w:hAnsi="Calibri"/>
                <w:b/>
                <w:sz w:val="17"/>
              </w:rPr>
              <w:t>Se cronometra</w:t>
            </w:r>
            <w:r>
              <w:rPr>
                <w:rFonts w:ascii="Calibri" w:hAnsi="Calibri"/>
                <w:b w:val="0"/>
                <w:sz w:val="17"/>
              </w:rPr>
              <w:t>, y el tiempo medido es el que se declara como RTO real.</w:t>
            </w:r>
          </w:p>
        </w:tc>
      </w:tr>
      <w:tr>
        <w:tc>
          <w:tcPr>
            <w:tcW w:type="dxa" w:w="4195"/>
          </w:tcPr>
          <w:p>
            <w:pPr>
              <w:spacing w:after="40" w:before="40"/>
            </w:pPr>
            <w:r/>
            <w:r>
              <w:rPr>
                <w:rFonts w:ascii="Calibri" w:hAnsi="Calibri"/>
                <w:b w:val="0"/>
                <w:sz w:val="17"/>
              </w:rPr>
              <w:t>Recuperación a un instante concreto</w:t>
            </w:r>
          </w:p>
        </w:tc>
        <w:tc>
          <w:tcPr>
            <w:tcW w:type="dxa" w:w="2494"/>
          </w:tcPr>
          <w:p>
            <w:pPr>
              <w:spacing w:after="40" w:before="40"/>
              <w:jc w:val="center"/>
            </w:pPr>
            <w:r/>
            <w:r>
              <w:rPr>
                <w:rFonts w:ascii="Calibri" w:hAnsi="Calibri"/>
                <w:b/>
                <w:sz w:val="17"/>
              </w:rPr>
              <w:t>Trimestral</w:t>
            </w:r>
          </w:p>
        </w:tc>
        <w:tc>
          <w:tcPr>
            <w:tcW w:type="dxa" w:w="8447"/>
          </w:tcPr>
          <w:p>
            <w:pPr>
              <w:spacing w:after="40" w:before="40"/>
            </w:pPr>
            <w:r/>
            <w:r>
              <w:rPr>
                <w:rFonts w:ascii="Calibri" w:hAnsi="Calibri"/>
                <w:b w:val="0"/>
                <w:sz w:val="17"/>
              </w:rPr>
              <w:t xml:space="preserve">Se elige una marca temporal arbitraria del último mes y se comprueba que los asientos posteriores </w:t>
            </w:r>
            <w:r>
              <w:rPr>
                <w:rFonts w:ascii="Calibri" w:hAnsi="Calibri"/>
                <w:b/>
                <w:sz w:val="17"/>
              </w:rPr>
              <w:t>no</w:t>
            </w:r>
            <w:r>
              <w:rPr>
                <w:rFonts w:ascii="Calibri" w:hAnsi="Calibri"/>
                <w:b w:val="0"/>
                <w:sz w:val="17"/>
              </w:rPr>
              <w:t xml:space="preserve"> están y los anteriores sí.</w:t>
            </w:r>
          </w:p>
        </w:tc>
      </w:tr>
      <w:tr>
        <w:tc>
          <w:tcPr>
            <w:tcW w:type="dxa" w:w="4195"/>
          </w:tcPr>
          <w:p>
            <w:pPr>
              <w:spacing w:after="40" w:before="40"/>
            </w:pPr>
            <w:r/>
            <w:r>
              <w:rPr>
                <w:rFonts w:ascii="Calibri" w:hAnsi="Calibri"/>
                <w:b w:val="0"/>
                <w:sz w:val="17"/>
              </w:rPr>
              <w:t>Verificación de integridad del archivo</w:t>
            </w:r>
          </w:p>
        </w:tc>
        <w:tc>
          <w:tcPr>
            <w:tcW w:type="dxa" w:w="2494"/>
          </w:tcPr>
          <w:p>
            <w:pPr>
              <w:spacing w:after="40" w:before="40"/>
              <w:jc w:val="center"/>
            </w:pPr>
            <w:r/>
            <w:r>
              <w:rPr>
                <w:rFonts w:ascii="Calibri" w:hAnsi="Calibri"/>
                <w:b/>
                <w:sz w:val="17"/>
              </w:rPr>
              <w:t>Diaria</w:t>
            </w:r>
            <w:r>
              <w:rPr>
                <w:rFonts w:ascii="Calibri" w:hAnsi="Calibri"/>
                <w:b w:val="0"/>
                <w:sz w:val="17"/>
              </w:rPr>
              <w:t>, automática</w:t>
            </w:r>
          </w:p>
        </w:tc>
        <w:tc>
          <w:tcPr>
            <w:tcW w:type="dxa" w:w="8447"/>
          </w:tcPr>
          <w:p>
            <w:pPr>
              <w:spacing w:after="40" w:before="40"/>
            </w:pPr>
            <w:r/>
            <w:r>
              <w:rPr>
                <w:rFonts w:ascii="Calibri" w:hAnsi="Calibri"/>
                <w:b w:val="0"/>
                <w:sz w:val="17"/>
              </w:rPr>
              <w:t>`pg_verifybackup` sobre el último total y comprobación de suma de verificación de los WAL subidos. Si falla, alerta inmediata.</w:t>
            </w:r>
          </w:p>
        </w:tc>
      </w:tr>
      <w:tr>
        <w:tc>
          <w:tcPr>
            <w:tcW w:type="dxa" w:w="4195"/>
          </w:tcPr>
          <w:p>
            <w:pPr>
              <w:spacing w:after="40" w:before="40"/>
            </w:pPr>
            <w:r/>
            <w:r>
              <w:rPr>
                <w:rFonts w:ascii="Calibri" w:hAnsi="Calibri"/>
                <w:b w:val="0"/>
                <w:sz w:val="17"/>
              </w:rPr>
              <w:t>Simulacro de pérdida total</w:t>
            </w:r>
          </w:p>
        </w:tc>
        <w:tc>
          <w:tcPr>
            <w:tcW w:type="dxa" w:w="2494"/>
          </w:tcPr>
          <w:p>
            <w:pPr>
              <w:spacing w:after="40" w:before="40"/>
              <w:jc w:val="center"/>
            </w:pPr>
            <w:r/>
            <w:r>
              <w:rPr>
                <w:rFonts w:ascii="Calibri" w:hAnsi="Calibri"/>
                <w:b/>
                <w:sz w:val="17"/>
              </w:rPr>
              <w:t>Semestral</w:t>
            </w:r>
          </w:p>
        </w:tc>
        <w:tc>
          <w:tcPr>
            <w:tcW w:type="dxa" w:w="8447"/>
          </w:tcPr>
          <w:p>
            <w:pPr>
              <w:spacing w:after="40" w:before="40"/>
            </w:pPr>
            <w:r/>
            <w:r>
              <w:rPr>
                <w:rFonts w:ascii="Calibri" w:hAnsi="Calibri"/>
                <w:b w:val="0"/>
                <w:sz w:val="17"/>
              </w:rPr>
              <w:t>Reconstrucción desde cero en la Raspberry Pi: sistema, contenedores, datos y verificación funcional. Es la prueba del plan de contingencia del riesgo R-10.</w:t>
            </w:r>
          </w:p>
        </w:tc>
      </w:tr>
    </w:tbl>
    <w:p>
      <w:r>
        <w:br w:type="page"/>
      </w:r>
    </w:p>
    <w:p>
      <w:pPr>
        <w:spacing w:before="360" w:after="120"/>
        <w:pBdr>
          <w:bottom w:val="single" w:sz="12" w:space="4" w:color="064475"/>
        </w:pBdr>
      </w:pPr>
      <w:r>
        <w:rPr>
          <w:rFonts w:ascii="Calibri" w:hAnsi="Calibri"/>
          <w:b/>
          <w:color w:val="064475"/>
          <w:sz w:val="30"/>
        </w:rPr>
        <w:t>7.  Conclusiones y acciones que se derivan</w:t>
      </w:r>
    </w:p>
    <w:p>
      <w:pPr>
        <w:spacing w:after="160"/>
        <w:jc w:val="both"/>
      </w:pPr>
      <w:r>
        <w:rPr>
          <w:rFonts w:ascii="Calibri" w:hAnsi="Calibri"/>
          <w:b w:val="0"/>
          <w:sz w:val="20"/>
        </w:rPr>
        <w:t>El taller pedía definir tres cosas. Al hacerlo sobre una base de datos que ya existe, en lugar de sobre un modelo hipotético, han salido cuatro hallazgos que no estaban previstos y que valen más que el ejercicio en sí.</w:t>
      </w:r>
    </w:p>
    <w:tbl>
      <w:tblPr>
        <w:tblStyle w:val="TableGrid"/>
        <w:tblW w:type="auto" w:w="0"/>
        <w:tblLook w:firstColumn="1" w:firstRow="1" w:lastColumn="0" w:lastRow="0" w:noHBand="0" w:noVBand="1" w:val="04A0"/>
      </w:tblPr>
      <w:tblGrid>
        <w:gridCol w:w="3784"/>
        <w:gridCol w:w="3784"/>
        <w:gridCol w:w="3784"/>
        <w:gridCol w:w="3784"/>
      </w:tblGrid>
      <w:tr>
        <w:tc>
          <w:tcPr>
            <w:tcW w:type="dxa" w:w="567"/>
            <w:shd w:val="clear" w:color="auto" w:fill="064475"/>
          </w:tcPr>
          <w:p>
            <w:pPr>
              <w:spacing w:after="40" w:before="40"/>
            </w:pPr>
            <w:r/>
            <w:r>
              <w:rPr>
                <w:rFonts w:ascii="Calibri" w:hAnsi="Calibri"/>
                <w:b/>
                <w:color w:val="FFFFFF"/>
                <w:sz w:val="17"/>
              </w:rPr>
              <w:t>#</w:t>
            </w:r>
          </w:p>
        </w:tc>
        <w:tc>
          <w:tcPr>
            <w:tcW w:type="dxa" w:w="5329"/>
            <w:shd w:val="clear" w:color="auto" w:fill="064475"/>
          </w:tcPr>
          <w:p>
            <w:pPr>
              <w:spacing w:after="40" w:before="40"/>
            </w:pPr>
            <w:r/>
            <w:r>
              <w:rPr>
                <w:rFonts w:ascii="Calibri" w:hAnsi="Calibri"/>
                <w:b/>
                <w:color w:val="FFFFFF"/>
                <w:sz w:val="17"/>
              </w:rPr>
              <w:t>Conclusión</w:t>
            </w:r>
          </w:p>
        </w:tc>
        <w:tc>
          <w:tcPr>
            <w:tcW w:type="dxa" w:w="6746"/>
            <w:shd w:val="clear" w:color="auto" w:fill="064475"/>
          </w:tcPr>
          <w:p>
            <w:pPr>
              <w:spacing w:after="40" w:before="40"/>
            </w:pPr>
            <w:r/>
            <w:r>
              <w:rPr>
                <w:rFonts w:ascii="Calibri" w:hAnsi="Calibri"/>
                <w:b/>
                <w:color w:val="FFFFFF"/>
                <w:sz w:val="17"/>
              </w:rPr>
              <w:t>Acción</w:t>
            </w:r>
          </w:p>
        </w:tc>
        <w:tc>
          <w:tcPr>
            <w:tcW w:type="dxa" w:w="2494"/>
            <w:shd w:val="clear" w:color="auto" w:fill="064475"/>
          </w:tcPr>
          <w:p>
            <w:pPr>
              <w:spacing w:after="40" w:before="40"/>
            </w:pPr>
            <w:r/>
            <w:r>
              <w:rPr>
                <w:rFonts w:ascii="Calibri" w:hAnsi="Calibri"/>
                <w:b/>
                <w:color w:val="FFFFFF"/>
                <w:sz w:val="17"/>
              </w:rPr>
              <w:t>Cuándo</w:t>
            </w:r>
          </w:p>
        </w:tc>
      </w:tr>
      <w:tr>
        <w:tc>
          <w:tcPr>
            <w:tcW w:type="dxa" w:w="567"/>
          </w:tcPr>
          <w:p>
            <w:pPr>
              <w:spacing w:after="40" w:before="40"/>
              <w:jc w:val="center"/>
            </w:pPr>
            <w:r/>
            <w:r>
              <w:rPr>
                <w:rFonts w:ascii="Calibri" w:hAnsi="Calibri"/>
                <w:b w:val="0"/>
                <w:sz w:val="17"/>
              </w:rPr>
              <w:t>1</w:t>
            </w:r>
          </w:p>
        </w:tc>
        <w:tc>
          <w:tcPr>
            <w:tcW w:type="dxa" w:w="5329"/>
          </w:tcPr>
          <w:p>
            <w:pPr>
              <w:spacing w:after="40" w:before="40"/>
            </w:pPr>
            <w:r/>
            <w:r>
              <w:rPr>
                <w:rFonts w:ascii="Calibri" w:hAnsi="Calibri"/>
                <w:b/>
                <w:sz w:val="17"/>
              </w:rPr>
              <w:t>El nivel gratuito de Oracle no aguanta la premisa.</w:t>
            </w:r>
            <w:r>
              <w:rPr>
                <w:rFonts w:ascii="Calibri" w:hAnsi="Calibri"/>
                <w:b w:val="0"/>
                <w:sz w:val="17"/>
              </w:rPr>
              <w:t xml:space="preserve"> 200 GB se llenan en 135 días (escenario central) o en 66 (estrés). No es un problema de índices: es de volumen.</w:t>
            </w:r>
          </w:p>
        </w:tc>
        <w:tc>
          <w:tcPr>
            <w:tcW w:type="dxa" w:w="6746"/>
          </w:tcPr>
          <w:p>
            <w:pPr>
              <w:spacing w:after="40" w:before="40"/>
            </w:pPr>
            <w:r/>
            <w:r>
              <w:rPr>
                <w:rFonts w:ascii="Calibri" w:hAnsi="Calibri"/>
                <w:b w:val="0"/>
                <w:sz w:val="17"/>
              </w:rPr>
              <w:t>Particionar `core.asiento` por rango mensual, retención de 3 meses en línea y archivado en frío del resto.</w:t>
            </w:r>
          </w:p>
        </w:tc>
        <w:tc>
          <w:tcPr>
            <w:tcW w:type="dxa" w:w="2494"/>
          </w:tcPr>
          <w:p>
            <w:pPr>
              <w:spacing w:after="40" w:before="40"/>
              <w:jc w:val="center"/>
            </w:pPr>
            <w:r/>
            <w:r>
              <w:rPr>
                <w:rFonts w:ascii="Calibri" w:hAnsi="Calibri"/>
                <w:b w:val="0"/>
                <w:sz w:val="17"/>
              </w:rPr>
              <w:t>Sprint 3</w:t>
            </w:r>
          </w:p>
        </w:tc>
      </w:tr>
      <w:tr>
        <w:tc>
          <w:tcPr>
            <w:tcW w:type="dxa" w:w="567"/>
          </w:tcPr>
          <w:p>
            <w:pPr>
              <w:spacing w:after="40" w:before="40"/>
              <w:jc w:val="center"/>
            </w:pPr>
            <w:r/>
            <w:r>
              <w:rPr>
                <w:rFonts w:ascii="Calibri" w:hAnsi="Calibri"/>
                <w:b w:val="0"/>
                <w:sz w:val="17"/>
              </w:rPr>
              <w:t>2</w:t>
            </w:r>
          </w:p>
        </w:tc>
        <w:tc>
          <w:tcPr>
            <w:tcW w:type="dxa" w:w="5329"/>
          </w:tcPr>
          <w:p>
            <w:pPr>
              <w:spacing w:after="40" w:before="40"/>
            </w:pPr>
            <w:r/>
            <w:r>
              <w:rPr>
                <w:rFonts w:ascii="Calibri" w:hAnsi="Calibri"/>
                <w:b/>
                <w:sz w:val="17"/>
              </w:rPr>
              <w:t>El usuario de la aplicación es superusuario y dueño del esquema.</w:t>
            </w:r>
            <w:r>
              <w:rPr>
                <w:rFonts w:ascii="Calibri" w:hAnsi="Calibri"/>
                <w:b w:val="0"/>
                <w:sz w:val="17"/>
              </w:rPr>
              <w:t xml:space="preserve"> Una inyección SQL con éxito comprometería el motor entero, no una tabla.</w:t>
            </w:r>
          </w:p>
        </w:tc>
        <w:tc>
          <w:tcPr>
            <w:tcW w:type="dxa" w:w="6746"/>
          </w:tcPr>
          <w:p>
            <w:pPr>
              <w:spacing w:after="40" w:before="40"/>
            </w:pPr>
            <w:r/>
            <w:r>
              <w:rPr>
                <w:rFonts w:ascii="Calibri" w:hAnsi="Calibri"/>
                <w:b w:val="0"/>
                <w:sz w:val="17"/>
              </w:rPr>
              <w:t>Implantar los cuatro roles del apartado 5.2, separando el dueño del esquema del usuario de ejecución, y quitar `UPDATE`/`DELETE` sobre `core.asiento`.</w:t>
            </w:r>
          </w:p>
        </w:tc>
        <w:tc>
          <w:tcPr>
            <w:tcW w:type="dxa" w:w="2494"/>
            <w:shd w:val="clear" w:color="auto" w:fill="F4CCCC"/>
          </w:tcPr>
          <w:p>
            <w:pPr>
              <w:spacing w:after="40" w:before="40"/>
              <w:jc w:val="center"/>
            </w:pPr>
            <w:r/>
            <w:r>
              <w:rPr>
                <w:rFonts w:ascii="Calibri" w:hAnsi="Calibri"/>
                <w:b/>
                <w:sz w:val="17"/>
              </w:rPr>
              <w:t>Sprint 2 — inmediato</w:t>
            </w:r>
          </w:p>
        </w:tc>
      </w:tr>
      <w:tr>
        <w:tc>
          <w:tcPr>
            <w:tcW w:type="dxa" w:w="567"/>
          </w:tcPr>
          <w:p>
            <w:pPr>
              <w:spacing w:after="40" w:before="40"/>
              <w:jc w:val="center"/>
            </w:pPr>
            <w:r/>
            <w:r>
              <w:rPr>
                <w:rFonts w:ascii="Calibri" w:hAnsi="Calibri"/>
                <w:b w:val="0"/>
                <w:sz w:val="17"/>
              </w:rPr>
              <w:t>3</w:t>
            </w:r>
          </w:p>
        </w:tc>
        <w:tc>
          <w:tcPr>
            <w:tcW w:type="dxa" w:w="5329"/>
          </w:tcPr>
          <w:p>
            <w:pPr>
              <w:spacing w:after="40" w:before="40"/>
            </w:pPr>
            <w:r/>
            <w:r>
              <w:rPr>
                <w:rFonts w:ascii="Calibri" w:hAnsi="Calibri"/>
                <w:b/>
                <w:sz w:val="17"/>
              </w:rPr>
              <w:t>No hay archivado de WAL.</w:t>
            </w:r>
            <w:r>
              <w:rPr>
                <w:rFonts w:ascii="Calibri" w:hAnsi="Calibri"/>
                <w:b w:val="0"/>
                <w:sz w:val="17"/>
              </w:rPr>
              <w:t xml:space="preserve"> Hoy no se puede recuperar a un punto en el tiempo; solo volver al último volcado completo.</w:t>
            </w:r>
          </w:p>
        </w:tc>
        <w:tc>
          <w:tcPr>
            <w:tcW w:type="dxa" w:w="6746"/>
          </w:tcPr>
          <w:p>
            <w:pPr>
              <w:spacing w:after="40" w:before="40"/>
            </w:pPr>
            <w:r/>
            <w:r>
              <w:rPr>
                <w:rFonts w:ascii="Calibri" w:hAnsi="Calibri"/>
                <w:b w:val="0"/>
                <w:sz w:val="17"/>
              </w:rPr>
              <w:t>Activar `archive_mode`, definir `archive_command` hacia almacenamiento de objetos y fijar `archive_timeout` en 5 minutos.</w:t>
            </w:r>
          </w:p>
        </w:tc>
        <w:tc>
          <w:tcPr>
            <w:tcW w:type="dxa" w:w="2494"/>
            <w:shd w:val="clear" w:color="auto" w:fill="F4CCCC"/>
          </w:tcPr>
          <w:p>
            <w:pPr>
              <w:spacing w:after="40" w:before="40"/>
              <w:jc w:val="center"/>
            </w:pPr>
            <w:r/>
            <w:r>
              <w:rPr>
                <w:rFonts w:ascii="Calibri" w:hAnsi="Calibri"/>
                <w:b/>
                <w:sz w:val="17"/>
              </w:rPr>
              <w:t>Sprint 2 — inmediato</w:t>
            </w:r>
          </w:p>
        </w:tc>
      </w:tr>
      <w:tr>
        <w:tc>
          <w:tcPr>
            <w:tcW w:type="dxa" w:w="567"/>
          </w:tcPr>
          <w:p>
            <w:pPr>
              <w:spacing w:after="40" w:before="40"/>
              <w:jc w:val="center"/>
            </w:pPr>
            <w:r/>
            <w:r>
              <w:rPr>
                <w:rFonts w:ascii="Calibri" w:hAnsi="Calibri"/>
                <w:b w:val="0"/>
                <w:sz w:val="17"/>
              </w:rPr>
              <w:t>3b</w:t>
            </w:r>
          </w:p>
        </w:tc>
        <w:tc>
          <w:tcPr>
            <w:tcW w:type="dxa" w:w="5329"/>
          </w:tcPr>
          <w:p>
            <w:pPr>
              <w:spacing w:after="40" w:before="40"/>
            </w:pPr>
            <w:r/>
            <w:r>
              <w:rPr>
                <w:rFonts w:ascii="Calibri" w:hAnsi="Calibri"/>
                <w:b/>
                <w:sz w:val="17"/>
              </w:rPr>
              <w:t>Nodo único, sin réplica y sin RAID.</w:t>
            </w:r>
            <w:r>
              <w:rPr>
                <w:rFonts w:ascii="Calibri" w:hAnsi="Calibri"/>
                <w:b w:val="0"/>
                <w:sz w:val="17"/>
              </w:rPr>
              <w:t xml:space="preserve"> El RPO real de hoy no es de minutos: es «todo lo ocurrido desde el último volcado». Un disco averiado para el banco.</w:t>
            </w:r>
          </w:p>
        </w:tc>
        <w:tc>
          <w:tcPr>
            <w:tcW w:type="dxa" w:w="6746"/>
          </w:tcPr>
          <w:p>
            <w:pPr>
              <w:spacing w:after="40" w:before="40"/>
            </w:pPr>
            <w:r/>
            <w:r>
              <w:rPr>
                <w:rFonts w:ascii="Calibri" w:hAnsi="Calibri"/>
                <w:b/>
                <w:sz w:val="17"/>
              </w:rPr>
              <w:t>Requisito de producto, no mejora opcional</w:t>
            </w:r>
            <w:r>
              <w:rPr>
                <w:rFonts w:ascii="Calibri" w:hAnsi="Calibri"/>
                <w:b w:val="0"/>
                <w:sz w:val="17"/>
              </w:rPr>
              <w:t>: réplica síncrona con conmutación automática y RAID 1/10 en todo nodo con datos. Entre tanto, y sin coste: Raspberry Pi como réplica asíncrona y segundo SSD en RAID 1.</w:t>
            </w:r>
          </w:p>
        </w:tc>
        <w:tc>
          <w:tcPr>
            <w:tcW w:type="dxa" w:w="2494"/>
          </w:tcPr>
          <w:p>
            <w:pPr>
              <w:spacing w:after="40" w:before="40"/>
              <w:jc w:val="center"/>
            </w:pPr>
            <w:r/>
            <w:r>
              <w:rPr>
                <w:rFonts w:ascii="Calibri" w:hAnsi="Calibri"/>
                <w:b w:val="0"/>
                <w:sz w:val="17"/>
              </w:rPr>
              <w:t>Sprint 3</w:t>
            </w:r>
          </w:p>
        </w:tc>
      </w:tr>
      <w:tr>
        <w:tc>
          <w:tcPr>
            <w:tcW w:type="dxa" w:w="567"/>
          </w:tcPr>
          <w:p>
            <w:pPr>
              <w:spacing w:after="40" w:before="40"/>
              <w:jc w:val="center"/>
            </w:pPr>
            <w:r/>
            <w:r>
              <w:rPr>
                <w:rFonts w:ascii="Calibri" w:hAnsi="Calibri"/>
                <w:b w:val="0"/>
                <w:sz w:val="17"/>
              </w:rPr>
              <w:t>3c</w:t>
            </w:r>
          </w:p>
        </w:tc>
        <w:tc>
          <w:tcPr>
            <w:tcW w:type="dxa" w:w="5329"/>
          </w:tcPr>
          <w:p>
            <w:pPr>
              <w:spacing w:after="40" w:before="40"/>
            </w:pPr>
            <w:r/>
            <w:r>
              <w:rPr>
                <w:rFonts w:ascii="Calibri" w:hAnsi="Calibri"/>
                <w:b/>
                <w:sz w:val="17"/>
              </w:rPr>
              <w:t>Oracle recortó el nivel gratuito ARM a la mitad el 15/06/2026</w:t>
            </w:r>
            <w:r>
              <w:rPr>
                <w:rFonts w:ascii="Calibri" w:hAnsi="Calibri"/>
                <w:b w:val="0"/>
                <w:sz w:val="17"/>
              </w:rPr>
              <w:t xml:space="preserve"> y termina las instancias que excedan el límite desde el 18/08/2026. La máquina de 4 vCPU y 24 GB que documentamos ya no se puede tener gratis: </w:t>
            </w:r>
            <w:r>
              <w:rPr>
                <w:rFonts w:ascii="Calibri" w:hAnsi="Calibri"/>
                <w:b/>
                <w:sz w:val="17"/>
              </w:rPr>
              <w:t>el riesgo R-10 se materializó</w:t>
            </w:r>
            <w:r>
              <w:rPr>
                <w:rFonts w:ascii="Calibri" w:hAnsi="Calibri"/>
                <w:b w:val="0"/>
                <w:sz w:val="17"/>
              </w:rPr>
              <w:t>.</w:t>
            </w:r>
          </w:p>
        </w:tc>
        <w:tc>
          <w:tcPr>
            <w:tcW w:type="dxa" w:w="6746"/>
          </w:tcPr>
          <w:p>
            <w:pPr>
              <w:spacing w:after="40" w:before="40"/>
            </w:pPr>
            <w:r/>
            <w:r>
              <w:rPr>
                <w:rFonts w:ascii="Calibri" w:hAnsi="Calibri"/>
                <w:b w:val="0"/>
                <w:sz w:val="17"/>
              </w:rPr>
              <w:t>Actualizar el documento de diseño y el diagrama de despliegue, elevar R-10 de riesgo a incidencia, y aprobar el gasto de ~S/ 275 al mes del apartado 6.3.</w:t>
            </w:r>
          </w:p>
        </w:tc>
        <w:tc>
          <w:tcPr>
            <w:tcW w:type="dxa" w:w="2494"/>
            <w:shd w:val="clear" w:color="auto" w:fill="F4CCCC"/>
          </w:tcPr>
          <w:p>
            <w:pPr>
              <w:spacing w:after="40" w:before="40"/>
              <w:jc w:val="center"/>
            </w:pPr>
            <w:r/>
            <w:r>
              <w:rPr>
                <w:rFonts w:ascii="Calibri" w:hAnsi="Calibri"/>
                <w:b/>
                <w:sz w:val="17"/>
              </w:rPr>
              <w:t>Inmediato</w:t>
            </w:r>
          </w:p>
        </w:tc>
      </w:tr>
      <w:tr>
        <w:tc>
          <w:tcPr>
            <w:tcW w:type="dxa" w:w="567"/>
          </w:tcPr>
          <w:p>
            <w:pPr>
              <w:spacing w:after="40" w:before="40"/>
              <w:jc w:val="center"/>
            </w:pPr>
            <w:r/>
            <w:r>
              <w:rPr>
                <w:rFonts w:ascii="Calibri" w:hAnsi="Calibri"/>
                <w:b w:val="0"/>
                <w:sz w:val="17"/>
              </w:rPr>
              <w:t>4</w:t>
            </w:r>
          </w:p>
        </w:tc>
        <w:tc>
          <w:tcPr>
            <w:tcW w:type="dxa" w:w="5329"/>
          </w:tcPr>
          <w:p>
            <w:pPr>
              <w:spacing w:after="40" w:before="40"/>
            </w:pPr>
            <w:r/>
            <w:r>
              <w:rPr>
                <w:rFonts w:ascii="Calibri" w:hAnsi="Calibri"/>
                <w:b/>
                <w:sz w:val="17"/>
              </w:rPr>
              <w:t>La premisa de 5 transacciones diarias excede lo observado.</w:t>
            </w:r>
            <w:r>
              <w:rPr>
                <w:rFonts w:ascii="Calibri" w:hAnsi="Calibri"/>
                <w:b w:val="0"/>
                <w:sz w:val="17"/>
              </w:rPr>
              <w:t xml:space="preserve"> El mejor análogo peruano —Yape, 66,49 al mes por usuario activo— da 2,19; el BCE, 2,00; el BCRP, 0,82.</w:t>
            </w:r>
          </w:p>
        </w:tc>
        <w:tc>
          <w:tcPr>
            <w:tcW w:type="dxa" w:w="6746"/>
          </w:tcPr>
          <w:p>
            <w:pPr>
              <w:spacing w:after="40" w:before="40"/>
            </w:pPr>
            <w:r/>
            <w:r>
              <w:rPr>
                <w:rFonts w:ascii="Calibri" w:hAnsi="Calibri"/>
                <w:b w:val="0"/>
                <w:sz w:val="17"/>
              </w:rPr>
              <w:t>Adoptar 2,19 como escenario de planificación y conservar 5,00 como prueba de estrés para las decisiones de capacidad.</w:t>
            </w:r>
          </w:p>
        </w:tc>
        <w:tc>
          <w:tcPr>
            <w:tcW w:type="dxa" w:w="2494"/>
          </w:tcPr>
          <w:p>
            <w:pPr>
              <w:spacing w:after="40" w:before="40"/>
              <w:jc w:val="center"/>
            </w:pPr>
            <w:r/>
            <w:r>
              <w:rPr>
                <w:rFonts w:ascii="Calibri" w:hAnsi="Calibri"/>
                <w:b w:val="0"/>
                <w:sz w:val="17"/>
              </w:rPr>
              <w:t>Aplicado ya</w:t>
            </w:r>
          </w:p>
        </w:tc>
      </w:tr>
      <w:tr>
        <w:tc>
          <w:tcPr>
            <w:tcW w:type="dxa" w:w="567"/>
          </w:tcPr>
          <w:p>
            <w:pPr>
              <w:spacing w:after="40" w:before="40"/>
              <w:jc w:val="center"/>
            </w:pPr>
            <w:r/>
            <w:r>
              <w:rPr>
                <w:rFonts w:ascii="Calibri" w:hAnsi="Calibri"/>
                <w:b w:val="0"/>
                <w:sz w:val="17"/>
              </w:rPr>
              <w:t>5</w:t>
            </w:r>
          </w:p>
        </w:tc>
        <w:tc>
          <w:tcPr>
            <w:tcW w:type="dxa" w:w="5329"/>
          </w:tcPr>
          <w:p>
            <w:pPr>
              <w:spacing w:after="40" w:before="40"/>
            </w:pPr>
            <w:r/>
            <w:r>
              <w:rPr>
                <w:rFonts w:ascii="Calibri" w:hAnsi="Calibri"/>
                <w:b/>
                <w:sz w:val="17"/>
              </w:rPr>
              <w:t>Los índices pesan el 84 % de los datos en `asiento`.</w:t>
            </w:r>
            <w:r>
              <w:rPr>
                <w:rFonts w:ascii="Calibri" w:hAnsi="Calibri"/>
                <w:b w:val="0"/>
                <w:sz w:val="17"/>
              </w:rPr>
              <w:t xml:space="preserve"> Cada índice de más se paga 4,37 millones de veces al día.</w:t>
            </w:r>
          </w:p>
        </w:tc>
        <w:tc>
          <w:tcPr>
            <w:tcW w:type="dxa" w:w="6746"/>
          </w:tcPr>
          <w:p>
            <w:pPr>
              <w:spacing w:after="40" w:before="40"/>
            </w:pPr>
            <w:r/>
            <w:r>
              <w:rPr>
                <w:rFonts w:ascii="Calibri" w:hAnsi="Calibri"/>
                <w:b w:val="0"/>
                <w:sz w:val="17"/>
              </w:rPr>
              <w:t>Crear solo los dos índices justificados en 4.3, evaluar BRIN para el devengo y medir el uso real con `pg_stat_user_indexes` antes de añadir ninguno más.</w:t>
            </w:r>
          </w:p>
        </w:tc>
        <w:tc>
          <w:tcPr>
            <w:tcW w:type="dxa" w:w="2494"/>
          </w:tcPr>
          <w:p>
            <w:pPr>
              <w:spacing w:after="40" w:before="40"/>
              <w:jc w:val="center"/>
            </w:pPr>
            <w:r/>
            <w:r>
              <w:rPr>
                <w:rFonts w:ascii="Calibri" w:hAnsi="Calibri"/>
                <w:b w:val="0"/>
                <w:sz w:val="17"/>
              </w:rPr>
              <w:t>Sprint 3</w:t>
            </w:r>
          </w:p>
        </w:tc>
      </w:tr>
      <w:tr>
        <w:tc>
          <w:tcPr>
            <w:tcW w:type="dxa" w:w="567"/>
          </w:tcPr>
          <w:p>
            <w:pPr>
              <w:spacing w:after="40" w:before="40"/>
              <w:jc w:val="center"/>
            </w:pPr>
            <w:r/>
            <w:r>
              <w:rPr>
                <w:rFonts w:ascii="Calibri" w:hAnsi="Calibri"/>
                <w:b w:val="0"/>
                <w:sz w:val="17"/>
              </w:rPr>
              <w:t>6</w:t>
            </w:r>
          </w:p>
        </w:tc>
        <w:tc>
          <w:tcPr>
            <w:tcW w:type="dxa" w:w="5329"/>
            <w:shd w:val="clear" w:color="auto" w:fill="D9EAD3"/>
          </w:tcPr>
          <w:p>
            <w:pPr>
              <w:spacing w:after="40" w:before="40"/>
            </w:pPr>
            <w:r/>
            <w:r>
              <w:rPr>
                <w:rFonts w:ascii="Calibri" w:hAnsi="Calibri"/>
                <w:b/>
                <w:sz w:val="17"/>
              </w:rPr>
              <w:t>El pool y el ORM están bien dimensionados.</w:t>
            </w:r>
            <w:r>
              <w:rPr>
                <w:rFonts w:ascii="Calibri" w:hAnsi="Calibri"/>
                <w:b w:val="0"/>
                <w:sz w:val="17"/>
              </w:rPr>
              <w:t xml:space="preserve"> 10 conexiones por servicio sobran para un pico de 506 inserciones/s, y `open-in-view: false` evita el bloqueo que habría causado el valor por omisión.</w:t>
            </w:r>
          </w:p>
        </w:tc>
        <w:tc>
          <w:tcPr>
            <w:tcW w:type="dxa" w:w="6746"/>
          </w:tcPr>
          <w:p>
            <w:pPr>
              <w:spacing w:after="40" w:before="40"/>
            </w:pPr>
            <w:r/>
            <w:r>
              <w:rPr>
                <w:rFonts w:ascii="Calibri" w:hAnsi="Calibri"/>
                <w:b w:val="0"/>
                <w:sz w:val="17"/>
              </w:rPr>
              <w:t>No tocar. Se documenta la justificación cuantitativa para que no se cambie sin motivo.</w:t>
            </w:r>
          </w:p>
        </w:tc>
        <w:tc>
          <w:tcPr>
            <w:tcW w:type="dxa" w:w="2494"/>
          </w:tcPr>
          <w:p>
            <w:pPr>
              <w:spacing w:after="40" w:before="40"/>
              <w:jc w:val="center"/>
            </w:pPr>
            <w:r/>
            <w:r>
              <w:rPr>
                <w:rFonts w:ascii="Calibri" w:hAnsi="Calibri"/>
                <w:b w:val="0"/>
                <w:sz w:val="17"/>
              </w:rPr>
              <w:t>—</w:t>
            </w:r>
          </w:p>
        </w:tc>
      </w:tr>
    </w:tbl>
    <w:p>
      <w:pPr>
        <w:spacing w:after="160"/>
        <w:jc w:val="both"/>
      </w:pPr>
      <w:r>
        <w:rPr>
          <w:rFonts w:ascii="Calibri" w:hAnsi="Calibri"/>
          <w:b/>
          <w:sz w:val="20"/>
        </w:rPr>
        <w:t>Respuesta a la metacognición de la sesión 12</w:t>
      </w:r>
      <w:r>
        <w:rPr>
          <w:rFonts w:ascii="Calibri" w:hAnsi="Calibri"/>
          <w:b w:val="0"/>
          <w:sz w:val="20"/>
        </w:rPr>
        <w:t xml:space="preserve"> —«¿qué impacto tiene un mal diseño de base de datos en el rendimiento del front-end?»—. El informe WPO de la semana 5 dejó la landing en 94 sobre 100, con un LCP cuyo 86 % era retraso de renderizado. Esa landing es estática y no toca la base de datos. </w:t>
      </w:r>
      <w:r>
        <w:rPr>
          <w:rFonts w:ascii="Calibri" w:hAnsi="Calibri"/>
          <w:b/>
          <w:sz w:val="20"/>
        </w:rPr>
        <w:t>El panel del cliente sí.</w:t>
      </w:r>
      <w:r>
        <w:rPr>
          <w:rFonts w:ascii="Calibri" w:hAnsi="Calibri"/>
          <w:b w:val="0"/>
          <w:sz w:val="20"/>
        </w:rPr>
        <w:t xml:space="preserve"> Sin `ix_asiento_cuenta`, el extracto obligaría a recorrer 1 596 millones de filas y ninguna optimización de imágenes, fuentes o JavaScript rescataría esa pantalla: el navegador estaría esperando el primer byte. Es el punto de la sesión 11 —</w:t>
      </w:r>
      <w:r>
        <w:rPr>
          <w:rFonts w:ascii="Calibri" w:hAnsi="Calibri"/>
          <w:b/>
          <w:sz w:val="20"/>
        </w:rPr>
        <w:t>el rendimiento empieza en el diseño</w:t>
      </w:r>
      <w:r>
        <w:rPr>
          <w:rFonts w:ascii="Calibri" w:hAnsi="Calibri"/>
          <w:b w:val="0"/>
          <w:sz w:val="20"/>
        </w:rPr>
        <w:t>— y explica por qué el trabajo de WPO y el de base de datos son el mismo trabajo mirado desde dos extremos.</w:t>
      </w:r>
    </w:p>
    <w:p>
      <w:pPr>
        <w:spacing w:before="360" w:after="120"/>
        <w:pBdr>
          <w:bottom w:val="single" w:sz="12" w:space="4" w:color="064475"/>
        </w:pBdr>
      </w:pPr>
      <w:r>
        <w:rPr>
          <w:rFonts w:ascii="Calibri" w:hAnsi="Calibri"/>
          <w:b/>
          <w:color w:val="064475"/>
          <w:sz w:val="30"/>
        </w:rPr>
        <w:t>8.  Referencias</w:t>
      </w:r>
    </w:p>
    <w:p>
      <w:pPr>
        <w:spacing w:after="100"/>
        <w:ind w:left="454" w:hanging="454"/>
        <w:jc w:val="both"/>
      </w:pPr>
      <w:r>
        <w:rPr>
          <w:rFonts w:ascii="Calibri" w:hAnsi="Calibri"/>
          <w:b w:val="0"/>
          <w:sz w:val="19"/>
        </w:rPr>
        <w:t>Banco Central de Reserva del Perú (2025). *Panorama regional de pagos minoristas*. Curso de Sistemas de Pagos 2025. Recuperado de bcrp.gob.pe</w:t>
      </w:r>
    </w:p>
    <w:p>
      <w:pPr>
        <w:spacing w:after="100"/>
        <w:ind w:left="454" w:hanging="454"/>
        <w:jc w:val="both"/>
      </w:pPr>
      <w:r>
        <w:rPr>
          <w:rFonts w:ascii="Calibri" w:hAnsi="Calibri"/>
          <w:b w:val="0"/>
          <w:sz w:val="19"/>
        </w:rPr>
        <w:t>Banco Central de Reserva del Perú (2025). *Billeteras digitales*. Revista Moneda n.º 201, marzo de 2025.</w:t>
      </w:r>
    </w:p>
    <w:p>
      <w:pPr>
        <w:spacing w:after="100"/>
        <w:ind w:left="454" w:hanging="454"/>
        <w:jc w:val="both"/>
      </w:pPr>
      <w:r>
        <w:rPr>
          <w:rFonts w:ascii="Calibri" w:hAnsi="Calibri"/>
          <w:b w:val="0"/>
          <w:sz w:val="19"/>
        </w:rPr>
        <w:t>Banco Central Europeo. *Market Research on Potential Technical Approaches for a Digital Euro*. Recuperado de ecb.europa.eu</w:t>
      </w:r>
    </w:p>
    <w:p>
      <w:pPr>
        <w:spacing w:after="100"/>
        <w:ind w:left="454" w:hanging="454"/>
        <w:jc w:val="both"/>
      </w:pPr>
      <w:r>
        <w:rPr>
          <w:rFonts w:ascii="Calibri" w:hAnsi="Calibri"/>
          <w:b w:val="0"/>
          <w:sz w:val="19"/>
        </w:rPr>
        <w:t>Bank for International Settlements — CPMI. *Red Book statistics*, tabla CT5: número medio de pagos sin efectivo por habitante. Recuperado de stats.bis.org</w:t>
      </w:r>
    </w:p>
    <w:p>
      <w:pPr>
        <w:spacing w:after="100"/>
        <w:ind w:left="454" w:hanging="454"/>
        <w:jc w:val="both"/>
      </w:pPr>
      <w:r>
        <w:rPr>
          <w:rFonts w:ascii="Calibri" w:hAnsi="Calibri"/>
          <w:b w:val="0"/>
          <w:sz w:val="19"/>
        </w:rPr>
        <w:t>PostgreSQL Global Development Group (2026). *PostgreSQL 16 Documentation*: capítulos 11 (Indexes), 5.12 (Table Partitioning), 21 (Database Roles) y 26 (Backup and Restore).</w:t>
      </w:r>
    </w:p>
    <w:p>
      <w:pPr>
        <w:spacing w:after="100"/>
        <w:ind w:left="454" w:hanging="454"/>
        <w:jc w:val="both"/>
      </w:pPr>
      <w:r>
        <w:rPr>
          <w:rFonts w:ascii="Calibri" w:hAnsi="Calibri"/>
          <w:b w:val="0"/>
          <w:sz w:val="19"/>
        </w:rPr>
        <w:t>Ayni Bank. *Documento de diseño base* y registros de decisión arquitectónica ADR-0001, ADR-0003, ADR-0004, ADR-0008, ADR-0010 y ADR-0011. Repositorio `LOAD-13/ayni-bank`.</w:t>
      </w:r>
    </w:p>
    <w:p>
      <w:pPr>
        <w:spacing w:after="100"/>
        <w:ind w:left="454" w:hanging="454"/>
        <w:jc w:val="both"/>
      </w:pPr>
      <w:r>
        <w:rPr>
          <w:rFonts w:ascii="Calibri" w:hAnsi="Calibri"/>
          <w:b w:val="0"/>
          <w:sz w:val="19"/>
        </w:rPr>
        <w:t>Ayni Bank (2026). *Reporte WPO — Optimización del rendimiento web*. Entregable de la semana 5.</w:t>
      </w:r>
    </w:p>
    <w:p>
      <w:pPr>
        <w:spacing w:before="360" w:after="120"/>
        <w:pBdr>
          <w:bottom w:val="single" w:sz="12" w:space="4" w:color="064475"/>
        </w:pBdr>
      </w:pPr>
      <w:r>
        <w:rPr>
          <w:rFonts w:ascii="Calibri" w:hAnsi="Calibri"/>
          <w:b/>
          <w:color w:val="064475"/>
          <w:sz w:val="30"/>
        </w:rPr>
        <w:t>Anexo · Ficheros que acompañan a este informe</w:t>
      </w:r>
    </w:p>
    <w:p>
      <w:pPr>
        <w:spacing w:after="160"/>
        <w:jc w:val="both"/>
      </w:pPr>
      <w:r>
        <w:rPr>
          <w:rFonts w:ascii="Calibri" w:hAnsi="Calibri"/>
          <w:b w:val="0"/>
          <w:sz w:val="20"/>
        </w:rPr>
        <w:t>Todo lo que afirma este documento es reproducible. Estos son los ficheros que lo permiten, y para qué sirve cada uno:</w:t>
      </w:r>
    </w:p>
    <w:tbl>
      <w:tblPr>
        <w:tblStyle w:val="TableGrid"/>
        <w:tblW w:type="auto" w:w="0"/>
        <w:tblLook w:firstColumn="1" w:firstRow="1" w:lastColumn="0" w:lastRow="0" w:noHBand="0" w:noVBand="1" w:val="04A0"/>
      </w:tblPr>
      <w:tblGrid>
        <w:gridCol w:w="5046"/>
        <w:gridCol w:w="5046"/>
        <w:gridCol w:w="5046"/>
      </w:tblGrid>
      <w:tr>
        <w:tc>
          <w:tcPr>
            <w:tcW w:type="dxa" w:w="2835"/>
            <w:shd w:val="clear" w:color="auto" w:fill="064475"/>
          </w:tcPr>
          <w:p>
            <w:pPr>
              <w:spacing w:after="40" w:before="40"/>
            </w:pPr>
            <w:r/>
            <w:r>
              <w:rPr>
                <w:rFonts w:ascii="Calibri" w:hAnsi="Calibri"/>
                <w:b/>
                <w:color w:val="FFFFFF"/>
                <w:sz w:val="17"/>
              </w:rPr>
              <w:t>Fichero</w:t>
            </w:r>
          </w:p>
        </w:tc>
        <w:tc>
          <w:tcPr>
            <w:tcW w:type="dxa" w:w="5896"/>
            <w:shd w:val="clear" w:color="auto" w:fill="064475"/>
          </w:tcPr>
          <w:p>
            <w:pPr>
              <w:spacing w:after="40" w:before="40"/>
            </w:pPr>
            <w:r/>
            <w:r>
              <w:rPr>
                <w:rFonts w:ascii="Calibri" w:hAnsi="Calibri"/>
                <w:b/>
                <w:color w:val="FFFFFF"/>
                <w:sz w:val="17"/>
              </w:rPr>
              <w:t>Qué es</w:t>
            </w:r>
          </w:p>
        </w:tc>
        <w:tc>
          <w:tcPr>
            <w:tcW w:type="dxa" w:w="6406"/>
            <w:shd w:val="clear" w:color="auto" w:fill="064475"/>
          </w:tcPr>
          <w:p>
            <w:pPr>
              <w:spacing w:after="40" w:before="40"/>
            </w:pPr>
            <w:r/>
            <w:r>
              <w:rPr>
                <w:rFonts w:ascii="Calibri" w:hAnsi="Calibri"/>
                <w:b/>
                <w:color w:val="FFFFFF"/>
                <w:sz w:val="17"/>
              </w:rPr>
              <w:t>Cómo se usa</w:t>
            </w:r>
          </w:p>
        </w:tc>
      </w:tr>
      <w:tr>
        <w:tc>
          <w:tcPr>
            <w:tcW w:type="dxa" w:w="2835"/>
          </w:tcPr>
          <w:p>
            <w:pPr>
              <w:spacing w:after="40" w:before="40"/>
            </w:pPr>
            <w:r/>
            <w:r>
              <w:rPr>
                <w:rFonts w:ascii="Calibri" w:hAnsi="Calibri"/>
                <w:b w:val="0"/>
                <w:sz w:val="17"/>
              </w:rPr>
              <w:t>`export_catalogo.sql`</w:t>
            </w:r>
          </w:p>
        </w:tc>
        <w:tc>
          <w:tcPr>
            <w:tcW w:type="dxa" w:w="5896"/>
          </w:tcPr>
          <w:p>
            <w:pPr>
              <w:spacing w:after="40" w:before="40"/>
            </w:pPr>
            <w:r/>
            <w:r>
              <w:rPr>
                <w:rFonts w:ascii="Calibri" w:hAnsi="Calibri"/>
                <w:b/>
                <w:sz w:val="17"/>
              </w:rPr>
              <w:t>Consulta de lectura.</w:t>
            </w:r>
            <w:r>
              <w:rPr>
                <w:rFonts w:ascii="Calibri" w:hAnsi="Calibri"/>
                <w:b w:val="0"/>
                <w:sz w:val="17"/>
              </w:rPr>
              <w:t xml:space="preserve"> Interroga `information_schema` y `pg_catalog` y produce el inventario: tablas, columnas, claves primarias, foráneas, restricciones, índices y roles.</w:t>
            </w:r>
          </w:p>
        </w:tc>
        <w:tc>
          <w:tcPr>
            <w:tcW w:type="dxa" w:w="6406"/>
          </w:tcPr>
          <w:p>
            <w:pPr>
              <w:spacing w:after="40" w:before="40"/>
            </w:pPr>
            <w:r/>
            <w:r>
              <w:rPr>
                <w:rFonts w:ascii="Calibri" w:hAnsi="Calibri"/>
                <w:b w:val="0"/>
                <w:sz w:val="17"/>
              </w:rPr>
              <w:t xml:space="preserve">`docker exec ayni-postgres psql -U ayni_app -d ayni -f export_catalogo.sql`. </w:t>
            </w:r>
            <w:r>
              <w:rPr>
                <w:rFonts w:ascii="Calibri" w:hAnsi="Calibri"/>
                <w:b/>
                <w:sz w:val="17"/>
              </w:rPr>
              <w:t>No modifica nada.</w:t>
            </w:r>
          </w:p>
        </w:tc>
      </w:tr>
      <w:tr>
        <w:tc>
          <w:tcPr>
            <w:tcW w:type="dxa" w:w="2835"/>
          </w:tcPr>
          <w:p>
            <w:pPr>
              <w:spacing w:after="40" w:before="40"/>
            </w:pPr>
            <w:r/>
            <w:r>
              <w:rPr>
                <w:rFonts w:ascii="Calibri" w:hAnsi="Calibri"/>
                <w:b w:val="0"/>
                <w:sz w:val="17"/>
              </w:rPr>
              <w:t>`catalogo-fisico.txt`</w:t>
            </w:r>
          </w:p>
        </w:tc>
        <w:tc>
          <w:tcPr>
            <w:tcW w:type="dxa" w:w="5896"/>
          </w:tcPr>
          <w:p>
            <w:pPr>
              <w:spacing w:after="40" w:before="40"/>
            </w:pPr>
            <w:r/>
            <w:r>
              <w:rPr>
                <w:rFonts w:ascii="Calibri" w:hAnsi="Calibri"/>
                <w:b/>
                <w:sz w:val="17"/>
              </w:rPr>
              <w:t>La salida del anterior.</w:t>
            </w:r>
            <w:r>
              <w:rPr>
                <w:rFonts w:ascii="Calibri" w:hAnsi="Calibri"/>
                <w:b w:val="0"/>
                <w:sz w:val="17"/>
              </w:rPr>
              <w:t xml:space="preserve"> Es la exportación que pidió el docente: las 20 tablas, 135 columnas, 20 claves primarias, 12 foráneas, las restricciones CHECK y UNIQUE y los 44 índices.</w:t>
            </w:r>
          </w:p>
        </w:tc>
        <w:tc>
          <w:tcPr>
            <w:tcW w:type="dxa" w:w="6406"/>
          </w:tcPr>
          <w:p>
            <w:pPr>
              <w:spacing w:after="40" w:before="40"/>
            </w:pPr>
            <w:r/>
            <w:r>
              <w:rPr>
                <w:rFonts w:ascii="Calibri" w:hAnsi="Calibri"/>
                <w:b w:val="0"/>
                <w:sz w:val="17"/>
              </w:rPr>
              <w:t>Se lee tal cual. Es la prueba de que el diagrama y las tablas de este informe no están escritos a mano.</w:t>
            </w:r>
          </w:p>
        </w:tc>
      </w:tr>
      <w:tr>
        <w:tc>
          <w:tcPr>
            <w:tcW w:type="dxa" w:w="2835"/>
          </w:tcPr>
          <w:p>
            <w:pPr>
              <w:spacing w:after="40" w:before="40"/>
            </w:pPr>
            <w:r/>
            <w:r>
              <w:rPr>
                <w:rFonts w:ascii="Calibri" w:hAnsi="Calibri"/>
                <w:b w:val="0"/>
                <w:sz w:val="17"/>
              </w:rPr>
              <w:t>`volumetria.sql`</w:t>
            </w:r>
          </w:p>
        </w:tc>
        <w:tc>
          <w:tcPr>
            <w:tcW w:type="dxa" w:w="5896"/>
          </w:tcPr>
          <w:p>
            <w:pPr>
              <w:spacing w:after="40" w:before="40"/>
            </w:pPr>
            <w:r/>
            <w:r>
              <w:rPr>
                <w:rFonts w:ascii="Calibri" w:hAnsi="Calibri"/>
                <w:b/>
                <w:sz w:val="17"/>
              </w:rPr>
              <w:t>Banco de pruebas.</w:t>
            </w:r>
            <w:r>
              <w:rPr>
                <w:rFonts w:ascii="Calibri" w:hAnsi="Calibri"/>
                <w:b w:val="0"/>
                <w:sz w:val="17"/>
              </w:rPr>
              <w:t xml:space="preserve"> Crea un schema aparte, replica las cuatro tablas de mayor rotación con sus índices, carga 1 100 000 filas y mide los bytes reales por fila.</w:t>
            </w:r>
          </w:p>
        </w:tc>
        <w:tc>
          <w:tcPr>
            <w:tcW w:type="dxa" w:w="6406"/>
          </w:tcPr>
          <w:p>
            <w:pPr>
              <w:spacing w:after="40" w:before="40"/>
            </w:pPr>
            <w:r/>
            <w:r>
              <w:rPr>
                <w:rFonts w:ascii="Calibri" w:hAnsi="Calibri"/>
                <w:b w:val="0"/>
                <w:sz w:val="17"/>
              </w:rPr>
              <w:t xml:space="preserve">Se ejecutó sobre una base de datos </w:t>
            </w:r>
            <w:r>
              <w:rPr>
                <w:rFonts w:ascii="Calibri" w:hAnsi="Calibri"/>
                <w:b/>
                <w:sz w:val="17"/>
              </w:rPr>
              <w:t>separada</w:t>
            </w:r>
            <w:r>
              <w:rPr>
                <w:rFonts w:ascii="Calibri" w:hAnsi="Calibri"/>
                <w:b w:val="0"/>
                <w:sz w:val="17"/>
              </w:rPr>
              <w:t xml:space="preserve"> que se eliminó al terminar. No toca los datos del proyecto. De aquí salen los 289,5 bytes por asiento.</w:t>
            </w:r>
          </w:p>
        </w:tc>
      </w:tr>
      <w:tr>
        <w:tc>
          <w:tcPr>
            <w:tcW w:type="dxa" w:w="2835"/>
          </w:tcPr>
          <w:p>
            <w:pPr>
              <w:spacing w:after="40" w:before="40"/>
            </w:pPr>
            <w:r/>
            <w:r>
              <w:rPr>
                <w:rFonts w:ascii="Calibri" w:hAnsi="Calibri"/>
                <w:b w:val="0"/>
                <w:sz w:val="17"/>
              </w:rPr>
              <w:t>`calculo.py`</w:t>
            </w:r>
          </w:p>
        </w:tc>
        <w:tc>
          <w:tcPr>
            <w:tcW w:type="dxa" w:w="5896"/>
          </w:tcPr>
          <w:p>
            <w:pPr>
              <w:spacing w:after="40" w:before="40"/>
            </w:pPr>
            <w:r/>
            <w:r>
              <w:rPr>
                <w:rFonts w:ascii="Calibri" w:hAnsi="Calibri"/>
                <w:b/>
                <w:sz w:val="17"/>
              </w:rPr>
              <w:t>La extrapolación.</w:t>
            </w:r>
            <w:r>
              <w:rPr>
                <w:rFonts w:ascii="Calibri" w:hAnsi="Calibri"/>
                <w:b w:val="0"/>
                <w:sz w:val="17"/>
              </w:rPr>
              <w:t xml:space="preserve"> Toma los bytes medidos y proyecta los tres escenarios del apartado 3.3: filas al día, inserciones por segundo, GiB al año y días hasta llenar el disco.</w:t>
            </w:r>
          </w:p>
        </w:tc>
        <w:tc>
          <w:tcPr>
            <w:tcW w:type="dxa" w:w="6406"/>
          </w:tcPr>
          <w:p>
            <w:pPr>
              <w:spacing w:after="40" w:before="40"/>
            </w:pPr>
            <w:r/>
            <w:r>
              <w:rPr>
                <w:rFonts w:ascii="Calibri" w:hAnsi="Calibri"/>
                <w:b w:val="0"/>
                <w:sz w:val="17"/>
              </w:rPr>
              <w:t>`python calculo.py`. Cambiando el diccionario `ESCENARIOS` se recalcula todo con otra premisa de transacciones diarias.</w:t>
            </w:r>
          </w:p>
        </w:tc>
      </w:tr>
      <w:tr>
        <w:tc>
          <w:tcPr>
            <w:tcW w:type="dxa" w:w="2835"/>
          </w:tcPr>
          <w:p>
            <w:pPr>
              <w:spacing w:after="40" w:before="40"/>
            </w:pPr>
            <w:r/>
            <w:r>
              <w:rPr>
                <w:rFonts w:ascii="Calibri" w:hAnsi="Calibri"/>
                <w:b w:val="0"/>
                <w:sz w:val="17"/>
              </w:rPr>
              <w:t>`erd.html`</w:t>
            </w:r>
          </w:p>
        </w:tc>
        <w:tc>
          <w:tcPr>
            <w:tcW w:type="dxa" w:w="5896"/>
          </w:tcPr>
          <w:p>
            <w:pPr>
              <w:spacing w:after="40" w:before="40"/>
            </w:pPr>
            <w:r/>
            <w:r>
              <w:rPr>
                <w:rFonts w:ascii="Calibri" w:hAnsi="Calibri"/>
                <w:b/>
                <w:sz w:val="17"/>
              </w:rPr>
              <w:t>Diagrama entidad-relación interactivo.</w:t>
            </w:r>
            <w:r>
              <w:rPr>
                <w:rFonts w:ascii="Calibri" w:hAnsi="Calibri"/>
                <w:b w:val="0"/>
                <w:sz w:val="17"/>
              </w:rPr>
              <w:t xml:space="preserve"> Autocontenido, sin dependencias externas: se abre con doble clic en cualquier navegador.</w:t>
            </w:r>
          </w:p>
        </w:tc>
        <w:tc>
          <w:tcPr>
            <w:tcW w:type="dxa" w:w="6406"/>
          </w:tcPr>
          <w:p>
            <w:pPr>
              <w:spacing w:after="40" w:before="40"/>
            </w:pPr>
            <w:r/>
            <w:r>
              <w:rPr>
                <w:rFonts w:ascii="Calibri" w:hAnsi="Calibri"/>
                <w:b w:val="0"/>
                <w:sz w:val="17"/>
              </w:rPr>
              <w:t>Arrastrar entidades, clic para aislar las relaciones de una tabla, filtros por tráfico y por schema, búsqueda por columna y modo «solo claves».</w:t>
            </w:r>
          </w:p>
        </w:tc>
      </w:tr>
      <w:tr>
        <w:tc>
          <w:tcPr>
            <w:tcW w:type="dxa" w:w="2835"/>
          </w:tcPr>
          <w:p>
            <w:pPr>
              <w:spacing w:after="40" w:before="40"/>
            </w:pPr>
            <w:r/>
            <w:r>
              <w:rPr>
                <w:rFonts w:ascii="Calibri" w:hAnsi="Calibri"/>
                <w:b w:val="0"/>
                <w:sz w:val="17"/>
              </w:rPr>
              <w:t>`ayni-bank.dbml`</w:t>
            </w:r>
          </w:p>
        </w:tc>
        <w:tc>
          <w:tcPr>
            <w:tcW w:type="dxa" w:w="5896"/>
          </w:tcPr>
          <w:p>
            <w:pPr>
              <w:spacing w:after="40" w:before="40"/>
            </w:pPr>
            <w:r/>
            <w:r>
              <w:rPr>
                <w:rFonts w:ascii="Calibri" w:hAnsi="Calibri"/>
                <w:b/>
                <w:sz w:val="17"/>
              </w:rPr>
              <w:t>El mismo modelo en formato DBML</w:t>
            </w:r>
            <w:r>
              <w:rPr>
                <w:rFonts w:ascii="Calibri" w:hAnsi="Calibri"/>
                <w:b w:val="0"/>
                <w:sz w:val="17"/>
              </w:rPr>
              <w:t>, el estándar que usa dbdiagram.io.</w:t>
            </w:r>
          </w:p>
        </w:tc>
        <w:tc>
          <w:tcPr>
            <w:tcW w:type="dxa" w:w="6406"/>
          </w:tcPr>
          <w:p>
            <w:pPr>
              <w:spacing w:after="40" w:before="40"/>
            </w:pPr>
            <w:r/>
            <w:r>
              <w:rPr>
                <w:rFonts w:ascii="Calibri" w:hAnsi="Calibri"/>
                <w:b w:val="0"/>
                <w:sz w:val="17"/>
              </w:rPr>
              <w:t>Se pega en `dbdiagram.io` para obtener el diagrama con disposición automática y exportarlo. Al ser texto, se versiona en el repositorio y el cambio de esquema se ve en el *diff*.</w:t>
            </w:r>
          </w:p>
        </w:tc>
      </w:tr>
      <w:tr>
        <w:tc>
          <w:tcPr>
            <w:tcW w:type="dxa" w:w="2835"/>
          </w:tcPr>
          <w:p>
            <w:pPr>
              <w:spacing w:after="40" w:before="40"/>
            </w:pPr>
            <w:r/>
            <w:r>
              <w:rPr>
                <w:rFonts w:ascii="Calibri" w:hAnsi="Calibri"/>
                <w:b w:val="0"/>
                <w:sz w:val="17"/>
              </w:rPr>
              <w:t>`modelo-de-datos.md`</w:t>
            </w:r>
          </w:p>
        </w:tc>
        <w:tc>
          <w:tcPr>
            <w:tcW w:type="dxa" w:w="5896"/>
          </w:tcPr>
          <w:p>
            <w:pPr>
              <w:spacing w:after="40" w:before="40"/>
            </w:pPr>
            <w:r/>
            <w:r>
              <w:rPr>
                <w:rFonts w:ascii="Calibri" w:hAnsi="Calibri"/>
                <w:b/>
                <w:sz w:val="17"/>
              </w:rPr>
              <w:t>Documento técnico para el equipo</w:t>
            </w:r>
            <w:r>
              <w:rPr>
                <w:rFonts w:ascii="Calibri" w:hAnsi="Calibri"/>
                <w:b w:val="0"/>
                <w:sz w:val="17"/>
              </w:rPr>
              <w:t>, dentro del repositorio: la partida doble, por qué el saldo no se guarda, la idempotencia y el Outbox, explicados con ejemplos.</w:t>
            </w:r>
          </w:p>
        </w:tc>
        <w:tc>
          <w:tcPr>
            <w:tcW w:type="dxa" w:w="6406"/>
          </w:tcPr>
          <w:p>
            <w:pPr>
              <w:spacing w:after="40" w:before="40"/>
            </w:pPr>
            <w:r/>
            <w:r>
              <w:rPr>
                <w:rFonts w:ascii="Calibri" w:hAnsi="Calibri"/>
                <w:b w:val="0"/>
                <w:sz w:val="17"/>
              </w:rPr>
              <w:t>`docs/arquitectura/modelo-de-datos.md`. Lectura obligada antes de tocar el schema `core`.</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