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 w:val="0"/>
          <w:color w:val="064475"/>
          <w:sz w:val="36"/>
        </w:rPr>
        <w:t>AYNI BANK · Guion de sustentación del APF2</w:t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A4A4A"/>
          <w:sz w:val="20"/>
        </w:rPr>
        <w:t xml:space="preserve">Grupo 01 · seis expositores · </w:t>
      </w:r>
      <w:r>
        <w:rPr>
          <w:rFonts w:ascii="Calibri" w:hAnsi="Calibri"/>
          <w:b/>
          <w:color w:val="4A4A4A"/>
          <w:sz w:val="20"/>
        </w:rPr>
        <w:t>15 minutos</w:t>
      </w:r>
      <w:r>
        <w:rPr>
          <w:rFonts w:ascii="Calibri" w:hAnsi="Calibri"/>
          <w:b w:val="0"/>
          <w:color w:val="4A4A4A"/>
          <w:sz w:val="20"/>
        </w:rPr>
        <w:t xml:space="preserve"> · se expone sobre el informe en Word, en el orden de sus capítulos, y se termina con el sistema funcionando en la nube</w:t>
      </w:r>
    </w:p>
    <w:p>
      <w:pPr>
        <w:spacing w:before="0" w:after="80"/>
      </w:pPr>
      <w:r>
        <w:rPr>
          <w:rFonts w:ascii="Calibri" w:hAnsi="Calibri"/>
          <w:b/>
          <w:sz w:val="19"/>
        </w:rPr>
        <w:t>Cómo se usa.</w:t>
      </w:r>
      <w:r>
        <w:rPr>
          <w:rFonts w:ascii="Calibri" w:hAnsi="Calibri"/>
          <w:b w:val="0"/>
          <w:sz w:val="19"/>
        </w:rPr>
        <w:t xml:space="preserve"> La columna izquierda dice a qué parte del informe hay que ir: sirve tanto a quien expone como a quien mueve el documento. La derecha es lo que se dice en voz alta; lo que está en negrita es lo que no puede faltar. Cada turno da paso al siguiente con su última frase.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Turno</w:t>
            </w:r>
          </w:p>
        </w:tc>
        <w:tc>
          <w:tcPr>
            <w:tcW w:type="dxa" w:w="2523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Expositor</w:t>
            </w:r>
          </w:p>
        </w:tc>
        <w:tc>
          <w:tcPr>
            <w:tcW w:type="dxa" w:w="2523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Bloque del informe</w:t>
            </w:r>
          </w:p>
        </w:tc>
        <w:tc>
          <w:tcPr>
            <w:tcW w:type="dxa" w:w="2523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Kiara Santti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Introducción y cap. 1 · Levantamiento de observaciones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0:00 – 2:30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Gerardo Socualaya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Cap. 2.1–2.2 · Administración, replicación y diseño físico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2:30 – 5:00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Frank Sotomayor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Cap. 2.3–2.4 · Patrón de acceso, secuencia y DDL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5:00 – 7:00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Eduardo Vargas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Cap. 3.1–3.2 · Autenticación, autorización y cifrado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7:00 – 9:00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Fabián García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Cap. 3.3–3.4 y 4.1 · Pruebas de seguridad, controles y plan de pruebas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9:00 – 11:00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Joaquín Loa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Cap. 4.2–4.4, 5 y 7 · Despliegue, monitoreo, validación y cierre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/>
                <w:b w:val="0"/>
                <w:sz w:val="18"/>
              </w:rPr>
              <w:t>11:00 – 15:00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1   ·   KIARA SANTTI    </w:t>
      </w:r>
      <w:r>
        <w:rPr>
          <w:color w:val="C59E41"/>
          <w:sz w:val="20"/>
        </w:rPr>
        <w:t>Introducción y levantamiento de observaciones    ·    0:00 – 2:30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Carátula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Buenas tardes, profesor. Somos el grupo uno y presentamos el segundo avance de Ayni Bank, una banca cien por ciento digital. La pregunta de este avance es si el sistema </w:t>
            </w:r>
            <w:r>
              <w:rPr>
                <w:rFonts w:ascii="Calibri" w:hAnsi="Calibri"/>
                <w:b/>
                <w:sz w:val="19"/>
              </w:rPr>
              <w:t>funciona de verdad, en la nube, con su base de datos y protegido</w:t>
            </w:r>
            <w:r>
              <w:rPr>
                <w:rFonts w:ascii="Calibri" w:hAnsi="Calibri"/>
                <w:b w:val="0"/>
                <w:sz w:val="19"/>
              </w:rPr>
              <w:t>. La respuesta es sí, y al final lo verá en vivo.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Introducción · tabla «Cómo leer este documento»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El informe sigue el orden exacto de la rúbrica. En esta tabla está dónde encontrar cada artefacto, para que pueda verificarlo sin buscar.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§1 · Cuadro de observaciones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Empezamos, como pide la guía, por sus observaciones del APF1. Fueron </w:t>
            </w:r>
            <w:r>
              <w:rPr>
                <w:rFonts w:ascii="Calibri" w:hAnsi="Calibri"/>
                <w:b/>
                <w:sz w:val="19"/>
              </w:rPr>
              <w:t>ocho y las ocho están levantadas</w:t>
            </w:r>
            <w:r>
              <w:rPr>
                <w:rFonts w:ascii="Calibri" w:hAnsi="Calibri"/>
                <w:b w:val="0"/>
                <w:sz w:val="19"/>
              </w:rPr>
              <w:t xml:space="preserve">, cada una con su evidencia. Dos son de base de datos y las explica Gerardo; una es suya sobre las transferencias desde otros bancos, y le adelanto que </w:t>
            </w:r>
            <w:r>
              <w:rPr>
                <w:rFonts w:ascii="Calibri" w:hAnsi="Calibri"/>
                <w:b/>
                <w:sz w:val="19"/>
              </w:rPr>
              <w:t>nuestra respuesta en clase era incorrecta</w:t>
            </w:r>
            <w:r>
              <w:rPr>
                <w:rFonts w:ascii="Calibri" w:hAnsi="Calibri"/>
                <w:b w:val="0"/>
                <w:sz w:val="19"/>
              </w:rPr>
              <w:t>: ya está corregida.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§1.1 · Gantt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Este es el cronograma. La línea base del veintitrés de agosto no se ha movido. El Sprint 2 se alargó </w:t>
            </w:r>
            <w:r>
              <w:rPr>
                <w:rFonts w:ascii="Calibri" w:hAnsi="Calibri"/>
                <w:b/>
                <w:sz w:val="19"/>
              </w:rPr>
              <w:t>seis días</w:t>
            </w:r>
            <w:r>
              <w:rPr>
                <w:rFonts w:ascii="Calibri" w:hAnsi="Calibri"/>
                <w:b w:val="0"/>
                <w:sz w:val="19"/>
              </w:rPr>
              <w:t xml:space="preserve"> por el sobrecompromiso que advertimos en el APF1, pero a cambio el Sprint 3 se adelantó: las transferencias y la producción en AWS estuvieron antes de esta entrega.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§1.3 · Tabla de evolución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Y esto es lo que cambió entre avances: de un despliegue diseñado a uno funcionando en AWS, de veintiuna a veinticinco tablas, y de un JWT validado en cada servicio a uno centralizado en el gateway. Gerardo continúa con la base de datos.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2   ·   GERARDO SOCUALAYA    </w:t>
      </w:r>
      <w:r>
        <w:rPr>
          <w:color w:val="C59E41"/>
          <w:sz w:val="20"/>
        </w:rPr>
        <w:t>Administración, replicación y diseño físico    ·    2:30 – 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§2.1.1 · Motor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Gracias, Kiara. Usamos </w:t>
            </w:r>
            <w:r>
              <w:rPr>
                <w:rFonts w:ascii="Calibri" w:hAnsi="Calibri"/>
                <w:b/>
                <w:sz w:val="19"/>
              </w:rPr>
              <w:t>PostgreSQL 17 en Amazon RDS</w:t>
            </w:r>
            <w:r>
              <w:rPr>
                <w:rFonts w:ascii="Calibri" w:hAnsi="Calibri"/>
                <w:b w:val="0"/>
                <w:sz w:val="19"/>
              </w:rPr>
              <w:t>, cifrado. Lo elegimos por tres cosas medibles: transacciones con bloqueo por fila, tipos exactos para el dinero y restricciones que el motor hace cumplir aunque la aplicación falle.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§2.1.1 · Tabla de administración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Un schema por contexto, la aplicación entra con un usuario </w:t>
            </w:r>
            <w:r>
              <w:rPr>
                <w:rFonts w:ascii="Calibri" w:hAnsi="Calibri"/>
                <w:b/>
                <w:sz w:val="19"/>
              </w:rPr>
              <w:t>sin privilegios de superusuario</w:t>
            </w:r>
            <w:r>
              <w:rPr>
                <w:rFonts w:ascii="Calibri" w:hAnsi="Calibri"/>
                <w:b w:val="0"/>
                <w:sz w:val="19"/>
              </w:rPr>
              <w:t>, los cambios solo por migraciones versionadas, copias diarias con recuperación a un punto en el tiempo, y la base sin IP pública.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§2.1.2 · Replicación + figura 3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Hoy es una sola zona porque el plan gratuito no cubre Multi-AZ. Para operación real proponemos tres niveles: </w:t>
            </w:r>
            <w:r>
              <w:rPr>
                <w:rFonts w:ascii="Calibri" w:hAnsi="Calibri"/>
                <w:b/>
                <w:sz w:val="19"/>
              </w:rPr>
              <w:t>réplica síncrona Multi-AZ</w:t>
            </w:r>
            <w:r>
              <w:rPr>
                <w:rFonts w:ascii="Calibri" w:hAnsi="Calibri"/>
                <w:b w:val="0"/>
                <w:sz w:val="19"/>
              </w:rPr>
              <w:t xml:space="preserve">, que conmuta en uno o dos minutos sin perder transacciones; </w:t>
            </w:r>
            <w:r>
              <w:rPr>
                <w:rFonts w:ascii="Calibri" w:hAnsi="Calibri"/>
                <w:b/>
                <w:sz w:val="19"/>
              </w:rPr>
              <w:t>réplica de lectura asíncrona</w:t>
            </w:r>
            <w:r>
              <w:rPr>
                <w:rFonts w:ascii="Calibri" w:hAnsi="Calibri"/>
                <w:b w:val="0"/>
                <w:sz w:val="19"/>
              </w:rPr>
              <w:t xml:space="preserve"> para el panel; y snapshots en otra región.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§2.2 · Figura 4 (ERD)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El diagrama no está dibujado a mano: se genera </w:t>
            </w:r>
            <w:r>
              <w:rPr>
                <w:rFonts w:ascii="Calibri" w:hAnsi="Calibri"/>
                <w:b/>
                <w:sz w:val="19"/>
              </w:rPr>
              <w:t>leyendo el catálogo real de producción</w:t>
            </w:r>
            <w:r>
              <w:rPr>
                <w:rFonts w:ascii="Calibri" w:hAnsi="Calibri"/>
                <w:b w:val="0"/>
                <w:sz w:val="19"/>
              </w:rPr>
              <w:t>. Pasamos de veintiuna a veinticinco tablas y de ciento cuarenta y cuatro a ciento setenta y ocho columnas.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§2.2.3 · Tabla de cargos y abonos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Su pregunta: si una transferencia llega de otro banco, ¿un solo asiento? </w:t>
            </w:r>
            <w:r>
              <w:rPr>
                <w:rFonts w:ascii="Calibri" w:hAnsi="Calibri"/>
                <w:b/>
                <w:sz w:val="19"/>
              </w:rPr>
              <w:t>No: siempre dos.</w:t>
            </w:r>
            <w:r>
              <w:rPr>
                <w:rFonts w:ascii="Calibri" w:hAnsi="Calibri"/>
                <w:b w:val="0"/>
                <w:sz w:val="19"/>
              </w:rPr>
              <w:t xml:space="preserve"> El cargo va a una cuenta técnica de compensación interbancaria y el abono al cliente. Así el libro sigue sumando cero y se puede conciliar con la Cámara de Compensación.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§2.2.4 · Figura 5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Y la tabla de auditoría que faltaba en core: registra operaciones </w:t>
            </w:r>
            <w:r>
              <w:rPr>
                <w:rFonts w:ascii="Calibri" w:hAnsi="Calibri"/>
                <w:b/>
                <w:sz w:val="19"/>
              </w:rPr>
              <w:t>y rechazos</w:t>
            </w:r>
            <w:r>
              <w:rPr>
                <w:rFonts w:ascii="Calibri" w:hAnsi="Calibri"/>
                <w:b w:val="0"/>
                <w:sz w:val="19"/>
              </w:rPr>
              <w:t>, que no dejan asientos. Frank sigue con cómo el código accede a esta base.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3   ·   FRANK SOTOMAYOR    </w:t>
      </w:r>
      <w:r>
        <w:rPr>
          <w:color w:val="C59E41"/>
          <w:sz w:val="20"/>
        </w:rPr>
        <w:t>Patrón de acceso, diagrama de secuencia y DDL    ·    5:00 – 7:00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§2.3 · Figura 6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Gracias, Gerardo. Aplicamos el patrón </w:t>
            </w:r>
            <w:r>
              <w:rPr>
                <w:rFonts w:ascii="Calibri" w:hAnsi="Calibri"/>
                <w:b/>
                <w:sz w:val="19"/>
              </w:rPr>
              <w:t>Repository</w:t>
            </w:r>
            <w:r>
              <w:rPr>
                <w:rFonts w:ascii="Calibri" w:hAnsi="Calibri"/>
                <w:b w:val="0"/>
                <w:sz w:val="19"/>
              </w:rPr>
              <w:t xml:space="preserve"> sobre arquitectura hexagonal: el dominio declara un puerto, por ejemplo `LibroMayorPort`, y un adaptador lo implementa con </w:t>
            </w:r>
            <w:r>
              <w:rPr>
                <w:rFonts w:ascii="Calibri" w:hAnsi="Calibri"/>
                <w:b/>
                <w:sz w:val="19"/>
              </w:rPr>
              <w:t>Spring Data JPA sobre Hibernate</w:t>
            </w:r>
            <w:r>
              <w:rPr>
                <w:rFonts w:ascii="Calibri" w:hAnsi="Calibri"/>
                <w:b w:val="0"/>
                <w:sz w:val="19"/>
              </w:rPr>
              <w:t>. El dominio no conoce la base, y ArchUnit rompe el build si alguien lo viola.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§2.3.1 · Figura 7 (secuencia)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Este es el diagrama de secuencia del inicio de sesión: la </w:t>
            </w:r>
            <w:r>
              <w:rPr>
                <w:rFonts w:ascii="Calibri" w:hAnsi="Calibri"/>
                <w:b/>
                <w:sz w:val="19"/>
              </w:rPr>
              <w:t>vista</w:t>
            </w:r>
            <w:r>
              <w:rPr>
                <w:rFonts w:ascii="Calibri" w:hAnsi="Calibri"/>
                <w:b w:val="0"/>
                <w:sz w:val="19"/>
              </w:rPr>
              <w:t xml:space="preserve"> llama al gateway, el </w:t>
            </w:r>
            <w:r>
              <w:rPr>
                <w:rFonts w:ascii="Calibri" w:hAnsi="Calibri"/>
                <w:b/>
                <w:sz w:val="19"/>
              </w:rPr>
              <w:t>controlador</w:t>
            </w:r>
            <w:r>
              <w:rPr>
                <w:rFonts w:ascii="Calibri" w:hAnsi="Calibri"/>
                <w:b w:val="0"/>
                <w:sz w:val="19"/>
              </w:rPr>
              <w:t xml:space="preserve"> al caso de uso, el caso de uso al </w:t>
            </w:r>
            <w:r>
              <w:rPr>
                <w:rFonts w:ascii="Calibri" w:hAnsi="Calibri"/>
                <w:b/>
                <w:sz w:val="19"/>
              </w:rPr>
              <w:t>puerto</w:t>
            </w:r>
            <w:r>
              <w:rPr>
                <w:rFonts w:ascii="Calibri" w:hAnsi="Calibri"/>
                <w:b w:val="0"/>
                <w:sz w:val="19"/>
              </w:rPr>
              <w:t xml:space="preserve">, el </w:t>
            </w:r>
            <w:r>
              <w:rPr>
                <w:rFonts w:ascii="Calibri" w:hAnsi="Calibri"/>
                <w:b/>
                <w:sz w:val="19"/>
              </w:rPr>
              <w:t>adaptador</w:t>
            </w:r>
            <w:r>
              <w:rPr>
                <w:rFonts w:ascii="Calibri" w:hAnsi="Calibri"/>
                <w:b w:val="0"/>
                <w:sz w:val="19"/>
              </w:rPr>
              <w:t xml:space="preserve"> consulta con Hibernate y PostgreSQL devuelve la fila, que vuelve convertida en objeto del dominio. La contraseña se verifica con Argon2id y el token solo se emite tras el segundo factor.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§2.3.2 · Justificación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Por qué ORM: consultas </w:t>
            </w:r>
            <w:r>
              <w:rPr>
                <w:rFonts w:ascii="Calibri" w:hAnsi="Calibri"/>
                <w:b/>
                <w:sz w:val="19"/>
              </w:rPr>
              <w:t>parametrizadas por defecto</w:t>
            </w:r>
            <w:r>
              <w:rPr>
                <w:rFonts w:ascii="Calibri" w:hAnsi="Calibri"/>
                <w:b w:val="0"/>
                <w:sz w:val="19"/>
              </w:rPr>
              <w:t xml:space="preserve">, sin inyección SQL. El saldo se calcula sumando asientos en la base; dos transferencias cruzadas se bloquean en orden para no interbloquearse; y la clave de idempotencia es clave primaria: </w:t>
            </w:r>
            <w:r>
              <w:rPr>
                <w:rFonts w:ascii="Calibri" w:hAnsi="Calibri"/>
                <w:b/>
                <w:sz w:val="19"/>
              </w:rPr>
              <w:t>el dinero no se mueve dos veces</w:t>
            </w:r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§2.4 · Código SQL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Y la consistencia entre modelo y DDL no depende de revisarlo: el DDL son las migraciones del repositorio, el diagrama se genera de lo que crearon, y Hibernate valida el esquema al arrancar. Eduardo pasa a seguridad.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4   ·   EDUARDO VARGAS    </w:t>
      </w:r>
      <w:r>
        <w:rPr>
          <w:color w:val="C59E41"/>
          <w:sz w:val="20"/>
        </w:rPr>
        <w:t>Autenticación, autorización y cifrado    ·    7:00 – 9:00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§3.1 · Tabla de mecanismos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Gracias, Frank. El ingreso tiene dos factores: contraseña guardada con </w:t>
            </w:r>
            <w:r>
              <w:rPr>
                <w:rFonts w:ascii="Calibri" w:hAnsi="Calibri"/>
                <w:b/>
                <w:sz w:val="19"/>
              </w:rPr>
              <w:t>Argon2id</w:t>
            </w:r>
            <w:r>
              <w:rPr>
                <w:rFonts w:ascii="Calibri" w:hAnsi="Calibri"/>
                <w:b w:val="0"/>
                <w:sz w:val="19"/>
              </w:rPr>
              <w:t xml:space="preserve"> y un código de la app autenticadora o por correo real con Amazon SES. Sin el celular del titular, la contraseña sola no sirve.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Figuras 9 y 10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Este es el formulario en producción y el paso del segundo factor.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§3.1 · Código del gateway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El token de acceso dura </w:t>
            </w:r>
            <w:r>
              <w:rPr>
                <w:rFonts w:ascii="Calibri" w:hAnsi="Calibri"/>
                <w:b/>
                <w:sz w:val="19"/>
              </w:rPr>
              <w:t>quince minutos</w:t>
            </w:r>
            <w:r>
              <w:rPr>
                <w:rFonts w:ascii="Calibri" w:hAnsi="Calibri"/>
                <w:b w:val="0"/>
                <w:sz w:val="19"/>
              </w:rPr>
              <w:t xml:space="preserve"> y vive solo en memoria; el de renovación va en cookie HttpOnly y rota en cada uso. El </w:t>
            </w:r>
            <w:r>
              <w:rPr>
                <w:rFonts w:ascii="Calibri" w:hAnsi="Calibri"/>
                <w:b/>
                <w:sz w:val="19"/>
              </w:rPr>
              <w:t>gateway valida el JWT</w:t>
            </w:r>
            <w:r>
              <w:rPr>
                <w:rFonts w:ascii="Calibri" w:hAnsi="Calibri"/>
                <w:b w:val="0"/>
                <w:sz w:val="19"/>
              </w:rPr>
              <w:t xml:space="preserve"> antes de enrutar y borra cualquier cabecera de identidad que mande el cliente: no se puede pedir la cuenta de otro.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§3.2.1 · Tabla de cifrado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Cifrado: </w:t>
            </w:r>
            <w:r>
              <w:rPr>
                <w:rFonts w:ascii="Calibri" w:hAnsi="Calibri"/>
                <w:b/>
                <w:sz w:val="19"/>
              </w:rPr>
              <w:t>TLS 1.3</w:t>
            </w:r>
            <w:r>
              <w:rPr>
                <w:rFonts w:ascii="Calibri" w:hAnsi="Calibri"/>
                <w:b w:val="0"/>
                <w:sz w:val="19"/>
              </w:rPr>
              <w:t xml:space="preserve"> hasta el navegador y hasta la base, KMS en reposo, y el número de DNI que lee nuestro OCR se guarda con </w:t>
            </w:r>
            <w:r>
              <w:rPr>
                <w:rFonts w:ascii="Calibri" w:hAnsi="Calibri"/>
                <w:b/>
                <w:sz w:val="19"/>
              </w:rPr>
              <w:t>AES-256-GCM</w:t>
            </w:r>
            <w:r>
              <w:rPr>
                <w:rFonts w:ascii="Calibri" w:hAnsi="Calibri"/>
                <w:b w:val="0"/>
                <w:sz w:val="19"/>
              </w:rPr>
              <w:t>; solo los últimos cuatro dígitos en claro.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Figura 11 · Madurez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Antes y después: autenticación pasó de noventa a cien por ciento, configuración de cincuenta y cinco a noventa. Fabián muestra cómo lo comprobamos.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5   ·   FABIÁN GARCÍA    </w:t>
      </w:r>
      <w:r>
        <w:rPr>
          <w:color w:val="C59E41"/>
          <w:sz w:val="20"/>
        </w:rPr>
        <w:t>Pruebas de seguridad, controles y plan de pruebas    ·    9:00 – 11:00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§3.3 · Figura 12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Gracias, Eduardo. Escaneamos </w:t>
            </w:r>
            <w:r>
              <w:rPr>
                <w:rFonts w:ascii="Calibri" w:hAnsi="Calibri"/>
                <w:b/>
                <w:sz w:val="19"/>
              </w:rPr>
              <w:t>producción</w:t>
            </w:r>
            <w:r>
              <w:rPr>
                <w:rFonts w:ascii="Calibri" w:hAnsi="Calibri"/>
                <w:b w:val="0"/>
                <w:sz w:val="19"/>
              </w:rPr>
              <w:t xml:space="preserve"> con cuatro herramientas de Kali Linux desde GitHub Actions: OWASP ZAP, Nmap, Nikto y testssl. </w:t>
            </w:r>
            <w:r>
              <w:rPr>
                <w:rFonts w:ascii="Calibri" w:hAnsi="Calibri"/>
                <w:b/>
                <w:sz w:val="19"/>
              </w:rPr>
              <w:t>Cero alertas altas</w:t>
            </w:r>
            <w:r>
              <w:rPr>
                <w:rFonts w:ascii="Calibri" w:hAnsi="Calibri"/>
                <w:b w:val="0"/>
                <w:sz w:val="19"/>
              </w:rPr>
              <w:t>, solo los puertos 80 y 443, y TLS con nota 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§3.3 · Tabla y figura 13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Encontramos que faltaba la política de contenido; la añadimos y volvimos a escanear. Le decimos también lo que no mejoró: ZAP marca que esa política permite scripts en línea, que Next.js necesita. Está </w:t>
            </w:r>
            <w:r>
              <w:rPr>
                <w:rFonts w:ascii="Calibri" w:hAnsi="Calibri"/>
                <w:b/>
                <w:sz w:val="19"/>
              </w:rPr>
              <w:t>aceptado y con su mitigación prevista</w:t>
            </w:r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§3.4 · Catálogo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El catálogo tiene </w:t>
            </w:r>
            <w:r>
              <w:rPr>
                <w:rFonts w:ascii="Calibri" w:hAnsi="Calibri"/>
                <w:b/>
                <w:sz w:val="19"/>
              </w:rPr>
              <w:t>dieciséis controles</w:t>
            </w:r>
            <w:r>
              <w:rPr>
                <w:rFonts w:ascii="Calibri" w:hAnsi="Calibri"/>
                <w:b w:val="0"/>
                <w:sz w:val="19"/>
              </w:rPr>
              <w:t xml:space="preserve"> alineados a ISO 27001 y OWASP; quince implantados. El control de permisos por endpoint está marcado como parcial a propósito.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§4.1 · Plan y casos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El plan de pruebas: más de setecientas pruebas automáticas, cobertura del dominio por encima del ochenta por ciento, y trece casos del sistema aprobados.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Figura 15 · Playwright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Para la interfaz usamos </w:t>
            </w:r>
            <w:r>
              <w:rPr>
                <w:rFonts w:ascii="Calibri" w:hAnsi="Calibri"/>
                <w:b/>
                <w:sz w:val="19"/>
              </w:rPr>
              <w:t>Playwright</w:t>
            </w:r>
            <w:r>
              <w:rPr>
                <w:rFonts w:ascii="Calibri" w:hAnsi="Calibri"/>
                <w:b w:val="0"/>
                <w:sz w:val="19"/>
              </w:rPr>
              <w:t>: ciento cuarenta y cuatro pruebas en navegador real, escritorio y móvil, con accesibilidad WCAG. Joaquín cierra con el despliegue.</w:t>
            </w:r>
          </w:p>
        </w:tc>
      </w:tr>
    </w:tbl>
    <w:p>
      <w:pPr>
        <w:spacing w:before="200" w:after="80"/>
      </w:pPr>
      <w:r>
        <w:rPr>
          <w:b/>
          <w:color w:val="064475"/>
          <w:sz w:val="23"/>
        </w:rPr>
        <w:t xml:space="preserve">TURNO 6   ·   JOAQUÍN LOA    </w:t>
      </w:r>
      <w:r>
        <w:rPr>
          <w:color w:val="C59E41"/>
          <w:sz w:val="20"/>
        </w:rPr>
        <w:t>Despliegue, monitoreo, validación y cierre    ·    11:00 – 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MUESTRA EN EL WORD</w:t>
            </w:r>
          </w:p>
        </w:tc>
        <w:tc>
          <w:tcPr>
            <w:tcW w:type="dxa" w:w="7710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SE DICE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§4.2 · Figura 16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Gracias, Fabián. Todo está en </w:t>
            </w:r>
            <w:r>
              <w:rPr>
                <w:rFonts w:ascii="Calibri" w:hAnsi="Calibri"/>
                <w:b/>
                <w:sz w:val="19"/>
              </w:rPr>
              <w:t>AWS</w:t>
            </w:r>
            <w:r>
              <w:rPr>
                <w:rFonts w:ascii="Calibri" w:hAnsi="Calibri"/>
                <w:b w:val="0"/>
                <w:sz w:val="19"/>
              </w:rPr>
              <w:t xml:space="preserve">: EC2, RDS, S3 y ECR, creados con CloudFormation y desplegados </w:t>
            </w:r>
            <w:r>
              <w:rPr>
                <w:rFonts w:ascii="Calibri" w:hAnsi="Calibri"/>
                <w:b/>
                <w:sz w:val="19"/>
              </w:rPr>
              <w:t>sin SSH</w:t>
            </w:r>
            <w:r>
              <w:rPr>
                <w:rFonts w:ascii="Calibri" w:hAnsi="Calibri"/>
                <w:b w:val="0"/>
                <w:sz w:val="19"/>
              </w:rPr>
              <w:t>, con Systems Manager. Costo cero, con presupuesto y alarma.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§4.3 · Figura 17 y tabla de humo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Cada fusión a `main` construye, prueba, escanea, despliega y corre </w:t>
            </w:r>
            <w:r>
              <w:rPr>
                <w:rFonts w:ascii="Calibri" w:hAnsi="Calibri"/>
                <w:b/>
                <w:sz w:val="19"/>
              </w:rPr>
              <w:t>diez pruebas de humo</w:t>
            </w:r>
            <w:r>
              <w:rPr>
                <w:rFonts w:ascii="Calibri" w:hAnsi="Calibri"/>
                <w:b w:val="0"/>
                <w:sz w:val="19"/>
              </w:rPr>
              <w:t xml:space="preserve"> contra la URL pública. Si una falla, el pipeline </w:t>
            </w:r>
            <w:r>
              <w:rPr>
                <w:rFonts w:ascii="Calibri" w:hAnsi="Calibri"/>
                <w:b/>
                <w:sz w:val="19"/>
              </w:rPr>
              <w:t>revierte solo</w:t>
            </w:r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§4.3.1 · Incidentes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Y pasó de verdad: al publicar la 1.1.0 faltó una cabecera, las pruebas de humo lo detectaron y </w:t>
            </w:r>
            <w:r>
              <w:rPr>
                <w:rFonts w:ascii="Calibri" w:hAnsi="Calibri"/>
                <w:b/>
                <w:sz w:val="19"/>
              </w:rPr>
              <w:t>volvió a la 1.0.0 sin caída</w:t>
            </w:r>
            <w:r>
              <w:rPr>
                <w:rFonts w:ascii="Calibri" w:hAnsi="Calibri"/>
                <w:b w:val="0"/>
                <w:sz w:val="19"/>
              </w:rPr>
              <w:t>. Lo corregimos y se publicó.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§4.3.2 · Tabla de releases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Después, usar el sistema con un </w:t>
            </w:r>
            <w:r>
              <w:rPr>
                <w:rFonts w:ascii="Calibri" w:hAnsi="Calibri"/>
                <w:b/>
                <w:sz w:val="19"/>
              </w:rPr>
              <w:t>DNI real</w:t>
            </w:r>
            <w:r>
              <w:rPr>
                <w:rFonts w:ascii="Calibri" w:hAnsi="Calibri"/>
                <w:b w:val="0"/>
                <w:sz w:val="19"/>
              </w:rPr>
              <w:t xml:space="preserve"> destapó fallos que las pruebas no veían: el DNI azul lleva el MRZ en el anverso, la lectura tardaba cuarenta segundos y tras la selfie nadie aprobaba la solicitud. Lo corregimos en </w:t>
            </w:r>
            <w:r>
              <w:rPr>
                <w:rFonts w:ascii="Calibri" w:hAnsi="Calibri"/>
                <w:b/>
                <w:sz w:val="19"/>
              </w:rPr>
              <w:t>cinco releases, de la 1.1.2 a la 1.1.6</w:t>
            </w:r>
            <w:r>
              <w:rPr>
                <w:rFonts w:ascii="Calibri" w:hAnsi="Calibri"/>
                <w:b w:val="0"/>
                <w:sz w:val="19"/>
              </w:rPr>
              <w:t>, siempre por el mismo pipeline.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Figuras 19a y 19b · VIDEO de la release 1.1.6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La última la grabamos en video de principio a fin: rama de release, aprobación de Kiara, pipeline en verde y la </w:t>
            </w:r>
            <w:r>
              <w:rPr>
                <w:rFonts w:ascii="Calibri" w:hAnsi="Calibri"/>
                <w:b/>
                <w:sz w:val="19"/>
              </w:rPr>
              <w:t>pestaña de Configuración</w:t>
            </w:r>
            <w:r>
              <w:rPr>
                <w:rFonts w:ascii="Calibri" w:hAnsi="Calibri"/>
                <w:b w:val="0"/>
                <w:sz w:val="19"/>
              </w:rPr>
              <w:t xml:space="preserve"> apareciendo en producción con la </w:t>
            </w:r>
            <w:r>
              <w:rPr>
                <w:rFonts w:ascii="Calibri" w:hAnsi="Calibri"/>
                <w:b/>
                <w:sz w:val="19"/>
              </w:rPr>
              <w:t>versión 1.1.6</w:t>
            </w:r>
            <w:r>
              <w:rPr>
                <w:rFonts w:ascii="Calibri" w:hAnsi="Calibri"/>
                <w:b w:val="0"/>
                <w:sz w:val="19"/>
              </w:rPr>
              <w:t>. Nadie entró al servidor.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§4.4 · RDS, alarmas y Grafana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Monitoreo de la base: CPU, conexiones y almacenamiento de RDS en CloudWatch, alarmas por correo, y Grafana con la salud de los servicios.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§4.4.5 · Figura 24c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Y no solo métricas: esta es una consulta a la base de producción. Están los usuarios, la cuenta y sus asientos, y </w:t>
            </w:r>
            <w:r>
              <w:rPr>
                <w:rFonts w:ascii="Calibri" w:hAnsi="Calibri"/>
                <w:b/>
                <w:sz w:val="19"/>
              </w:rPr>
              <w:t>la suma de cargos es igual a la de abonos</w:t>
            </w:r>
            <w:r>
              <w:rPr>
                <w:rFonts w:ascii="Calibri" w:hAnsi="Calibri"/>
                <w:b w:val="0"/>
                <w:sz w:val="19"/>
              </w:rPr>
              <w:t>: la partida doble cuadra en producción.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DEMO EN VIVO (navegador)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Ahora en vivo, en la nube: abro </w:t>
            </w:r>
            <w:r>
              <w:rPr>
                <w:rFonts w:ascii="Calibri" w:hAnsi="Calibri"/>
                <w:b/>
                <w:sz w:val="19"/>
              </w:rPr>
              <w:t>ayni.produccion.ejemplo</w:t>
            </w:r>
            <w:r>
              <w:rPr>
                <w:rFonts w:ascii="Calibri" w:hAnsi="Calibri"/>
                <w:b w:val="0"/>
                <w:sz w:val="19"/>
              </w:rPr>
              <w:t>, ingreso con mi contraseña y el código de mi app autenticadora. Este es el panel con mi cuenta real, esta es la pestaña de Configuración que publicó la 1.1.6, y aquí Grafana con la salud del sistema en este momento.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§5 · Tabla de validación en la nube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Esta tabla cruza el plan de pruebas con lo validado en producción: registro, DNI, selfie, apertura, ingreso, depósito, integración con la base y seguridad, todo </w:t>
            </w:r>
            <w:r>
              <w:rPr>
                <w:rFonts w:ascii="Calibri" w:hAnsi="Calibri"/>
                <w:b/>
                <w:sz w:val="19"/>
              </w:rPr>
              <w:t>OK en AWS</w:t>
            </w:r>
            <w:r>
              <w:rPr>
                <w:rFonts w:ascii="Calibri" w:hAnsi="Calibri"/>
                <w:b w:val="0"/>
                <w:sz w:val="19"/>
              </w:rPr>
              <w:t>. La transferencia entre clientes necesita una segunda cuenta y por eso se muestra en local.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§5 · Figuras 24a y 24b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En producción ya hay una cuenta real: hice mi onboarding con mi DNI, un operador lo aprobó, la cuenta se abrió sola por el evento y el primer depósito quedó registrado por partida doble.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§5 · Figuras 25–30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Las transferencias necesitan dos cuentas, así que su recorrido completo está en el entorno local: depósitos, transferencias y saldo final de </w:t>
            </w:r>
            <w:r>
              <w:rPr>
                <w:rFonts w:ascii="Calibri" w:hAnsi="Calibri"/>
                <w:b/>
                <w:sz w:val="19"/>
              </w:rPr>
              <w:t>dos mil quinientos, calculado desde los asientos</w:t>
            </w:r>
            <w:r>
              <w:rPr>
                <w:rFonts w:ascii="Calibri" w:hAnsi="Calibri"/>
                <w:b w:val="0"/>
                <w:sz w:val="19"/>
              </w:rPr>
              <w:t>; y una transferencia por encima del límite rechazada con su motivo.</w:t>
            </w:r>
          </w:p>
        </w:tc>
      </w:tr>
      <w:tr>
        <w:tc>
          <w:tcPr>
            <w:tcW w:type="dxa" w:w="2381"/>
            <w:shd w:val="clear" w:color="auto" w:fill="EAF2FB"/>
          </w:tcPr>
          <w:p>
            <w:r/>
            <w:r>
              <w:rPr>
                <w:rFonts w:ascii="Calibri" w:hAnsi="Calibri"/>
                <w:b w:val="0"/>
                <w:color w:val="064475"/>
                <w:sz w:val="17"/>
              </w:rPr>
              <w:t>§7 · Conclusiones</w:t>
            </w:r>
          </w:p>
        </w:tc>
        <w:tc>
          <w:tcPr>
            <w:tcW w:type="dxa" w:w="7710"/>
          </w:tcPr>
          <w:p>
            <w:r/>
            <w:r>
              <w:rPr>
                <w:rFonts w:ascii="Calibri" w:hAnsi="Calibri"/>
                <w:b w:val="0"/>
                <w:sz w:val="19"/>
              </w:rPr>
              <w:t>En resumen: sistema en la nube con despliegue continuo y rollback probado, base coherente con el negocio, seguridad verificada contra producción y el cien por ciento de sus observaciones levantadas. Gracias, profesor.</w:t>
            </w:r>
          </w:p>
        </w:tc>
      </w:tr>
    </w:tbl>
    <w:p>
      <w:pPr>
        <w:spacing w:before="240" w:after="80"/>
      </w:pPr>
      <w:r>
        <w:rPr>
          <w:rFonts w:ascii="Calibri" w:hAnsi="Calibri"/>
          <w:b w:val="0"/>
          <w:color w:val="064475"/>
          <w:sz w:val="24"/>
        </w:rPr>
        <w:t>PREGUNTAS PROBABLES</w:t>
      </w:r>
    </w:p>
    <w:p>
      <w:pPr>
        <w:spacing w:before="0" w:after="80"/>
      </w:pPr>
      <w:r>
        <w:rPr>
          <w:rFonts w:ascii="Calibri" w:hAnsi="Calibri"/>
          <w:b w:val="0"/>
          <w:color w:val="4A4A4A"/>
          <w:sz w:val="18"/>
        </w:rPr>
        <w:t>Respuestas cortas y en lenguaje llano. Si no lo sabes, dilo y ofrece consultarlo con el equipo: puntúa mejor que improvisar.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364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Qué responder</w:t>
            </w:r>
          </w:p>
        </w:tc>
        <w:tc>
          <w:tcPr>
            <w:tcW w:type="dxa" w:w="3364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Quién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¿Por qué las transferencias se muestran en local?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Porque una transferencia necesita dos cuentas abiertas y en producción hoy hay una, la mía, abierta con mi DNI real. Es el mismo código; la segunda cuenta (Kiara) se abre en el siguiente sprint.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Joaquín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¿Quién aprueba la selfie?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Hoy un operador, comparando la selfie con la foto del DNI en S3; el endpoint no está expuesto a internet y pide una clave guardada en SSM. El cotejo facial automático es la siguiente fase, en el Sprint 3.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Joaquín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¿Qué pasa si se cae la base de datos?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Hoy: copias diarias y recuperación a un punto en el tiempo. Propuesta: réplica síncrona Multi-AZ, que conmuta en uno o dos minutos sin perder transacciones.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Gerardo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¿Dónde está el saldo?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No se guarda: es la suma de los asientos. No hay un campo que alguien pueda editar.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Frank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¿Dónde están las contraseñas de la base?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En Secrets Manager y Parameter Store. Ningún secreto está en el repositorio; el pipeline entra a AWS con OIDC, sin claves guardadas.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Joaquín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¿Cómo evitan una inyección SQL?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Todas las consultas pasan por JPA con parámetros; el motor nunca recibe texto del usuario concatenado.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Eduardo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¿Por qué una alerta media sigue abierta?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La política de contenido permite scripts en línea porque Next.js los necesita. Es un riesgo conocido, aceptado y con mitigación prevista: nonces por petición.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/>
                <w:b w:val="0"/>
                <w:sz w:val="18"/>
              </w:rPr>
              <w:t>Fabián</w:t>
            </w:r>
          </w:p>
        </w:tc>
      </w:tr>
    </w:tbl>
    <w:p>
      <w:pPr>
        <w:spacing w:before="240" w:after="80"/>
      </w:pPr>
      <w:r>
        <w:rPr>
          <w:rFonts w:ascii="Calibri" w:hAnsi="Calibri"/>
          <w:b w:val="0"/>
          <w:color w:val="064475"/>
          <w:sz w:val="24"/>
        </w:rPr>
        <w:t>TRES REGLAS</w:t>
      </w:r>
    </w:p>
    <w:p>
      <w:pPr>
        <w:spacing w:before="0" w:after="80"/>
      </w:pPr>
      <w:r>
        <w:rPr>
          <w:rFonts w:ascii="Calibri" w:hAnsi="Calibri"/>
          <w:b/>
          <w:sz w:val="19"/>
        </w:rPr>
        <w:t>1 · Nadie repite lo que expuso otro.</w:t>
      </w:r>
      <w:r>
        <w:rPr>
          <w:rFonts w:ascii="Calibri" w:hAnsi="Calibri"/>
          <w:b w:val="0"/>
          <w:sz w:val="19"/>
        </w:rPr>
        <w:t xml:space="preserve"> La calificación es individual: si alguien se extiende, el perjudicado es el compañero.</w:t>
      </w:r>
    </w:p>
    <w:p>
      <w:pPr>
        <w:spacing w:before="0" w:after="80"/>
      </w:pPr>
      <w:r>
        <w:rPr>
          <w:rFonts w:ascii="Calibri" w:hAnsi="Calibri"/>
          <w:b/>
          <w:sz w:val="19"/>
        </w:rPr>
        <w:t>2 · Dar el número antes que el adjetivo.</w:t>
      </w:r>
      <w:r>
        <w:rPr>
          <w:rFonts w:ascii="Calibri" w:hAnsi="Calibri"/>
          <w:b w:val="0"/>
          <w:sz w:val="19"/>
        </w:rPr>
        <w:t xml:space="preserve"> «Veinticinco tablas y ciento setenta y ocho columnas» pesa más que «una base completa».</w:t>
      </w:r>
    </w:p>
    <w:p>
      <w:pPr>
        <w:spacing w:before="0" w:after="80"/>
      </w:pPr>
      <w:r>
        <w:rPr>
          <w:rFonts w:ascii="Calibri" w:hAnsi="Calibri"/>
          <w:b/>
          <w:sz w:val="19"/>
        </w:rPr>
        <w:t>3 · Si algo falló, decirlo primero.</w:t>
      </w:r>
      <w:r>
        <w:rPr>
          <w:rFonts w:ascii="Calibri" w:hAnsi="Calibri"/>
          <w:b w:val="0"/>
          <w:sz w:val="19"/>
        </w:rPr>
        <w:t xml:space="preserve"> El rollback de la 1.1.0 y nuestra respuesta incorrecta sobre otros bancos demuestran control cuando los contamos nosotros.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