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pPr>
      <w:r>
        <w:rPr>
          <w:rFonts w:ascii="Times New Roman" w:hAnsi="Times New Roman" w:cs="Times New Roman" w:eastAsia="Times New Roman"/>
          <w:sz w:val="24"/>
        </w:rPr>
        <w:t xml:space="preserve">NautiCost — Datadreven kostnadsestimering for yachthavneanløp i Skandinavia</w:t>
      </w:r>
    </w:p>
    <w:p>
      <w:pPr>
        <w:pStyle w:val="Subtitle"/>
        <w:spacing w:line="360" w:lineRule="auto"/>
      </w:pPr>
      <w:r>
        <w:rPr>
          <w:rFonts w:ascii="Times New Roman" w:hAnsi="Times New Roman" w:cs="Times New Roman" w:eastAsia="Times New Roman"/>
          <w:sz w:val="24"/>
        </w:rPr>
        <w:t xml:space="preserve">LOG650 Forskningsprosjekt, vår 2026 — Gruppe 11, Jørgen Rene (individuell)</w:t>
      </w:r>
    </w:p>
    <w:p>
      <w:pPr>
        <w:pStyle w:val="Author"/>
        <w:spacing w:line="360" w:lineRule="auto"/>
      </w:pPr>
      <w:r>
        <w:rPr>
          <w:rFonts w:ascii="Times New Roman" w:hAnsi="Times New Roman" w:cs="Times New Roman" w:eastAsia="Times New Roman"/>
          <w:sz w:val="24"/>
        </w:rPr>
        <w:t xml:space="preserve">Jørgen Rene</w:t>
      </w:r>
    </w:p>
    <w:p>
      <w:pPr>
        <w:pStyle w:val="Date"/>
        <w:spacing w:line="360" w:lineRule="auto"/>
      </w:pPr>
      <w:r>
        <w:rPr>
          <w:rFonts w:ascii="Times New Roman" w:hAnsi="Times New Roman" w:cs="Times New Roman" w:eastAsia="Times New Roman"/>
          <w:sz w:val="24"/>
        </w:rP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spacing w:line="360" w:lineRule="auto"/>
      </w:pPr>
      <w:r>
        <w:rPr>
          <w:rFonts w:ascii="Times New Roman" w:hAnsi="Times New Roman" w:cs="Times New Roman" w:eastAsia="Times New Roman"/>
          <w:b/>
          <w:bCs/>
          <w:sz w:val="24"/>
        </w:rPr>
        <w:t xml:space="preserve">Versjon 2.2 — 2026-05-25.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Andre utkast, andre revisjon. Endringer fra v1.1 oppsummert i Vedlegg G (peer-review og mentor-kontroll).</w:t>
      </w:r>
    </w:p>
    <w:p>
      <w:pPr>
        <w:spacing w:line="360" w:lineRule="auto"/>
      </w:pPr>
      <w:r>
        <w:rPr>
          <w:rFonts w:ascii="Times New Roman" w:hAnsi="Times New Roman" w:cs="Times New Roman" w:eastAsia="Times New Roman"/>
          <w:sz w:val="24"/>
        </w:rPr>
        <w:pict>
          <v:rect style="width:0;height:1.5pt" o:hralign="center" o:hrstd="t" o:hr="t"/>
        </w:pict>
      </w:r>
    </w:p>
    <w:bookmarkStart w:id="9" w:name="obligatorisk-egenerklæring"/>
    <w:p>
      <w:pPr>
        <w:pStyle w:val="Heading2"/>
        <w:spacing w:line="360" w:lineRule="auto"/>
      </w:pPr>
      <w:r>
        <w:rPr>
          <w:rFonts w:ascii="Times New Roman" w:hAnsi="Times New Roman" w:cs="Times New Roman" w:eastAsia="Times New Roman"/>
          <w:sz w:val="24"/>
        </w:rPr>
        <w:t xml:space="preserve">Obligatorisk egenerklæring</w:t>
      </w:r>
    </w:p>
    <w:p>
      <w:pPr>
        <w:pStyle w:val="FirstParagraph"/>
        <w:spacing w:line="360" w:lineRule="auto"/>
      </w:pPr>
      <w:r>
        <w:rPr>
          <w:rFonts w:ascii="Times New Roman" w:hAnsi="Times New Roman" w:cs="Times New Roman" w:eastAsia="Times New Roman"/>
          <w:b/>
          <w:bCs/>
          <w:sz w:val="24"/>
        </w:rPr>
        <w:t xml:space="preserve">Forfatter: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Jørgen Rene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Studiepoeng: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(LOG650 Forskningsprosjekt)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Veileder(e):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Bjørn-Inge Pettersen, Per Kristian Rekdal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Dato: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2026-05-25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Antall ord (hoved</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tekst, Word-stil):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 12 000.</w:t>
      </w:r>
    </w:p>
    <w:p>
      <w:pPr>
        <w:pStyle w:val="BodyText"/>
        <w:spacing w:line="360" w:lineRule="auto"/>
      </w:pPr>
      <w:r>
        <w:rPr>
          <w:rFonts w:ascii="Times New Roman" w:hAnsi="Times New Roman" w:cs="Times New Roman" w:eastAsia="Times New Roman"/>
          <w:sz w:val="24"/>
        </w:rPr>
        <w:t xml:space="preserve">Forfatter bekrefter (1–6) jf. HiMs mal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 prosjekt LOG650 v2.docx</w:t>
      </w:r>
      <w:r>
        <w:rPr>
          <w:rFonts w:ascii="Times New Roman" w:hAnsi="Times New Roman" w:cs="Times New Roman" w:eastAsia="Times New Roman"/>
          <w:sz w:val="24"/>
        </w:rPr>
        <w:t xml:space="preserve">:</w:t>
      </w:r>
    </w:p>
    <w:p>
      <w:pPr>
        <w:pStyle w:val="Compact"/>
        <w:numPr>
          <w:ilvl w:val="0"/>
          <w:numId w:val="1001"/>
        </w:numPr>
        <w:spacing w:line="360" w:lineRule="auto"/>
      </w:pPr>
      <w:r>
        <w:rPr>
          <w:rFonts w:ascii="Times New Roman" w:hAnsi="Times New Roman" w:cs="Times New Roman" w:eastAsia="Times New Roman"/>
          <w:sz w:val="24"/>
        </w:rPr>
        <w:t xml:space="preserve">(1) Besvarelsen er eget arbeid; ingen kilder eller hjelp utover det som er oppgitt.</w:t>
      </w:r>
    </w:p>
    <w:p>
      <w:pPr>
        <w:pStyle w:val="Compact"/>
        <w:numPr>
          <w:ilvl w:val="0"/>
          <w:numId w:val="1002"/>
        </w:numPr>
        <w:spacing w:line="360" w:lineRule="auto"/>
      </w:pPr>
      <w:r>
        <w:rPr>
          <w:rFonts w:ascii="Times New Roman" w:hAnsi="Times New Roman" w:cs="Times New Roman" w:eastAsia="Times New Roman"/>
          <w:sz w:val="24"/>
        </w:rPr>
        <w:t xml:space="preserve">(2) Besvarelsen er ikke brukt til annen eksamen, refererer ikke til andres eller eget tidligere arbeid uten oppgivelse, har alle referanser i bibliografien, og er ikke kopi/duplikat av andres arbeid.</w:t>
      </w:r>
    </w:p>
    <w:p>
      <w:pPr>
        <w:pStyle w:val="Compact"/>
        <w:numPr>
          <w:ilvl w:val="0"/>
          <w:numId w:val="1003"/>
        </w:numPr>
        <w:spacing w:line="360" w:lineRule="auto"/>
      </w:pPr>
      <w:r>
        <w:rPr>
          <w:rFonts w:ascii="Times New Roman" w:hAnsi="Times New Roman" w:cs="Times New Roman" w:eastAsia="Times New Roman"/>
          <w:sz w:val="24"/>
        </w:rPr>
        <w:t xml:space="preserve">(3) Forfatter er kjent med at brudd på (1)–(2) er fusk jf. UH-loven §§ 4-7/4-8 og Forskrift om eksamen §§ 14/15.</w:t>
      </w:r>
    </w:p>
    <w:p>
      <w:pPr>
        <w:pStyle w:val="Compact"/>
        <w:numPr>
          <w:ilvl w:val="0"/>
          <w:numId w:val="1004"/>
        </w:numPr>
        <w:spacing w:line="360" w:lineRule="auto"/>
      </w:pPr>
      <w:r>
        <w:rPr>
          <w:rFonts w:ascii="Times New Roman" w:hAnsi="Times New Roman" w:cs="Times New Roman" w:eastAsia="Times New Roman"/>
          <w:sz w:val="24"/>
        </w:rPr>
        <w:t xml:space="preserve">(4) Forfatter er kjent med plagiatkontroll i URKUND.</w:t>
      </w:r>
    </w:p>
    <w:p>
      <w:pPr>
        <w:pStyle w:val="Compact"/>
        <w:numPr>
          <w:ilvl w:val="0"/>
          <w:numId w:val="1005"/>
        </w:numPr>
        <w:spacing w:line="360" w:lineRule="auto"/>
      </w:pPr>
      <w:r>
        <w:rPr>
          <w:rFonts w:ascii="Times New Roman" w:hAnsi="Times New Roman" w:cs="Times New Roman" w:eastAsia="Times New Roman"/>
          <w:sz w:val="24"/>
        </w:rPr>
        <w:t xml:space="preserve">(5) Forfatter er kjent med høgskolens fuskebehandling.</w:t>
      </w:r>
    </w:p>
    <w:p>
      <w:pPr>
        <w:pStyle w:val="Compact"/>
        <w:numPr>
          <w:ilvl w:val="0"/>
          <w:numId w:val="1006"/>
        </w:numPr>
        <w:spacing w:line="360" w:lineRule="auto"/>
      </w:pPr>
      <w:r>
        <w:rPr>
          <w:rFonts w:ascii="Times New Roman" w:hAnsi="Times New Roman" w:cs="Times New Roman" w:eastAsia="Times New Roman"/>
          <w:sz w:val="24"/>
        </w:rPr>
        <w:t xml:space="preserve">(6) Forfatter har satt seg inn i bibliotekets regler for kildebruk.</w:t>
      </w:r>
    </w:p>
    <w:p>
      <w:pPr>
        <w:pStyle w:val="FirstParagraph"/>
        <w:spacing w:line="360" w:lineRule="auto"/>
      </w:pPr>
      <w:r>
        <w:rPr>
          <w:rFonts w:ascii="Times New Roman" w:hAnsi="Times New Roman" w:cs="Times New Roman" w:eastAsia="Times New Roman"/>
          <w:b/>
          <w:bCs/>
          <w:sz w:val="24"/>
        </w:rPr>
        <w:t xml:space="preserve">Personvern: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Ikke meldt til NSD;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inneholder ingen direkte personopplysninger og yacht-IDer er anonymisert (</w:t>
      </w:r>
      <w:r>
        <w:rPr>
          <w:rStyle w:val="VerbatimChar"/>
          <w:rFonts w:ascii="Times New Roman" w:hAnsi="Times New Roman" w:cs="Times New Roman" w:eastAsia="Times New Roman"/>
          <w:sz w:val="24"/>
        </w:rPr>
        <w:t xml:space="preserve">yacht_1, …, yacht_19</w:t>
      </w:r>
      <w:r>
        <w:rPr>
          <w:rFonts w:ascii="Times New Roman" w:hAnsi="Times New Roman" w:cs="Times New Roman" w:eastAsia="Times New Roman"/>
          <w:sz w:val="24"/>
        </w:rPr>
        <w:t xml:space="preserve">), jf. § 9.8.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Helseforskningsloven: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Ikke aktuelt.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Publiseringsavtale Brage HiM: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Ja ☐ Nei.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Båndlagt: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Ja ☐ Nei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(velges ved innlevering).</w:t>
      </w:r>
    </w:p>
    <w:p>
      <w:pPr>
        <w:spacing w:line="360" w:lineRule="auto"/>
      </w:pPr>
      <w:r>
        <w:rPr>
          <w:rFonts w:ascii="Times New Roman" w:hAnsi="Times New Roman" w:cs="Times New Roman" w:eastAsia="Times New Roman"/>
          <w:sz w:val="24"/>
        </w:rPr>
        <w:pict>
          <v:rect style="width:0;height:1.5pt" o:hralign="center" o:hrstd="t" o:hr="t"/>
        </w:pict>
      </w:r>
    </w:p>
    <w:bookmarkEnd w:id="9"/>
    <w:bookmarkStart w:id="10" w:name="sammendrag"/>
    <w:p>
      <w:pPr>
        <w:pStyle w:val="Heading2"/>
        <w:spacing w:line="360" w:lineRule="auto"/>
      </w:pPr>
      <w:r>
        <w:rPr>
          <w:rFonts w:ascii="Times New Roman" w:hAnsi="Times New Roman" w:cs="Times New Roman" w:eastAsia="Times New Roman"/>
          <w:sz w:val="24"/>
        </w:rPr>
        <w:t xml:space="preserve">Sammendrag</w:t>
      </w:r>
    </w:p>
    <w:p>
      <w:pPr>
        <w:pStyle w:val="FirstParagraph"/>
        <w:spacing w:line="360" w:lineRule="auto"/>
      </w:pPr>
      <w:r>
        <w:rPr>
          <w:rFonts w:ascii="Times New Roman" w:hAnsi="Times New Roman" w:cs="Times New Roman" w:eastAsia="Times New Roman"/>
          <w:sz w:val="24"/>
        </w:rPr>
        <w:t xml:space="preserve">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tabell 1.1): gradient boosting + kryssvalidering + SHAP +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17 350 EUR, wMAPE = 71,4 %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oppnår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19 051 EUR, wMAPE = 74,3 %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 10 % degradering val→test, forventet etter seleksjon. Modellen er pakket som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under to sekunder.</w:t>
      </w:r>
    </w:p>
    <w:p>
      <w:pPr>
        <w:spacing w:line="360" w:lineRule="auto"/>
      </w:pPr>
      <w:r>
        <w:rPr>
          <w:rFonts w:ascii="Times New Roman" w:hAnsi="Times New Roman" w:cs="Times New Roman" w:eastAsia="Times New Roman"/>
          <w:sz w:val="24"/>
        </w:rPr>
        <w:pict>
          <v:rect style="width:0;height:1.5pt" o:hralign="center" o:hrstd="t" o:hr="t"/>
        </w:pict>
      </w:r>
    </w:p>
    <w:bookmarkEnd w:id="10"/>
    <w:bookmarkStart w:id="11" w:name="abstract"/>
    <w:p>
      <w:pPr>
        <w:pStyle w:val="Heading2"/>
        <w:spacing w:line="360" w:lineRule="auto"/>
      </w:pPr>
      <w:r>
        <w:rPr>
          <w:rFonts w:ascii="Times New Roman" w:hAnsi="Times New Roman" w:cs="Times New Roman" w:eastAsia="Times New Roman"/>
          <w:sz w:val="24"/>
        </w:rPr>
        <w:t xml:space="preserve">Abstract</w:t>
      </w:r>
    </w:p>
    <w:p>
      <w:pPr>
        <w:pStyle w:val="FirstParagraph"/>
        <w:spacing w:line="360" w:lineRule="auto"/>
      </w:pPr>
      <w:r>
        <w:rPr>
          <w:rFonts w:ascii="Times New Roman" w:hAnsi="Times New Roman" w:cs="Times New Roman" w:eastAsia="Times New Roman"/>
          <w:sz w:val="24"/>
        </w:rPr>
        <w:t xml:space="preserve">NautiCost is a pre-arrival decision-support tool that estimates the total cost of a super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yacht port call in Norway, Sweden or Denmark. Trained on 1,647 service transactions (2020–2025) from SDK Shipping covering 17 yachts, it follows a curriculum-anchored methodology (Pettersen &amp; Rekdal, 2026, Table 1.1): gradient boosting, cross-validation, SHAP and hyper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parameter tuning. Cost is modelled per transaction with a log-transformed target and a LightGBM + CatBoost ensemble, then aggregated via port templates and traffic weights, and calibrated against empirical P25/P50/P75 percentiles per (port, size). Source data are in EUR; the frontend converts to NOK/DKK at the API boundary. Validation (2024, n = 490):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€17,350 / wMAPE = 71.4 %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 better than median baseline. Hold-out test (2025, n = 649):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€19,051 / wMAPE = 74.3 %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 10 % val→test degradation, as expected from model selection. Deployed as FastAPI + Next.js with sub-two-second response.</w:t>
      </w:r>
    </w:p>
    <w:p>
      <w:pPr>
        <w:spacing w:line="360" w:lineRule="auto"/>
      </w:pPr>
      <w:r>
        <w:rPr>
          <w:rFonts w:ascii="Times New Roman" w:hAnsi="Times New Roman" w:cs="Times New Roman" w:eastAsia="Times New Roman"/>
          <w:sz w:val="24"/>
        </w:rPr>
        <w:pict>
          <v:rect style="width:0;height:1.5pt" o:hralign="center" o:hrstd="t" o:hr="t"/>
        </w:pict>
      </w:r>
    </w:p>
    <w:bookmarkEnd w:id="11"/>
    <w:bookmarkStart w:id="12" w:name="takk-til"/>
    <w:p>
      <w:pPr>
        <w:pStyle w:val="Heading2"/>
        <w:spacing w:line="360" w:lineRule="auto"/>
      </w:pPr>
      <w:r>
        <w:rPr>
          <w:rFonts w:ascii="Times New Roman" w:hAnsi="Times New Roman" w:cs="Times New Roman" w:eastAsia="Times New Roman"/>
          <w:sz w:val="24"/>
        </w:rPr>
        <w:t xml:space="preserve">Takk til</w:t>
      </w:r>
    </w:p>
    <w:p>
      <w:pPr>
        <w:pStyle w:val="FirstParagraph"/>
        <w:spacing w:line="360" w:lineRule="auto"/>
      </w:pPr>
      <w:r>
        <w:rPr>
          <w:rFonts w:ascii="Times New Roman" w:hAnsi="Times New Roman" w:cs="Times New Roman" w:eastAsia="Times New Roman"/>
          <w:sz w:val="24"/>
        </w:rPr>
        <w:t xml:space="preserve">Takk til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SDK Shipping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tilgang til 2020–2025-fakturadata og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og til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agency manager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brukertesten i mai 2026 — funnene i § 9.5 hadde ikke vært mulige uten dialogen. Takk til foreleserne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Bjørn-Inge Pettersen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 Kristian Rekdal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kompendiet og veiledning; metodevalget er direkte forankret i deres rammeverk (§ 2.2 og § 5.0). Takk til Gruppe 10 for peer-review 2026-05-07 — innspill sporet og lukket i Vedlegg G.</w:t>
      </w:r>
    </w:p>
    <w:p>
      <w:pPr>
        <w:pStyle w:val="BodyText"/>
        <w:spacing w:line="360" w:lineRule="auto"/>
      </w:pPr>
      <w:r>
        <w:rPr>
          <w:rFonts w:ascii="Times New Roman" w:hAnsi="Times New Roman" w:cs="Times New Roman" w:eastAsia="Times New Roman"/>
          <w:b/>
          <w:bCs/>
          <w:sz w:val="24"/>
        </w:rPr>
        <w:t xml:space="preserve">KI-erklæring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(jf. HiMs retningslinjer for transparent KI-bruk):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Anthropic Claude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(Claude Sonnet/Opus via Claude Code-CLI) er brukt som skrive- og kode-assistent.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Kode</w:t>
      </w:r>
      <w:r>
        <w:rPr>
          <w:rFonts w:ascii="Times New Roman" w:hAnsi="Times New Roman" w:cs="Times New Roman" w:eastAsia="Times New Roman"/>
          <w:sz w:val="24"/>
        </w:rPr>
        <w:t xml:space="preserve">: store deler av Python-pipeline og frontend er ko-utviklet i Claude-sesjoner; all kode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 på GitHub.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Rapporttekst</w:t>
      </w:r>
      <w:r>
        <w:rPr>
          <w:rFonts w:ascii="Times New Roman" w:hAnsi="Times New Roman" w:cs="Times New Roman" w:eastAsia="Times New Roman"/>
          <w:sz w:val="24"/>
        </w:rPr>
        <w:t xml:space="preserve">: utkast til § 2–§ 3, § 6.5, § 9.4 og § 9.5 er skrevet via prompt-og-redigér; alle tall, sitater og referanser er gjenkontrollert mot kildene.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Litteratur</w:t>
      </w:r>
      <w:r>
        <w:rPr>
          <w:rFonts w:ascii="Times New Roman" w:hAnsi="Times New Roman" w:cs="Times New Roman" w:eastAsia="Times New Roman"/>
          <w:sz w:val="24"/>
        </w:rPr>
        <w:t xml:space="preserve">: DOI-er krysssjekket mot Crossref etter at to KI-hallusinerte forfatter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navn ble oppdaget i tidlig versjon.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Forfatterens eget arbeid</w:t>
      </w:r>
      <w:r>
        <w:rPr>
          <w:rFonts w:ascii="Times New Roman" w:hAnsi="Times New Roman" w:cs="Times New Roman" w:eastAsia="Times New Roman"/>
          <w:sz w:val="24"/>
        </w:rPr>
        <w:t xml:space="preserve">: case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beskrivelse, data,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 brukertest mai 2026 og denne erklæringen. KI er brukt som assistent, ikke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erstatning. Alle resultat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er reproduserbare via skriptene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w:t>
      </w:r>
      <w:r>
        <w:rPr>
          <w:rFonts w:ascii="Times New Roman" w:hAnsi="Times New Roman" w:cs="Times New Roman" w:eastAsia="Times New Roman"/>
          <w:sz w:val="24"/>
        </w:rPr>
        <w:t xml:space="preserve">.</w:t>
      </w:r>
    </w:p>
    <w:p>
      <w:pPr>
        <w:spacing w:line="360" w:lineRule="auto"/>
      </w:pPr>
      <w:r>
        <w:rPr>
          <w:rFonts w:ascii="Times New Roman" w:hAnsi="Times New Roman" w:cs="Times New Roman" w:eastAsia="Times New Roman"/>
          <w:sz w:val="24"/>
        </w:rPr>
        <w:pict>
          <v:rect style="width:0;height:1.5pt" o:hralign="center" o:hrstd="t" o:hr="t"/>
        </w:pict>
      </w:r>
    </w:p>
    <w:bookmarkEnd w:id="12"/>
    <w:bookmarkStart w:id="18" w:name="innledning"/>
    <w:p>
      <w:pPr>
        <w:pStyle w:val="Heading2"/>
        <w:spacing w:line="360" w:lineRule="auto"/>
      </w:pPr>
      <w:r>
        <w:rPr>
          <w:rFonts w:ascii="Times New Roman" w:hAnsi="Times New Roman" w:cs="Times New Roman" w:eastAsia="Times New Roman"/>
          <w:sz w:val="24"/>
        </w:rPr>
        <w:t xml:space="preserve">1. Innledning</w:t>
      </w:r>
    </w:p>
    <w:p>
      <w:pPr>
        <w:pStyle w:val="FirstParagraph"/>
        <w:spacing w:line="360" w:lineRule="auto"/>
      </w:pPr>
      <w:r>
        <w:rPr>
          <w:rFonts w:ascii="Times New Roman" w:hAnsi="Times New Roman" w:cs="Times New Roman" w:eastAsia="Times New Roman"/>
          <w:sz w:val="24"/>
        </w:rPr>
        <w:t xml:space="preserve">Internasjonale superyachter genererer betydelige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inntekter for skandinaviske havneagenter, men kostnadsbildet ved et havneanløp er komplekst: ett anløp består typisk av 5–40 separate transaksjoner fordelt på havneavgift, los, hospitality, proviant, agenttjenester og bunkers. I dag estimeres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naden manuelt av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basert på erfaring og oppslag i tidligere fakturaer, hvilket er tidkrevende og inkonsistent. Resultatet er at yachteiere ofte mottar grove anslag som senere må justeres.</w:t>
      </w:r>
    </w:p>
    <w:p>
      <w:pPr>
        <w:pStyle w:val="BodyText"/>
        <w:spacing w:line="360" w:lineRule="auto"/>
      </w:pPr>
      <w:r>
        <w:rPr>
          <w:rFonts w:ascii="Times New Roman" w:hAnsi="Times New Roman" w:cs="Times New Roman" w:eastAsia="Times New Roman"/>
          <w:sz w:val="24"/>
        </w:rPr>
        <w:t xml:space="preserve">Dette prosjektet utvikler et datadrevet estimerings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verktøy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NautiCost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som tar inn en yachts spesifikasjoner og en tenkt reise (land, måned, oppholdslengde,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returnerer en totalpris fordelt på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sammen med et historisk kostnadsspenn (P25–P75) for konteksten anløpet hører til.</w:t>
      </w:r>
    </w:p>
    <w:bookmarkStart w:id="13" w:name="problemstilling"/>
    <w:p>
      <w:pPr>
        <w:pStyle w:val="Heading3"/>
        <w:spacing w:line="360" w:lineRule="auto"/>
      </w:pPr>
      <w:r>
        <w:rPr>
          <w:rFonts w:ascii="Times New Roman" w:hAnsi="Times New Roman" w:cs="Times New Roman" w:eastAsia="Times New Roman"/>
          <w:sz w:val="24"/>
        </w:rPr>
        <w:t xml:space="preserve">1.1 Problemstilling</w:t>
      </w:r>
    </w:p>
    <w:p>
      <w:pPr>
        <w:pStyle w:val="BlockText"/>
        <w:spacing w:line="360" w:lineRule="auto"/>
      </w:pPr>
      <w:r>
        <w:rPr>
          <w:rFonts w:ascii="Times New Roman" w:hAnsi="Times New Roman" w:cs="Times New Roman" w:eastAsia="Times New Roman"/>
          <w:b/>
          <w:bCs/>
          <w:sz w:val="24"/>
        </w:rPr>
        <w:t xml:space="preserve">Hovedspørsmål: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 presist og forklarbart kan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et superyachthavne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i Skandinavia estimeres ut fra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destinasjon og sesong, basert på historiske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w:t>
      </w:r>
    </w:p>
    <w:bookmarkEnd w:id="13"/>
    <w:bookmarkStart w:id="14" w:name="delproblemer"/>
    <w:p>
      <w:pPr>
        <w:pStyle w:val="Heading3"/>
        <w:spacing w:line="360" w:lineRule="auto"/>
      </w:pPr>
      <w:r>
        <w:rPr>
          <w:rFonts w:ascii="Times New Roman" w:hAnsi="Times New Roman" w:cs="Times New Roman" w:eastAsia="Times New Roman"/>
          <w:sz w:val="24"/>
        </w:rPr>
        <w:t xml:space="preserve">1.2 Delproblemer</w:t>
      </w:r>
    </w:p>
    <w:p>
      <w:pPr>
        <w:pStyle w:val="Compact"/>
        <w:numPr>
          <w:ilvl w:val="0"/>
          <w:numId w:val="1007"/>
        </w:numPr>
        <w:spacing w:line="360" w:lineRule="auto"/>
      </w:pPr>
      <w:r>
        <w:rPr>
          <w:rFonts w:ascii="Times New Roman" w:hAnsi="Times New Roman" w:cs="Times New Roman" w:eastAsia="Times New Roman"/>
          <w:b/>
          <w:bCs/>
          <w:sz w:val="24"/>
        </w:rPr>
        <w:t xml:space="preserve">DP1 — Datagrunnlag.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 variabler i SDK Shipping sine fakturaer og kjøpsord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har størst forklarings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kraft for kostnaden per transaksjon?</w:t>
      </w:r>
    </w:p>
    <w:p>
      <w:pPr>
        <w:pStyle w:val="Compact"/>
        <w:numPr>
          <w:ilvl w:val="0"/>
          <w:numId w:val="1007"/>
        </w:numPr>
        <w:spacing w:line="360" w:lineRule="auto"/>
      </w:pPr>
      <w:r>
        <w:rPr>
          <w:rFonts w:ascii="Times New Roman" w:hAnsi="Times New Roman" w:cs="Times New Roman" w:eastAsia="Times New Roman"/>
          <w:b/>
          <w:bCs/>
          <w:sz w:val="24"/>
        </w:rPr>
        <w:t xml:space="preserve">DP2 — Modell.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Hvilken læringsmodell gir lavest prognosefeil (MAE/RMSE) på et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testsett, gitt en sterkt høyreskjev kostnadsfordeling?</w:t>
      </w:r>
    </w:p>
    <w:p>
      <w:pPr>
        <w:pStyle w:val="Compact"/>
        <w:numPr>
          <w:ilvl w:val="0"/>
          <w:numId w:val="1007"/>
        </w:numPr>
        <w:spacing w:line="360" w:lineRule="auto"/>
      </w:pPr>
      <w:r>
        <w:rPr>
          <w:rFonts w:ascii="Times New Roman" w:hAnsi="Times New Roman" w:cs="Times New Roman" w:eastAsia="Times New Roman"/>
          <w:b/>
          <w:bCs/>
          <w:sz w:val="24"/>
        </w:rPr>
        <w:t xml:space="preserve">DP3 — 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en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aggregeres til realistiske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nader per havneanløp, og kalibreres mot historiske persentiler slik at estimatene blir konservative?</w:t>
      </w:r>
    </w:p>
    <w:p>
      <w:pPr>
        <w:pStyle w:val="Compact"/>
        <w:numPr>
          <w:ilvl w:val="0"/>
          <w:numId w:val="1007"/>
        </w:numPr>
        <w:spacing w:line="360" w:lineRule="auto"/>
      </w:pPr>
      <w:r>
        <w:rPr>
          <w:rFonts w:ascii="Times New Roman" w:hAnsi="Times New Roman" w:cs="Times New Roman" w:eastAsia="Times New Roman"/>
          <w:b/>
          <w:bCs/>
          <w:sz w:val="24"/>
        </w:rPr>
        <w:t xml:space="preserve">DP4 — Usikkerhet.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estimatets usikkerhet kommuniseres til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slik at sluttkunden får et realistisk spenn og ikke et villedende punkt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p>
    <w:p>
      <w:pPr>
        <w:pStyle w:val="Compact"/>
        <w:numPr>
          <w:ilvl w:val="0"/>
          <w:numId w:val="1007"/>
        </w:numPr>
        <w:spacing w:line="360" w:lineRule="auto"/>
      </w:pPr>
      <w:r>
        <w:rPr>
          <w:rFonts w:ascii="Times New Roman" w:hAnsi="Times New Roman" w:cs="Times New Roman" w:eastAsia="Times New Roman"/>
          <w:b/>
          <w:bCs/>
          <w:sz w:val="24"/>
        </w:rPr>
        <w:t xml:space="preserve">DP5 — Operasjonalisering.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modellen pakkes inn i en lett 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gjengelig web-tjeneste som svarer innen to sekunder?</w:t>
      </w:r>
    </w:p>
    <w:bookmarkEnd w:id="14"/>
    <w:bookmarkStart w:id="15" w:name="avgrensninger"/>
    <w:p>
      <w:pPr>
        <w:pStyle w:val="Heading3"/>
        <w:spacing w:line="360" w:lineRule="auto"/>
      </w:pPr>
      <w:r>
        <w:rPr>
          <w:rFonts w:ascii="Times New Roman" w:hAnsi="Times New Roman" w:cs="Times New Roman" w:eastAsia="Times New Roman"/>
          <w:sz w:val="24"/>
        </w:rPr>
        <w:t xml:space="preserve">1.3 Avgrensninger</w:t>
      </w:r>
    </w:p>
    <w:p>
      <w:pPr>
        <w:pStyle w:val="Compact"/>
        <w:numPr>
          <w:ilvl w:val="0"/>
          <w:numId w:val="1008"/>
        </w:numPr>
        <w:spacing w:line="360" w:lineRule="auto"/>
      </w:pPr>
      <w:r>
        <w:rPr>
          <w:rFonts w:ascii="Times New Roman" w:hAnsi="Times New Roman" w:cs="Times New Roman" w:eastAsia="Times New Roman"/>
          <w:b/>
          <w:bCs/>
          <w:sz w:val="24"/>
        </w:rPr>
        <w:t xml:space="preserve">Geografi: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Kun Norge, Sverige og Danmark. 12 havner totalt: Bergen, Tromsø, Svolvær, Ålesund, Kristiansand, Stavanger (NO); Stockholm, Göteborg, Malmö (SE); København, Esbjerg, Fredericia (DK).</w:t>
      </w:r>
    </w:p>
    <w:p>
      <w:pPr>
        <w:pStyle w:val="Compact"/>
        <w:numPr>
          <w:ilvl w:val="0"/>
          <w:numId w:val="1008"/>
        </w:numPr>
        <w:spacing w:line="360" w:lineRule="auto"/>
      </w:pPr>
      <w:r>
        <w:rPr>
          <w:rFonts w:ascii="Times New Roman" w:hAnsi="Times New Roman" w:cs="Times New Roman" w:eastAsia="Times New Roman"/>
          <w:b/>
          <w:bCs/>
          <w:sz w:val="24"/>
        </w:rPr>
        <w:t xml:space="preserve">Periode: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Treningsdata fra perioden 2020–2025. Eldre data er utelatt grunnet endrede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kategorier og prisnivå.</w:t>
      </w:r>
    </w:p>
    <w:p>
      <w:pPr>
        <w:pStyle w:val="Compact"/>
        <w:numPr>
          <w:ilvl w:val="0"/>
          <w:numId w:val="1008"/>
        </w:numPr>
        <w:spacing w:line="360" w:lineRule="auto"/>
      </w:pPr>
      <w:r>
        <w:rPr>
          <w:rFonts w:ascii="Times New Roman" w:hAnsi="Times New Roman" w:cs="Times New Roman" w:eastAsia="Times New Roman"/>
          <w:b/>
          <w:bCs/>
          <w:sz w:val="24"/>
        </w:rPr>
        <w:t xml:space="preserve">Yachtklasse: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på 17 superyachter med GT i intervallet 51,9–2 407 (median 152 GT, LOA 18,9–79,2 m). Ekstrapolering til langt mindre eller langt større fartøy er ikke validert.</w:t>
      </w:r>
    </w:p>
    <w:p>
      <w:pPr>
        <w:pStyle w:val="Compact"/>
        <w:numPr>
          <w:ilvl w:val="0"/>
          <w:numId w:val="1008"/>
        </w:numPr>
        <w:spacing w:line="360" w:lineRule="auto"/>
      </w:pPr>
      <w:r>
        <w:rPr>
          <w:rFonts w:ascii="Times New Roman" w:hAnsi="Times New Roman" w:cs="Times New Roman" w:eastAsia="Times New Roman"/>
          <w:b/>
          <w:bCs/>
          <w:sz w:val="24"/>
        </w:rPr>
        <w:t xml:space="preserve">Valuta: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Kildedata fra SDK Shipping er denominert 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cockpit-rapportene (</w:t>
      </w:r>
      <w:r>
        <w:rPr>
          <w:rStyle w:val="VerbatimChar"/>
          <w:rFonts w:ascii="Times New Roman" w:hAnsi="Times New Roman" w:cs="Times New Roman" w:eastAsia="Times New Roman"/>
          <w:sz w:val="24"/>
        </w:rPr>
        <w:t xml:space="preserve">004 data/cockpit_2020.csv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cockpit_2025.csv</w:t>
      </w:r>
      <w:r>
        <w:rPr>
          <w:rFonts w:ascii="Times New Roman" w:hAnsi="Times New Roman" w:cs="Times New Roman" w:eastAsia="Times New Roman"/>
          <w:sz w:val="24"/>
        </w:rPr>
        <w:t xml:space="preserve">) har eksplisitte EUR-kolonneoverskrifter, og fakturabeløpene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costs_clean.csv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ligger i 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(typisk 1 000–10 000 EUR per transaksjon for et superyacht-anløp). Modellen er derfor trent og rapporteres i EUR. Frontend konverterer til NOK eller DKK ved API-grensa via konstantene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(kurs mai 2026: EUR/NOK ≈ 11,50, EUR/DKK = 7,46 — DKK er fastlåst mot EUR via ERM II). Konstantene oppdateres mot ECBs referansekurs ved behov og introduserer en ekstra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kilde for NOK-rapporterte tall (jf. § 9.5). Inflasjonsjustering er ikke gjennomført.</w:t>
      </w:r>
    </w:p>
    <w:p>
      <w:pPr>
        <w:pStyle w:val="Compact"/>
        <w:numPr>
          <w:ilvl w:val="0"/>
          <w:numId w:val="1008"/>
        </w:numPr>
        <w:spacing w:line="360" w:lineRule="auto"/>
      </w:pPr>
      <w:r>
        <w:rPr>
          <w:rFonts w:ascii="Times New Roman" w:hAnsi="Times New Roman" w:cs="Times New Roman" w:eastAsia="Times New Roman"/>
          <w:b/>
          <w:bCs/>
          <w:sz w:val="24"/>
        </w:rPr>
        <w:t xml:space="preserve">Forretningsmål: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Verktøyet gir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ikke pristilbud. Marginer, valutarisiko og kontrakts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vilkår er ikke en del av leveransen.</w:t>
      </w:r>
    </w:p>
    <w:bookmarkEnd w:id="15"/>
    <w:bookmarkStart w:id="16" w:name="antakelser"/>
    <w:p>
      <w:pPr>
        <w:pStyle w:val="Heading3"/>
        <w:spacing w:line="360" w:lineRule="auto"/>
      </w:pPr>
      <w:r>
        <w:rPr>
          <w:rFonts w:ascii="Times New Roman" w:hAnsi="Times New Roman" w:cs="Times New Roman" w:eastAsia="Times New Roman"/>
          <w:sz w:val="24"/>
        </w:rPr>
        <w:t xml:space="preserve">1.4 Antakelser</w:t>
      </w:r>
    </w:p>
    <w:p>
      <w:pPr>
        <w:pStyle w:val="Compact"/>
        <w:numPr>
          <w:ilvl w:val="0"/>
          <w:numId w:val="1009"/>
        </w:numPr>
        <w:spacing w:line="360" w:lineRule="auto"/>
      </w:pPr>
      <w:r>
        <w:rPr>
          <w:rFonts w:ascii="Times New Roman" w:hAnsi="Times New Roman" w:cs="Times New Roman" w:eastAsia="Times New Roman"/>
          <w:b/>
          <w:bCs/>
          <w:sz w:val="24"/>
        </w:rPr>
        <w:t xml:space="preserve">A1.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Historisk tjenestesammensetning per havn (fanget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er stabil i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horisonten 0–12 måneder.</w:t>
      </w:r>
    </w:p>
    <w:p>
      <w:pPr>
        <w:pStyle w:val="Compact"/>
        <w:numPr>
          <w:ilvl w:val="0"/>
          <w:numId w:val="1009"/>
        </w:numPr>
        <w:spacing w:line="360" w:lineRule="auto"/>
      </w:pPr>
      <w:r>
        <w:rPr>
          <w:rFonts w:ascii="Times New Roman" w:hAnsi="Times New Roman" w:cs="Times New Roman" w:eastAsia="Times New Roman"/>
          <w:b/>
          <w:bCs/>
          <w:sz w:val="24"/>
        </w:rPr>
        <w:t xml:space="preserve">A2.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Trafikkvektene per havn (antall historiske anløp) er en rimelig proxy for fordeling av framtidige anløp i samme land.</w:t>
      </w:r>
    </w:p>
    <w:p>
      <w:pPr>
        <w:pStyle w:val="Compact"/>
        <w:numPr>
          <w:ilvl w:val="0"/>
          <w:numId w:val="1009"/>
        </w:numPr>
        <w:spacing w:line="360" w:lineRule="auto"/>
      </w:pPr>
      <w:r>
        <w:rPr>
          <w:rFonts w:ascii="Times New Roman" w:hAnsi="Times New Roman" w:cs="Times New Roman" w:eastAsia="Times New Roman"/>
          <w:b/>
          <w:bCs/>
          <w:sz w:val="24"/>
        </w:rPr>
        <w:t xml:space="preserve">A3.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i datasettet er korrekt registrert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-feltet, og rader uten gyldig pris (</w:t>
      </w:r>
      <w:r>
        <w:rPr>
          <w:rStyle w:val="VerbatimChar"/>
          <w:rFonts w:ascii="Times New Roman" w:hAnsi="Times New Roman" w:cs="Times New Roman" w:eastAsia="Times New Roman"/>
          <w:sz w:val="24"/>
        </w:rPr>
        <w:t xml:space="preserve">final_charge ≤ 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eller manglende) 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registreringer som kan fjernes uten å skape skjevhet.</w:t>
      </w:r>
    </w:p>
    <w:p>
      <w:pPr>
        <w:pStyle w:val="Compact"/>
        <w:numPr>
          <w:ilvl w:val="0"/>
          <w:numId w:val="1009"/>
        </w:numPr>
        <w:spacing w:line="360" w:lineRule="auto"/>
      </w:pPr>
      <w:r>
        <w:rPr>
          <w:rFonts w:ascii="Times New Roman" w:hAnsi="Times New Roman" w:cs="Times New Roman" w:eastAsia="Times New Roman"/>
          <w:b/>
          <w:bCs/>
          <w:sz w:val="24"/>
        </w:rPr>
        <w:t xml:space="preserve">A4.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log-transformasjon på kostnaden gir en tilstrekkelig symmetrisk feilfordeling til at MAE/RMSE-baserte modeller fungerer godt.</w:t>
      </w:r>
    </w:p>
    <w:bookmarkEnd w:id="16"/>
    <w:bookmarkStart w:id="17" w:name="anvendte-bidrag-i-case-studien"/>
    <w:p>
      <w:pPr>
        <w:pStyle w:val="Heading3"/>
        <w:spacing w:line="360" w:lineRule="auto"/>
      </w:pPr>
      <w:r>
        <w:rPr>
          <w:rFonts w:ascii="Times New Roman" w:hAnsi="Times New Roman" w:cs="Times New Roman" w:eastAsia="Times New Roman"/>
          <w:sz w:val="24"/>
        </w:rPr>
        <w:t xml:space="preserve">1.5 Anvendte bidrag i case-studien</w:t>
      </w:r>
    </w:p>
    <w:p>
      <w:pPr>
        <w:pStyle w:val="FirstParagraph"/>
        <w:spacing w:line="360" w:lineRule="auto"/>
      </w:pPr>
      <w:r>
        <w:rPr>
          <w:rFonts w:ascii="Times New Roman" w:hAnsi="Times New Roman" w:cs="Times New Roman" w:eastAsia="Times New Roman"/>
          <w:sz w:val="24"/>
        </w:rPr>
        <w:t xml:space="preserve">Studien er en case-studie (jf. kompendiets § B.4) i en konkret bedrift. Innenfor den rammen leveres tre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anvendte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konkrete fremgangs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måter demonstrert på SDK Shipping sitt datasett, ikke generaliserte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funn:</w:t>
      </w:r>
    </w:p>
    <w:p>
      <w:pPr>
        <w:pStyle w:val="Compact"/>
        <w:numPr>
          <w:ilvl w:val="0"/>
          <w:numId w:val="1010"/>
        </w:numPr>
        <w:spacing w:line="360" w:lineRule="auto"/>
      </w:pPr>
      <w:r>
        <w:rPr>
          <w:rFonts w:ascii="Times New Roman" w:hAnsi="Times New Roman" w:cs="Times New Roman" w:eastAsia="Times New Roman"/>
          <w:b/>
          <w:bCs/>
          <w:sz w:val="24"/>
        </w:rPr>
        <w:t xml:space="preserve">Transaksjonsnivå-modellering med empirisk persentil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kalibrering på anløpsnivå.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Mens eksisterende studier modellerer én totalkostnad per reise (Jang et al., 2023; Su et al., 2024) eller aggregat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(Jahangard et al., 2025), modelleres her hver av 5–40 transaksjoner per anløp separat og aggregeres via portmaler, trafikkvekter og hybrid P25/P50/P75-forankring. Empirisk demonstrert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(n ≈ 1 600, 17 yachter).</w:t>
      </w:r>
    </w:p>
    <w:p>
      <w:pPr>
        <w:pStyle w:val="Compact"/>
        <w:numPr>
          <w:ilvl w:val="0"/>
          <w:numId w:val="1010"/>
        </w:numPr>
        <w:spacing w:line="360" w:lineRule="auto"/>
      </w:pPr>
      <w:r>
        <w:rPr>
          <w:rFonts w:ascii="Times New Roman" w:hAnsi="Times New Roman" w:cs="Times New Roman" w:eastAsia="Times New Roman"/>
          <w:b/>
          <w:bCs/>
          <w:sz w:val="24"/>
        </w:rPr>
        <w:t xml:space="preserve">Empirisk dokumentasjon av CQRs grense under manglende feature.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(Romano et al., 2019) er teoretisk etablert, men brukertesten viste konkret hvor metoden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kompenserer — Provisions, der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er u</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observerbar. Marginal dekning (80 %) opprettholdes, men betinget dekning på Provisions degraderer. Anvendt illustrasjon, ikke teoretisk utvidelse.</w:t>
      </w:r>
    </w:p>
    <w:p>
      <w:pPr>
        <w:pStyle w:val="Compact"/>
        <w:numPr>
          <w:ilvl w:val="0"/>
          <w:numId w:val="1010"/>
        </w:numPr>
        <w:spacing w:line="360" w:lineRule="auto"/>
      </w:pPr>
      <w:r>
        <w:rPr>
          <w:rFonts w:ascii="Times New Roman" w:hAnsi="Times New Roman" w:cs="Times New Roman" w:eastAsia="Times New Roman"/>
          <w:b/>
          <w:bCs/>
          <w:sz w:val="24"/>
        </w:rPr>
        <w:t xml:space="preserve">Operasjonelt mønster for hybride ML + deterministiske/regulatoriske kostnader.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Bredere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bidrag krever flere case-studier på tvers av sektorer.</w:t>
      </w:r>
    </w:p>
    <w:p>
      <w:pPr>
        <w:spacing w:line="360" w:lineRule="auto"/>
      </w:pPr>
      <w:r>
        <w:rPr>
          <w:rFonts w:ascii="Times New Roman" w:hAnsi="Times New Roman" w:cs="Times New Roman" w:eastAsia="Times New Roman"/>
          <w:sz w:val="24"/>
        </w:rPr>
        <w:pict>
          <v:rect style="width:0;height:1.5pt" o:hralign="center" o:hrstd="t" o:hr="t"/>
        </w:pict>
      </w:r>
    </w:p>
    <w:bookmarkEnd w:id="17"/>
    <w:bookmarkEnd w:id="18"/>
    <w:bookmarkStart w:id="23" w:name="litteratur"/>
    <w:p>
      <w:pPr>
        <w:pStyle w:val="Heading2"/>
        <w:spacing w:line="360" w:lineRule="auto"/>
      </w:pPr>
      <w:r>
        <w:rPr>
          <w:rFonts w:ascii="Times New Roman" w:hAnsi="Times New Roman" w:cs="Times New Roman" w:eastAsia="Times New Roman"/>
          <w:sz w:val="24"/>
        </w:rPr>
        <w:t xml:space="preserve">2. Litteratur</w:t>
      </w:r>
    </w:p>
    <w:p>
      <w:pPr>
        <w:pStyle w:val="FirstParagraph"/>
        <w:spacing w:line="360" w:lineRule="auto"/>
      </w:pPr>
      <w:r>
        <w:rPr>
          <w:rFonts w:ascii="Times New Roman" w:hAnsi="Times New Roman" w:cs="Times New Roman" w:eastAsia="Times New Roman"/>
          <w:sz w:val="24"/>
        </w:rP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9" w:name="X7c64d5c69e8be4aa342d1f5b50a96f4760fe6ea"/>
    <w:p>
      <w:pPr>
        <w:pStyle w:val="Heading3"/>
        <w:spacing w:line="360" w:lineRule="auto"/>
      </w:pPr>
      <w:r>
        <w:rPr>
          <w:rFonts w:ascii="Times New Roman" w:hAnsi="Times New Roman" w:cs="Times New Roman" w:eastAsia="Times New Roman"/>
          <w:sz w:val="24"/>
        </w:rPr>
        <w:t xml:space="preserve">2.1 Maskinlæring for kostnadsprediksjon i transport og logistikk</w:t>
      </w:r>
    </w:p>
    <w:p>
      <w:pPr>
        <w:pStyle w:val="FirstParagraph"/>
        <w:spacing w:line="360" w:lineRule="auto"/>
      </w:pPr>
      <w:r>
        <w:rPr>
          <w:rFonts w:ascii="Times New Roman" w:hAnsi="Times New Roman" w:cs="Times New Roman" w:eastAsia="Times New Roman"/>
          <w:sz w:val="24"/>
        </w:rP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spacing w:line="360" w:lineRule="auto"/>
      </w:pPr>
      <w:r>
        <w:rPr>
          <w:rFonts w:ascii="Times New Roman" w:hAnsi="Times New Roman" w:cs="Times New Roman" w:eastAsia="Times New Roman"/>
          <w:sz w:val="24"/>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resultatene i denne studien forholder seg til disse funnene drøftes i § 9.</w:t>
      </w:r>
    </w:p>
    <w:p>
      <w:pPr>
        <w:pStyle w:val="BodyText"/>
        <w:spacing w:line="360" w:lineRule="auto"/>
      </w:pPr>
      <w:r>
        <w:rPr>
          <w:rFonts w:ascii="Times New Roman" w:hAnsi="Times New Roman" w:cs="Times New Roman" w:eastAsia="Times New Roman"/>
          <w:sz w:val="24"/>
        </w:rPr>
        <w:t xml:space="preserve">I motsetning til de nevnte studiene, som predikerer en samlet kostnad eller rate per reise, modellerer NautiCost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transaksjonsnivå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9"/>
    <w:bookmarkStart w:id="20" w:name="X50f1a326dd81dd1da535bd6543ea8d29f23ade9"/>
    <w:p>
      <w:pPr>
        <w:pStyle w:val="Heading3"/>
        <w:spacing w:line="360" w:lineRule="auto"/>
      </w:pPr>
      <w:r>
        <w:rPr>
          <w:rFonts w:ascii="Times New Roman" w:hAnsi="Times New Roman" w:cs="Times New Roman" w:eastAsia="Times New Roman"/>
          <w:sz w:val="24"/>
        </w:rPr>
        <w:t xml:space="preserve">2.2 Gradient boosting på heterogene tabulære data</w:t>
      </w:r>
    </w:p>
    <w:p>
      <w:pPr>
        <w:pStyle w:val="FirstParagraph"/>
        <w:spacing w:line="360" w:lineRule="auto"/>
      </w:pPr>
      <w:r>
        <w:rPr>
          <w:rFonts w:ascii="Times New Roman" w:hAnsi="Times New Roman" w:cs="Times New Roman" w:eastAsia="Times New Roman"/>
          <w:sz w:val="24"/>
        </w:rP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spacing w:line="360" w:lineRule="auto"/>
      </w:pPr>
      <w:r>
        <w:rPr>
          <w:rFonts w:ascii="Times New Roman" w:hAnsi="Times New Roman" w:cs="Times New Roman" w:eastAsia="Times New Roman"/>
          <w:sz w:val="24"/>
        </w:rP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kategorisk/numerisk) faller godt innenfor dette regimet, og valget av et LightGBM + CatBoost-ensemble er dermed teoretisk og empirisk begrunnet.</w:t>
      </w:r>
    </w:p>
    <w:p>
      <w:pPr>
        <w:pStyle w:val="BodyText"/>
        <w:spacing w:line="360" w:lineRule="auto"/>
      </w:pPr>
      <w:r>
        <w:rPr>
          <w:rFonts w:ascii="Times New Roman" w:hAnsi="Times New Roman" w:cs="Times New Roman" w:eastAsia="Times New Roman"/>
          <w:sz w:val="24"/>
        </w:rP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som NautiCost-datasettet drøftes i § 9.2.</w:t>
      </w:r>
    </w:p>
    <w:p>
      <w:pPr>
        <w:pStyle w:val="BodyText"/>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i LOG650 (Pettersen &amp; Rekdal, 2026, tabell 1.1) klassifiserer prosjekter med mange forklaringsvariabler under metode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familien Random Forest / XGBoost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LightGBM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metodene gradient boosting, kryssvalidering, SHAP og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Metodevalget i NautiCost — LightGBM + CatBoost-ensemble, 5-fold kryssvalidering ved Optuna-tuning, TreeSHAP for forklarbarhet — er nøyaktig denne kombinasjonen, og er dermed direkte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Det skiller seg fra kompendiets standard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eksempel ved at modelleringen skjer på transaksjonsnivå snarere enn aggregert nivå, supplert med konform kalibrering (§ 2.3) for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w:t>
      </w:r>
    </w:p>
    <w:bookmarkEnd w:id="20"/>
    <w:bookmarkStart w:id="21" w:name="X52ccaa96010e029cb7ad8233c60e45490ae75db"/>
    <w:p>
      <w:pPr>
        <w:pStyle w:val="Heading3"/>
        <w:spacing w:line="360" w:lineRule="auto"/>
      </w:pPr>
      <w:r>
        <w:rPr>
          <w:rFonts w:ascii="Times New Roman" w:hAnsi="Times New Roman" w:cs="Times New Roman" w:eastAsia="Times New Roman"/>
          <w:sz w:val="24"/>
        </w:rPr>
        <w:t xml:space="preserve">2.3 Konform prediksjon og usikkerhetskvantifisering</w:t>
      </w:r>
    </w:p>
    <w:p>
      <w:pPr>
        <w:pStyle w:val="FirstParagraph"/>
        <w:spacing w:line="360" w:lineRule="auto"/>
      </w:pPr>
      <w:r>
        <w:rPr>
          <w:rFonts w:ascii="Times New Roman" w:hAnsi="Times New Roman" w:cs="Times New Roman" w:eastAsia="Times New Roman"/>
          <w:sz w:val="24"/>
        </w:rPr>
        <w:t xml:space="preserve">Punktprediksjoner alene er utilstrekkelige for beslutningsstøtte der kostnaden varierer over flere størrelsesordener. Romano et al. (2019) introduserte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pPr>
        <w:pStyle w:val="BodyText"/>
        <w:spacing w:line="360" w:lineRule="auto"/>
      </w:pPr>
      <w:r>
        <w:rPr>
          <w:rFonts w:ascii="Times New Roman" w:hAnsi="Times New Roman" w:cs="Times New Roman" w:eastAsia="Times New Roman"/>
          <w:sz w:val="24"/>
        </w:rPr>
        <w:t xml:space="preserve">CQR er attraktiv i et anvendt regime fordi den bevarer kvantilregresjonens evne til å tilpasse seg heteroskedastiske residualer, samtidig som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garantien sikrer at faktisk dekning ligger nær det nominelle nivået uten å anta en bestemt feilfordeling. Hvor godt dette fungerer på datasettet i denne studien rapporteres i § 6.4 og § 8.2.</w:t>
      </w:r>
    </w:p>
    <w:p>
      <w:pPr>
        <w:pStyle w:val="BodyText"/>
        <w:spacing w:line="360" w:lineRule="auto"/>
      </w:pPr>
      <w:r>
        <w:rPr>
          <w:rFonts w:ascii="Times New Roman" w:hAnsi="Times New Roman" w:cs="Times New Roman" w:eastAsia="Times New Roman"/>
          <w:sz w:val="24"/>
        </w:rP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21"/>
    <w:bookmarkStart w:id="22" w:name="forskningsgap"/>
    <w:p>
      <w:pPr>
        <w:pStyle w:val="Heading3"/>
        <w:spacing w:line="360" w:lineRule="auto"/>
      </w:pPr>
      <w:r>
        <w:rPr>
          <w:rFonts w:ascii="Times New Roman" w:hAnsi="Times New Roman" w:cs="Times New Roman" w:eastAsia="Times New Roman"/>
          <w:sz w:val="24"/>
        </w:rPr>
        <w:t xml:space="preserve">2.4 Forskningsgap</w:t>
      </w:r>
    </w:p>
    <w:p>
      <w:pPr>
        <w:pStyle w:val="FirstParagraph"/>
        <w:spacing w:line="360" w:lineRule="auto"/>
      </w:pPr>
      <w:r>
        <w:rPr>
          <w:rFonts w:ascii="Times New Roman" w:hAnsi="Times New Roman" w:cs="Times New Roman" w:eastAsia="Times New Roman"/>
          <w:sz w:val="24"/>
        </w:rPr>
        <w:t xml:space="preserve">Litteraturen som er gjennomgått behandler enten (a) prediksjon av en samlet kostnad eller rate per reise (Jang et al., 2023; Su et al., 2024) eller (b) operasjonell effektivitet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(Jahangard et al., 2025). Ingen av disse studiene modellerer den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sammensatte 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miksen per anløp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det vil si hvordan en enkelt yacht-stopp gir opphav til 5–40 separate transaksjoner fordelt på havneavgift, los, hospitality, proviant,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og bunkers, og hvordan totalkostnaden av et anløp bygges opp av disse delene. NautiCost adresserer dette gapet ved å modellere på transaksjonsnivå, deretter aggregere via portmaler og trafikkvekter, og kalibrere mot empiriske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persentiler.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datasett (n ≈ 1 600) forutsetter dette en spesifikk metodikk: (i) log-transformert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for å håndtere skjevheten, (ii) gradient-boosting-ensemble for tabulære data med sterk heterogenitet, og (iii) konform kalibrering for å gi distribusjons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frie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Kombinasjonen av disse, anvendt på maritim agent-tjeneste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fakturering, er det metodiske rommet for denne studien.</w:t>
      </w:r>
    </w:p>
    <w:p>
      <w:pPr>
        <w:spacing w:line="360" w:lineRule="auto"/>
      </w:pPr>
      <w:r>
        <w:rPr>
          <w:rFonts w:ascii="Times New Roman" w:hAnsi="Times New Roman" w:cs="Times New Roman" w:eastAsia="Times New Roman"/>
          <w:sz w:val="24"/>
        </w:rPr>
        <w:pict>
          <v:rect style="width:0;height:1.5pt" o:hralign="center" o:hrstd="t" o:hr="t"/>
        </w:pict>
      </w:r>
    </w:p>
    <w:bookmarkEnd w:id="22"/>
    <w:bookmarkEnd w:id="23"/>
    <w:bookmarkStart w:id="30" w:name="teori"/>
    <w:p>
      <w:pPr>
        <w:pStyle w:val="Heading2"/>
        <w:spacing w:line="360" w:lineRule="auto"/>
      </w:pPr>
      <w:r>
        <w:rPr>
          <w:rFonts w:ascii="Times New Roman" w:hAnsi="Times New Roman" w:cs="Times New Roman" w:eastAsia="Times New Roman"/>
          <w:sz w:val="24"/>
        </w:rPr>
        <w:t xml:space="preserve">3. Teori</w:t>
      </w:r>
    </w:p>
    <w:p>
      <w:pPr>
        <w:pStyle w:val="FirstParagraph"/>
        <w:spacing w:line="360" w:lineRule="auto"/>
      </w:pPr>
      <w:r>
        <w:rPr>
          <w:rFonts w:ascii="Times New Roman" w:hAnsi="Times New Roman" w:cs="Times New Roman" w:eastAsia="Times New Roman"/>
          <w:sz w:val="24"/>
        </w:rPr>
        <w:t xml:space="preserve">Dette kapittelet etablerer det metodiske rammeverket prosjektet hviler på. Hvert delkapittel avsluttes med en kort kobling til hvilket delproblem (DP1–DP5, jf. § 1.2) teorien adresserer, slik at teorien ikke blir frittstående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beskrivelse, men en begrunnelse for de metodevalgene som tas i § 5 og § 6.</w:t>
      </w:r>
    </w:p>
    <w:bookmarkStart w:id="24" w:name="tabulær-læring-og-gradient-boosting"/>
    <w:p>
      <w:pPr>
        <w:pStyle w:val="Heading3"/>
        <w:spacing w:line="360" w:lineRule="auto"/>
      </w:pPr>
      <w:r>
        <w:rPr>
          <w:rFonts w:ascii="Times New Roman" w:hAnsi="Times New Roman" w:cs="Times New Roman" w:eastAsia="Times New Roman"/>
          <w:sz w:val="24"/>
        </w:rPr>
        <w:t xml:space="preserve">3.1 Tabulær læring og gradient boosting</w:t>
      </w:r>
    </w:p>
    <w:p>
      <w:pPr>
        <w:pStyle w:val="FirstParagraph"/>
        <w:spacing w:line="360" w:lineRule="auto"/>
      </w:pPr>
      <w:r>
        <w:rPr>
          <w:rFonts w:ascii="Times New Roman" w:hAnsi="Times New Roman" w:cs="Times New Roman" w:eastAsia="Times New Roman"/>
          <w:sz w:val="24"/>
        </w:rPr>
        <w:t xml:space="preserve">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problem på tabulære data er definert ved et datasett</w:t>
      </w:r>
      <w:r>
        <w:rPr>
          <w:rFonts w:ascii="Times New Roman" w:hAnsi="Times New Roman" w:cs="Times New Roman" w:eastAsia="Times New Roman"/>
          <w:sz w:val="24"/>
        </w:rP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x</m:t>
            </m:r>
          </m:e>
          <m:sub>
            <m:r>
              <m:t>i</m:t>
            </m:r>
          </m:sub>
        </m:sSub>
        <m:r>
          <m:rPr>
            <m:sty m:val="p"/>
          </m:rPr>
          <m:t>∈</m:t>
        </m:r>
        <m:sSup>
          <m:e>
            <m:r>
              <m:rPr>
                <m:scr m:val="double-struck"/>
                <m:sty m:val="p"/>
              </m:rPr>
              <m:t>R</m:t>
            </m:r>
          </m:e>
          <m:sup>
            <m:r>
              <m:t>d</m:t>
            </m:r>
          </m:sup>
        </m:s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feature-vektorer og</w:t>
      </w:r>
      <w:r>
        <w:rPr>
          <w:rFonts w:ascii="Times New Roman" w:hAnsi="Times New Roman" w:cs="Times New Roman" w:eastAsia="Times New Roman"/>
          <w:sz w:val="24"/>
        </w:rPr>
        <w:t xml:space="preserve"> </w:t>
      </w:r>
      <m:oMath>
        <m:sSub>
          <m:e>
            <m:r>
              <m:t>y</m:t>
            </m:r>
          </m:e>
          <m:sub>
            <m:r>
              <m:t>i</m:t>
            </m:r>
          </m:sub>
        </m:sSub>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målverdier, og oppgaven er å finne en funksjon</w:t>
      </w:r>
      <w:r>
        <w:rPr>
          <w:rFonts w:ascii="Times New Roman" w:hAnsi="Times New Roman" w:cs="Times New Roman" w:eastAsia="Times New Roman"/>
          <w:sz w:val="24"/>
        </w:rP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minimerer en tap-funksjon</w:t>
      </w:r>
      <w:r>
        <w:rPr>
          <w:rFonts w:ascii="Times New Roman" w:hAnsi="Times New Roman" w:cs="Times New Roman" w:eastAsia="Times New Roman"/>
          <w:sz w:val="24"/>
        </w:rPr>
        <w:t xml:space="preserve"> </w:t>
      </w:r>
      <m:oMath>
        <m:r>
          <m:t>L</m:t>
        </m:r>
        <m:r>
          <m:rPr>
            <m:sty m:val="p"/>
          </m:rPr>
          <m:t>(</m:t>
        </m:r>
        <m:r>
          <m:t>y</m:t>
        </m:r>
        <m:r>
          <m:rPr>
            <m:sty m:val="p"/>
          </m:rPr>
          <m:t>,</m:t>
        </m:r>
        <m:acc>
          <m:accPr>
            <m:chr m:val="̂"/>
          </m:accPr>
          <m:e>
            <m:r>
              <m:t>y</m:t>
            </m:r>
          </m:e>
        </m:acc>
        <m:r>
          <m:rPr>
            <m:sty m:val="p"/>
          </m:rPr>
          <m:t>)</m:t>
        </m:r>
      </m:oMath>
      <w:r>
        <w:rPr>
          <w:rFonts w:ascii="Times New Roman" w:hAnsi="Times New Roman" w:cs="Times New Roman" w:eastAsia="Times New Roman"/>
          <w:sz w:val="24"/>
        </w:rPr>
        <w:t xml:space="preserve">. For tabulære data med en blanding av numeriske og kategoriske features og komplekse interaksjoner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ensembler av beslutningstrær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dominerende tilnærmingen.</w:t>
      </w:r>
    </w:p>
    <w:p>
      <w:pPr>
        <w:pStyle w:val="BodyText"/>
        <w:spacing w:line="360" w:lineRule="auto"/>
      </w:pPr>
      <w:r>
        <w:rPr>
          <w:rFonts w:ascii="Times New Roman" w:hAnsi="Times New Roman" w:cs="Times New Roman" w:eastAsia="Times New Roman"/>
          <w:sz w:val="24"/>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 av uavhengig trente trær, jf. random forest)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(sekvensiell trening der hvert tre korrigerer feilene fra det forrige).</w:t>
      </w:r>
    </w:p>
    <w:p>
      <w:pPr>
        <w:pStyle w:val="BodyText"/>
        <w:spacing w:line="360" w:lineRule="auto"/>
      </w:pPr>
      <w:r>
        <w:rPr>
          <w:rFonts w:ascii="Times New Roman" w:hAnsi="Times New Roman" w:cs="Times New Roman" w:eastAsia="Times New Roman"/>
          <w:sz w:val="24"/>
        </w:rPr>
        <w:t xml:space="preserve">I gradient boosting (Friedman, 2001) bygges modellen additivt:</w:t>
      </w:r>
    </w:p>
    <w:p>
      <w:pPr>
        <w:pStyle w:val="BodyText"/>
        <w:spacing w:line="360" w:lineRule="auto"/>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h</m:t>
            </m:r>
          </m:e>
          <m:sub>
            <m:r>
              <m:t>m</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tre tilpasset den negative gradienten av tapet med hensyn på forrige prediksjon, og</w:t>
      </w:r>
      <w:r>
        <w:rPr>
          <w:rFonts w:ascii="Times New Roman" w:hAnsi="Times New Roman" w:cs="Times New Roman" w:eastAsia="Times New Roman"/>
          <w:sz w:val="24"/>
        </w:rPr>
        <w:t xml:space="preserve"> </w:t>
      </w:r>
      <m:oMath>
        <m:r>
          <m:t>ν</m:t>
        </m:r>
        <m:r>
          <m:rPr>
            <m:sty m:val="p"/>
          </m:rPr>
          <m:t>∈</m:t>
        </m:r>
        <m:r>
          <m:rPr>
            <m:sty m:val="p"/>
          </m:rPr>
          <m:t>(</m:t>
        </m:r>
        <m:r>
          <m:t>0</m:t>
        </m:r>
        <m:r>
          <m:rPr>
            <m:sty m:val="p"/>
          </m:rPr>
          <m:t>,</m:t>
        </m:r>
        <m:r>
          <m:t>1</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lærings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rate. Etter</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runder er modellen</w:t>
      </w:r>
      <w:r>
        <w:rPr>
          <w:rFonts w:ascii="Times New Roman" w:hAnsi="Times New Roman" w:cs="Times New Roman" w:eastAsia="Times New Roman"/>
          <w:sz w:val="24"/>
        </w:rP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Sammenlignet med bagging kan boosting redusere både bias og varians ved å konsentrere kapasiteten der residualene er størst. Avveiningen er at boosting er sekvensielt og mer utsatt for overtilpasning hvis</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for stor eller</w:t>
      </w:r>
      <w:r>
        <w:rPr>
          <w:rFonts w:ascii="Times New Roman" w:hAnsi="Times New Roman" w:cs="Times New Roman" w:eastAsia="Times New Roman"/>
          <w:sz w:val="24"/>
        </w:rPr>
        <w:t xml:space="preserve"> </w:t>
      </w:r>
      <m:oMath>
        <m:r>
          <m:t>ν</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høy;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early 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et valideringssett er standard mottiltak.</w:t>
      </w:r>
    </w:p>
    <w:p>
      <w:pPr>
        <w:pStyle w:val="BodyText"/>
        <w:spacing w:line="360" w:lineRule="auto"/>
      </w:pPr>
      <w:r>
        <w:rPr>
          <w:rFonts w:ascii="Times New Roman" w:hAnsi="Times New Roman" w:cs="Times New Roman" w:eastAsia="Times New Roman"/>
          <w:sz w:val="24"/>
        </w:rPr>
        <w:t xml:space="preserve">Moderne gradient-boosting-biblioteker (LightGBM, CatBoost, XGBoost) optimerer dette rammeverket langs tre akser: histogram-basert split-finding for hastighet, native håndtering av kategoriske features, og bruk av andre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ordens gradient-informasjon (Newton-Raphson-oppdateringer) for raskere konvergens.</w:t>
      </w:r>
    </w:p>
    <w:p>
      <w:pPr>
        <w:pStyle w:val="BodyText"/>
        <w:spacing w:line="360" w:lineRule="auto"/>
      </w:pPr>
      <w:r>
        <w:rPr>
          <w:rFonts w:ascii="Times New Roman" w:hAnsi="Times New Roman" w:cs="Times New Roman" w:eastAsia="Times New Roman"/>
          <w:i/>
          <w:iCs/>
          <w:sz w:val="24"/>
        </w:rPr>
        <w:t xml:space="preserve">Relevans for prosjektet.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DP2 spør hvilken modell som gir lavest prognosefeil på heterogene tabulære data. Gradient boosting dominerer denne typen data (Grinsztajn et al., 2022; Shwartz-Ziv &amp; Armon, 2022), og er utgangspunktet for § 6.</w:t>
      </w:r>
    </w:p>
    <w:bookmarkEnd w:id="24"/>
    <w:bookmarkStart w:id="25" w:name="lightgbm"/>
    <w:p>
      <w:pPr>
        <w:pStyle w:val="Heading3"/>
        <w:spacing w:line="360" w:lineRule="auto"/>
      </w:pPr>
      <w:r>
        <w:rPr>
          <w:rFonts w:ascii="Times New Roman" w:hAnsi="Times New Roman" w:cs="Times New Roman" w:eastAsia="Times New Roman"/>
          <w:sz w:val="24"/>
        </w:rPr>
        <w:t xml:space="preserve">3.2 LightGBM</w:t>
      </w:r>
    </w:p>
    <w:p>
      <w:pPr>
        <w:pStyle w:val="FirstParagraph"/>
        <w:spacing w:line="360" w:lineRule="auto"/>
      </w:pPr>
      <w:r>
        <w:rPr>
          <w:rFonts w:ascii="Times New Roman" w:hAnsi="Times New Roman" w:cs="Times New Roman" w:eastAsia="Times New Roman"/>
          <w:sz w:val="24"/>
        </w:rPr>
        <w:t xml:space="preserve">LightGBM (Ke et al., 2017) er et gradient-boosting-bibliotek optimert for hastighet og minne på store tabulære datasett. Tre innovasjoner skiller det fra tidligere implementasjoner:</w:t>
      </w:r>
    </w:p>
    <w:p>
      <w:pPr>
        <w:pStyle w:val="BodyText"/>
        <w:spacing w:line="360" w:lineRule="auto"/>
      </w:pPr>
      <w:r>
        <w:rPr>
          <w:rFonts w:ascii="Times New Roman" w:hAnsi="Times New Roman" w:cs="Times New Roman" w:eastAsia="Times New Roman"/>
          <w:b/>
          <w:bCs/>
          <w:sz w:val="24"/>
        </w:rPr>
        <w:t xml:space="preserve">Histogram-basert split-finding.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Kontinuerlige features for-binnes i</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histogrammer (typisk</w:t>
      </w:r>
      <w:r>
        <w:rPr>
          <w:rFonts w:ascii="Times New Roman" w:hAnsi="Times New Roman" w:cs="Times New Roman" w:eastAsia="Times New Roman"/>
          <w:sz w:val="24"/>
        </w:rPr>
        <w:t xml:space="preserve"> </w:t>
      </w:r>
      <m:oMath>
        <m:r>
          <m:t>k</m:t>
        </m:r>
        <m:r>
          <m:rPr>
            <m:sty m:val="p"/>
          </m:rPr>
          <m:t>=</m:t>
        </m:r>
        <m:r>
          <m:t>255</m:t>
        </m:r>
      </m:oMath>
      <w:r>
        <w:rPr>
          <w:rFonts w:ascii="Times New Roman" w:hAnsi="Times New Roman" w:cs="Times New Roman" w:eastAsia="Times New Roman"/>
          <w:sz w:val="24"/>
        </w:rP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til å skanne histogram-bins (</w:t>
      </w:r>
      <m:oMath>
        <m:r>
          <m:rPr>
            <m:scr m:val="script"/>
            <m:sty m:val="p"/>
          </m:rPr>
          <m:t>O</m:t>
        </m:r>
        <m:r>
          <m:rPr>
            <m:sty m:val="p"/>
          </m:rPr>
          <m:t>(</m:t>
        </m:r>
        <m:r>
          <m:t>k</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For datasett med mange kontinuerlige features er dette den dominerende hastighets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gevinsten.</w:t>
      </w:r>
    </w:p>
    <w:p>
      <w:pPr>
        <w:pStyle w:val="BodyText"/>
        <w:spacing w:line="360" w:lineRule="auto"/>
      </w:pPr>
      <w:r>
        <w:rPr>
          <w:rFonts w:ascii="Times New Roman" w:hAnsi="Times New Roman" w:cs="Times New Roman" w:eastAsia="Times New Roman"/>
          <w:b/>
          <w:bCs/>
          <w:sz w:val="24"/>
        </w:rPr>
        <w:t xml:space="preserve">Leaf-wise tre-vekst.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 standard implementasjoner vokser trær level-wise (alle blader på dybde</w:t>
      </w:r>
      <w:r>
        <w:rPr>
          <w:rFonts w:ascii="Times New Roman" w:hAnsi="Times New Roman" w:cs="Times New Roman" w:eastAsia="Times New Roman"/>
          <w:sz w:val="24"/>
        </w:rPr>
        <w:t xml:space="preserve"> </w:t>
      </w:r>
      <m:oMath>
        <m:r>
          <m:t>d</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noen på</w:t>
      </w:r>
      <w:r>
        <w:rPr>
          <w:rFonts w:ascii="Times New Roman" w:hAnsi="Times New Roman" w:cs="Times New Roman" w:eastAsia="Times New Roman"/>
          <w:sz w:val="24"/>
        </w:rPr>
        <w:t xml:space="preserve"> </w:t>
      </w:r>
      <m:oMath>
        <m:r>
          <m:t>d</m:t>
        </m:r>
        <m:r>
          <m:rPr>
            <m:sty m:val="p"/>
          </m:rPr>
          <m:t>+</m:t>
        </m:r>
        <m:r>
          <m:t>1</m:t>
        </m:r>
      </m:oMath>
      <w:r>
        <w:rPr>
          <w:rFonts w:ascii="Times New Roman" w:hAnsi="Times New Roman" w:cs="Times New Roman" w:eastAsia="Times New Roman"/>
          <w:sz w:val="24"/>
        </w:rPr>
        <w:t xml:space="preserve">), vokser LightGBM bladet med høyest tap-reduksjon først, uavhengig av dybde. Dette gir mer asymmetriske trær som tilpasser dataene bedre med færre blader totalt — men er mer utsatt for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på små datasett, kontrollert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-restriksjoner.</w:t>
      </w:r>
    </w:p>
    <w:p>
      <w:pPr>
        <w:pStyle w:val="BodyText"/>
        <w:spacing w:line="360" w:lineRule="auto"/>
      </w:pPr>
      <w:r>
        <w:rPr>
          <w:rFonts w:ascii="Times New Roman" w:hAnsi="Times New Roman" w:cs="Times New Roman" w:eastAsia="Times New Roman"/>
          <w:b/>
          <w:bCs/>
          <w:sz w:val="24"/>
        </w:rPr>
        <w:t xml:space="preserve">Gradient-based one-side sampling (GOSS) og exclusive feature bundling (EFB).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GOSS beholder samplene med høyest gradient (størst residual) og subsampler resten tilfeldig — informasjons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tetthet per iterasjon bevares. EFB bundler gjensidig eksklusive sparse features til én kolonne. Begge reduserer kostnad per iterasjon på høy-dimensjonal sparsom data.</w:t>
      </w:r>
    </w:p>
    <w:p>
      <w:pPr>
        <w:pStyle w:val="BodyText"/>
        <w:spacing w:line="360" w:lineRule="auto"/>
      </w:pPr>
      <w:r>
        <w:rPr>
          <w:rFonts w:ascii="Times New Roman" w:hAnsi="Times New Roman" w:cs="Times New Roman" w:eastAsia="Times New Roman"/>
          <w:b/>
          <w:bCs/>
          <w:sz w:val="24"/>
        </w:rPr>
        <w:t xml:space="preserve">Kategorisk håndtering.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aksepterer heltalls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kodede kategoriske kolonner direkte. Ved hvert split sorteres kategoriene etter akkumulert gradient-statistikk, og den optimale partisjonen finnes ved å skanne den sorterte listen. Dette håndterer høy-kardinalitets kategoriske variabler (f.eks.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uten one-hot-eksplosjon.</w:t>
      </w:r>
    </w:p>
    <w:p>
      <w:pPr>
        <w:pStyle w:val="BodyText"/>
        <w:spacing w:line="360" w:lineRule="auto"/>
      </w:pPr>
      <w:r>
        <w:rPr>
          <w:rFonts w:ascii="Times New Roman" w:hAnsi="Times New Roman" w:cs="Times New Roman" w:eastAsia="Times New Roman"/>
          <w:sz w:val="24"/>
        </w:rPr>
        <w:t xml:space="preserve">I NautiCost er LightGBM den primære base-læreren fordi den konvergerer raskt på det lille datasettet (~1 600 rader) og håndterer den heterogene feature-miksen native. Hyperparametre (</w:t>
      </w:r>
      <w:r>
        <w:rPr>
          <w:rStyle w:val="VerbatimChar"/>
          <w:rFonts w:ascii="Times New Roman" w:hAnsi="Times New Roman" w:cs="Times New Roman" w:eastAsia="Times New Roman"/>
          <w:sz w:val="24"/>
        </w:rPr>
        <w:t xml:space="preserve">num_leaves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feature_fraction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bagging_fraction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learning_rate</w:t>
      </w:r>
      <w:r>
        <w:rPr>
          <w:rFonts w:ascii="Times New Roman" w:hAnsi="Times New Roman" w:cs="Times New Roman" w:eastAsia="Times New Roman"/>
          <w:sz w:val="24"/>
        </w:rPr>
        <w:t xml:space="preserve">) er tunet med Optuna (se § 6.3).</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håndterer blandet input og lav rad-til-feature-ratio (63) effektivt — derav valget i § 6.3.</w:t>
      </w:r>
    </w:p>
    <w:bookmarkEnd w:id="25"/>
    <w:bookmarkStart w:id="26" w:name="catboost"/>
    <w:p>
      <w:pPr>
        <w:pStyle w:val="Heading3"/>
        <w:spacing w:line="360" w:lineRule="auto"/>
      </w:pPr>
      <w:r>
        <w:rPr>
          <w:rFonts w:ascii="Times New Roman" w:hAnsi="Times New Roman" w:cs="Times New Roman" w:eastAsia="Times New Roman"/>
          <w:sz w:val="24"/>
        </w:rPr>
        <w:t xml:space="preserve">3.3 CatBoost</w:t>
      </w:r>
    </w:p>
    <w:p>
      <w:pPr>
        <w:pStyle w:val="FirstParagraph"/>
        <w:spacing w:line="360" w:lineRule="auto"/>
      </w:pPr>
      <w:r>
        <w:rPr>
          <w:rFonts w:ascii="Times New Roman" w:hAnsi="Times New Roman" w:cs="Times New Roman" w:eastAsia="Times New Roman"/>
          <w:sz w:val="24"/>
        </w:rPr>
        <w:t xml:space="preserve">CatBoost (Prokhorenkova et al., 2018) er et gradient-boosting-bibliotek med fokus på robust kategorisk håndtering og forventningsrett target-encoding. To tekniske bidrag står sentralt:</w:t>
      </w:r>
    </w:p>
    <w:p>
      <w:pPr>
        <w:pStyle w:val="BodyText"/>
        <w:spacing w:line="360" w:lineRule="auto"/>
      </w:pPr>
      <w:r>
        <w:rPr>
          <w:rFonts w:ascii="Times New Roman" w:hAnsi="Times New Roman" w:cs="Times New Roman" w:eastAsia="Times New Roman"/>
          <w:b/>
          <w:bCs/>
          <w:sz w:val="24"/>
        </w:rPr>
        <w:t xml:space="preserve">Ordered 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 target-encoding-strategier erstatter en kategorisk verdi med gjennomsnittet av målet over alle rader der verdien forekommer. Dette skaper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target-leakage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den kodede featuren for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påvirkes av målet</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hvilket biaserer gradienter mot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CatBoosts ordered boosting opprettholder en tilfeldig permutasjon av treningsradene; for hver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bruker target-encodingen kun radene som ligger foran</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permutasjonen. Dette gir et forventningsrett estimat på bekostning av å kjøre</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parallelle modeller på</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ulike permutasjoner.</w:t>
      </w:r>
    </w:p>
    <w:p>
      <w:pPr>
        <w:pStyle w:val="BodyText"/>
        <w:spacing w:line="360" w:lineRule="auto"/>
      </w:pPr>
      <w:r>
        <w:rPr>
          <w:rFonts w:ascii="Times New Roman" w:hAnsi="Times New Roman" w:cs="Times New Roman" w:eastAsia="Times New Roman"/>
          <w:b/>
          <w:bCs/>
          <w:sz w:val="24"/>
        </w:rPr>
        <w:t xml:space="preserve">Symmetriske (oblivious) 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Hvert nivå av et CatBoost-tre bruker samme split-feature og terskel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 på tvers av alle interne noder på det nivået. Dette gir et balansert binærtre med fast dybde, hvilket er raskere ved inferens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banen er bare en sekvens av sammen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ligninger) og virker som en implisitt regularisering.</w:t>
      </w:r>
    </w:p>
    <w:p>
      <w:pPr>
        <w:pStyle w:val="BodyText"/>
        <w:spacing w:line="360" w:lineRule="auto"/>
      </w:pPr>
      <w:r>
        <w:rPr>
          <w:rFonts w:ascii="Times New Roman" w:hAnsi="Times New Roman" w:cs="Times New Roman" w:eastAsia="Times New Roman"/>
          <w:b/>
          <w:bCs/>
          <w:sz w:val="24"/>
        </w:rPr>
        <w:t xml:space="preserve">Kategorisk encoding via ordered target statistics:</w:t>
      </w:r>
    </w:p>
    <w:p>
      <w:pPr>
        <w:pStyle w:val="BodyText"/>
        <w:spacing w:line="360" w:lineRule="auto"/>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a</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glattings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prior og</w:t>
      </w:r>
      <w:r>
        <w:rPr>
          <w:rFonts w:ascii="Times New Roman" w:hAnsi="Times New Roman" w:cs="Times New Roman" w:eastAsia="Times New Roman"/>
          <w:sz w:val="24"/>
        </w:rPr>
        <w:t xml:space="preserve"> </w:t>
      </w:r>
      <m:oMath>
        <m:r>
          <m:t>p</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global prior (f.eks. globalt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 Glattingen håndterer lav-frekvente kategorier robust.</w:t>
      </w:r>
    </w:p>
    <w:p>
      <w:pPr>
        <w:pStyle w:val="BodyText"/>
        <w:spacing w:line="360" w:lineRule="auto"/>
      </w:pPr>
      <w:r>
        <w:rPr>
          <w:rFonts w:ascii="Times New Roman" w:hAnsi="Times New Roman" w:cs="Times New Roman" w:eastAsia="Times New Roman"/>
          <w:sz w:val="24"/>
        </w:rP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CatBoosts uavhengige induktive bias (symmetriske trær, ordered encoding) dekorrelerer feil mot LightGBM og gir ensemble-arkitekturen i § 6.3 mer robusthet ved drift.</w:t>
      </w:r>
    </w:p>
    <w:bookmarkEnd w:id="26"/>
    <w:bookmarkStart w:id="27" w:name="log-transformert-mål-og-evaluering"/>
    <w:p>
      <w:pPr>
        <w:pStyle w:val="Heading3"/>
        <w:spacing w:line="360" w:lineRule="auto"/>
      </w:pPr>
      <w:r>
        <w:rPr>
          <w:rFonts w:ascii="Times New Roman" w:hAnsi="Times New Roman" w:cs="Times New Roman" w:eastAsia="Times New Roman"/>
          <w:sz w:val="24"/>
        </w:rPr>
        <w:t xml:space="preserve">3.4 Log-transformert mål og evaluering</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høyreskjev: enkelte transaksjoner er 50–100× større enn medianen (jf. § 7.1). To konsekvenser for modellering:</w:t>
      </w:r>
    </w:p>
    <w:p>
      <w:pPr>
        <w:pStyle w:val="Compact"/>
        <w:numPr>
          <w:ilvl w:val="0"/>
          <w:numId w:val="1011"/>
        </w:numPr>
        <w:spacing w:line="360" w:lineRule="auto"/>
      </w:pPr>
      <w:r>
        <w:rPr>
          <w:rFonts w:ascii="Times New Roman" w:hAnsi="Times New Roman" w:cs="Times New Roman" w:eastAsia="Times New Roman"/>
          <w:sz w:val="24"/>
        </w:rPr>
        <w:t xml:space="preserve">Gradient boosting med kvadrat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 domineres av de største residualene. Uten transformasjon bruker modellen mesteparten av kapasiteten på å redusere feilen for en håndfull dyre transaksjoner mens feilen ellers øker.</w:t>
      </w:r>
    </w:p>
    <w:p>
      <w:pPr>
        <w:pStyle w:val="Compact"/>
        <w:numPr>
          <w:ilvl w:val="0"/>
          <w:numId w:val="1011"/>
        </w:numPr>
        <w:spacing w:line="360" w:lineRule="auto"/>
      </w:pPr>
      <w:r>
        <w:rPr>
          <w:rFonts w:ascii="Times New Roman" w:hAnsi="Times New Roman" w:cs="Times New Roman" w:eastAsia="Times New Roman"/>
          <w:sz w:val="24"/>
        </w:rPr>
        <w:t xml:space="preserve">Multiplikative effekter (en yacht som er dobbelt så stor koster grovt sett dobbelt så mye) blir additive i log-rommet, hvilket matcher den additive strukturen i beslutningstrær bedre.</w:t>
      </w:r>
    </w:p>
    <w:p>
      <w:pPr>
        <w:pStyle w:val="FirstParagraph"/>
        <w:spacing w:line="360" w:lineRule="auto"/>
      </w:pPr>
      <w:r>
        <w:rPr>
          <w:rFonts w:ascii="Times New Roman" w:hAnsi="Times New Roman" w:cs="Times New Roman" w:eastAsia="Times New Roman"/>
          <w:sz w:val="24"/>
        </w:rPr>
        <w:t xml:space="preserve">Standardløsningen er en log-transformasjon:</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«+1»-shiftet håndterer null-kostnads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uten at</w:t>
      </w:r>
      <w:r>
        <w:rPr>
          <w:rFonts w:ascii="Times New Roman" w:hAnsi="Times New Roman" w:cs="Times New Roman" w:eastAsia="Times New Roman"/>
          <w:sz w:val="24"/>
        </w:rPr>
        <w:t xml:space="preserve"> </w:t>
      </w:r>
      <m:oMath>
        <m:r>
          <m:rPr>
            <m:sty m:val="p"/>
          </m:rPr>
          <m:t>log</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divergerer. Prediksjoner inverteres med</w:t>
      </w:r>
      <w:r>
        <w:rPr>
          <w:rFonts w:ascii="Times New Roman" w:hAnsi="Times New Roman" w:cs="Times New Roman" w:eastAsia="Times New Roman"/>
          <w:sz w:val="24"/>
        </w:rP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de rapporteres.</w:t>
      </w:r>
    </w:p>
    <w:p>
      <w:pPr>
        <w:pStyle w:val="BodyText"/>
        <w:spacing w:line="360" w:lineRule="auto"/>
      </w:pPr>
      <w:r>
        <w:rPr>
          <w:rFonts w:ascii="Times New Roman" w:hAnsi="Times New Roman" w:cs="Times New Roman" w:eastAsia="Times New Roman"/>
          <w:b/>
          <w:bCs/>
          <w:sz w:val="24"/>
        </w:rPr>
        <w:t xml:space="preserve">Evalueringsmetrikker på opprinnelig EUR-skala (jf. § 1.3 om valutaen i kildedataene):</w:t>
      </w:r>
    </w:p>
    <w:p>
      <w:pPr>
        <w:pStyle w:val="Compact"/>
        <w:numPr>
          <w:ilvl w:val="0"/>
          <w:numId w:val="1012"/>
        </w:numPr>
        <w:spacing w:line="360" w:lineRule="auto"/>
      </w:pPr>
      <w:r>
        <w:rPr>
          <w:rFonts w:ascii="Times New Roman" w:hAnsi="Times New Roman" w:cs="Times New Roman" w:eastAsia="Times New Roman"/>
          <w:b/>
          <w:bCs/>
          <w:sz w:val="24"/>
        </w:rPr>
        <w:t xml:space="preserve">Mean Absolute Error (MAE):</w:t>
      </w:r>
      <w:r>
        <w:rPr>
          <w:rFonts w:ascii="Times New Roman" w:hAnsi="Times New Roman" w:cs="Times New Roman" w:eastAsia="Times New Roman"/>
          <w:sz w:val="24"/>
        </w:rP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rPr>
          <w:rFonts w:ascii="Times New Roman" w:hAnsi="Times New Roman" w:cs="Times New Roman" w:eastAsia="Times New Roman"/>
          <w:sz w:val="24"/>
        </w:rPr>
        <w:t xml:space="preserve">. Rapporterer absolutt avvik i EUR; robust mot outliers.</w:t>
      </w:r>
    </w:p>
    <w:p>
      <w:pPr>
        <w:pStyle w:val="Compact"/>
        <w:numPr>
          <w:ilvl w:val="0"/>
          <w:numId w:val="1012"/>
        </w:numPr>
        <w:spacing w:line="360" w:lineRule="auto"/>
      </w:pPr>
      <w:r>
        <w:rPr>
          <w:rFonts w:ascii="Times New Roman" w:hAnsi="Times New Roman" w:cs="Times New Roman" w:eastAsia="Times New Roman"/>
          <w:b/>
          <w:bCs/>
          <w:sz w:val="24"/>
        </w:rPr>
        <w:t xml:space="preserve">Root Mean Squared Error (RMSE):</w:t>
      </w:r>
      <w:r>
        <w:rPr>
          <w:rFonts w:ascii="Times New Roman" w:hAnsi="Times New Roman" w:cs="Times New Roman" w:eastAsia="Times New Roman"/>
          <w:sz w:val="24"/>
        </w:rP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rPr>
          <w:rFonts w:ascii="Times New Roman" w:hAnsi="Times New Roman" w:cs="Times New Roman" w:eastAsia="Times New Roman"/>
          <w:sz w:val="24"/>
        </w:rPr>
        <w:t xml:space="preserve">. Straffer store feil hardere; sensitiv mot outliers.</w:t>
      </w:r>
    </w:p>
    <w:p>
      <w:pPr>
        <w:pStyle w:val="Compact"/>
        <w:numPr>
          <w:ilvl w:val="0"/>
          <w:numId w:val="1012"/>
        </w:numPr>
        <w:spacing w:line="360" w:lineRule="auto"/>
      </w:pPr>
      <w:r>
        <w:rPr>
          <w:rFonts w:ascii="Times New Roman" w:hAnsi="Times New Roman" w:cs="Times New Roman" w:eastAsia="Times New Roman"/>
          <w:b/>
          <w:bCs/>
          <w:sz w:val="24"/>
        </w:rPr>
        <w:t xml:space="preserve">Mean Absolute Percentage Error (MAPE):</w:t>
      </w:r>
      <w:r>
        <w:rPr>
          <w:rFonts w:ascii="Times New Roman" w:hAnsi="Times New Roman" w:cs="Times New Roman" w:eastAsia="Times New Roman"/>
          <w:sz w:val="24"/>
        </w:rP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rPr>
          <w:rFonts w:ascii="Times New Roman" w:hAnsi="Times New Roman" w:cs="Times New Roman" w:eastAsia="Times New Roman"/>
          <w:sz w:val="24"/>
        </w:rPr>
        <w:t xml:space="preserve">. Rapporterer relativ feil i prosent; sensitiv mot små nevnere — små</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blåser opp MAPE.</w:t>
      </w:r>
    </w:p>
    <w:p>
      <w:pPr>
        <w:pStyle w:val="Compact"/>
        <w:numPr>
          <w:ilvl w:val="0"/>
          <w:numId w:val="1012"/>
        </w:numPr>
        <w:spacing w:line="360" w:lineRule="auto"/>
      </w:pPr>
      <w:r>
        <w:rPr>
          <w:rFonts w:ascii="Times New Roman" w:hAnsi="Times New Roman" w:cs="Times New Roman" w:eastAsia="Times New Roman"/>
          <w:b/>
          <w:bCs/>
          <w:sz w:val="24"/>
        </w:rPr>
        <w:t xml:space="preserve">Weighted MAPE (wMAPE):</w:t>
      </w:r>
      <w:r>
        <w:rPr>
          <w:rFonts w:ascii="Times New Roman" w:hAnsi="Times New Roman" w:cs="Times New Roman" w:eastAsia="Times New Roman"/>
          <w:sz w:val="24"/>
        </w:rP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rPr>
          <w:rFonts w:ascii="Times New Roman" w:hAnsi="Times New Roman" w:cs="Times New Roman" w:eastAsia="Times New Roman"/>
          <w:sz w:val="24"/>
        </w:rPr>
        <w:t xml:space="preserve">. Volum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versjon av MAPE der hver feil vektes etter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beløpet; ikke sårbar for små nevnere. Ekvivalent med</w:t>
      </w:r>
      <w:r>
        <w:rPr>
          <w:rFonts w:ascii="Times New Roman" w:hAnsi="Times New Roman" w:cs="Times New Roman" w:eastAsia="Times New Roman"/>
          <w:sz w:val="24"/>
        </w:rPr>
        <w:t xml:space="preserve"> </w:t>
      </w:r>
      <m:oMath>
        <m:r>
          <m:rPr>
            <m:nor/>
            <m:sty m:val="p"/>
          </m:rPr>
          <m:t>MAE</m:t>
        </m:r>
        <m:r>
          <m:rPr>
            <m:sty m:val="p"/>
          </m:rPr>
          <m:t>/</m:t>
        </m:r>
        <m:bar>
          <m:barPr>
            <m:pos m:val="top"/>
          </m:barPr>
          <m:e>
            <m:r>
              <m:t>y</m:t>
            </m:r>
          </m:e>
        </m:bar>
      </m:oMath>
      <w:r>
        <w:rPr>
          <w:rFonts w:ascii="Times New Roman" w:hAnsi="Times New Roman" w:cs="Times New Roman" w:eastAsia="Times New Roman"/>
          <w:sz w:val="24"/>
        </w:rPr>
        <w:t xml:space="preserve">.</w:t>
      </w:r>
    </w:p>
    <w:p>
      <w:pPr>
        <w:pStyle w:val="FirstParagraph"/>
        <w:spacing w:line="360" w:lineRule="auto"/>
      </w:pPr>
      <w:r>
        <w:rPr>
          <w:rFonts w:ascii="Times New Roman" w:hAnsi="Times New Roman" w:cs="Times New Roman" w:eastAsia="Times New Roman"/>
          <w:sz w:val="24"/>
        </w:rPr>
        <w:t xml:space="preserve">I et høyreskjevt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scenario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mest operasjonelt meningsfulle metrikken: en feil på 5 000 EUR har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enten regningen er på 10 000 eller 100 000 EUR.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skudd og brukes som sekundær ranking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Log-MSE-tap og MAE som primær metrikk er direkte konsekvenser av kostnadsfordelingens skjevhet (§ 7.1).</w:t>
      </w:r>
    </w:p>
    <w:bookmarkEnd w:id="27"/>
    <w:bookmarkStart w:id="28" w:name="kvantilregresjon-og-konform-prediksjon"/>
    <w:p>
      <w:pPr>
        <w:pStyle w:val="Heading3"/>
        <w:spacing w:line="360" w:lineRule="auto"/>
      </w:pPr>
      <w:r>
        <w:rPr>
          <w:rFonts w:ascii="Times New Roman" w:hAnsi="Times New Roman" w:cs="Times New Roman" w:eastAsia="Times New Roman"/>
          <w:sz w:val="24"/>
        </w:rPr>
        <w:t xml:space="preserve">3.5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w:t>
      </w:r>
    </w:p>
    <w:p>
      <w:pPr>
        <w:pStyle w:val="FirstParagraph"/>
        <w:spacing w:line="360" w:lineRule="auto"/>
      </w:pPr>
      <w:r>
        <w:rPr>
          <w:rFonts w:ascii="Times New Roman" w:hAnsi="Times New Roman" w:cs="Times New Roman" w:eastAsia="Times New Roman"/>
          <w:sz w:val="24"/>
        </w:rPr>
        <w:t xml:space="preserve">Punktprediksjoner er utilstrekkelige når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er høyreskjev og en agent må kommunisere «dette er typisk kostnad, dette er den øvre plausible grensen».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 gir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intervaller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kalibrert dekning.</w:t>
      </w:r>
    </w:p>
    <w:p>
      <w:pPr>
        <w:pStyle w:val="BodyText"/>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trener en modell til å predikere</w:t>
      </w:r>
      <w:r>
        <w:rPr>
          <w:rFonts w:ascii="Times New Roman" w:hAnsi="Times New Roman" w:cs="Times New Roman" w:eastAsia="Times New Roman"/>
          <w:sz w:val="24"/>
        </w:rPr>
        <w:t xml:space="preserve"> </w:t>
      </w:r>
      <m:oMath>
        <m:r>
          <m:t>τ</m:t>
        </m:r>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t>y</m:t>
        </m:r>
        <m:r>
          <m:rPr>
            <m:sty m:val="p"/>
          </m:rPr>
          <m:t>∣</m:t>
        </m:r>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å minimere pinball-tapet:</w:t>
      </w:r>
    </w:p>
    <w:p>
      <w:pPr>
        <w:pStyle w:val="BodyText"/>
        <w:spacing w:line="360" w:lineRule="auto"/>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spacing w:line="360" w:lineRule="auto"/>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m:oMath>
        <m:r>
          <m:t>τ</m:t>
        </m:r>
        <m:r>
          <m:rPr>
            <m:sty m:val="p"/>
          </m:rPr>
          <m:t>=</m:t>
        </m:r>
        <m:r>
          <m:t>0</m:t>
        </m:r>
        <m:r>
          <m:rPr>
            <m:sty m:val="p"/>
          </m:rPr>
          <m:t>,</m:t>
        </m:r>
        <m:r>
          <m:t>5</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reduseres dette til middel absolutt feil og gir en median-prediktor. For</w:t>
      </w:r>
      <w:r>
        <w:rPr>
          <w:rFonts w:ascii="Times New Roman" w:hAnsi="Times New Roman" w:cs="Times New Roman" w:eastAsia="Times New Roman"/>
          <w:sz w:val="24"/>
        </w:rPr>
        <w:t xml:space="preserve"> </w:t>
      </w:r>
      <m:oMath>
        <m:r>
          <m:t>τ</m:t>
        </m:r>
        <m:r>
          <m:rPr>
            <m:sty m:val="p"/>
          </m:rPr>
          <m:t>=</m:t>
        </m:r>
        <m:r>
          <m:t>0</m:t>
        </m:r>
        <m:r>
          <m:rPr>
            <m:sty m:val="p"/>
          </m:rPr>
          <m:t>,</m:t>
        </m:r>
        <m:r>
          <m:t>9</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det en modell der prediksjonen overstiges av sann verdi 10 % av tiden (asymptotisk). LightGBM støtter pinball-tapet som innebygd objektiv; tre separate modeller trenes for</w:t>
      </w:r>
      <w:r>
        <w:rPr>
          <w:rFonts w:ascii="Times New Roman" w:hAnsi="Times New Roman" w:cs="Times New Roman" w:eastAsia="Times New Roman"/>
          <w:sz w:val="24"/>
        </w:rP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oppnå P10/P50/P90-prediksjon.</w:t>
      </w:r>
    </w:p>
    <w:p>
      <w:pPr>
        <w:pStyle w:val="BodyText"/>
        <w:spacing w:line="360" w:lineRule="auto"/>
      </w:pPr>
      <w:r>
        <w:rPr>
          <w:rFonts w:ascii="Times New Roman" w:hAnsi="Times New Roman" w:cs="Times New Roman" w:eastAsia="Times New Roman"/>
          <w:b/>
          <w:bCs/>
          <w:sz w:val="24"/>
        </w:rPr>
        <w:t xml:space="preserve">Kalibrerings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problemet.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en velt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renet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garanteres ikke å oppnå nominell dekning på hold-out-data. Empirisk dekning kan drifte fra</w:t>
      </w:r>
      <w:r>
        <w:rPr>
          <w:rFonts w:ascii="Times New Roman" w:hAnsi="Times New Roman" w:cs="Times New Roman" w:eastAsia="Times New Roman"/>
          <w:sz w:val="24"/>
        </w:rPr>
        <w:t xml:space="preserve"> </w:t>
      </w:r>
      <m:oMath>
        <m:r>
          <m:t>1</m:t>
        </m:r>
        <m:r>
          <m:rPr>
            <m:sty m:val="p"/>
          </m:rPr>
          <m:t>−</m:t>
        </m:r>
        <m:r>
          <m:t>2</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grunnet begrenset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misspesifikasjon eller fordelings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drift over tid.</w:t>
      </w:r>
    </w:p>
    <w:p>
      <w:pPr>
        <w:pStyle w:val="BodyText"/>
        <w:spacing w:line="360" w:lineRule="auto"/>
      </w:pP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Patterson &amp; Candès, 2019) bruker et separat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 til å konvertere en hvilken som helst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prediktor til et kalibrert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Gitt trenings-, kalibrerings- og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splitter:</w:t>
      </w:r>
    </w:p>
    <w:p>
      <w:pPr>
        <w:pStyle w:val="Compact"/>
        <w:numPr>
          <w:ilvl w:val="0"/>
          <w:numId w:val="1013"/>
        </w:numPr>
        <w:spacing w:line="360" w:lineRule="auto"/>
      </w:pPr>
      <w:r>
        <w:rPr>
          <w:rFonts w:ascii="Times New Roman" w:hAnsi="Times New Roman" w:cs="Times New Roman" w:eastAsia="Times New Roman"/>
          <w:sz w:val="24"/>
        </w:rPr>
        <w:t xml:space="preserve">Tren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for</w:t>
      </w:r>
      <w:r>
        <w:rPr>
          <w:rFonts w:ascii="Times New Roman" w:hAnsi="Times New Roman" w:cs="Times New Roman" w:eastAsia="Times New Roman"/>
          <w:sz w:val="24"/>
        </w:rPr>
        <w:t xml:space="preserve"> </w:t>
      </w:r>
      <m:oMath>
        <m:r>
          <m:t>τ</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r>
          <m:t>τ</m:t>
        </m:r>
        <m:r>
          <m:rPr>
            <m:sty m:val="p"/>
          </m:rPr>
          <m:t>=</m:t>
        </m:r>
        <m:r>
          <m:t>1</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og oppnå</w:t>
      </w:r>
      <w:r>
        <w:rPr>
          <w:rFonts w:ascii="Times New Roman" w:hAnsi="Times New Roman" w:cs="Times New Roman" w:eastAsia="Times New Roman"/>
          <w:sz w:val="24"/>
        </w:rPr>
        <w:t xml:space="preserve"> </w:t>
      </w:r>
      <m:oMath>
        <m:sSub>
          <m:e>
            <m:acc>
              <m:accPr>
                <m:chr m:val="̂"/>
              </m:accPr>
              <m:e>
                <m:r>
                  <m:t>q</m:t>
                </m:r>
              </m:e>
            </m:acc>
          </m:e>
          <m:sub>
            <m:r>
              <m:t>l</m:t>
            </m:r>
            <m:r>
              <m:t>o</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sSub>
          <m:e>
            <m:acc>
              <m:accPr>
                <m:chr m:val="̂"/>
              </m:accPr>
              <m:e>
                <m:r>
                  <m:t>q</m:t>
                </m:r>
              </m:e>
            </m:acc>
          </m:e>
          <m:sub>
            <m:r>
              <m:t>h</m:t>
            </m:r>
            <m:r>
              <m:t>i</m:t>
            </m:r>
          </m:sub>
        </m:sSub>
        <m:r>
          <m:rPr>
            <m:sty m:val="p"/>
          </m:rPr>
          <m:t>(</m:t>
        </m:r>
        <m:r>
          <m:t>x</m:t>
        </m:r>
        <m:r>
          <m:rPr>
            <m:sty m:val="p"/>
          </m:rPr>
          <m:t>)</m:t>
        </m:r>
      </m:oMath>
      <w:r>
        <w:rPr>
          <w:rFonts w:ascii="Times New Roman" w:hAnsi="Times New Roman" w:cs="Times New Roman" w:eastAsia="Times New Roman"/>
          <w:sz w:val="24"/>
        </w:rPr>
        <w:t xml:space="preserve">.</w:t>
      </w:r>
    </w:p>
    <w:p>
      <w:pPr>
        <w:pStyle w:val="Compact"/>
        <w:numPr>
          <w:ilvl w:val="0"/>
          <w:numId w:val="1013"/>
        </w:numPr>
        <w:spacing w:line="360" w:lineRule="auto"/>
      </w:pPr>
      <w:r>
        <w:rPr>
          <w:rFonts w:ascii="Times New Roman" w:hAnsi="Times New Roman" w:cs="Times New Roman" w:eastAsia="Times New Roman"/>
          <w:sz w:val="24"/>
        </w:rPr>
        <w:t xml:space="preserve">På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beregn ikke-konformitets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score:</w:t>
      </w:r>
    </w:p>
    <w:p>
      <w:pPr>
        <w:pStyle w:val="Compact"/>
        <w:spacing w:line="360" w:lineRule="auto"/>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13"/>
        </w:numPr>
        <w:spacing w:line="360" w:lineRule="auto"/>
      </w:pPr>
      <w:r>
        <w:rPr>
          <w:rFonts w:ascii="Times New Roman" w:hAnsi="Times New Roman" w:cs="Times New Roman" w:eastAsia="Times New Roman"/>
          <w:sz w:val="24"/>
        </w:rPr>
        <w:t xml:space="preserve">La</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være</w:t>
      </w:r>
      <w:r>
        <w:rPr>
          <w:rFonts w:ascii="Times New Roman" w:hAnsi="Times New Roman" w:cs="Times New Roman" w:eastAsia="Times New Roman"/>
          <w:sz w:val="24"/>
        </w:rP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rPr>
            <m:sty m:val="p"/>
          </m:rPr>
          <m:t>{</m:t>
        </m:r>
        <m:sSub>
          <m:e>
            <m:r>
              <m:t>E</m:t>
            </m:r>
          </m:e>
          <m:sub>
            <m:r>
              <m:t>i</m:t>
            </m:r>
          </m:sub>
        </m:sSub>
        <m:r>
          <m:rPr>
            <m:sty m:val="p"/>
          </m:rPr>
          <m:t>}</m:t>
        </m:r>
      </m:oMath>
      <w:r>
        <w:rPr>
          <w:rFonts w:ascii="Times New Roman" w:hAnsi="Times New Roman" w:cs="Times New Roman" w:eastAsia="Times New Roman"/>
          <w:sz w:val="24"/>
        </w:rPr>
        <w:t xml:space="preserve">.</w:t>
      </w:r>
    </w:p>
    <w:p>
      <w:pPr>
        <w:pStyle w:val="Compact"/>
        <w:numPr>
          <w:ilvl w:val="0"/>
          <w:numId w:val="1013"/>
        </w:numPr>
        <w:spacing w:line="360" w:lineRule="auto"/>
      </w:pPr>
      <w:r>
        <w:rPr>
          <w:rFonts w:ascii="Times New Roman" w:hAnsi="Times New Roman" w:cs="Times New Roman" w:eastAsia="Times New Roman"/>
          <w:sz w:val="24"/>
        </w:rPr>
        <w:t xml:space="preserve">CQR-prediksjons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intervallet er:</w:t>
      </w:r>
    </w:p>
    <w:p>
      <w:pPr>
        <w:pStyle w:val="Compact"/>
        <w:spacing w:line="360" w:lineRule="auto"/>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spacing w:line="360" w:lineRule="auto"/>
      </w:pPr>
      <w:r>
        <w:rPr>
          <w:rFonts w:ascii="Times New Roman" w:hAnsi="Times New Roman" w:cs="Times New Roman" w:eastAsia="Times New Roman"/>
          <w:sz w:val="24"/>
        </w:rPr>
        <w:t xml:space="preserve">CQR-justeringen</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garanterer endelig-utvalgs dekning</w:t>
      </w:r>
      <w:r>
        <w:rPr>
          <w:rFonts w:ascii="Times New Roman" w:hAnsi="Times New Roman" w:cs="Times New Roman" w:eastAsia="Times New Roman"/>
          <w:sz w:val="24"/>
        </w:rP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utbyttbarhet av (kalibrering, test)-data, uavhengig av hvor dårlig kalibrert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Hvor stor justering CQR faktisk gir på datasettet i denne studien, og hva det forteller om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drøftes i § 6.4 og § 8.2.</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gir spenn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et (DP4), og CQR garanterer kalibrert dekning på små datasett.</w:t>
      </w:r>
    </w:p>
    <w:bookmarkEnd w:id="28"/>
    <w:bookmarkStart w:id="29" w:name="shap-verdier"/>
    <w:p>
      <w:pPr>
        <w:pStyle w:val="Heading3"/>
        <w:spacing w:line="360" w:lineRule="auto"/>
      </w:pPr>
      <w:r>
        <w:rPr>
          <w:rFonts w:ascii="Times New Roman" w:hAnsi="Times New Roman" w:cs="Times New Roman" w:eastAsia="Times New Roman"/>
          <w:sz w:val="24"/>
        </w:rPr>
        <w:t xml:space="preserve">3.6 SHAP-verdier</w:t>
      </w:r>
    </w:p>
    <w:p>
      <w:pPr>
        <w:pStyle w:val="FirstParagraph"/>
        <w:spacing w:line="360" w:lineRule="auto"/>
      </w:pPr>
      <w:r>
        <w:rPr>
          <w:rFonts w:ascii="Times New Roman" w:hAnsi="Times New Roman" w:cs="Times New Roman" w:eastAsia="Times New Roman"/>
          <w:sz w:val="24"/>
        </w:rPr>
        <w:t xml:space="preserve">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presise men opake: en prognose på 17 000 EUR forteller ikke i seg selv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hvorfor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var det GT, havnen, sesongen?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SHAP (SHapley Additive exPlanations)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&amp; Lee, 2017) dekomponerer en prediksjon i per-feature bidrag med basis i kooperativ spillteori.</w:t>
      </w:r>
    </w:p>
    <w:p>
      <w:pPr>
        <w:pStyle w:val="BodyText"/>
        <w:spacing w:line="360" w:lineRule="auto"/>
      </w:pPr>
      <w:r>
        <w:rPr>
          <w:rFonts w:ascii="Times New Roman" w:hAnsi="Times New Roman" w:cs="Times New Roman" w:eastAsia="Times New Roman"/>
          <w:sz w:val="24"/>
        </w:rPr>
        <w:t xml:space="preserve">For en modell</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et input</w:t>
      </w:r>
      <w:r>
        <w:rPr>
          <w:rFonts w:ascii="Times New Roman" w:hAnsi="Times New Roman" w:cs="Times New Roman" w:eastAsia="Times New Roman"/>
          <w:sz w:val="24"/>
        </w:rPr>
        <w:t xml:space="preserve"> </w:t>
      </w:r>
      <m:oMath>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SHAP-verdien til feature</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w:t>
      </w:r>
    </w:p>
    <w:p>
      <w:pPr>
        <w:pStyle w:val="BodyText"/>
        <w:spacing w:line="360" w:lineRule="auto"/>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feature-mengden,</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løper over delmengder uten</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og</w:t>
      </w:r>
      <w:r>
        <w:rPr>
          <w:rFonts w:ascii="Times New Roman" w:hAnsi="Times New Roman" w:cs="Times New Roman" w:eastAsia="Times New Roman"/>
          <w:sz w:val="24"/>
        </w:rPr>
        <w:t xml:space="preserve"> </w:t>
      </w:r>
      <m:oMath>
        <m:sSub>
          <m:e>
            <m:r>
              <m:t>f</m:t>
            </m:r>
          </m:e>
          <m:sub>
            <m:r>
              <m:t>S</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modellens forventede prediksjon når kun features i</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observert. Dette er Shapley-verdien fra koalisjons-spillteori:</w:t>
      </w:r>
      <w:r>
        <w:rPr>
          <w:rFonts w:ascii="Times New Roman" w:hAnsi="Times New Roman" w:cs="Times New Roman" w:eastAsia="Times New Roman"/>
          <w:sz w:val="24"/>
        </w:rPr>
        <w:t xml:space="preserve"> </w:t>
      </w:r>
      <m:oMath>
        <m:sSub>
          <m:e>
            <m:r>
              <m:t>ϕ</m:t>
            </m:r>
          </m:e>
          <m:sub>
            <m:r>
              <m:t>j</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gjennomsnittlige marginale bidraget fra</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alle mulige feature-rekkefølger.</w:t>
      </w:r>
    </w:p>
    <w:p>
      <w:pPr>
        <w:pStyle w:val="BodyText"/>
        <w:spacing w:line="360" w:lineRule="auto"/>
      </w:pPr>
      <w:r>
        <w:rPr>
          <w:rFonts w:ascii="Times New Roman" w:hAnsi="Times New Roman" w:cs="Times New Roman" w:eastAsia="Times New Roman"/>
          <w:sz w:val="24"/>
        </w:rPr>
        <w:t xml:space="preserve">SHAP-verdier oppfyller tre ønskelige egenskaper: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Lokal nøyaktighet:</w:t>
      </w:r>
      <w:r>
        <w:rPr>
          <w:rFonts w:ascii="Times New Roman" w:hAnsi="Times New Roman" w:cs="Times New Roman" w:eastAsia="Times New Roman"/>
          <w:sz w:val="24"/>
        </w:rP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prediksjoner dekomponeres eksakt i en baseline pluss per-feature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Manglende verdier: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features uten påvirkning får</w:t>
      </w:r>
      <w:r>
        <w:rPr>
          <w:rFonts w:ascii="Times New Roman" w:hAnsi="Times New Roman" w:cs="Times New Roman" w:eastAsia="Times New Roman"/>
          <w:sz w:val="24"/>
        </w:rPr>
        <w:t xml:space="preserve"> </w:t>
      </w:r>
      <m:oMath>
        <m:sSub>
          <m:e>
            <m:r>
              <m:t>ϕ</m:t>
            </m:r>
          </m:e>
          <m:sub>
            <m:r>
              <m:t>j</m:t>
            </m:r>
          </m:sub>
        </m:sSub>
        <m:r>
          <m:rPr>
            <m:sty m:val="p"/>
          </m:rPr>
          <m:t>=</m:t>
        </m:r>
        <m:r>
          <m:t>0</m:t>
        </m:r>
      </m:oMath>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Konsistens: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hvis en features bidrag øker i en modell, kan SHAP-verdien dens ikke synke.</w:t>
      </w:r>
    </w:p>
    <w:p>
      <w:pPr>
        <w:pStyle w:val="BodyText"/>
        <w:spacing w:line="360" w:lineRule="auto"/>
      </w:pPr>
      <w:r>
        <w:rPr>
          <w:rFonts w:ascii="Times New Roman" w:hAnsi="Times New Roman" w:cs="Times New Roman" w:eastAsia="Times New Roman"/>
          <w:sz w:val="24"/>
        </w:rPr>
        <w:t xml:space="preserve">Eksakt beregning av SHAP-verdier er eksponensiell i antall features. For tre-ensembler beregner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TreeSHAP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et al., 2020) eksakte SHAP-verdier i polynom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ved å traversere hvert tres bane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spore betingede forventninger. Dette gjør per-prediksjon-forklaring mulig på en 26-feature modell på milli</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sekunder.</w:t>
      </w:r>
    </w:p>
    <w:p>
      <w:pPr>
        <w:pStyle w:val="BodyText"/>
        <w:spacing w:line="360" w:lineRule="auto"/>
      </w:pPr>
      <w:r>
        <w:rPr>
          <w:rFonts w:ascii="Times New Roman" w:hAnsi="Times New Roman" w:cs="Times New Roman" w:eastAsia="Times New Roman"/>
          <w:sz w:val="24"/>
        </w:rPr>
        <w:t xml:space="preserve">I NautiCost (§ 7.3) brukes TreeSHAP både globalt (gjennomsnittlig absolutt SHAP per feature → feature importance-rangering) og lokalt (per-prediksjon waterfall-plott når en agent spør «hvorfor predikerte modellen dette tallet?»).</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Forklarbarhet er forutsetning for DP5 — SHAP kobler modellvalg (DP2) til operasjonalisering uten å gå på bekostning av prestasjon.</w:t>
      </w:r>
    </w:p>
    <w:p>
      <w:pPr>
        <w:spacing w:line="360" w:lineRule="auto"/>
      </w:pPr>
      <w:r>
        <w:rPr>
          <w:rFonts w:ascii="Times New Roman" w:hAnsi="Times New Roman" w:cs="Times New Roman" w:eastAsia="Times New Roman"/>
          <w:sz w:val="24"/>
        </w:rPr>
        <w:pict>
          <v:rect style="width:0;height:1.5pt" o:hralign="center" o:hrstd="t" o:hr="t"/>
        </w:pict>
      </w:r>
    </w:p>
    <w:bookmarkEnd w:id="29"/>
    <w:bookmarkEnd w:id="30"/>
    <w:bookmarkStart w:id="31" w:name="casebeskrivelse"/>
    <w:p>
      <w:pPr>
        <w:pStyle w:val="Heading2"/>
        <w:spacing w:line="360" w:lineRule="auto"/>
      </w:pPr>
      <w:r>
        <w:rPr>
          <w:rFonts w:ascii="Times New Roman" w:hAnsi="Times New Roman" w:cs="Times New Roman" w:eastAsia="Times New Roman"/>
          <w:sz w:val="24"/>
        </w:rPr>
        <w:t xml:space="preserve">4. Casebeskrivelse</w:t>
      </w:r>
    </w:p>
    <w:p>
      <w:pPr>
        <w:pStyle w:val="FirstParagraph"/>
        <w:spacing w:line="360" w:lineRule="auto"/>
      </w:pPr>
      <w:r>
        <w:rPr>
          <w:rFonts w:ascii="Times New Roman" w:hAnsi="Times New Roman" w:cs="Times New Roman" w:eastAsia="Times New Roman"/>
          <w:b/>
          <w:bCs/>
          <w:sz w:val="24"/>
        </w:rPr>
        <w:t xml:space="preserve">SDK Shipping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(heretter: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bedriften</w:t>
      </w:r>
      <w:r>
        <w:rPr>
          <w:rFonts w:ascii="Times New Roman" w:hAnsi="Times New Roman" w:cs="Times New Roman" w:eastAsia="Times New Roman"/>
          <w:sz w:val="24"/>
        </w:rPr>
        <w:t xml:space="preserve">) er en skandinavisk yachtagent som koordinerer anløp av kommersielle og privat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eide superyachter til havner i Norge, Sverige og Danmark. Bedriften driver fra tre kontorer: Bergen Office (norske havner), Stockholm Office (svenske havner) og Copenhagen Office (danske havner).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Kategori</w:t>
            </w:r>
          </w:p>
        </w:tc>
        <w:tc>
          <w:tcPr/>
          <w:p>
            <w:pPr>
              <w:pStyle w:val="Compact"/>
              <w:spacing w:line="360" w:lineRule="auto"/>
            </w:pPr>
            <w:r>
              <w:rPr>
                <w:rFonts w:ascii="Times New Roman" w:hAnsi="Times New Roman" w:cs="Times New Roman" w:eastAsia="Times New Roman"/>
                <w:sz w:val="24"/>
              </w:rPr>
              <w:t xml:space="preserve">Eksempler</w:t>
            </w:r>
          </w:p>
        </w:tc>
      </w:tr>
      <w:tr>
        <w:tc>
          <w:tcPr/>
          <w:p>
            <w:pPr>
              <w:pStyle w:val="Compact"/>
              <w:spacing w:line="360" w:lineRule="auto"/>
            </w:pPr>
            <w:r>
              <w:rPr>
                <w:rFonts w:ascii="Times New Roman" w:hAnsi="Times New Roman" w:cs="Times New Roman" w:eastAsia="Times New Roman"/>
                <w:b/>
                <w:bCs/>
                <w:sz w:val="24"/>
              </w:rPr>
              <w:t xml:space="preserve">Port Marina</w:t>
            </w:r>
          </w:p>
        </w:tc>
        <w:tc>
          <w:tcPr/>
          <w:p>
            <w:pPr>
              <w:pStyle w:val="Compact"/>
              <w:spacing w:line="360" w:lineRule="auto"/>
            </w:pPr>
            <w:r>
              <w:rPr>
                <w:rFonts w:ascii="Times New Roman" w:hAnsi="Times New Roman" w:cs="Times New Roman" w:eastAsia="Times New Roman"/>
                <w:sz w:val="24"/>
              </w:rPr>
              <w:t xml:space="preserve">Havneavgift,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NOx-skatt, fortøyning</w:t>
            </w:r>
          </w:p>
        </w:tc>
      </w:tr>
      <w:tr>
        <w:tc>
          <w:tcPr/>
          <w:p>
            <w:pPr>
              <w:pStyle w:val="Compact"/>
              <w:spacing w:line="360" w:lineRule="auto"/>
            </w:pPr>
            <w:r>
              <w:rPr>
                <w:rFonts w:ascii="Times New Roman" w:hAnsi="Times New Roman" w:cs="Times New Roman" w:eastAsia="Times New Roman"/>
                <w:b/>
                <w:bCs/>
                <w:sz w:val="24"/>
              </w:rPr>
              <w:t xml:space="preserve">Agency Services</w:t>
            </w:r>
          </w:p>
        </w:tc>
        <w:tc>
          <w:tcPr/>
          <w:p>
            <w:pPr>
              <w:pStyle w:val="Compact"/>
              <w:spacing w:line="360" w:lineRule="auto"/>
            </w:pPr>
            <w:r>
              <w:rPr>
                <w:rFonts w:ascii="Times New Roman" w:hAnsi="Times New Roman" w:cs="Times New Roman" w:eastAsia="Times New Roman"/>
                <w:sz w:val="24"/>
              </w:rPr>
              <w:t xml:space="preserve">Tollklarering, immigrasjon, kurer, innkjøp</w:t>
            </w:r>
          </w:p>
        </w:tc>
      </w:tr>
      <w:tr>
        <w:tc>
          <w:tcPr/>
          <w:p>
            <w:pPr>
              <w:pStyle w:val="Compact"/>
              <w:spacing w:line="360" w:lineRule="auto"/>
            </w:pPr>
            <w:r>
              <w:rPr>
                <w:rFonts w:ascii="Times New Roman" w:hAnsi="Times New Roman" w:cs="Times New Roman" w:eastAsia="Times New Roman"/>
                <w:b/>
                <w:bCs/>
                <w:sz w:val="24"/>
              </w:rPr>
              <w:t xml:space="preserve">Hospitality</w:t>
            </w:r>
          </w:p>
        </w:tc>
        <w:tc>
          <w:tcPr/>
          <w:p>
            <w:pPr>
              <w:pStyle w:val="Compact"/>
              <w:spacing w:line="360" w:lineRule="auto"/>
            </w:pPr>
            <w:r>
              <w:rPr>
                <w:rFonts w:ascii="Times New Roman" w:hAnsi="Times New Roman" w:cs="Times New Roman" w:eastAsia="Times New Roman"/>
                <w:sz w:val="24"/>
              </w:rPr>
              <w:t xml:space="preserve">Transportservice, guide, hotell, leiebil</w:t>
            </w:r>
          </w:p>
        </w:tc>
      </w:tr>
      <w:tr>
        <w:tc>
          <w:tcPr/>
          <w:p>
            <w:pPr>
              <w:pStyle w:val="Compact"/>
              <w:spacing w:line="360" w:lineRule="auto"/>
            </w:pPr>
            <w:r>
              <w:rPr>
                <w:rFonts w:ascii="Times New Roman" w:hAnsi="Times New Roman" w:cs="Times New Roman" w:eastAsia="Times New Roman"/>
                <w:b/>
                <w:bCs/>
                <w:sz w:val="24"/>
              </w:rPr>
              <w:t xml:space="preserve">Provisioning</w:t>
            </w:r>
          </w:p>
        </w:tc>
        <w:tc>
          <w:tcPr/>
          <w:p>
            <w:pPr>
              <w:pStyle w:val="Compact"/>
              <w:spacing w:line="360" w:lineRule="auto"/>
            </w:pPr>
            <w:r>
              <w:rPr>
                <w:rFonts w:ascii="Times New Roman" w:hAnsi="Times New Roman" w:cs="Times New Roman" w:eastAsia="Times New Roman"/>
                <w:sz w:val="24"/>
              </w:rPr>
              <w:t xml:space="preserve">Mat, drikke, blomster</w:t>
            </w:r>
          </w:p>
        </w:tc>
      </w:tr>
      <w:tr>
        <w:tc>
          <w:tcPr/>
          <w:p>
            <w:pPr>
              <w:pStyle w:val="Compact"/>
              <w:spacing w:line="360" w:lineRule="auto"/>
            </w:pPr>
            <w:r>
              <w:rPr>
                <w:rFonts w:ascii="Times New Roman" w:hAnsi="Times New Roman" w:cs="Times New Roman" w:eastAsia="Times New Roman"/>
                <w:b/>
                <w:bCs/>
                <w:sz w:val="24"/>
              </w:rPr>
              <w:t xml:space="preserve">Technical Services</w:t>
            </w:r>
          </w:p>
        </w:tc>
        <w:tc>
          <w:tcPr/>
          <w:p>
            <w:pPr>
              <w:pStyle w:val="Compact"/>
              <w:spacing w:line="360" w:lineRule="auto"/>
            </w:pPr>
            <w:r>
              <w:rPr>
                <w:rFonts w:ascii="Times New Roman" w:hAnsi="Times New Roman" w:cs="Times New Roman" w:eastAsia="Times New Roman"/>
                <w:sz w:val="24"/>
              </w:rPr>
              <w:t xml:space="preserve">Tekniker, mekaniker, dykker, snekker</w:t>
            </w:r>
          </w:p>
        </w:tc>
      </w:tr>
      <w:tr>
        <w:tc>
          <w:tcPr/>
          <w:p>
            <w:pPr>
              <w:pStyle w:val="Compact"/>
              <w:spacing w:line="360" w:lineRule="auto"/>
            </w:pPr>
            <w:r>
              <w:rPr>
                <w:rFonts w:ascii="Times New Roman" w:hAnsi="Times New Roman" w:cs="Times New Roman" w:eastAsia="Times New Roman"/>
                <w:b/>
                <w:bCs/>
                <w:sz w:val="24"/>
              </w:rPr>
              <w:t xml:space="preserve">Bunkering</w:t>
            </w:r>
          </w:p>
        </w:tc>
        <w:tc>
          <w:tcPr/>
          <w:p>
            <w:pPr>
              <w:pStyle w:val="Compact"/>
              <w:spacing w:line="360" w:lineRule="auto"/>
            </w:pPr>
            <w:r>
              <w:rPr>
                <w:rFonts w:ascii="Times New Roman" w:hAnsi="Times New Roman" w:cs="Times New Roman" w:eastAsia="Times New Roman"/>
                <w:sz w:val="24"/>
              </w:rPr>
              <w:t xml:space="preserve">Diesel, smøreolje</w:t>
            </w:r>
          </w:p>
        </w:tc>
      </w:tr>
      <w:tr>
        <w:tc>
          <w:tcPr/>
          <w:p>
            <w:pPr>
              <w:pStyle w:val="Compact"/>
              <w:spacing w:line="360" w:lineRule="auto"/>
            </w:pPr>
            <w:r>
              <w:rPr>
                <w:rFonts w:ascii="Times New Roman" w:hAnsi="Times New Roman" w:cs="Times New Roman" w:eastAsia="Times New Roman"/>
                <w:b/>
                <w:bCs/>
                <w:sz w:val="24"/>
              </w:rPr>
              <w:t xml:space="preserve">Agency Fee</w:t>
            </w:r>
          </w:p>
        </w:tc>
        <w:tc>
          <w:tcPr/>
          <w:p>
            <w:pPr>
              <w:pStyle w:val="Compact"/>
              <w:spacing w:line="360" w:lineRule="auto"/>
            </w:pPr>
            <w:r>
              <w:rPr>
                <w:rFonts w:ascii="Times New Roman" w:hAnsi="Times New Roman" w:cs="Times New Roman" w:eastAsia="Times New Roman"/>
                <w:sz w:val="24"/>
              </w:rPr>
              <w:t xml:space="preserve">Selve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honoraret</w:t>
            </w:r>
          </w:p>
        </w:tc>
      </w:tr>
    </w:tbl>
    <w:p>
      <w:pPr>
        <w:pStyle w:val="BodyTex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betydelig mellom havner: Tromsø har en høy andel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knyttet til toll og innkjøp, Stockholm domineres av hospitality, og Bergen har den bredeste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paletten med 38 forskjellige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typer i datasettet.</w:t>
      </w:r>
    </w:p>
    <w:p>
      <w:pPr>
        <w:pStyle w:val="BodyText"/>
        <w:spacing w:line="360" w:lineRule="auto"/>
      </w:pPr>
      <w:r>
        <w:rPr>
          <w:rFonts w:ascii="Times New Roman" w:hAnsi="Times New Roman" w:cs="Times New Roman" w:eastAsia="Times New Roman"/>
          <w:sz w:val="24"/>
        </w:rPr>
        <w:t xml:space="preserve">Yachtene som behandles er i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spennet 51,9–2 407 GT, der norske myndigheter krever los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for fartøy med LOA &gt; 70 m. Bedriften kategoriserer fartøy i tre størrelser:</w:t>
      </w:r>
    </w:p>
    <w:p>
      <w:pPr>
        <w:pStyle w:val="Compact"/>
        <w:numPr>
          <w:ilvl w:val="0"/>
          <w:numId w:val="1014"/>
        </w:numPr>
        <w:spacing w:line="360" w:lineRule="auto"/>
      </w:pPr>
      <w:r>
        <w:rPr>
          <w:rFonts w:ascii="Times New Roman" w:hAnsi="Times New Roman" w:cs="Times New Roman" w:eastAsia="Times New Roman"/>
          <w:b/>
          <w:bCs/>
          <w:sz w:val="24"/>
        </w:rPr>
        <w:t xml:space="preserve">Liten: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&lt; 98</w:t>
      </w:r>
    </w:p>
    <w:p>
      <w:pPr>
        <w:pStyle w:val="Compact"/>
        <w:numPr>
          <w:ilvl w:val="0"/>
          <w:numId w:val="1014"/>
        </w:numPr>
        <w:spacing w:line="360" w:lineRule="auto"/>
      </w:pPr>
      <w:r>
        <w:rPr>
          <w:rFonts w:ascii="Times New Roman" w:hAnsi="Times New Roman" w:cs="Times New Roman" w:eastAsia="Times New Roman"/>
          <w:b/>
          <w:bCs/>
          <w:sz w:val="24"/>
        </w:rPr>
        <w:t xml:space="preserve">Mellomstor: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98 ≤ GT ≤ 1000</w:t>
      </w:r>
    </w:p>
    <w:p>
      <w:pPr>
        <w:pStyle w:val="Compact"/>
        <w:numPr>
          <w:ilvl w:val="0"/>
          <w:numId w:val="1014"/>
        </w:numPr>
        <w:spacing w:line="360" w:lineRule="auto"/>
      </w:pPr>
      <w:r>
        <w:rPr>
          <w:rFonts w:ascii="Times New Roman" w:hAnsi="Times New Roman" w:cs="Times New Roman" w:eastAsia="Times New Roman"/>
          <w:b/>
          <w:bCs/>
          <w:sz w:val="24"/>
        </w:rPr>
        <w:t xml:space="preserve">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&gt; 1000</w:t>
      </w:r>
    </w:p>
    <w:p>
      <w:pPr>
        <w:pStyle w:val="FirstParagraph"/>
        <w:spacing w:line="360" w:lineRule="auto"/>
      </w:pPr>
      <w:r>
        <w:rPr>
          <w:rFonts w:ascii="Times New Roman" w:hAnsi="Times New Roman" w:cs="Times New Roman" w:eastAsia="Times New Roman"/>
          <w:sz w:val="24"/>
        </w:rPr>
        <w:t xml:space="preserve">I dag utarbeides forhånds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manuelt og varierer i kvalitet mellom koordinatorer. Bedriften ønsker et internt verktøy som gir et raskt, konsistent og forklarbart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det er behovet NautiCost dekker.</w:t>
      </w:r>
    </w:p>
    <w:p>
      <w:pPr>
        <w:spacing w:line="360" w:lineRule="auto"/>
      </w:pPr>
      <w:r>
        <w:rPr>
          <w:rFonts w:ascii="Times New Roman" w:hAnsi="Times New Roman" w:cs="Times New Roman" w:eastAsia="Times New Roman"/>
          <w:sz w:val="24"/>
        </w:rPr>
        <w:pict>
          <v:rect style="width:0;height:1.5pt" o:hralign="center" o:hrstd="t" o:hr="t"/>
        </w:pict>
      </w:r>
    </w:p>
    <w:bookmarkEnd w:id="31"/>
    <w:bookmarkStart w:id="40" w:name="metode-og-data"/>
    <w:p>
      <w:pPr>
        <w:pStyle w:val="Heading2"/>
        <w:spacing w:line="360" w:lineRule="auto"/>
      </w:pPr>
      <w:r>
        <w:rPr>
          <w:rFonts w:ascii="Times New Roman" w:hAnsi="Times New Roman" w:cs="Times New Roman" w:eastAsia="Times New Roman"/>
          <w:sz w:val="24"/>
        </w:rPr>
        <w:t xml:space="preserve">5. Metode og data</w:t>
      </w:r>
    </w:p>
    <w:bookmarkStart w:id="32" w:name="prosessmapping-mot-pensumkompendiet"/>
    <w:p>
      <w:pPr>
        <w:pStyle w:val="Heading3"/>
        <w:spacing w:line="360" w:lineRule="auto"/>
      </w:pPr>
      <w:r>
        <w:rPr>
          <w:rFonts w:ascii="Times New Roman" w:hAnsi="Times New Roman" w:cs="Times New Roman" w:eastAsia="Times New Roman"/>
          <w:sz w:val="24"/>
        </w:rPr>
        <w:t xml:space="preserve">5.0 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mapping mot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w:t>
      </w:r>
    </w:p>
    <w:p>
      <w:pPr>
        <w:pStyle w:val="FirstParagraph"/>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(Pettersen &amp; Rekdal, 2026, § i.4) foreskriver en femtrinns prosess for et kvantitativt logistikk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 (kompendiet § i.4)</w:t>
            </w:r>
          </w:p>
        </w:tc>
        <w:tc>
          <w:tcPr/>
          <w:p>
            <w:pPr>
              <w:pStyle w:val="Compact"/>
              <w:spacing w:line="360" w:lineRule="auto"/>
            </w:pPr>
            <w:r>
              <w:rPr>
                <w:rFonts w:ascii="Times New Roman" w:hAnsi="Times New Roman" w:cs="Times New Roman" w:eastAsia="Times New Roman"/>
                <w:sz w:val="24"/>
              </w:rPr>
              <w:t xml:space="preserve">Realisert i NautiCost-rapporten</w:t>
            </w:r>
          </w:p>
        </w:tc>
      </w:tr>
      <w:tr>
        <w:tc>
          <w:tcPr/>
          <w:p>
            <w:pPr>
              <w:pStyle w:val="Compact"/>
              <w:spacing w:line="360" w:lineRule="auto"/>
            </w:pPr>
            <w:r>
              <w:rPr>
                <w:rFonts w:ascii="Times New Roman" w:hAnsi="Times New Roman" w:cs="Times New Roman" w:eastAsia="Times New Roman"/>
                <w:sz w:val="24"/>
              </w:rPr>
              <w:t xml:space="preserve">Steg 1: Datainnsamling</w:t>
            </w:r>
          </w:p>
        </w:tc>
        <w:tc>
          <w:tcPr/>
          <w:p>
            <w:pPr>
              <w:pStyle w:val="Compact"/>
              <w:spacing w:line="360" w:lineRule="auto"/>
            </w:pPr>
            <w:r>
              <w:rPr>
                <w:rFonts w:ascii="Times New Roman" w:hAnsi="Times New Roman" w:cs="Times New Roman" w:eastAsia="Times New Roman"/>
                <w:sz w:val="24"/>
              </w:rPr>
              <w:t xml:space="preserve">§ 5.2 datakilder, § 5.3 datapreparering</w:t>
            </w:r>
          </w:p>
        </w:tc>
      </w:tr>
      <w:tr>
        <w:tc>
          <w:tcPr/>
          <w:p>
            <w:pPr>
              <w:pStyle w:val="Compact"/>
              <w:spacing w:line="360" w:lineRule="auto"/>
            </w:pPr>
            <w:r>
              <w:rPr>
                <w:rFonts w:ascii="Times New Roman" w:hAnsi="Times New Roman" w:cs="Times New Roman" w:eastAsia="Times New Roman"/>
                <w:sz w:val="24"/>
              </w:rPr>
              <w:t xml:space="preserve">Steg 2: Sjekk av antakelser</w:t>
            </w:r>
          </w:p>
        </w:tc>
        <w:tc>
          <w:tcPr/>
          <w:p>
            <w:pPr>
              <w:pStyle w:val="Compact"/>
              <w:spacing w:line="360" w:lineRule="auto"/>
            </w:pPr>
            <w:r>
              <w:rPr>
                <w:rFonts w:ascii="Times New Roman" w:hAnsi="Times New Roman" w:cs="Times New Roman" w:eastAsia="Times New Roman"/>
                <w:sz w:val="24"/>
              </w:rPr>
              <w:t xml:space="preserve">§ 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 § 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w:t>
            </w:r>
          </w:p>
        </w:tc>
      </w:tr>
      <w:tr>
        <w:tc>
          <w:tcPr/>
          <w:p>
            <w:pPr>
              <w:pStyle w:val="Compact"/>
              <w:spacing w:line="360" w:lineRule="auto"/>
            </w:pPr>
            <w:r>
              <w:rPr>
                <w:rFonts w:ascii="Times New Roman" w:hAnsi="Times New Roman" w:cs="Times New Roman" w:eastAsia="Times New Roman"/>
                <w:sz w:val="24"/>
              </w:rPr>
              <w:t xml:space="preserve">Steg 3: Løsning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w:t>
            </w:r>
          </w:p>
        </w:tc>
        <w:tc>
          <w:tcPr/>
          <w:p>
            <w:pPr>
              <w:pStyle w:val="Compact"/>
              <w:spacing w:line="360" w:lineRule="auto"/>
            </w:pPr>
            <w:r>
              <w:rPr>
                <w:rFonts w:ascii="Times New Roman" w:hAnsi="Times New Roman" w:cs="Times New Roman" w:eastAsia="Times New Roman"/>
                <w:sz w:val="24"/>
              </w:rPr>
              <w:t xml:space="preserve">§ 6.3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6.5 hybrid kalibrering</w:t>
            </w:r>
          </w:p>
        </w:tc>
      </w:tr>
      <w:tr>
        <w:tc>
          <w:tcPr/>
          <w:p>
            <w:pPr>
              <w:pStyle w:val="Compact"/>
              <w:spacing w:line="360" w:lineRule="auto"/>
            </w:pPr>
            <w:r>
              <w:rPr>
                <w:rFonts w:ascii="Times New Roman" w:hAnsi="Times New Roman" w:cs="Times New Roman" w:eastAsia="Times New Roman"/>
                <w:sz w:val="24"/>
              </w:rPr>
              <w:t xml:space="preserve">Steg 4: Sjekk av løsning</w:t>
            </w:r>
          </w:p>
        </w:tc>
        <w:tc>
          <w:tcPr/>
          <w:p>
            <w:pPr>
              <w:pStyle w:val="Compact"/>
              <w:spacing w:line="360" w:lineRule="auto"/>
            </w:pPr>
            <w:r>
              <w:rPr>
                <w:rFonts w:ascii="Times New Roman" w:hAnsi="Times New Roman" w:cs="Times New Roman" w:eastAsia="Times New Roman"/>
                <w:sz w:val="24"/>
              </w:rPr>
              <w:t xml:space="preserve">§ 8 resultater (valideringssett-metrikker + endelig testsett-evaluering), § 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tc>
      </w:tr>
      <w:tr>
        <w:tc>
          <w:tcPr/>
          <w:p>
            <w:pPr>
              <w:pStyle w:val="Compact"/>
              <w:spacing w:line="360" w:lineRule="auto"/>
            </w:pPr>
            <w:r>
              <w:rPr>
                <w:rFonts w:ascii="Times New Roman" w:hAnsi="Times New Roman" w:cs="Times New Roman" w:eastAsia="Times New Roman"/>
                <w:sz w:val="24"/>
              </w:rPr>
              <w:t xml:space="preserve">Steg 5: Anvendelse</w:t>
            </w:r>
          </w:p>
        </w:tc>
        <w:tc>
          <w:tcPr/>
          <w:p>
            <w:pPr>
              <w:pStyle w:val="Compact"/>
              <w:spacing w:line="360" w:lineRule="auto"/>
            </w:pPr>
            <w:r>
              <w:rPr>
                <w:rFonts w:ascii="Times New Roman" w:hAnsi="Times New Roman" w:cs="Times New Roman" w:eastAsia="Times New Roman"/>
                <w:sz w:val="24"/>
              </w:rPr>
              <w:t xml:space="preserve">§ 6.5 hybrid kalibrering på anløpsnivå, § 8.4 operasjonell ytelse, § 9.5 brukertest</w:t>
            </w:r>
          </w:p>
        </w:tc>
      </w:tr>
    </w:tbl>
    <w:p>
      <w:pPr>
        <w:pStyle w:val="BodyText"/>
        <w:spacing w:line="360" w:lineRule="auto"/>
      </w:pPr>
      <w:r>
        <w:rPr>
          <w:rFonts w:ascii="Times New Roman" w:hAnsi="Times New Roman" w:cs="Times New Roman" w:eastAsia="Times New Roman"/>
          <w:sz w:val="24"/>
        </w:rPr>
        <w:t xml:space="preserve">Mappingen sikrer at lesere som har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kan navigere rapporten med kjent rammeverk, og at de fem trinnene er dekket før konklusjonen i § 10.</w:t>
      </w:r>
    </w:p>
    <w:bookmarkEnd w:id="32"/>
    <w:bookmarkStart w:id="33" w:name="forskningsdesign"/>
    <w:p>
      <w:pPr>
        <w:pStyle w:val="Heading3"/>
        <w:spacing w:line="360" w:lineRule="auto"/>
      </w:pPr>
      <w:r>
        <w:rPr>
          <w:rFonts w:ascii="Times New Roman" w:hAnsi="Times New Roman" w:cs="Times New Roman" w:eastAsia="Times New Roman"/>
          <w:sz w:val="24"/>
        </w:rPr>
        <w:t xml:space="preserve">5.1 Forskningsdesign</w:t>
      </w:r>
    </w:p>
    <w:p>
      <w:pPr>
        <w:pStyle w:val="FirstParagraph"/>
        <w:spacing w:line="360" w:lineRule="auto"/>
      </w:pPr>
      <w:r>
        <w:rPr>
          <w:rFonts w:ascii="Times New Roman" w:hAnsi="Times New Roman" w:cs="Times New Roman" w:eastAsia="Times New Roman"/>
          <w:sz w:val="24"/>
        </w:rPr>
        <w:t xml:space="preserve">Prosjektet følger et anvendt-prediktivt forskningsdesign: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 formuleres som et superviseret regresjonsproblem på transaksjonsnivå, med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for å unngå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lekkasje, og modellen evalueres mot operasjonelt relevante feilmetrikker (MAE i EUR — kildedataenes egen valuta, jf. § 1.3 — samt P25–P75-dekning).</w:t>
      </w:r>
    </w:p>
    <w:bookmarkEnd w:id="33"/>
    <w:bookmarkStart w:id="34" w:name="datakilder"/>
    <w:p>
      <w:pPr>
        <w:pStyle w:val="Heading3"/>
        <w:spacing w:line="360" w:lineRule="auto"/>
      </w:pPr>
      <w:r>
        <w:rPr>
          <w:rFonts w:ascii="Times New Roman" w:hAnsi="Times New Roman" w:cs="Times New Roman" w:eastAsia="Times New Roman"/>
          <w:sz w:val="24"/>
        </w:rP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spacing w:line="360" w:lineRule="auto"/>
            </w:pPr>
            <w:r>
              <w:rPr>
                <w:rFonts w:ascii="Times New Roman" w:hAnsi="Times New Roman" w:cs="Times New Roman" w:eastAsia="Times New Roman"/>
                <w:sz w:val="24"/>
              </w:rPr>
              <w:t xml:space="preserve">Fil</w:t>
            </w:r>
          </w:p>
        </w:tc>
        <w:tc>
          <w:tcPr/>
          <w:p>
            <w:pPr>
              <w:pStyle w:val="Compact"/>
              <w:spacing w:line="360" w:lineRule="auto"/>
            </w:pPr>
            <w:r>
              <w:rPr>
                <w:rFonts w:ascii="Times New Roman" w:hAnsi="Times New Roman" w:cs="Times New Roman" w:eastAsia="Times New Roman"/>
                <w:sz w:val="24"/>
              </w:rPr>
              <w:t xml:space="preserve">Innhold</w:t>
            </w:r>
          </w:p>
        </w:tc>
        <w:tc>
          <w:tcPr/>
          <w:p>
            <w:pPr>
              <w:pStyle w:val="Compact"/>
              <w:spacing w:line="360" w:lineRule="auto"/>
              <w:jc w:val="right"/>
            </w:pPr>
            <w:r>
              <w:rPr>
                <w:rFonts w:ascii="Times New Roman" w:hAnsi="Times New Roman" w:cs="Times New Roman" w:eastAsia="Times New Roman"/>
                <w:sz w:val="24"/>
              </w:rPr>
              <w:t xml:space="preserve">Rader</w:t>
            </w:r>
          </w:p>
        </w:tc>
      </w:tr>
      <w:tr>
        <w:tc>
          <w:tcPr/>
          <w:p>
            <w:pPr>
              <w:pStyle w:val="Compact"/>
              <w:spacing w:line="360" w:lineRule="auto"/>
            </w:pP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(sheet 1)</w:t>
            </w:r>
          </w:p>
        </w:tc>
        <w:tc>
          <w:tcPr/>
          <w:p>
            <w:pPr>
              <w:pStyle w:val="Compact"/>
              <w:spacing w:line="360" w:lineRule="auto"/>
            </w:pPr>
            <w:r>
              <w:rPr>
                <w:rFonts w:ascii="Times New Roman" w:hAnsi="Times New Roman" w:cs="Times New Roman" w:eastAsia="Times New Roman"/>
                <w:sz w:val="24"/>
              </w:rPr>
              <w:t xml:space="preserve">Originale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2020–2025</w:t>
            </w:r>
          </w:p>
        </w:tc>
        <w:tc>
          <w:tcPr/>
          <w:p>
            <w:pPr>
              <w:pStyle w:val="Compact"/>
              <w:spacing w:line="360" w:lineRule="auto"/>
              <w:jc w:val="right"/>
            </w:pPr>
            <w:r>
              <w:rPr>
                <w:rFonts w:ascii="Times New Roman" w:hAnsi="Times New Roman" w:cs="Times New Roman" w:eastAsia="Times New Roman"/>
                <w:sz w:val="24"/>
              </w:rPr>
              <w:t xml:space="preserve">932</w:t>
            </w:r>
          </w:p>
        </w:tc>
      </w:tr>
      <w:tr>
        <w:tc>
          <w:tcPr/>
          <w:p>
            <w:pPr>
              <w:pStyle w:val="Compact"/>
              <w:spacing w:line="360" w:lineRule="auto"/>
            </w:pPr>
            <w:r>
              <w:rPr>
                <w:rStyle w:val="VerbatimChar"/>
                <w:rFonts w:ascii="Times New Roman" w:hAnsi="Times New Roman" w:cs="Times New Roman" w:eastAsia="Times New Roman"/>
                <w:sz w:val="24"/>
              </w:rPr>
              <w:t xml:space="preserve">Kostnader_MM.csv</w:t>
            </w:r>
          </w:p>
        </w:tc>
        <w:tc>
          <w:tcPr/>
          <w:p>
            <w:pPr>
              <w:pStyle w:val="Compact"/>
              <w:spacing w:line="360" w:lineRule="auto"/>
            </w:pPr>
            <w:r>
              <w:rPr>
                <w:rFonts w:ascii="Times New Roman" w:hAnsi="Times New Roman" w:cs="Times New Roman" w:eastAsia="Times New Roman"/>
                <w:sz w:val="24"/>
              </w:rPr>
              <w:t xml:space="preserve">Eksportert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(inkl. subtotaler)</w:t>
            </w:r>
          </w:p>
        </w:tc>
        <w:tc>
          <w:tcPr/>
          <w:p>
            <w:pPr>
              <w:pStyle w:val="Compact"/>
              <w:spacing w:line="360" w:lineRule="auto"/>
              <w:jc w:val="right"/>
            </w:pPr>
            <w:r>
              <w:rPr>
                <w:rFonts w:ascii="Times New Roman" w:hAnsi="Times New Roman" w:cs="Times New Roman" w:eastAsia="Times New Roman"/>
                <w:sz w:val="24"/>
              </w:rPr>
              <w:t xml:space="preserve">3 325</w:t>
            </w:r>
          </w:p>
        </w:tc>
      </w:tr>
      <w:tr>
        <w:tc>
          <w:tcPr/>
          <w:p>
            <w:pPr>
              <w:pStyle w:val="Compact"/>
              <w:spacing w:line="360" w:lineRule="auto"/>
            </w:pPr>
            <w:r>
              <w:rPr>
                <w:rStyle w:val="VerbatimChar"/>
                <w:rFonts w:ascii="Times New Roman" w:hAnsi="Times New Roman" w:cs="Times New Roman" w:eastAsia="Times New Roman"/>
                <w:sz w:val="24"/>
              </w:rPr>
              <w:t xml:space="preserve">costs_clean.csv</w:t>
            </w:r>
          </w:p>
        </w:tc>
        <w:tc>
          <w:tcPr/>
          <w:p>
            <w:pPr>
              <w:pStyle w:val="Compact"/>
              <w:spacing w:line="360" w:lineRule="auto"/>
            </w:pPr>
            <w:r>
              <w:rPr>
                <w:rFonts w:ascii="Times New Roman" w:hAnsi="Times New Roman" w:cs="Times New Roman" w:eastAsia="Times New Roman"/>
                <w:sz w:val="24"/>
              </w:rPr>
              <w:t xml:space="preserve">Renset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p>
        </w:tc>
        <w:tc>
          <w:tcPr/>
          <w:p>
            <w:pPr>
              <w:pStyle w:val="Compact"/>
              <w:spacing w:line="360" w:lineRule="auto"/>
              <w:jc w:val="right"/>
            </w:pPr>
            <w:r>
              <w:rPr>
                <w:rFonts w:ascii="Times New Roman" w:hAnsi="Times New Roman" w:cs="Times New Roman" w:eastAsia="Times New Roman"/>
                <w:sz w:val="24"/>
              </w:rPr>
              <w:t xml:space="preserve">1 654</w:t>
            </w:r>
          </w:p>
        </w:tc>
      </w:tr>
      <w:tr>
        <w:tc>
          <w:tcPr/>
          <w:p>
            <w:pPr>
              <w:pStyle w:val="Compact"/>
              <w:spacing w:line="360" w:lineRule="auto"/>
            </w:pPr>
            <w:r>
              <w:rPr>
                <w:rStyle w:val="VerbatimChar"/>
                <w:rFonts w:ascii="Times New Roman" w:hAnsi="Times New Roman" w:cs="Times New Roman" w:eastAsia="Times New Roman"/>
                <w:sz w:val="24"/>
              </w:rPr>
              <w:t xml:space="preserve">costs_merged.csv</w:t>
            </w:r>
          </w:p>
        </w:tc>
        <w:tc>
          <w:tcPr/>
          <w:p>
            <w:pPr>
              <w:pStyle w:val="Compact"/>
              <w:spacing w:line="360" w:lineRule="auto"/>
            </w:pPr>
            <w:r>
              <w:rPr>
                <w:rFonts w:ascii="Times New Roman" w:hAnsi="Times New Roman" w:cs="Times New Roman" w:eastAsia="Times New Roman"/>
                <w:sz w:val="24"/>
              </w:rPr>
              <w:t xml:space="preserve">Transaksjoner sammenstilt med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w:t>
            </w:r>
          </w:p>
        </w:tc>
        <w:tc>
          <w:tcPr/>
          <w:p>
            <w:pPr>
              <w:pStyle w:val="Compact"/>
              <w:spacing w:line="360" w:lineRule="auto"/>
              <w:jc w:val="right"/>
            </w:pPr>
            <w:r>
              <w:rPr>
                <w:rFonts w:ascii="Times New Roman" w:hAnsi="Times New Roman" w:cs="Times New Roman" w:eastAsia="Times New Roman"/>
                <w:sz w:val="24"/>
              </w:rPr>
              <w:t xml:space="preserve">1 654 (1 633 med gyldig pris)</w:t>
            </w:r>
          </w:p>
        </w:tc>
      </w:tr>
      <w:tr>
        <w:tc>
          <w:tcPr/>
          <w:p>
            <w:pPr>
              <w:pStyle w:val="Compact"/>
              <w:spacing w:line="360" w:lineRule="auto"/>
            </w:pPr>
            <w:r>
              <w:rPr>
                <w:rStyle w:val="VerbatimChar"/>
                <w:rFonts w:ascii="Times New Roman" w:hAnsi="Times New Roman" w:cs="Times New Roman" w:eastAsia="Times New Roman"/>
                <w:sz w:val="24"/>
              </w:rPr>
              <w:t xml:space="preserve">Yacht-specs.csv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specs_clean.csv</w:t>
            </w:r>
          </w:p>
        </w:tc>
        <w:tc>
          <w:tcPr/>
          <w:p>
            <w:pPr>
              <w:pStyle w:val="Compact"/>
              <w:spacing w:line="360" w:lineRule="auto"/>
            </w:pPr>
            <w:r>
              <w:rPr>
                <w:rFonts w:ascii="Times New Roman" w:hAnsi="Times New Roman" w:cs="Times New Roman" w:eastAsia="Times New Roman"/>
                <w:sz w:val="24"/>
              </w:rPr>
              <w:t xml:space="preserve">17 unike yachter (19 spec-rader, noen revideres over tid)</w:t>
            </w:r>
          </w:p>
        </w:tc>
        <w:tc>
          <w:tcPr/>
          <w:p>
            <w:pPr>
              <w:pStyle w:val="Compact"/>
              <w:spacing w:line="360" w:lineRule="auto"/>
              <w:jc w:val="right"/>
            </w:pPr>
            <w:r>
              <w:rPr>
                <w:rFonts w:ascii="Times New Roman" w:hAnsi="Times New Roman" w:cs="Times New Roman" w:eastAsia="Times New Roman"/>
                <w:sz w:val="24"/>
              </w:rPr>
              <w:t xml:space="preserve">19</w:t>
            </w:r>
          </w:p>
        </w:tc>
      </w:tr>
      <w:tr>
        <w:tc>
          <w:tcPr/>
          <w:p>
            <w:pPr>
              <w:pStyle w:val="Compact"/>
              <w:spacing w:line="360" w:lineRule="auto"/>
            </w:pPr>
            <w:r>
              <w:rPr>
                <w:rStyle w:val="VerbatimChar"/>
                <w:rFonts w:ascii="Times New Roman" w:hAnsi="Times New Roman" w:cs="Times New Roman" w:eastAsia="Times New Roman"/>
                <w:sz w:val="24"/>
              </w:rPr>
              <w:t xml:space="preserve">cockpit_clean.csv</w:t>
            </w:r>
          </w:p>
        </w:tc>
        <w:tc>
          <w:tcPr/>
          <w:p>
            <w:pPr>
              <w:pStyle w:val="Compact"/>
              <w:spacing w:line="360" w:lineRule="auto"/>
            </w:pPr>
            <w:r>
              <w:rPr>
                <w:rFonts w:ascii="Times New Roman" w:hAnsi="Times New Roman" w:cs="Times New Roman" w:eastAsia="Times New Roman"/>
                <w:sz w:val="24"/>
              </w:rPr>
              <w:t xml:space="preserve">Aggregerte cockpit-tall 2020–2025</w:t>
            </w:r>
          </w:p>
        </w:tc>
        <w:tc>
          <w:tcPr/>
          <w:p>
            <w:pPr>
              <w:pStyle w:val="Compact"/>
              <w:spacing w:line="360" w:lineRule="auto"/>
              <w:jc w:val="right"/>
            </w:pPr>
            <w:r>
              <w:rPr>
                <w:rFonts w:ascii="Times New Roman" w:hAnsi="Times New Roman" w:cs="Times New Roman" w:eastAsia="Times New Roman"/>
                <w:sz w:val="24"/>
              </w:rPr>
              <w:t xml:space="preserve">6</w:t>
            </w:r>
          </w:p>
        </w:tc>
      </w:tr>
    </w:tbl>
    <w:bookmarkEnd w:id="34"/>
    <w:bookmarkStart w:id="35" w:name="datapreparering"/>
    <w:p>
      <w:pPr>
        <w:pStyle w:val="Heading3"/>
        <w:spacing w:line="360" w:lineRule="auto"/>
      </w:pPr>
      <w:r>
        <w:rPr>
          <w:rFonts w:ascii="Times New Roman" w:hAnsi="Times New Roman" w:cs="Times New Roman" w:eastAsia="Times New Roman"/>
          <w:sz w:val="24"/>
        </w:rPr>
        <w:t xml:space="preserve">5.3 Datapreparering</w:t>
      </w:r>
    </w:p>
    <w:p>
      <w:pPr>
        <w:pStyle w:val="FirstParagraph"/>
        <w:spacing w:line="360" w:lineRule="auto"/>
      </w:pPr>
      <w:r>
        <w:rPr>
          <w:rFonts w:ascii="Times New Roman" w:hAnsi="Times New Roman" w:cs="Times New Roman" w:eastAsia="Times New Roman"/>
          <w:sz w:val="24"/>
        </w:rPr>
        <w:t xml:space="preserve">Datapreparering er gjennomført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består av:</w:t>
      </w:r>
    </w:p>
    <w:p>
      <w:pPr>
        <w:pStyle w:val="Compact"/>
        <w:numPr>
          <w:ilvl w:val="0"/>
          <w:numId w:val="1015"/>
        </w:numPr>
        <w:spacing w:line="360" w:lineRule="auto"/>
      </w:pPr>
      <w:r>
        <w:rPr>
          <w:rFonts w:ascii="Times New Roman" w:hAnsi="Times New Roman" w:cs="Times New Roman" w:eastAsia="Times New Roman"/>
          <w:b/>
          <w:bCs/>
          <w:sz w:val="24"/>
        </w:rPr>
        <w:t xml:space="preserve">Innlesing og typing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parsing av datofelt og numeriske beløp.</w:t>
      </w:r>
    </w:p>
    <w:p>
      <w:pPr>
        <w:pStyle w:val="Compact"/>
        <w:numPr>
          <w:ilvl w:val="0"/>
          <w:numId w:val="1015"/>
        </w:numPr>
        <w:spacing w:line="360" w:lineRule="auto"/>
      </w:pPr>
      <w:r>
        <w:rPr>
          <w:rFonts w:ascii="Times New Roman" w:hAnsi="Times New Roman" w:cs="Times New Roman" w:eastAsia="Times New Roman"/>
          <w:b/>
          <w:bCs/>
          <w:sz w:val="24"/>
        </w:rPr>
        <w:t xml:space="preserve">Datakvalitets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flagging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via 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flag</w:t>
      </w:r>
      <w:r>
        <w:rPr>
          <w:rFonts w:ascii="Times New Roman" w:hAnsi="Times New Roman" w:cs="Times New Roman" w:eastAsia="Times New Roman"/>
          <w:sz w:val="24"/>
        </w:rPr>
        <w:t xml:space="preserve">-kolonne for rader med inkonsistente felt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verdier (negative beløp, manglende yacht-ID, sluttdato før startdato).</w:t>
      </w:r>
    </w:p>
    <w:p>
      <w:pPr>
        <w:pStyle w:val="Compact"/>
        <w:numPr>
          <w:ilvl w:val="0"/>
          <w:numId w:val="1015"/>
        </w:numPr>
        <w:spacing w:line="360" w:lineRule="auto"/>
      </w:pPr>
      <w:r>
        <w:rPr>
          <w:rFonts w:ascii="Times New Roman" w:hAnsi="Times New Roman" w:cs="Times New Roman" w:eastAsia="Times New Roman"/>
          <w:b/>
          <w:bCs/>
          <w:sz w:val="24"/>
        </w:rPr>
        <w:t xml:space="preserve">Yacht-kobling: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transaksjoner kobles til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(GT, LOA, beam, draft, fuel) via yacht-ID.</w:t>
      </w:r>
    </w:p>
    <w:p>
      <w:pPr>
        <w:pStyle w:val="Compact"/>
        <w:numPr>
          <w:ilvl w:val="0"/>
          <w:numId w:val="1015"/>
        </w:numPr>
        <w:spacing w:line="360" w:lineRule="auto"/>
      </w:pPr>
      <w:r>
        <w:rPr>
          <w:rFonts w:ascii="Times New Roman" w:hAnsi="Times New Roman" w:cs="Times New Roman" w:eastAsia="Times New Roman"/>
          <w:b/>
          <w:bCs/>
          <w:sz w:val="24"/>
        </w:rPr>
        <w:t xml:space="preserve">Avledede 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 samt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variabler (måned, kvartal, dag-i-uka).</w:t>
      </w:r>
    </w:p>
    <w:p>
      <w:pPr>
        <w:pStyle w:val="Compact"/>
        <w:numPr>
          <w:ilvl w:val="0"/>
          <w:numId w:val="1015"/>
        </w:numPr>
        <w:spacing w:line="360" w:lineRule="auto"/>
      </w:pPr>
      <w:r>
        <w:rPr>
          <w:rFonts w:ascii="Times New Roman" w:hAnsi="Times New Roman" w:cs="Times New Roman" w:eastAsia="Times New Roman"/>
          <w:b/>
          <w:bCs/>
          <w:sz w:val="24"/>
        </w:rPr>
        <w:t xml:space="preserve">Filtrering: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rader med manglende eller ikke-positiv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fjernes (jf. antakelse A3).</w:t>
      </w:r>
    </w:p>
    <w:bookmarkEnd w:id="35"/>
    <w:bookmarkStart w:id="36" w:name="datasplit-og-evalueringsprotokoll"/>
    <w:p>
      <w:pPr>
        <w:pStyle w:val="Heading3"/>
        <w:spacing w:line="360" w:lineRule="auto"/>
      </w:pPr>
      <w:r>
        <w:rPr>
          <w:rFonts w:ascii="Times New Roman" w:hAnsi="Times New Roman" w:cs="Times New Roman" w:eastAsia="Times New Roman"/>
          <w:sz w:val="24"/>
        </w:rPr>
        <w:t xml:space="preserve">5.4 Datasplit og evalueringsprotokoll</w:t>
      </w:r>
    </w:p>
    <w:p>
      <w:pPr>
        <w:pStyle w:val="FirstParagraph"/>
        <w:spacing w:line="360" w:lineRule="auto"/>
      </w:pPr>
      <w:r>
        <w:rPr>
          <w:rFonts w:ascii="Times New Roman" w:hAnsi="Times New Roman" w:cs="Times New Roman" w:eastAsia="Times New Roman"/>
          <w:sz w:val="24"/>
        </w:rPr>
        <w:t xml:space="preserve">Splittet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tidsbasert</w:t>
      </w:r>
      <w:r>
        <w:rPr>
          <w:rFonts w:ascii="Times New Roman" w:hAnsi="Times New Roman" w:cs="Times New Roman" w:eastAsia="Times New Roman"/>
          <w:sz w:val="24"/>
        </w:rPr>
        <w:t xml:space="preserve">, ikke tilfeldig, for å speile reell prognose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bruk. Rollen til hvert sett er bevisst skilt mellom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modellutvikling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endelig evaluering</w:t>
      </w:r>
      <w:r>
        <w:rPr>
          <w:rFonts w:ascii="Times New Roman" w:hAnsi="Times New Roman" w:cs="Times New Roman" w:eastAsia="Times New Roman"/>
          <w:sz w:val="24"/>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spacing w:line="360" w:lineRule="auto"/>
            </w:pPr>
            <w:r>
              <w:rPr>
                <w:rFonts w:ascii="Times New Roman" w:hAnsi="Times New Roman" w:cs="Times New Roman" w:eastAsia="Times New Roman"/>
                <w:sz w:val="24"/>
              </w:rPr>
              <w:t xml:space="preserve">Sett</w:t>
            </w:r>
          </w:p>
        </w:tc>
        <w:tc>
          <w:tcPr/>
          <w:p>
            <w:pPr>
              <w:pStyle w:val="Compact"/>
              <w:spacing w:line="360" w:lineRule="auto"/>
            </w:pPr>
            <w:r>
              <w:rPr>
                <w:rFonts w:ascii="Times New Roman" w:hAnsi="Times New Roman" w:cs="Times New Roman" w:eastAsia="Times New Roman"/>
                <w:sz w:val="24"/>
              </w:rPr>
              <w:t xml:space="preserve">Periode</w:t>
            </w:r>
          </w:p>
        </w:tc>
        <w:tc>
          <w:tcPr/>
          <w:p>
            <w:pPr>
              <w:pStyle w:val="Compact"/>
              <w:spacing w:line="360" w:lineRule="auto"/>
              <w:jc w:val="right"/>
            </w:pPr>
            <w:r>
              <w:rPr>
                <w:rFonts w:ascii="Times New Roman" w:hAnsi="Times New Roman" w:cs="Times New Roman" w:eastAsia="Times New Roman"/>
                <w:sz w:val="24"/>
              </w:rPr>
              <w:t xml:space="preserve">Rader</w:t>
            </w:r>
          </w:p>
        </w:tc>
        <w:tc>
          <w:tcPr/>
          <w:p>
            <w:pPr>
              <w:pStyle w:val="Compact"/>
              <w:spacing w:line="360" w:lineRule="auto"/>
            </w:pPr>
            <w:r>
              <w:rPr>
                <w:rFonts w:ascii="Times New Roman" w:hAnsi="Times New Roman" w:cs="Times New Roman" w:eastAsia="Times New Roman"/>
                <w:sz w:val="24"/>
              </w:rPr>
              <w:t xml:space="preserve">Rolle</w:t>
            </w:r>
          </w:p>
        </w:tc>
      </w:tr>
      <w:tr>
        <w:tc>
          <w:tcPr/>
          <w:p>
            <w:pPr>
              <w:pStyle w:val="Compact"/>
              <w:spacing w:line="360" w:lineRule="auto"/>
            </w:pPr>
            <w:r>
              <w:rPr>
                <w:rFonts w:ascii="Times New Roman" w:hAnsi="Times New Roman" w:cs="Times New Roman" w:eastAsia="Times New Roman"/>
                <w:sz w:val="24"/>
              </w:rPr>
              <w:t xml:space="preserve">Treningssett</w:t>
            </w:r>
          </w:p>
        </w:tc>
        <w:tc>
          <w:tcPr/>
          <w:p>
            <w:pPr>
              <w:pStyle w:val="Compact"/>
              <w:spacing w:line="360" w:lineRule="auto"/>
            </w:pPr>
            <w:r>
              <w:rPr>
                <w:rFonts w:ascii="Times New Roman" w:hAnsi="Times New Roman" w:cs="Times New Roman" w:eastAsia="Times New Roman"/>
                <w:sz w:val="24"/>
              </w:rPr>
              <w:t xml:space="preserve">≤ 2023</w:t>
            </w:r>
          </w:p>
        </w:tc>
        <w:tc>
          <w:tcPr/>
          <w:p>
            <w:pPr>
              <w:pStyle w:val="Compact"/>
              <w:spacing w:line="360" w:lineRule="auto"/>
              <w:jc w:val="right"/>
            </w:pPr>
            <w:r>
              <w:rPr>
                <w:rFonts w:ascii="Times New Roman" w:hAnsi="Times New Roman" w:cs="Times New Roman" w:eastAsia="Times New Roman"/>
                <w:sz w:val="24"/>
              </w:rPr>
              <w:t xml:space="preserve">487</w:t>
            </w:r>
          </w:p>
        </w:tc>
        <w:tc>
          <w:tcPr/>
          <w:p>
            <w:pPr>
              <w:pStyle w:val="Compact"/>
              <w:spacing w:line="360" w:lineRule="auto"/>
            </w:pPr>
            <w:r>
              <w:rPr>
                <w:rFonts w:ascii="Times New Roman" w:hAnsi="Times New Roman" w:cs="Times New Roman" w:eastAsia="Times New Roman"/>
                <w:sz w:val="24"/>
              </w:rPr>
              <w:t xml:space="preserve">Modellutvikling: trene base-modellene, lære feature-engineering-statistikker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beregnet kun her, jf. § 5.5).</w:t>
            </w:r>
          </w:p>
        </w:tc>
      </w:tr>
      <w:tr>
        <w:tc>
          <w:tcPr/>
          <w:p>
            <w:pPr>
              <w:pStyle w:val="Compact"/>
              <w:spacing w:line="360" w:lineRule="auto"/>
            </w:pPr>
            <w:r>
              <w:rPr>
                <w:rFonts w:ascii="Times New Roman" w:hAnsi="Times New Roman" w:cs="Times New Roman" w:eastAsia="Times New Roman"/>
                <w:sz w:val="24"/>
              </w:rPr>
              <w:t xml:space="preserve">Valideringssett</w:t>
            </w:r>
          </w:p>
        </w:tc>
        <w:tc>
          <w:tcPr/>
          <w:p>
            <w:pPr>
              <w:pStyle w:val="Compact"/>
              <w:spacing w:line="360" w:lineRule="auto"/>
            </w:pPr>
            <w:r>
              <w:rPr>
                <w:rFonts w:ascii="Times New Roman" w:hAnsi="Times New Roman" w:cs="Times New Roman" w:eastAsia="Times New Roman"/>
                <w:sz w:val="24"/>
              </w:rPr>
              <w:t xml:space="preserve">2024</w:t>
            </w:r>
          </w:p>
        </w:tc>
        <w:tc>
          <w:tcPr/>
          <w:p>
            <w:pPr>
              <w:pStyle w:val="Compact"/>
              <w:spacing w:line="360" w:lineRule="auto"/>
              <w:jc w:val="right"/>
            </w:pPr>
            <w:r>
              <w:rPr>
                <w:rFonts w:ascii="Times New Roman" w:hAnsi="Times New Roman" w:cs="Times New Roman" w:eastAsia="Times New Roman"/>
                <w:sz w:val="24"/>
              </w:rPr>
              <w:t xml:space="preserve">490</w:t>
            </w:r>
          </w:p>
        </w:tc>
        <w:tc>
          <w:tcPr/>
          <w:p>
            <w:pPr>
              <w:pStyle w:val="Compact"/>
              <w:spacing w:line="360" w:lineRule="auto"/>
            </w:pPr>
            <w:r>
              <w:rPr>
                <w:rFonts w:ascii="Times New Roman" w:hAnsi="Times New Roman" w:cs="Times New Roman" w:eastAsia="Times New Roman"/>
                <w:sz w:val="24"/>
              </w:rPr>
              <w:t xml:space="preserve">Modellseleksjon: velge hyperparametre (Optuna), ensemble-vekt</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kvantil-objektivterskler og CQR-kalibreringsterskel; sammenligne kandidat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(jf. § 8.1).</w:t>
            </w:r>
          </w:p>
        </w:tc>
      </w:tr>
      <w:tr>
        <w:tc>
          <w:tcPr/>
          <w:p>
            <w:pPr>
              <w:pStyle w:val="Compact"/>
              <w:spacing w:line="360" w:lineRule="auto"/>
            </w:pPr>
            <w:r>
              <w:rPr>
                <w:rFonts w:ascii="Times New Roman" w:hAnsi="Times New Roman" w:cs="Times New Roman" w:eastAsia="Times New Roman"/>
                <w:sz w:val="24"/>
              </w:rPr>
              <w:t xml:space="preserve">Testsett</w:t>
            </w:r>
          </w:p>
        </w:tc>
        <w:tc>
          <w:tcPr/>
          <w:p>
            <w:pPr>
              <w:pStyle w:val="Compact"/>
              <w:spacing w:line="360" w:lineRule="auto"/>
            </w:pPr>
            <w:r>
              <w:rPr>
                <w:rFonts w:ascii="Times New Roman" w:hAnsi="Times New Roman" w:cs="Times New Roman" w:eastAsia="Times New Roman"/>
                <w:sz w:val="24"/>
              </w:rPr>
              <w:t xml:space="preserve">2025</w:t>
            </w:r>
          </w:p>
        </w:tc>
        <w:tc>
          <w:tcPr/>
          <w:p>
            <w:pPr>
              <w:pStyle w:val="Compact"/>
              <w:spacing w:line="360" w:lineRule="auto"/>
              <w:jc w:val="right"/>
            </w:pPr>
            <w:r>
              <w:rPr>
                <w:rFonts w:ascii="Times New Roman" w:hAnsi="Times New Roman" w:cs="Times New Roman" w:eastAsia="Times New Roman"/>
                <w:sz w:val="24"/>
              </w:rPr>
              <w:t xml:space="preserve">670</w:t>
            </w:r>
          </w:p>
        </w:tc>
        <w:tc>
          <w:tcPr/>
          <w:p>
            <w:pPr>
              <w:pStyle w:val="Compact"/>
              <w:spacing w:line="360" w:lineRule="auto"/>
            </w:pPr>
            <w:r>
              <w:rPr>
                <w:rFonts w:ascii="Times New Roman" w:hAnsi="Times New Roman" w:cs="Times New Roman" w:eastAsia="Times New Roman"/>
                <w:sz w:val="24"/>
              </w:rPr>
              <w:t xml:space="preserve">Endelig, uavhengig evaluering av den utvalgte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(jf. § 8.1.1). Brukes ikke til seleksjon eller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w:t>
            </w:r>
          </w:p>
        </w:tc>
      </w:tr>
    </w:tbl>
    <w:p>
      <w:pPr>
        <w:pStyle w:val="BodyText"/>
        <w:spacing w:line="360" w:lineRule="auto"/>
      </w:pPr>
      <w:r>
        <w:rPr>
          <w:rFonts w:ascii="Times New Roman" w:hAnsi="Times New Roman" w:cs="Times New Roman" w:eastAsia="Times New Roman"/>
          <w:sz w:val="24"/>
        </w:rPr>
        <w:t xml:space="preserve">Året 2026 er holdt utenfor modellutviklingen og brukes som overvåkningssett etter hvert som nye fakturaer kommer inn (kun 7 rader pr. april 2026, og dermed ikke meningsfullt for evaluering på det tidspunktet).</w:t>
      </w:r>
    </w:p>
    <w:p>
      <w:pPr>
        <w:pStyle w:val="BodyText"/>
        <w:spacing w:line="360" w:lineRule="auto"/>
      </w:pPr>
      <w:r>
        <w:rPr>
          <w:rFonts w:ascii="Times New Roman" w:hAnsi="Times New Roman" w:cs="Times New Roman" w:eastAsia="Times New Roman"/>
          <w:b/>
          <w:bCs/>
          <w:sz w:val="24"/>
        </w:rPr>
        <w:t xml:space="preserve">Refit av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at modellseleksjonen er fullført, refittes den endelige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perioden 2020–2025 — altså treningssett, valideringssett og testsett samlet (1 626 rader, 21 færre enn split-summen 1 647 fordi rader med manglende avledede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faller bort i feature engineering-steget). Begrunnelsen for å trekke testsettet inn i treningen er at modellen deployes i produksjon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seleksjonen er konkludert, og at maksimering av treningsdata på det tidspunktet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ved deploy. Dette er en standard praksis (jf. Hastie, Tibshirani &amp; Friedman, 2009), men har en konkret konsekvens: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rapporterte testsett-tall i § 8.1.1 gjelder den prefit’ede modellen (ensemble trent på ≤ 2024), ikke den refit’ede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har dermed ingen uavhengig holdout-måling før neste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 (2026+) gir tilstrekkelig data. Dette diskuteres som begrensning i § 10.</w:t>
      </w:r>
    </w:p>
    <w:bookmarkEnd w:id="36"/>
    <w:bookmarkStart w:id="37" w:name="feature-engineering"/>
    <w:p>
      <w:pPr>
        <w:pStyle w:val="Heading3"/>
        <w:spacing w:line="360" w:lineRule="auto"/>
      </w:pPr>
      <w:r>
        <w:rPr>
          <w:rFonts w:ascii="Times New Roman" w:hAnsi="Times New Roman" w:cs="Times New Roman" w:eastAsia="Times New Roman"/>
          <w:sz w:val="24"/>
        </w:rPr>
        <w:t xml:space="preserve">5.5 Feature engineering</w:t>
      </w:r>
    </w:p>
    <w:p>
      <w:pPr>
        <w:pStyle w:val="FirstParagraph"/>
        <w:spacing w:line="360" w:lineRule="auto"/>
      </w:pPr>
      <w:r>
        <w:rPr>
          <w:rFonts w:ascii="Times New Roman" w:hAnsi="Times New Roman" w:cs="Times New Roman" w:eastAsia="Times New Roman"/>
          <w:sz w:val="24"/>
        </w:rPr>
        <w:t xml:space="preserve">Totalt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 prediktor</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konstruert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build_features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spesifikasjoner: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beam_m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draft_m</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Avledede 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Reise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parametere: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office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month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kontekst: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features: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quarter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is_summer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is_shoulder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day_of_week</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Interaksjoner: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 × stay_days</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Aggregat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statistikk: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size_svc_count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i EUR, og beregnet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kun på trenings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unngå target leakage. Merk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w:t>
      </w:r>
      <w:r>
        <w:rPr>
          <w:rFonts w:ascii="Times New Roman" w:hAnsi="Times New Roman" w:cs="Times New Roman" w:eastAsia="Times New Roman"/>
          <w:sz w:val="24"/>
        </w:rPr>
        <w:t xml:space="preserve">-aggregatene er poolet på tvers av Norge, Sverige og Danmark — en avgrensning som drøftes i § 9.5.</w:t>
      </w:r>
    </w:p>
    <w:p>
      <w:pPr>
        <w:pStyle w:val="Compact"/>
        <w:numPr>
          <w:ilvl w:val="0"/>
          <w:numId w:val="1016"/>
        </w:numPr>
        <w:spacing w:line="360" w:lineRule="auto"/>
      </w:pPr>
      <w:r>
        <w:rPr>
          <w:rFonts w:ascii="Times New Roman" w:hAnsi="Times New Roman" w:cs="Times New Roman" w:eastAsia="Times New Roman"/>
          <w:b/>
          <w:bCs/>
          <w:sz w:val="24"/>
        </w:rPr>
        <w:t xml:space="preserve">Tekstmål: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lengde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kommentar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w:t>
      </w:r>
    </w:p>
    <w:bookmarkEnd w:id="37"/>
    <w:bookmarkStart w:id="38" w:name="verktøy-og-reproduserbarhet"/>
    <w:p>
      <w:pPr>
        <w:pStyle w:val="Heading3"/>
        <w:spacing w:line="360" w:lineRule="auto"/>
      </w:pPr>
      <w:r>
        <w:rPr>
          <w:rFonts w:ascii="Times New Roman" w:hAnsi="Times New Roman" w:cs="Times New Roman" w:eastAsia="Times New Roman"/>
          <w:sz w:val="24"/>
        </w:rPr>
        <w:t xml:space="preserve">5.6 Verktøy og reproduserbarhet</w:t>
      </w:r>
    </w:p>
    <w:p>
      <w:pPr>
        <w:pStyle w:val="FirstParagraph"/>
        <w:spacing w:line="360" w:lineRule="auto"/>
      </w:pPr>
      <w:r>
        <w:rPr>
          <w:rFonts w:ascii="Times New Roman" w:hAnsi="Times New Roman" w:cs="Times New Roman" w:eastAsia="Times New Roman"/>
          <w:sz w:val="24"/>
        </w:rPr>
        <w:t xml:space="preserve">Pipeline er implementert i Python 3.11 med pandas, scikit-learn, LightGBM 4.x, CatBoost 1.2, og Optuna for hyper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 Alle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artefakter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Backend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 er bygget med FastAPI og frontend med Next.js 14. Hele arbeidsflyten — inkludert AI-bistand i Claude Code —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 på GitHub i samsvar med god vitenskapelig praksis.</w:t>
      </w:r>
    </w:p>
    <w:bookmarkEnd w:id="38"/>
    <w:bookmarkStart w:id="39" w:name="antakelsessjekk-kompendiet-steg-2"/>
    <w:p>
      <w:pPr>
        <w:pStyle w:val="Heading3"/>
        <w:spacing w:line="360" w:lineRule="auto"/>
      </w:pPr>
      <w:r>
        <w:rPr>
          <w:rFonts w:ascii="Times New Roman" w:hAnsi="Times New Roman" w:cs="Times New Roman" w:eastAsia="Times New Roman"/>
          <w:sz w:val="24"/>
        </w:rPr>
        <w:t xml:space="preserve">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sjekk (kompendiet steg 2)</w:t>
      </w:r>
    </w:p>
    <w:p>
      <w:pPr>
        <w:pStyle w:val="FirstParagraph"/>
        <w:spacing w:line="360" w:lineRule="auto"/>
      </w:pPr>
      <w:r>
        <w:rPr>
          <w:rFonts w:ascii="Times New Roman" w:hAnsi="Times New Roman" w:cs="Times New Roman" w:eastAsia="Times New Roman"/>
          <w:sz w:val="24"/>
        </w:rPr>
        <w:t xml:space="preserve">Selv om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robuste mot mange klassiske brudd på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antakelser (linearitet, normalitet, homoskedastisitet), foreskriver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 i.4.2) at antakelsene skal verifiseres eksplisitt før modellen brukes. Tre sjekker rapporteres, alle utført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w:t>
      </w:r>
    </w:p>
    <w:p>
      <w:pPr>
        <w:numPr>
          <w:ilvl w:val="0"/>
          <w:numId w:val="1017"/>
        </w:numPr>
        <w:spacing w:line="360" w:lineRule="auto"/>
      </w:pPr>
      <w:r>
        <w:rPr>
          <w:rFonts w:ascii="Times New Roman" w:hAnsi="Times New Roman" w:cs="Times New Roman" w:eastAsia="Times New Roman"/>
          <w:b/>
          <w:bCs/>
          <w:sz w:val="24"/>
        </w:rPr>
        <w:t xml:space="preserve">Skjevhet i mål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variabelen.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rapportert i § 7.1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plottet i § 7.4).</w:t>
      </w:r>
    </w:p>
    <w:p>
      <w:pPr>
        <w:numPr>
          <w:ilvl w:val="0"/>
          <w:numId w:val="1017"/>
        </w:numPr>
        <w:spacing w:line="360" w:lineRule="auto"/>
      </w:pPr>
      <w:r>
        <w:rPr>
          <w:rFonts w:ascii="Times New Roman" w:hAnsi="Times New Roman" w:cs="Times New Roman" w:eastAsia="Times New Roman"/>
          <w:b/>
          <w:bCs/>
          <w:sz w:val="24"/>
        </w:rPr>
        <w:t xml:space="preserve">Heteroskedastisitet.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Bruschagan-test (uformelt: residualer vs. predikert verdi i log-rom) viser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variansen ikke er konstant over hele predikert-spennet — store predikerte verdier (Provisioning og Port Marina for Stor-yachter) har større absolutte residualer enn små predikerte verdier. Dette er en av grunnene til at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CQR-kalibrering (§ 6.4) er valgt: konstante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ville vært feil, og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tilpasser seg heteroskedastisiteten.</w:t>
      </w:r>
    </w:p>
    <w:p>
      <w:pPr>
        <w:numPr>
          <w:ilvl w:val="0"/>
          <w:numId w:val="1017"/>
        </w:numPr>
        <w:spacing w:line="360" w:lineRule="auto"/>
      </w:pPr>
      <w:r>
        <w:rPr>
          <w:rFonts w:ascii="Times New Roman" w:hAnsi="Times New Roman" w:cs="Times New Roman" w:eastAsia="Times New Roman"/>
          <w:b/>
          <w:bCs/>
          <w:sz w:val="24"/>
        </w:rPr>
        <w:t xml:space="preserve">Multikollinearitet.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Variance Inflation Factor (VIF) for de numeriske featurene viser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korrelerte (alle VIF &gt; 10, par-Pearson &gt; 0,9). Notebook-cellen som dropper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log_gt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0,94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0,999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og noen redundante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eliminerer de mest ekstreme tilfellene. Resterende moderate multikollinearitet (VIF ≈ 3–5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lignende interaksjons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er akseptert fordi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ikke er sensitive for kollineære features på samme måte som lineær regresjon — en feature med VIF = 5 i et tre vil bare bli valgt sjeldnere ved split, ikke gi numerisk ustabilitet.</w:t>
      </w:r>
    </w:p>
    <w:p>
      <w:pPr>
        <w:pStyle w:val="FirstParagraph"/>
        <w:spacing w:line="360" w:lineRule="auto"/>
      </w:pPr>
      <w:r>
        <w:rPr>
          <w:rFonts w:ascii="Times New Roman" w:hAnsi="Times New Roman" w:cs="Times New Roman" w:eastAsia="Times New Roman"/>
          <w:sz w:val="24"/>
        </w:rPr>
        <w:t xml:space="preserve">Konklusjonen er at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bruddet som ville vært mest skadelig — sterk skjevhet i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 er adressert via log-transformasjon, og at heteroskedastisitet er håndtert via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modellering snarere enn ignorert. Antakelsene er dermed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“tilstrekkelig oppfylt”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kompendiets forstand (§ i.4.2), og resultatene i § 8 skal leses i lys av denne sjekken.</w:t>
      </w:r>
    </w:p>
    <w:p>
      <w:pPr>
        <w:spacing w:line="360" w:lineRule="auto"/>
      </w:pPr>
      <w:r>
        <w:rPr>
          <w:rFonts w:ascii="Times New Roman" w:hAnsi="Times New Roman" w:cs="Times New Roman" w:eastAsia="Times New Roman"/>
          <w:sz w:val="24"/>
        </w:rPr>
        <w:pict>
          <v:rect style="width:0;height:1.5pt" o:hralign="center" o:hrstd="t" o:hr="t"/>
        </w:pict>
      </w:r>
    </w:p>
    <w:bookmarkEnd w:id="39"/>
    <w:bookmarkEnd w:id="40"/>
    <w:bookmarkStart w:id="46" w:name="modell"/>
    <w:p>
      <w:pPr>
        <w:pStyle w:val="Heading2"/>
        <w:spacing w:line="360" w:lineRule="auto"/>
      </w:pPr>
      <w:r>
        <w:rPr>
          <w:rFonts w:ascii="Times New Roman" w:hAnsi="Times New Roman" w:cs="Times New Roman" w:eastAsia="Times New Roman"/>
          <w:sz w:val="24"/>
        </w:rPr>
        <w:t xml:space="preserve">6. Modell</w:t>
      </w:r>
    </w:p>
    <w:bookmarkStart w:id="41" w:name="målvariabel-og-tap"/>
    <w:p>
      <w:pPr>
        <w:pStyle w:val="Heading3"/>
        <w:spacing w:line="360" w:lineRule="auto"/>
      </w:pPr>
      <w:r>
        <w:rPr>
          <w:rFonts w:ascii="Times New Roman" w:hAnsi="Times New Roman" w:cs="Times New Roman" w:eastAsia="Times New Roman"/>
          <w:sz w:val="24"/>
        </w:rPr>
        <w:t xml:space="preserve">6.1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og tap</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er kostnaden per transaksjon,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log-transformert:</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Modellene optimerer L2-tap i log-rommet; predikerte verdier inverteres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expm1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evaluering.</w:t>
      </w:r>
    </w:p>
    <w:bookmarkEnd w:id="41"/>
    <w:bookmarkStart w:id="42" w:name="baselinemodeller"/>
    <w:p>
      <w:pPr>
        <w:pStyle w:val="Heading3"/>
        <w:spacing w:line="360" w:lineRule="auto"/>
      </w:pPr>
      <w:r>
        <w:rPr>
          <w:rFonts w:ascii="Times New Roman" w:hAnsi="Times New Roman" w:cs="Times New Roman" w:eastAsia="Times New Roman"/>
          <w:sz w:val="24"/>
        </w:rPr>
        <w:t xml:space="preserve">6.2 Baseline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w:t>
      </w:r>
    </w:p>
    <w:p>
      <w:pPr>
        <w:pStyle w:val="FirstParagraph"/>
        <w:spacing w:line="360" w:lineRule="auto"/>
      </w:pPr>
      <w:r>
        <w:rPr>
          <w:rFonts w:ascii="Times New Roman" w:hAnsi="Times New Roman" w:cs="Times New Roman" w:eastAsia="Times New Roman"/>
          <w:sz w:val="24"/>
        </w:rPr>
        <w:t xml:space="preserve">To baselines etableres for å kalibrere forventningene:</w:t>
      </w:r>
    </w:p>
    <w:p>
      <w:pPr>
        <w:pStyle w:val="Compact"/>
        <w:numPr>
          <w:ilvl w:val="0"/>
          <w:numId w:val="1018"/>
        </w:numPr>
        <w:spacing w:line="360" w:lineRule="auto"/>
      </w:pPr>
      <w:r>
        <w:rPr>
          <w:rFonts w:ascii="Times New Roman" w:hAnsi="Times New Roman" w:cs="Times New Roman" w:eastAsia="Times New Roman"/>
          <w:b/>
          <w:bCs/>
          <w:sz w:val="24"/>
        </w:rPr>
        <w:t xml:space="preserve">Median</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 median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 service_category)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treningssettet.</w:t>
      </w:r>
    </w:p>
    <w:p>
      <w:pPr>
        <w:pStyle w:val="Compact"/>
        <w:numPr>
          <w:ilvl w:val="0"/>
          <w:numId w:val="1018"/>
        </w:numPr>
        <w:spacing w:line="360" w:lineRule="auto"/>
      </w:pPr>
      <w:r>
        <w:rPr>
          <w:rFonts w:ascii="Times New Roman" w:hAnsi="Times New Roman" w:cs="Times New Roman" w:eastAsia="Times New Roman"/>
          <w:b/>
          <w:bCs/>
          <w:sz w:val="24"/>
        </w:rPr>
        <w:t xml:space="preserve">Ridge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lineær modell med one-hot-kodede kategorier og standardiserte numeriske features.</w:t>
      </w:r>
    </w:p>
    <w:bookmarkEnd w:id="42"/>
    <w:bookmarkStart w:id="43" w:name="hovedmodell-lightgbm-catboost-ensemble"/>
    <w:p>
      <w:pPr>
        <w:pStyle w:val="Heading3"/>
        <w:spacing w:line="360" w:lineRule="auto"/>
      </w:pPr>
      <w:r>
        <w:rPr>
          <w:rFonts w:ascii="Times New Roman" w:hAnsi="Times New Roman" w:cs="Times New Roman" w:eastAsia="Times New Roman"/>
          <w:sz w:val="24"/>
        </w:rPr>
        <w:t xml:space="preserve">6.3 Hovedmodell — LightGBM + CatBoost ensemble</w:t>
      </w:r>
    </w:p>
    <w:p>
      <w:pPr>
        <w:pStyle w:val="FirstParagraph"/>
        <w:spacing w:line="360" w:lineRule="auto"/>
      </w:pPr>
      <w:r>
        <w:rPr>
          <w:rFonts w:ascii="Times New Roman" w:hAnsi="Times New Roman" w:cs="Times New Roman" w:eastAsia="Times New Roman"/>
          <w:sz w:val="24"/>
        </w:rPr>
        <w:t xml:space="preserve">Den endelige modellen er et veid gjennomsnitt i log-rommet av to gradient-boosting-modeller:</w:t>
      </w:r>
    </w:p>
    <w:p>
      <w:pPr>
        <w:pStyle w:val="BodyText"/>
        <w:spacing w:line="360" w:lineRule="auto"/>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spacing w:line="360" w:lineRule="auto"/>
      </w:pPr>
      <w:r>
        <w:rPr>
          <w:rFonts w:ascii="Times New Roman" w:hAnsi="Times New Roman" w:cs="Times New Roman" w:eastAsia="Times New Roman"/>
          <w:sz w:val="24"/>
        </w:rPr>
        <w:t xml:space="preserve">der vekten</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velges ved gridsøk på valideringssettet og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ensemble_weight = 0.30</w:t>
      </w:r>
      <w:r>
        <w:rPr>
          <w:rFonts w:ascii="Times New Roman" w:hAnsi="Times New Roman" w:cs="Times New Roman" w:eastAsia="Times New Roman"/>
          <w:sz w:val="24"/>
        </w:rPr>
        <w:t xml:space="preserve">, dvs. 30 % LightGBM + 70 % CatBoost).</w:t>
      </w:r>
    </w:p>
    <w:p>
      <w:pPr>
        <w:pStyle w:val="BodyText"/>
        <w:spacing w:line="360" w:lineRule="auto"/>
      </w:pPr>
      <w:r>
        <w:rPr>
          <w:rFonts w:ascii="Times New Roman" w:hAnsi="Times New Roman" w:cs="Times New Roman" w:eastAsia="Times New Roman"/>
          <w:sz w:val="24"/>
        </w:rPr>
        <w:t xml:space="preserve">Hyperparametre for LightGBM er funnet med Optuna (80 trials, 5-fold kryssvalidering på trening + validering) og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best_params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alpha = 3.35, learning_rate = 0.032, num_leaves = 32, min_data_in_leaf = 47, max_depth = 6, feature_fraction = 0.85, bagging_fraction = 0.83</w:t>
      </w:r>
      <w:r>
        <w:rPr>
          <w:rFonts w:ascii="Times New Roman" w:hAnsi="Times New Roman" w:cs="Times New Roman" w:eastAsia="Times New Roman"/>
          <w:sz w:val="24"/>
        </w:rPr>
        <w:t xml:space="preserve">. CatBoost trenes med native håndtering av kategoriske kolonner. Begge modellene bruker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early_stopping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valideringssettet i avstemmings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fasen, og refittes deretter på hele datasettet (2020–2025)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best_iteration = 390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produksjon.</w:t>
      </w:r>
    </w:p>
    <w:bookmarkEnd w:id="43"/>
    <w:bookmarkStart w:id="44" w:name="kvantilmodell-og-konform-kalibrering"/>
    <w:p>
      <w:pPr>
        <w:pStyle w:val="Heading3"/>
        <w:spacing w:line="360" w:lineRule="auto"/>
      </w:pPr>
      <w:r>
        <w:rPr>
          <w:rFonts w:ascii="Times New Roman" w:hAnsi="Times New Roman" w:cs="Times New Roman" w:eastAsia="Times New Roman"/>
          <w:sz w:val="24"/>
        </w:rPr>
        <w:t xml:space="preserve">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og konform kalibrering</w:t>
      </w:r>
    </w:p>
    <w:p>
      <w:pPr>
        <w:pStyle w:val="FirstParagraph"/>
        <w:spacing w:line="360" w:lineRule="auto"/>
      </w:pPr>
      <w:r>
        <w:rPr>
          <w:rFonts w:ascii="Times New Roman" w:hAnsi="Times New Roman" w:cs="Times New Roman" w:eastAsia="Times New Roman"/>
          <w:sz w:val="24"/>
        </w:rPr>
        <w:t xml:space="preserve">For å gi P10/P50/P90-prediksjoner trenes tre LightGBM-modeller separat med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objektivet (pinball loss). Disse kalibreres deretter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et al., 2019) på et hold-out kalibreringssett. Empirisk dekning på valideringssettet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(mot nominelt 80 %), og avviker fra rå dekning på 79,8 % med kun en CQR-korreksjon på 3 EUR —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altså godt kalibrert allerede før justering. Forbeholdene rundt betinget dekning når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er u</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observert drøftes i § 9.2.</w:t>
      </w:r>
    </w:p>
    <w:bookmarkEnd w:id="44"/>
    <w:bookmarkStart w:id="45" w:name="hybrid-kalibrering-på-anløpsnivå"/>
    <w:p>
      <w:pPr>
        <w:pStyle w:val="Heading3"/>
        <w:spacing w:line="360" w:lineRule="auto"/>
      </w:pPr>
      <w:r>
        <w:rPr>
          <w:rFonts w:ascii="Times New Roman" w:hAnsi="Times New Roman" w:cs="Times New Roman" w:eastAsia="Times New Roman"/>
          <w:sz w:val="24"/>
        </w:rPr>
        <w:t xml:space="preserve">6.5 Hybrid kalibrering på anløpsnivå</w:t>
      </w:r>
    </w:p>
    <w:p>
      <w:pPr>
        <w:pStyle w:val="FirstParagraph"/>
        <w:spacing w:line="360" w:lineRule="auto"/>
      </w:pPr>
      <w:r>
        <w:rPr>
          <w:rFonts w:ascii="Times New Roman" w:hAnsi="Times New Roman" w:cs="Times New Roman" w:eastAsia="Times New Roman"/>
          <w:sz w:val="24"/>
        </w:rPr>
        <w:t xml:space="preserve">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produserer urealistisk lave totaler hvis predikerte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summeres direkte. For å unngå dette brukes en hybrid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strategi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numPr>
          <w:ilvl w:val="0"/>
          <w:numId w:val="1019"/>
        </w:numPr>
        <w:spacing w:line="360" w:lineRule="auto"/>
      </w:pPr>
      <w:r>
        <w:rPr>
          <w:rFonts w:ascii="Times New Roman" w:hAnsi="Times New Roman" w:cs="Times New Roman" w:eastAsia="Times New Roman"/>
          <w:sz w:val="24"/>
        </w:rPr>
        <w:t xml:space="preserve">Generer transaksjonsrader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valgt havn.</w:t>
      </w:r>
    </w:p>
    <w:p>
      <w:pPr>
        <w:numPr>
          <w:ilvl w:val="0"/>
          <w:numId w:val="1019"/>
        </w:numPr>
        <w:spacing w:line="360" w:lineRule="auto"/>
      </w:pPr>
      <w:r>
        <w:rPr>
          <w:rFonts w:ascii="Times New Roman" w:hAnsi="Times New Roman" w:cs="Times New Roman" w:eastAsia="Times New Roman"/>
          <w:sz w:val="24"/>
        </w:rPr>
        <w:t xml:space="preserve">Beregn predikert beløp per rad og vekt med forventet antall transaksjoner.</w:t>
      </w:r>
    </w:p>
    <w:p>
      <w:pPr>
        <w:numPr>
          <w:ilvl w:val="0"/>
          <w:numId w:val="1019"/>
        </w:numPr>
        <w:spacing w:line="360" w:lineRule="auto"/>
      </w:pPr>
      <w:r>
        <w:rPr>
          <w:rFonts w:ascii="Times New Roman" w:hAnsi="Times New Roman" w:cs="Times New Roman" w:eastAsia="Times New Roman"/>
          <w:sz w:val="24"/>
        </w:rPr>
        <w:t xml:space="preserve">Sammenlign med et havn-størrelse-spesifikt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baseline-prediksjon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baseline_predictions.joblib</w:t>
      </w:r>
      <w:r>
        <w:rPr>
          <w:rFonts w:ascii="Times New Roman" w:hAnsi="Times New Roman" w:cs="Times New Roman" w:eastAsia="Times New Roman"/>
          <w:sz w:val="24"/>
        </w:rPr>
        <w:t xml:space="preserve">).</w:t>
      </w:r>
    </w:p>
    <w:p>
      <w:pPr>
        <w:numPr>
          <w:ilvl w:val="0"/>
          <w:numId w:val="1019"/>
        </w:numPr>
        <w:spacing w:line="360" w:lineRule="auto"/>
      </w:pPr>
      <w:r>
        <w:rPr>
          <w:rFonts w:ascii="Times New Roman" w:hAnsi="Times New Roman" w:cs="Times New Roman" w:eastAsia="Times New Roman"/>
          <w:b/>
          <w:bCs/>
          <w:sz w:val="24"/>
        </w:rPr>
        <w:t xml:space="preserve">Anker estimatet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 empirisk medianpris (P50)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(havn, size_category)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og skaler proporsjonalt med modell-til-baseline-forholdet:</w:t>
      </w:r>
    </w:p>
    <w:p>
      <w:pPr>
        <w:pStyle w:val="BodyText"/>
        <w:spacing w:line="360" w:lineRule="auto"/>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spacing w:line="360" w:lineRule="auto"/>
      </w:pPr>
      <w:r>
        <w:rPr>
          <w:rFonts w:ascii="Times New Roman" w:hAnsi="Times New Roman" w:cs="Times New Roman" w:eastAsia="Times New Roman"/>
          <w:sz w:val="24"/>
        </w:rPr>
        <w:t xml:space="preserve">På landsnivå tas et trafikk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gjennomsnitt over alle havner i landet.</w:t>
      </w:r>
    </w:p>
    <w:p>
      <w:pPr>
        <w:spacing w:line="360" w:lineRule="auto"/>
      </w:pPr>
      <w:r>
        <w:rPr>
          <w:rFonts w:ascii="Times New Roman" w:hAnsi="Times New Roman" w:cs="Times New Roman" w:eastAsia="Times New Roman"/>
          <w:sz w:val="24"/>
        </w:rPr>
        <w:pict>
          <v:rect style="width:0;height:1.5pt" o:hralign="center" o:hrstd="t" o:hr="t"/>
        </w:pict>
      </w:r>
    </w:p>
    <w:bookmarkEnd w:id="45"/>
    <w:bookmarkEnd w:id="46"/>
    <w:bookmarkStart w:id="75" w:name="analyse"/>
    <w:p>
      <w:pPr>
        <w:pStyle w:val="Heading2"/>
        <w:spacing w:line="360" w:lineRule="auto"/>
      </w:pPr>
      <w:r>
        <w:rPr>
          <w:rFonts w:ascii="Times New Roman" w:hAnsi="Times New Roman" w:cs="Times New Roman" w:eastAsia="Times New Roman"/>
          <w:sz w:val="24"/>
        </w:rPr>
        <w:t xml:space="preserve">7. Analyse</w:t>
      </w:r>
    </w:p>
    <w:p>
      <w:pPr>
        <w:pStyle w:val="FirstParagraph"/>
        <w:spacing w:line="360" w:lineRule="auto"/>
      </w:pPr>
      <w:r>
        <w:rPr>
          <w:rFonts w:ascii="Times New Roman" w:hAnsi="Times New Roman" w:cs="Times New Roman" w:eastAsia="Times New Roman"/>
          <w:sz w:val="24"/>
        </w:rPr>
        <w:t xml:space="preserve">Analysen i dette kapittelet er basert på 1 626 transaksjoner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costs_merged.csv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feature engineering (§ 5.5). Figurer er produsert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eda_nauticost.ipynb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er reproduserbare gjennom å kjøre notebookene mot artefaktene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Figurtekstene under er bevisst skrevet stand-alone — alle nøkkeltall som diskusjonen senere bygger på, gjengis i teksten her, slik at rapporten kan leses uten å åpne notebookene.</w:t>
      </w:r>
    </w:p>
    <w:bookmarkStart w:id="56" w:name="beskrivende-statistikk"/>
    <w:p>
      <w:pPr>
        <w:pStyle w:val="Heading3"/>
        <w:spacing w:line="360" w:lineRule="auto"/>
      </w:pPr>
      <w:r>
        <w:rPr>
          <w:rFonts w:ascii="Times New Roman" w:hAnsi="Times New Roman" w:cs="Times New Roman" w:eastAsia="Times New Roman"/>
          <w:sz w:val="24"/>
        </w:rPr>
        <w:t xml:space="preserve">7.1 Beskrivende statistikk</w:t>
      </w:r>
    </w:p>
    <w:p>
      <w:pPr>
        <w:pStyle w:val="CaptionedFigure"/>
        <w:spacing w:line="360" w:lineRule="auto"/>
      </w:pPr>
      <w:r>
        <w:rPr>
          <w:rFonts w:ascii="Times New Roman" w:hAnsi="Times New Roman" w:cs="Times New Roman" w:eastAsia="Times New Roman"/>
          <w:sz w:val="24"/>
        </w:rPr>
        <w:drawing>
          <wp:inline>
            <wp:extent cx="5334000" cy="3288699"/>
            <wp:effectExtent b="0" l="0" r="0" t="0"/>
            <wp:docPr descr="Figur 7.1: Distribusjon av final_charge (log-skala) — høyreskjev kostnadsfordeling som motiverer log-transformasjonen i § 6.1" title="" id="48" name="Picture"/>
            <a:graphic>
              <a:graphicData uri="http://schemas.openxmlformats.org/drawingml/2006/picture">
                <pic:pic>
                  <pic:nvPicPr>
                    <pic:cNvPr descr="figures/figur_7_1_kostnadsfordeling.png" id="49" name="Picture"/>
                    <pic:cNvPicPr>
                      <a:picLocks noChangeArrowheads="1" noChangeAspect="1"/>
                    </pic:cNvPicPr>
                  </pic:nvPicPr>
                  <pic:blipFill>
                    <a:blip r:embed="rId47"/>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7.1: 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 høyreskjev kostnadsfordeling som motiverer log-transformasjonen i § 6.1</w:t>
      </w:r>
    </w:p>
    <w:p>
      <w:pPr>
        <w:pStyle w:val="BodyText"/>
        <w:spacing w:line="360" w:lineRule="auto"/>
      </w:pPr>
      <w:r>
        <w:rPr>
          <w:rFonts w:ascii="Times New Roman" w:hAnsi="Times New Roman" w:cs="Times New Roman" w:eastAsia="Times New Roman"/>
          <w:b/>
          <w:bCs/>
          <w:sz w:val="24"/>
        </w:rPr>
        <w:t xml:space="preserve">Figur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 rådata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costs_clean.csv</w:t>
      </w:r>
      <w:r>
        <w:rPr>
          <w:rFonts w:ascii="Times New Roman" w:hAnsi="Times New Roman" w:cs="Times New Roman" w:eastAsia="Times New Roman"/>
          <w:i/>
          <w:iCs/>
          <w:sz w:val="24"/>
        </w:rPr>
        <w:t xml:space="preserve">;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CaptionedFigure"/>
        <w:spacing w:line="360" w:lineRule="auto"/>
      </w:pPr>
      <w:r>
        <w:rPr>
          <w:rFonts w:ascii="Times New Roman" w:hAnsi="Times New Roman" w:cs="Times New Roman" w:eastAsia="Times New Roman"/>
          <w:sz w:val="24"/>
        </w:rPr>
        <w:drawing>
          <wp:inline>
            <wp:extent cx="5334000" cy="2389866"/>
            <wp:effectExtent b="0" l="0" r="0" t="0"/>
            <wp:docPr descr="Figur 7.2: Antall transaksjoner per havn og år (2020–2025) — viser trafikkvolum og datatilfang per havn" title="" id="51" name="Picture"/>
            <a:graphic>
              <a:graphicData uri="http://schemas.openxmlformats.org/drawingml/2006/picture">
                <pic:pic>
                  <pic:nvPicPr>
                    <pic:cNvPr descr="figures/figur_7_2_havn_per_aar.png" id="52" name="Picture"/>
                    <pic:cNvPicPr>
                      <a:picLocks noChangeArrowheads="1" noChangeAspect="1"/>
                    </pic:cNvPicPr>
                  </pic:nvPicPr>
                  <pic:blipFill>
                    <a:blip r:embed="rId50"/>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7.2: Antall transaksjoner per havn og år (2020–2025) — viser trafikkvolum og datatilfang per havn</w:t>
      </w:r>
    </w:p>
    <w:p>
      <w:pPr>
        <w:pStyle w:val="BodyText"/>
        <w:spacing w:line="360" w:lineRule="auto"/>
      </w:pPr>
      <w:r>
        <w:rPr>
          <w:rFonts w:ascii="Times New Roman" w:hAnsi="Times New Roman" w:cs="Times New Roman" w:eastAsia="Times New Roman"/>
          <w:b/>
          <w:bCs/>
          <w:sz w:val="24"/>
        </w:rPr>
        <w:t xml:space="preserve">Figur 7.2.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-tabellen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model.py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w:t>
      </w:r>
    </w:p>
    <w:p>
      <w:pPr>
        <w:pStyle w:val="CaptionedFigure"/>
        <w:spacing w:line="360" w:lineRule="auto"/>
      </w:pPr>
      <w:r>
        <w:rPr>
          <w:rFonts w:ascii="Times New Roman" w:hAnsi="Times New Roman" w:cs="Times New Roman" w:eastAsia="Times New Roman"/>
          <w:sz w:val="24"/>
        </w:rPr>
        <w:drawing>
          <wp:inline>
            <wp:extent cx="5334000" cy="2634650"/>
            <wp:effectExtent b="0" l="0" r="0" t="0"/>
            <wp:docPr descr="Figur 7.3: Kostnad per tjenestekategori, fordelt på størrelseskategori (Liten / Mellomstor / Stor)" title="" id="54" name="Picture"/>
            <a:graphic>
              <a:graphicData uri="http://schemas.openxmlformats.org/drawingml/2006/picture">
                <pic:pic>
                  <pic:nvPicPr>
                    <pic:cNvPr descr="figures/figur_7_3_tjeneste_x_storrelse.png" id="55" name="Picture"/>
                    <pic:cNvPicPr>
                      <a:picLocks noChangeArrowheads="1" noChangeAspect="1"/>
                    </pic:cNvPicPr>
                  </pic:nvPicPr>
                  <pic:blipFill>
                    <a:blip r:embed="rId53"/>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7.3: Kostnad per tjenestekategori, fordelt på størrelseskategori (Liten / Mellomstor / Stor)</w:t>
      </w:r>
    </w:p>
    <w:p>
      <w:pPr>
        <w:pStyle w:val="BodyText"/>
        <w:spacing w:line="360" w:lineRule="auto"/>
      </w:pPr>
      <w:r>
        <w:rPr>
          <w:rFonts w:ascii="Times New Roman" w:hAnsi="Times New Roman" w:cs="Times New Roman" w:eastAsia="Times New Roman"/>
          <w:b/>
          <w:bCs/>
          <w:sz w:val="24"/>
        </w:rPr>
        <w:t xml:space="preserve">Figur 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Kostnad per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fordelt på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Provisioning og Port Marina dominerer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Stor-yachter (typisk 30–40 % hver), Hospitality er hovedkategori for mellomstore, og Liten-kategorien har en flatere fordeling med Agency Services som største enkeltkategori.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3.3.)</w:t>
      </w:r>
    </w:p>
    <w:bookmarkEnd w:id="56"/>
    <w:bookmarkStart w:id="63" w:name="korrelasjoner-og-feature-importance"/>
    <w:p>
      <w:pPr>
        <w:pStyle w:val="Heading3"/>
        <w:spacing w:line="360" w:lineRule="auto"/>
      </w:pPr>
      <w:r>
        <w:rPr>
          <w:rFonts w:ascii="Times New Roman" w:hAnsi="Times New Roman" w:cs="Times New Roman" w:eastAsia="Times New Roman"/>
          <w:sz w:val="24"/>
        </w:rPr>
        <w:t xml:space="preserve">7.2 Korrelasjoner og feature importance</w:t>
      </w:r>
    </w:p>
    <w:p>
      <w:pPr>
        <w:pStyle w:val="CaptionedFigure"/>
        <w:spacing w:line="360" w:lineRule="auto"/>
      </w:pPr>
      <w:r>
        <w:rPr>
          <w:rFonts w:ascii="Times New Roman" w:hAnsi="Times New Roman" w:cs="Times New Roman" w:eastAsia="Times New Roman"/>
          <w:sz w:val="24"/>
        </w:rPr>
        <w:drawing>
          <wp:inline>
            <wp:extent cx="5334000" cy="3294926"/>
            <wp:effectExtent b="0" l="0" r="0" t="0"/>
            <wp:docPr descr="Figur 7.4: Spearman-korrelasjon mellom numeriske features og log-kostnad — GT, LOA og fuel­konsum er moderat positivt korrelert" title="" id="58" name="Picture"/>
            <a:graphic>
              <a:graphicData uri="http://schemas.openxmlformats.org/drawingml/2006/picture">
                <pic:pic>
                  <pic:nvPicPr>
                    <pic:cNvPr descr="figures/figur_7_4_spearman.png" id="59" name="Picture"/>
                    <pic:cNvPicPr>
                      <a:picLocks noChangeArrowheads="1" noChangeAspect="1"/>
                    </pic:cNvPicPr>
                  </pic:nvPicPr>
                  <pic:blipFill>
                    <a:blip r:embed="rId57"/>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7.4: Spearman-korrelasjon mellom numeriske features og log-kostnad — GT, LOA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er moderat positivt korrelert</w:t>
      </w:r>
    </w:p>
    <w:p>
      <w:pPr>
        <w:pStyle w:val="BodyText"/>
        <w:spacing w:line="360" w:lineRule="auto"/>
      </w:pPr>
      <w:r>
        <w:rPr>
          <w:rFonts w:ascii="Times New Roman" w:hAnsi="Times New Roman" w:cs="Times New Roman" w:eastAsia="Times New Roman"/>
          <w:b/>
          <w:bCs/>
          <w:sz w:val="24"/>
        </w:rPr>
        <w:t xml:space="preserve">Figur 7.4.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Spearman-korrelasjon mellom numeriske features og log-kostnad. GT (ρ = 0,38), LOA (ρ = 0,35)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(ρ = 0,31) er positivt korrelert med kostnad; korrelasjonene er moderate fordi yacht-størrelse alene ikke determinerer kostnaden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 og sesong påvirker minst like sterkt).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4.)</w:t>
      </w:r>
    </w:p>
    <w:p>
      <w:pPr>
        <w:pStyle w:val="CaptionedFigure"/>
        <w:spacing w:line="360" w:lineRule="auto"/>
      </w:pPr>
      <w:r>
        <w:rPr>
          <w:rFonts w:ascii="Times New Roman" w:hAnsi="Times New Roman" w:cs="Times New Roman" w:eastAsia="Times New Roman"/>
          <w:sz w:val="24"/>
        </w:rPr>
        <w:drawing>
          <wp:inline>
            <wp:extent cx="5334000" cy="3528031"/>
            <wp:effectExtent b="0" l="0" r="0" t="0"/>
            <wp:docPr descr="Figur 7.5: Top-15 feature importance fra LightGBM (gain-andel) — service_type og størrelse-baserte aggregat­statistikker dominerer" title="" id="61" name="Picture"/>
            <a:graphic>
              <a:graphicData uri="http://schemas.openxmlformats.org/drawingml/2006/picture">
                <pic:pic>
                  <pic:nvPicPr>
                    <pic:cNvPr descr="figures/figur_7_5_feature_importance.png" id="62" name="Picture"/>
                    <pic:cNvPicPr>
                      <a:picLocks noChangeArrowheads="1" noChangeAspect="1"/>
                    </pic:cNvPicPr>
                  </pic:nvPicPr>
                  <pic:blipFill>
                    <a:blip r:embed="rId60"/>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7.5: Top-15 feature importance fra LightGBM (gain-andel)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størrelse-baserte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statistikker dominerer</w:t>
      </w:r>
    </w:p>
    <w:p>
      <w:pPr>
        <w:pStyle w:val="BodyText"/>
        <w:spacing w:line="360" w:lineRule="auto"/>
      </w:pPr>
      <w:r>
        <w:rPr>
          <w:rFonts w:ascii="Times New Roman" w:hAnsi="Times New Roman" w:cs="Times New Roman" w:eastAsia="Times New Roman"/>
          <w:b/>
          <w:bCs/>
          <w:sz w:val="24"/>
        </w:rPr>
        <w:t xml:space="preserve">Figur 7.5.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Top-15 feature importance fra LightGBM (gain). De fem viktigste featurene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(gain-andel ≈ 32 %),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18 %),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11 %),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6 %)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5 %). At aggregat-statistikkene rangerer høyt bekrefter at feature engineering-steget i § 5.5 tilfører reell signal, og at modellen i praksis lærer et hierarki: tjenestetype velger et baseline-prisnivå, og yacht- og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modulerer det baselinet.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6;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63"/>
    <w:bookmarkStart w:id="70" w:name="shap-analyse"/>
    <w:p>
      <w:pPr>
        <w:pStyle w:val="Heading3"/>
        <w:spacing w:line="360" w:lineRule="auto"/>
      </w:pPr>
      <w:r>
        <w:rPr>
          <w:rFonts w:ascii="Times New Roman" w:hAnsi="Times New Roman" w:cs="Times New Roman" w:eastAsia="Times New Roman"/>
          <w:sz w:val="24"/>
        </w:rPr>
        <w:t xml:space="preserve">7.3 SHAP-analyse</w:t>
      </w:r>
    </w:p>
    <w:p>
      <w:pPr>
        <w:pStyle w:val="CaptionedFigure"/>
        <w:spacing w:line="360" w:lineRule="auto"/>
      </w:pPr>
      <w:r>
        <w:rPr>
          <w:rFonts w:ascii="Times New Roman" w:hAnsi="Times New Roman" w:cs="Times New Roman" w:eastAsia="Times New Roman"/>
          <w:sz w:val="24"/>
        </w:rPr>
        <w:drawing>
          <wp:inline>
            <wp:extent cx="5334000" cy="3530676"/>
            <wp:effectExtent b="0" l="0" r="0" t="0"/>
            <wp:docPr descr="Figur 7.6: LightGBM gain-importance (fallback for SHAP, jf. Vedlegg G) — relativ styrke per feature i ensemble­modellen" title="" id="65" name="Picture"/>
            <a:graphic>
              <a:graphicData uri="http://schemas.openxmlformats.org/drawingml/2006/picture">
                <pic:pic>
                  <pic:nvPicPr>
                    <pic:cNvPr descr="figures/figur_7_6_shap_summary.png" id="66" name="Picture"/>
                    <pic:cNvPicPr>
                      <a:picLocks noChangeArrowheads="1" noChangeAspect="1"/>
                    </pic:cNvPicPr>
                  </pic:nvPicPr>
                  <pic:blipFill>
                    <a:blip r:embed="rId64"/>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7.6: LightGBM gain-importance (fallback for SHAP, jf. Vedlegg G) — relativ styrke per feature i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w:t>
      </w:r>
    </w:p>
    <w:p>
      <w:pPr>
        <w:pStyle w:val="BodyText"/>
        <w:spacing w:line="360" w:lineRule="auto"/>
      </w:pPr>
      <w:r>
        <w:rPr>
          <w:rFonts w:ascii="Times New Roman" w:hAnsi="Times New Roman" w:cs="Times New Roman" w:eastAsia="Times New Roman"/>
          <w:b/>
          <w:bCs/>
          <w:sz w:val="24"/>
        </w:rPr>
        <w:t xml:space="preserve">Figur 7.6.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gain-importance brukt som fallback for SHAP-summary (TreeSHAP-generering feilet på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categorical_feature</w:t>
      </w:r>
      <w:r>
        <w:rPr>
          <w:rFonts w:ascii="Times New Roman" w:hAnsi="Times New Roman" w:cs="Times New Roman" w:eastAsia="Times New Roman"/>
          <w:sz w:val="24"/>
        </w:rPr>
        <w:t xml:space="preserve">-mismatch, jf. Vedlegg G). Figuren viser relativ styrke (ikke effekt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retning) per feature.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statistikkene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dominerer,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viktige sekundære drivere. Et ekte SHAP-plott ville i tillegg gitt fortegns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informasjon (positiv/negativ påvirkning på predikert kostnad) som denne proxyen ikke fanger — fortegnet er rekonstruert kvalitativt i teksten under: høyere GT, lengre opphold og dyre tjenestetyper (Provisioning, Port Marina) gir høyere predikert kostnad.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 regenerering med ekte TreeSHAP er flagget som videre arbeid.)</w:t>
      </w:r>
    </w:p>
    <w:p>
      <w:pPr>
        <w:pStyle w:val="CaptionedFigure"/>
        <w:spacing w:line="360" w:lineRule="auto"/>
      </w:pPr>
      <w:r>
        <w:rPr>
          <w:rFonts w:ascii="Times New Roman" w:hAnsi="Times New Roman" w:cs="Times New Roman" w:eastAsia="Times New Roman"/>
          <w:sz w:val="24"/>
        </w:rPr>
        <w:drawing>
          <wp:inline>
            <wp:extent cx="5334000" cy="1660156"/>
            <wp:effectExtent b="0" l="0" r="0" t="0"/>
            <wp:docPr descr="Figur 7.7: Predikerte kostnader fordelt på GT (log-skala), tjenestekategori og ankomsthavn — viser monoton GT-effekt og tydelig havne­variasjon" title="" id="68" name="Picture"/>
            <a:graphic>
              <a:graphicData uri="http://schemas.openxmlformats.org/drawingml/2006/picture">
                <pic:pic>
                  <pic:nvPicPr>
                    <pic:cNvPr descr="figures/figur_7_7_dependence.png" id="69" name="Picture"/>
                    <pic:cNvPicPr>
                      <a:picLocks noChangeArrowheads="1" noChangeAspect="1"/>
                    </pic:cNvPicPr>
                  </pic:nvPicPr>
                  <pic:blipFill>
                    <a:blip r:embed="rId67"/>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7.7: Predikerte kostnader fordelt på GT (log-skala), tjenestekategori og ankomsthavn — viser monoton GT-effekt og tydelig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variasjon</w:t>
      </w:r>
    </w:p>
    <w:p>
      <w:pPr>
        <w:pStyle w:val="BodyText"/>
        <w:spacing w:line="360" w:lineRule="auto"/>
      </w:pPr>
      <w:r>
        <w:rPr>
          <w:rFonts w:ascii="Times New Roman" w:hAnsi="Times New Roman" w:cs="Times New Roman" w:eastAsia="Times New Roman"/>
          <w:b/>
          <w:bCs/>
          <w:sz w:val="24"/>
        </w:rPr>
        <w:t xml:space="preserve">Figur 7.7.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Predikerte kostnader fordelt på sentrale features på valideringssettet: (a) predikert kostnad vs. GT (log-skala), (b)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 (c)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 GT-effekten er monoton men ikke-lineær.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viser at København og Stockholm gir høyere prediksjoner enn norske havner ved samme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hvilket er konsistent med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avgifts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nivåene i datasettet og motiverer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bevisst aggregering som videre arbeid (§ 9.5.5).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70"/>
    <w:bookmarkStart w:id="74" w:name="residualdiagnostikk"/>
    <w:p>
      <w:pPr>
        <w:pStyle w:val="Heading3"/>
        <w:spacing w:line="360" w:lineRule="auto"/>
      </w:pPr>
      <w:r>
        <w:rPr>
          <w:rFonts w:ascii="Times New Roman" w:hAnsi="Times New Roman" w:cs="Times New Roman" w:eastAsia="Times New Roman"/>
          <w:sz w:val="24"/>
        </w:rPr>
        <w:t xml:space="preserve">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w:t>
      </w:r>
    </w:p>
    <w:p>
      <w:pPr>
        <w:pStyle w:val="CaptionedFigure"/>
        <w:spacing w:line="360" w:lineRule="auto"/>
      </w:pPr>
      <w:r>
        <w:rPr>
          <w:rFonts w:ascii="Times New Roman" w:hAnsi="Times New Roman" w:cs="Times New Roman" w:eastAsia="Times New Roman"/>
          <w:sz w:val="24"/>
        </w:rPr>
        <w:drawing>
          <wp:inline>
            <wp:extent cx="5334000" cy="2126429"/>
            <wp:effectExtent b="0" l="0" r="0" t="0"/>
            <wp:docPr descr="Figur 7.8: Residualplott (predikert vs. faktisk i log-rom) på valideringssettet (n = 490, 2024) — bias ≈ −0,20 indikerer systematisk overprediksjon for lave fakturaer" title="" id="72" name="Picture"/>
            <a:graphic>
              <a:graphicData uri="http://schemas.openxmlformats.org/drawingml/2006/picture">
                <pic:pic>
                  <pic:nvPicPr>
                    <pic:cNvPr descr="figures/figur_7_8_residuals.png" id="73" name="Picture"/>
                    <pic:cNvPicPr>
                      <a:picLocks noChangeArrowheads="1" noChangeAspect="1"/>
                    </pic:cNvPicPr>
                  </pic:nvPicPr>
                  <pic:blipFill>
                    <a:blip r:embed="rId71"/>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7.8: Residualplott (predikert vs. faktisk i log-rom) på valideringssettet (n = 490, 2024) — bias ≈ −0,20 indikerer systematisk overprediksjon for lave fakturaer</w:t>
      </w:r>
    </w:p>
    <w:p>
      <w:pPr>
        <w:pStyle w:val="BodyText"/>
        <w:spacing w:line="360" w:lineRule="auto"/>
      </w:pPr>
      <w:r>
        <w:rPr>
          <w:rFonts w:ascii="Times New Roman" w:hAnsi="Times New Roman" w:cs="Times New Roman" w:eastAsia="Times New Roman"/>
          <w:b/>
          <w:bCs/>
          <w:sz w:val="24"/>
        </w:rPr>
        <w:t xml:space="preserve">Figur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 (predikert vs. faktisk i log-rom) på valideringssettet (n = 490, 2024) for den tunede LightGBM-modellen. Gjennomsnittlig residual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−0,20 i log-rom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 dette samsvarer med funnet i § 9.5.4 om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 for Provisioning.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11, og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BodyText"/>
        <w:spacing w:line="360" w:lineRule="auto"/>
      </w:pPr>
      <w:r>
        <w:rPr>
          <w:rFonts w:ascii="Times New Roman" w:hAnsi="Times New Roman" w:cs="Times New Roman" w:eastAsia="Times New Roman"/>
          <w:b/>
          <w:bCs/>
          <w:sz w:val="24"/>
        </w:rPr>
        <w:t xml:space="preserve">Tabell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residualer per størrelseskategori (n = 490, år 2024). MAPE er rapportert som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forholdstall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(gjennomsnittlig |feil| / faktisk verdi); 0,89 betyr 89 % gjennomsnittlig avvik, 4,07 betyr 407 %. De høye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size_category</w:t>
            </w:r>
          </w:p>
        </w:tc>
        <w:tc>
          <w:tcPr/>
          <w:p>
            <w:pPr>
              <w:pStyle w:val="Compact"/>
              <w:spacing w:line="360" w:lineRule="auto"/>
              <w:jc w:val="right"/>
            </w:pPr>
            <w:r>
              <w:rPr>
                <w:rFonts w:ascii="Times New Roman" w:hAnsi="Times New Roman" w:cs="Times New Roman" w:eastAsia="Times New Roman"/>
                <w:sz w:val="24"/>
              </w:rPr>
              <w:t xml:space="preserve">n</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MAPE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w:t>
            </w:r>
          </w:p>
        </w:tc>
      </w:tr>
      <w:tr>
        <w:tc>
          <w:tcPr/>
          <w:p>
            <w:pPr>
              <w:pStyle w:val="Compact"/>
              <w:spacing w:line="360" w:lineRule="auto"/>
            </w:pPr>
            <w:r>
              <w:rPr>
                <w:rFonts w:ascii="Times New Roman" w:hAnsi="Times New Roman" w:cs="Times New Roman" w:eastAsia="Times New Roman"/>
                <w:sz w:val="24"/>
              </w:rPr>
              <w:t xml:space="preserve">Liten</w:t>
            </w:r>
          </w:p>
        </w:tc>
        <w:tc>
          <w:tcPr/>
          <w:p>
            <w:pPr>
              <w:pStyle w:val="Compact"/>
              <w:spacing w:line="360" w:lineRule="auto"/>
              <w:jc w:val="right"/>
            </w:pPr>
            <w:r>
              <w:rPr>
                <w:rFonts w:ascii="Times New Roman" w:hAnsi="Times New Roman" w:cs="Times New Roman" w:eastAsia="Times New Roman"/>
                <w:sz w:val="24"/>
              </w:rPr>
              <w:t xml:space="preserve">159</w:t>
            </w:r>
          </w:p>
        </w:tc>
        <w:tc>
          <w:tcPr/>
          <w:p>
            <w:pPr>
              <w:pStyle w:val="Compact"/>
              <w:spacing w:line="360" w:lineRule="auto"/>
              <w:jc w:val="right"/>
            </w:pPr>
            <w:r>
              <w:rPr>
                <w:rFonts w:ascii="Times New Roman" w:hAnsi="Times New Roman" w:cs="Times New Roman" w:eastAsia="Times New Roman"/>
                <w:sz w:val="24"/>
              </w:rPr>
              <w:t xml:space="preserve">9 277</w:t>
            </w:r>
          </w:p>
        </w:tc>
        <w:tc>
          <w:tcPr/>
          <w:p>
            <w:pPr>
              <w:pStyle w:val="Compact"/>
              <w:spacing w:line="360" w:lineRule="auto"/>
              <w:jc w:val="right"/>
            </w:pPr>
            <w:r>
              <w:rPr>
                <w:rFonts w:ascii="Times New Roman" w:hAnsi="Times New Roman" w:cs="Times New Roman" w:eastAsia="Times New Roman"/>
                <w:sz w:val="24"/>
              </w:rPr>
              <w:t xml:space="preserve">0,89</w:t>
            </w:r>
          </w:p>
        </w:tc>
      </w:tr>
      <w:tr>
        <w:tc>
          <w:tcPr/>
          <w:p>
            <w:pPr>
              <w:pStyle w:val="Compact"/>
              <w:spacing w:line="360" w:lineRule="auto"/>
            </w:pPr>
            <w:r>
              <w:rPr>
                <w:rFonts w:ascii="Times New Roman" w:hAnsi="Times New Roman" w:cs="Times New Roman" w:eastAsia="Times New Roman"/>
                <w:sz w:val="24"/>
              </w:rPr>
              <w:t xml:space="preserve">Mellomstor</w:t>
            </w:r>
          </w:p>
        </w:tc>
        <w:tc>
          <w:tcPr/>
          <w:p>
            <w:pPr>
              <w:pStyle w:val="Compact"/>
              <w:spacing w:line="360" w:lineRule="auto"/>
              <w:jc w:val="right"/>
            </w:pPr>
            <w:r>
              <w:rPr>
                <w:rFonts w:ascii="Times New Roman" w:hAnsi="Times New Roman" w:cs="Times New Roman" w:eastAsia="Times New Roman"/>
                <w:sz w:val="24"/>
              </w:rPr>
              <w:t xml:space="preserve">113</w:t>
            </w:r>
          </w:p>
        </w:tc>
        <w:tc>
          <w:tcPr/>
          <w:p>
            <w:pPr>
              <w:pStyle w:val="Compact"/>
              <w:spacing w:line="360" w:lineRule="auto"/>
              <w:jc w:val="right"/>
            </w:pPr>
            <w:r>
              <w:rPr>
                <w:rFonts w:ascii="Times New Roman" w:hAnsi="Times New Roman" w:cs="Times New Roman" w:eastAsia="Times New Roman"/>
                <w:sz w:val="24"/>
              </w:rPr>
              <w:t xml:space="preserve">9 192</w:t>
            </w:r>
          </w:p>
        </w:tc>
        <w:tc>
          <w:tcPr/>
          <w:p>
            <w:pPr>
              <w:pStyle w:val="Compact"/>
              <w:spacing w:line="360" w:lineRule="auto"/>
              <w:jc w:val="right"/>
            </w:pPr>
            <w:r>
              <w:rPr>
                <w:rFonts w:ascii="Times New Roman" w:hAnsi="Times New Roman" w:cs="Times New Roman" w:eastAsia="Times New Roman"/>
                <w:sz w:val="24"/>
              </w:rPr>
              <w:t xml:space="preserve">2,13</w:t>
            </w:r>
          </w:p>
        </w:tc>
      </w:tr>
      <w:tr>
        <w:tc>
          <w:tcPr/>
          <w:p>
            <w:pPr>
              <w:pStyle w:val="Compact"/>
              <w:spacing w:line="360" w:lineRule="auto"/>
            </w:pPr>
            <w:r>
              <w:rPr>
                <w:rFonts w:ascii="Times New Roman" w:hAnsi="Times New Roman" w:cs="Times New Roman" w:eastAsia="Times New Roman"/>
                <w:sz w:val="24"/>
              </w:rPr>
              <w:t xml:space="preserve">Stor</w:t>
            </w:r>
          </w:p>
        </w:tc>
        <w:tc>
          <w:tcPr/>
          <w:p>
            <w:pPr>
              <w:pStyle w:val="Compact"/>
              <w:spacing w:line="360" w:lineRule="auto"/>
              <w:jc w:val="right"/>
            </w:pPr>
            <w:r>
              <w:rPr>
                <w:rFonts w:ascii="Times New Roman" w:hAnsi="Times New Roman" w:cs="Times New Roman" w:eastAsia="Times New Roman"/>
                <w:sz w:val="24"/>
              </w:rPr>
              <w:t xml:space="preserve">218</w:t>
            </w:r>
          </w:p>
        </w:tc>
        <w:tc>
          <w:tcPr/>
          <w:p>
            <w:pPr>
              <w:pStyle w:val="Compact"/>
              <w:spacing w:line="360" w:lineRule="auto"/>
              <w:jc w:val="right"/>
            </w:pPr>
            <w:r>
              <w:rPr>
                <w:rFonts w:ascii="Times New Roman" w:hAnsi="Times New Roman" w:cs="Times New Roman" w:eastAsia="Times New Roman"/>
                <w:sz w:val="24"/>
              </w:rPr>
              <w:t xml:space="preserve">28 562</w:t>
            </w:r>
          </w:p>
        </w:tc>
        <w:tc>
          <w:tcPr/>
          <w:p>
            <w:pPr>
              <w:pStyle w:val="Compact"/>
              <w:spacing w:line="360" w:lineRule="auto"/>
              <w:jc w:val="right"/>
            </w:pPr>
            <w:r>
              <w:rPr>
                <w:rFonts w:ascii="Times New Roman" w:hAnsi="Times New Roman" w:cs="Times New Roman" w:eastAsia="Times New Roman"/>
                <w:sz w:val="24"/>
              </w:rPr>
              <w:t xml:space="preserve">4,07</w:t>
            </w:r>
          </w:p>
        </w:tc>
      </w:tr>
    </w:tbl>
    <w:p>
      <w:pPr>
        <w:pStyle w:val="BodyText"/>
        <w:spacing w:line="360" w:lineRule="auto"/>
      </w:pPr>
      <w:r>
        <w:rPr>
          <w:rFonts w:ascii="Times New Roman" w:hAnsi="Times New Roman" w:cs="Times New Roman" w:eastAsia="Times New Roman"/>
          <w:sz w:val="24"/>
        </w:rPr>
        <w:t xml:space="preserve">Stor-kategorien har en MAE som er ca. 3× høyere enn de to andre, hvilket reflekterer at store yachter har større variasjons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 i absolutte kostnader (P95-fakturaer for Stor-yachter er over 100 000 EUR; for Liten typisk under 15 000 EUR). MAPE-tallene må tolkes forsiktig: 4,07 for Stor betyr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modellen bommer med 407 % på typiske Stor-yacht-fakturaer, men at det er noen små Stor-fakturaer (f.eks. en enkelt forsyning på 200 EUR der modellen predikerer 1 000 EUR) som blåser opp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wMAPE-tallet for hele settet (71,4 %, jf. tabell 8.1) gir et mer rettferdig bilde av relativ feil. Det vesentlige funnet i tabellen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absolutt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feil skaleres med fordelingens skala, ikke med systematisk bias mot Stor.</w:t>
      </w:r>
    </w:p>
    <w:p>
      <w:pPr>
        <w:spacing w:line="360" w:lineRule="auto"/>
      </w:pPr>
      <w:r>
        <w:rPr>
          <w:rFonts w:ascii="Times New Roman" w:hAnsi="Times New Roman" w:cs="Times New Roman" w:eastAsia="Times New Roman"/>
          <w:sz w:val="24"/>
        </w:rPr>
        <w:pict>
          <v:rect style="width:0;height:1.5pt" o:hralign="center" o:hrstd="t" o:hr="t"/>
        </w:pict>
      </w:r>
    </w:p>
    <w:bookmarkEnd w:id="74"/>
    <w:bookmarkEnd w:id="75"/>
    <w:bookmarkStart w:id="81" w:name="resultat"/>
    <w:p>
      <w:pPr>
        <w:pStyle w:val="Heading2"/>
        <w:spacing w:line="360" w:lineRule="auto"/>
      </w:pPr>
      <w:r>
        <w:rPr>
          <w:rFonts w:ascii="Times New Roman" w:hAnsi="Times New Roman" w:cs="Times New Roman" w:eastAsia="Times New Roman"/>
          <w:sz w:val="24"/>
        </w:rPr>
        <w:t xml:space="preserve">8. Resultat</w:t>
      </w:r>
    </w:p>
    <w:bookmarkStart w:id="76" w:name="X9e63db4d73416036d6c4aff3da2d7ddb8b5d91f"/>
    <w:p>
      <w:pPr>
        <w:pStyle w:val="Heading3"/>
        <w:spacing w:line="360" w:lineRule="auto"/>
      </w:pPr>
      <w:r>
        <w:rPr>
          <w:rFonts w:ascii="Times New Roman" w:hAnsi="Times New Roman" w:cs="Times New Roman" w:eastAsia="Times New Roman"/>
          <w:sz w:val="24"/>
        </w:rPr>
        <w:t xml:space="preserve">8.1 Sammenligning av modeller på valideringssettet</w:t>
      </w:r>
    </w:p>
    <w:p>
      <w:pPr>
        <w:pStyle w:val="FirstParagraph"/>
        <w:spacing w:line="360" w:lineRule="auto"/>
      </w:pPr>
      <w:r>
        <w:rPr>
          <w:rFonts w:ascii="Times New Roman" w:hAnsi="Times New Roman" w:cs="Times New Roman" w:eastAsia="Times New Roman"/>
          <w:b/>
          <w:bCs/>
          <w:sz w:val="24"/>
        </w:rPr>
        <w:t xml:space="preserve">Tabell 8.1.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viser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metrikker for alle modeller på</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valideringssettet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490 transaksjoner), sortert etter MAE. Dette er settet som brukes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RMSE (EUR)</w:t>
            </w:r>
          </w:p>
        </w:tc>
        <w:tc>
          <w:tcPr/>
          <w:p>
            <w:pPr>
              <w:pStyle w:val="Compact"/>
              <w:spacing w:line="360" w:lineRule="auto"/>
              <w:jc w:val="right"/>
            </w:pPr>
            <w:r>
              <w:rPr>
                <w:rFonts w:ascii="Times New Roman" w:hAnsi="Times New Roman" w:cs="Times New Roman" w:eastAsia="Times New Roman"/>
                <w:sz w:val="24"/>
              </w:rPr>
              <w:t xml:space="preserve">MAPE (%)</w:t>
            </w:r>
          </w:p>
        </w:tc>
        <w:tc>
          <w:tcPr/>
          <w:p>
            <w:pPr>
              <w:pStyle w:val="Compact"/>
              <w:spacing w:line="360" w:lineRule="auto"/>
              <w:jc w:val="right"/>
            </w:pPr>
            <w:r>
              <w:rPr>
                <w:rFonts w:ascii="Times New Roman" w:hAnsi="Times New Roman" w:cs="Times New Roman" w:eastAsia="Times New Roman"/>
                <w:sz w:val="24"/>
              </w:rPr>
              <w:t xml:space="preserve">wMAPE (%)</w:t>
            </w:r>
          </w:p>
        </w:tc>
      </w:tr>
      <w:tr>
        <w:tc>
          <w:tcPr/>
          <w:p>
            <w:pPr>
              <w:pStyle w:val="Compact"/>
              <w:spacing w:line="360" w:lineRule="auto"/>
            </w:pPr>
            <w:r>
              <w:rPr>
                <w:rFonts w:ascii="Times New Roman" w:hAnsi="Times New Roman" w:cs="Times New Roman" w:eastAsia="Times New Roman"/>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17 317</w:t>
            </w:r>
          </w:p>
        </w:tc>
        <w:tc>
          <w:tcPr/>
          <w:p>
            <w:pPr>
              <w:pStyle w:val="Compact"/>
              <w:spacing w:line="360" w:lineRule="auto"/>
              <w:jc w:val="right"/>
            </w:pPr>
            <w:r>
              <w:rPr>
                <w:rFonts w:ascii="Times New Roman" w:hAnsi="Times New Roman" w:cs="Times New Roman" w:eastAsia="Times New Roman"/>
                <w:sz w:val="24"/>
              </w:rPr>
              <w:t xml:space="preserve">54 476</w:t>
            </w:r>
          </w:p>
        </w:tc>
        <w:tc>
          <w:tcPr/>
          <w:p>
            <w:pPr>
              <w:pStyle w:val="Compact"/>
              <w:spacing w:line="360" w:lineRule="auto"/>
              <w:jc w:val="right"/>
            </w:pPr>
            <w:r>
              <w:rPr>
                <w:rFonts w:ascii="Times New Roman" w:hAnsi="Times New Roman" w:cs="Times New Roman" w:eastAsia="Times New Roman"/>
                <w:sz w:val="24"/>
              </w:rPr>
              <w:t xml:space="preserve">180,2</w:t>
            </w:r>
          </w:p>
        </w:tc>
        <w:tc>
          <w:tcPr/>
          <w:p>
            <w:pPr>
              <w:pStyle w:val="Compact"/>
              <w:spacing w:line="360" w:lineRule="auto"/>
              <w:jc w:val="right"/>
            </w:pPr>
            <w:r>
              <w:rPr>
                <w:rFonts w:ascii="Times New Roman" w:hAnsi="Times New Roman" w:cs="Times New Roman" w:eastAsia="Times New Roman"/>
                <w:sz w:val="24"/>
              </w:rPr>
              <w:t xml:space="preserve">71,3</w:t>
            </w:r>
          </w:p>
        </w:tc>
      </w:tr>
      <w:tr>
        <w:tc>
          <w:tcPr/>
          <w:p>
            <w:pPr>
              <w:pStyle w:val="Compact"/>
              <w:spacing w:line="360" w:lineRule="auto"/>
            </w:pPr>
            <w:r>
              <w:rPr>
                <w:rFonts w:ascii="Times New Roman" w:hAnsi="Times New Roman" w:cs="Times New Roman" w:eastAsia="Times New Roman"/>
                <w:b/>
                <w:bCs/>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17 350</w:t>
            </w:r>
          </w:p>
        </w:tc>
        <w:tc>
          <w:tcPr/>
          <w:p>
            <w:pPr>
              <w:pStyle w:val="Compact"/>
              <w:spacing w:line="360" w:lineRule="auto"/>
              <w:jc w:val="right"/>
            </w:pPr>
            <w:r>
              <w:rPr>
                <w:rFonts w:ascii="Times New Roman" w:hAnsi="Times New Roman" w:cs="Times New Roman" w:eastAsia="Times New Roman"/>
                <w:sz w:val="24"/>
              </w:rPr>
              <w:t xml:space="preserve">55 490</w:t>
            </w:r>
          </w:p>
        </w:tc>
        <w:tc>
          <w:tcPr/>
          <w:p>
            <w:pPr>
              <w:pStyle w:val="Compact"/>
              <w:spacing w:line="360" w:lineRule="auto"/>
              <w:jc w:val="right"/>
            </w:pPr>
            <w:r>
              <w:rPr>
                <w:rFonts w:ascii="Times New Roman" w:hAnsi="Times New Roman" w:cs="Times New Roman" w:eastAsia="Times New Roman"/>
                <w:sz w:val="24"/>
              </w:rPr>
              <w:t xml:space="preserve">168,3</w:t>
            </w:r>
          </w:p>
        </w:tc>
        <w:tc>
          <w:tcPr/>
          <w:p>
            <w:pPr>
              <w:pStyle w:val="Compact"/>
              <w:spacing w:line="360" w:lineRule="auto"/>
              <w:jc w:val="right"/>
            </w:pPr>
            <w:r>
              <w:rPr>
                <w:rFonts w:ascii="Times New Roman" w:hAnsi="Times New Roman" w:cs="Times New Roman" w:eastAsia="Times New Roman"/>
                <w:b/>
                <w:bCs/>
                <w:sz w:val="24"/>
              </w:rPr>
              <w:t xml:space="preserve">71,4</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17 404</w:t>
            </w:r>
          </w:p>
        </w:tc>
        <w:tc>
          <w:tcPr/>
          <w:p>
            <w:pPr>
              <w:pStyle w:val="Compact"/>
              <w:spacing w:line="360" w:lineRule="auto"/>
              <w:jc w:val="right"/>
            </w:pPr>
            <w:r>
              <w:rPr>
                <w:rFonts w:ascii="Times New Roman" w:hAnsi="Times New Roman" w:cs="Times New Roman" w:eastAsia="Times New Roman"/>
                <w:sz w:val="24"/>
              </w:rPr>
              <w:t xml:space="preserve">55 672</w:t>
            </w:r>
          </w:p>
        </w:tc>
        <w:tc>
          <w:tcPr/>
          <w:p>
            <w:pPr>
              <w:pStyle w:val="Compact"/>
              <w:spacing w:line="360" w:lineRule="auto"/>
              <w:jc w:val="right"/>
            </w:pPr>
            <w:r>
              <w:rPr>
                <w:rFonts w:ascii="Times New Roman" w:hAnsi="Times New Roman" w:cs="Times New Roman" w:eastAsia="Times New Roman"/>
                <w:sz w:val="24"/>
              </w:rPr>
              <w:t xml:space="preserve">174,1</w:t>
            </w:r>
          </w:p>
        </w:tc>
        <w:tc>
          <w:tcPr/>
          <w:p>
            <w:pPr>
              <w:pStyle w:val="Compact"/>
              <w:spacing w:line="360" w:lineRule="auto"/>
              <w:jc w:val="right"/>
            </w:pPr>
            <w:r>
              <w:rPr>
                <w:rFonts w:ascii="Times New Roman" w:hAnsi="Times New Roman" w:cs="Times New Roman" w:eastAsia="Times New Roman"/>
                <w:sz w:val="24"/>
              </w:rPr>
              <w:t xml:space="preserve">71,7</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17 837</w:t>
            </w:r>
          </w:p>
        </w:tc>
        <w:tc>
          <w:tcPr/>
          <w:p>
            <w:pPr>
              <w:pStyle w:val="Compact"/>
              <w:spacing w:line="360" w:lineRule="auto"/>
              <w:jc w:val="right"/>
            </w:pPr>
            <w:r>
              <w:rPr>
                <w:rFonts w:ascii="Times New Roman" w:hAnsi="Times New Roman" w:cs="Times New Roman" w:eastAsia="Times New Roman"/>
                <w:b/>
                <w:bCs/>
                <w:sz w:val="24"/>
              </w:rPr>
              <w:t xml:space="preserve">55 141</w:t>
            </w:r>
          </w:p>
        </w:tc>
        <w:tc>
          <w:tcPr/>
          <w:p>
            <w:pPr>
              <w:pStyle w:val="Compact"/>
              <w:spacing w:line="360" w:lineRule="auto"/>
              <w:jc w:val="right"/>
            </w:pPr>
            <w:r>
              <w:rPr>
                <w:rFonts w:ascii="Times New Roman" w:hAnsi="Times New Roman" w:cs="Times New Roman" w:eastAsia="Times New Roman"/>
                <w:sz w:val="24"/>
              </w:rPr>
              <w:t xml:space="preserve">168,9</w:t>
            </w:r>
          </w:p>
        </w:tc>
        <w:tc>
          <w:tcPr/>
          <w:p>
            <w:pPr>
              <w:pStyle w:val="Compact"/>
              <w:spacing w:line="360" w:lineRule="auto"/>
              <w:jc w:val="right"/>
            </w:pPr>
            <w:r>
              <w:rPr>
                <w:rFonts w:ascii="Times New Roman" w:hAnsi="Times New Roman" w:cs="Times New Roman" w:eastAsia="Times New Roman"/>
                <w:sz w:val="24"/>
              </w:rPr>
              <w:t xml:space="preserve">73,4</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18 251</w:t>
            </w:r>
          </w:p>
        </w:tc>
        <w:tc>
          <w:tcPr/>
          <w:p>
            <w:pPr>
              <w:pStyle w:val="Compact"/>
              <w:spacing w:line="360" w:lineRule="auto"/>
              <w:jc w:val="right"/>
            </w:pPr>
            <w:r>
              <w:rPr>
                <w:rFonts w:ascii="Times New Roman" w:hAnsi="Times New Roman" w:cs="Times New Roman" w:eastAsia="Times New Roman"/>
                <w:sz w:val="24"/>
              </w:rPr>
              <w:t xml:space="preserve">55 842</w:t>
            </w:r>
          </w:p>
        </w:tc>
        <w:tc>
          <w:tcPr/>
          <w:p>
            <w:pPr>
              <w:pStyle w:val="Compact"/>
              <w:spacing w:line="360" w:lineRule="auto"/>
              <w:jc w:val="right"/>
            </w:pPr>
            <w:r>
              <w:rPr>
                <w:rFonts w:ascii="Times New Roman" w:hAnsi="Times New Roman" w:cs="Times New Roman" w:eastAsia="Times New Roman"/>
                <w:b/>
                <w:bCs/>
                <w:sz w:val="24"/>
              </w:rPr>
              <w:t xml:space="preserve">152,7</w:t>
            </w:r>
          </w:p>
        </w:tc>
        <w:tc>
          <w:tcPr/>
          <w:p>
            <w:pPr>
              <w:pStyle w:val="Compact"/>
              <w:spacing w:line="360" w:lineRule="auto"/>
              <w:jc w:val="right"/>
            </w:pPr>
            <w:r>
              <w:rPr>
                <w:rFonts w:ascii="Times New Roman" w:hAnsi="Times New Roman" w:cs="Times New Roman" w:eastAsia="Times New Roman"/>
                <w:sz w:val="24"/>
              </w:rPr>
              <w:t xml:space="preserve">75,1</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21 800</w:t>
            </w:r>
          </w:p>
        </w:tc>
        <w:tc>
          <w:tcPr/>
          <w:p>
            <w:pPr>
              <w:pStyle w:val="Compact"/>
              <w:spacing w:line="360" w:lineRule="auto"/>
              <w:jc w:val="right"/>
            </w:pPr>
            <w:r>
              <w:rPr>
                <w:rFonts w:ascii="Times New Roman" w:hAnsi="Times New Roman" w:cs="Times New Roman" w:eastAsia="Times New Roman"/>
                <w:sz w:val="24"/>
              </w:rPr>
              <w:t xml:space="preserve">60 128</w:t>
            </w:r>
          </w:p>
        </w:tc>
        <w:tc>
          <w:tcPr/>
          <w:p>
            <w:pPr>
              <w:pStyle w:val="Compact"/>
              <w:spacing w:line="360" w:lineRule="auto"/>
              <w:jc w:val="right"/>
            </w:pPr>
            <w:r>
              <w:rPr>
                <w:rFonts w:ascii="Times New Roman" w:hAnsi="Times New Roman" w:cs="Times New Roman" w:eastAsia="Times New Roman"/>
                <w:sz w:val="24"/>
              </w:rPr>
              <w:t xml:space="preserve">300,8</w:t>
            </w:r>
          </w:p>
        </w:tc>
        <w:tc>
          <w:tcPr/>
          <w:p>
            <w:pPr>
              <w:pStyle w:val="Compact"/>
              <w:spacing w:line="360" w:lineRule="auto"/>
              <w:jc w:val="right"/>
            </w:pPr>
            <w:r>
              <w:rPr>
                <w:rFonts w:ascii="Times New Roman" w:hAnsi="Times New Roman" w:cs="Times New Roman" w:eastAsia="Times New Roman"/>
                <w:sz w:val="24"/>
              </w:rPr>
              <w:t xml:space="preserve">89,8</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(MAE/RMSE/MAPE)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metrics_with_wmape.csv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(wMAPE = Σǀerrǀ/Σactual = MAE/mean(actual), basert på mean(actual) = 24 289 EUR på val=2024). Tallene er i EUR fordi de er beregnet direkte fra modellens log-transformerte output, som er trent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EUR (jf. § 1.3). wMAPE er valutauavhengig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og påvirkes ikke av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w:t>
      </w:r>
    </w:p>
    <w:p>
      <w:pPr>
        <w:pStyle w:val="BodyText"/>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reduserer MAE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ridge. På valideringssettet er LightGBM (base)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praktisk talt like (33 EUR forskjell, eller 0,2 % MAE), og forskjellen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på 490 transaksjoner.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velges likevel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den reduserer varians på tvers av kvantiler/folder og er mer robust mot at en av basis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skulle drifte ved re-trening; at den også oppnår lavest MAPE (168,3 %) er et sekundært argument, siden MAE i EUR er den primære operasjonelle metrikken (jf. § 9.4).</w:t>
      </w:r>
    </w:p>
    <w:p>
      <w:pPr>
        <w:pStyle w:val="BodyText"/>
        <w:spacing w:line="360" w:lineRule="auto"/>
      </w:pPr>
      <w:r>
        <w:rPr>
          <w:rFonts w:ascii="Times New Roman" w:hAnsi="Times New Roman" w:cs="Times New Roman" w:eastAsia="Times New Roman"/>
          <w:sz w:val="24"/>
        </w:rPr>
        <w:t xml:space="preserve">Ridge-modellen har paradoksalt nok lavest MAPE (152,7 %) til tross for høyest MAE blant ML-modellene. Forklaringen er at MAPE vekter relative feil: Ridge underestimerer mindre på de mange små transaksjonene (der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dominerer), men bommer mer i absolutte beløp på de store transaksjonene som MAE fanger opp.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 (volum</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vektet 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løser denne skjev</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heten ved å vekte feilen etter beløp i stedet for antall: målt på wMAPE er Ensemble best (71,4 %), Ridge dårligst blant ML-modellene (75,1 %),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89,8 %. Differansen mellom MAPE (168,3 %) og wMAPE (71,4 %) for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illustrerer hvor sterkt små transaksjoner blåser opp den uveide MAPE-en.</w:t>
      </w:r>
    </w:p>
    <w:p>
      <w:pPr>
        <w:pStyle w:val="BodyText"/>
        <w:spacing w:line="360" w:lineRule="auto"/>
      </w:pPr>
      <w:r>
        <w:rPr>
          <w:rFonts w:ascii="Times New Roman" w:hAnsi="Times New Roman" w:cs="Times New Roman" w:eastAsia="Times New Roman"/>
          <w:b/>
          <w:bCs/>
          <w:sz w:val="24"/>
        </w:rPr>
        <w:t xml:space="preserve">Statistisk signifikans.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Forskjellen mellom LightGBM (base) og Ensemble på MAE er 33 EUR (0,19 %) — for å vurdere om dette er reell forskjell eller støy, ble det beregnet et 95 % bootstrap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konfidens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for</w:t>
      </w:r>
      <w:r>
        <w:rPr>
          <w:rFonts w:ascii="Times New Roman" w:hAnsi="Times New Roman" w:cs="Times New Roman" w:eastAsia="Times New Roman"/>
          <w:sz w:val="24"/>
        </w:rP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1 000 bootstrap-utvalg av valideringssettet. Resultatet er</w:t>
      </w:r>
      <w:r>
        <w:rPr>
          <w:rFonts w:ascii="Times New Roman" w:hAnsi="Times New Roman" w:cs="Times New Roman" w:eastAsia="Times New Roman"/>
          <w:sz w:val="24"/>
        </w:rPr>
        <w:t xml:space="preserve"> </w:t>
      </w:r>
      <m:oMath>
        <m:r>
          <m:rPr>
            <m:sty m:val="p"/>
          </m:rPr>
          <m:t>Δ</m:t>
        </m:r>
        <m:r>
          <m:rPr>
            <m:nor/>
            <m:sty m:val="p"/>
          </m:rPr>
          <m:t>MAE</m:t>
        </m:r>
        <m:r>
          <m:rPr>
            <m:sty m:val="p"/>
          </m:rPr>
          <m:t>=</m:t>
        </m:r>
        <m:r>
          <m:rPr>
            <m:sty m:val="p"/>
          </m:rPr>
          <m:t>−</m:t>
        </m:r>
        <m:r>
          <m:t>33</m:t>
        </m:r>
        <m:r>
          <m:rPr>
            <m:sty m:val="p"/>
          </m:rPr>
          <m:t>±</m:t>
        </m:r>
        <m:r>
          <m:t>870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(95 % KI:</w:t>
      </w:r>
      <w:r>
        <w:rPr>
          <w:rFonts w:ascii="Times New Roman" w:hAnsi="Times New Roman" w:cs="Times New Roman" w:eastAsia="Times New Roman"/>
          <w:sz w:val="24"/>
        </w:rPr>
        <w:t xml:space="preserve"> </w:t>
      </w:r>
      <m:oMath>
        <m:r>
          <m:rPr>
            <m:sty m:val="p"/>
          </m:rPr>
          <m:t>[</m:t>
        </m:r>
        <m:r>
          <m:rPr>
            <m:sty m:val="p"/>
          </m:rPr>
          <m:t>−</m:t>
        </m:r>
        <m:r>
          <m:t>1</m:t>
        </m:r>
        <m:r>
          <m:t> </m:t>
        </m:r>
        <m:r>
          <m:t>720</m:t>
        </m:r>
        <m:r>
          <m:rPr>
            <m:sty m:val="p"/>
          </m:rPr>
          <m:t>;</m:t>
        </m:r>
        <m:r>
          <m:t> </m:t>
        </m:r>
        <m:r>
          <m:t>1</m:t>
        </m:r>
        <m:r>
          <m:t> </m:t>
        </m:r>
        <m:r>
          <m:t>650</m:t>
        </m:r>
        <m:r>
          <m:rPr>
            <m:sty m:val="p"/>
          </m:rPr>
          <m:t>]</m:t>
        </m:r>
      </m:oMath>
      <w:r>
        <w:rPr>
          <w:rFonts w:ascii="Times New Roman" w:hAnsi="Times New Roman" w:cs="Times New Roman" w:eastAsia="Times New Roman"/>
          <w:sz w:val="24"/>
        </w:rPr>
        <w:t xml:space="preserve">), som omslutter null og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statistisk signifikant. På samme måte er Ensemble vs. CatBoost ikke signifikant (Δ = 54 EUR; KI omslutter null). De tre gradient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boosting-modellene er dermed praktisk talt likeverdige på 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i tråd med Shwartz-Ziv &amp; Armon (2022). Forskjellen mellom Ensemble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er derimot klart signifikant (</w:t>
      </w:r>
      <m:oMath>
        <m:r>
          <m:rPr>
            <m:sty m:val="p"/>
          </m:rPr>
          <m:t>Δ</m:t>
        </m:r>
        <m:r>
          <m:rPr>
            <m:sty m:val="p"/>
          </m:rPr>
          <m:t>=</m:t>
        </m:r>
        <m:r>
          <m:t>4</m:t>
        </m:r>
        <m:r>
          <m:t> </m:t>
        </m:r>
        <m:r>
          <m:t>450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KI:</w:t>
      </w:r>
      <w:r>
        <w:rPr>
          <w:rFonts w:ascii="Times New Roman" w:hAnsi="Times New Roman" w:cs="Times New Roman" w:eastAsia="Times New Roman"/>
          <w:sz w:val="24"/>
        </w:rPr>
        <w:t xml:space="preserve"> </w:t>
      </w:r>
      <m:oMath>
        <m:r>
          <m:rPr>
            <m:sty m:val="p"/>
          </m:rPr>
          <m:t>[</m:t>
        </m:r>
        <m:r>
          <m:t>3</m:t>
        </m:r>
        <m:r>
          <m:t> </m:t>
        </m:r>
        <m:r>
          <m:t>100</m:t>
        </m:r>
        <m:r>
          <m:rPr>
            <m:sty m:val="p"/>
          </m:rPr>
          <m:t>;</m:t>
        </m:r>
        <m:r>
          <m:t> </m:t>
        </m:r>
        <m:r>
          <m:t>5</m:t>
        </m:r>
        <m:r>
          <m:t> </m:t>
        </m:r>
        <m:r>
          <m:t>860</m:t>
        </m:r>
        <m:r>
          <m:rPr>
            <m:sty m:val="p"/>
          </m:rPr>
          <m:t>]</m:t>
        </m:r>
      </m:oMath>
      <w:r>
        <w:rPr>
          <w:rFonts w:ascii="Times New Roman" w:hAnsi="Times New Roman" w:cs="Times New Roman" w:eastAsia="Times New Roman"/>
          <w:sz w:val="24"/>
        </w:rPr>
        <w:t xml:space="preserve">). Konklusjonen er at modellvalget mellom de tre gradient-boosting-variantene må gjøres på sekundære kriterier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drift-toleranse) — ikke på MAE-tallene alene, som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båndet.</w:t>
      </w:r>
    </w:p>
    <w:bookmarkEnd w:id="76"/>
    <w:bookmarkStart w:id="77" w:name="endelig-evaluering-på-testsettet-2025"/>
    <w:p>
      <w:pPr>
        <w:pStyle w:val="Heading3"/>
        <w:spacing w:line="360" w:lineRule="auto"/>
      </w:pPr>
      <w:r>
        <w:rPr>
          <w:rFonts w:ascii="Times New Roman" w:hAnsi="Times New Roman" w:cs="Times New Roman" w:eastAsia="Times New Roman"/>
          <w:sz w:val="24"/>
        </w:rPr>
        <w:t xml:space="preserve">8.1.1 Endelig evaluering på testsettet (2025)</w:t>
      </w:r>
    </w:p>
    <w:p>
      <w:pPr>
        <w:pStyle w:val="FirstParagraph"/>
        <w:spacing w:line="360" w:lineRule="auto"/>
      </w:pPr>
      <w:r>
        <w:rPr>
          <w:rFonts w:ascii="Times New Roman" w:hAnsi="Times New Roman" w:cs="Times New Roman" w:eastAsia="Times New Roman"/>
          <w:sz w:val="24"/>
        </w:rPr>
        <w:t xml:space="preserve">For å gi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uavhengig generaliserings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anslag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ble testsettet (2025, 670 transaksjoner før feature-engineering, 649 etter) evaluert etter at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var konkludert. Pipeline (gjengitt i skriptet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de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klassene som i § 8.1, trent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 med early stopping på val=2024 for å replisere prefit-modellen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ble gjort på, deretter evaluert på det helt urørte testsettet (2025).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w:t>
      </w:r>
      <w:r>
        <w:rPr>
          <w:rFonts w:ascii="Times New Roman" w:hAnsi="Times New Roman" w:cs="Times New Roman" w:eastAsia="Times New Roman"/>
          <w:sz w:val="24"/>
        </w:rPr>
        <w:t xml:space="preserve">) er som tidligere beregnet kun på ≤ 2023 for å unngå target leakage. Resultater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artifacts/metrics_test_2025.csv</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(test, EUR)</w:t>
            </w:r>
          </w:p>
        </w:tc>
        <w:tc>
          <w:tcPr/>
          <w:p>
            <w:pPr>
              <w:pStyle w:val="Compact"/>
              <w:spacing w:line="360" w:lineRule="auto"/>
              <w:jc w:val="right"/>
            </w:pPr>
            <w:r>
              <w:rPr>
                <w:rFonts w:ascii="Times New Roman" w:hAnsi="Times New Roman" w:cs="Times New Roman" w:eastAsia="Times New Roman"/>
                <w:sz w:val="24"/>
              </w:rPr>
              <w:t xml:space="preserve">RMSE (test, EUR)</w:t>
            </w:r>
          </w:p>
        </w:tc>
        <w:tc>
          <w:tcPr/>
          <w:p>
            <w:pPr>
              <w:pStyle w:val="Compact"/>
              <w:spacing w:line="360" w:lineRule="auto"/>
              <w:jc w:val="right"/>
            </w:pPr>
            <w:r>
              <w:rPr>
                <w:rFonts w:ascii="Times New Roman" w:hAnsi="Times New Roman" w:cs="Times New Roman" w:eastAsia="Times New Roman"/>
                <w:sz w:val="24"/>
              </w:rPr>
              <w:t xml:space="preserve">wMAPE (test, %)</w:t>
            </w:r>
          </w:p>
        </w:tc>
        <w:tc>
          <w:tcPr/>
          <w:p>
            <w:pPr>
              <w:pStyle w:val="Compact"/>
              <w:spacing w:line="360" w:lineRule="auto"/>
              <w:jc w:val="right"/>
            </w:pPr>
            <w:r>
              <w:rPr>
                <w:rFonts w:ascii="Times New Roman" w:hAnsi="Times New Roman" w:cs="Times New Roman" w:eastAsia="Times New Roman"/>
                <w:sz w:val="24"/>
              </w:rPr>
              <w:t xml:space="preserve">Δ MAE (val→test)</w:t>
            </w:r>
          </w:p>
        </w:tc>
      </w:tr>
      <w:tr>
        <w:tc>
          <w:tcPr/>
          <w:p>
            <w:pPr>
              <w:pStyle w:val="Compact"/>
              <w:spacing w:line="360" w:lineRule="auto"/>
            </w:pPr>
            <w:r>
              <w:rPr>
                <w:rFonts w:ascii="Times New Roman" w:hAnsi="Times New Roman" w:cs="Times New Roman" w:eastAsia="Times New Roman"/>
                <w:b/>
                <w:bCs/>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18 765</w:t>
            </w:r>
          </w:p>
        </w:tc>
        <w:tc>
          <w:tcPr/>
          <w:p>
            <w:pPr>
              <w:pStyle w:val="Compact"/>
              <w:spacing w:line="360" w:lineRule="auto"/>
              <w:jc w:val="right"/>
            </w:pPr>
            <w:r>
              <w:rPr>
                <w:rFonts w:ascii="Times New Roman" w:hAnsi="Times New Roman" w:cs="Times New Roman" w:eastAsia="Times New Roman"/>
                <w:sz w:val="24"/>
              </w:rPr>
              <w:t xml:space="preserve">60 382</w:t>
            </w:r>
          </w:p>
        </w:tc>
        <w:tc>
          <w:tcPr/>
          <w:p>
            <w:pPr>
              <w:pStyle w:val="Compact"/>
              <w:spacing w:line="360" w:lineRule="auto"/>
              <w:jc w:val="right"/>
            </w:pPr>
            <w:r>
              <w:rPr>
                <w:rFonts w:ascii="Times New Roman" w:hAnsi="Times New Roman" w:cs="Times New Roman" w:eastAsia="Times New Roman"/>
                <w:b/>
                <w:bCs/>
                <w:sz w:val="24"/>
              </w:rPr>
              <w:t xml:space="preserve">73,2</w:t>
            </w:r>
          </w:p>
        </w:tc>
        <w:tc>
          <w:tcPr/>
          <w:p>
            <w:pPr>
              <w:pStyle w:val="Compact"/>
              <w:spacing w:line="360" w:lineRule="auto"/>
              <w:jc w:val="right"/>
            </w:pPr>
            <w:r>
              <w:rPr>
                <w:rFonts w:ascii="Times New Roman" w:hAnsi="Times New Roman" w:cs="Times New Roman" w:eastAsia="Times New Roman"/>
                <w:sz w:val="24"/>
              </w:rPr>
              <w:t xml:space="preserve">+1 448 (+8 %)</w:t>
            </w:r>
          </w:p>
        </w:tc>
      </w:tr>
      <w:tr>
        <w:tc>
          <w:tcPr/>
          <w:p>
            <w:pPr>
              <w:pStyle w:val="Compact"/>
              <w:spacing w:line="360" w:lineRule="auto"/>
            </w:pPr>
            <w:r>
              <w:rPr>
                <w:rFonts w:ascii="Times New Roman" w:hAnsi="Times New Roman" w:cs="Times New Roman" w:eastAsia="Times New Roman"/>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19 051</w:t>
            </w:r>
          </w:p>
        </w:tc>
        <w:tc>
          <w:tcPr/>
          <w:p>
            <w:pPr>
              <w:pStyle w:val="Compact"/>
              <w:spacing w:line="360" w:lineRule="auto"/>
              <w:jc w:val="right"/>
            </w:pPr>
            <w:r>
              <w:rPr>
                <w:rFonts w:ascii="Times New Roman" w:hAnsi="Times New Roman" w:cs="Times New Roman" w:eastAsia="Times New Roman"/>
                <w:b/>
                <w:bCs/>
                <w:sz w:val="24"/>
              </w:rPr>
              <w:t xml:space="preserve">61 032</w:t>
            </w:r>
          </w:p>
        </w:tc>
        <w:tc>
          <w:tcPr/>
          <w:p>
            <w:pPr>
              <w:pStyle w:val="Compact"/>
              <w:spacing w:line="360" w:lineRule="auto"/>
              <w:jc w:val="right"/>
            </w:pPr>
            <w:r>
              <w:rPr>
                <w:rFonts w:ascii="Times New Roman" w:hAnsi="Times New Roman" w:cs="Times New Roman" w:eastAsia="Times New Roman"/>
                <w:sz w:val="24"/>
              </w:rPr>
              <w:t xml:space="preserve">74,3</w:t>
            </w:r>
          </w:p>
        </w:tc>
        <w:tc>
          <w:tcPr/>
          <w:p>
            <w:pPr>
              <w:pStyle w:val="Compact"/>
              <w:spacing w:line="360" w:lineRule="auto"/>
              <w:jc w:val="right"/>
            </w:pPr>
            <w:r>
              <w:rPr>
                <w:rFonts w:ascii="Times New Roman" w:hAnsi="Times New Roman" w:cs="Times New Roman" w:eastAsia="Times New Roman"/>
                <w:sz w:val="24"/>
              </w:rPr>
              <w:t xml:space="preserve">+1 701 (+10 %)</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19 065</w:t>
            </w:r>
          </w:p>
        </w:tc>
        <w:tc>
          <w:tcPr/>
          <w:p>
            <w:pPr>
              <w:pStyle w:val="Compact"/>
              <w:spacing w:line="360" w:lineRule="auto"/>
              <w:jc w:val="right"/>
            </w:pPr>
            <w:r>
              <w:rPr>
                <w:rFonts w:ascii="Times New Roman" w:hAnsi="Times New Roman" w:cs="Times New Roman" w:eastAsia="Times New Roman"/>
                <w:sz w:val="24"/>
              </w:rPr>
              <w:t xml:space="preserve">60 888</w:t>
            </w:r>
          </w:p>
        </w:tc>
        <w:tc>
          <w:tcPr/>
          <w:p>
            <w:pPr>
              <w:pStyle w:val="Compact"/>
              <w:spacing w:line="360" w:lineRule="auto"/>
              <w:jc w:val="right"/>
            </w:pPr>
            <w:r>
              <w:rPr>
                <w:rFonts w:ascii="Times New Roman" w:hAnsi="Times New Roman" w:cs="Times New Roman" w:eastAsia="Times New Roman"/>
                <w:sz w:val="24"/>
              </w:rPr>
              <w:t xml:space="preserve">74,4</w:t>
            </w:r>
          </w:p>
        </w:tc>
        <w:tc>
          <w:tcPr/>
          <w:p>
            <w:pPr>
              <w:pStyle w:val="Compact"/>
              <w:spacing w:line="360" w:lineRule="auto"/>
              <w:jc w:val="right"/>
            </w:pPr>
            <w:r>
              <w:rPr>
                <w:rFonts w:ascii="Times New Roman" w:hAnsi="Times New Roman" w:cs="Times New Roman" w:eastAsia="Times New Roman"/>
                <w:sz w:val="24"/>
              </w:rPr>
              <w:t xml:space="preserve">+1 661 (+10 %)</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19 331</w:t>
            </w:r>
          </w:p>
        </w:tc>
        <w:tc>
          <w:tcPr/>
          <w:p>
            <w:pPr>
              <w:pStyle w:val="Compact"/>
              <w:spacing w:line="360" w:lineRule="auto"/>
              <w:jc w:val="right"/>
            </w:pPr>
            <w:r>
              <w:rPr>
                <w:rFonts w:ascii="Times New Roman" w:hAnsi="Times New Roman" w:cs="Times New Roman" w:eastAsia="Times New Roman"/>
                <w:sz w:val="24"/>
              </w:rPr>
              <w:t xml:space="preserve">61 324</w:t>
            </w:r>
          </w:p>
        </w:tc>
        <w:tc>
          <w:tcPr/>
          <w:p>
            <w:pPr>
              <w:pStyle w:val="Compact"/>
              <w:spacing w:line="360" w:lineRule="auto"/>
              <w:jc w:val="right"/>
            </w:pPr>
            <w:r>
              <w:rPr>
                <w:rFonts w:ascii="Times New Roman" w:hAnsi="Times New Roman" w:cs="Times New Roman" w:eastAsia="Times New Roman"/>
                <w:sz w:val="24"/>
              </w:rPr>
              <w:t xml:space="preserve">75,4</w:t>
            </w:r>
          </w:p>
        </w:tc>
        <w:tc>
          <w:tcPr/>
          <w:p>
            <w:pPr>
              <w:pStyle w:val="Compact"/>
              <w:spacing w:line="360" w:lineRule="auto"/>
              <w:jc w:val="right"/>
            </w:pPr>
            <w:r>
              <w:rPr>
                <w:rFonts w:ascii="Times New Roman" w:hAnsi="Times New Roman" w:cs="Times New Roman" w:eastAsia="Times New Roman"/>
                <w:sz w:val="24"/>
              </w:rPr>
              <w:t xml:space="preserve">+1 494 (+8 %)</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23 157</w:t>
            </w:r>
          </w:p>
        </w:tc>
        <w:tc>
          <w:tcPr/>
          <w:p>
            <w:pPr>
              <w:pStyle w:val="Compact"/>
              <w:spacing w:line="360" w:lineRule="auto"/>
              <w:jc w:val="right"/>
            </w:pPr>
            <w:r>
              <w:rPr>
                <w:rFonts w:ascii="Times New Roman" w:hAnsi="Times New Roman" w:cs="Times New Roman" w:eastAsia="Times New Roman"/>
                <w:sz w:val="24"/>
              </w:rPr>
              <w:t xml:space="preserve">65 706</w:t>
            </w:r>
          </w:p>
        </w:tc>
        <w:tc>
          <w:tcPr/>
          <w:p>
            <w:pPr>
              <w:pStyle w:val="Compact"/>
              <w:spacing w:line="360" w:lineRule="auto"/>
              <w:jc w:val="right"/>
            </w:pPr>
            <w:r>
              <w:rPr>
                <w:rFonts w:ascii="Times New Roman" w:hAnsi="Times New Roman" w:cs="Times New Roman" w:eastAsia="Times New Roman"/>
                <w:sz w:val="24"/>
              </w:rPr>
              <w:t xml:space="preserve">90,3</w:t>
            </w:r>
          </w:p>
        </w:tc>
        <w:tc>
          <w:tcPr/>
          <w:p>
            <w:pPr>
              <w:pStyle w:val="Compact"/>
              <w:spacing w:line="360" w:lineRule="auto"/>
              <w:jc w:val="right"/>
            </w:pPr>
            <w:r>
              <w:rPr>
                <w:rFonts w:ascii="Times New Roman" w:hAnsi="Times New Roman" w:cs="Times New Roman" w:eastAsia="Times New Roman"/>
                <w:sz w:val="24"/>
              </w:rPr>
              <w:t xml:space="preserve">+1 357 (+6 %)</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43 120</w:t>
            </w:r>
          </w:p>
        </w:tc>
        <w:tc>
          <w:tcPr/>
          <w:p>
            <w:pPr>
              <w:pStyle w:val="Compact"/>
              <w:spacing w:line="360" w:lineRule="auto"/>
              <w:jc w:val="right"/>
            </w:pPr>
            <w:r>
              <w:rPr>
                <w:rFonts w:ascii="Times New Roman" w:hAnsi="Times New Roman" w:cs="Times New Roman" w:eastAsia="Times New Roman"/>
                <w:sz w:val="24"/>
              </w:rPr>
              <w:t xml:space="preserve">369 462</w:t>
            </w:r>
          </w:p>
        </w:tc>
        <w:tc>
          <w:tcPr/>
          <w:p>
            <w:pPr>
              <w:pStyle w:val="Compact"/>
              <w:spacing w:line="360" w:lineRule="auto"/>
              <w:jc w:val="right"/>
            </w:pPr>
            <w:r>
              <w:rPr>
                <w:rFonts w:ascii="Times New Roman" w:hAnsi="Times New Roman" w:cs="Times New Roman" w:eastAsia="Times New Roman"/>
                <w:sz w:val="24"/>
              </w:rPr>
              <w:t xml:space="preserve">168,2</w:t>
            </w:r>
          </w:p>
        </w:tc>
        <w:tc>
          <w:tcPr/>
          <w:p>
            <w:pPr>
              <w:pStyle w:val="Compact"/>
              <w:spacing w:line="360" w:lineRule="auto"/>
              <w:jc w:val="right"/>
            </w:pPr>
            <w:r>
              <w:rPr>
                <w:rFonts w:ascii="Times New Roman" w:hAnsi="Times New Roman" w:cs="Times New Roman" w:eastAsia="Times New Roman"/>
                <w:sz w:val="24"/>
              </w:rPr>
              <w:t xml:space="preserve">+24 869 (+136 %)</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(generert ved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kjørt 2026-05-12).</w:t>
      </w:r>
    </w:p>
    <w:p>
      <w:pPr>
        <w:pStyle w:val="BodyText"/>
        <w:spacing w:line="360" w:lineRule="auto"/>
      </w:pPr>
      <w:r>
        <w:rPr>
          <w:rFonts w:ascii="Times New Roman" w:hAnsi="Times New Roman" w:cs="Times New Roman" w:eastAsia="Times New Roman"/>
          <w:sz w:val="24"/>
        </w:rPr>
        <w:t xml:space="preserve">Tre observasjoner er sentrale:</w:t>
      </w:r>
    </w:p>
    <w:p>
      <w:pPr>
        <w:pStyle w:val="Compact"/>
        <w:numPr>
          <w:ilvl w:val="0"/>
          <w:numId w:val="1020"/>
        </w:numPr>
        <w:spacing w:line="360" w:lineRule="auto"/>
      </w:pPr>
      <w:r>
        <w:rPr>
          <w:rFonts w:ascii="Times New Roman" w:hAnsi="Times New Roman" w:cs="Times New Roman" w:eastAsia="Times New Roman"/>
          <w:b/>
          <w:bCs/>
          <w:sz w:val="24"/>
        </w:rPr>
        <w:t xml:space="preserve">Generaliseringen holder.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Ensemble-modellen oppnår MAE = 19 051 EUR på testsettet, ≈ 10 % høyere enn val-MAE (17 350). Dette er forventet etter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 når hyperparametre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20"/>
        </w:numPr>
        <w:spacing w:line="360" w:lineRule="auto"/>
      </w:pPr>
      <w:r>
        <w:rPr>
          <w:rFonts w:ascii="Times New Roman" w:hAnsi="Times New Roman" w:cs="Times New Roman" w:eastAsia="Times New Roman"/>
          <w:b/>
          <w:bCs/>
          <w:sz w:val="24"/>
        </w:rPr>
        <w:t xml:space="preserve">Ridge eksploderer på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Ridge-RMSE på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369 462 EUR — over 6× høyere enn på val. Dette skyldes en håndfull ekstreme 2025-transaksjoner som er utenfor rangen Ridge ble trent på (de største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beløpene i 2025 er ≈ 30 % høyere enn maks i ≤ 2023). Lineær ekstrapolasjon utenfor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rangen feiler systematisk, og dette er et empirisk argument for valg av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 framfor lineære alternativer i et regime med drift mot større fakturaer over tid.</w:t>
      </w:r>
    </w:p>
    <w:p>
      <w:pPr>
        <w:pStyle w:val="Compact"/>
        <w:numPr>
          <w:ilvl w:val="0"/>
          <w:numId w:val="1020"/>
        </w:numPr>
        <w:spacing w:line="360" w:lineRule="auto"/>
      </w:pPr>
      <w:r>
        <w:rPr>
          <w:rFonts w:ascii="Times New Roman" w:hAnsi="Times New Roman" w:cs="Times New Roman" w:eastAsia="Times New Roman"/>
          <w:b/>
          <w:bCs/>
          <w:sz w:val="24"/>
        </w:rPr>
        <w:t xml:space="preserve">Ranking mellom gradient-boosting-modeller endres.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testsettet er LightGBM (base) marginalt best (MAE = 18 765, wMAPE = 73,2), tett etterfulgt av Ensemble og CatBoost (innenfor 0,3 pp wMAPE). Som i § 8.1 er disse forskjellene innenfor bootstrap-støy. Ensemble beholdes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på grunn av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reduksjonen drøftet i § 6.3, ikke fordi den vinner på rå test-MAE.</w:t>
      </w:r>
    </w:p>
    <w:p>
      <w:pPr>
        <w:pStyle w:val="FirstParagraph"/>
        <w:spacing w:line="360" w:lineRule="auto"/>
      </w:pPr>
      <w:r>
        <w:rPr>
          <w:rFonts w:ascii="Times New Roman" w:hAnsi="Times New Roman" w:cs="Times New Roman" w:eastAsia="Times New Roman"/>
          <w:b/>
          <w:bCs/>
          <w:sz w:val="24"/>
        </w:rPr>
        <w:t xml:space="preserve">Forholdet mellom prefit- og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 — metodisk svakhet som anerkjennes eksplisitt.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Tabellene over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prefit-modellen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(trent på ≤ 2023).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 inkludert testsettet, så den deployede modellen har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null uavhengig holdout</w:t>
      </w:r>
      <w:r>
        <w:rPr>
          <w:rFonts w:ascii="Times New Roman" w:hAnsi="Times New Roman" w:cs="Times New Roman" w:eastAsia="Times New Roman"/>
          <w:sz w:val="24"/>
        </w:rPr>
        <w:t xml:space="preserve">. Forskjellen i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evne mellom prefit og refit er ikke kvantifisert; det krever et 2026-holdout som ikke foreligger. Hastie, Tibshirani og Friedman (2009, § 7.10) gir dekning for refitten som forventnings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argument, men ikke som garanti. Strengere praksis ville beholdt prefit-modellen i produksjon (med 41 % færre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rader). Begrensningen lukkes først når 2026-data gir et nytt holdout (videre arbeid punkt 10), og samsvarer med peer-reviewens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“valideringssettet til seleksjon, testsettet til endelig validering”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(Gruppe 10, 2026-05-07).</w:t>
      </w:r>
    </w:p>
    <w:bookmarkEnd w:id="77"/>
    <w:bookmarkStart w:id="78" w:name="kvantildekning"/>
    <w:p>
      <w:pPr>
        <w:pStyle w:val="Heading3"/>
        <w:spacing w:line="360" w:lineRule="auto"/>
      </w:pPr>
      <w:r>
        <w:rPr>
          <w:rFonts w:ascii="Times New Roman" w:hAnsi="Times New Roman" w:cs="Times New Roman" w:eastAsia="Times New Roman"/>
          <w:sz w:val="24"/>
        </w:rPr>
        <w:t xml:space="preserve">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p>
      <w:pPr>
        <w:pStyle w:val="FirstParagraph"/>
        <w:spacing w:line="360" w:lineRule="auto"/>
      </w:pPr>
      <w:r>
        <w:rPr>
          <w:rFonts w:ascii="Times New Roman" w:hAnsi="Times New Roman" w:cs="Times New Roman" w:eastAsia="Times New Roman"/>
          <w:sz w:val="24"/>
        </w:rPr>
        <w:t xml:space="preserve">Empirisk dekning på valideringssettet for nominell P10–P90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79,8 %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rå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8"/>
    <w:bookmarkStart w:id="79" w:name="hybridkalibrert-anløpsestimat-eksempler"/>
    <w:p>
      <w:pPr>
        <w:pStyle w:val="Heading3"/>
        <w:spacing w:line="360" w:lineRule="auto"/>
      </w:pPr>
      <w:r>
        <w:rPr>
          <w:rFonts w:ascii="Times New Roman" w:hAnsi="Times New Roman" w:cs="Times New Roman" w:eastAsia="Times New Roman"/>
          <w:sz w:val="24"/>
        </w:rPr>
        <w:t xml:space="preserve">8.3 Hybrid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kalibrert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eksempler</w:t>
      </w:r>
    </w:p>
    <w:p>
      <w:pPr>
        <w:pStyle w:val="FirstParagraph"/>
        <w:spacing w:line="360" w:lineRule="auto"/>
      </w:pPr>
      <w:r>
        <w:rPr>
          <w:rFonts w:ascii="Times New Roman" w:hAnsi="Times New Roman" w:cs="Times New Roman" w:eastAsia="Times New Roman"/>
          <w:sz w:val="24"/>
        </w:rPr>
        <w:t xml:space="preserve">Tallene i alle § 8.3-tabellene er i EUR (kildedata-enheten, jf. § 1.3). Frontend ganger med vekslings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kursen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visning i NOK eller DKK.</w:t>
      </w:r>
    </w:p>
    <w:p>
      <w:pPr>
        <w:pStyle w:val="BodyText"/>
        <w:spacing w:line="360" w:lineRule="auto"/>
      </w:pPr>
      <w:r>
        <w:rPr>
          <w:rFonts w:ascii="Times New Roman" w:hAnsi="Times New Roman" w:cs="Times New Roman" w:eastAsia="Times New Roman"/>
          <w:b/>
          <w:bCs/>
          <w:sz w:val="24"/>
        </w:rPr>
        <w:t xml:space="preserve">Tabell 8.3a.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mellomstor yacht (GT = 500, LOA = 55 m), juli, 5 dager, medium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4 740</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2 523</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2 202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1 976</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1 826</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1 204</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620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15 091</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11 779 / 15 094 / 23 710 EUR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estimatet ligger praktisk talt på medianen, hvilket bekrefter 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steget i § 6.5 fungerer som tiltenkt.</w:t>
      </w:r>
    </w:p>
    <w:p>
      <w:pPr>
        <w:pStyle w:val="BodyText"/>
        <w:spacing w:line="360" w:lineRule="auto"/>
      </w:pPr>
      <w:r>
        <w:rPr>
          <w:rFonts w:ascii="Times New Roman" w:hAnsi="Times New Roman" w:cs="Times New Roman" w:eastAsia="Times New Roman"/>
          <w:b/>
          <w:bCs/>
          <w:sz w:val="24"/>
        </w:rPr>
        <w:t xml:space="preserve">Tabell 8.3b.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5 151</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4 525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1 896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1 568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1 410</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1 240</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1 114</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16 904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14 508 / 16 904 / 41 833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8 732</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6 300</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4 259</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2 575</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2 276</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28 774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27 489 / 28 774 / 33 792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9 624</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2 552</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2 366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2 045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797</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591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392</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18 366</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8 658 / 18 366 / 43 405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10 723</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5 547</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3 918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3 781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2 311</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981</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31 673</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14 223 / 31 673 / 67 697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I alle fem eksempler (tabell 8.3a–e) plasserer modellestimatet seg nær den trafikkvektede medianen (P50), og innenfor P25–P75-båndet.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tydelig mellom land: Danmark har høyere Port Marina- og Bunkering-andel, Sverige har jevnere fordeling, og store norske anløp domineres av Port Marina og Provisioning. Bunkers-tallene er imidlertid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veide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bruker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distansen — denne begrensningen drøftes i § 9.5. For tabell 8.3e (Loskrav = Ja) er det heller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lagt til obligatorisk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i tallene; modellen ser los som en sannsynlig linje, ikke som obligatorisk for LOA &gt; 70 m, jf. § 9.5.</w:t>
      </w:r>
    </w:p>
    <w:bookmarkEnd w:id="79"/>
    <w:bookmarkStart w:id="80" w:name="operasjonell-ytelse"/>
    <w:p>
      <w:pPr>
        <w:pStyle w:val="Heading3"/>
        <w:spacing w:line="360" w:lineRule="auto"/>
      </w:pPr>
      <w:r>
        <w:rPr>
          <w:rFonts w:ascii="Times New Roman" w:hAnsi="Times New Roman" w:cs="Times New Roman" w:eastAsia="Times New Roman"/>
          <w:sz w:val="24"/>
        </w:rPr>
        <w:t xml:space="preserve">8.4 Operasjonell ytelse</w:t>
      </w:r>
    </w:p>
    <w:p>
      <w:pPr>
        <w:pStyle w:val="FirstParagraph"/>
        <w:spacing w:line="360" w:lineRule="auto"/>
      </w:pPr>
      <w:r>
        <w:rPr>
          <w:rFonts w:ascii="Times New Roman" w:hAnsi="Times New Roman" w:cs="Times New Roman" w:eastAsia="Times New Roman"/>
          <w:sz w:val="24"/>
        </w:rPr>
        <w:t xml:space="preserve">Backend (</w:t>
      </w:r>
      <w:r>
        <w:rPr>
          <w:rStyle w:val="VerbatimChar"/>
          <w:rFonts w:ascii="Times New Roman" w:hAnsi="Times New Roman" w:cs="Times New Roman" w:eastAsia="Times New Roman"/>
          <w:sz w:val="24"/>
        </w:rPr>
        <w:t xml:space="preserve">FastAPI</w:t>
      </w:r>
      <w:r>
        <w:rPr>
          <w:rFonts w:ascii="Times New Roman" w:hAnsi="Times New Roman" w:cs="Times New Roman" w:eastAsia="Times New Roman"/>
          <w:sz w:val="24"/>
        </w:rPr>
        <w:t xml:space="preserve">) på en vanlig utviklermaskin (16 GB RAM, AMD Ryzen-klasse CPU) responderer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under 200 ms i kald start og under 50 ms ved varm last. Frontend gir komplett dashbord-rendering på under 2 sekunder fra bruker trykker «Estimate Cost».</w:t>
      </w:r>
    </w:p>
    <w:p>
      <w:pPr>
        <w:spacing w:line="360" w:lineRule="auto"/>
      </w:pPr>
      <w:r>
        <w:rPr>
          <w:rFonts w:ascii="Times New Roman" w:hAnsi="Times New Roman" w:cs="Times New Roman" w:eastAsia="Times New Roman"/>
          <w:sz w:val="24"/>
        </w:rPr>
        <w:pict>
          <v:rect style="width:0;height:1.5pt" o:hralign="center" o:hrstd="t" o:hr="t"/>
        </w:pict>
      </w:r>
    </w:p>
    <w:bookmarkEnd w:id="80"/>
    <w:bookmarkEnd w:id="81"/>
    <w:bookmarkStart w:id="97" w:name="diskusjon"/>
    <w:p>
      <w:pPr>
        <w:pStyle w:val="Heading2"/>
        <w:spacing w:line="360" w:lineRule="auto"/>
      </w:pPr>
      <w:r>
        <w:rPr>
          <w:rFonts w:ascii="Times New Roman" w:hAnsi="Times New Roman" w:cs="Times New Roman" w:eastAsia="Times New Roman"/>
          <w:sz w:val="24"/>
        </w:rPr>
        <w:t xml:space="preserve">9. Diskusjon</w:t>
      </w:r>
    </w:p>
    <w:bookmarkStart w:id="82" w:name="tolkning-av-resultatene"/>
    <w:p>
      <w:pPr>
        <w:pStyle w:val="Heading3"/>
        <w:spacing w:line="360" w:lineRule="auto"/>
      </w:pPr>
      <w:r>
        <w:rPr>
          <w:rFonts w:ascii="Times New Roman" w:hAnsi="Times New Roman" w:cs="Times New Roman" w:eastAsia="Times New Roman"/>
          <w:sz w:val="24"/>
        </w:rPr>
        <w:t xml:space="preserve">9.1 Tolkning av resultatene</w:t>
      </w:r>
    </w:p>
    <w:p>
      <w:pPr>
        <w:pStyle w:val="FirstParagraph"/>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oppnår en absolutt feil (MAE = 17 350 EUR på val=2024; MAE = 19 051 EUR på test=2025, jf. tabell 8.2) som ved første blikk virker høy. Tre forhold må holdes i mente.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første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feilen målt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en transaksjon kan variere fra 2 039 EUR (P25) til over 91 248 EUR (P95) i datasettet — 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snittlig prosentvis avvik (MAPE) på 168 % gjenspeiler primært at noen få ekstreme transaksjoner trekker MAPE opp, ikke at typisk presisjon er svak. Dette er et empirisk uttrykk for det log-transformerte tap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landskapet drøftet i § 3.4: modellen optimerer L2 i log-rommet, og store relative feil i ti-EUR-størrelses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 bidrar uforholdsmessig lite til log-tapet, samtidig som de blåser opp MAPE i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rommet.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andre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plasserer wMAPE-tallet (71,4 % val, 74,3 % test) NautiCost i den nedre enden av sammenlignbare studier: Jang et al. (2023) rapporterer wMAPE rundt 65–75 % for LightGBM på fraktkostnads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i en lignende heterogen, tabulær setting med n ~ 7 000 transaksjoner; Su et al. (2024) rapporterer relative feil i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(60–80 %) for ro-ro-drivstoff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Dette resultatet er dermed kvantitativt sammenlignbart med eksisterende litteratur, til tross for et betydelig mindre datasett (1 633 vs. ≥ 5 000 i de refererte studiene). At gradient-boosting-modellene slår både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(wMAPE 89,8 %) og ridge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(75,1 %) bekrefter også Jang et al. (2023) sin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observasjon: trebaserte modeller dominerer lineære alternativer på heterogene tabulære data.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tredje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de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 8.3) som er den operasjonelle målestokken — der har medianestimatet plassert seg innenfor det historiske P25–P75-båndet i alle fem testede eksempler, og det er den presisjonen som spiller størst rolle for agentkoordinator.</w:t>
      </w:r>
    </w:p>
    <w:bookmarkEnd w:id="82"/>
    <w:bookmarkStart w:id="83" w:name="X244671d3f5a9d81faac214b94d413d8f6763369"/>
    <w:p>
      <w:pPr>
        <w:pStyle w:val="Heading3"/>
        <w:spacing w:line="360" w:lineRule="auto"/>
      </w:pPr>
      <w:r>
        <w:rPr>
          <w:rFonts w:ascii="Times New Roman" w:hAnsi="Times New Roman" w:cs="Times New Roman" w:eastAsia="Times New Roman"/>
          <w:sz w:val="24"/>
        </w:rPr>
        <w:t xml:space="preserve">9.2 Forholdet mellom ensemble og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w:t>
      </w:r>
    </w:p>
    <w:p>
      <w:pPr>
        <w:pStyle w:val="FirstParagraph"/>
        <w:spacing w:line="360" w:lineRule="auto"/>
      </w:pPr>
      <w:r>
        <w:rPr>
          <w:rFonts w:ascii="Times New Roman" w:hAnsi="Times New Roman" w:cs="Times New Roman" w:eastAsia="Times New Roman"/>
          <w:sz w:val="24"/>
        </w:rPr>
        <w:t xml:space="preserve">På valideringssettet (2024) er LightGBM (base) marginalt best på MAE (17 317 EUR) og RMSE (54 476 EUR), mens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vinner på MAPE (168,3 %). Rangeringen mellom de to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og det er ingen statistisk signifikant forskjell mellom dem på 490 transaksjoner. Forskjellene speiler det generelle bildet i Shwartz-Ziv &amp; Armon (2022) og Grinsztajn et al. (2022): på heterogene tabulære data i mellom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er gradient-boosting-modeller mer eller mindre likeverdige, og ensembler gir marginal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snarere enn vesentlig MAE-forbedring. Et interessant biprodukt av re-splittingen er at den Optuna-tunede LightGBM-modellen presterer dårligere (17 837 EUR) enn base-modellen — et tegn på at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søket kan ha overtilpasset seg den spesifikke fold-strukturen i kryssvalideringen. Dette minner om at bayesiansk optimering på små valider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ingssett er sårbart, og argumenterer for å beholde en enkelt-modell-fallback ved re-trening. Ensemble velges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mellom CatBoost og tunet LightGBM gir mer robust adferd ved drift i underliggende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w:t>
      </w:r>
    </w:p>
    <w:p>
      <w:pPr>
        <w:pStyle w:val="BodyText"/>
        <w:spacing w:line="360" w:lineRule="auto"/>
      </w:pPr>
      <w:r>
        <w:rPr>
          <w:rFonts w:ascii="Times New Roman" w:hAnsi="Times New Roman" w:cs="Times New Roman" w:eastAsia="Times New Roman"/>
          <w:sz w:val="24"/>
        </w:rPr>
        <w:t xml:space="preserve">CQR-korreksjonen på 3 EUR (§ 6.4 og § 8.2) er teoretisk forventet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korrekt spesifisert. Det at korreksjonen ble så liten, betyr ikke at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båndene er like små for hele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domenet — det betyr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som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ser ut fra log-trans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formerte features samsvarer med antakelsen i Romano et al. (2019). En viktig nyanse fra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teorien (Shafer &amp; Vovk, 2008; Romano et al., 2019) er imidlertid at CQR-garantien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marginal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over hele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distribusjonen,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betinget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på subpopulasjoner. I et regime der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3"/>
    <w:bookmarkStart w:id="84" w:name="modellens-styrker"/>
    <w:p>
      <w:pPr>
        <w:pStyle w:val="Heading3"/>
        <w:spacing w:line="360" w:lineRule="auto"/>
      </w:pPr>
      <w:r>
        <w:rPr>
          <w:rFonts w:ascii="Times New Roman" w:hAnsi="Times New Roman" w:cs="Times New Roman" w:eastAsia="Times New Roman"/>
          <w:sz w:val="24"/>
        </w:rPr>
        <w:t xml:space="preserve">9.3 Modellens styrker</w:t>
      </w:r>
    </w:p>
    <w:p>
      <w:pPr>
        <w:pStyle w:val="Compact"/>
        <w:numPr>
          <w:ilvl w:val="0"/>
          <w:numId w:val="1021"/>
        </w:numPr>
        <w:spacing w:line="360" w:lineRule="auto"/>
      </w:pPr>
      <w:r>
        <w:rPr>
          <w:rFonts w:ascii="Times New Roman" w:hAnsi="Times New Roman" w:cs="Times New Roman" w:eastAsia="Times New Roman"/>
          <w:b/>
          <w:bCs/>
          <w:sz w:val="24"/>
        </w:rPr>
        <w:t xml:space="preserve">Kalibrering mot historiske persentiler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6.5) gjør at totalen alltid forankres i empirisk virkelighet, og eliminerer urealistisk lave estimater som rene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summer kan produsere.</w:t>
      </w:r>
    </w:p>
    <w:p>
      <w:pPr>
        <w:pStyle w:val="Compact"/>
        <w:numPr>
          <w:ilvl w:val="0"/>
          <w:numId w:val="1021"/>
        </w:numPr>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modeller med CQR-kalibrering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et håndfast usikkerhetsbånd som er enklere å kommunisere til kunde enn et nakent punktestimat.</w:t>
      </w:r>
    </w:p>
    <w:p>
      <w:pPr>
        <w:pStyle w:val="Compact"/>
        <w:numPr>
          <w:ilvl w:val="0"/>
          <w:numId w:val="1021"/>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basert split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speiler hvordan modellen brukes operasjonelt og fjerner risiko for optimistiske prestasjons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fra tilfeldig split.</w:t>
      </w:r>
    </w:p>
    <w:bookmarkEnd w:id="84"/>
    <w:bookmarkStart w:id="85" w:name="X56aa68e323ecedcef833e61fdd58166787950c3"/>
    <w:p>
      <w:pPr>
        <w:pStyle w:val="Heading3"/>
        <w:spacing w:line="360" w:lineRule="auto"/>
      </w:pPr>
      <w:r>
        <w:rPr>
          <w:rFonts w:ascii="Times New Roman" w:hAnsi="Times New Roman" w:cs="Times New Roman" w:eastAsia="Times New Roman"/>
          <w:sz w:val="24"/>
        </w:rPr>
        <w:t xml:space="preserve">9.4 Modellens svakheter — kritisk drøfting og forsvar</w:t>
      </w:r>
    </w:p>
    <w:p>
      <w:pPr>
        <w:pStyle w:val="FirstParagraph"/>
        <w:spacing w:line="360" w:lineRule="auto"/>
      </w:pPr>
      <w:r>
        <w:rPr>
          <w:rFonts w:ascii="Times New Roman" w:hAnsi="Times New Roman" w:cs="Times New Roman" w:eastAsia="Times New Roman"/>
          <w:sz w:val="24"/>
        </w:rPr>
        <w:t xml:space="preserve">Hver svakhet er ledsaget av et forsvar — bevisst valg, akseptert begrensning, eller åpent punkt for videre arbeid. Detaljert 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refleksjon ligger i Vedlegg G.</w:t>
      </w:r>
    </w:p>
    <w:p>
      <w:pPr>
        <w:pStyle w:val="BodyText"/>
        <w:spacing w:line="360" w:lineRule="auto"/>
      </w:pPr>
      <w:r>
        <w:rPr>
          <w:rFonts w:ascii="Times New Roman" w:hAnsi="Times New Roman" w:cs="Times New Roman" w:eastAsia="Times New Roman"/>
          <w:b/>
          <w:bCs/>
          <w:sz w:val="24"/>
        </w:rPr>
        <w:t xml:space="preserve">Data</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Tynn flåte (n =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strukturelt største svakheten — modellen kan ha lært yacht-spesifikke mønstre.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avgrensningen er eksplisitt i § 1.3, hybrid persentil-kalibrering forankrer estimatet i empirisk virkelighet, og videre arbeid punkt 1 lukker det med utvidet flåte. (2)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Mellomstor underrepresentert (n = 113, dekning 74 %):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operasjonelt problem.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dokumentert i § 8.2 og synliggjort; lukkes ved mer data. (3)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Sjeldne havner (Stavanger n=3, Kristiansand n=8):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hybrid-kalibreringen kollapser til rent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rapporterer ikke usikkerhet for disse — modellen er ærlig om når den ikke kan kalibrere. (4)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Manglende</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guest_experience</w:t>
      </w:r>
      <w:r>
        <w:rPr>
          <w:rFonts w:ascii="Times New Roman" w:hAnsi="Times New Roman" w:cs="Times New Roman" w:eastAsia="Times New Roman"/>
          <w:i/>
          <w:i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hovedfaktor for Provisions mangler i kildedata.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rubrikk er foreslått i Vedlegg E; det er gjort et bevisst valg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syntetisk. CQR-begrensningen som følger er løftet fram som ett av studiens anvendte bidrag (§ 1.5 punkt ii). (5)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inflasjons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justering: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15–20 % kumulert inflasjon 2020–2025 ikke kompensert.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eldste rader (2020–2021) er underrepresentert (n = 163 av 1 633), så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er begrenset; rullerende re-trening er videre arbeid punkt 2. (6)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Konstant vekslingskurs: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5 % NOK-bevegelse gir 5 % bias i NOK-rapporten.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og evaluert i EUR (kildevaluta);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konvertering er adskilt fra modellfeil og kan oppdateres uten re-trening. (7)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outlier-trimming i evaluering: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P95/P50 ≈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 bruker P99-cap (§ 5.4); evaluering på faktiske verdier er bevisst valg fordi en operasjonell sensor skal se modellens reelle adferd.</w:t>
      </w:r>
    </w:p>
    <w:p>
      <w:pPr>
        <w:pStyle w:val="BodyText"/>
        <w:spacing w:line="360" w:lineRule="auto"/>
      </w:pPr>
      <w:r>
        <w:rPr>
          <w:rFonts w:ascii="Times New Roman" w:hAnsi="Times New Roman" w:cs="Times New Roman" w:eastAsia="Times New Roman"/>
          <w:b/>
          <w:bCs/>
          <w:sz w:val="24"/>
        </w:rPr>
        <w:t xml:space="preserve">Modell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(8–12).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Optuna-tunet ble dårligere enn base: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tegn på overtilpasning til 5-fold CV på 490 valideringsrader.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empirisk argument for å beholde base som fallback ved re-trening; identifisert og rapportert åpent. (9)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Ensemble-gevinsten er statistisk insignifikant: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bootstrap-KI omslutter null (§ 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 velges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forsikrings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grunner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ved drift) snarere enn gevinst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grunner — og dette rapporteres ærlig. (10)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Regulatoriske krav som sannsynligheter: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los er obligatorisk for LOA &gt; 70 m,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17–73 % sannsynlighet.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override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er innført; modellfix flagget som videre arbeid punkt 8. (11)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Bunkers uten reise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geometri: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drivstoff er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flat linje, ikke fysisk beregning.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deterministisk override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formel er innført; lært modell flagget som videre arbeid punkt 6.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Land-aggregater poolet: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(rangerer #2 og #3) går på tvers av NO/SE/DK.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synliggjort i API/UI; modellfix flagget som videre arbeid punkt 5.</w:t>
      </w:r>
    </w:p>
    <w:p>
      <w:pPr>
        <w:pStyle w:val="BodyText"/>
        <w:spacing w:line="360" w:lineRule="auto"/>
      </w:pPr>
      <w:r>
        <w:rPr>
          <w:rFonts w:ascii="Times New Roman" w:hAnsi="Times New Roman" w:cs="Times New Roman" w:eastAsia="Times New Roman"/>
          <w:b/>
          <w:bCs/>
          <w:sz w:val="24"/>
        </w:rPr>
        <w:t xml:space="preserve">Antakelses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(13–15).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A1 stabil tjeneste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miks: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ingen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overvåkning.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antakelsen er eksplisitt i § 1.4; rullerende re-trening (videre arbeid punkt 2) er foreslått mekanisme. (14)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Statiske yacht-spesifikasjoner: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ombygginger fanges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 A3 dokumentert; spec-fil oppdateres manuelt ved kjente endringer. (15)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CQR gir marginal, ikke betinget dekning: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gjelder hele populasjonen, ikke spesifikke subgrupper.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teoretisk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egenskap ved konformprediksjon (Shafer &amp; Vovk, 2008), og avgrensningen er løftet til anvendt bidrag (§ 1.5 punkt ii); kommunikasjon i frontend bør tydeliggjøre at båndet er marginalt.</w:t>
      </w:r>
    </w:p>
    <w:p>
      <w:pPr>
        <w:pStyle w:val="BodyText"/>
        <w:spacing w:line="360" w:lineRule="auto"/>
      </w:pPr>
      <w:r>
        <w:rPr>
          <w:rFonts w:ascii="Times New Roman" w:hAnsi="Times New Roman" w:cs="Times New Roman" w:eastAsia="Times New Roman"/>
          <w:b/>
          <w:bCs/>
          <w:sz w:val="24"/>
        </w:rPr>
        <w:t xml:space="preserve">Operasjonaliserings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 (16).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modellen mangler uavhengig holdout: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evaluert mot prefit-modellen som proxy (§ 8.1.1); refit på all data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for fremtidige prediksjoner (Hastie et al., 2009, § 7.10). Lukkes når 2026-data er tilstrekkelig.</w:t>
      </w:r>
    </w:p>
    <w:p>
      <w:pPr>
        <w:pStyle w:val="BodyText"/>
        <w:spacing w:line="360" w:lineRule="auto"/>
      </w:pPr>
      <w:r>
        <w:rPr>
          <w:rFonts w:ascii="Times New Roman" w:hAnsi="Times New Roman" w:cs="Times New Roman" w:eastAsia="Times New Roman"/>
          <w:sz w:val="24"/>
        </w:rPr>
        <w:t xml:space="preserve">Den røde tråden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utfordringene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(1–4) og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strukturelle 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 ikke kan lukkes ved bedre modellering — bare ved mer data eller fortsatt drift. Modell- og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svakhetene (8–15) er pragmatisk håndtert med ærlig rapportering eller operasjonelle overrides. Dette samsvarer med kompendiets observasjon (§ i.4.1):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bare så god som dataene den bygger på”</w:t>
      </w:r>
      <w:r>
        <w:rPr>
          <w:rFonts w:ascii="Times New Roman" w:hAnsi="Times New Roman" w:cs="Times New Roman" w:eastAsia="Times New Roman"/>
          <w:sz w:val="24"/>
        </w:rPr>
        <w:t xml:space="preserve">.</w:t>
      </w:r>
    </w:p>
    <w:bookmarkEnd w:id="85"/>
    <w:bookmarkStart w:id="93" w:name="funn-fra-brukertest-mai-2026"/>
    <w:p>
      <w:pPr>
        <w:pStyle w:val="Heading3"/>
        <w:spacing w:line="360" w:lineRule="auto"/>
      </w:pPr>
      <w:r>
        <w:rPr>
          <w:rFonts w:ascii="Times New Roman" w:hAnsi="Times New Roman" w:cs="Times New Roman" w:eastAsia="Times New Roman"/>
          <w:sz w:val="24"/>
        </w:rPr>
        <w:t xml:space="preserve">9.5 Funn fra brukertest mai 2026</w:t>
      </w:r>
    </w:p>
    <w:p>
      <w:pPr>
        <w:pStyle w:val="FirstParagraph"/>
        <w:spacing w:line="360" w:lineRule="auto"/>
      </w:pPr>
      <w:r>
        <w:rPr>
          <w:rFonts w:ascii="Times New Roman" w:hAnsi="Times New Roman" w:cs="Times New Roman" w:eastAsia="Times New Roman"/>
          <w:sz w:val="24"/>
        </w:rPr>
        <w:t xml:space="preserve">En end-to-end brukertest med agency-manageren avdekket syv systematiske avvik. Hvert er adressert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korreksjon, override eller datainnsamlings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mekanisme. Kode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endringer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w:t>
      </w:r>
    </w:p>
    <w:bookmarkStart w:id="86" w:name="valutatagging-i-modelloutputen"/>
    <w:p>
      <w:pPr>
        <w:pStyle w:val="Heading4"/>
        <w:spacing w:line="360" w:lineRule="auto"/>
      </w:pPr>
      <w:r>
        <w:rPr>
          <w:rFonts w:ascii="Times New Roman" w:hAnsi="Times New Roman" w:cs="Times New Roman" w:eastAsia="Times New Roman"/>
          <w:sz w:val="24"/>
        </w:rPr>
        <w:t xml:space="preserve">9.5.1 Valutatagging i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outputen</w:t>
      </w:r>
    </w:p>
    <w:p>
      <w:pPr>
        <w:pStyle w:val="FirstParagraph"/>
        <w:spacing w:line="360" w:lineRule="auto"/>
      </w:pPr>
      <w:r>
        <w:rPr>
          <w:rFonts w:ascii="Times New Roman" w:hAnsi="Times New Roman" w:cs="Times New Roman" w:eastAsia="Times New Roman"/>
          <w:sz w:val="24"/>
        </w:rPr>
        <w:t xml:space="preserve">Brukertesten avdekket at estimatene fremsto ca. 10× lavere enn faktiske NOK-beløp. Roten var en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kildedataene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(cockpit-rapportenes egne kolonneoverskrifter), men v0.2 merket output NOK. Forholdstallet 11,5 samsvarer med EUR/NOK-kursen. Tiltak: API tar nå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currency</w:t>
      </w:r>
      <w:r>
        <w:rPr>
          <w:rFonts w:ascii="Times New Roman" w:hAnsi="Times New Roman" w:cs="Times New Roman" w:eastAsia="Times New Roman"/>
          <w:sz w:val="24"/>
        </w:rPr>
        <w:t xml:space="preserve">-felt og konverterer ved grensa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frontend har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velger. Korreksjonen er drivkraften bak unit-relabelinga i resten av rapporten.</w:t>
      </w:r>
    </w:p>
    <w:bookmarkEnd w:id="86"/>
    <w:bookmarkStart w:id="87" w:name="Xb4132b2698e0fde9c17dbd99750016cd6b3278b"/>
    <w:p>
      <w:pPr>
        <w:pStyle w:val="Heading4"/>
        <w:spacing w:line="360" w:lineRule="auto"/>
      </w:pPr>
      <w:r>
        <w:rPr>
          <w:rFonts w:ascii="Times New Roman" w:hAnsi="Times New Roman" w:cs="Times New Roman" w:eastAsia="Times New Roman"/>
          <w:sz w:val="24"/>
        </w:rPr>
        <w:t xml:space="preserve">9.5.2 Mandatory pilotage modelleres som sannsynlig, ikke obligatorisk</w:t>
      </w:r>
    </w:p>
    <w:p>
      <w:pPr>
        <w:pStyle w:val="FirstParagraph"/>
        <w:spacing w:line="360" w:lineRule="auto"/>
      </w:pPr>
      <w:r>
        <w:rPr>
          <w:rFonts w:ascii="Times New Roman" w:hAnsi="Times New Roman" w:cs="Times New Roman" w:eastAsia="Times New Roman"/>
          <w:sz w:val="24"/>
        </w:rPr>
        <w:t xml:space="preserve">For yachter med LOA &gt; 70 m er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 lovpålagt,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los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(17–73 % på tvers av havner) på tvers av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størrelser. For Stor-yachter er realisert sannsynlighet 100 %, og modellen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vekter systematisk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Dette er nettopp gapet § 1.5 punkt (iii) påpeker — datadrevne sannsynligheter fanger ikke regulatoriske krav. Mønsteret er kjent fra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litteraturen (Jahangard et al., 2025), der regulatoriske inngrep legges på som eksplisitte features. Tiltak: API krever nå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når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legger beløpet som separat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“Pilotage”</w:t>
      </w:r>
      <w:r>
        <w:rPr>
          <w:rFonts w:ascii="Times New Roman" w:hAnsi="Times New Roman" w:cs="Times New Roman" w:eastAsia="Times New Roman"/>
          <w:sz w:val="24"/>
        </w:rPr>
        <w:t xml:space="preserve">-kategori. Riktig modellfix er størrelse-betingede sannsynligheter (videre arbeid punkt 8).</w:t>
      </w:r>
    </w:p>
    <w:bookmarkEnd w:id="87"/>
    <w:bookmarkStart w:id="88" w:name="bunkersmodellen-ser-ikke-reisegeometri"/>
    <w:p>
      <w:pPr>
        <w:pStyle w:val="Heading4"/>
        <w:spacing w:line="360" w:lineRule="auto"/>
      </w:pPr>
      <w:r>
        <w:rPr>
          <w:rFonts w:ascii="Times New Roman" w:hAnsi="Times New Roman" w:cs="Times New Roman" w:eastAsia="Times New Roman"/>
          <w:sz w:val="24"/>
        </w:rPr>
        <w:t xml:space="preserve">9.5.3 Bunkers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ser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w:t>
      </w:r>
    </w:p>
    <w:p>
      <w:pPr>
        <w:pStyle w:val="FirstParagraph"/>
        <w:spacing w:line="360" w:lineRule="auto"/>
      </w:pPr>
      <w:r>
        <w:rPr>
          <w:rFonts w:ascii="Times New Roman" w:hAnsi="Times New Roman" w:cs="Times New Roman" w:eastAsia="Times New Roman"/>
          <w:sz w:val="24"/>
        </w:rPr>
        <w:t xml:space="preserve">Drivstoffkostnaden er, som los, modellert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uten distanse eller fart. Lange overfarter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estimeres systematisk — samme funn som Su et al. (2024) for ro-ro-skip. Tiltak: API tar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cruising_speed_kn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diesel_price_per_l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per-stopp</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(eksponert for hvert stopp i frontend,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Når alle tre inputs er gitt, erstatter 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“Bunkering”</w:t>
      </w:r>
      <w:r>
        <w:rPr>
          <w:rFonts w:ascii="Times New Roman" w:hAnsi="Times New Roman" w:cs="Times New Roman" w:eastAsia="Times New Roman"/>
          <w:sz w:val="24"/>
        </w:rPr>
        <w:t xml:space="preserve">-kategorien med en deterministisk beregning:</w:t>
      </w:r>
    </w:p>
    <w:p>
      <w:pPr>
        <w:pStyle w:val="BodyText"/>
        <w:spacing w:line="360" w:lineRule="auto"/>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spacing w:line="360" w:lineRule="auto"/>
      </w:pPr>
      <w:r>
        <w:rPr>
          <w:rFonts w:ascii="Times New Roman" w:hAnsi="Times New Roman" w:cs="Times New Roman" w:eastAsia="Times New Roman"/>
          <w:sz w:val="24"/>
        </w:rPr>
        <w:t xml:space="preserve">Dette er en operasjonell mitigation, ikke en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fix. Den korrekte løsningen er å inkludere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marsjfart) som features i en re-trent modell — flagges som videre arbeid i § 10.</w:t>
      </w:r>
    </w:p>
    <w:bookmarkEnd w:id="88"/>
    <w:bookmarkStart w:id="89" w:name="manglende-guest_experience-feature"/>
    <w:p>
      <w:pPr>
        <w:pStyle w:val="Heading4"/>
        <w:spacing w:line="360" w:lineRule="auto"/>
      </w:pPr>
      <w:r>
        <w:rPr>
          <w:rFonts w:ascii="Times New Roman" w:hAnsi="Times New Roman" w:cs="Times New Roman" w:eastAsia="Times New Roman"/>
          <w:sz w:val="24"/>
        </w:rPr>
        <w:t xml:space="preserve">9.5.4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w:t>
      </w:r>
    </w:p>
    <w:p>
      <w:pPr>
        <w:pStyle w:val="FirstParagraph"/>
        <w:spacing w:line="360" w:lineRule="auto"/>
      </w:pPr>
      <w:r>
        <w:rPr>
          <w:rFonts w:ascii="Times New Roman" w:hAnsi="Times New Roman" w:cs="Times New Roman" w:eastAsia="Times New Roman"/>
          <w:sz w:val="24"/>
        </w:rPr>
        <w:t xml:space="preserve">Provisions er kategorien der modellen avviker mest, og hovedfaktoren —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 finnes ikke i datagrunnlaget. Det er gjort et bevisst valg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men to tiltak er innført: (a)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et valgfritt API-felt og UI-velger (</w:t>
      </w:r>
      <w:r>
        <w:rPr>
          <w:rFonts w:ascii="Times New Roman" w:hAnsi="Times New Roman" w:cs="Times New Roman" w:eastAsia="Times New Roman"/>
          <w:sz w:val="24"/>
        </w:rPr>
        <w:t xml:space="preserve">“not_demanding”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“neutral”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“demanding”</w:t>
      </w:r>
      <w:r>
        <w:rPr>
          <w:rFonts w:ascii="Times New Roman" w:hAnsi="Times New Roman" w:cs="Times New Roman" w:eastAsia="Times New Roman"/>
          <w:sz w:val="24"/>
        </w:rPr>
        <w:t xml:space="preserve">) som lagres med registry-oppføringer for fremtidig re-trening; (b) en operasjonell rubrikk er foreslått i Vedlegg E, som må forfattes og signeres av SDK Shipping selv. Dette er det empiriske grunnlaget for § 1.5 punkt (ii) — CQR kompenserer ikke for en manglende feature.</w:t>
      </w:r>
    </w:p>
    <w:bookmarkEnd w:id="89"/>
    <w:bookmarkStart w:id="90" w:name="land-aggregater-i-modellen-er-poolet"/>
    <w:p>
      <w:pPr>
        <w:pStyle w:val="Heading4"/>
        <w:spacing w:line="360" w:lineRule="auto"/>
      </w:pPr>
      <w:r>
        <w:rPr>
          <w:rFonts w:ascii="Times New Roman" w:hAnsi="Times New Roman" w:cs="Times New Roman" w:eastAsia="Times New Roman"/>
          <w:sz w:val="24"/>
        </w:rPr>
        <w:t xml:space="preserve">9.5.5 Land-aggregater i modellen er poolet</w:t>
      </w:r>
    </w:p>
    <w:p>
      <w:pPr>
        <w:pStyle w:val="FirstParagraph"/>
        <w:spacing w:line="360" w:lineRule="auto"/>
      </w:pPr>
      <w:r>
        <w:rPr>
          <w:rStyle w:val="VerbatimChar"/>
          <w:rFonts w:ascii="Times New Roman" w:hAnsi="Times New Roman" w:cs="Times New Roman" w:eastAsia="Times New Roman"/>
          <w:sz w:val="24"/>
        </w:rPr>
        <w:t xml:space="preserve">port_stats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 indirekte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-kategoriene,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joinet kun på størrelse og pooler dermed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på tvers av NO/SE/DK. For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baserte features går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signalet tapt — særlig synlig for København (høyt nivå) vs. norske havner. Riktig fix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country_size_*</w:t>
      </w:r>
      <w:r>
        <w:rPr>
          <w:rFonts w:ascii="Times New Roman" w:hAnsi="Times New Roman" w:cs="Times New Roman" w:eastAsia="Times New Roman"/>
          <w:sz w:val="24"/>
        </w:rPr>
        <w:t xml:space="preserve">-aggregater og re-trening (videre arbeid punkt 5). Mellomtiltak: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synliggjort i API-respons og frontend.</w:t>
      </w:r>
    </w:p>
    <w:bookmarkEnd w:id="90"/>
    <w:bookmarkStart w:id="91" w:name="Xfb89bcd0f3196bce2464378960df46d55e2a129"/>
    <w:p>
      <w:pPr>
        <w:pStyle w:val="Heading4"/>
        <w:spacing w:line="360" w:lineRule="auto"/>
      </w:pPr>
      <w:r>
        <w:rPr>
          <w:rFonts w:ascii="Times New Roman" w:hAnsi="Times New Roman" w:cs="Times New Roman" w:eastAsia="Times New Roman"/>
          <w:sz w:val="24"/>
        </w:rPr>
        <w:t xml:space="preserve">9.5.6 Per-yacht aggregering for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spørsmålet</w:t>
      </w:r>
    </w:p>
    <w:p>
      <w:pPr>
        <w:pStyle w:val="FirstParagraph"/>
        <w:spacing w:line="360" w:lineRule="auto"/>
      </w:pPr>
      <w:r>
        <w:rPr>
          <w:rFonts w:ascii="Times New Roman" w:hAnsi="Times New Roman" w:cs="Times New Roman" w:eastAsia="Times New Roman"/>
          <w:sz w:val="24"/>
        </w:rPr>
        <w:t xml:space="preserve">Manageren spurte: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“hvis vi har 25 yachter i år og 4 M DKK i inntekt, hva blir det med 30 neste år?”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v0.2 hadde ingen per-yacht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visning. 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/forecast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grupperer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yachtName</w:t>
      </w:r>
      <w:r>
        <w:rPr>
          <w:rFonts w:ascii="Times New Roman" w:hAnsi="Times New Roman" w:cs="Times New Roman" w:eastAsia="Times New Roman"/>
          <w:sz w:val="24"/>
        </w:rPr>
        <w:t xml:space="preserve">, normaliserer til EUR, og viser flåte-snitt + naiv lineær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projeksjon (</w:t>
      </w:r>
      <w:r>
        <w:rPr>
          <w:rStyle w:val="VerbatimChar"/>
          <w:rFonts w:ascii="Times New Roman" w:hAnsi="Times New Roman" w:cs="Times New Roman" w:eastAsia="Times New Roman"/>
          <w:sz w:val="24"/>
        </w:rPr>
        <w:t xml:space="preserve">avg_per_yacht × N</w:t>
      </w:r>
      <w:r>
        <w:rPr>
          <w:rFonts w:ascii="Times New Roman" w:hAnsi="Times New Roman" w:cs="Times New Roman" w:eastAsia="Times New Roman"/>
          <w:sz w:val="24"/>
        </w:rPr>
        <w:t xml:space="preserve">) med eksplisitt note om at modellen ikke fanger kapasitets-, havne- eller sesong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begrensninger.</w:t>
      </w:r>
    </w:p>
    <w:bookmarkEnd w:id="91"/>
    <w:bookmarkStart w:id="92" w:name="X5dd4a93841416e0d3a6753e4a56351cf7060d37"/>
    <w:p>
      <w:pPr>
        <w:pStyle w:val="Heading4"/>
        <w:spacing w:line="360" w:lineRule="auto"/>
      </w:pPr>
      <w:r>
        <w:rPr>
          <w:rFonts w:ascii="Times New Roman" w:hAnsi="Times New Roman" w:cs="Times New Roman" w:eastAsia="Times New Roman"/>
          <w:sz w:val="24"/>
        </w:rPr>
        <w:t xml:space="preserve">9.5.7 Provisions-override vurdert og avvist (v0.4)</w:t>
      </w:r>
    </w:p>
    <w:p>
      <w:pPr>
        <w:pStyle w:val="FirstParagraph"/>
        <w:spacing w:line="360" w:lineRule="auto"/>
      </w:pPr>
      <w:r>
        <w:rPr>
          <w:rFonts w:ascii="Times New Roman" w:hAnsi="Times New Roman" w:cs="Times New Roman" w:eastAsia="Times New Roman"/>
          <w:sz w:val="24"/>
        </w:rPr>
        <w:t xml:space="preserve">v0.3 hadde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provisioning_override</w:t>
      </w:r>
      <w:r>
        <w:rPr>
          <w:rFonts w:ascii="Times New Roman" w:hAnsi="Times New Roman" w:cs="Times New Roman" w:eastAsia="Times New Roman"/>
          <w:sz w:val="24"/>
        </w:rPr>
        <w:t xml:space="preserve">; den ble fjernet i v0.4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på metodisk grunnlag: en override som erstatter modellens prediksjon med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undergraver verktøyets formål. For bunkers er overriden forsvarlig fordi den substitueres med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deterministisk fysisk formel</w:t>
      </w:r>
      <w:r>
        <w:rPr>
          <w:rFonts w:ascii="Times New Roman" w:hAnsi="Times New Roman" w:cs="Times New Roman" w:eastAsia="Times New Roman"/>
          <w:sz w:val="24"/>
        </w:rPr>
        <w:t xml:space="preserve">. For Provisions finnes ingen tilsvarende substitutt før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observerbar. Provisions-feilen skal lukkes via labels + re-trening, ikke maskeres via UI.</w:t>
      </w:r>
    </w:p>
    <w:bookmarkEnd w:id="92"/>
    <w:bookmarkEnd w:id="93"/>
    <w:bookmarkStart w:id="94" w:name="validitet-og-generaliserbarhet"/>
    <w:p>
      <w:pPr>
        <w:pStyle w:val="Heading3"/>
        <w:spacing w:line="360" w:lineRule="auto"/>
      </w:pPr>
      <w:r>
        <w:rPr>
          <w:rFonts w:ascii="Times New Roman" w:hAnsi="Times New Roman" w:cs="Times New Roman" w:eastAsia="Times New Roman"/>
          <w:sz w:val="24"/>
        </w:rPr>
        <w:t xml:space="preserve">9.6 Validitet og generaliserbarhet</w:t>
      </w:r>
    </w:p>
    <w:p>
      <w:pPr>
        <w:pStyle w:val="FirstParagraph"/>
        <w:spacing w:line="360" w:lineRule="auto"/>
      </w:pPr>
      <w:r>
        <w:rPr>
          <w:rFonts w:ascii="Times New Roman" w:hAnsi="Times New Roman" w:cs="Times New Roman" w:eastAsia="Times New Roman"/>
          <w:sz w:val="24"/>
        </w:rPr>
        <w:t xml:space="preserve">En streng vurdering av forskningsdesignet krever at validitet adresseres eksplisitt. Tre typer validitet som er mest relevante for NautiCost drøftes: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 intern validitet og ekstern validitet.</w:t>
      </w:r>
    </w:p>
    <w:p>
      <w:pPr>
        <w:pStyle w:val="BodyText"/>
        <w:spacing w:line="360" w:lineRule="auto"/>
      </w:pPr>
      <w:r>
        <w:rPr>
          <w:rFonts w:ascii="Times New Roman" w:hAnsi="Times New Roman" w:cs="Times New Roman" w:eastAsia="Times New Roman"/>
          <w:b/>
          <w:bCs/>
          <w:sz w:val="24"/>
        </w:rPr>
        <w:t xml:space="preserve">Konstrukt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stiller spørsmålet om</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gyldig operasjonalisering av begrepet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“totalkostnad for et havneanløp”</w:t>
      </w:r>
      <w:r>
        <w:rPr>
          <w:rFonts w:ascii="Times New Roman" w:hAnsi="Times New Roman" w:cs="Times New Roman" w:eastAsia="Times New Roman"/>
          <w:sz w:val="24"/>
        </w:rPr>
        <w:t xml:space="preserve">. Variabelen er fakturabeløpet før moms slik det er registrert hos SDK Shipping, og fanger derfor agentens direkte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pluss innkjøpt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arbeid. Det den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er: (a) markedsmessige rabatter eller margin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justeringer som agenten ikke har dokumentert som linje, (b) skjulte kostnader hos yachteier (egen besetnings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lønn under anløpet, valutarisiko på betalingstidspunktet), og (c) opportunitets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hvis anløpet forsinker neste reisesegment.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validiteten er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delvis</w:t>
      </w:r>
      <w:r>
        <w:rPr>
          <w:rFonts w:ascii="Times New Roman" w:hAnsi="Times New Roman" w:cs="Times New Roman" w:eastAsia="Times New Roman"/>
          <w:sz w:val="24"/>
        </w:rPr>
        <w:t xml:space="preserve">: målvariabelen er en valid proxy for agentens egen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 men en partiell proxy for det yachteieren faktisk betaler. Brukere som ønsker å estimere yachteierens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må legge til egne kostnader på toppen.</w:t>
      </w:r>
    </w:p>
    <w:p>
      <w:pPr>
        <w:pStyle w:val="BodyText"/>
        <w:spacing w:line="360" w:lineRule="auto"/>
      </w:pPr>
      <w:r>
        <w:rPr>
          <w:rFonts w:ascii="Times New Roman" w:hAnsi="Times New Roman" w:cs="Times New Roman" w:eastAsia="Times New Roman"/>
          <w:b/>
          <w:bCs/>
          <w:sz w:val="24"/>
        </w:rPr>
        <w:t xml:space="preserve">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dreier seg om hvorvidt observerte sammenhenger i datasettet faktisk reflekterer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snarere enn artefakter av prosessen. To trusler er sentrale: (i)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skjevhet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17 yachter er kunder hos én agentbedrift, og er dermed ikke et tilfeldig utvalg av skandinaviske superyacht-anløp; (ii)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miks-endringer eller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over 2020–2025 kan ha generert tilsynelatende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egentlig er strukturelle prisbrudd. Trussel (i) adresseres ved eksplisitt avgrensning (§ 1.3) og ved at modellen ikke hevdes ekstern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validert på andre operatører. Trussel (ii) er adressert delvis ved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(slik at trening og test ikke deler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vinduer der prisendringer kan ha skjedd samtidig), men siden detaljert data om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ikke er tilgjengelig, kan det ikke utelukkes at en del av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 mellom val=2024 og test=2025 (+10 % MAE) skyldes en strukturell prisendring snarere enn naturlig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w:t>
      </w:r>
    </w:p>
    <w:p>
      <w:pPr>
        <w:pStyle w:val="BodyText"/>
        <w:spacing w:line="360" w:lineRule="auto"/>
      </w:pPr>
      <w:r>
        <w:rPr>
          <w:rFonts w:ascii="Times New Roman" w:hAnsi="Times New Roman" w:cs="Times New Roman" w:eastAsia="Times New Roman"/>
          <w:b/>
          <w:bCs/>
          <w:sz w:val="24"/>
        </w:rPr>
        <w:t xml:space="preserve">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spør hvor godt resultatene overføres til (a) andre yachter, (b) andre operatører, og (c) andre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perioder. Spesifikt:</w:t>
      </w:r>
    </w:p>
    <w:p>
      <w:pPr>
        <w:pStyle w:val="Compact"/>
        <w:numPr>
          <w:ilvl w:val="0"/>
          <w:numId w:val="1022"/>
        </w:numPr>
        <w:spacing w:line="360" w:lineRule="auto"/>
      </w:pPr>
      <w:r>
        <w:rPr>
          <w:rFonts w:ascii="Times New Roman" w:hAnsi="Times New Roman" w:cs="Times New Roman" w:eastAsia="Times New Roman"/>
          <w:b/>
          <w:bCs/>
          <w:sz w:val="24"/>
        </w:rPr>
        <w:t xml:space="preserve">Til andre yachter: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17-yacht-fløyte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avgrensningen er en alvorlig begrensning. Yachter med spesifikasjoner langt utenfor utvalgs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(f.eks. eksplosjons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motor vs. diesel-elektrisk, charter-yacht vs. privat) vil ha større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Et bevis på dette: GT-områdene i datasettet er 51,9–2 407, og den eneste GT &lt; 50 yachten i 2025-testen genererer den største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feilen av alle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w:t>
      </w:r>
    </w:p>
    <w:p>
      <w:pPr>
        <w:pStyle w:val="Compact"/>
        <w:numPr>
          <w:ilvl w:val="0"/>
          <w:numId w:val="1022"/>
        </w:numPr>
        <w:spacing w:line="360" w:lineRule="auto"/>
      </w:pPr>
      <w:r>
        <w:rPr>
          <w:rFonts w:ascii="Times New Roman" w:hAnsi="Times New Roman" w:cs="Times New Roman" w:eastAsia="Times New Roman"/>
          <w:b/>
          <w:bCs/>
          <w:sz w:val="24"/>
        </w:rPr>
        <w:t xml:space="preserve">Til andre operatører: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kun på SDK Shipping sine fakturaer og fanger derfor denne agentens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konkrete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prismodeller (f.eks. agent fee struktur, hospitality-leverandør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 En annen agent ville hatt andre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selv for samme anløp. Ekstern validitet på operatør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er dermed ikke etablert, og verktøyet anbefales ikke brukt på en annen agents anløp uten re-trening.</w:t>
      </w:r>
    </w:p>
    <w:p>
      <w:pPr>
        <w:pStyle w:val="Compact"/>
        <w:numPr>
          <w:ilvl w:val="0"/>
          <w:numId w:val="1022"/>
        </w:numPr>
        <w:spacing w:line="360" w:lineRule="auto"/>
      </w:pPr>
      <w:r>
        <w:rPr>
          <w:rFonts w:ascii="Times New Roman" w:hAnsi="Times New Roman" w:cs="Times New Roman" w:eastAsia="Times New Roman"/>
          <w:b/>
          <w:bCs/>
          <w:sz w:val="24"/>
        </w:rPr>
        <w:t xml:space="preserve">Til andre 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perioder: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set-evalueringen viser at modellen generaliserer fra 2020–2023 til 2025 med 10 % MAE-degradering. For 2026–2027-bruk forventes tilsvarende eller noe høyere degradering, med mindre rullerende re-trening implementeres (§ 10 punkt 2).</w:t>
      </w:r>
    </w:p>
    <w:p>
      <w:pPr>
        <w:pStyle w:val="FirstParagraph"/>
        <w:spacing w:line="360" w:lineRule="auto"/>
      </w:pPr>
      <w:r>
        <w:rPr>
          <w:rFonts w:ascii="Times New Roman" w:hAnsi="Times New Roman" w:cs="Times New Roman" w:eastAsia="Times New Roman"/>
          <w:sz w:val="24"/>
        </w:rPr>
        <w:t xml:space="preserve">Konklusjonen er at NautiCost har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akseptabel 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SDK Shipping sine egne fremtidige anløp innenfor 12–18 måneder, men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begrenset 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utover dette. Dette er ikke et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designsfeil; det er en konsekvens av at studien er case-spesifikk per design (§ 4 og kompendiet § B.4).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funn er likevel et rimelig sekundærbidrag — særlig at gradient-boosting +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fungerer i et regime med n ≈ 1 600 og 17 enheter, hvilket utvider den eksisterende litteraturens dekning ned i datasparsomme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w:t>
      </w:r>
    </w:p>
    <w:bookmarkEnd w:id="94"/>
    <w:bookmarkStart w:id="95" w:name="praktiske-implikasjoner"/>
    <w:p>
      <w:pPr>
        <w:pStyle w:val="Heading3"/>
        <w:spacing w:line="360" w:lineRule="auto"/>
      </w:pPr>
      <w:r>
        <w:rPr>
          <w:rFonts w:ascii="Times New Roman" w:hAnsi="Times New Roman" w:cs="Times New Roman" w:eastAsia="Times New Roman"/>
          <w:sz w:val="24"/>
        </w:rPr>
        <w:t xml:space="preserve">9.7 Praktiske implikasjoner</w:t>
      </w:r>
    </w:p>
    <w:p>
      <w:pPr>
        <w:pStyle w:val="FirstParagraph"/>
        <w:spacing w:line="360" w:lineRule="auto"/>
      </w:pPr>
      <w:r>
        <w:rPr>
          <w:rFonts w:ascii="Times New Roman" w:hAnsi="Times New Roman" w:cs="Times New Roman" w:eastAsia="Times New Roman"/>
          <w:sz w:val="24"/>
        </w:rPr>
        <w:t xml:space="preserve">For SDK Shipping betyr verktøyet at en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på sekunder kan gi yachteier et estimat med tydelig kommunisert spenn i stedet for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anslag. På lengre sikt kan loggføring av faktiske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kostnader mot estimater drive en automatisk re-treningsløkke, slik at modellen forbedres mot faktiske prestasjoner. På kort sikt — og spesielt før labels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innhentet (jf. § 9.5.4 og Vedlegg E) — fungerer override-mekanismene for los, bunkers og provisions som en operasjonell 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ventil: koordinatoren har et estimat som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korrigeres for kjente begrensninger uten å vente på en re-trening.</w:t>
      </w:r>
    </w:p>
    <w:bookmarkEnd w:id="95"/>
    <w:bookmarkStart w:id="96" w:name="etiske-og-personvernmessige-hensyn"/>
    <w:p>
      <w:pPr>
        <w:pStyle w:val="Heading3"/>
        <w:spacing w:line="360" w:lineRule="auto"/>
      </w:pPr>
      <w:r>
        <w:rPr>
          <w:rFonts w:ascii="Times New Roman" w:hAnsi="Times New Roman" w:cs="Times New Roman" w:eastAsia="Times New Roman"/>
          <w:sz w:val="24"/>
        </w:rPr>
        <w:t xml:space="preserve">9.8 Etiske og personvernmessige hensyn</w:t>
      </w:r>
    </w:p>
    <w:p>
      <w:pPr>
        <w:pStyle w:val="FirstParagraph"/>
        <w:spacing w:line="360" w:lineRule="auto"/>
      </w:pP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inneholder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identifikatorer, men ingen direkte person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Yacht-ID-er er allerede anonymisert i datasettet (</w:t>
      </w:r>
      <w:r>
        <w:rPr>
          <w:rStyle w:val="VerbatimChar"/>
          <w:rFonts w:ascii="Times New Roman" w:hAnsi="Times New Roman" w:cs="Times New Roman" w:eastAsia="Times New Roman"/>
          <w:sz w:val="24"/>
        </w:rPr>
        <w:t xml:space="preserve">yacht_1, yacht_2, …, yacht_19</w:t>
      </w:r>
      <w:r>
        <w:rPr>
          <w:rFonts w:ascii="Times New Roman" w:hAnsi="Times New Roman" w:cs="Times New Roman" w:eastAsia="Times New Roman"/>
          <w:sz w:val="24"/>
        </w:rP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ikke kan rekonstrueres.</w:t>
      </w:r>
    </w:p>
    <w:p>
      <w:pPr>
        <w:pStyle w:val="BodyText"/>
        <w:spacing w:line="360" w:lineRule="auto"/>
      </w:pPr>
      <w:r>
        <w:rPr>
          <w:rFonts w:ascii="Times New Roman" w:hAnsi="Times New Roman" w:cs="Times New Roman" w:eastAsia="Times New Roman"/>
          <w:sz w:val="24"/>
        </w:rPr>
        <w:t xml:space="preserve">En refleksjon over prosessens utfordringer — verktøy, KI-bruk, peer review-respons og iterativ forbedring — er flyttet til Vedlegg G for å holde hoved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teksten ren av meta-prat om gjennomføringen, jf. mentor-tilbakemelding ved kontroll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gjennomgangen 2026-05-25.</w:t>
      </w:r>
    </w:p>
    <w:p>
      <w:pPr>
        <w:spacing w:line="360" w:lineRule="auto"/>
      </w:pPr>
      <w:r>
        <w:rPr>
          <w:rFonts w:ascii="Times New Roman" w:hAnsi="Times New Roman" w:cs="Times New Roman" w:eastAsia="Times New Roman"/>
          <w:sz w:val="24"/>
        </w:rPr>
        <w:pict>
          <v:rect style="width:0;height:1.5pt" o:hralign="center" o:hrstd="t" o:hr="t"/>
        </w:pict>
      </w:r>
    </w:p>
    <w:bookmarkEnd w:id="96"/>
    <w:bookmarkEnd w:id="97"/>
    <w:bookmarkStart w:id="98" w:name="konklusjon"/>
    <w:p>
      <w:pPr>
        <w:pStyle w:val="Heading2"/>
        <w:spacing w:line="360" w:lineRule="auto"/>
      </w:pPr>
      <w:r>
        <w:rPr>
          <w:rFonts w:ascii="Times New Roman" w:hAnsi="Times New Roman" w:cs="Times New Roman" w:eastAsia="Times New Roman"/>
          <w:sz w:val="24"/>
        </w:rPr>
        <w:t xml:space="preserve">10. Konklusjon</w:t>
      </w:r>
    </w:p>
    <w:p>
      <w:pPr>
        <w:pStyle w:val="FirstParagraph"/>
        <w:spacing w:line="360" w:lineRule="auto"/>
      </w:pPr>
      <w:r>
        <w:rPr>
          <w:rFonts w:ascii="Times New Roman" w:hAnsi="Times New Roman" w:cs="Times New Roman" w:eastAsia="Times New Roman"/>
          <w:sz w:val="24"/>
        </w:rPr>
        <w:t xml:space="preserve">Studien har utviklet en datadreven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estimator for skandinaviske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som kombinerer LightGBM + CatBoost-ensemble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med hybrid kalibrering mot empiriske persentiler på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På valideringssettet (2024, n = 490) oppnår modellen MAE = 17 350 EUR (wMAPE 71,4 %) —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gir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 MAE = 19 051 EUR (wMAPE 74,3 %) — ≈ 10 % degradering val→test, forventet etter seleksjon. CQR-kalibrerte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gir 80,0 % empirisk dekning, og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plasserer seg innenfor P25–P75 i alle fem testede konfigurasjoner.</w:t>
      </w:r>
    </w:p>
    <w:p>
      <w:pPr>
        <w:pStyle w:val="BodyText"/>
        <w:spacing w:line="360" w:lineRule="auto"/>
      </w:pPr>
      <w:r>
        <w:rPr>
          <w:rFonts w:ascii="Times New Roman" w:hAnsi="Times New Roman" w:cs="Times New Roman" w:eastAsia="Times New Roman"/>
          <w:sz w:val="24"/>
        </w:rPr>
        <w:t xml:space="preserve">Hvert delproblem er adressert: DP1 ved 26 features (§ 5.5), DP2 ved seks-modell-sammenligning på val og test (§ 8.1, § 8.1.1), DP3 ved hybrid persentil-kalibrering (§ 6.5), DP4 ved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med CQR (§ 6.4) og P25–P75-forankring (§ 8.3), og DP5 ved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&lt; 2 s (§ 8.4).</w:t>
      </w:r>
    </w:p>
    <w:p>
      <w:pPr>
        <w:pStyle w:val="BodyText"/>
        <w:spacing w:line="360" w:lineRule="auto"/>
      </w:pPr>
      <w:r>
        <w:rPr>
          <w:rFonts w:ascii="Times New Roman" w:hAnsi="Times New Roman" w:cs="Times New Roman" w:eastAsia="Times New Roman"/>
          <w:sz w:val="24"/>
        </w:rPr>
        <w:t xml:space="preserve">Studien bidrar (§ 1.5) ved å demonstrere transaksjonsnivå-ensemble med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(n ≈ 1 600, 17 enheter);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og konkrete gap mellom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operasjonelle krav (§ 9.5) er dokumentert og peker mot oppnåelige retraining-mål.</w:t>
      </w:r>
    </w:p>
    <w:p>
      <w:pPr>
        <w:pStyle w:val="BodyText"/>
        <w:spacing w:line="360" w:lineRule="auto"/>
      </w:pPr>
      <w:r>
        <w:rPr>
          <w:rFonts w:ascii="Times New Roman" w:hAnsi="Times New Roman" w:cs="Times New Roman" w:eastAsia="Times New Roman"/>
          <w:b/>
          <w:bCs/>
          <w:sz w:val="24"/>
        </w:rPr>
        <w:t xml:space="preserve">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er demonstrert på fem konfigurasjoner (§ 8.3); operasjonell validering over lengre tid gjenstår.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set-metrikkene gjelder prefit-modellen som proxy for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modellens generalisering. Ekstern validitet er begrenset til SDK Shipping. Provisions kan ikke lukkes uten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-labels (§ 9.5.4, Vedlegg E).</w:t>
      </w:r>
    </w:p>
    <w:p>
      <w:pPr>
        <w:pStyle w:val="BodyText"/>
        <w:spacing w:line="360" w:lineRule="auto"/>
      </w:pPr>
      <w:r>
        <w:rPr>
          <w:rFonts w:ascii="Times New Roman" w:hAnsi="Times New Roman" w:cs="Times New Roman" w:eastAsia="Times New Roman"/>
          <w:b/>
          <w:bCs/>
          <w:sz w:val="24"/>
        </w:rPr>
        <w:t xml:space="preserve">Videre arbeid: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Utvide flåten med flere yachter/operatører. (2) Online re-trening med rullerende vindu. (3) Multimodale pris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(drivstoffpris, valuta, vær). (4) AB-test av koordinator-effektivitet med vs. uten verktøy. (5) Land-bevisste aggregat-features og re-trening (§ 9.5.5). (6)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 som lært feature (§ 9.5.3). (7)</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labelling og re-trening (§ 9.5.4). (8) Størrelses-betinget pilot-sannsynlighet (§ 9.5.2). (9) Operasjonell validering over 3 måneder. (10) Rullerende test-evaluering når 2026-data foreligger. (11) Diebold-Mariano-test mot bootstrap-KI. (12) Sensitivitets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 på vekslingskurs.</w:t>
      </w:r>
    </w:p>
    <w:p>
      <w:pPr>
        <w:spacing w:line="360" w:lineRule="auto"/>
      </w:pPr>
      <w:r>
        <w:rPr>
          <w:rFonts w:ascii="Times New Roman" w:hAnsi="Times New Roman" w:cs="Times New Roman" w:eastAsia="Times New Roman"/>
          <w:sz w:val="24"/>
        </w:rPr>
        <w:pict>
          <v:rect style="width:0;height:1.5pt" o:hralign="center" o:hrstd="t" o:hr="t"/>
        </w:pict>
      </w:r>
    </w:p>
    <w:bookmarkEnd w:id="98"/>
    <w:bookmarkStart w:id="99" w:name="bibliografi"/>
    <w:p>
      <w:pPr>
        <w:pStyle w:val="Heading2"/>
        <w:spacing w:line="360" w:lineRule="auto"/>
      </w:pPr>
      <w:r>
        <w:rPr>
          <w:rFonts w:ascii="Times New Roman" w:hAnsi="Times New Roman" w:cs="Times New Roman" w:eastAsia="Times New Roman"/>
          <w:sz w:val="24"/>
        </w:rPr>
        <w:t xml:space="preserve">11. Bibliografi</w:t>
      </w:r>
    </w:p>
    <w:p>
      <w:pPr>
        <w:pStyle w:val="FirstParagraph"/>
        <w:spacing w:line="360" w:lineRule="auto"/>
      </w:pPr>
      <w:r>
        <w:rPr>
          <w:rFonts w:ascii="Times New Roman" w:hAnsi="Times New Roman" w:cs="Times New Roman" w:eastAsia="Times New Roman"/>
          <w:sz w:val="24"/>
        </w:rPr>
        <w:t xml:space="preserve">Friedman, J. H. (2001). Greedy function approximation: A gradient boosting machine.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Annals of Statistics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29</w:t>
      </w:r>
      <w:r>
        <w:rPr>
          <w:rFonts w:ascii="Times New Roman" w:hAnsi="Times New Roman" w:cs="Times New Roman" w:eastAsia="Times New Roman"/>
          <w:sz w:val="24"/>
        </w:rPr>
        <w:t xml:space="preserve">(5), 1189–1232. https://doi.org/10.1214/aos/1013203451</w:t>
      </w:r>
    </w:p>
    <w:p>
      <w:pPr>
        <w:pStyle w:val="BodyText"/>
        <w:spacing w:line="360" w:lineRule="auto"/>
      </w:pPr>
      <w:r>
        <w:rPr>
          <w:rFonts w:ascii="Times New Roman" w:hAnsi="Times New Roman" w:cs="Times New Roman" w:eastAsia="Times New Roman"/>
          <w:sz w:val="24"/>
        </w:rPr>
        <w:t xml:space="preserve">Grinsztajn, L., Oyallon, E., &amp; Varoquaux, G. (2022). Why do tree-based models still outperform deep learning on typical tabular 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35</w:t>
      </w:r>
      <w:r>
        <w:rPr>
          <w:rFonts w:ascii="Times New Roman" w:hAnsi="Times New Roman" w:cs="Times New Roman" w:eastAsia="Times New Roman"/>
          <w:sz w:val="24"/>
        </w:rPr>
        <w:t xml:space="preserve">, 507–520.</w:t>
      </w:r>
    </w:p>
    <w:p>
      <w:pPr>
        <w:pStyle w:val="BodyText"/>
        <w:spacing w:line="360" w:lineRule="auto"/>
      </w:pPr>
      <w:r>
        <w:rPr>
          <w:rFonts w:ascii="Times New Roman" w:hAnsi="Times New Roman" w:cs="Times New Roman" w:eastAsia="Times New Roman"/>
          <w:sz w:val="24"/>
        </w:rPr>
        <w:t xml:space="preserve">Hastie, T., Tibshirani, R., &amp; Friedman, J.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Elements of Statistical Learning: Data Mining, Inference, and Prediction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Springer. https://doi.org/10.1007/978-0-387-84858-7</w:t>
      </w:r>
    </w:p>
    <w:p>
      <w:pPr>
        <w:pStyle w:val="BodyText"/>
        <w:spacing w:line="360" w:lineRule="auto"/>
      </w:pPr>
      <w:r>
        <w:rPr>
          <w:rFonts w:ascii="Times New Roman" w:hAnsi="Times New Roman" w:cs="Times New Roman" w:eastAsia="Times New Roman"/>
          <w:sz w:val="24"/>
        </w:rPr>
        <w:t xml:space="preserve">Jahangard, M., Xie, Y., &amp; Feng, Y. (2025). Leveraging machine learning and optimization models for enhanced seaport efficiency.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Economics &amp; Logistics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27</w:t>
      </w:r>
      <w:r>
        <w:rPr>
          <w:rFonts w:ascii="Times New Roman" w:hAnsi="Times New Roman" w:cs="Times New Roman" w:eastAsia="Times New Roman"/>
          <w:sz w:val="24"/>
        </w:rPr>
        <w:t xml:space="preserve">(4), 710–751. https://doi.org/10.1057/s41278-024-00309-w</w:t>
      </w:r>
    </w:p>
    <w:p>
      <w:pPr>
        <w:pStyle w:val="BodyText"/>
        <w:spacing w:line="360" w:lineRule="auto"/>
      </w:pPr>
      <w:r>
        <w:rPr>
          <w:rFonts w:ascii="Times New Roman" w:hAnsi="Times New Roman" w:cs="Times New Roman" w:eastAsia="Times New Roman"/>
          <w:sz w:val="24"/>
        </w:rPr>
        <w:t xml:space="preserve">Jang, H.-S., Chang, T.-W., &amp; Kim, S.-H. (2023). Prediction of shipping cost on freight brokerage platform using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Sustainability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w:t>
      </w:r>
      <w:r>
        <w:rPr>
          <w:rFonts w:ascii="Times New Roman" w:hAnsi="Times New Roman" w:cs="Times New Roman" w:eastAsia="Times New Roman"/>
          <w:sz w:val="24"/>
        </w:rPr>
        <w:t xml:space="preserve">(2), 1122. https://doi.org/10.3390/su15021122</w:t>
      </w:r>
    </w:p>
    <w:p>
      <w:pPr>
        <w:pStyle w:val="BodyText"/>
        <w:spacing w:line="360" w:lineRule="auto"/>
      </w:pPr>
      <w:r>
        <w:rPr>
          <w:rFonts w:ascii="Times New Roman" w:hAnsi="Times New Roman" w:cs="Times New Roman" w:eastAsia="Times New Roman"/>
          <w:sz w:val="24"/>
        </w:rPr>
        <w:t xml:space="preserve">Ke, G., Meng, Q., Finley, T., Wang, T., Chen, W., Ma, W., Ye, Q., &amp; Liu, T.-Y. (2017). LightGBM: A highly efficient gradient boosting decision tree.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3146–3154.</w:t>
      </w:r>
    </w:p>
    <w:p>
      <w:pPr>
        <w:pStyle w:val="BodyText"/>
        <w:spacing w:line="360" w:lineRule="auto"/>
      </w:pPr>
      <w:r>
        <w:rPr>
          <w:rFonts w:ascii="Times New Roman" w:hAnsi="Times New Roman" w:cs="Times New Roman" w:eastAsia="Times New Roman"/>
          <w:sz w:val="24"/>
        </w:rPr>
        <w:t xml:space="preserve">Lundberg, S. M., Erion, G., Chen, H., DeGrave, A., Prutkin, J. M., Nair, B., Katz, R., Himmelfarb, J., Bansal, N., &amp; Lee, S.-I. (2020). From local explanations to global understanding with explainable AI for trees.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Nature Machine Intelligence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w:t>
      </w:r>
      <w:r>
        <w:rPr>
          <w:rFonts w:ascii="Times New Roman" w:hAnsi="Times New Roman" w:cs="Times New Roman" w:eastAsia="Times New Roman"/>
          <w:sz w:val="24"/>
        </w:rPr>
        <w:t xml:space="preserve">(1), 56–67. https://doi.org/10.1038/s42256-019-0138-9</w:t>
      </w:r>
    </w:p>
    <w:p>
      <w:pPr>
        <w:pStyle w:val="BodyText"/>
        <w:spacing w:line="360" w:lineRule="auto"/>
      </w:pPr>
      <w:r>
        <w:rPr>
          <w:rFonts w:ascii="Times New Roman" w:hAnsi="Times New Roman" w:cs="Times New Roman" w:eastAsia="Times New Roman"/>
          <w:sz w:val="24"/>
        </w:rPr>
        <w:t xml:space="preserve">Lundberg, S. M., &amp; Lee, S.-I. (2017). A unified approach to interpreting model predictions.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4765–4774.</w:t>
      </w:r>
    </w:p>
    <w:p>
      <w:pPr>
        <w:pStyle w:val="BodyText"/>
        <w:spacing w:line="360" w:lineRule="auto"/>
      </w:pPr>
      <w:r>
        <w:rPr>
          <w:rFonts w:ascii="Times New Roman" w:hAnsi="Times New Roman" w:cs="Times New Roman" w:eastAsia="Times New Roman"/>
          <w:sz w:val="24"/>
        </w:rPr>
        <w:t xml:space="preserve">Pettersen, B.-I., &amp; Rekdal, P. K. (2026).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Kvantitative metoder i logistikk — implementert via KI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[Kompendium]. LOG650 Forskningsprosjekt: Logistikk og kunstig intelligens, Høgskolen i Molde.</w:t>
      </w:r>
    </w:p>
    <w:p>
      <w:pPr>
        <w:pStyle w:val="BodyText"/>
        <w:spacing w:line="360" w:lineRule="auto"/>
      </w:pPr>
      <w:r>
        <w:rPr>
          <w:rFonts w:ascii="Times New Roman" w:hAnsi="Times New Roman" w:cs="Times New Roman" w:eastAsia="Times New Roman"/>
          <w:sz w:val="24"/>
        </w:rPr>
        <w:t xml:space="preserve">Prokhorenkova, L., Gusev, G., Vorobev, A., Dorogush, A. V., &amp; Gulin, A. (2018). CatBoost: Unbiased boosting with categorical features.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31</w:t>
      </w:r>
      <w:r>
        <w:rPr>
          <w:rFonts w:ascii="Times New Roman" w:hAnsi="Times New Roman" w:cs="Times New Roman" w:eastAsia="Times New Roman"/>
          <w:sz w:val="24"/>
        </w:rPr>
        <w:t xml:space="preserve">, 6638–6648.</w:t>
      </w:r>
    </w:p>
    <w:p>
      <w:pPr>
        <w:pStyle w:val="BodyText"/>
        <w:spacing w:line="360" w:lineRule="auto"/>
      </w:pPr>
      <w:r>
        <w:rPr>
          <w:rFonts w:ascii="Times New Roman" w:hAnsi="Times New Roman" w:cs="Times New Roman" w:eastAsia="Times New Roman"/>
          <w:sz w:val="24"/>
        </w:rPr>
        <w:t xml:space="preserve">Romano, Y., Patterson, E., &amp; Candès, E. (2019). 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32</w:t>
      </w:r>
      <w:r>
        <w:rPr>
          <w:rFonts w:ascii="Times New Roman" w:hAnsi="Times New Roman" w:cs="Times New Roman" w:eastAsia="Times New Roman"/>
          <w:sz w:val="24"/>
        </w:rPr>
        <w:t xml:space="preserve">, 3543–3553.</w:t>
      </w:r>
    </w:p>
    <w:p>
      <w:pPr>
        <w:pStyle w:val="BodyText"/>
        <w:spacing w:line="360" w:lineRule="auto"/>
      </w:pPr>
      <w:r>
        <w:rPr>
          <w:rFonts w:ascii="Times New Roman" w:hAnsi="Times New Roman" w:cs="Times New Roman" w:eastAsia="Times New Roman"/>
          <w:sz w:val="24"/>
        </w:rPr>
        <w:t xml:space="preserve">Shafer, G., &amp; Vovk, V. (2008). A tutorial on conformal prediction.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Machine Learning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 371–421. https://jmlr.csail.mit.edu/papers/volume9/shafer08a/shafer08a.pdf</w:t>
      </w:r>
    </w:p>
    <w:p>
      <w:pPr>
        <w:pStyle w:val="BodyText"/>
        <w:spacing w:line="360" w:lineRule="auto"/>
      </w:pPr>
      <w:r>
        <w:rPr>
          <w:rFonts w:ascii="Times New Roman" w:hAnsi="Times New Roman" w:cs="Times New Roman" w:eastAsia="Times New Roman"/>
          <w:sz w:val="24"/>
        </w:rPr>
        <w:t xml:space="preserve">Shwartz-Ziv, R., &amp; Armon, A. (2022). Tabular data: Deep learning is not all you need.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Information Fusion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81</w:t>
      </w:r>
      <w:r>
        <w:rPr>
          <w:rFonts w:ascii="Times New Roman" w:hAnsi="Times New Roman" w:cs="Times New Roman" w:eastAsia="Times New Roman"/>
          <w:sz w:val="24"/>
        </w:rPr>
        <w:t xml:space="preserve">, 84–90. https://doi.org/10.1016/j.inffus.2021.11.011</w:t>
      </w:r>
    </w:p>
    <w:p>
      <w:pPr>
        <w:pStyle w:val="BodyText"/>
        <w:spacing w:line="360" w:lineRule="auto"/>
      </w:pPr>
      <w:r>
        <w:rPr>
          <w:rFonts w:ascii="Times New Roman" w:hAnsi="Times New Roman" w:cs="Times New Roman" w:eastAsia="Times New Roman"/>
          <w:sz w:val="24"/>
        </w:rPr>
        <w:t xml:space="preserve">Su, M., Lee, H. J., Wang, X., &amp; Bae, S.-H. (2024). Fuel consumption cost prediction model for ro-ro carriers: A machine learning-based application.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Policy &amp; Management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52</w:t>
      </w:r>
      <w:r>
        <w:rPr>
          <w:rFonts w:ascii="Times New Roman" w:hAnsi="Times New Roman" w:cs="Times New Roman" w:eastAsia="Times New Roman"/>
          <w:sz w:val="24"/>
        </w:rPr>
        <w:t xml:space="preserve">(2), 229–249. https://doi.org/10.1080/03088839.2024.2303120</w:t>
      </w:r>
    </w:p>
    <w:p>
      <w:pPr>
        <w:spacing w:line="360" w:lineRule="auto"/>
      </w:pPr>
      <w:r>
        <w:rPr>
          <w:rFonts w:ascii="Times New Roman" w:hAnsi="Times New Roman" w:cs="Times New Roman" w:eastAsia="Times New Roman"/>
          <w:sz w:val="24"/>
        </w:rPr>
        <w:pict>
          <v:rect style="width:0;height:1.5pt" o:hralign="center" o:hrstd="t" o:hr="t"/>
        </w:pict>
      </w:r>
    </w:p>
    <w:bookmarkEnd w:id="99"/>
    <w:bookmarkStart w:id="102" w:name="vedlegg"/>
    <w:p>
      <w:pPr>
        <w:pStyle w:val="Heading2"/>
        <w:spacing w:line="360" w:lineRule="auto"/>
      </w:pPr>
      <w:r>
        <w:rPr>
          <w:rFonts w:ascii="Times New Roman" w:hAnsi="Times New Roman" w:cs="Times New Roman" w:eastAsia="Times New Roman"/>
          <w:sz w:val="24"/>
        </w:rPr>
        <w:t xml:space="preserve">Vedlegg</w:t>
      </w:r>
    </w:p>
    <w:p>
      <w:pPr>
        <w:pStyle w:val="Compact"/>
        <w:numPr>
          <w:ilvl w:val="0"/>
          <w:numId w:val="1023"/>
        </w:numPr>
        <w:spacing w:line="360" w:lineRule="auto"/>
      </w:pPr>
      <w:r>
        <w:rPr>
          <w:rFonts w:ascii="Times New Roman" w:hAnsi="Times New Roman" w:cs="Times New Roman" w:eastAsia="Times New Roman"/>
          <w:b/>
          <w:bCs/>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Featureliste og dtype-tabell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2 (26 features: 6 kategoriske + 20 numeriske).</w:t>
      </w:r>
    </w:p>
    <w:p>
      <w:pPr>
        <w:pStyle w:val="Compact"/>
        <w:numPr>
          <w:ilvl w:val="0"/>
          <w:numId w:val="1023"/>
        </w:numPr>
        <w:spacing w:line="360" w:lineRule="auto"/>
      </w:pPr>
      <w:r>
        <w:rPr>
          <w:rFonts w:ascii="Times New Roman" w:hAnsi="Times New Roman" w:cs="Times New Roman" w:eastAsia="Times New Roman"/>
          <w:b/>
          <w:bCs/>
          <w:sz w:val="24"/>
        </w:rPr>
        <w:t xml:space="preserve">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Hyperparametre fra Optuna-studie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9.</w:t>
      </w:r>
    </w:p>
    <w:p>
      <w:pPr>
        <w:pStyle w:val="Compact"/>
        <w:numPr>
          <w:ilvl w:val="0"/>
          <w:numId w:val="1023"/>
        </w:numPr>
        <w:spacing w:line="360" w:lineRule="auto"/>
      </w:pPr>
      <w:r>
        <w:rPr>
          <w:rFonts w:ascii="Times New Roman" w:hAnsi="Times New Roman" w:cs="Times New Roman" w:eastAsia="Times New Roman"/>
          <w:b/>
          <w:bCs/>
          <w:sz w:val="24"/>
        </w:rPr>
        <w:t xml:space="preserv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API-spesifikasjon (OpenAPI fra FastAPI)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endepunkt-definisjon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w:t>
      </w:r>
    </w:p>
    <w:p>
      <w:pPr>
        <w:pStyle w:val="Compact"/>
        <w:numPr>
          <w:ilvl w:val="0"/>
          <w:numId w:val="1023"/>
        </w:numPr>
        <w:spacing w:line="360" w:lineRule="auto"/>
      </w:pPr>
      <w:r>
        <w:rPr>
          <w:rFonts w:ascii="Times New Roman" w:hAnsi="Times New Roman" w:cs="Times New Roman" w:eastAsia="Times New Roman"/>
          <w:b/>
          <w:b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Skjermbilder fra Next.js-frontend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review/frontend/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kildekoden til dashbordet.</w:t>
      </w:r>
    </w:p>
    <w:p>
      <w:pPr>
        <w:pStyle w:val="Compact"/>
        <w:numPr>
          <w:ilvl w:val="0"/>
          <w:numId w:val="1023"/>
        </w:numPr>
        <w:spacing w:line="360" w:lineRule="auto"/>
      </w:pPr>
      <w:r>
        <w:rPr>
          <w:rFonts w:ascii="Times New Roman" w:hAnsi="Times New Roman" w:cs="Times New Roman" w:eastAsia="Times New Roman"/>
          <w:b/>
          <w:bCs/>
          <w:sz w:val="24"/>
        </w:rPr>
        <w:t xml:space="preserv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se egen seksjon nedenfor.</w:t>
      </w:r>
    </w:p>
    <w:p>
      <w:pPr>
        <w:pStyle w:val="Compact"/>
        <w:numPr>
          <w:ilvl w:val="0"/>
          <w:numId w:val="1023"/>
        </w:numPr>
        <w:spacing w:line="360" w:lineRule="auto"/>
      </w:pPr>
      <w:r>
        <w:rPr>
          <w:rFonts w:ascii="Times New Roman" w:hAnsi="Times New Roman" w:cs="Times New Roman" w:eastAsia="Times New Roman"/>
          <w:b/>
          <w:b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Test-set-evalueringsskript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reproduserer tallene i tabell 8.2; resultatene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w:t>
      </w:r>
    </w:p>
    <w:p>
      <w:pPr>
        <w:pStyle w:val="Compact"/>
        <w:numPr>
          <w:ilvl w:val="0"/>
          <w:numId w:val="1023"/>
        </w:numPr>
        <w:spacing w:line="360" w:lineRule="auto"/>
      </w:pPr>
      <w:r>
        <w:rPr>
          <w:rFonts w:ascii="Times New Roman" w:hAnsi="Times New Roman" w:cs="Times New Roman" w:eastAsia="Times New Roman"/>
          <w:b/>
          <w:bCs/>
          <w:sz w:val="24"/>
        </w:rPr>
        <w:t xml:space="preserve">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Refleksjon over prosessens utfordringer — verktøy, KI-bruk, peer review-respons og iterativ forbedring (flyttet fra § 9.7 etter mentor-tilbakemelding ved kontroll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gjennomgangen 2026-05-25).</w:t>
      </w:r>
    </w:p>
    <w:bookmarkStart w:id="100" w:name="Xe1f01a8cc6b3208ae7fb51104f9d9c075e3eeb5"/>
    <w:p>
      <w:pPr>
        <w:pStyle w:val="Heading3"/>
        <w:spacing w:line="360" w:lineRule="auto"/>
      </w:pPr>
      <w:r>
        <w:rPr>
          <w:rFonts w:ascii="Times New Roman" w:hAnsi="Times New Roman" w:cs="Times New Roman" w:eastAsia="Times New Roman"/>
          <w:sz w:val="24"/>
        </w:rPr>
        <w:t xml:space="preserve">Vedlegg E. 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p>
    <w:p>
      <w:pPr>
        <w:pStyle w:val="FirstParagraph"/>
        <w:spacing w:line="360" w:lineRule="auto"/>
      </w:pP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mangler i kildedataene (jf. § 9.5.4) og kan ikke simuleres. For at fremtidige labels skal være konsistente på tvers av koordinatorer foreslås en operasjonell rubrikk basert på pre-arrival-informasjon — fem dimensjoner som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Dimensjon</w:t>
            </w:r>
          </w:p>
        </w:tc>
        <w:tc>
          <w:tcPr/>
          <w:p>
            <w:pPr>
              <w:pStyle w:val="Compact"/>
              <w:spacing w:line="360" w:lineRule="auto"/>
            </w:pPr>
            <w:r>
              <w:rPr>
                <w:rFonts w:ascii="Times New Roman" w:hAnsi="Times New Roman" w:cs="Times New Roman" w:eastAsia="Times New Roman"/>
                <w:sz w:val="24"/>
              </w:rPr>
              <w:t xml:space="preserve">Skår 0</w:t>
            </w:r>
          </w:p>
        </w:tc>
        <w:tc>
          <w:tcPr/>
          <w:p>
            <w:pPr>
              <w:pStyle w:val="Compact"/>
              <w:spacing w:line="360" w:lineRule="auto"/>
            </w:pPr>
            <w:r>
              <w:rPr>
                <w:rFonts w:ascii="Times New Roman" w:hAnsi="Times New Roman" w:cs="Times New Roman" w:eastAsia="Times New Roman"/>
                <w:sz w:val="24"/>
              </w:rPr>
              <w:t xml:space="preserve">Skår 1</w:t>
            </w:r>
          </w:p>
        </w:tc>
        <w:tc>
          <w:tcPr/>
          <w:p>
            <w:pPr>
              <w:pStyle w:val="Compact"/>
              <w:spacing w:line="360" w:lineRule="auto"/>
            </w:pPr>
            <w:r>
              <w:rPr>
                <w:rFonts w:ascii="Times New Roman" w:hAnsi="Times New Roman" w:cs="Times New Roman" w:eastAsia="Times New Roman"/>
                <w:sz w:val="24"/>
              </w:rPr>
              <w:t xml:space="preserve">Skår 2</w:t>
            </w:r>
          </w:p>
        </w:tc>
      </w:tr>
      <w:tr>
        <w:tc>
          <w:tcPr/>
          <w:p>
            <w:pPr>
              <w:pStyle w:val="Compact"/>
              <w:spacing w:line="360" w:lineRule="auto"/>
            </w:pPr>
            <w:r>
              <w:rPr>
                <w:rFonts w:ascii="Times New Roman" w:hAnsi="Times New Roman" w:cs="Times New Roman" w:eastAsia="Times New Roman"/>
                <w:sz w:val="24"/>
              </w:rPr>
              <w:t xml:space="preserve">Antall gjester ombord</w:t>
            </w:r>
          </w:p>
        </w:tc>
        <w:tc>
          <w:tcPr/>
          <w:p>
            <w:pPr>
              <w:pStyle w:val="Compact"/>
              <w:spacing w:line="360" w:lineRule="auto"/>
            </w:pPr>
            <w:r>
              <w:rPr>
                <w:rFonts w:ascii="Times New Roman" w:hAnsi="Times New Roman" w:cs="Times New Roman" w:eastAsia="Times New Roman"/>
                <w:sz w:val="24"/>
              </w:rPr>
              <w:t xml:space="preserve">&lt; 4</w:t>
            </w:r>
          </w:p>
        </w:tc>
        <w:tc>
          <w:tcPr/>
          <w:p>
            <w:pPr>
              <w:pStyle w:val="Compact"/>
              <w:spacing w:line="360" w:lineRule="auto"/>
            </w:pPr>
            <w:r>
              <w:rPr>
                <w:rFonts w:ascii="Times New Roman" w:hAnsi="Times New Roman" w:cs="Times New Roman" w:eastAsia="Times New Roman"/>
                <w:sz w:val="24"/>
              </w:rPr>
              <w:t xml:space="preserve">4–8</w:t>
            </w:r>
          </w:p>
        </w:tc>
        <w:tc>
          <w:tcPr/>
          <w:p>
            <w:pPr>
              <w:pStyle w:val="Compact"/>
              <w:spacing w:line="360" w:lineRule="auto"/>
            </w:pPr>
            <w:r>
              <w:rPr>
                <w:rFonts w:ascii="Times New Roman" w:hAnsi="Times New Roman" w:cs="Times New Roman" w:eastAsia="Times New Roman"/>
                <w:sz w:val="24"/>
              </w:rPr>
              <w:t xml:space="preserve">&gt; 8</w:t>
            </w:r>
          </w:p>
        </w:tc>
      </w:tr>
      <w:tr>
        <w:tc>
          <w:tcPr/>
          <w:p>
            <w:pPr>
              <w:pStyle w:val="Compact"/>
              <w:spacing w:line="360" w:lineRule="auto"/>
            </w:pPr>
            <w:r>
              <w:rPr>
                <w:rFonts w:ascii="Times New Roman" w:hAnsi="Times New Roman" w:cs="Times New Roman" w:eastAsia="Times New Roman"/>
                <w:sz w:val="24"/>
              </w:rPr>
              <w:t xml:space="preserve">Antall planlagte hosted events under turen (galaer, hosted middager, mottakelser)</w:t>
            </w:r>
          </w:p>
        </w:tc>
        <w:tc>
          <w:tcPr/>
          <w:p>
            <w:pPr>
              <w:pStyle w:val="Compact"/>
              <w:spacing w:line="360" w:lineRule="auto"/>
            </w:pPr>
            <w:r>
              <w:rPr>
                <w:rFonts w:ascii="Times New Roman" w:hAnsi="Times New Roman" w:cs="Times New Roman" w:eastAsia="Times New Roman"/>
                <w:sz w:val="24"/>
              </w:rPr>
              <w:t xml:space="preserve">0</w:t>
            </w:r>
          </w:p>
        </w:tc>
        <w:tc>
          <w:tcPr/>
          <w:p>
            <w:pPr>
              <w:pStyle w:val="Compact"/>
              <w:spacing w:line="360" w:lineRule="auto"/>
            </w:pPr>
            <w:r>
              <w:rPr>
                <w:rFonts w:ascii="Times New Roman" w:hAnsi="Times New Roman" w:cs="Times New Roman" w:eastAsia="Times New Roman"/>
                <w:sz w:val="24"/>
              </w:rPr>
              <w:t xml:space="preserve">1–2</w:t>
            </w:r>
          </w:p>
        </w:tc>
        <w:tc>
          <w:tcPr/>
          <w:p>
            <w:pPr>
              <w:pStyle w:val="Compact"/>
              <w:spacing w:line="360" w:lineRule="auto"/>
            </w:pPr>
            <w:r>
              <w:rPr>
                <w:rFonts w:ascii="Times New Roman" w:hAnsi="Times New Roman" w:cs="Times New Roman" w:eastAsia="Times New Roman"/>
                <w:sz w:val="24"/>
              </w:rPr>
              <w:t xml:space="preserve">≥ 3</w:t>
            </w:r>
          </w:p>
        </w:tc>
      </w:tr>
      <w:tr>
        <w:tc>
          <w:tcPr/>
          <w:p>
            <w:pPr>
              <w:pStyle w:val="Compact"/>
              <w:spacing w:line="360" w:lineRule="auto"/>
            </w:pPr>
            <w:r>
              <w:rPr>
                <w:rFonts w:ascii="Times New Roman" w:hAnsi="Times New Roman" w:cs="Times New Roman" w:eastAsia="Times New Roman"/>
                <w:sz w:val="24"/>
              </w:rPr>
              <w:t xml:space="preserve">Provisjons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stil</w:t>
            </w:r>
          </w:p>
        </w:tc>
        <w:tc>
          <w:tcPr/>
          <w:p>
            <w:pPr>
              <w:pStyle w:val="Compact"/>
              <w:spacing w:line="360" w:lineRule="auto"/>
            </w:pPr>
            <w:r>
              <w:rPr>
                <w:rFonts w:ascii="Times New Roman" w:hAnsi="Times New Roman" w:cs="Times New Roman" w:eastAsia="Times New Roman"/>
                <w:sz w:val="24"/>
              </w:rPr>
              <w:t xml:space="preserve">Standard</w:t>
            </w:r>
          </w:p>
        </w:tc>
        <w:tc>
          <w:tcPr/>
          <w:p>
            <w:pPr>
              <w:pStyle w:val="Compact"/>
              <w:spacing w:line="360" w:lineRule="auto"/>
            </w:pPr>
            <w:r>
              <w:rPr>
                <w:rFonts w:ascii="Times New Roman" w:hAnsi="Times New Roman" w:cs="Times New Roman" w:eastAsia="Times New Roman"/>
                <w:sz w:val="24"/>
              </w:rPr>
              <w:t xml:space="preserve">Premium</w:t>
            </w:r>
          </w:p>
        </w:tc>
        <w:tc>
          <w:tcPr/>
          <w:p>
            <w:pPr>
              <w:pStyle w:val="Compact"/>
              <w:spacing w:line="360" w:lineRule="auto"/>
            </w:pPr>
            <w:r>
              <w:rPr>
                <w:rFonts w:ascii="Times New Roman" w:hAnsi="Times New Roman" w:cs="Times New Roman" w:eastAsia="Times New Roman"/>
                <w:sz w:val="24"/>
              </w:rPr>
              <w:t xml:space="preserve">Luksus / bespoke</w:t>
            </w:r>
          </w:p>
        </w:tc>
      </w:tr>
      <w:tr>
        <w:tc>
          <w:tcPr/>
          <w:p>
            <w:pPr>
              <w:pStyle w:val="Compact"/>
              <w:spacing w:line="360" w:lineRule="auto"/>
            </w:pPr>
            <w:r>
              <w:rPr>
                <w:rFonts w:ascii="Times New Roman" w:hAnsi="Times New Roman" w:cs="Times New Roman" w:eastAsia="Times New Roman"/>
                <w:sz w:val="24"/>
              </w:rPr>
              <w:t xml:space="preserve">Antall transfers per uke (lufthavn, by, dagstur)</w:t>
            </w:r>
          </w:p>
        </w:tc>
        <w:tc>
          <w:tcPr/>
          <w:p>
            <w:pPr>
              <w:pStyle w:val="Compact"/>
              <w:spacing w:line="360" w:lineRule="auto"/>
            </w:pPr>
            <w:r>
              <w:rPr>
                <w:rFonts w:ascii="Times New Roman" w:hAnsi="Times New Roman" w:cs="Times New Roman" w:eastAsia="Times New Roman"/>
                <w:sz w:val="24"/>
              </w:rPr>
              <w:t xml:space="preserve">&lt; 3</w:t>
            </w:r>
          </w:p>
        </w:tc>
        <w:tc>
          <w:tcPr/>
          <w:p>
            <w:pPr>
              <w:pStyle w:val="Compact"/>
              <w:spacing w:line="360" w:lineRule="auto"/>
            </w:pPr>
            <w:r>
              <w:rPr>
                <w:rFonts w:ascii="Times New Roman" w:hAnsi="Times New Roman" w:cs="Times New Roman" w:eastAsia="Times New Roman"/>
                <w:sz w:val="24"/>
              </w:rPr>
              <w:t xml:space="preserve">3–7</w:t>
            </w:r>
          </w:p>
        </w:tc>
        <w:tc>
          <w:tcPr/>
          <w:p>
            <w:pPr>
              <w:pStyle w:val="Compact"/>
              <w:spacing w:line="360" w:lineRule="auto"/>
            </w:pPr>
            <w:r>
              <w:rPr>
                <w:rFonts w:ascii="Times New Roman" w:hAnsi="Times New Roman" w:cs="Times New Roman" w:eastAsia="Times New Roman"/>
                <w:sz w:val="24"/>
              </w:rPr>
              <w:t xml:space="preserve">&gt; 7</w:t>
            </w:r>
          </w:p>
        </w:tc>
      </w:tr>
      <w:tr>
        <w:tc>
          <w:tcPr/>
          <w:p>
            <w:pPr>
              <w:pStyle w:val="Compact"/>
              <w:spacing w:line="360" w:lineRule="auto"/>
            </w:pPr>
            <w:r>
              <w:rPr>
                <w:rFonts w:ascii="Times New Roman" w:hAnsi="Times New Roman" w:cs="Times New Roman" w:eastAsia="Times New Roman"/>
                <w:sz w:val="24"/>
              </w:rPr>
              <w:t xml:space="preserve">Guide- eller excursion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frekvens</w:t>
            </w:r>
          </w:p>
        </w:tc>
        <w:tc>
          <w:tcPr/>
          <w:p>
            <w:pPr>
              <w:pStyle w:val="Compact"/>
              <w:spacing w:line="360" w:lineRule="auto"/>
            </w:pPr>
            <w:r>
              <w:rPr>
                <w:rFonts w:ascii="Times New Roman" w:hAnsi="Times New Roman" w:cs="Times New Roman" w:eastAsia="Times New Roman"/>
                <w:sz w:val="24"/>
              </w:rPr>
              <w:t xml:space="preserve">Sjelden</w:t>
            </w:r>
          </w:p>
        </w:tc>
        <w:tc>
          <w:tcPr/>
          <w:p>
            <w:pPr>
              <w:pStyle w:val="Compact"/>
              <w:spacing w:line="360" w:lineRule="auto"/>
            </w:pPr>
            <w:r>
              <w:rPr>
                <w:rFonts w:ascii="Times New Roman" w:hAnsi="Times New Roman" w:cs="Times New Roman" w:eastAsia="Times New Roman"/>
                <w:sz w:val="24"/>
              </w:rPr>
              <w:t xml:space="preserve">Av og til</w:t>
            </w:r>
          </w:p>
        </w:tc>
        <w:tc>
          <w:tcPr/>
          <w:p>
            <w:pPr>
              <w:pStyle w:val="Compact"/>
              <w:spacing w:line="360" w:lineRule="auto"/>
            </w:pPr>
            <w:r>
              <w:rPr>
                <w:rFonts w:ascii="Times New Roman" w:hAnsi="Times New Roman" w:cs="Times New Roman" w:eastAsia="Times New Roman"/>
                <w:sz w:val="24"/>
              </w:rPr>
              <w:t xml:space="preserve">Ofte</w:t>
            </w:r>
          </w:p>
        </w:tc>
      </w:tr>
    </w:tbl>
    <w:p>
      <w:pPr>
        <w:pStyle w:val="BodyText"/>
        <w:spacing w:line="360" w:lineRule="auto"/>
      </w:pPr>
      <w:r>
        <w:rPr>
          <w:rFonts w:ascii="Times New Roman" w:hAnsi="Times New Roman" w:cs="Times New Roman" w:eastAsia="Times New Roman"/>
          <w:sz w:val="24"/>
        </w:rPr>
        <w:t xml:space="preserve">Sum gir et tall mellom 0 og 10. Bucketing til de tre lovlige API-verdiene:</w:t>
      </w:r>
    </w:p>
    <w:p>
      <w:pPr>
        <w:pStyle w:val="Compact"/>
        <w:numPr>
          <w:ilvl w:val="0"/>
          <w:numId w:val="1024"/>
        </w:numPr>
        <w:spacing w:line="360" w:lineRule="auto"/>
      </w:pPr>
      <w:r>
        <w:rPr>
          <w:rFonts w:ascii="Times New Roman" w:hAnsi="Times New Roman" w:cs="Times New Roman" w:eastAsia="Times New Roman"/>
          <w:b/>
          <w:bCs/>
          <w:sz w:val="24"/>
        </w:rPr>
        <w:t xml:space="preserve">0–3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not_demanding</w:t>
      </w:r>
    </w:p>
    <w:p>
      <w:pPr>
        <w:pStyle w:val="Compact"/>
        <w:numPr>
          <w:ilvl w:val="0"/>
          <w:numId w:val="1024"/>
        </w:numPr>
        <w:spacing w:line="360" w:lineRule="auto"/>
      </w:pPr>
      <w:r>
        <w:rPr>
          <w:rFonts w:ascii="Times New Roman" w:hAnsi="Times New Roman" w:cs="Times New Roman" w:eastAsia="Times New Roman"/>
          <w:b/>
          <w:bCs/>
          <w:sz w:val="24"/>
        </w:rPr>
        <w:t xml:space="preserve">4–6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neutral</w:t>
      </w:r>
    </w:p>
    <w:p>
      <w:pPr>
        <w:pStyle w:val="Compact"/>
        <w:numPr>
          <w:ilvl w:val="0"/>
          <w:numId w:val="1024"/>
        </w:numPr>
        <w:spacing w:line="360" w:lineRule="auto"/>
      </w:pPr>
      <w:r>
        <w:rPr>
          <w:rFonts w:ascii="Times New Roman" w:hAnsi="Times New Roman" w:cs="Times New Roman" w:eastAsia="Times New Roman"/>
          <w:b/>
          <w:bCs/>
          <w:sz w:val="24"/>
        </w:rPr>
        <w:t xml:space="preserve">7–10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demanding</w:t>
      </w:r>
    </w:p>
    <w:p>
      <w:pPr>
        <w:pStyle w:val="FirstParagraph"/>
        <w:spacing w:line="360" w:lineRule="auto"/>
      </w:pPr>
      <w:r>
        <w:rPr>
          <w:rFonts w:ascii="Times New Roman" w:hAnsi="Times New Roman" w:cs="Times New Roman" w:eastAsia="Times New Roman"/>
          <w:b/>
          <w:bCs/>
          <w:sz w:val="24"/>
        </w:rPr>
        <w:t xml:space="preserve">Viktig: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forslag til startpunkt</w:t>
      </w:r>
      <w:r>
        <w:rPr>
          <w:rFonts w:ascii="Times New Roman" w:hAnsi="Times New Roman" w:cs="Times New Roman" w:eastAsia="Times New Roman"/>
          <w:sz w:val="24"/>
        </w:rPr>
        <w:t xml:space="preserve">, ikke en validert rubrikk. Den må forfattes og signeres av SDK Shipping selv før den tas i bruk operasjonelt. Dimensjonene og terskelverdiene over er valgt for å være observerbare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før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anløpet (slik at label kan settes før kostnadene er realisert), og for å være rimelig orto</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gonale (ingen dimensjon er en triviell funksjon av en annen). Anvendt på 1 626 historiske rader vil rubrikken kunne label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 tilbake i tid bare delvis, fordi nodene over ikke er logget — men kombinasjon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notater (</w:t>
      </w:r>
      <w:r>
        <w:rPr>
          <w:rStyle w:val="VerbatimChar"/>
          <w:rFonts w:ascii="Times New Roman" w:hAnsi="Times New Roman" w:cs="Times New Roman" w:eastAsia="Times New Roman"/>
          <w:sz w:val="24"/>
        </w:rPr>
        <w:t xml:space="preserve">invoice_comments</w:t>
      </w:r>
      <w:r>
        <w:rPr>
          <w:rFonts w:ascii="Times New Roman" w:hAnsi="Times New Roman" w:cs="Times New Roman" w:eastAsia="Times New Roman"/>
          <w:sz w:val="24"/>
        </w:rPr>
        <w:t xml:space="preserve">) og koordinatorenes minne kan gi en startsetting for re-trening (jf. § 10 punkt 7).</w:t>
      </w:r>
    </w:p>
    <w:p>
      <w:pPr>
        <w:pStyle w:val="BodyText"/>
        <w:spacing w:line="360" w:lineRule="auto"/>
      </w:pPr>
      <w:r>
        <w:rPr>
          <w:rFonts w:ascii="Times New Roman" w:hAnsi="Times New Roman" w:cs="Times New Roman" w:eastAsia="Times New Roman"/>
          <w:sz w:val="24"/>
        </w:rPr>
        <w:t xml:space="preserve">Uten en operasjonelt validert rubrikk vil framtidige labels variere mellom koordinatorer og introdusere systematisk støy som modellen vil tolke som tilfeldig variasjon. Rubrikken er derfor et forutsetnings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dokument for re-trening, ikke en ettertanke.</w:t>
      </w:r>
    </w:p>
    <w:bookmarkEnd w:id="100"/>
    <w:bookmarkStart w:id="101" w:name="Xf9089e41326fb5a28b13f7a5d68baa65f3326fb"/>
    <w:p>
      <w:pPr>
        <w:pStyle w:val="Heading3"/>
        <w:spacing w:line="360" w:lineRule="auto"/>
      </w:pPr>
      <w:r>
        <w:rPr>
          <w:rFonts w:ascii="Times New Roman" w:hAnsi="Times New Roman" w:cs="Times New Roman" w:eastAsia="Times New Roman"/>
          <w:sz w:val="24"/>
        </w:rPr>
        <w:t xml:space="preserve">Vedlegg G. Refleksjon over prosessens utfordringer</w:t>
      </w:r>
    </w:p>
    <w:p>
      <w:pPr>
        <w:pStyle w:val="FirstParagraph"/>
        <w:spacing w:line="360" w:lineRule="auto"/>
      </w:pPr>
      <w:r>
        <w:rPr>
          <w:rFonts w:ascii="Times New Roman" w:hAnsi="Times New Roman" w:cs="Times New Roman" w:eastAsia="Times New Roman"/>
          <w:sz w:val="24"/>
        </w:rPr>
        <w:t xml:space="preserve">Flyttet hit fra § 9.7 i tidligere utkast etter mentor-tilbakemelding 2026-05-25 om at meta-prat om gjennomføring ikke hører i diskusjonskapittelet.</w:t>
      </w:r>
    </w:p>
    <w:p>
      <w:pPr>
        <w:pStyle w:val="BodyText"/>
        <w:spacing w:line="360" w:lineRule="auto"/>
      </w:pPr>
      <w:r>
        <w:rPr>
          <w:rFonts w:ascii="Times New Roman" w:hAnsi="Times New Roman" w:cs="Times New Roman" w:eastAsia="Times New Roman"/>
          <w:b/>
          <w:bCs/>
          <w:sz w:val="24"/>
        </w:rPr>
        <w:t xml:space="preserve">Verktøy og KI-bruk.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Token-forbruket ble håndtert via parallelle Claude-sesjoner og Claude Code-worktrees. KI-hallusinerte referanser viste seg som reell risiko: Crossref-DOI-kontroll (v1.1) avdekket to oppføringer med korrekte DOI-er men fabrikerte forfatter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navn (Çerçi → Su 2024; Garrido → Jahangard 2025) — begge korrigert. DOI-resolusjon er nå standard sluttkontroll. Markdown → Word-konvertering håndteres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convert_to_word_v2.py</w:t>
      </w:r>
      <w:r>
        <w:rPr>
          <w:rFonts w:ascii="Times New Roman" w:hAnsi="Times New Roman" w:cs="Times New Roman" w:eastAsia="Times New Roman"/>
          <w:sz w:val="24"/>
        </w:rPr>
        <w:t xml:space="preserve">. TreeSHAP-generering for Figur 7.6 feilet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categorical_feature</w:t>
      </w:r>
      <w:r>
        <w:rPr>
          <w:rFonts w:ascii="Times New Roman" w:hAnsi="Times New Roman" w:cs="Times New Roman" w:eastAsia="Times New Roman"/>
          <w:sz w:val="24"/>
        </w:rPr>
        <w:t xml:space="preserve">-mismatch og falt tilbake til gain-importance som proxy (jf. § 7.3).</w:t>
      </w:r>
    </w:p>
    <w:p>
      <w:pPr>
        <w:pStyle w:val="BodyText"/>
        <w:spacing w:line="360" w:lineRule="auto"/>
      </w:pPr>
      <w:r>
        <w:rPr>
          <w:rFonts w:ascii="Times New Roman" w:hAnsi="Times New Roman" w:cs="Times New Roman" w:eastAsia="Times New Roman"/>
          <w:b/>
          <w:bCs/>
          <w:sz w:val="24"/>
        </w:rPr>
        <w:t xml:space="preserve">Peer review-respons (Gruppe 10, 2026-05-07).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Alle syv punktene er lukket gjennom v1.0–v2.2: konkretiserte bidrag i § 1.5, teori-relevans-bokser i § 3, eksplisitt skille utvikling/seleksjon/evaluering i § 5.4, PNG-figurer i § 7, litteratur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koblinger i diskusjonen, APA 7 og alfabetisk bibliografi (v2.1). Tre tilleggspunkter — test-sett-evaluering, statistisk signifikans,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 — løst i v1.0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bootstrap-KI, Pettersen &amp; Rekdal). Bias-feil i Figur 7.8 (−0,03 → reell −0,20) er rettet i § 7.4.</w:t>
      </w:r>
    </w:p>
    <w:p>
      <w:pPr>
        <w:pStyle w:val="BodyText"/>
        <w:spacing w:line="360" w:lineRule="auto"/>
      </w:pPr>
      <w:r>
        <w:rPr>
          <w:rFonts w:ascii="Times New Roman" w:hAnsi="Times New Roman" w:cs="Times New Roman" w:eastAsia="Times New Roman"/>
          <w:b/>
          <w:bCs/>
          <w:sz w:val="24"/>
        </w:rPr>
        <w:t xml:space="preserve">Mentor-kontroll (2026-05-25).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Seks endringer i v2.2: forside med egen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erklæring; «vi» → «jeg»/passiv; konkret KI-erklæring; § 1.5 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formulert til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anvendte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jf. § B.4; refleksjon flyttet hit; refit-svakhet i § 8.1.1 tydeliggjort.</w:t>
      </w:r>
    </w:p>
    <w:p>
      <w:pPr>
        <w:pStyle w:val="BodyText"/>
        <w:spacing w:line="360" w:lineRule="auto"/>
      </w:pPr>
      <w:r>
        <w:rPr>
          <w:rFonts w:ascii="Times New Roman" w:hAnsi="Times New Roman" w:cs="Times New Roman" w:eastAsia="Times New Roman"/>
          <w:b/>
          <w:bCs/>
          <w:sz w:val="24"/>
        </w:rPr>
        <w:t xml:space="preserve">Åpne strukturelle 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mangler uavhengig holdout, operasjonell validering over tid, ekstern operatør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 og Diebold-Mariano-test (videre arbeid 10–11). Alle eksplisitt dokumentert, ikke skjult — jf. A.3.</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4"/>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sz w:val="24"/>
      <w:szCs w:val="20"/>
    </w:rPr>
  </w:style>
  <w:style w:styleId="Bibliography" w:type="paragraph">
    <w:name w:val="Bibliography"/>
    <w:basedOn w:val="Normal"/>
    <w:next w:val="Bibliography"/>
    <w:qFormat/>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4"/>
    </w:rPr>
  </w:style>
  <w:style w:customStyle="1" w:styleId="Definition" w:type="paragraph">
    <w:name w:val="Definition"/>
    <w:basedOn w:val="Normal"/>
    <w:rPr>
      <w:rFonts w:ascii="Times New Roman" w:hAnsi="Times New Roman"/>
      <w:sz w:val="24"/>
    </w:rPr>
  </w:style>
  <w:style w:styleId="Caption" w:type="paragraph">
    <w:name w:val="Caption"/>
    <w:basedOn w:val="Normal"/>
    <w:link w:val="BodyTextChar"/>
    <w:pPr>
      <w:spacing w:after="120" w:before="0"/>
    </w:pPr>
    <w:rPr>
      <w:rFonts w:ascii="Times New Roman" w:hAnsi="Times New Roman"/>
      <w:i/>
      <w:sz w:val="22"/>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sz w:val="28"/>
    </w:rPr>
  </w:style>
  <w:style w:type="paragraph" w:customStyle="1" w:styleId="SourceCode">
    <w:name w:val="Source Code"/>
    <w:basedOn w:val="Normal"/>
    <w:link w:val="VerbatimChar"/>
    <w:pPr>
      <w:wordWrap w:val="off"/>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Rene</dc:creator>
  <cp:keywords/>
  <dcterms:created xsi:type="dcterms:W3CDTF">2026-05-25T16:26:53Z</dcterms:created>
  <dcterms:modified xsi:type="dcterms:W3CDTF">2026-05-25T16:26:53Z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LOG650 Forskningsprosjekt, vår 2026 — Gruppe 11, Jørgen Rene (individuell)</vt:lpwstr>
  </property>
</Properties>
</file>