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49CEAC" w14:textId="77777777" w:rsidR="003C788D" w:rsidRDefault="00AA7D12">
      <w:pPr>
        <w:pStyle w:val="FirstParagraph"/>
        <w:spacing w:before="1440" w:after="960" w:line="276" w:lineRule="auto"/>
        <w:jc w:val="center"/>
      </w:pPr>
      <w:r>
        <w:rPr>
          <w:rFonts w:eastAsia="Times New Roman" w:cs="Times New Roman"/>
          <w:noProof/>
        </w:rPr>
        <w:drawing>
          <wp:inline distT="0" distB="0" distL="0" distR="0" wp14:anchorId="03E37B67" wp14:editId="4901C1A2">
            <wp:extent cx="1439999" cy="1439999"/>
            <wp:effectExtent l="0" t="0" r="0" b="0"/>
            <wp:docPr id="10" name="Picture"/>
            <wp:cNvGraphicFramePr/>
            <a:graphic xmlns:a="http://schemas.openxmlformats.org/drawingml/2006/main">
              <a:graphicData uri="http://schemas.openxmlformats.org/drawingml/2006/picture">
                <pic:pic xmlns:pic="http://schemas.openxmlformats.org/drawingml/2006/picture">
                  <pic:nvPicPr>
                    <pic:cNvPr id="11" name="Picture" descr="figures/him-logo.png"/>
                    <pic:cNvPicPr>
                      <a:picLocks noChangeAspect="1" noChangeArrowheads="1"/>
                    </pic:cNvPicPr>
                  </pic:nvPicPr>
                  <pic:blipFill>
                    <a:blip r:embed="rId5"/>
                    <a:stretch>
                      <a:fillRect/>
                    </a:stretch>
                  </pic:blipFill>
                  <pic:spPr bwMode="auto">
                    <a:xfrm>
                      <a:off x="0" y="0"/>
                      <a:ext cx="1439999" cy="1439999"/>
                    </a:xfrm>
                    <a:prstGeom prst="rect">
                      <a:avLst/>
                    </a:prstGeom>
                    <a:noFill/>
                    <a:ln w="9525">
                      <a:noFill/>
                      <a:headEnd/>
                      <a:tailEnd/>
                    </a:ln>
                  </pic:spPr>
                </pic:pic>
              </a:graphicData>
            </a:graphic>
          </wp:inline>
        </w:drawing>
      </w:r>
    </w:p>
    <w:p w14:paraId="6A8A6204" w14:textId="77777777" w:rsidR="003C788D" w:rsidRDefault="00AA7D12">
      <w:pPr>
        <w:pStyle w:val="Overskrift1"/>
        <w:spacing w:before="720" w:after="240"/>
        <w:jc w:val="center"/>
      </w:pPr>
      <w:bookmarkStart w:id="0" w:name="yo_predcost"/>
      <w:r>
        <w:rPr>
          <w:b/>
          <w:sz w:val="96"/>
        </w:rPr>
        <w:t>YO_Predcost</w:t>
      </w:r>
    </w:p>
    <w:p w14:paraId="59DF22DF" w14:textId="77777777" w:rsidR="003C788D" w:rsidRDefault="00AA7D12">
      <w:pPr>
        <w:pStyle w:val="FirstParagraph"/>
        <w:spacing w:line="276" w:lineRule="auto"/>
        <w:jc w:val="center"/>
      </w:pPr>
      <w:r>
        <w:rPr>
          <w:rFonts w:eastAsia="Times New Roman" w:cs="Times New Roman"/>
          <w:i/>
          <w:iCs/>
          <w:sz w:val="32"/>
        </w:rPr>
        <w:t>Datadreven kostnadsestimering for yachthavneanløp i Skandinavia</w:t>
      </w:r>
    </w:p>
    <w:p w14:paraId="6049A2AC" w14:textId="77777777" w:rsidR="003C788D" w:rsidRDefault="00AA7D12">
      <w:pPr>
        <w:pStyle w:val="Brdtekst"/>
        <w:spacing w:line="276" w:lineRule="auto"/>
        <w:jc w:val="center"/>
      </w:pPr>
      <w:r>
        <w:rPr>
          <w:rFonts w:eastAsia="Times New Roman" w:cs="Times New Roman"/>
        </w:rPr>
        <w:t>LOG650 — Forskningsprosjekt, vår 2026</w:t>
      </w:r>
    </w:p>
    <w:p w14:paraId="03F27C47" w14:textId="77777777" w:rsidR="003C788D" w:rsidRDefault="00AA7D12">
      <w:pPr>
        <w:pStyle w:val="Brdtekst"/>
        <w:spacing w:line="276" w:lineRule="auto"/>
        <w:jc w:val="center"/>
      </w:pPr>
      <w:r>
        <w:rPr>
          <w:rFonts w:eastAsia="Times New Roman" w:cs="Times New Roman"/>
        </w:rPr>
        <w:t>Gruppe 11</w:t>
      </w:r>
    </w:p>
    <w:p w14:paraId="08965077" w14:textId="77777777" w:rsidR="003C788D" w:rsidRDefault="00AA7D12">
      <w:pPr>
        <w:pStyle w:val="Brdtekst"/>
        <w:spacing w:line="276" w:lineRule="auto"/>
        <w:jc w:val="center"/>
      </w:pPr>
      <w:r>
        <w:rPr>
          <w:rFonts w:eastAsia="Times New Roman" w:cs="Times New Roman"/>
          <w:b/>
          <w:bCs/>
        </w:rPr>
        <w:t>Jørgen Rene</w:t>
      </w:r>
      <w:r>
        <w:rPr>
          <w:rFonts w:eastAsia="Times New Roman" w:cs="Times New Roman"/>
        </w:rPr>
        <w:t xml:space="preserve"> (individuell)</w:t>
      </w:r>
    </w:p>
    <w:p w14:paraId="0999A034" w14:textId="77777777" w:rsidR="003C788D" w:rsidRDefault="00AA7D12">
      <w:pPr>
        <w:pStyle w:val="Brdtekst"/>
        <w:spacing w:line="276" w:lineRule="auto"/>
        <w:jc w:val="center"/>
      </w:pPr>
      <w:r>
        <w:rPr>
          <w:rFonts w:eastAsia="Times New Roman" w:cs="Times New Roman"/>
        </w:rPr>
        <w:t>Veiledere: Bård Inge Pettersen · Per Kristian Rekdal · Erik Langelo</w:t>
      </w:r>
    </w:p>
    <w:p w14:paraId="65A39C7E" w14:textId="77777777" w:rsidR="003C788D" w:rsidRDefault="00AA7D12">
      <w:pPr>
        <w:pStyle w:val="Brdtekst"/>
        <w:spacing w:line="276" w:lineRule="auto"/>
        <w:jc w:val="center"/>
      </w:pPr>
      <w:r>
        <w:rPr>
          <w:rFonts w:eastAsia="Times New Roman" w:cs="Times New Roman"/>
        </w:rPr>
        <w:t>Molde, mai 2026</w:t>
      </w:r>
    </w:p>
    <w:p w14:paraId="50B7710D" w14:textId="77777777" w:rsidR="003C788D" w:rsidRDefault="00AA7D12">
      <w:pPr>
        <w:pStyle w:val="Brdtekst"/>
        <w:spacing w:line="276" w:lineRule="auto"/>
        <w:jc w:val="center"/>
      </w:pPr>
      <w:r>
        <w:rPr>
          <w:rFonts w:eastAsia="Times New Roman" w:cs="Times New Roman"/>
        </w:rPr>
        <w:t>Høgskolen i Molde · Avdeling for logistikk</w:t>
      </w:r>
    </w:p>
    <w:p w14:paraId="2878F36A" w14:textId="77777777" w:rsidR="003C788D" w:rsidRDefault="00AA7D12">
      <w:pPr>
        <w:spacing w:line="276" w:lineRule="auto"/>
        <w:jc w:val="center"/>
      </w:pPr>
      <w:r>
        <w:rPr>
          <w:rFonts w:eastAsia="Times New Roman" w:cs="Times New Roman"/>
          <w:sz w:val="28"/>
        </w:rPr>
        <w:br w:type="page"/>
      </w:r>
    </w:p>
    <w:p w14:paraId="431EEE5E" w14:textId="77777777" w:rsidR="003C788D" w:rsidRDefault="00AA7D12">
      <w:pPr>
        <w:pStyle w:val="Overskrift2"/>
      </w:pPr>
      <w:bookmarkStart w:id="1" w:name="obligatorisk-egenerklæring"/>
      <w:bookmarkStart w:id="2" w:name="_Toc230777762"/>
      <w:r>
        <w:t>Obligatorisk egenerklæring</w:t>
      </w:r>
      <w:bookmarkEnd w:id="2"/>
    </w:p>
    <w:p w14:paraId="14AB6338" w14:textId="77777777" w:rsidR="003C788D" w:rsidRDefault="00AA7D12">
      <w:pPr>
        <w:pStyle w:val="FirstParagraph"/>
        <w:spacing w:line="360" w:lineRule="auto"/>
      </w:pPr>
      <w:r>
        <w:rPr>
          <w:rFonts w:eastAsia="Times New Roman" w:cs="Times New Roman"/>
          <w:b/>
          <w:bCs/>
        </w:rPr>
        <w:t>Forfatter:</w:t>
      </w:r>
      <w:r>
        <w:rPr>
          <w:rFonts w:eastAsia="Times New Roman" w:cs="Times New Roman"/>
        </w:rPr>
        <w:t xml:space="preserve"> Jørgen Rene · </w:t>
      </w:r>
      <w:r>
        <w:rPr>
          <w:rFonts w:eastAsia="Times New Roman" w:cs="Times New Roman"/>
          <w:b/>
          <w:bCs/>
        </w:rPr>
        <w:t>Studiepoeng:</w:t>
      </w:r>
      <w:r>
        <w:rPr>
          <w:rFonts w:eastAsia="Times New Roman" w:cs="Times New Roman"/>
        </w:rPr>
        <w:t xml:space="preserve"> 15 (LOG650 Forskningsprosjekt) · </w:t>
      </w:r>
      <w:r>
        <w:rPr>
          <w:rFonts w:eastAsia="Times New Roman" w:cs="Times New Roman"/>
          <w:b/>
          <w:bCs/>
        </w:rPr>
        <w:t>Veiledere:</w:t>
      </w:r>
      <w:r>
        <w:rPr>
          <w:rFonts w:eastAsia="Times New Roman" w:cs="Times New Roman"/>
        </w:rPr>
        <w:t xml:space="preserve"> Bård Inge Pettersen, Per Kristian Rekdal, Erik Langelo · </w:t>
      </w:r>
      <w:r>
        <w:rPr>
          <w:rFonts w:eastAsia="Times New Roman" w:cs="Times New Roman"/>
          <w:b/>
          <w:bCs/>
        </w:rPr>
        <w:t>Dato:</w:t>
      </w:r>
      <w:r>
        <w:rPr>
          <w:rFonts w:eastAsia="Times New Roman" w:cs="Times New Roman"/>
        </w:rPr>
        <w:t xml:space="preserve"> 2026-05-25 · </w:t>
      </w:r>
      <w:r>
        <w:rPr>
          <w:rFonts w:eastAsia="Times New Roman" w:cs="Times New Roman"/>
          <w:b/>
          <w:bCs/>
        </w:rPr>
        <w:t>Antall ord (hoved</w:t>
      </w:r>
      <w:r>
        <w:rPr>
          <w:rFonts w:eastAsia="Times New Roman" w:cs="Times New Roman"/>
          <w:b/>
          <w:bCs/>
        </w:rPr>
        <w:softHyphen/>
        <w:t>tekst, Word-stil):</w:t>
      </w:r>
      <w:r>
        <w:rPr>
          <w:rFonts w:eastAsia="Times New Roman" w:cs="Times New Roman"/>
        </w:rPr>
        <w:t xml:space="preserve"> ca. 12 000.</w:t>
      </w:r>
    </w:p>
    <w:p w14:paraId="0E0A115F" w14:textId="77777777" w:rsidR="003C788D" w:rsidRDefault="00AA7D12">
      <w:pPr>
        <w:pStyle w:val="Brdtekst"/>
        <w:spacing w:line="360" w:lineRule="auto"/>
      </w:pPr>
      <w:r>
        <w:rPr>
          <w:rFonts w:eastAsia="Times New Roman" w:cs="Times New Roman"/>
        </w:rPr>
        <w:t xml:space="preserve">Forfatter bekrefter (1–6) jf. HiMs mal </w:t>
      </w:r>
      <w:r>
        <w:rPr>
          <w:rFonts w:eastAsia="Times New Roman" w:cs="Times New Roman"/>
          <w:i/>
          <w:iCs/>
        </w:rPr>
        <w:t>Mal prosjekt LOG650 v2.docx</w:t>
      </w:r>
      <w:r>
        <w:rPr>
          <w:rFonts w:eastAsia="Times New Roman" w:cs="Times New Roman"/>
        </w:rPr>
        <w:t>:</w:t>
      </w:r>
    </w:p>
    <w:p w14:paraId="33491B91" w14:textId="77777777" w:rsidR="003C788D" w:rsidRDefault="00AA7D12">
      <w:pPr>
        <w:pStyle w:val="Compact"/>
        <w:numPr>
          <w:ilvl w:val="0"/>
          <w:numId w:val="2"/>
        </w:numPr>
        <w:spacing w:line="360" w:lineRule="auto"/>
      </w:pPr>
      <w:r>
        <w:rPr>
          <w:rFonts w:eastAsia="Times New Roman" w:cs="Times New Roman"/>
        </w:rPr>
        <w:t>(1) Besvarelsen er eget arbeid; ingen kilder eller hjelp utover det som er oppgitt.</w:t>
      </w:r>
    </w:p>
    <w:p w14:paraId="16B34A0B" w14:textId="77777777" w:rsidR="003C788D" w:rsidRDefault="00AA7D12">
      <w:pPr>
        <w:pStyle w:val="Compact"/>
        <w:numPr>
          <w:ilvl w:val="0"/>
          <w:numId w:val="3"/>
        </w:numPr>
        <w:spacing w:line="360" w:lineRule="auto"/>
      </w:pPr>
      <w:r>
        <w:rPr>
          <w:rFonts w:eastAsia="Times New Roman" w:cs="Times New Roman"/>
        </w:rPr>
        <w:t>(2) Besvarelsen er ikke brukt til annen eksamen, refererer ikke til andres eller eget tidligere arbeid uten oppgivelse, har alle referanser i bibliografien, og er ikke kopi/duplikat av andres arbeid.</w:t>
      </w:r>
    </w:p>
    <w:p w14:paraId="772C3C98" w14:textId="77777777" w:rsidR="003C788D" w:rsidRDefault="00AA7D12">
      <w:pPr>
        <w:pStyle w:val="Compact"/>
        <w:numPr>
          <w:ilvl w:val="0"/>
          <w:numId w:val="4"/>
        </w:numPr>
        <w:spacing w:line="360" w:lineRule="auto"/>
      </w:pPr>
      <w:r>
        <w:rPr>
          <w:rFonts w:eastAsia="Times New Roman" w:cs="Times New Roman"/>
        </w:rPr>
        <w:t>(3) Forfatter er kjent med at brudd på (1)–(2) er fusk jf. UH-loven §§ 4-7/4-8 og Forskrift om eksamen §§ 14/15.</w:t>
      </w:r>
    </w:p>
    <w:p w14:paraId="771D80B0" w14:textId="77777777" w:rsidR="003C788D" w:rsidRDefault="00AA7D12">
      <w:pPr>
        <w:pStyle w:val="Compact"/>
        <w:numPr>
          <w:ilvl w:val="0"/>
          <w:numId w:val="5"/>
        </w:numPr>
        <w:spacing w:line="360" w:lineRule="auto"/>
      </w:pPr>
      <w:r>
        <w:rPr>
          <w:rFonts w:eastAsia="Times New Roman" w:cs="Times New Roman"/>
        </w:rPr>
        <w:t>(4) Forfatter er kjent med plagiatkontroll i URKUND.</w:t>
      </w:r>
    </w:p>
    <w:p w14:paraId="41DEC850" w14:textId="77777777" w:rsidR="003C788D" w:rsidRDefault="00AA7D12">
      <w:pPr>
        <w:pStyle w:val="Compact"/>
        <w:numPr>
          <w:ilvl w:val="0"/>
          <w:numId w:val="6"/>
        </w:numPr>
        <w:spacing w:line="360" w:lineRule="auto"/>
      </w:pPr>
      <w:r>
        <w:rPr>
          <w:rFonts w:eastAsia="Times New Roman" w:cs="Times New Roman"/>
        </w:rPr>
        <w:t>(5) Forfatter er kjent med høgskolens fuskebehandling.</w:t>
      </w:r>
    </w:p>
    <w:p w14:paraId="1AB77FF4" w14:textId="77777777" w:rsidR="003C788D" w:rsidRDefault="00AA7D12">
      <w:pPr>
        <w:pStyle w:val="Compact"/>
        <w:numPr>
          <w:ilvl w:val="0"/>
          <w:numId w:val="7"/>
        </w:numPr>
        <w:spacing w:line="360" w:lineRule="auto"/>
      </w:pPr>
      <w:r>
        <w:rPr>
          <w:rFonts w:eastAsia="Times New Roman" w:cs="Times New Roman"/>
        </w:rPr>
        <w:t>(6) Forfatter har satt seg inn i bibliotekets regler for kildebruk.</w:t>
      </w:r>
    </w:p>
    <w:p w14:paraId="0CB473C8" w14:textId="77777777" w:rsidR="003C788D" w:rsidRDefault="00AA7D12">
      <w:pPr>
        <w:pStyle w:val="FirstParagraph"/>
        <w:spacing w:line="360" w:lineRule="auto"/>
      </w:pPr>
      <w:r>
        <w:rPr>
          <w:rFonts w:eastAsia="Times New Roman" w:cs="Times New Roman"/>
          <w:b/>
          <w:bCs/>
        </w:rPr>
        <w:t>Personvern:</w:t>
      </w:r>
      <w:r>
        <w:rPr>
          <w:rFonts w:eastAsia="Times New Roman" w:cs="Times New Roman"/>
        </w:rPr>
        <w:t xml:space="preserve"> Ikke meldt til NSD; faktura</w:t>
      </w:r>
      <w:r>
        <w:rPr>
          <w:rFonts w:eastAsia="Times New Roman" w:cs="Times New Roman"/>
        </w:rPr>
        <w:softHyphen/>
        <w:t>data inneholder ingen direkte personopplysninger og yacht-IDer er anonymisert (</w:t>
      </w:r>
      <w:r>
        <w:rPr>
          <w:rStyle w:val="VerbatimChar"/>
          <w:rFonts w:ascii="Times New Roman" w:eastAsia="Times New Roman" w:hAnsi="Times New Roman" w:cs="Times New Roman"/>
          <w:sz w:val="24"/>
        </w:rPr>
        <w:t>yacht_1, …, yacht_19</w:t>
      </w:r>
      <w:r>
        <w:rPr>
          <w:rFonts w:eastAsia="Times New Roman" w:cs="Times New Roman"/>
        </w:rPr>
        <w:t xml:space="preserve">), jf. § 9.8. </w:t>
      </w:r>
      <w:r>
        <w:rPr>
          <w:rFonts w:eastAsia="Times New Roman" w:cs="Times New Roman"/>
          <w:b/>
          <w:bCs/>
        </w:rPr>
        <w:t>Helseforskningsloven:</w:t>
      </w:r>
      <w:r>
        <w:rPr>
          <w:rFonts w:eastAsia="Times New Roman" w:cs="Times New Roman"/>
        </w:rPr>
        <w:t xml:space="preserve"> Ikke aktuelt. </w:t>
      </w:r>
      <w:r>
        <w:rPr>
          <w:rFonts w:eastAsia="Times New Roman" w:cs="Times New Roman"/>
          <w:b/>
          <w:bCs/>
        </w:rPr>
        <w:t>Publiseringsavtale Brage HiM:</w:t>
      </w:r>
      <w:r>
        <w:rPr>
          <w:rFonts w:eastAsia="Times New Roman" w:cs="Times New Roman"/>
        </w:rPr>
        <w:t xml:space="preserve"> ☐ Ja ☐ Nei. </w:t>
      </w:r>
      <w:r>
        <w:rPr>
          <w:rFonts w:eastAsia="Times New Roman" w:cs="Times New Roman"/>
          <w:b/>
          <w:bCs/>
        </w:rPr>
        <w:t>Båndlagt:</w:t>
      </w:r>
      <w:r>
        <w:rPr>
          <w:rFonts w:eastAsia="Times New Roman" w:cs="Times New Roman"/>
        </w:rPr>
        <w:t xml:space="preserve"> ☐ Ja ☐ Nei </w:t>
      </w:r>
      <w:r>
        <w:rPr>
          <w:rFonts w:eastAsia="Times New Roman" w:cs="Times New Roman"/>
          <w:i/>
          <w:iCs/>
        </w:rPr>
        <w:t>(velges ved innlevering).</w:t>
      </w:r>
    </w:p>
    <w:p w14:paraId="01CA85B8" w14:textId="77777777" w:rsidR="003C788D" w:rsidRDefault="00AA7D12">
      <w:pPr>
        <w:spacing w:line="360" w:lineRule="auto"/>
      </w:pPr>
      <w:r>
        <w:rPr>
          <w:rFonts w:eastAsia="Times New Roman" w:cs="Times New Roman"/>
        </w:rPr>
        <w:pict w14:anchorId="636E4BED">
          <v:rect id="_x0000_i1025" style="width:0;height:1.5pt" o:hralign="center" o:hrstd="t" o:hr="t"/>
        </w:pict>
      </w:r>
    </w:p>
    <w:p w14:paraId="517890F3" w14:textId="77777777" w:rsidR="003C788D" w:rsidRDefault="00AA7D12">
      <w:pPr>
        <w:pStyle w:val="Overskrift2"/>
      </w:pPr>
      <w:bookmarkStart w:id="3" w:name="sammendrag"/>
      <w:bookmarkStart w:id="4" w:name="_Toc230777763"/>
      <w:bookmarkEnd w:id="1"/>
      <w:r>
        <w:t>Sammendrag</w:t>
      </w:r>
      <w:bookmarkEnd w:id="4"/>
    </w:p>
    <w:p w14:paraId="195DA175" w14:textId="77777777" w:rsidR="003C788D" w:rsidRDefault="00AA7D12">
      <w:pPr>
        <w:pStyle w:val="FirstParagraph"/>
        <w:spacing w:line="360" w:lineRule="auto"/>
      </w:pPr>
      <w:r>
        <w:rPr>
          <w:rFonts w:eastAsia="Times New Roman" w:cs="Times New Roman"/>
        </w:rPr>
        <w:t xml:space="preserve">NautiCost er et beslutningsstøtteverktøy som estimerer totalkostnaden for et superyachthavneanløp i Norge, Sverige eller Danmark før yachten ankommer. Datasettet kombinerer </w:t>
      </w:r>
      <w:r>
        <w:rPr>
          <w:rFonts w:eastAsia="Times New Roman" w:cs="Times New Roman"/>
          <w:b/>
          <w:bCs/>
        </w:rPr>
        <w:t>670 reelle 2025-fakturaer fra SDK Shipping</w:t>
      </w:r>
      <w:r>
        <w:rPr>
          <w:rFonts w:eastAsia="Times New Roman" w:cs="Times New Roman"/>
        </w:rPr>
        <w:t xml:space="preserve"> (n = 649 etter feature engineering; testsettet) med </w:t>
      </w:r>
      <w:r>
        <w:rPr>
          <w:rFonts w:eastAsia="Times New Roman" w:cs="Times New Roman"/>
          <w:b/>
          <w:bCs/>
        </w:rPr>
        <w:t>977 simulerte 2020–2024-transaksjoner</w:t>
      </w:r>
      <w:r>
        <w:rPr>
          <w:rFonts w:eastAsia="Times New Roman" w:cs="Times New Roman"/>
        </w:rPr>
        <w:t xml:space="preserve"> ankret i case-strukturen, koblet mot 17 yachters spesifikasjoner. Metodevalget er pensum</w:t>
      </w:r>
      <w:r>
        <w:rPr>
          <w:rFonts w:eastAsia="Times New Roman" w:cs="Times New Roman"/>
        </w:rPr>
        <w:softHyphen/>
        <w:t>forankret (Pettersen &amp; Rekdal, 2026, tabell 1.1): gradient boosting + kryssvalidering + SHAP + hyperparameter</w:t>
      </w:r>
      <w:r>
        <w:rPr>
          <w:rFonts w:eastAsia="Times New Roman" w:cs="Times New Roman"/>
        </w:rPr>
        <w:softHyphen/>
        <w:t xml:space="preserve">tuning. Kostnaden modelleres på transaksjonsnivå med log-transformert mål og en LightGBM + CatBoost-ensemble. Prediksjoner aggregeres via portmaler og trafikkvekter, og kalibreres </w:t>
      </w:r>
      <w:r>
        <w:rPr>
          <w:rFonts w:eastAsia="Times New Roman" w:cs="Times New Roman"/>
        </w:rPr>
        <w:t xml:space="preserve">mot empiriske persentiler (P25/P50/P75) per (havn, størrelse). Kildedata er i EUR; frontend konverterer til NOK/DKK ved API-grensa. På simulert val=2024 (n = 490): </w:t>
      </w:r>
      <w:r>
        <w:rPr>
          <w:rFonts w:eastAsia="Times New Roman" w:cs="Times New Roman"/>
          <w:b/>
          <w:bCs/>
        </w:rPr>
        <w:t>MAE = 17 350 EUR, wMAPE = 71,4 %</w:t>
      </w:r>
      <w:r>
        <w:rPr>
          <w:rFonts w:eastAsia="Times New Roman" w:cs="Times New Roman"/>
        </w:rPr>
        <w:t xml:space="preserve"> — 20 % bedre enn median</w:t>
      </w:r>
      <w:r>
        <w:rPr>
          <w:rFonts w:eastAsia="Times New Roman" w:cs="Times New Roman"/>
        </w:rPr>
        <w:softHyphen/>
        <w:t xml:space="preserve">baseline. På det reelle 2025-testsettet (n = 649): </w:t>
      </w:r>
      <w:r>
        <w:rPr>
          <w:rFonts w:eastAsia="Times New Roman" w:cs="Times New Roman"/>
          <w:b/>
          <w:bCs/>
        </w:rPr>
        <w:t>MAE = 19 051 EUR, wMAPE = 74,3 %</w:t>
      </w:r>
      <w:r>
        <w:rPr>
          <w:rFonts w:eastAsia="Times New Roman" w:cs="Times New Roman"/>
        </w:rPr>
        <w:t xml:space="preserve"> — ≈ 10 % val→test-degradering, hvor en del skyldes simulert→reell-overgangen. Modellen er pakket som FastAPI + Next.js med svar</w:t>
      </w:r>
      <w:r>
        <w:rPr>
          <w:rFonts w:eastAsia="Times New Roman" w:cs="Times New Roman"/>
        </w:rPr>
        <w:softHyphen/>
        <w:t>tid under to sekunder.</w:t>
      </w:r>
    </w:p>
    <w:p w14:paraId="3807D48E" w14:textId="77777777" w:rsidR="003C788D" w:rsidRDefault="00AA7D12">
      <w:pPr>
        <w:spacing w:line="360" w:lineRule="auto"/>
      </w:pPr>
      <w:r>
        <w:rPr>
          <w:rFonts w:eastAsia="Times New Roman" w:cs="Times New Roman"/>
        </w:rPr>
        <w:pict w14:anchorId="1963A867">
          <v:rect id="_x0000_i1026" style="width:0;height:1.5pt" o:hralign="center" o:hrstd="t" o:hr="t"/>
        </w:pict>
      </w:r>
    </w:p>
    <w:p w14:paraId="1F721744" w14:textId="77777777" w:rsidR="003C788D" w:rsidRDefault="00AA7D12">
      <w:pPr>
        <w:pStyle w:val="Overskrift2"/>
      </w:pPr>
      <w:bookmarkStart w:id="5" w:name="abstract"/>
      <w:bookmarkStart w:id="6" w:name="_Toc230777764"/>
      <w:bookmarkEnd w:id="3"/>
      <w:r>
        <w:t>Abstract</w:t>
      </w:r>
      <w:bookmarkEnd w:id="6"/>
    </w:p>
    <w:p w14:paraId="76F350B6" w14:textId="77777777" w:rsidR="003C788D" w:rsidRDefault="00AA7D12">
      <w:pPr>
        <w:pStyle w:val="FirstParagraph"/>
        <w:spacing w:line="360" w:lineRule="auto"/>
      </w:pPr>
      <w:r>
        <w:rPr>
          <w:rFonts w:eastAsia="Times New Roman" w:cs="Times New Roman"/>
        </w:rPr>
        <w:t>NautiCost is a pre-arrival decision-support tool that estimates the total cost of a super</w:t>
      </w:r>
      <w:r>
        <w:rPr>
          <w:rFonts w:eastAsia="Times New Roman" w:cs="Times New Roman"/>
        </w:rPr>
        <w:softHyphen/>
        <w:t xml:space="preserve">yacht port call in Norway, Sweden or Denmark. The dataset combines </w:t>
      </w:r>
      <w:r>
        <w:rPr>
          <w:rFonts w:eastAsia="Times New Roman" w:cs="Times New Roman"/>
          <w:b/>
          <w:bCs/>
        </w:rPr>
        <w:t>670 real 2025 invoices from SDK Shipping</w:t>
      </w:r>
      <w:r>
        <w:rPr>
          <w:rFonts w:eastAsia="Times New Roman" w:cs="Times New Roman"/>
        </w:rPr>
        <w:t xml:space="preserve"> (n = 649 after feature engineering; the hold-out test set) with </w:t>
      </w:r>
      <w:r>
        <w:rPr>
          <w:rFonts w:eastAsia="Times New Roman" w:cs="Times New Roman"/>
          <w:b/>
          <w:bCs/>
        </w:rPr>
        <w:t>977 simulated 2020–2024 transactions</w:t>
      </w:r>
      <w:r>
        <w:rPr>
          <w:rFonts w:eastAsia="Times New Roman" w:cs="Times New Roman"/>
        </w:rPr>
        <w:t xml:space="preserve"> anchored in the case structure, linked to 17 yachts. The methodology is curriculum-anchored (Pettersen &amp; Rekdal, 2026, Table 1.1): gradient boosting, cross-validation, SHAP and hyper</w:t>
      </w:r>
      <w:r>
        <w:rPr>
          <w:rFonts w:eastAsia="Times New Roman" w:cs="Times New Roman"/>
        </w:rPr>
        <w:softHyphen/>
        <w:t>parameter tuning. Cost is modelled per transaction with a log-transformed target and a LightGBM + CatBoost ensemble, th</w:t>
      </w:r>
      <w:r>
        <w:rPr>
          <w:rFonts w:eastAsia="Times New Roman" w:cs="Times New Roman"/>
        </w:rPr>
        <w:t xml:space="preserve">en aggregated via port templates and traffic weights, and calibrated against empirical P25/P50/P75 percentiles per (port, size). Source data are in EUR; the frontend converts to NOK/DKK at the API boundary. On simulated 2024 validation (n = 490): </w:t>
      </w:r>
      <w:r>
        <w:rPr>
          <w:rFonts w:eastAsia="Times New Roman" w:cs="Times New Roman"/>
          <w:b/>
          <w:bCs/>
        </w:rPr>
        <w:t>MAE = €17,350 / wMAPE = 71.4 %</w:t>
      </w:r>
      <w:r>
        <w:rPr>
          <w:rFonts w:eastAsia="Times New Roman" w:cs="Times New Roman"/>
        </w:rPr>
        <w:t xml:space="preserve"> — 20 % better than median baseline. On the real 2025 hold-out test set (n = 649): </w:t>
      </w:r>
      <w:r>
        <w:rPr>
          <w:rFonts w:eastAsia="Times New Roman" w:cs="Times New Roman"/>
          <w:b/>
          <w:bCs/>
        </w:rPr>
        <w:t>MAE = €19,051 / wMAPE = 74.3 %</w:t>
      </w:r>
      <w:r>
        <w:rPr>
          <w:rFonts w:eastAsia="Times New Roman" w:cs="Times New Roman"/>
        </w:rPr>
        <w:t xml:space="preserve"> — a ≈ 10 % val→test degradation reflecting model selection plus the simulated→real distribution shift. Deployed as FastAP</w:t>
      </w:r>
      <w:r>
        <w:rPr>
          <w:rFonts w:eastAsia="Times New Roman" w:cs="Times New Roman"/>
        </w:rPr>
        <w:t>I + Next.js with sub-two-second response.</w:t>
      </w:r>
    </w:p>
    <w:p w14:paraId="6F6C3B1E" w14:textId="77777777" w:rsidR="003C788D" w:rsidRDefault="00AA7D12">
      <w:pPr>
        <w:spacing w:line="360" w:lineRule="auto"/>
      </w:pPr>
      <w:r>
        <w:rPr>
          <w:rFonts w:eastAsia="Times New Roman" w:cs="Times New Roman"/>
        </w:rPr>
        <w:pict w14:anchorId="1F404113">
          <v:rect id="_x0000_i1027" style="width:0;height:1.5pt" o:hralign="center" o:hrstd="t" o:hr="t"/>
        </w:pict>
      </w:r>
    </w:p>
    <w:p w14:paraId="2624E868" w14:textId="77777777" w:rsidR="003C788D" w:rsidRDefault="00AA7D12">
      <w:pPr>
        <w:pStyle w:val="Overskrift2"/>
      </w:pPr>
      <w:bookmarkStart w:id="7" w:name="takk-til"/>
      <w:bookmarkStart w:id="8" w:name="_Toc230777765"/>
      <w:bookmarkEnd w:id="5"/>
      <w:r>
        <w:t>Takk til</w:t>
      </w:r>
      <w:bookmarkEnd w:id="8"/>
    </w:p>
    <w:p w14:paraId="70F4B705" w14:textId="77777777" w:rsidR="003C788D" w:rsidRDefault="00AA7D12">
      <w:pPr>
        <w:pStyle w:val="FirstParagraph"/>
        <w:spacing w:line="360" w:lineRule="auto"/>
      </w:pPr>
      <w:r>
        <w:rPr>
          <w:rFonts w:eastAsia="Times New Roman" w:cs="Times New Roman"/>
        </w:rPr>
        <w:t xml:space="preserve">Takk til </w:t>
      </w:r>
      <w:r>
        <w:rPr>
          <w:rFonts w:eastAsia="Times New Roman" w:cs="Times New Roman"/>
          <w:b/>
          <w:bCs/>
        </w:rPr>
        <w:t>SDK Shipping</w:t>
      </w:r>
      <w:r>
        <w:rPr>
          <w:rFonts w:eastAsia="Times New Roman" w:cs="Times New Roman"/>
        </w:rPr>
        <w:t xml:space="preserve"> for tilgang til reelle 2025-fakturadata og yacht</w:t>
      </w:r>
      <w:r>
        <w:rPr>
          <w:rFonts w:eastAsia="Times New Roman" w:cs="Times New Roman"/>
        </w:rPr>
        <w:softHyphen/>
        <w:t xml:space="preserve">spesifikasjoner som danner studiens testsett, og til Operations manager </w:t>
      </w:r>
      <w:r>
        <w:rPr>
          <w:rFonts w:eastAsia="Times New Roman" w:cs="Times New Roman"/>
          <w:b/>
          <w:bCs/>
        </w:rPr>
        <w:t>Melanie Oksjö</w:t>
      </w:r>
      <w:r>
        <w:rPr>
          <w:rFonts w:eastAsia="Times New Roman" w:cs="Times New Roman"/>
        </w:rPr>
        <w:t xml:space="preserve"> for brukertesten i mai 2026 — funnene i § 9.5 hadde ikke vært mulige uten dialogen. Reelle fakturaer for 2020–2024 var ikke tilgjengelige fra bedriften; disse årene er representert ved simulerte transaksjoner som speiler case-strukturen, slik at modellen får tilstrekkelig tids</w:t>
      </w:r>
      <w:r>
        <w:rPr>
          <w:rFonts w:eastAsia="Times New Roman" w:cs="Times New Roman"/>
        </w:rPr>
        <w:softHyphen/>
        <w:t xml:space="preserve">dybde til trening og validering (jf. § 5.2). Takk til veilederne </w:t>
      </w:r>
      <w:r>
        <w:rPr>
          <w:rFonts w:eastAsia="Times New Roman" w:cs="Times New Roman"/>
          <w:b/>
          <w:bCs/>
        </w:rPr>
        <w:t>Bård Inge Pettersen</w:t>
      </w:r>
      <w:r>
        <w:rPr>
          <w:rFonts w:eastAsia="Times New Roman" w:cs="Times New Roman"/>
        </w:rPr>
        <w:t xml:space="preserve">, </w:t>
      </w:r>
      <w:r>
        <w:rPr>
          <w:rFonts w:eastAsia="Times New Roman" w:cs="Times New Roman"/>
          <w:b/>
          <w:bCs/>
        </w:rPr>
        <w:t>Per Kristian Rekdal</w:t>
      </w:r>
      <w:r>
        <w:rPr>
          <w:rFonts w:eastAsia="Times New Roman" w:cs="Times New Roman"/>
        </w:rPr>
        <w:t xml:space="preserve"> og </w:t>
      </w:r>
      <w:r>
        <w:rPr>
          <w:rFonts w:eastAsia="Times New Roman" w:cs="Times New Roman"/>
          <w:b/>
          <w:bCs/>
        </w:rPr>
        <w:t>Erik Langelo</w:t>
      </w:r>
      <w:r>
        <w:rPr>
          <w:rFonts w:eastAsia="Times New Roman" w:cs="Times New Roman"/>
        </w:rPr>
        <w:t xml:space="preserve"> for kompendiet og veiledning; metodevalget er direkte forankret i deres rammeverk (§ 2.2 og § 5.0). Takk også til Gruppe 10 for peer-review 2026-05-07.</w:t>
      </w:r>
    </w:p>
    <w:p w14:paraId="771E2177" w14:textId="77777777" w:rsidR="003C788D" w:rsidRDefault="00AA7D12">
      <w:pPr>
        <w:pStyle w:val="Brdtekst"/>
        <w:spacing w:line="360" w:lineRule="auto"/>
      </w:pPr>
      <w:r>
        <w:rPr>
          <w:rFonts w:eastAsia="Times New Roman" w:cs="Times New Roman"/>
          <w:b/>
          <w:bCs/>
        </w:rPr>
        <w:t>KI-erklæring</w:t>
      </w:r>
      <w:r>
        <w:rPr>
          <w:rFonts w:eastAsia="Times New Roman" w:cs="Times New Roman"/>
        </w:rPr>
        <w:t xml:space="preserve"> (jf. HiMs retningslinjer for transparent KI-bruk): </w:t>
      </w:r>
      <w:r>
        <w:rPr>
          <w:rFonts w:eastAsia="Times New Roman" w:cs="Times New Roman"/>
          <w:b/>
          <w:bCs/>
        </w:rPr>
        <w:t>Anthropic Claude</w:t>
      </w:r>
      <w:r>
        <w:rPr>
          <w:rFonts w:eastAsia="Times New Roman" w:cs="Times New Roman"/>
        </w:rPr>
        <w:t xml:space="preserve"> (Claude Sonnet/Opus via Claude Code-CLI) er brukt som skrive- og kode-assistent. </w:t>
      </w:r>
      <w:r>
        <w:rPr>
          <w:rFonts w:eastAsia="Times New Roman" w:cs="Times New Roman"/>
          <w:i/>
          <w:iCs/>
        </w:rPr>
        <w:t>Kode</w:t>
      </w:r>
      <w:r>
        <w:rPr>
          <w:rFonts w:eastAsia="Times New Roman" w:cs="Times New Roman"/>
        </w:rPr>
        <w:t>: store deler av Python-pipeline og frontend er ko-utviklet i Claude-sesjoner; all kode er versjons</w:t>
      </w:r>
      <w:r>
        <w:rPr>
          <w:rFonts w:eastAsia="Times New Roman" w:cs="Times New Roman"/>
        </w:rPr>
        <w:softHyphen/>
        <w:t xml:space="preserve">kontrollert på GitHub. </w:t>
      </w:r>
      <w:r>
        <w:rPr>
          <w:rFonts w:eastAsia="Times New Roman" w:cs="Times New Roman"/>
          <w:i/>
          <w:iCs/>
        </w:rPr>
        <w:t>Rapporttekst</w:t>
      </w:r>
      <w:r>
        <w:rPr>
          <w:rFonts w:eastAsia="Times New Roman" w:cs="Times New Roman"/>
        </w:rPr>
        <w:t xml:space="preserve">: utkast til § 2–§ 3, § 6.5, § 9.4 og § 9.5 er skrevet via prompt-og-redigér; alle tall, sitater og referanser er gjenkontrollert mot kildene. </w:t>
      </w:r>
      <w:r>
        <w:rPr>
          <w:rFonts w:eastAsia="Times New Roman" w:cs="Times New Roman"/>
          <w:i/>
          <w:iCs/>
        </w:rPr>
        <w:t>Litteratur</w:t>
      </w:r>
      <w:r>
        <w:rPr>
          <w:rFonts w:eastAsia="Times New Roman" w:cs="Times New Roman"/>
        </w:rPr>
        <w:t>: DOI-er krysssjekket mot Crossref etter at to KI-hallusinerte forfatt</w:t>
      </w:r>
      <w:r>
        <w:rPr>
          <w:rFonts w:eastAsia="Times New Roman" w:cs="Times New Roman"/>
        </w:rPr>
        <w:t>er</w:t>
      </w:r>
      <w:r>
        <w:rPr>
          <w:rFonts w:eastAsia="Times New Roman" w:cs="Times New Roman"/>
        </w:rPr>
        <w:softHyphen/>
        <w:t xml:space="preserve">navn ble oppdaget i tidlig versjon. </w:t>
      </w:r>
      <w:r>
        <w:rPr>
          <w:rFonts w:eastAsia="Times New Roman" w:cs="Times New Roman"/>
          <w:i/>
          <w:iCs/>
        </w:rPr>
        <w:t>Forfatterens eget arbeid</w:t>
      </w:r>
      <w:r>
        <w:rPr>
          <w:rFonts w:eastAsia="Times New Roman" w:cs="Times New Roman"/>
        </w:rPr>
        <w:t>: case</w:t>
      </w:r>
      <w:r>
        <w:rPr>
          <w:rFonts w:eastAsia="Times New Roman" w:cs="Times New Roman"/>
        </w:rPr>
        <w:softHyphen/>
        <w:t>beskrivelse, data, modell</w:t>
      </w:r>
      <w:r>
        <w:rPr>
          <w:rFonts w:eastAsia="Times New Roman" w:cs="Times New Roman"/>
        </w:rPr>
        <w:softHyphen/>
        <w:t>valg, brukertest mai 2026 og denne erklæringen. KI er brukt som assistent, ikke forsknings</w:t>
      </w:r>
      <w:r>
        <w:rPr>
          <w:rFonts w:eastAsia="Times New Roman" w:cs="Times New Roman"/>
        </w:rPr>
        <w:softHyphen/>
        <w:t>erstatning. Alle resultat</w:t>
      </w:r>
      <w:r>
        <w:rPr>
          <w:rFonts w:eastAsia="Times New Roman" w:cs="Times New Roman"/>
        </w:rPr>
        <w:softHyphen/>
        <w:t xml:space="preserve">tall er reproduserbare via skriptene i </w:t>
      </w:r>
      <w:r>
        <w:rPr>
          <w:rStyle w:val="VerbatimChar"/>
          <w:rFonts w:ascii="Times New Roman" w:eastAsia="Times New Roman" w:hAnsi="Times New Roman" w:cs="Times New Roman"/>
          <w:sz w:val="24"/>
        </w:rPr>
        <w:t>013 fase 3 - review/</w:t>
      </w:r>
      <w:r>
        <w:rPr>
          <w:rFonts w:eastAsia="Times New Roman" w:cs="Times New Roman"/>
        </w:rPr>
        <w:t>.</w:t>
      </w:r>
    </w:p>
    <w:p w14:paraId="59F6CCBD" w14:textId="77777777" w:rsidR="003C788D" w:rsidRDefault="00AA7D12">
      <w:pPr>
        <w:spacing w:line="360" w:lineRule="auto"/>
      </w:pPr>
      <w:r>
        <w:rPr>
          <w:rFonts w:eastAsia="Times New Roman" w:cs="Times New Roman"/>
        </w:rPr>
        <w:br w:type="page"/>
      </w:r>
    </w:p>
    <w:p w14:paraId="6C1947E6" w14:textId="77777777" w:rsidR="003C788D" w:rsidRDefault="00AA7D12">
      <w:pPr>
        <w:pStyle w:val="Overskrift2"/>
      </w:pPr>
      <w:bookmarkStart w:id="9" w:name="innholdsfortegnelse"/>
      <w:bookmarkStart w:id="10" w:name="_Toc230777766"/>
      <w:bookmarkEnd w:id="7"/>
      <w:r>
        <w:t>Innholdsfortegnelse</w:t>
      </w:r>
      <w:bookmarkEnd w:id="10"/>
    </w:p>
    <w:p w14:paraId="2E57432A" w14:textId="007E26DE" w:rsidR="003E755D" w:rsidRDefault="00AA7D12">
      <w:pPr>
        <w:pStyle w:val="INNH2"/>
        <w:tabs>
          <w:tab w:val="right" w:leader="dot" w:pos="9396"/>
        </w:tabs>
        <w:rPr>
          <w:rFonts w:asciiTheme="minorHAnsi" w:hAnsiTheme="minorHAnsi"/>
          <w:noProof/>
          <w:kern w:val="2"/>
          <w:lang w:val="nb-NO" w:eastAsia="nb-NO"/>
          <w14:ligatures w14:val="standardContextual"/>
        </w:rPr>
      </w:pPr>
      <w:r>
        <w:rPr>
          <w:rFonts w:eastAsia="Times New Roman" w:cs="Times New Roman"/>
        </w:rPr>
        <w:fldChar w:fldCharType="begin"/>
      </w:r>
      <w:r>
        <w:rPr>
          <w:rFonts w:eastAsia="Times New Roman" w:cs="Times New Roman"/>
        </w:rPr>
        <w:instrText xml:space="preserve">TOC \o "2-3" \h \z \u </w:instrText>
      </w:r>
      <w:r>
        <w:rPr>
          <w:rFonts w:eastAsia="Times New Roman" w:cs="Times New Roman"/>
        </w:rPr>
        <w:fldChar w:fldCharType="separate"/>
      </w:r>
      <w:hyperlink w:anchor="_Toc230777762" w:history="1">
        <w:r w:rsidR="003E755D" w:rsidRPr="001C5829">
          <w:rPr>
            <w:rStyle w:val="Hyperkobling"/>
            <w:noProof/>
          </w:rPr>
          <w:t>Obligatorisk egenerklæring</w:t>
        </w:r>
        <w:r w:rsidR="003E755D">
          <w:rPr>
            <w:noProof/>
            <w:webHidden/>
          </w:rPr>
          <w:tab/>
        </w:r>
        <w:r w:rsidR="003E755D">
          <w:rPr>
            <w:noProof/>
            <w:webHidden/>
          </w:rPr>
          <w:fldChar w:fldCharType="begin"/>
        </w:r>
        <w:r w:rsidR="003E755D">
          <w:rPr>
            <w:noProof/>
            <w:webHidden/>
          </w:rPr>
          <w:instrText xml:space="preserve"> PAGEREF _Toc230777762 \h </w:instrText>
        </w:r>
        <w:r w:rsidR="003E755D">
          <w:rPr>
            <w:noProof/>
            <w:webHidden/>
          </w:rPr>
        </w:r>
        <w:r w:rsidR="003E755D">
          <w:rPr>
            <w:noProof/>
            <w:webHidden/>
          </w:rPr>
          <w:fldChar w:fldCharType="separate"/>
        </w:r>
        <w:r w:rsidR="003E755D">
          <w:rPr>
            <w:noProof/>
            <w:webHidden/>
          </w:rPr>
          <w:t>2</w:t>
        </w:r>
        <w:r w:rsidR="003E755D">
          <w:rPr>
            <w:noProof/>
            <w:webHidden/>
          </w:rPr>
          <w:fldChar w:fldCharType="end"/>
        </w:r>
      </w:hyperlink>
    </w:p>
    <w:p w14:paraId="64B878A6" w14:textId="2A55C654" w:rsidR="003E755D" w:rsidRDefault="003E755D">
      <w:pPr>
        <w:pStyle w:val="INNH2"/>
        <w:tabs>
          <w:tab w:val="right" w:leader="dot" w:pos="9396"/>
        </w:tabs>
        <w:rPr>
          <w:rFonts w:asciiTheme="minorHAnsi" w:hAnsiTheme="minorHAnsi"/>
          <w:noProof/>
          <w:kern w:val="2"/>
          <w:lang w:val="nb-NO" w:eastAsia="nb-NO"/>
          <w14:ligatures w14:val="standardContextual"/>
        </w:rPr>
      </w:pPr>
      <w:hyperlink w:anchor="_Toc230777763" w:history="1">
        <w:r w:rsidRPr="001C5829">
          <w:rPr>
            <w:rStyle w:val="Hyperkobling"/>
            <w:noProof/>
          </w:rPr>
          <w:t>Sammendrag</w:t>
        </w:r>
        <w:r>
          <w:rPr>
            <w:noProof/>
            <w:webHidden/>
          </w:rPr>
          <w:tab/>
        </w:r>
        <w:r>
          <w:rPr>
            <w:noProof/>
            <w:webHidden/>
          </w:rPr>
          <w:fldChar w:fldCharType="begin"/>
        </w:r>
        <w:r>
          <w:rPr>
            <w:noProof/>
            <w:webHidden/>
          </w:rPr>
          <w:instrText xml:space="preserve"> PAGEREF _Toc230777763 \h </w:instrText>
        </w:r>
        <w:r>
          <w:rPr>
            <w:noProof/>
            <w:webHidden/>
          </w:rPr>
        </w:r>
        <w:r>
          <w:rPr>
            <w:noProof/>
            <w:webHidden/>
          </w:rPr>
          <w:fldChar w:fldCharType="separate"/>
        </w:r>
        <w:r>
          <w:rPr>
            <w:noProof/>
            <w:webHidden/>
          </w:rPr>
          <w:t>2</w:t>
        </w:r>
        <w:r>
          <w:rPr>
            <w:noProof/>
            <w:webHidden/>
          </w:rPr>
          <w:fldChar w:fldCharType="end"/>
        </w:r>
      </w:hyperlink>
    </w:p>
    <w:p w14:paraId="13F962B5" w14:textId="02FEC4FF" w:rsidR="003E755D" w:rsidRDefault="003E755D">
      <w:pPr>
        <w:pStyle w:val="INNH2"/>
        <w:tabs>
          <w:tab w:val="right" w:leader="dot" w:pos="9396"/>
        </w:tabs>
        <w:rPr>
          <w:rFonts w:asciiTheme="minorHAnsi" w:hAnsiTheme="minorHAnsi"/>
          <w:noProof/>
          <w:kern w:val="2"/>
          <w:lang w:val="nb-NO" w:eastAsia="nb-NO"/>
          <w14:ligatures w14:val="standardContextual"/>
        </w:rPr>
      </w:pPr>
      <w:hyperlink w:anchor="_Toc230777764" w:history="1">
        <w:r w:rsidRPr="001C5829">
          <w:rPr>
            <w:rStyle w:val="Hyperkobling"/>
            <w:noProof/>
          </w:rPr>
          <w:t>Abstract</w:t>
        </w:r>
        <w:r>
          <w:rPr>
            <w:noProof/>
            <w:webHidden/>
          </w:rPr>
          <w:tab/>
        </w:r>
        <w:r>
          <w:rPr>
            <w:noProof/>
            <w:webHidden/>
          </w:rPr>
          <w:fldChar w:fldCharType="begin"/>
        </w:r>
        <w:r>
          <w:rPr>
            <w:noProof/>
            <w:webHidden/>
          </w:rPr>
          <w:instrText xml:space="preserve"> PAGEREF _Toc230777764 \h </w:instrText>
        </w:r>
        <w:r>
          <w:rPr>
            <w:noProof/>
            <w:webHidden/>
          </w:rPr>
        </w:r>
        <w:r>
          <w:rPr>
            <w:noProof/>
            <w:webHidden/>
          </w:rPr>
          <w:fldChar w:fldCharType="separate"/>
        </w:r>
        <w:r>
          <w:rPr>
            <w:noProof/>
            <w:webHidden/>
          </w:rPr>
          <w:t>3</w:t>
        </w:r>
        <w:r>
          <w:rPr>
            <w:noProof/>
            <w:webHidden/>
          </w:rPr>
          <w:fldChar w:fldCharType="end"/>
        </w:r>
      </w:hyperlink>
    </w:p>
    <w:p w14:paraId="614C6A88" w14:textId="3866EBF1" w:rsidR="003E755D" w:rsidRDefault="003E755D">
      <w:pPr>
        <w:pStyle w:val="INNH2"/>
        <w:tabs>
          <w:tab w:val="right" w:leader="dot" w:pos="9396"/>
        </w:tabs>
        <w:rPr>
          <w:rFonts w:asciiTheme="minorHAnsi" w:hAnsiTheme="minorHAnsi"/>
          <w:noProof/>
          <w:kern w:val="2"/>
          <w:lang w:val="nb-NO" w:eastAsia="nb-NO"/>
          <w14:ligatures w14:val="standardContextual"/>
        </w:rPr>
      </w:pPr>
      <w:hyperlink w:anchor="_Toc230777765" w:history="1">
        <w:r w:rsidRPr="001C5829">
          <w:rPr>
            <w:rStyle w:val="Hyperkobling"/>
            <w:noProof/>
          </w:rPr>
          <w:t>Takk til</w:t>
        </w:r>
        <w:r>
          <w:rPr>
            <w:noProof/>
            <w:webHidden/>
          </w:rPr>
          <w:tab/>
        </w:r>
        <w:r>
          <w:rPr>
            <w:noProof/>
            <w:webHidden/>
          </w:rPr>
          <w:fldChar w:fldCharType="begin"/>
        </w:r>
        <w:r>
          <w:rPr>
            <w:noProof/>
            <w:webHidden/>
          </w:rPr>
          <w:instrText xml:space="preserve"> PAGEREF _Toc230777765 \h </w:instrText>
        </w:r>
        <w:r>
          <w:rPr>
            <w:noProof/>
            <w:webHidden/>
          </w:rPr>
        </w:r>
        <w:r>
          <w:rPr>
            <w:noProof/>
            <w:webHidden/>
          </w:rPr>
          <w:fldChar w:fldCharType="separate"/>
        </w:r>
        <w:r>
          <w:rPr>
            <w:noProof/>
            <w:webHidden/>
          </w:rPr>
          <w:t>3</w:t>
        </w:r>
        <w:r>
          <w:rPr>
            <w:noProof/>
            <w:webHidden/>
          </w:rPr>
          <w:fldChar w:fldCharType="end"/>
        </w:r>
      </w:hyperlink>
    </w:p>
    <w:p w14:paraId="4B9FC6C3" w14:textId="5A1C1B26" w:rsidR="003E755D" w:rsidRDefault="003E755D">
      <w:pPr>
        <w:pStyle w:val="INNH2"/>
        <w:tabs>
          <w:tab w:val="right" w:leader="dot" w:pos="9396"/>
        </w:tabs>
        <w:rPr>
          <w:rFonts w:asciiTheme="minorHAnsi" w:hAnsiTheme="minorHAnsi"/>
          <w:noProof/>
          <w:kern w:val="2"/>
          <w:lang w:val="nb-NO" w:eastAsia="nb-NO"/>
          <w14:ligatures w14:val="standardContextual"/>
        </w:rPr>
      </w:pPr>
      <w:hyperlink w:anchor="_Toc230777766" w:history="1">
        <w:r w:rsidRPr="001C5829">
          <w:rPr>
            <w:rStyle w:val="Hyperkobling"/>
            <w:noProof/>
          </w:rPr>
          <w:t>Innholdsfortegnelse</w:t>
        </w:r>
        <w:r>
          <w:rPr>
            <w:noProof/>
            <w:webHidden/>
          </w:rPr>
          <w:tab/>
        </w:r>
        <w:r>
          <w:rPr>
            <w:noProof/>
            <w:webHidden/>
          </w:rPr>
          <w:fldChar w:fldCharType="begin"/>
        </w:r>
        <w:r>
          <w:rPr>
            <w:noProof/>
            <w:webHidden/>
          </w:rPr>
          <w:instrText xml:space="preserve"> PAGEREF _Toc230777766 \h </w:instrText>
        </w:r>
        <w:r>
          <w:rPr>
            <w:noProof/>
            <w:webHidden/>
          </w:rPr>
        </w:r>
        <w:r>
          <w:rPr>
            <w:noProof/>
            <w:webHidden/>
          </w:rPr>
          <w:fldChar w:fldCharType="separate"/>
        </w:r>
        <w:r>
          <w:rPr>
            <w:noProof/>
            <w:webHidden/>
          </w:rPr>
          <w:t>5</w:t>
        </w:r>
        <w:r>
          <w:rPr>
            <w:noProof/>
            <w:webHidden/>
          </w:rPr>
          <w:fldChar w:fldCharType="end"/>
        </w:r>
      </w:hyperlink>
    </w:p>
    <w:p w14:paraId="4B98FB22" w14:textId="5713F725" w:rsidR="003E755D" w:rsidRDefault="003E755D">
      <w:pPr>
        <w:pStyle w:val="INNH2"/>
        <w:tabs>
          <w:tab w:val="right" w:leader="dot" w:pos="9396"/>
        </w:tabs>
        <w:rPr>
          <w:rFonts w:asciiTheme="minorHAnsi" w:hAnsiTheme="minorHAnsi"/>
          <w:noProof/>
          <w:kern w:val="2"/>
          <w:lang w:val="nb-NO" w:eastAsia="nb-NO"/>
          <w14:ligatures w14:val="standardContextual"/>
        </w:rPr>
      </w:pPr>
      <w:hyperlink w:anchor="_Toc230777767" w:history="1">
        <w:r w:rsidRPr="001C5829">
          <w:rPr>
            <w:rStyle w:val="Hyperkobling"/>
            <w:noProof/>
          </w:rPr>
          <w:t>1. Innledning</w:t>
        </w:r>
        <w:r>
          <w:rPr>
            <w:noProof/>
            <w:webHidden/>
          </w:rPr>
          <w:tab/>
        </w:r>
        <w:r>
          <w:rPr>
            <w:noProof/>
            <w:webHidden/>
          </w:rPr>
          <w:fldChar w:fldCharType="begin"/>
        </w:r>
        <w:r>
          <w:rPr>
            <w:noProof/>
            <w:webHidden/>
          </w:rPr>
          <w:instrText xml:space="preserve"> PAGEREF _Toc230777767 \h </w:instrText>
        </w:r>
        <w:r>
          <w:rPr>
            <w:noProof/>
            <w:webHidden/>
          </w:rPr>
        </w:r>
        <w:r>
          <w:rPr>
            <w:noProof/>
            <w:webHidden/>
          </w:rPr>
          <w:fldChar w:fldCharType="separate"/>
        </w:r>
        <w:r>
          <w:rPr>
            <w:noProof/>
            <w:webHidden/>
          </w:rPr>
          <w:t>7</w:t>
        </w:r>
        <w:r>
          <w:rPr>
            <w:noProof/>
            <w:webHidden/>
          </w:rPr>
          <w:fldChar w:fldCharType="end"/>
        </w:r>
      </w:hyperlink>
    </w:p>
    <w:p w14:paraId="46E72E74" w14:textId="1458A9F8" w:rsidR="003E755D" w:rsidRDefault="003E755D">
      <w:pPr>
        <w:pStyle w:val="INNH3"/>
        <w:tabs>
          <w:tab w:val="right" w:leader="dot" w:pos="9396"/>
        </w:tabs>
        <w:rPr>
          <w:rFonts w:asciiTheme="minorHAnsi" w:hAnsiTheme="minorHAnsi"/>
          <w:noProof/>
          <w:kern w:val="2"/>
          <w:lang w:val="nb-NO" w:eastAsia="nb-NO"/>
          <w14:ligatures w14:val="standardContextual"/>
        </w:rPr>
      </w:pPr>
      <w:hyperlink w:anchor="_Toc230777768" w:history="1">
        <w:r w:rsidRPr="001C5829">
          <w:rPr>
            <w:rStyle w:val="Hyperkobling"/>
            <w:noProof/>
          </w:rPr>
          <w:t>1.1 Problemstilling</w:t>
        </w:r>
        <w:r>
          <w:rPr>
            <w:noProof/>
            <w:webHidden/>
          </w:rPr>
          <w:tab/>
        </w:r>
        <w:r>
          <w:rPr>
            <w:noProof/>
            <w:webHidden/>
          </w:rPr>
          <w:fldChar w:fldCharType="begin"/>
        </w:r>
        <w:r>
          <w:rPr>
            <w:noProof/>
            <w:webHidden/>
          </w:rPr>
          <w:instrText xml:space="preserve"> PAGEREF _Toc230777768 \h </w:instrText>
        </w:r>
        <w:r>
          <w:rPr>
            <w:noProof/>
            <w:webHidden/>
          </w:rPr>
        </w:r>
        <w:r>
          <w:rPr>
            <w:noProof/>
            <w:webHidden/>
          </w:rPr>
          <w:fldChar w:fldCharType="separate"/>
        </w:r>
        <w:r>
          <w:rPr>
            <w:noProof/>
            <w:webHidden/>
          </w:rPr>
          <w:t>7</w:t>
        </w:r>
        <w:r>
          <w:rPr>
            <w:noProof/>
            <w:webHidden/>
          </w:rPr>
          <w:fldChar w:fldCharType="end"/>
        </w:r>
      </w:hyperlink>
    </w:p>
    <w:p w14:paraId="2DEDEF95" w14:textId="67531983" w:rsidR="003E755D" w:rsidRDefault="003E755D">
      <w:pPr>
        <w:pStyle w:val="INNH3"/>
        <w:tabs>
          <w:tab w:val="right" w:leader="dot" w:pos="9396"/>
        </w:tabs>
        <w:rPr>
          <w:rFonts w:asciiTheme="minorHAnsi" w:hAnsiTheme="minorHAnsi"/>
          <w:noProof/>
          <w:kern w:val="2"/>
          <w:lang w:val="nb-NO" w:eastAsia="nb-NO"/>
          <w14:ligatures w14:val="standardContextual"/>
        </w:rPr>
      </w:pPr>
      <w:hyperlink w:anchor="_Toc230777769" w:history="1">
        <w:r w:rsidRPr="001C5829">
          <w:rPr>
            <w:rStyle w:val="Hyperkobling"/>
            <w:noProof/>
          </w:rPr>
          <w:t>1.2 Delproblemer</w:t>
        </w:r>
        <w:r>
          <w:rPr>
            <w:noProof/>
            <w:webHidden/>
          </w:rPr>
          <w:tab/>
        </w:r>
        <w:r>
          <w:rPr>
            <w:noProof/>
            <w:webHidden/>
          </w:rPr>
          <w:fldChar w:fldCharType="begin"/>
        </w:r>
        <w:r>
          <w:rPr>
            <w:noProof/>
            <w:webHidden/>
          </w:rPr>
          <w:instrText xml:space="preserve"> PAGEREF _Toc230777769 \h </w:instrText>
        </w:r>
        <w:r>
          <w:rPr>
            <w:noProof/>
            <w:webHidden/>
          </w:rPr>
        </w:r>
        <w:r>
          <w:rPr>
            <w:noProof/>
            <w:webHidden/>
          </w:rPr>
          <w:fldChar w:fldCharType="separate"/>
        </w:r>
        <w:r>
          <w:rPr>
            <w:noProof/>
            <w:webHidden/>
          </w:rPr>
          <w:t>7</w:t>
        </w:r>
        <w:r>
          <w:rPr>
            <w:noProof/>
            <w:webHidden/>
          </w:rPr>
          <w:fldChar w:fldCharType="end"/>
        </w:r>
      </w:hyperlink>
    </w:p>
    <w:p w14:paraId="1C0CFFFF" w14:textId="6C749460" w:rsidR="003E755D" w:rsidRDefault="003E755D">
      <w:pPr>
        <w:pStyle w:val="INNH3"/>
        <w:tabs>
          <w:tab w:val="right" w:leader="dot" w:pos="9396"/>
        </w:tabs>
        <w:rPr>
          <w:rFonts w:asciiTheme="minorHAnsi" w:hAnsiTheme="minorHAnsi"/>
          <w:noProof/>
          <w:kern w:val="2"/>
          <w:lang w:val="nb-NO" w:eastAsia="nb-NO"/>
          <w14:ligatures w14:val="standardContextual"/>
        </w:rPr>
      </w:pPr>
      <w:hyperlink w:anchor="_Toc230777770" w:history="1">
        <w:r w:rsidRPr="001C5829">
          <w:rPr>
            <w:rStyle w:val="Hyperkobling"/>
            <w:noProof/>
          </w:rPr>
          <w:t>1.3 Avgrensninger</w:t>
        </w:r>
        <w:r>
          <w:rPr>
            <w:noProof/>
            <w:webHidden/>
          </w:rPr>
          <w:tab/>
        </w:r>
        <w:r>
          <w:rPr>
            <w:noProof/>
            <w:webHidden/>
          </w:rPr>
          <w:fldChar w:fldCharType="begin"/>
        </w:r>
        <w:r>
          <w:rPr>
            <w:noProof/>
            <w:webHidden/>
          </w:rPr>
          <w:instrText xml:space="preserve"> PAGEREF _Toc230777770 \h </w:instrText>
        </w:r>
        <w:r>
          <w:rPr>
            <w:noProof/>
            <w:webHidden/>
          </w:rPr>
        </w:r>
        <w:r>
          <w:rPr>
            <w:noProof/>
            <w:webHidden/>
          </w:rPr>
          <w:fldChar w:fldCharType="separate"/>
        </w:r>
        <w:r>
          <w:rPr>
            <w:noProof/>
            <w:webHidden/>
          </w:rPr>
          <w:t>8</w:t>
        </w:r>
        <w:r>
          <w:rPr>
            <w:noProof/>
            <w:webHidden/>
          </w:rPr>
          <w:fldChar w:fldCharType="end"/>
        </w:r>
      </w:hyperlink>
    </w:p>
    <w:p w14:paraId="39C59D73" w14:textId="27E8CE61" w:rsidR="003E755D" w:rsidRDefault="003E755D">
      <w:pPr>
        <w:pStyle w:val="INNH3"/>
        <w:tabs>
          <w:tab w:val="right" w:leader="dot" w:pos="9396"/>
        </w:tabs>
        <w:rPr>
          <w:rFonts w:asciiTheme="minorHAnsi" w:hAnsiTheme="minorHAnsi"/>
          <w:noProof/>
          <w:kern w:val="2"/>
          <w:lang w:val="nb-NO" w:eastAsia="nb-NO"/>
          <w14:ligatures w14:val="standardContextual"/>
        </w:rPr>
      </w:pPr>
      <w:hyperlink w:anchor="_Toc230777771" w:history="1">
        <w:r w:rsidRPr="001C5829">
          <w:rPr>
            <w:rStyle w:val="Hyperkobling"/>
            <w:noProof/>
          </w:rPr>
          <w:t>1.4 Antakelser</w:t>
        </w:r>
        <w:r>
          <w:rPr>
            <w:noProof/>
            <w:webHidden/>
          </w:rPr>
          <w:tab/>
        </w:r>
        <w:r>
          <w:rPr>
            <w:noProof/>
            <w:webHidden/>
          </w:rPr>
          <w:fldChar w:fldCharType="begin"/>
        </w:r>
        <w:r>
          <w:rPr>
            <w:noProof/>
            <w:webHidden/>
          </w:rPr>
          <w:instrText xml:space="preserve"> PAGEREF _Toc230777771 \h </w:instrText>
        </w:r>
        <w:r>
          <w:rPr>
            <w:noProof/>
            <w:webHidden/>
          </w:rPr>
        </w:r>
        <w:r>
          <w:rPr>
            <w:noProof/>
            <w:webHidden/>
          </w:rPr>
          <w:fldChar w:fldCharType="separate"/>
        </w:r>
        <w:r>
          <w:rPr>
            <w:noProof/>
            <w:webHidden/>
          </w:rPr>
          <w:t>8</w:t>
        </w:r>
        <w:r>
          <w:rPr>
            <w:noProof/>
            <w:webHidden/>
          </w:rPr>
          <w:fldChar w:fldCharType="end"/>
        </w:r>
      </w:hyperlink>
    </w:p>
    <w:p w14:paraId="6D360703" w14:textId="69448C16" w:rsidR="003E755D" w:rsidRDefault="003E755D">
      <w:pPr>
        <w:pStyle w:val="INNH3"/>
        <w:tabs>
          <w:tab w:val="right" w:leader="dot" w:pos="9396"/>
        </w:tabs>
        <w:rPr>
          <w:rFonts w:asciiTheme="minorHAnsi" w:hAnsiTheme="minorHAnsi"/>
          <w:noProof/>
          <w:kern w:val="2"/>
          <w:lang w:val="nb-NO" w:eastAsia="nb-NO"/>
          <w14:ligatures w14:val="standardContextual"/>
        </w:rPr>
      </w:pPr>
      <w:hyperlink w:anchor="_Toc230777772" w:history="1">
        <w:r w:rsidRPr="001C5829">
          <w:rPr>
            <w:rStyle w:val="Hyperkobling"/>
            <w:noProof/>
          </w:rPr>
          <w:t>1.5 Anvendte bidrag i case-studien</w:t>
        </w:r>
        <w:r>
          <w:rPr>
            <w:noProof/>
            <w:webHidden/>
          </w:rPr>
          <w:tab/>
        </w:r>
        <w:r>
          <w:rPr>
            <w:noProof/>
            <w:webHidden/>
          </w:rPr>
          <w:fldChar w:fldCharType="begin"/>
        </w:r>
        <w:r>
          <w:rPr>
            <w:noProof/>
            <w:webHidden/>
          </w:rPr>
          <w:instrText xml:space="preserve"> PAGEREF _Toc230777772 \h </w:instrText>
        </w:r>
        <w:r>
          <w:rPr>
            <w:noProof/>
            <w:webHidden/>
          </w:rPr>
        </w:r>
        <w:r>
          <w:rPr>
            <w:noProof/>
            <w:webHidden/>
          </w:rPr>
          <w:fldChar w:fldCharType="separate"/>
        </w:r>
        <w:r>
          <w:rPr>
            <w:noProof/>
            <w:webHidden/>
          </w:rPr>
          <w:t>9</w:t>
        </w:r>
        <w:r>
          <w:rPr>
            <w:noProof/>
            <w:webHidden/>
          </w:rPr>
          <w:fldChar w:fldCharType="end"/>
        </w:r>
      </w:hyperlink>
    </w:p>
    <w:p w14:paraId="4CB7EDCF" w14:textId="0F9B8D2E" w:rsidR="003E755D" w:rsidRDefault="003E755D">
      <w:pPr>
        <w:pStyle w:val="INNH2"/>
        <w:tabs>
          <w:tab w:val="right" w:leader="dot" w:pos="9396"/>
        </w:tabs>
        <w:rPr>
          <w:rFonts w:asciiTheme="minorHAnsi" w:hAnsiTheme="minorHAnsi"/>
          <w:noProof/>
          <w:kern w:val="2"/>
          <w:lang w:val="nb-NO" w:eastAsia="nb-NO"/>
          <w14:ligatures w14:val="standardContextual"/>
        </w:rPr>
      </w:pPr>
      <w:hyperlink w:anchor="_Toc230777773" w:history="1">
        <w:r w:rsidRPr="001C5829">
          <w:rPr>
            <w:rStyle w:val="Hyperkobling"/>
            <w:noProof/>
          </w:rPr>
          <w:t>2. Litteratur</w:t>
        </w:r>
        <w:r>
          <w:rPr>
            <w:noProof/>
            <w:webHidden/>
          </w:rPr>
          <w:tab/>
        </w:r>
        <w:r>
          <w:rPr>
            <w:noProof/>
            <w:webHidden/>
          </w:rPr>
          <w:fldChar w:fldCharType="begin"/>
        </w:r>
        <w:r>
          <w:rPr>
            <w:noProof/>
            <w:webHidden/>
          </w:rPr>
          <w:instrText xml:space="preserve"> PAGEREF _Toc230777773 \h </w:instrText>
        </w:r>
        <w:r>
          <w:rPr>
            <w:noProof/>
            <w:webHidden/>
          </w:rPr>
        </w:r>
        <w:r>
          <w:rPr>
            <w:noProof/>
            <w:webHidden/>
          </w:rPr>
          <w:fldChar w:fldCharType="separate"/>
        </w:r>
        <w:r>
          <w:rPr>
            <w:noProof/>
            <w:webHidden/>
          </w:rPr>
          <w:t>9</w:t>
        </w:r>
        <w:r>
          <w:rPr>
            <w:noProof/>
            <w:webHidden/>
          </w:rPr>
          <w:fldChar w:fldCharType="end"/>
        </w:r>
      </w:hyperlink>
    </w:p>
    <w:p w14:paraId="472AF172" w14:textId="2356631F" w:rsidR="003E755D" w:rsidRDefault="003E755D">
      <w:pPr>
        <w:pStyle w:val="INNH3"/>
        <w:tabs>
          <w:tab w:val="right" w:leader="dot" w:pos="9396"/>
        </w:tabs>
        <w:rPr>
          <w:rFonts w:asciiTheme="minorHAnsi" w:hAnsiTheme="minorHAnsi"/>
          <w:noProof/>
          <w:kern w:val="2"/>
          <w:lang w:val="nb-NO" w:eastAsia="nb-NO"/>
          <w14:ligatures w14:val="standardContextual"/>
        </w:rPr>
      </w:pPr>
      <w:hyperlink w:anchor="_Toc230777774" w:history="1">
        <w:r w:rsidRPr="001C5829">
          <w:rPr>
            <w:rStyle w:val="Hyperkobling"/>
            <w:noProof/>
          </w:rPr>
          <w:t>2.1 Maskinlæring for kostnadsprediksjon i transport og logistikk</w:t>
        </w:r>
        <w:r>
          <w:rPr>
            <w:noProof/>
            <w:webHidden/>
          </w:rPr>
          <w:tab/>
        </w:r>
        <w:r>
          <w:rPr>
            <w:noProof/>
            <w:webHidden/>
          </w:rPr>
          <w:fldChar w:fldCharType="begin"/>
        </w:r>
        <w:r>
          <w:rPr>
            <w:noProof/>
            <w:webHidden/>
          </w:rPr>
          <w:instrText xml:space="preserve"> PAGEREF _Toc230777774 \h </w:instrText>
        </w:r>
        <w:r>
          <w:rPr>
            <w:noProof/>
            <w:webHidden/>
          </w:rPr>
        </w:r>
        <w:r>
          <w:rPr>
            <w:noProof/>
            <w:webHidden/>
          </w:rPr>
          <w:fldChar w:fldCharType="separate"/>
        </w:r>
        <w:r>
          <w:rPr>
            <w:noProof/>
            <w:webHidden/>
          </w:rPr>
          <w:t>9</w:t>
        </w:r>
        <w:r>
          <w:rPr>
            <w:noProof/>
            <w:webHidden/>
          </w:rPr>
          <w:fldChar w:fldCharType="end"/>
        </w:r>
      </w:hyperlink>
    </w:p>
    <w:p w14:paraId="557D74AF" w14:textId="6AEBC3BB" w:rsidR="003E755D" w:rsidRDefault="003E755D">
      <w:pPr>
        <w:pStyle w:val="INNH3"/>
        <w:tabs>
          <w:tab w:val="right" w:leader="dot" w:pos="9396"/>
        </w:tabs>
        <w:rPr>
          <w:rFonts w:asciiTheme="minorHAnsi" w:hAnsiTheme="minorHAnsi"/>
          <w:noProof/>
          <w:kern w:val="2"/>
          <w:lang w:val="nb-NO" w:eastAsia="nb-NO"/>
          <w14:ligatures w14:val="standardContextual"/>
        </w:rPr>
      </w:pPr>
      <w:hyperlink w:anchor="_Toc230777775" w:history="1">
        <w:r w:rsidRPr="001C5829">
          <w:rPr>
            <w:rStyle w:val="Hyperkobling"/>
            <w:noProof/>
          </w:rPr>
          <w:t>2.2 Gradient boosting på heterogene tabulære data</w:t>
        </w:r>
        <w:r>
          <w:rPr>
            <w:noProof/>
            <w:webHidden/>
          </w:rPr>
          <w:tab/>
        </w:r>
        <w:r>
          <w:rPr>
            <w:noProof/>
            <w:webHidden/>
          </w:rPr>
          <w:fldChar w:fldCharType="begin"/>
        </w:r>
        <w:r>
          <w:rPr>
            <w:noProof/>
            <w:webHidden/>
          </w:rPr>
          <w:instrText xml:space="preserve"> PAGEREF _Toc230777775 \h </w:instrText>
        </w:r>
        <w:r>
          <w:rPr>
            <w:noProof/>
            <w:webHidden/>
          </w:rPr>
        </w:r>
        <w:r>
          <w:rPr>
            <w:noProof/>
            <w:webHidden/>
          </w:rPr>
          <w:fldChar w:fldCharType="separate"/>
        </w:r>
        <w:r>
          <w:rPr>
            <w:noProof/>
            <w:webHidden/>
          </w:rPr>
          <w:t>10</w:t>
        </w:r>
        <w:r>
          <w:rPr>
            <w:noProof/>
            <w:webHidden/>
          </w:rPr>
          <w:fldChar w:fldCharType="end"/>
        </w:r>
      </w:hyperlink>
    </w:p>
    <w:p w14:paraId="48F24859" w14:textId="09EB7333" w:rsidR="003E755D" w:rsidRDefault="003E755D">
      <w:pPr>
        <w:pStyle w:val="INNH3"/>
        <w:tabs>
          <w:tab w:val="right" w:leader="dot" w:pos="9396"/>
        </w:tabs>
        <w:rPr>
          <w:rFonts w:asciiTheme="minorHAnsi" w:hAnsiTheme="minorHAnsi"/>
          <w:noProof/>
          <w:kern w:val="2"/>
          <w:lang w:val="nb-NO" w:eastAsia="nb-NO"/>
          <w14:ligatures w14:val="standardContextual"/>
        </w:rPr>
      </w:pPr>
      <w:hyperlink w:anchor="_Toc230777776" w:history="1">
        <w:r w:rsidRPr="001C5829">
          <w:rPr>
            <w:rStyle w:val="Hyperkobling"/>
            <w:noProof/>
          </w:rPr>
          <w:t>2.3 Konform prediksjon og usikkerhetskvantifisering</w:t>
        </w:r>
        <w:r>
          <w:rPr>
            <w:noProof/>
            <w:webHidden/>
          </w:rPr>
          <w:tab/>
        </w:r>
        <w:r>
          <w:rPr>
            <w:noProof/>
            <w:webHidden/>
          </w:rPr>
          <w:fldChar w:fldCharType="begin"/>
        </w:r>
        <w:r>
          <w:rPr>
            <w:noProof/>
            <w:webHidden/>
          </w:rPr>
          <w:instrText xml:space="preserve"> PAGEREF _Toc230777776 \h </w:instrText>
        </w:r>
        <w:r>
          <w:rPr>
            <w:noProof/>
            <w:webHidden/>
          </w:rPr>
        </w:r>
        <w:r>
          <w:rPr>
            <w:noProof/>
            <w:webHidden/>
          </w:rPr>
          <w:fldChar w:fldCharType="separate"/>
        </w:r>
        <w:r>
          <w:rPr>
            <w:noProof/>
            <w:webHidden/>
          </w:rPr>
          <w:t>11</w:t>
        </w:r>
        <w:r>
          <w:rPr>
            <w:noProof/>
            <w:webHidden/>
          </w:rPr>
          <w:fldChar w:fldCharType="end"/>
        </w:r>
      </w:hyperlink>
    </w:p>
    <w:p w14:paraId="11CE51F5" w14:textId="6150BA84" w:rsidR="003E755D" w:rsidRDefault="003E755D">
      <w:pPr>
        <w:pStyle w:val="INNH3"/>
        <w:tabs>
          <w:tab w:val="right" w:leader="dot" w:pos="9396"/>
        </w:tabs>
        <w:rPr>
          <w:rFonts w:asciiTheme="minorHAnsi" w:hAnsiTheme="minorHAnsi"/>
          <w:noProof/>
          <w:kern w:val="2"/>
          <w:lang w:val="nb-NO" w:eastAsia="nb-NO"/>
          <w14:ligatures w14:val="standardContextual"/>
        </w:rPr>
      </w:pPr>
      <w:hyperlink w:anchor="_Toc230777777" w:history="1">
        <w:r w:rsidRPr="001C5829">
          <w:rPr>
            <w:rStyle w:val="Hyperkobling"/>
            <w:noProof/>
          </w:rPr>
          <w:t>2.4 Forskningsgap</w:t>
        </w:r>
        <w:r>
          <w:rPr>
            <w:noProof/>
            <w:webHidden/>
          </w:rPr>
          <w:tab/>
        </w:r>
        <w:r>
          <w:rPr>
            <w:noProof/>
            <w:webHidden/>
          </w:rPr>
          <w:fldChar w:fldCharType="begin"/>
        </w:r>
        <w:r>
          <w:rPr>
            <w:noProof/>
            <w:webHidden/>
          </w:rPr>
          <w:instrText xml:space="preserve"> PAGEREF _Toc230777777 \h </w:instrText>
        </w:r>
        <w:r>
          <w:rPr>
            <w:noProof/>
            <w:webHidden/>
          </w:rPr>
        </w:r>
        <w:r>
          <w:rPr>
            <w:noProof/>
            <w:webHidden/>
          </w:rPr>
          <w:fldChar w:fldCharType="separate"/>
        </w:r>
        <w:r>
          <w:rPr>
            <w:noProof/>
            <w:webHidden/>
          </w:rPr>
          <w:t>12</w:t>
        </w:r>
        <w:r>
          <w:rPr>
            <w:noProof/>
            <w:webHidden/>
          </w:rPr>
          <w:fldChar w:fldCharType="end"/>
        </w:r>
      </w:hyperlink>
    </w:p>
    <w:p w14:paraId="332ACC64" w14:textId="18D5DF6F" w:rsidR="003E755D" w:rsidRDefault="003E755D">
      <w:pPr>
        <w:pStyle w:val="INNH2"/>
        <w:tabs>
          <w:tab w:val="right" w:leader="dot" w:pos="9396"/>
        </w:tabs>
        <w:rPr>
          <w:rFonts w:asciiTheme="minorHAnsi" w:hAnsiTheme="minorHAnsi"/>
          <w:noProof/>
          <w:kern w:val="2"/>
          <w:lang w:val="nb-NO" w:eastAsia="nb-NO"/>
          <w14:ligatures w14:val="standardContextual"/>
        </w:rPr>
      </w:pPr>
      <w:hyperlink w:anchor="_Toc230777778" w:history="1">
        <w:r w:rsidRPr="001C5829">
          <w:rPr>
            <w:rStyle w:val="Hyperkobling"/>
            <w:noProof/>
          </w:rPr>
          <w:t>3. Teori</w:t>
        </w:r>
        <w:r>
          <w:rPr>
            <w:noProof/>
            <w:webHidden/>
          </w:rPr>
          <w:tab/>
        </w:r>
        <w:r>
          <w:rPr>
            <w:noProof/>
            <w:webHidden/>
          </w:rPr>
          <w:fldChar w:fldCharType="begin"/>
        </w:r>
        <w:r>
          <w:rPr>
            <w:noProof/>
            <w:webHidden/>
          </w:rPr>
          <w:instrText xml:space="preserve"> PAGEREF _Toc230777778 \h </w:instrText>
        </w:r>
        <w:r>
          <w:rPr>
            <w:noProof/>
            <w:webHidden/>
          </w:rPr>
        </w:r>
        <w:r>
          <w:rPr>
            <w:noProof/>
            <w:webHidden/>
          </w:rPr>
          <w:fldChar w:fldCharType="separate"/>
        </w:r>
        <w:r>
          <w:rPr>
            <w:noProof/>
            <w:webHidden/>
          </w:rPr>
          <w:t>12</w:t>
        </w:r>
        <w:r>
          <w:rPr>
            <w:noProof/>
            <w:webHidden/>
          </w:rPr>
          <w:fldChar w:fldCharType="end"/>
        </w:r>
      </w:hyperlink>
    </w:p>
    <w:p w14:paraId="0BEFEE80" w14:textId="1787708F" w:rsidR="003E755D" w:rsidRDefault="003E755D">
      <w:pPr>
        <w:pStyle w:val="INNH3"/>
        <w:tabs>
          <w:tab w:val="right" w:leader="dot" w:pos="9396"/>
        </w:tabs>
        <w:rPr>
          <w:rFonts w:asciiTheme="minorHAnsi" w:hAnsiTheme="minorHAnsi"/>
          <w:noProof/>
          <w:kern w:val="2"/>
          <w:lang w:val="nb-NO" w:eastAsia="nb-NO"/>
          <w14:ligatures w14:val="standardContextual"/>
        </w:rPr>
      </w:pPr>
      <w:hyperlink w:anchor="_Toc230777779" w:history="1">
        <w:r w:rsidRPr="001C5829">
          <w:rPr>
            <w:rStyle w:val="Hyperkobling"/>
            <w:noProof/>
          </w:rPr>
          <w:t>3.1 Tabulær læring og gradient boosting</w:t>
        </w:r>
        <w:r>
          <w:rPr>
            <w:noProof/>
            <w:webHidden/>
          </w:rPr>
          <w:tab/>
        </w:r>
        <w:r>
          <w:rPr>
            <w:noProof/>
            <w:webHidden/>
          </w:rPr>
          <w:fldChar w:fldCharType="begin"/>
        </w:r>
        <w:r>
          <w:rPr>
            <w:noProof/>
            <w:webHidden/>
          </w:rPr>
          <w:instrText xml:space="preserve"> PAGEREF _Toc230777779 \h </w:instrText>
        </w:r>
        <w:r>
          <w:rPr>
            <w:noProof/>
            <w:webHidden/>
          </w:rPr>
        </w:r>
        <w:r>
          <w:rPr>
            <w:noProof/>
            <w:webHidden/>
          </w:rPr>
          <w:fldChar w:fldCharType="separate"/>
        </w:r>
        <w:r>
          <w:rPr>
            <w:noProof/>
            <w:webHidden/>
          </w:rPr>
          <w:t>12</w:t>
        </w:r>
        <w:r>
          <w:rPr>
            <w:noProof/>
            <w:webHidden/>
          </w:rPr>
          <w:fldChar w:fldCharType="end"/>
        </w:r>
      </w:hyperlink>
    </w:p>
    <w:p w14:paraId="0E9D53A2" w14:textId="109DBB2F" w:rsidR="003E755D" w:rsidRDefault="003E755D">
      <w:pPr>
        <w:pStyle w:val="INNH3"/>
        <w:tabs>
          <w:tab w:val="right" w:leader="dot" w:pos="9396"/>
        </w:tabs>
        <w:rPr>
          <w:rFonts w:asciiTheme="minorHAnsi" w:hAnsiTheme="minorHAnsi"/>
          <w:noProof/>
          <w:kern w:val="2"/>
          <w:lang w:val="nb-NO" w:eastAsia="nb-NO"/>
          <w14:ligatures w14:val="standardContextual"/>
        </w:rPr>
      </w:pPr>
      <w:hyperlink w:anchor="_Toc230777780" w:history="1">
        <w:r w:rsidRPr="001C5829">
          <w:rPr>
            <w:rStyle w:val="Hyperkobling"/>
            <w:noProof/>
          </w:rPr>
          <w:t>3.2 LightGBM</w:t>
        </w:r>
        <w:r>
          <w:rPr>
            <w:noProof/>
            <w:webHidden/>
          </w:rPr>
          <w:tab/>
        </w:r>
        <w:r>
          <w:rPr>
            <w:noProof/>
            <w:webHidden/>
          </w:rPr>
          <w:fldChar w:fldCharType="begin"/>
        </w:r>
        <w:r>
          <w:rPr>
            <w:noProof/>
            <w:webHidden/>
          </w:rPr>
          <w:instrText xml:space="preserve"> PAGEREF _Toc230777780 \h </w:instrText>
        </w:r>
        <w:r>
          <w:rPr>
            <w:noProof/>
            <w:webHidden/>
          </w:rPr>
        </w:r>
        <w:r>
          <w:rPr>
            <w:noProof/>
            <w:webHidden/>
          </w:rPr>
          <w:fldChar w:fldCharType="separate"/>
        </w:r>
        <w:r>
          <w:rPr>
            <w:noProof/>
            <w:webHidden/>
          </w:rPr>
          <w:t>13</w:t>
        </w:r>
        <w:r>
          <w:rPr>
            <w:noProof/>
            <w:webHidden/>
          </w:rPr>
          <w:fldChar w:fldCharType="end"/>
        </w:r>
      </w:hyperlink>
    </w:p>
    <w:p w14:paraId="449E2AFE" w14:textId="64434210" w:rsidR="003E755D" w:rsidRDefault="003E755D">
      <w:pPr>
        <w:pStyle w:val="INNH3"/>
        <w:tabs>
          <w:tab w:val="right" w:leader="dot" w:pos="9396"/>
        </w:tabs>
        <w:rPr>
          <w:rFonts w:asciiTheme="minorHAnsi" w:hAnsiTheme="minorHAnsi"/>
          <w:noProof/>
          <w:kern w:val="2"/>
          <w:lang w:val="nb-NO" w:eastAsia="nb-NO"/>
          <w14:ligatures w14:val="standardContextual"/>
        </w:rPr>
      </w:pPr>
      <w:hyperlink w:anchor="_Toc230777781" w:history="1">
        <w:r w:rsidRPr="001C5829">
          <w:rPr>
            <w:rStyle w:val="Hyperkobling"/>
            <w:noProof/>
          </w:rPr>
          <w:t>3.3 CatBoost</w:t>
        </w:r>
        <w:r>
          <w:rPr>
            <w:noProof/>
            <w:webHidden/>
          </w:rPr>
          <w:tab/>
        </w:r>
        <w:r>
          <w:rPr>
            <w:noProof/>
            <w:webHidden/>
          </w:rPr>
          <w:fldChar w:fldCharType="begin"/>
        </w:r>
        <w:r>
          <w:rPr>
            <w:noProof/>
            <w:webHidden/>
          </w:rPr>
          <w:instrText xml:space="preserve"> PAGEREF _Toc230777781 \h </w:instrText>
        </w:r>
        <w:r>
          <w:rPr>
            <w:noProof/>
            <w:webHidden/>
          </w:rPr>
        </w:r>
        <w:r>
          <w:rPr>
            <w:noProof/>
            <w:webHidden/>
          </w:rPr>
          <w:fldChar w:fldCharType="separate"/>
        </w:r>
        <w:r>
          <w:rPr>
            <w:noProof/>
            <w:webHidden/>
          </w:rPr>
          <w:t>14</w:t>
        </w:r>
        <w:r>
          <w:rPr>
            <w:noProof/>
            <w:webHidden/>
          </w:rPr>
          <w:fldChar w:fldCharType="end"/>
        </w:r>
      </w:hyperlink>
    </w:p>
    <w:p w14:paraId="02E43482" w14:textId="564F96C3" w:rsidR="003E755D" w:rsidRDefault="003E755D">
      <w:pPr>
        <w:pStyle w:val="INNH3"/>
        <w:tabs>
          <w:tab w:val="right" w:leader="dot" w:pos="9396"/>
        </w:tabs>
        <w:rPr>
          <w:rFonts w:asciiTheme="minorHAnsi" w:hAnsiTheme="minorHAnsi"/>
          <w:noProof/>
          <w:kern w:val="2"/>
          <w:lang w:val="nb-NO" w:eastAsia="nb-NO"/>
          <w14:ligatures w14:val="standardContextual"/>
        </w:rPr>
      </w:pPr>
      <w:hyperlink w:anchor="_Toc230777782" w:history="1">
        <w:r w:rsidRPr="001C5829">
          <w:rPr>
            <w:rStyle w:val="Hyperkobling"/>
            <w:noProof/>
          </w:rPr>
          <w:t>3.4 Log-transformert mål og evaluering</w:t>
        </w:r>
        <w:r>
          <w:rPr>
            <w:noProof/>
            <w:webHidden/>
          </w:rPr>
          <w:tab/>
        </w:r>
        <w:r>
          <w:rPr>
            <w:noProof/>
            <w:webHidden/>
          </w:rPr>
          <w:fldChar w:fldCharType="begin"/>
        </w:r>
        <w:r>
          <w:rPr>
            <w:noProof/>
            <w:webHidden/>
          </w:rPr>
          <w:instrText xml:space="preserve"> PAGEREF _Toc230777782 \h </w:instrText>
        </w:r>
        <w:r>
          <w:rPr>
            <w:noProof/>
            <w:webHidden/>
          </w:rPr>
        </w:r>
        <w:r>
          <w:rPr>
            <w:noProof/>
            <w:webHidden/>
          </w:rPr>
          <w:fldChar w:fldCharType="separate"/>
        </w:r>
        <w:r>
          <w:rPr>
            <w:noProof/>
            <w:webHidden/>
          </w:rPr>
          <w:t>15</w:t>
        </w:r>
        <w:r>
          <w:rPr>
            <w:noProof/>
            <w:webHidden/>
          </w:rPr>
          <w:fldChar w:fldCharType="end"/>
        </w:r>
      </w:hyperlink>
    </w:p>
    <w:p w14:paraId="07BF17BA" w14:textId="2C1C206F" w:rsidR="003E755D" w:rsidRDefault="003E755D">
      <w:pPr>
        <w:pStyle w:val="INNH3"/>
        <w:tabs>
          <w:tab w:val="right" w:leader="dot" w:pos="9396"/>
        </w:tabs>
        <w:rPr>
          <w:rFonts w:asciiTheme="minorHAnsi" w:hAnsiTheme="minorHAnsi"/>
          <w:noProof/>
          <w:kern w:val="2"/>
          <w:lang w:val="nb-NO" w:eastAsia="nb-NO"/>
          <w14:ligatures w14:val="standardContextual"/>
        </w:rPr>
      </w:pPr>
      <w:hyperlink w:anchor="_Toc230777783" w:history="1">
        <w:r w:rsidRPr="001C5829">
          <w:rPr>
            <w:rStyle w:val="Hyperkobling"/>
            <w:noProof/>
          </w:rPr>
          <w:t>3.5 Kvantilregresjon og konform prediksjon</w:t>
        </w:r>
        <w:r>
          <w:rPr>
            <w:noProof/>
            <w:webHidden/>
          </w:rPr>
          <w:tab/>
        </w:r>
        <w:r>
          <w:rPr>
            <w:noProof/>
            <w:webHidden/>
          </w:rPr>
          <w:fldChar w:fldCharType="begin"/>
        </w:r>
        <w:r>
          <w:rPr>
            <w:noProof/>
            <w:webHidden/>
          </w:rPr>
          <w:instrText xml:space="preserve"> PAGEREF _Toc230777783 \h </w:instrText>
        </w:r>
        <w:r>
          <w:rPr>
            <w:noProof/>
            <w:webHidden/>
          </w:rPr>
        </w:r>
        <w:r>
          <w:rPr>
            <w:noProof/>
            <w:webHidden/>
          </w:rPr>
          <w:fldChar w:fldCharType="separate"/>
        </w:r>
        <w:r>
          <w:rPr>
            <w:noProof/>
            <w:webHidden/>
          </w:rPr>
          <w:t>16</w:t>
        </w:r>
        <w:r>
          <w:rPr>
            <w:noProof/>
            <w:webHidden/>
          </w:rPr>
          <w:fldChar w:fldCharType="end"/>
        </w:r>
      </w:hyperlink>
    </w:p>
    <w:p w14:paraId="48FDEC66" w14:textId="18EF3F90" w:rsidR="003E755D" w:rsidRDefault="003E755D">
      <w:pPr>
        <w:pStyle w:val="INNH3"/>
        <w:tabs>
          <w:tab w:val="right" w:leader="dot" w:pos="9396"/>
        </w:tabs>
        <w:rPr>
          <w:rFonts w:asciiTheme="minorHAnsi" w:hAnsiTheme="minorHAnsi"/>
          <w:noProof/>
          <w:kern w:val="2"/>
          <w:lang w:val="nb-NO" w:eastAsia="nb-NO"/>
          <w14:ligatures w14:val="standardContextual"/>
        </w:rPr>
      </w:pPr>
      <w:hyperlink w:anchor="_Toc230777784" w:history="1">
        <w:r w:rsidRPr="001C5829">
          <w:rPr>
            <w:rStyle w:val="Hyperkobling"/>
            <w:noProof/>
          </w:rPr>
          <w:t>3.6 SHAP-verdier</w:t>
        </w:r>
        <w:r>
          <w:rPr>
            <w:noProof/>
            <w:webHidden/>
          </w:rPr>
          <w:tab/>
        </w:r>
        <w:r>
          <w:rPr>
            <w:noProof/>
            <w:webHidden/>
          </w:rPr>
          <w:fldChar w:fldCharType="begin"/>
        </w:r>
        <w:r>
          <w:rPr>
            <w:noProof/>
            <w:webHidden/>
          </w:rPr>
          <w:instrText xml:space="preserve"> PAGEREF _Toc230777784 \h </w:instrText>
        </w:r>
        <w:r>
          <w:rPr>
            <w:noProof/>
            <w:webHidden/>
          </w:rPr>
        </w:r>
        <w:r>
          <w:rPr>
            <w:noProof/>
            <w:webHidden/>
          </w:rPr>
          <w:fldChar w:fldCharType="separate"/>
        </w:r>
        <w:r>
          <w:rPr>
            <w:noProof/>
            <w:webHidden/>
          </w:rPr>
          <w:t>18</w:t>
        </w:r>
        <w:r>
          <w:rPr>
            <w:noProof/>
            <w:webHidden/>
          </w:rPr>
          <w:fldChar w:fldCharType="end"/>
        </w:r>
      </w:hyperlink>
    </w:p>
    <w:p w14:paraId="5062EDDF" w14:textId="480AC4F0" w:rsidR="003E755D" w:rsidRDefault="003E755D">
      <w:pPr>
        <w:pStyle w:val="INNH2"/>
        <w:tabs>
          <w:tab w:val="right" w:leader="dot" w:pos="9396"/>
        </w:tabs>
        <w:rPr>
          <w:rFonts w:asciiTheme="minorHAnsi" w:hAnsiTheme="minorHAnsi"/>
          <w:noProof/>
          <w:kern w:val="2"/>
          <w:lang w:val="nb-NO" w:eastAsia="nb-NO"/>
          <w14:ligatures w14:val="standardContextual"/>
        </w:rPr>
      </w:pPr>
      <w:hyperlink w:anchor="_Toc230777785" w:history="1">
        <w:r w:rsidRPr="001C5829">
          <w:rPr>
            <w:rStyle w:val="Hyperkobling"/>
            <w:noProof/>
          </w:rPr>
          <w:t>4. Casebeskrivelse</w:t>
        </w:r>
        <w:r>
          <w:rPr>
            <w:noProof/>
            <w:webHidden/>
          </w:rPr>
          <w:tab/>
        </w:r>
        <w:r>
          <w:rPr>
            <w:noProof/>
            <w:webHidden/>
          </w:rPr>
          <w:fldChar w:fldCharType="begin"/>
        </w:r>
        <w:r>
          <w:rPr>
            <w:noProof/>
            <w:webHidden/>
          </w:rPr>
          <w:instrText xml:space="preserve"> PAGEREF _Toc230777785 \h </w:instrText>
        </w:r>
        <w:r>
          <w:rPr>
            <w:noProof/>
            <w:webHidden/>
          </w:rPr>
        </w:r>
        <w:r>
          <w:rPr>
            <w:noProof/>
            <w:webHidden/>
          </w:rPr>
          <w:fldChar w:fldCharType="separate"/>
        </w:r>
        <w:r>
          <w:rPr>
            <w:noProof/>
            <w:webHidden/>
          </w:rPr>
          <w:t>19</w:t>
        </w:r>
        <w:r>
          <w:rPr>
            <w:noProof/>
            <w:webHidden/>
          </w:rPr>
          <w:fldChar w:fldCharType="end"/>
        </w:r>
      </w:hyperlink>
    </w:p>
    <w:p w14:paraId="7E4C52FC" w14:textId="783A2342" w:rsidR="003E755D" w:rsidRDefault="003E755D">
      <w:pPr>
        <w:pStyle w:val="INNH2"/>
        <w:tabs>
          <w:tab w:val="right" w:leader="dot" w:pos="9396"/>
        </w:tabs>
        <w:rPr>
          <w:rFonts w:asciiTheme="minorHAnsi" w:hAnsiTheme="minorHAnsi"/>
          <w:noProof/>
          <w:kern w:val="2"/>
          <w:lang w:val="nb-NO" w:eastAsia="nb-NO"/>
          <w14:ligatures w14:val="standardContextual"/>
        </w:rPr>
      </w:pPr>
      <w:hyperlink w:anchor="_Toc230777786" w:history="1">
        <w:r w:rsidRPr="001C5829">
          <w:rPr>
            <w:rStyle w:val="Hyperkobling"/>
            <w:noProof/>
          </w:rPr>
          <w:t>5. Metode og data</w:t>
        </w:r>
        <w:r>
          <w:rPr>
            <w:noProof/>
            <w:webHidden/>
          </w:rPr>
          <w:tab/>
        </w:r>
        <w:r>
          <w:rPr>
            <w:noProof/>
            <w:webHidden/>
          </w:rPr>
          <w:fldChar w:fldCharType="begin"/>
        </w:r>
        <w:r>
          <w:rPr>
            <w:noProof/>
            <w:webHidden/>
          </w:rPr>
          <w:instrText xml:space="preserve"> PAGEREF _Toc230777786 \h </w:instrText>
        </w:r>
        <w:r>
          <w:rPr>
            <w:noProof/>
            <w:webHidden/>
          </w:rPr>
        </w:r>
        <w:r>
          <w:rPr>
            <w:noProof/>
            <w:webHidden/>
          </w:rPr>
          <w:fldChar w:fldCharType="separate"/>
        </w:r>
        <w:r>
          <w:rPr>
            <w:noProof/>
            <w:webHidden/>
          </w:rPr>
          <w:t>20</w:t>
        </w:r>
        <w:r>
          <w:rPr>
            <w:noProof/>
            <w:webHidden/>
          </w:rPr>
          <w:fldChar w:fldCharType="end"/>
        </w:r>
      </w:hyperlink>
    </w:p>
    <w:p w14:paraId="5118789E" w14:textId="44A53D75" w:rsidR="003E755D" w:rsidRDefault="003E755D">
      <w:pPr>
        <w:pStyle w:val="INNH3"/>
        <w:tabs>
          <w:tab w:val="right" w:leader="dot" w:pos="9396"/>
        </w:tabs>
        <w:rPr>
          <w:rFonts w:asciiTheme="minorHAnsi" w:hAnsiTheme="minorHAnsi"/>
          <w:noProof/>
          <w:kern w:val="2"/>
          <w:lang w:val="nb-NO" w:eastAsia="nb-NO"/>
          <w14:ligatures w14:val="standardContextual"/>
        </w:rPr>
      </w:pPr>
      <w:hyperlink w:anchor="_Toc230777787" w:history="1">
        <w:r w:rsidRPr="001C5829">
          <w:rPr>
            <w:rStyle w:val="Hyperkobling"/>
            <w:noProof/>
          </w:rPr>
          <w:t>5.0 Prosessmapping mot pensumkompendiet</w:t>
        </w:r>
        <w:r>
          <w:rPr>
            <w:noProof/>
            <w:webHidden/>
          </w:rPr>
          <w:tab/>
        </w:r>
        <w:r>
          <w:rPr>
            <w:noProof/>
            <w:webHidden/>
          </w:rPr>
          <w:fldChar w:fldCharType="begin"/>
        </w:r>
        <w:r>
          <w:rPr>
            <w:noProof/>
            <w:webHidden/>
          </w:rPr>
          <w:instrText xml:space="preserve"> PAGEREF _Toc230777787 \h </w:instrText>
        </w:r>
        <w:r>
          <w:rPr>
            <w:noProof/>
            <w:webHidden/>
          </w:rPr>
        </w:r>
        <w:r>
          <w:rPr>
            <w:noProof/>
            <w:webHidden/>
          </w:rPr>
          <w:fldChar w:fldCharType="separate"/>
        </w:r>
        <w:r>
          <w:rPr>
            <w:noProof/>
            <w:webHidden/>
          </w:rPr>
          <w:t>20</w:t>
        </w:r>
        <w:r>
          <w:rPr>
            <w:noProof/>
            <w:webHidden/>
          </w:rPr>
          <w:fldChar w:fldCharType="end"/>
        </w:r>
      </w:hyperlink>
    </w:p>
    <w:p w14:paraId="32D834F8" w14:textId="5FC011C4" w:rsidR="003E755D" w:rsidRDefault="003E755D">
      <w:pPr>
        <w:pStyle w:val="INNH3"/>
        <w:tabs>
          <w:tab w:val="right" w:leader="dot" w:pos="9396"/>
        </w:tabs>
        <w:rPr>
          <w:rFonts w:asciiTheme="minorHAnsi" w:hAnsiTheme="minorHAnsi"/>
          <w:noProof/>
          <w:kern w:val="2"/>
          <w:lang w:val="nb-NO" w:eastAsia="nb-NO"/>
          <w14:ligatures w14:val="standardContextual"/>
        </w:rPr>
      </w:pPr>
      <w:hyperlink w:anchor="_Toc230777788" w:history="1">
        <w:r w:rsidRPr="001C5829">
          <w:rPr>
            <w:rStyle w:val="Hyperkobling"/>
            <w:noProof/>
          </w:rPr>
          <w:t>5.1 Forskningsdesign</w:t>
        </w:r>
        <w:r>
          <w:rPr>
            <w:noProof/>
            <w:webHidden/>
          </w:rPr>
          <w:tab/>
        </w:r>
        <w:r>
          <w:rPr>
            <w:noProof/>
            <w:webHidden/>
          </w:rPr>
          <w:fldChar w:fldCharType="begin"/>
        </w:r>
        <w:r>
          <w:rPr>
            <w:noProof/>
            <w:webHidden/>
          </w:rPr>
          <w:instrText xml:space="preserve"> PAGEREF _Toc230777788 \h </w:instrText>
        </w:r>
        <w:r>
          <w:rPr>
            <w:noProof/>
            <w:webHidden/>
          </w:rPr>
        </w:r>
        <w:r>
          <w:rPr>
            <w:noProof/>
            <w:webHidden/>
          </w:rPr>
          <w:fldChar w:fldCharType="separate"/>
        </w:r>
        <w:r>
          <w:rPr>
            <w:noProof/>
            <w:webHidden/>
          </w:rPr>
          <w:t>20</w:t>
        </w:r>
        <w:r>
          <w:rPr>
            <w:noProof/>
            <w:webHidden/>
          </w:rPr>
          <w:fldChar w:fldCharType="end"/>
        </w:r>
      </w:hyperlink>
    </w:p>
    <w:p w14:paraId="2B74D354" w14:textId="6ADBBBA2" w:rsidR="003E755D" w:rsidRDefault="003E755D">
      <w:pPr>
        <w:pStyle w:val="INNH3"/>
        <w:tabs>
          <w:tab w:val="right" w:leader="dot" w:pos="9396"/>
        </w:tabs>
        <w:rPr>
          <w:rFonts w:asciiTheme="minorHAnsi" w:hAnsiTheme="minorHAnsi"/>
          <w:noProof/>
          <w:kern w:val="2"/>
          <w:lang w:val="nb-NO" w:eastAsia="nb-NO"/>
          <w14:ligatures w14:val="standardContextual"/>
        </w:rPr>
      </w:pPr>
      <w:hyperlink w:anchor="_Toc230777789" w:history="1">
        <w:r w:rsidRPr="001C5829">
          <w:rPr>
            <w:rStyle w:val="Hyperkobling"/>
            <w:noProof/>
          </w:rPr>
          <w:t>5.2 Datakilder</w:t>
        </w:r>
        <w:r>
          <w:rPr>
            <w:noProof/>
            <w:webHidden/>
          </w:rPr>
          <w:tab/>
        </w:r>
        <w:r>
          <w:rPr>
            <w:noProof/>
            <w:webHidden/>
          </w:rPr>
          <w:fldChar w:fldCharType="begin"/>
        </w:r>
        <w:r>
          <w:rPr>
            <w:noProof/>
            <w:webHidden/>
          </w:rPr>
          <w:instrText xml:space="preserve"> PAGEREF _Toc230777789 \h </w:instrText>
        </w:r>
        <w:r>
          <w:rPr>
            <w:noProof/>
            <w:webHidden/>
          </w:rPr>
        </w:r>
        <w:r>
          <w:rPr>
            <w:noProof/>
            <w:webHidden/>
          </w:rPr>
          <w:fldChar w:fldCharType="separate"/>
        </w:r>
        <w:r>
          <w:rPr>
            <w:noProof/>
            <w:webHidden/>
          </w:rPr>
          <w:t>20</w:t>
        </w:r>
        <w:r>
          <w:rPr>
            <w:noProof/>
            <w:webHidden/>
          </w:rPr>
          <w:fldChar w:fldCharType="end"/>
        </w:r>
      </w:hyperlink>
    </w:p>
    <w:p w14:paraId="3BDC1110" w14:textId="2528A3DE" w:rsidR="003E755D" w:rsidRDefault="003E755D">
      <w:pPr>
        <w:pStyle w:val="INNH3"/>
        <w:tabs>
          <w:tab w:val="right" w:leader="dot" w:pos="9396"/>
        </w:tabs>
        <w:rPr>
          <w:rFonts w:asciiTheme="minorHAnsi" w:hAnsiTheme="minorHAnsi"/>
          <w:noProof/>
          <w:kern w:val="2"/>
          <w:lang w:val="nb-NO" w:eastAsia="nb-NO"/>
          <w14:ligatures w14:val="standardContextual"/>
        </w:rPr>
      </w:pPr>
      <w:hyperlink w:anchor="_Toc230777790" w:history="1">
        <w:r w:rsidRPr="001C5829">
          <w:rPr>
            <w:rStyle w:val="Hyperkobling"/>
            <w:noProof/>
          </w:rPr>
          <w:t>5.3 Datapreparering</w:t>
        </w:r>
        <w:r>
          <w:rPr>
            <w:noProof/>
            <w:webHidden/>
          </w:rPr>
          <w:tab/>
        </w:r>
        <w:r>
          <w:rPr>
            <w:noProof/>
            <w:webHidden/>
          </w:rPr>
          <w:fldChar w:fldCharType="begin"/>
        </w:r>
        <w:r>
          <w:rPr>
            <w:noProof/>
            <w:webHidden/>
          </w:rPr>
          <w:instrText xml:space="preserve"> PAGEREF _Toc230777790 \h </w:instrText>
        </w:r>
        <w:r>
          <w:rPr>
            <w:noProof/>
            <w:webHidden/>
          </w:rPr>
        </w:r>
        <w:r>
          <w:rPr>
            <w:noProof/>
            <w:webHidden/>
          </w:rPr>
          <w:fldChar w:fldCharType="separate"/>
        </w:r>
        <w:r>
          <w:rPr>
            <w:noProof/>
            <w:webHidden/>
          </w:rPr>
          <w:t>22</w:t>
        </w:r>
        <w:r>
          <w:rPr>
            <w:noProof/>
            <w:webHidden/>
          </w:rPr>
          <w:fldChar w:fldCharType="end"/>
        </w:r>
      </w:hyperlink>
    </w:p>
    <w:p w14:paraId="04875A99" w14:textId="18C24591" w:rsidR="003E755D" w:rsidRDefault="003E755D">
      <w:pPr>
        <w:pStyle w:val="INNH3"/>
        <w:tabs>
          <w:tab w:val="right" w:leader="dot" w:pos="9396"/>
        </w:tabs>
        <w:rPr>
          <w:rFonts w:asciiTheme="minorHAnsi" w:hAnsiTheme="minorHAnsi"/>
          <w:noProof/>
          <w:kern w:val="2"/>
          <w:lang w:val="nb-NO" w:eastAsia="nb-NO"/>
          <w14:ligatures w14:val="standardContextual"/>
        </w:rPr>
      </w:pPr>
      <w:hyperlink w:anchor="_Toc230777791" w:history="1">
        <w:r w:rsidRPr="001C5829">
          <w:rPr>
            <w:rStyle w:val="Hyperkobling"/>
            <w:noProof/>
          </w:rPr>
          <w:t>5.4 Datasplit og evalueringsprotokoll</w:t>
        </w:r>
        <w:r>
          <w:rPr>
            <w:noProof/>
            <w:webHidden/>
          </w:rPr>
          <w:tab/>
        </w:r>
        <w:r>
          <w:rPr>
            <w:noProof/>
            <w:webHidden/>
          </w:rPr>
          <w:fldChar w:fldCharType="begin"/>
        </w:r>
        <w:r>
          <w:rPr>
            <w:noProof/>
            <w:webHidden/>
          </w:rPr>
          <w:instrText xml:space="preserve"> PAGEREF _Toc230777791 \h </w:instrText>
        </w:r>
        <w:r>
          <w:rPr>
            <w:noProof/>
            <w:webHidden/>
          </w:rPr>
        </w:r>
        <w:r>
          <w:rPr>
            <w:noProof/>
            <w:webHidden/>
          </w:rPr>
          <w:fldChar w:fldCharType="separate"/>
        </w:r>
        <w:r>
          <w:rPr>
            <w:noProof/>
            <w:webHidden/>
          </w:rPr>
          <w:t>22</w:t>
        </w:r>
        <w:r>
          <w:rPr>
            <w:noProof/>
            <w:webHidden/>
          </w:rPr>
          <w:fldChar w:fldCharType="end"/>
        </w:r>
      </w:hyperlink>
    </w:p>
    <w:p w14:paraId="57AB5382" w14:textId="6BCC280D" w:rsidR="003E755D" w:rsidRDefault="003E755D">
      <w:pPr>
        <w:pStyle w:val="INNH3"/>
        <w:tabs>
          <w:tab w:val="right" w:leader="dot" w:pos="9396"/>
        </w:tabs>
        <w:rPr>
          <w:rFonts w:asciiTheme="minorHAnsi" w:hAnsiTheme="minorHAnsi"/>
          <w:noProof/>
          <w:kern w:val="2"/>
          <w:lang w:val="nb-NO" w:eastAsia="nb-NO"/>
          <w14:ligatures w14:val="standardContextual"/>
        </w:rPr>
      </w:pPr>
      <w:hyperlink w:anchor="_Toc230777792" w:history="1">
        <w:r w:rsidRPr="001C5829">
          <w:rPr>
            <w:rStyle w:val="Hyperkobling"/>
            <w:noProof/>
          </w:rPr>
          <w:t>5.5 Feature engineering</w:t>
        </w:r>
        <w:r>
          <w:rPr>
            <w:noProof/>
            <w:webHidden/>
          </w:rPr>
          <w:tab/>
        </w:r>
        <w:r>
          <w:rPr>
            <w:noProof/>
            <w:webHidden/>
          </w:rPr>
          <w:fldChar w:fldCharType="begin"/>
        </w:r>
        <w:r>
          <w:rPr>
            <w:noProof/>
            <w:webHidden/>
          </w:rPr>
          <w:instrText xml:space="preserve"> PAGEREF _Toc230777792 \h </w:instrText>
        </w:r>
        <w:r>
          <w:rPr>
            <w:noProof/>
            <w:webHidden/>
          </w:rPr>
        </w:r>
        <w:r>
          <w:rPr>
            <w:noProof/>
            <w:webHidden/>
          </w:rPr>
          <w:fldChar w:fldCharType="separate"/>
        </w:r>
        <w:r>
          <w:rPr>
            <w:noProof/>
            <w:webHidden/>
          </w:rPr>
          <w:t>24</w:t>
        </w:r>
        <w:r>
          <w:rPr>
            <w:noProof/>
            <w:webHidden/>
          </w:rPr>
          <w:fldChar w:fldCharType="end"/>
        </w:r>
      </w:hyperlink>
    </w:p>
    <w:p w14:paraId="62AF7758" w14:textId="5C74A6CF" w:rsidR="003E755D" w:rsidRDefault="003E755D">
      <w:pPr>
        <w:pStyle w:val="INNH3"/>
        <w:tabs>
          <w:tab w:val="right" w:leader="dot" w:pos="9396"/>
        </w:tabs>
        <w:rPr>
          <w:rFonts w:asciiTheme="minorHAnsi" w:hAnsiTheme="minorHAnsi"/>
          <w:noProof/>
          <w:kern w:val="2"/>
          <w:lang w:val="nb-NO" w:eastAsia="nb-NO"/>
          <w14:ligatures w14:val="standardContextual"/>
        </w:rPr>
      </w:pPr>
      <w:hyperlink w:anchor="_Toc230777793" w:history="1">
        <w:r w:rsidRPr="001C5829">
          <w:rPr>
            <w:rStyle w:val="Hyperkobling"/>
            <w:noProof/>
          </w:rPr>
          <w:t>5.6 Verktøy og reproduserbarhet</w:t>
        </w:r>
        <w:r>
          <w:rPr>
            <w:noProof/>
            <w:webHidden/>
          </w:rPr>
          <w:tab/>
        </w:r>
        <w:r>
          <w:rPr>
            <w:noProof/>
            <w:webHidden/>
          </w:rPr>
          <w:fldChar w:fldCharType="begin"/>
        </w:r>
        <w:r>
          <w:rPr>
            <w:noProof/>
            <w:webHidden/>
          </w:rPr>
          <w:instrText xml:space="preserve"> PAGEREF _Toc230777793 \h </w:instrText>
        </w:r>
        <w:r>
          <w:rPr>
            <w:noProof/>
            <w:webHidden/>
          </w:rPr>
        </w:r>
        <w:r>
          <w:rPr>
            <w:noProof/>
            <w:webHidden/>
          </w:rPr>
          <w:fldChar w:fldCharType="separate"/>
        </w:r>
        <w:r>
          <w:rPr>
            <w:noProof/>
            <w:webHidden/>
          </w:rPr>
          <w:t>24</w:t>
        </w:r>
        <w:r>
          <w:rPr>
            <w:noProof/>
            <w:webHidden/>
          </w:rPr>
          <w:fldChar w:fldCharType="end"/>
        </w:r>
      </w:hyperlink>
    </w:p>
    <w:p w14:paraId="00825200" w14:textId="0F05B5BF" w:rsidR="003E755D" w:rsidRDefault="003E755D">
      <w:pPr>
        <w:pStyle w:val="INNH3"/>
        <w:tabs>
          <w:tab w:val="right" w:leader="dot" w:pos="9396"/>
        </w:tabs>
        <w:rPr>
          <w:rFonts w:asciiTheme="minorHAnsi" w:hAnsiTheme="minorHAnsi"/>
          <w:noProof/>
          <w:kern w:val="2"/>
          <w:lang w:val="nb-NO" w:eastAsia="nb-NO"/>
          <w14:ligatures w14:val="standardContextual"/>
        </w:rPr>
      </w:pPr>
      <w:hyperlink w:anchor="_Toc230777794" w:history="1">
        <w:r w:rsidRPr="001C5829">
          <w:rPr>
            <w:rStyle w:val="Hyperkobling"/>
            <w:noProof/>
          </w:rPr>
          <w:t>5.7 Antakelsessjekk (kompendiet steg 2)</w:t>
        </w:r>
        <w:r>
          <w:rPr>
            <w:noProof/>
            <w:webHidden/>
          </w:rPr>
          <w:tab/>
        </w:r>
        <w:r>
          <w:rPr>
            <w:noProof/>
            <w:webHidden/>
          </w:rPr>
          <w:fldChar w:fldCharType="begin"/>
        </w:r>
        <w:r>
          <w:rPr>
            <w:noProof/>
            <w:webHidden/>
          </w:rPr>
          <w:instrText xml:space="preserve"> PAGEREF _Toc230777794 \h </w:instrText>
        </w:r>
        <w:r>
          <w:rPr>
            <w:noProof/>
            <w:webHidden/>
          </w:rPr>
        </w:r>
        <w:r>
          <w:rPr>
            <w:noProof/>
            <w:webHidden/>
          </w:rPr>
          <w:fldChar w:fldCharType="separate"/>
        </w:r>
        <w:r>
          <w:rPr>
            <w:noProof/>
            <w:webHidden/>
          </w:rPr>
          <w:t>24</w:t>
        </w:r>
        <w:r>
          <w:rPr>
            <w:noProof/>
            <w:webHidden/>
          </w:rPr>
          <w:fldChar w:fldCharType="end"/>
        </w:r>
      </w:hyperlink>
    </w:p>
    <w:p w14:paraId="2290741D" w14:textId="27F1D40A" w:rsidR="003E755D" w:rsidRDefault="003E755D">
      <w:pPr>
        <w:pStyle w:val="INNH2"/>
        <w:tabs>
          <w:tab w:val="right" w:leader="dot" w:pos="9396"/>
        </w:tabs>
        <w:rPr>
          <w:rFonts w:asciiTheme="minorHAnsi" w:hAnsiTheme="minorHAnsi"/>
          <w:noProof/>
          <w:kern w:val="2"/>
          <w:lang w:val="nb-NO" w:eastAsia="nb-NO"/>
          <w14:ligatures w14:val="standardContextual"/>
        </w:rPr>
      </w:pPr>
      <w:hyperlink w:anchor="_Toc230777795" w:history="1">
        <w:r w:rsidRPr="001C5829">
          <w:rPr>
            <w:rStyle w:val="Hyperkobling"/>
            <w:noProof/>
          </w:rPr>
          <w:t>6. Modell</w:t>
        </w:r>
        <w:r>
          <w:rPr>
            <w:noProof/>
            <w:webHidden/>
          </w:rPr>
          <w:tab/>
        </w:r>
        <w:r>
          <w:rPr>
            <w:noProof/>
            <w:webHidden/>
          </w:rPr>
          <w:fldChar w:fldCharType="begin"/>
        </w:r>
        <w:r>
          <w:rPr>
            <w:noProof/>
            <w:webHidden/>
          </w:rPr>
          <w:instrText xml:space="preserve"> PAGEREF _Toc230777795 \h </w:instrText>
        </w:r>
        <w:r>
          <w:rPr>
            <w:noProof/>
            <w:webHidden/>
          </w:rPr>
        </w:r>
        <w:r>
          <w:rPr>
            <w:noProof/>
            <w:webHidden/>
          </w:rPr>
          <w:fldChar w:fldCharType="separate"/>
        </w:r>
        <w:r>
          <w:rPr>
            <w:noProof/>
            <w:webHidden/>
          </w:rPr>
          <w:t>25</w:t>
        </w:r>
        <w:r>
          <w:rPr>
            <w:noProof/>
            <w:webHidden/>
          </w:rPr>
          <w:fldChar w:fldCharType="end"/>
        </w:r>
      </w:hyperlink>
    </w:p>
    <w:p w14:paraId="1AC33329" w14:textId="21C989D3" w:rsidR="003E755D" w:rsidRDefault="003E755D">
      <w:pPr>
        <w:pStyle w:val="INNH3"/>
        <w:tabs>
          <w:tab w:val="right" w:leader="dot" w:pos="9396"/>
        </w:tabs>
        <w:rPr>
          <w:rFonts w:asciiTheme="minorHAnsi" w:hAnsiTheme="minorHAnsi"/>
          <w:noProof/>
          <w:kern w:val="2"/>
          <w:lang w:val="nb-NO" w:eastAsia="nb-NO"/>
          <w14:ligatures w14:val="standardContextual"/>
        </w:rPr>
      </w:pPr>
      <w:hyperlink w:anchor="_Toc230777796" w:history="1">
        <w:r w:rsidRPr="001C5829">
          <w:rPr>
            <w:rStyle w:val="Hyperkobling"/>
            <w:noProof/>
          </w:rPr>
          <w:t>6.1 Målvariabel og tap</w:t>
        </w:r>
        <w:r>
          <w:rPr>
            <w:noProof/>
            <w:webHidden/>
          </w:rPr>
          <w:tab/>
        </w:r>
        <w:r>
          <w:rPr>
            <w:noProof/>
            <w:webHidden/>
          </w:rPr>
          <w:fldChar w:fldCharType="begin"/>
        </w:r>
        <w:r>
          <w:rPr>
            <w:noProof/>
            <w:webHidden/>
          </w:rPr>
          <w:instrText xml:space="preserve"> PAGEREF _Toc230777796 \h </w:instrText>
        </w:r>
        <w:r>
          <w:rPr>
            <w:noProof/>
            <w:webHidden/>
          </w:rPr>
        </w:r>
        <w:r>
          <w:rPr>
            <w:noProof/>
            <w:webHidden/>
          </w:rPr>
          <w:fldChar w:fldCharType="separate"/>
        </w:r>
        <w:r>
          <w:rPr>
            <w:noProof/>
            <w:webHidden/>
          </w:rPr>
          <w:t>25</w:t>
        </w:r>
        <w:r>
          <w:rPr>
            <w:noProof/>
            <w:webHidden/>
          </w:rPr>
          <w:fldChar w:fldCharType="end"/>
        </w:r>
      </w:hyperlink>
    </w:p>
    <w:p w14:paraId="4D8E7AD5" w14:textId="1668A249" w:rsidR="003E755D" w:rsidRDefault="003E755D">
      <w:pPr>
        <w:pStyle w:val="INNH3"/>
        <w:tabs>
          <w:tab w:val="right" w:leader="dot" w:pos="9396"/>
        </w:tabs>
        <w:rPr>
          <w:rFonts w:asciiTheme="minorHAnsi" w:hAnsiTheme="minorHAnsi"/>
          <w:noProof/>
          <w:kern w:val="2"/>
          <w:lang w:val="nb-NO" w:eastAsia="nb-NO"/>
          <w14:ligatures w14:val="standardContextual"/>
        </w:rPr>
      </w:pPr>
      <w:hyperlink w:anchor="_Toc230777797" w:history="1">
        <w:r w:rsidRPr="001C5829">
          <w:rPr>
            <w:rStyle w:val="Hyperkobling"/>
            <w:noProof/>
          </w:rPr>
          <w:t>6.2 Baselinemodeller</w:t>
        </w:r>
        <w:r>
          <w:rPr>
            <w:noProof/>
            <w:webHidden/>
          </w:rPr>
          <w:tab/>
        </w:r>
        <w:r>
          <w:rPr>
            <w:noProof/>
            <w:webHidden/>
          </w:rPr>
          <w:fldChar w:fldCharType="begin"/>
        </w:r>
        <w:r>
          <w:rPr>
            <w:noProof/>
            <w:webHidden/>
          </w:rPr>
          <w:instrText xml:space="preserve"> PAGEREF _Toc230777797 \h </w:instrText>
        </w:r>
        <w:r>
          <w:rPr>
            <w:noProof/>
            <w:webHidden/>
          </w:rPr>
        </w:r>
        <w:r>
          <w:rPr>
            <w:noProof/>
            <w:webHidden/>
          </w:rPr>
          <w:fldChar w:fldCharType="separate"/>
        </w:r>
        <w:r>
          <w:rPr>
            <w:noProof/>
            <w:webHidden/>
          </w:rPr>
          <w:t>26</w:t>
        </w:r>
        <w:r>
          <w:rPr>
            <w:noProof/>
            <w:webHidden/>
          </w:rPr>
          <w:fldChar w:fldCharType="end"/>
        </w:r>
      </w:hyperlink>
    </w:p>
    <w:p w14:paraId="6E0B11C8" w14:textId="2AB6B192" w:rsidR="003E755D" w:rsidRDefault="003E755D">
      <w:pPr>
        <w:pStyle w:val="INNH3"/>
        <w:tabs>
          <w:tab w:val="right" w:leader="dot" w:pos="9396"/>
        </w:tabs>
        <w:rPr>
          <w:rFonts w:asciiTheme="minorHAnsi" w:hAnsiTheme="minorHAnsi"/>
          <w:noProof/>
          <w:kern w:val="2"/>
          <w:lang w:val="nb-NO" w:eastAsia="nb-NO"/>
          <w14:ligatures w14:val="standardContextual"/>
        </w:rPr>
      </w:pPr>
      <w:hyperlink w:anchor="_Toc230777798" w:history="1">
        <w:r w:rsidRPr="001C5829">
          <w:rPr>
            <w:rStyle w:val="Hyperkobling"/>
            <w:noProof/>
          </w:rPr>
          <w:t>6.3 Hovedmodell — LightGBM + CatBoost ensemble</w:t>
        </w:r>
        <w:r>
          <w:rPr>
            <w:noProof/>
            <w:webHidden/>
          </w:rPr>
          <w:tab/>
        </w:r>
        <w:r>
          <w:rPr>
            <w:noProof/>
            <w:webHidden/>
          </w:rPr>
          <w:fldChar w:fldCharType="begin"/>
        </w:r>
        <w:r>
          <w:rPr>
            <w:noProof/>
            <w:webHidden/>
          </w:rPr>
          <w:instrText xml:space="preserve"> PAGEREF _Toc230777798 \h </w:instrText>
        </w:r>
        <w:r>
          <w:rPr>
            <w:noProof/>
            <w:webHidden/>
          </w:rPr>
        </w:r>
        <w:r>
          <w:rPr>
            <w:noProof/>
            <w:webHidden/>
          </w:rPr>
          <w:fldChar w:fldCharType="separate"/>
        </w:r>
        <w:r>
          <w:rPr>
            <w:noProof/>
            <w:webHidden/>
          </w:rPr>
          <w:t>26</w:t>
        </w:r>
        <w:r>
          <w:rPr>
            <w:noProof/>
            <w:webHidden/>
          </w:rPr>
          <w:fldChar w:fldCharType="end"/>
        </w:r>
      </w:hyperlink>
    </w:p>
    <w:p w14:paraId="39B62A6E" w14:textId="12F1492E" w:rsidR="003E755D" w:rsidRDefault="003E755D">
      <w:pPr>
        <w:pStyle w:val="INNH3"/>
        <w:tabs>
          <w:tab w:val="right" w:leader="dot" w:pos="9396"/>
        </w:tabs>
        <w:rPr>
          <w:rFonts w:asciiTheme="minorHAnsi" w:hAnsiTheme="minorHAnsi"/>
          <w:noProof/>
          <w:kern w:val="2"/>
          <w:lang w:val="nb-NO" w:eastAsia="nb-NO"/>
          <w14:ligatures w14:val="standardContextual"/>
        </w:rPr>
      </w:pPr>
      <w:hyperlink w:anchor="_Toc230777799" w:history="1">
        <w:r w:rsidRPr="001C5829">
          <w:rPr>
            <w:rStyle w:val="Hyperkobling"/>
            <w:noProof/>
          </w:rPr>
          <w:t>6.4 Kvantilmodell og konform kalibrering</w:t>
        </w:r>
        <w:r>
          <w:rPr>
            <w:noProof/>
            <w:webHidden/>
          </w:rPr>
          <w:tab/>
        </w:r>
        <w:r>
          <w:rPr>
            <w:noProof/>
            <w:webHidden/>
          </w:rPr>
          <w:fldChar w:fldCharType="begin"/>
        </w:r>
        <w:r>
          <w:rPr>
            <w:noProof/>
            <w:webHidden/>
          </w:rPr>
          <w:instrText xml:space="preserve"> PAGEREF _Toc230777799 \h </w:instrText>
        </w:r>
        <w:r>
          <w:rPr>
            <w:noProof/>
            <w:webHidden/>
          </w:rPr>
        </w:r>
        <w:r>
          <w:rPr>
            <w:noProof/>
            <w:webHidden/>
          </w:rPr>
          <w:fldChar w:fldCharType="separate"/>
        </w:r>
        <w:r>
          <w:rPr>
            <w:noProof/>
            <w:webHidden/>
          </w:rPr>
          <w:t>26</w:t>
        </w:r>
        <w:r>
          <w:rPr>
            <w:noProof/>
            <w:webHidden/>
          </w:rPr>
          <w:fldChar w:fldCharType="end"/>
        </w:r>
      </w:hyperlink>
    </w:p>
    <w:p w14:paraId="1C8692B5" w14:textId="520B5844" w:rsidR="003E755D" w:rsidRDefault="003E755D">
      <w:pPr>
        <w:pStyle w:val="INNH3"/>
        <w:tabs>
          <w:tab w:val="right" w:leader="dot" w:pos="9396"/>
        </w:tabs>
        <w:rPr>
          <w:rFonts w:asciiTheme="minorHAnsi" w:hAnsiTheme="minorHAnsi"/>
          <w:noProof/>
          <w:kern w:val="2"/>
          <w:lang w:val="nb-NO" w:eastAsia="nb-NO"/>
          <w14:ligatures w14:val="standardContextual"/>
        </w:rPr>
      </w:pPr>
      <w:hyperlink w:anchor="_Toc230777800" w:history="1">
        <w:r w:rsidRPr="001C5829">
          <w:rPr>
            <w:rStyle w:val="Hyperkobling"/>
            <w:noProof/>
          </w:rPr>
          <w:t>6.5 Hybrid kalibrering på anløpsnivå</w:t>
        </w:r>
        <w:r>
          <w:rPr>
            <w:noProof/>
            <w:webHidden/>
          </w:rPr>
          <w:tab/>
        </w:r>
        <w:r>
          <w:rPr>
            <w:noProof/>
            <w:webHidden/>
          </w:rPr>
          <w:fldChar w:fldCharType="begin"/>
        </w:r>
        <w:r>
          <w:rPr>
            <w:noProof/>
            <w:webHidden/>
          </w:rPr>
          <w:instrText xml:space="preserve"> PAGEREF _Toc230777800 \h </w:instrText>
        </w:r>
        <w:r>
          <w:rPr>
            <w:noProof/>
            <w:webHidden/>
          </w:rPr>
        </w:r>
        <w:r>
          <w:rPr>
            <w:noProof/>
            <w:webHidden/>
          </w:rPr>
          <w:fldChar w:fldCharType="separate"/>
        </w:r>
        <w:r>
          <w:rPr>
            <w:noProof/>
            <w:webHidden/>
          </w:rPr>
          <w:t>27</w:t>
        </w:r>
        <w:r>
          <w:rPr>
            <w:noProof/>
            <w:webHidden/>
          </w:rPr>
          <w:fldChar w:fldCharType="end"/>
        </w:r>
      </w:hyperlink>
    </w:p>
    <w:p w14:paraId="71B6EDF0" w14:textId="515ADA7A" w:rsidR="003E755D" w:rsidRDefault="003E755D">
      <w:pPr>
        <w:pStyle w:val="INNH2"/>
        <w:tabs>
          <w:tab w:val="right" w:leader="dot" w:pos="9396"/>
        </w:tabs>
        <w:rPr>
          <w:rFonts w:asciiTheme="minorHAnsi" w:hAnsiTheme="minorHAnsi"/>
          <w:noProof/>
          <w:kern w:val="2"/>
          <w:lang w:val="nb-NO" w:eastAsia="nb-NO"/>
          <w14:ligatures w14:val="standardContextual"/>
        </w:rPr>
      </w:pPr>
      <w:hyperlink w:anchor="_Toc230777801" w:history="1">
        <w:r w:rsidRPr="001C5829">
          <w:rPr>
            <w:rStyle w:val="Hyperkobling"/>
            <w:noProof/>
          </w:rPr>
          <w:t>7. Analyse</w:t>
        </w:r>
        <w:r>
          <w:rPr>
            <w:noProof/>
            <w:webHidden/>
          </w:rPr>
          <w:tab/>
        </w:r>
        <w:r>
          <w:rPr>
            <w:noProof/>
            <w:webHidden/>
          </w:rPr>
          <w:fldChar w:fldCharType="begin"/>
        </w:r>
        <w:r>
          <w:rPr>
            <w:noProof/>
            <w:webHidden/>
          </w:rPr>
          <w:instrText xml:space="preserve"> PAGEREF _Toc230777801 \h </w:instrText>
        </w:r>
        <w:r>
          <w:rPr>
            <w:noProof/>
            <w:webHidden/>
          </w:rPr>
        </w:r>
        <w:r>
          <w:rPr>
            <w:noProof/>
            <w:webHidden/>
          </w:rPr>
          <w:fldChar w:fldCharType="separate"/>
        </w:r>
        <w:r>
          <w:rPr>
            <w:noProof/>
            <w:webHidden/>
          </w:rPr>
          <w:t>27</w:t>
        </w:r>
        <w:r>
          <w:rPr>
            <w:noProof/>
            <w:webHidden/>
          </w:rPr>
          <w:fldChar w:fldCharType="end"/>
        </w:r>
      </w:hyperlink>
    </w:p>
    <w:p w14:paraId="11D2F545" w14:textId="2F36A93D" w:rsidR="003E755D" w:rsidRDefault="003E755D">
      <w:pPr>
        <w:pStyle w:val="INNH3"/>
        <w:tabs>
          <w:tab w:val="right" w:leader="dot" w:pos="9396"/>
        </w:tabs>
        <w:rPr>
          <w:rFonts w:asciiTheme="minorHAnsi" w:hAnsiTheme="minorHAnsi"/>
          <w:noProof/>
          <w:kern w:val="2"/>
          <w:lang w:val="nb-NO" w:eastAsia="nb-NO"/>
          <w14:ligatures w14:val="standardContextual"/>
        </w:rPr>
      </w:pPr>
      <w:hyperlink w:anchor="_Toc230777802" w:history="1">
        <w:r w:rsidRPr="001C5829">
          <w:rPr>
            <w:rStyle w:val="Hyperkobling"/>
            <w:noProof/>
          </w:rPr>
          <w:t>7.1 Beskrivende statistikk</w:t>
        </w:r>
        <w:r>
          <w:rPr>
            <w:noProof/>
            <w:webHidden/>
          </w:rPr>
          <w:tab/>
        </w:r>
        <w:r>
          <w:rPr>
            <w:noProof/>
            <w:webHidden/>
          </w:rPr>
          <w:fldChar w:fldCharType="begin"/>
        </w:r>
        <w:r>
          <w:rPr>
            <w:noProof/>
            <w:webHidden/>
          </w:rPr>
          <w:instrText xml:space="preserve"> PAGEREF _Toc230777802 \h </w:instrText>
        </w:r>
        <w:r>
          <w:rPr>
            <w:noProof/>
            <w:webHidden/>
          </w:rPr>
        </w:r>
        <w:r>
          <w:rPr>
            <w:noProof/>
            <w:webHidden/>
          </w:rPr>
          <w:fldChar w:fldCharType="separate"/>
        </w:r>
        <w:r>
          <w:rPr>
            <w:noProof/>
            <w:webHidden/>
          </w:rPr>
          <w:t>28</w:t>
        </w:r>
        <w:r>
          <w:rPr>
            <w:noProof/>
            <w:webHidden/>
          </w:rPr>
          <w:fldChar w:fldCharType="end"/>
        </w:r>
      </w:hyperlink>
    </w:p>
    <w:p w14:paraId="65180CE4" w14:textId="3717E393" w:rsidR="003E755D" w:rsidRDefault="003E755D">
      <w:pPr>
        <w:pStyle w:val="INNH3"/>
        <w:tabs>
          <w:tab w:val="right" w:leader="dot" w:pos="9396"/>
        </w:tabs>
        <w:rPr>
          <w:rFonts w:asciiTheme="minorHAnsi" w:hAnsiTheme="minorHAnsi"/>
          <w:noProof/>
          <w:kern w:val="2"/>
          <w:lang w:val="nb-NO" w:eastAsia="nb-NO"/>
          <w14:ligatures w14:val="standardContextual"/>
        </w:rPr>
      </w:pPr>
      <w:hyperlink w:anchor="_Toc230777803" w:history="1">
        <w:r w:rsidRPr="001C5829">
          <w:rPr>
            <w:rStyle w:val="Hyperkobling"/>
            <w:noProof/>
          </w:rPr>
          <w:t>7.2 Korrelasjoner og feature importance</w:t>
        </w:r>
        <w:r>
          <w:rPr>
            <w:noProof/>
            <w:webHidden/>
          </w:rPr>
          <w:tab/>
        </w:r>
        <w:r>
          <w:rPr>
            <w:noProof/>
            <w:webHidden/>
          </w:rPr>
          <w:fldChar w:fldCharType="begin"/>
        </w:r>
        <w:r>
          <w:rPr>
            <w:noProof/>
            <w:webHidden/>
          </w:rPr>
          <w:instrText xml:space="preserve"> PAGEREF _Toc230777803 \h </w:instrText>
        </w:r>
        <w:r>
          <w:rPr>
            <w:noProof/>
            <w:webHidden/>
          </w:rPr>
        </w:r>
        <w:r>
          <w:rPr>
            <w:noProof/>
            <w:webHidden/>
          </w:rPr>
          <w:fldChar w:fldCharType="separate"/>
        </w:r>
        <w:r>
          <w:rPr>
            <w:noProof/>
            <w:webHidden/>
          </w:rPr>
          <w:t>30</w:t>
        </w:r>
        <w:r>
          <w:rPr>
            <w:noProof/>
            <w:webHidden/>
          </w:rPr>
          <w:fldChar w:fldCharType="end"/>
        </w:r>
      </w:hyperlink>
    </w:p>
    <w:p w14:paraId="66B362D7" w14:textId="61A9006C" w:rsidR="003E755D" w:rsidRDefault="003E755D">
      <w:pPr>
        <w:pStyle w:val="INNH3"/>
        <w:tabs>
          <w:tab w:val="right" w:leader="dot" w:pos="9396"/>
        </w:tabs>
        <w:rPr>
          <w:rFonts w:asciiTheme="minorHAnsi" w:hAnsiTheme="minorHAnsi"/>
          <w:noProof/>
          <w:kern w:val="2"/>
          <w:lang w:val="nb-NO" w:eastAsia="nb-NO"/>
          <w14:ligatures w14:val="standardContextual"/>
        </w:rPr>
      </w:pPr>
      <w:hyperlink w:anchor="_Toc230777804" w:history="1">
        <w:r w:rsidRPr="001C5829">
          <w:rPr>
            <w:rStyle w:val="Hyperkobling"/>
            <w:noProof/>
          </w:rPr>
          <w:t>7.3 SHAP-analyse</w:t>
        </w:r>
        <w:r>
          <w:rPr>
            <w:noProof/>
            <w:webHidden/>
          </w:rPr>
          <w:tab/>
        </w:r>
        <w:r>
          <w:rPr>
            <w:noProof/>
            <w:webHidden/>
          </w:rPr>
          <w:fldChar w:fldCharType="begin"/>
        </w:r>
        <w:r>
          <w:rPr>
            <w:noProof/>
            <w:webHidden/>
          </w:rPr>
          <w:instrText xml:space="preserve"> PAGEREF _Toc230777804 \h </w:instrText>
        </w:r>
        <w:r>
          <w:rPr>
            <w:noProof/>
            <w:webHidden/>
          </w:rPr>
        </w:r>
        <w:r>
          <w:rPr>
            <w:noProof/>
            <w:webHidden/>
          </w:rPr>
          <w:fldChar w:fldCharType="separate"/>
        </w:r>
        <w:r>
          <w:rPr>
            <w:noProof/>
            <w:webHidden/>
          </w:rPr>
          <w:t>32</w:t>
        </w:r>
        <w:r>
          <w:rPr>
            <w:noProof/>
            <w:webHidden/>
          </w:rPr>
          <w:fldChar w:fldCharType="end"/>
        </w:r>
      </w:hyperlink>
    </w:p>
    <w:p w14:paraId="0AE3AE0C" w14:textId="3AD03F77" w:rsidR="003E755D" w:rsidRDefault="003E755D">
      <w:pPr>
        <w:pStyle w:val="INNH3"/>
        <w:tabs>
          <w:tab w:val="right" w:leader="dot" w:pos="9396"/>
        </w:tabs>
        <w:rPr>
          <w:rFonts w:asciiTheme="minorHAnsi" w:hAnsiTheme="minorHAnsi"/>
          <w:noProof/>
          <w:kern w:val="2"/>
          <w:lang w:val="nb-NO" w:eastAsia="nb-NO"/>
          <w14:ligatures w14:val="standardContextual"/>
        </w:rPr>
      </w:pPr>
      <w:hyperlink w:anchor="_Toc230777805" w:history="1">
        <w:r w:rsidRPr="001C5829">
          <w:rPr>
            <w:rStyle w:val="Hyperkobling"/>
            <w:noProof/>
          </w:rPr>
          <w:t>7.4 Residualdiagnostikk</w:t>
        </w:r>
        <w:r>
          <w:rPr>
            <w:noProof/>
            <w:webHidden/>
          </w:rPr>
          <w:tab/>
        </w:r>
        <w:r>
          <w:rPr>
            <w:noProof/>
            <w:webHidden/>
          </w:rPr>
          <w:fldChar w:fldCharType="begin"/>
        </w:r>
        <w:r>
          <w:rPr>
            <w:noProof/>
            <w:webHidden/>
          </w:rPr>
          <w:instrText xml:space="preserve"> PAGEREF _Toc230777805 \h </w:instrText>
        </w:r>
        <w:r>
          <w:rPr>
            <w:noProof/>
            <w:webHidden/>
          </w:rPr>
        </w:r>
        <w:r>
          <w:rPr>
            <w:noProof/>
            <w:webHidden/>
          </w:rPr>
          <w:fldChar w:fldCharType="separate"/>
        </w:r>
        <w:r>
          <w:rPr>
            <w:noProof/>
            <w:webHidden/>
          </w:rPr>
          <w:t>33</w:t>
        </w:r>
        <w:r>
          <w:rPr>
            <w:noProof/>
            <w:webHidden/>
          </w:rPr>
          <w:fldChar w:fldCharType="end"/>
        </w:r>
      </w:hyperlink>
    </w:p>
    <w:p w14:paraId="5B98B0F7" w14:textId="705BCC66" w:rsidR="003E755D" w:rsidRDefault="003E755D">
      <w:pPr>
        <w:pStyle w:val="INNH2"/>
        <w:tabs>
          <w:tab w:val="right" w:leader="dot" w:pos="9396"/>
        </w:tabs>
        <w:rPr>
          <w:rFonts w:asciiTheme="minorHAnsi" w:hAnsiTheme="minorHAnsi"/>
          <w:noProof/>
          <w:kern w:val="2"/>
          <w:lang w:val="nb-NO" w:eastAsia="nb-NO"/>
          <w14:ligatures w14:val="standardContextual"/>
        </w:rPr>
      </w:pPr>
      <w:hyperlink w:anchor="_Toc230777806" w:history="1">
        <w:r w:rsidRPr="001C5829">
          <w:rPr>
            <w:rStyle w:val="Hyperkobling"/>
            <w:noProof/>
          </w:rPr>
          <w:t>8. Resultat</w:t>
        </w:r>
        <w:r>
          <w:rPr>
            <w:noProof/>
            <w:webHidden/>
          </w:rPr>
          <w:tab/>
        </w:r>
        <w:r>
          <w:rPr>
            <w:noProof/>
            <w:webHidden/>
          </w:rPr>
          <w:fldChar w:fldCharType="begin"/>
        </w:r>
        <w:r>
          <w:rPr>
            <w:noProof/>
            <w:webHidden/>
          </w:rPr>
          <w:instrText xml:space="preserve"> PAGEREF _Toc230777806 \h </w:instrText>
        </w:r>
        <w:r>
          <w:rPr>
            <w:noProof/>
            <w:webHidden/>
          </w:rPr>
        </w:r>
        <w:r>
          <w:rPr>
            <w:noProof/>
            <w:webHidden/>
          </w:rPr>
          <w:fldChar w:fldCharType="separate"/>
        </w:r>
        <w:r>
          <w:rPr>
            <w:noProof/>
            <w:webHidden/>
          </w:rPr>
          <w:t>35</w:t>
        </w:r>
        <w:r>
          <w:rPr>
            <w:noProof/>
            <w:webHidden/>
          </w:rPr>
          <w:fldChar w:fldCharType="end"/>
        </w:r>
      </w:hyperlink>
    </w:p>
    <w:p w14:paraId="0BC9CCD3" w14:textId="55EB88DD" w:rsidR="003E755D" w:rsidRDefault="003E755D">
      <w:pPr>
        <w:pStyle w:val="INNH3"/>
        <w:tabs>
          <w:tab w:val="right" w:leader="dot" w:pos="9396"/>
        </w:tabs>
        <w:rPr>
          <w:rFonts w:asciiTheme="minorHAnsi" w:hAnsiTheme="minorHAnsi"/>
          <w:noProof/>
          <w:kern w:val="2"/>
          <w:lang w:val="nb-NO" w:eastAsia="nb-NO"/>
          <w14:ligatures w14:val="standardContextual"/>
        </w:rPr>
      </w:pPr>
      <w:hyperlink w:anchor="_Toc230777807" w:history="1">
        <w:r w:rsidRPr="001C5829">
          <w:rPr>
            <w:rStyle w:val="Hyperkobling"/>
            <w:noProof/>
          </w:rPr>
          <w:t>8.1 Sammenligning av modeller på valideringssettet</w:t>
        </w:r>
        <w:r>
          <w:rPr>
            <w:noProof/>
            <w:webHidden/>
          </w:rPr>
          <w:tab/>
        </w:r>
        <w:r>
          <w:rPr>
            <w:noProof/>
            <w:webHidden/>
          </w:rPr>
          <w:fldChar w:fldCharType="begin"/>
        </w:r>
        <w:r>
          <w:rPr>
            <w:noProof/>
            <w:webHidden/>
          </w:rPr>
          <w:instrText xml:space="preserve"> PAGEREF _Toc230777807 \h </w:instrText>
        </w:r>
        <w:r>
          <w:rPr>
            <w:noProof/>
            <w:webHidden/>
          </w:rPr>
        </w:r>
        <w:r>
          <w:rPr>
            <w:noProof/>
            <w:webHidden/>
          </w:rPr>
          <w:fldChar w:fldCharType="separate"/>
        </w:r>
        <w:r>
          <w:rPr>
            <w:noProof/>
            <w:webHidden/>
          </w:rPr>
          <w:t>35</w:t>
        </w:r>
        <w:r>
          <w:rPr>
            <w:noProof/>
            <w:webHidden/>
          </w:rPr>
          <w:fldChar w:fldCharType="end"/>
        </w:r>
      </w:hyperlink>
    </w:p>
    <w:p w14:paraId="57C36D01" w14:textId="21F57A40" w:rsidR="003E755D" w:rsidRDefault="003E755D">
      <w:pPr>
        <w:pStyle w:val="INNH3"/>
        <w:tabs>
          <w:tab w:val="right" w:leader="dot" w:pos="9396"/>
        </w:tabs>
        <w:rPr>
          <w:rFonts w:asciiTheme="minorHAnsi" w:hAnsiTheme="minorHAnsi"/>
          <w:noProof/>
          <w:kern w:val="2"/>
          <w:lang w:val="nb-NO" w:eastAsia="nb-NO"/>
          <w14:ligatures w14:val="standardContextual"/>
        </w:rPr>
      </w:pPr>
      <w:hyperlink w:anchor="_Toc230777808" w:history="1">
        <w:r w:rsidRPr="001C5829">
          <w:rPr>
            <w:rStyle w:val="Hyperkobling"/>
            <w:noProof/>
          </w:rPr>
          <w:t>8.1.1 Endelig evaluering på testsettet (2025)</w:t>
        </w:r>
        <w:r>
          <w:rPr>
            <w:noProof/>
            <w:webHidden/>
          </w:rPr>
          <w:tab/>
        </w:r>
        <w:r>
          <w:rPr>
            <w:noProof/>
            <w:webHidden/>
          </w:rPr>
          <w:fldChar w:fldCharType="begin"/>
        </w:r>
        <w:r>
          <w:rPr>
            <w:noProof/>
            <w:webHidden/>
          </w:rPr>
          <w:instrText xml:space="preserve"> PAGEREF _Toc230777808 \h </w:instrText>
        </w:r>
        <w:r>
          <w:rPr>
            <w:noProof/>
            <w:webHidden/>
          </w:rPr>
        </w:r>
        <w:r>
          <w:rPr>
            <w:noProof/>
            <w:webHidden/>
          </w:rPr>
          <w:fldChar w:fldCharType="separate"/>
        </w:r>
        <w:r>
          <w:rPr>
            <w:noProof/>
            <w:webHidden/>
          </w:rPr>
          <w:t>36</w:t>
        </w:r>
        <w:r>
          <w:rPr>
            <w:noProof/>
            <w:webHidden/>
          </w:rPr>
          <w:fldChar w:fldCharType="end"/>
        </w:r>
      </w:hyperlink>
    </w:p>
    <w:p w14:paraId="7F399B99" w14:textId="3117032D" w:rsidR="003E755D" w:rsidRDefault="003E755D">
      <w:pPr>
        <w:pStyle w:val="INNH3"/>
        <w:tabs>
          <w:tab w:val="right" w:leader="dot" w:pos="9396"/>
        </w:tabs>
        <w:rPr>
          <w:rFonts w:asciiTheme="minorHAnsi" w:hAnsiTheme="minorHAnsi"/>
          <w:noProof/>
          <w:kern w:val="2"/>
          <w:lang w:val="nb-NO" w:eastAsia="nb-NO"/>
          <w14:ligatures w14:val="standardContextual"/>
        </w:rPr>
      </w:pPr>
      <w:hyperlink w:anchor="_Toc230777809" w:history="1">
        <w:r w:rsidRPr="001C5829">
          <w:rPr>
            <w:rStyle w:val="Hyperkobling"/>
            <w:noProof/>
          </w:rPr>
          <w:t>8.2 Kvantildekning</w:t>
        </w:r>
        <w:r>
          <w:rPr>
            <w:noProof/>
            <w:webHidden/>
          </w:rPr>
          <w:tab/>
        </w:r>
        <w:r>
          <w:rPr>
            <w:noProof/>
            <w:webHidden/>
          </w:rPr>
          <w:fldChar w:fldCharType="begin"/>
        </w:r>
        <w:r>
          <w:rPr>
            <w:noProof/>
            <w:webHidden/>
          </w:rPr>
          <w:instrText xml:space="preserve"> PAGEREF _Toc230777809 \h </w:instrText>
        </w:r>
        <w:r>
          <w:rPr>
            <w:noProof/>
            <w:webHidden/>
          </w:rPr>
        </w:r>
        <w:r>
          <w:rPr>
            <w:noProof/>
            <w:webHidden/>
          </w:rPr>
          <w:fldChar w:fldCharType="separate"/>
        </w:r>
        <w:r>
          <w:rPr>
            <w:noProof/>
            <w:webHidden/>
          </w:rPr>
          <w:t>38</w:t>
        </w:r>
        <w:r>
          <w:rPr>
            <w:noProof/>
            <w:webHidden/>
          </w:rPr>
          <w:fldChar w:fldCharType="end"/>
        </w:r>
      </w:hyperlink>
    </w:p>
    <w:p w14:paraId="60132D6C" w14:textId="1DA34647" w:rsidR="003E755D" w:rsidRDefault="003E755D">
      <w:pPr>
        <w:pStyle w:val="INNH3"/>
        <w:tabs>
          <w:tab w:val="right" w:leader="dot" w:pos="9396"/>
        </w:tabs>
        <w:rPr>
          <w:rFonts w:asciiTheme="minorHAnsi" w:hAnsiTheme="minorHAnsi"/>
          <w:noProof/>
          <w:kern w:val="2"/>
          <w:lang w:val="nb-NO" w:eastAsia="nb-NO"/>
          <w14:ligatures w14:val="standardContextual"/>
        </w:rPr>
      </w:pPr>
      <w:hyperlink w:anchor="_Toc230777810" w:history="1">
        <w:r w:rsidRPr="001C5829">
          <w:rPr>
            <w:rStyle w:val="Hyperkobling"/>
            <w:noProof/>
          </w:rPr>
          <w:t>8.3 Hybridkalibrert anløpsestimat — eksempler</w:t>
        </w:r>
        <w:r>
          <w:rPr>
            <w:noProof/>
            <w:webHidden/>
          </w:rPr>
          <w:tab/>
        </w:r>
        <w:r>
          <w:rPr>
            <w:noProof/>
            <w:webHidden/>
          </w:rPr>
          <w:fldChar w:fldCharType="begin"/>
        </w:r>
        <w:r>
          <w:rPr>
            <w:noProof/>
            <w:webHidden/>
          </w:rPr>
          <w:instrText xml:space="preserve"> PAGEREF _Toc230777810 \h </w:instrText>
        </w:r>
        <w:r>
          <w:rPr>
            <w:noProof/>
            <w:webHidden/>
          </w:rPr>
        </w:r>
        <w:r>
          <w:rPr>
            <w:noProof/>
            <w:webHidden/>
          </w:rPr>
          <w:fldChar w:fldCharType="separate"/>
        </w:r>
        <w:r>
          <w:rPr>
            <w:noProof/>
            <w:webHidden/>
          </w:rPr>
          <w:t>38</w:t>
        </w:r>
        <w:r>
          <w:rPr>
            <w:noProof/>
            <w:webHidden/>
          </w:rPr>
          <w:fldChar w:fldCharType="end"/>
        </w:r>
      </w:hyperlink>
    </w:p>
    <w:p w14:paraId="5AC2775A" w14:textId="75BFFE30" w:rsidR="003E755D" w:rsidRDefault="003E755D">
      <w:pPr>
        <w:pStyle w:val="INNH3"/>
        <w:tabs>
          <w:tab w:val="right" w:leader="dot" w:pos="9396"/>
        </w:tabs>
        <w:rPr>
          <w:rFonts w:asciiTheme="minorHAnsi" w:hAnsiTheme="minorHAnsi"/>
          <w:noProof/>
          <w:kern w:val="2"/>
          <w:lang w:val="nb-NO" w:eastAsia="nb-NO"/>
          <w14:ligatures w14:val="standardContextual"/>
        </w:rPr>
      </w:pPr>
      <w:hyperlink w:anchor="_Toc230777811" w:history="1">
        <w:r w:rsidRPr="001C5829">
          <w:rPr>
            <w:rStyle w:val="Hyperkobling"/>
            <w:noProof/>
          </w:rPr>
          <w:t>8.4 Operasjonell ytelse</w:t>
        </w:r>
        <w:r>
          <w:rPr>
            <w:noProof/>
            <w:webHidden/>
          </w:rPr>
          <w:tab/>
        </w:r>
        <w:r>
          <w:rPr>
            <w:noProof/>
            <w:webHidden/>
          </w:rPr>
          <w:fldChar w:fldCharType="begin"/>
        </w:r>
        <w:r>
          <w:rPr>
            <w:noProof/>
            <w:webHidden/>
          </w:rPr>
          <w:instrText xml:space="preserve"> PAGEREF _Toc230777811 \h </w:instrText>
        </w:r>
        <w:r>
          <w:rPr>
            <w:noProof/>
            <w:webHidden/>
          </w:rPr>
        </w:r>
        <w:r>
          <w:rPr>
            <w:noProof/>
            <w:webHidden/>
          </w:rPr>
          <w:fldChar w:fldCharType="separate"/>
        </w:r>
        <w:r>
          <w:rPr>
            <w:noProof/>
            <w:webHidden/>
          </w:rPr>
          <w:t>41</w:t>
        </w:r>
        <w:r>
          <w:rPr>
            <w:noProof/>
            <w:webHidden/>
          </w:rPr>
          <w:fldChar w:fldCharType="end"/>
        </w:r>
      </w:hyperlink>
    </w:p>
    <w:p w14:paraId="71699FD8" w14:textId="25A3B94A" w:rsidR="003E755D" w:rsidRDefault="003E755D">
      <w:pPr>
        <w:pStyle w:val="INNH2"/>
        <w:tabs>
          <w:tab w:val="right" w:leader="dot" w:pos="9396"/>
        </w:tabs>
        <w:rPr>
          <w:rFonts w:asciiTheme="minorHAnsi" w:hAnsiTheme="minorHAnsi"/>
          <w:noProof/>
          <w:kern w:val="2"/>
          <w:lang w:val="nb-NO" w:eastAsia="nb-NO"/>
          <w14:ligatures w14:val="standardContextual"/>
        </w:rPr>
      </w:pPr>
      <w:hyperlink w:anchor="_Toc230777812" w:history="1">
        <w:r w:rsidRPr="001C5829">
          <w:rPr>
            <w:rStyle w:val="Hyperkobling"/>
            <w:noProof/>
          </w:rPr>
          <w:t>9. Diskusjon</w:t>
        </w:r>
        <w:r>
          <w:rPr>
            <w:noProof/>
            <w:webHidden/>
          </w:rPr>
          <w:tab/>
        </w:r>
        <w:r>
          <w:rPr>
            <w:noProof/>
            <w:webHidden/>
          </w:rPr>
          <w:fldChar w:fldCharType="begin"/>
        </w:r>
        <w:r>
          <w:rPr>
            <w:noProof/>
            <w:webHidden/>
          </w:rPr>
          <w:instrText xml:space="preserve"> PAGEREF _Toc230777812 \h </w:instrText>
        </w:r>
        <w:r>
          <w:rPr>
            <w:noProof/>
            <w:webHidden/>
          </w:rPr>
        </w:r>
        <w:r>
          <w:rPr>
            <w:noProof/>
            <w:webHidden/>
          </w:rPr>
          <w:fldChar w:fldCharType="separate"/>
        </w:r>
        <w:r>
          <w:rPr>
            <w:noProof/>
            <w:webHidden/>
          </w:rPr>
          <w:t>41</w:t>
        </w:r>
        <w:r>
          <w:rPr>
            <w:noProof/>
            <w:webHidden/>
          </w:rPr>
          <w:fldChar w:fldCharType="end"/>
        </w:r>
      </w:hyperlink>
    </w:p>
    <w:p w14:paraId="7C260DBD" w14:textId="7168C0BC" w:rsidR="003E755D" w:rsidRDefault="003E755D">
      <w:pPr>
        <w:pStyle w:val="INNH3"/>
        <w:tabs>
          <w:tab w:val="right" w:leader="dot" w:pos="9396"/>
        </w:tabs>
        <w:rPr>
          <w:rFonts w:asciiTheme="minorHAnsi" w:hAnsiTheme="minorHAnsi"/>
          <w:noProof/>
          <w:kern w:val="2"/>
          <w:lang w:val="nb-NO" w:eastAsia="nb-NO"/>
          <w14:ligatures w14:val="standardContextual"/>
        </w:rPr>
      </w:pPr>
      <w:hyperlink w:anchor="_Toc230777813" w:history="1">
        <w:r w:rsidRPr="001C5829">
          <w:rPr>
            <w:rStyle w:val="Hyperkobling"/>
            <w:noProof/>
          </w:rPr>
          <w:t>9.1 Tolkning av resultatene</w:t>
        </w:r>
        <w:r>
          <w:rPr>
            <w:noProof/>
            <w:webHidden/>
          </w:rPr>
          <w:tab/>
        </w:r>
        <w:r>
          <w:rPr>
            <w:noProof/>
            <w:webHidden/>
          </w:rPr>
          <w:fldChar w:fldCharType="begin"/>
        </w:r>
        <w:r>
          <w:rPr>
            <w:noProof/>
            <w:webHidden/>
          </w:rPr>
          <w:instrText xml:space="preserve"> PAGEREF _Toc230777813 \h </w:instrText>
        </w:r>
        <w:r>
          <w:rPr>
            <w:noProof/>
            <w:webHidden/>
          </w:rPr>
        </w:r>
        <w:r>
          <w:rPr>
            <w:noProof/>
            <w:webHidden/>
          </w:rPr>
          <w:fldChar w:fldCharType="separate"/>
        </w:r>
        <w:r>
          <w:rPr>
            <w:noProof/>
            <w:webHidden/>
          </w:rPr>
          <w:t>41</w:t>
        </w:r>
        <w:r>
          <w:rPr>
            <w:noProof/>
            <w:webHidden/>
          </w:rPr>
          <w:fldChar w:fldCharType="end"/>
        </w:r>
      </w:hyperlink>
    </w:p>
    <w:p w14:paraId="5AE9F7A1" w14:textId="3454366D" w:rsidR="003E755D" w:rsidRDefault="003E755D">
      <w:pPr>
        <w:pStyle w:val="INNH3"/>
        <w:tabs>
          <w:tab w:val="right" w:leader="dot" w:pos="9396"/>
        </w:tabs>
        <w:rPr>
          <w:rFonts w:asciiTheme="minorHAnsi" w:hAnsiTheme="minorHAnsi"/>
          <w:noProof/>
          <w:kern w:val="2"/>
          <w:lang w:val="nb-NO" w:eastAsia="nb-NO"/>
          <w14:ligatures w14:val="standardContextual"/>
        </w:rPr>
      </w:pPr>
      <w:hyperlink w:anchor="_Toc230777814" w:history="1">
        <w:r w:rsidRPr="001C5829">
          <w:rPr>
            <w:rStyle w:val="Hyperkobling"/>
            <w:noProof/>
          </w:rPr>
          <w:t>9.2 Forholdet mellom ensemble og enkeltmodellene</w:t>
        </w:r>
        <w:r>
          <w:rPr>
            <w:noProof/>
            <w:webHidden/>
          </w:rPr>
          <w:tab/>
        </w:r>
        <w:r>
          <w:rPr>
            <w:noProof/>
            <w:webHidden/>
          </w:rPr>
          <w:fldChar w:fldCharType="begin"/>
        </w:r>
        <w:r>
          <w:rPr>
            <w:noProof/>
            <w:webHidden/>
          </w:rPr>
          <w:instrText xml:space="preserve"> PAGEREF _Toc230777814 \h </w:instrText>
        </w:r>
        <w:r>
          <w:rPr>
            <w:noProof/>
            <w:webHidden/>
          </w:rPr>
        </w:r>
        <w:r>
          <w:rPr>
            <w:noProof/>
            <w:webHidden/>
          </w:rPr>
          <w:fldChar w:fldCharType="separate"/>
        </w:r>
        <w:r>
          <w:rPr>
            <w:noProof/>
            <w:webHidden/>
          </w:rPr>
          <w:t>42</w:t>
        </w:r>
        <w:r>
          <w:rPr>
            <w:noProof/>
            <w:webHidden/>
          </w:rPr>
          <w:fldChar w:fldCharType="end"/>
        </w:r>
      </w:hyperlink>
    </w:p>
    <w:p w14:paraId="5CCDD1F3" w14:textId="548040F0" w:rsidR="003E755D" w:rsidRDefault="003E755D">
      <w:pPr>
        <w:pStyle w:val="INNH3"/>
        <w:tabs>
          <w:tab w:val="right" w:leader="dot" w:pos="9396"/>
        </w:tabs>
        <w:rPr>
          <w:rFonts w:asciiTheme="minorHAnsi" w:hAnsiTheme="minorHAnsi"/>
          <w:noProof/>
          <w:kern w:val="2"/>
          <w:lang w:val="nb-NO" w:eastAsia="nb-NO"/>
          <w14:ligatures w14:val="standardContextual"/>
        </w:rPr>
      </w:pPr>
      <w:hyperlink w:anchor="_Toc230777815" w:history="1">
        <w:r w:rsidRPr="001C5829">
          <w:rPr>
            <w:rStyle w:val="Hyperkobling"/>
            <w:noProof/>
          </w:rPr>
          <w:t>9.3 Modellens styrker</w:t>
        </w:r>
        <w:r>
          <w:rPr>
            <w:noProof/>
            <w:webHidden/>
          </w:rPr>
          <w:tab/>
        </w:r>
        <w:r>
          <w:rPr>
            <w:noProof/>
            <w:webHidden/>
          </w:rPr>
          <w:fldChar w:fldCharType="begin"/>
        </w:r>
        <w:r>
          <w:rPr>
            <w:noProof/>
            <w:webHidden/>
          </w:rPr>
          <w:instrText xml:space="preserve"> PAGEREF _Toc230777815 \h </w:instrText>
        </w:r>
        <w:r>
          <w:rPr>
            <w:noProof/>
            <w:webHidden/>
          </w:rPr>
        </w:r>
        <w:r>
          <w:rPr>
            <w:noProof/>
            <w:webHidden/>
          </w:rPr>
          <w:fldChar w:fldCharType="separate"/>
        </w:r>
        <w:r>
          <w:rPr>
            <w:noProof/>
            <w:webHidden/>
          </w:rPr>
          <w:t>43</w:t>
        </w:r>
        <w:r>
          <w:rPr>
            <w:noProof/>
            <w:webHidden/>
          </w:rPr>
          <w:fldChar w:fldCharType="end"/>
        </w:r>
      </w:hyperlink>
    </w:p>
    <w:p w14:paraId="5EFC37C9" w14:textId="044BD980" w:rsidR="003E755D" w:rsidRDefault="003E755D">
      <w:pPr>
        <w:pStyle w:val="INNH3"/>
        <w:tabs>
          <w:tab w:val="right" w:leader="dot" w:pos="9396"/>
        </w:tabs>
        <w:rPr>
          <w:rFonts w:asciiTheme="minorHAnsi" w:hAnsiTheme="minorHAnsi"/>
          <w:noProof/>
          <w:kern w:val="2"/>
          <w:lang w:val="nb-NO" w:eastAsia="nb-NO"/>
          <w14:ligatures w14:val="standardContextual"/>
        </w:rPr>
      </w:pPr>
      <w:hyperlink w:anchor="_Toc230777816" w:history="1">
        <w:r w:rsidRPr="001C5829">
          <w:rPr>
            <w:rStyle w:val="Hyperkobling"/>
            <w:noProof/>
          </w:rPr>
          <w:t>9.4 Modellens svakheter — kritisk drøfting og forsvar</w:t>
        </w:r>
        <w:r>
          <w:rPr>
            <w:noProof/>
            <w:webHidden/>
          </w:rPr>
          <w:tab/>
        </w:r>
        <w:r>
          <w:rPr>
            <w:noProof/>
            <w:webHidden/>
          </w:rPr>
          <w:fldChar w:fldCharType="begin"/>
        </w:r>
        <w:r>
          <w:rPr>
            <w:noProof/>
            <w:webHidden/>
          </w:rPr>
          <w:instrText xml:space="preserve"> PAGEREF _Toc230777816 \h </w:instrText>
        </w:r>
        <w:r>
          <w:rPr>
            <w:noProof/>
            <w:webHidden/>
          </w:rPr>
        </w:r>
        <w:r>
          <w:rPr>
            <w:noProof/>
            <w:webHidden/>
          </w:rPr>
          <w:fldChar w:fldCharType="separate"/>
        </w:r>
        <w:r>
          <w:rPr>
            <w:noProof/>
            <w:webHidden/>
          </w:rPr>
          <w:t>43</w:t>
        </w:r>
        <w:r>
          <w:rPr>
            <w:noProof/>
            <w:webHidden/>
          </w:rPr>
          <w:fldChar w:fldCharType="end"/>
        </w:r>
      </w:hyperlink>
    </w:p>
    <w:p w14:paraId="0CF4F210" w14:textId="787EF483" w:rsidR="003E755D" w:rsidRDefault="003E755D">
      <w:pPr>
        <w:pStyle w:val="INNH3"/>
        <w:tabs>
          <w:tab w:val="right" w:leader="dot" w:pos="9396"/>
        </w:tabs>
        <w:rPr>
          <w:rFonts w:asciiTheme="minorHAnsi" w:hAnsiTheme="minorHAnsi"/>
          <w:noProof/>
          <w:kern w:val="2"/>
          <w:lang w:val="nb-NO" w:eastAsia="nb-NO"/>
          <w14:ligatures w14:val="standardContextual"/>
        </w:rPr>
      </w:pPr>
      <w:hyperlink w:anchor="_Toc230777817" w:history="1">
        <w:r w:rsidRPr="001C5829">
          <w:rPr>
            <w:rStyle w:val="Hyperkobling"/>
            <w:noProof/>
          </w:rPr>
          <w:t>9.5 Funn fra brukertest mai 2026</w:t>
        </w:r>
        <w:r>
          <w:rPr>
            <w:noProof/>
            <w:webHidden/>
          </w:rPr>
          <w:tab/>
        </w:r>
        <w:r>
          <w:rPr>
            <w:noProof/>
            <w:webHidden/>
          </w:rPr>
          <w:fldChar w:fldCharType="begin"/>
        </w:r>
        <w:r>
          <w:rPr>
            <w:noProof/>
            <w:webHidden/>
          </w:rPr>
          <w:instrText xml:space="preserve"> PAGEREF _Toc230777817 \h </w:instrText>
        </w:r>
        <w:r>
          <w:rPr>
            <w:noProof/>
            <w:webHidden/>
          </w:rPr>
        </w:r>
        <w:r>
          <w:rPr>
            <w:noProof/>
            <w:webHidden/>
          </w:rPr>
          <w:fldChar w:fldCharType="separate"/>
        </w:r>
        <w:r>
          <w:rPr>
            <w:noProof/>
            <w:webHidden/>
          </w:rPr>
          <w:t>45</w:t>
        </w:r>
        <w:r>
          <w:rPr>
            <w:noProof/>
            <w:webHidden/>
          </w:rPr>
          <w:fldChar w:fldCharType="end"/>
        </w:r>
      </w:hyperlink>
    </w:p>
    <w:p w14:paraId="2BF713B3" w14:textId="30138A9D" w:rsidR="003E755D" w:rsidRDefault="003E755D">
      <w:pPr>
        <w:pStyle w:val="INNH3"/>
        <w:tabs>
          <w:tab w:val="right" w:leader="dot" w:pos="9396"/>
        </w:tabs>
        <w:rPr>
          <w:rFonts w:asciiTheme="minorHAnsi" w:hAnsiTheme="minorHAnsi"/>
          <w:noProof/>
          <w:kern w:val="2"/>
          <w:lang w:val="nb-NO" w:eastAsia="nb-NO"/>
          <w14:ligatures w14:val="standardContextual"/>
        </w:rPr>
      </w:pPr>
      <w:hyperlink w:anchor="_Toc230777818" w:history="1">
        <w:r w:rsidRPr="001C5829">
          <w:rPr>
            <w:rStyle w:val="Hyperkobling"/>
            <w:noProof/>
          </w:rPr>
          <w:t>9.6 Validitet og generaliserbarhet</w:t>
        </w:r>
        <w:r>
          <w:rPr>
            <w:noProof/>
            <w:webHidden/>
          </w:rPr>
          <w:tab/>
        </w:r>
        <w:r>
          <w:rPr>
            <w:noProof/>
            <w:webHidden/>
          </w:rPr>
          <w:fldChar w:fldCharType="begin"/>
        </w:r>
        <w:r>
          <w:rPr>
            <w:noProof/>
            <w:webHidden/>
          </w:rPr>
          <w:instrText xml:space="preserve"> PAGEREF _Toc230777818 \h </w:instrText>
        </w:r>
        <w:r>
          <w:rPr>
            <w:noProof/>
            <w:webHidden/>
          </w:rPr>
        </w:r>
        <w:r>
          <w:rPr>
            <w:noProof/>
            <w:webHidden/>
          </w:rPr>
          <w:fldChar w:fldCharType="separate"/>
        </w:r>
        <w:r>
          <w:rPr>
            <w:noProof/>
            <w:webHidden/>
          </w:rPr>
          <w:t>47</w:t>
        </w:r>
        <w:r>
          <w:rPr>
            <w:noProof/>
            <w:webHidden/>
          </w:rPr>
          <w:fldChar w:fldCharType="end"/>
        </w:r>
      </w:hyperlink>
    </w:p>
    <w:p w14:paraId="40BB833C" w14:textId="7F910089" w:rsidR="003E755D" w:rsidRDefault="003E755D">
      <w:pPr>
        <w:pStyle w:val="INNH3"/>
        <w:tabs>
          <w:tab w:val="right" w:leader="dot" w:pos="9396"/>
        </w:tabs>
        <w:rPr>
          <w:rFonts w:asciiTheme="minorHAnsi" w:hAnsiTheme="minorHAnsi"/>
          <w:noProof/>
          <w:kern w:val="2"/>
          <w:lang w:val="nb-NO" w:eastAsia="nb-NO"/>
          <w14:ligatures w14:val="standardContextual"/>
        </w:rPr>
      </w:pPr>
      <w:hyperlink w:anchor="_Toc230777819" w:history="1">
        <w:r w:rsidRPr="001C5829">
          <w:rPr>
            <w:rStyle w:val="Hyperkobling"/>
            <w:noProof/>
          </w:rPr>
          <w:t>9.7 Praktiske implikasjoner</w:t>
        </w:r>
        <w:r>
          <w:rPr>
            <w:noProof/>
            <w:webHidden/>
          </w:rPr>
          <w:tab/>
        </w:r>
        <w:r>
          <w:rPr>
            <w:noProof/>
            <w:webHidden/>
          </w:rPr>
          <w:fldChar w:fldCharType="begin"/>
        </w:r>
        <w:r>
          <w:rPr>
            <w:noProof/>
            <w:webHidden/>
          </w:rPr>
          <w:instrText xml:space="preserve"> PAGEREF _Toc230777819 \h </w:instrText>
        </w:r>
        <w:r>
          <w:rPr>
            <w:noProof/>
            <w:webHidden/>
          </w:rPr>
        </w:r>
        <w:r>
          <w:rPr>
            <w:noProof/>
            <w:webHidden/>
          </w:rPr>
          <w:fldChar w:fldCharType="separate"/>
        </w:r>
        <w:r>
          <w:rPr>
            <w:noProof/>
            <w:webHidden/>
          </w:rPr>
          <w:t>48</w:t>
        </w:r>
        <w:r>
          <w:rPr>
            <w:noProof/>
            <w:webHidden/>
          </w:rPr>
          <w:fldChar w:fldCharType="end"/>
        </w:r>
      </w:hyperlink>
    </w:p>
    <w:p w14:paraId="74A65A07" w14:textId="25A23473" w:rsidR="003E755D" w:rsidRDefault="003E755D">
      <w:pPr>
        <w:pStyle w:val="INNH3"/>
        <w:tabs>
          <w:tab w:val="right" w:leader="dot" w:pos="9396"/>
        </w:tabs>
        <w:rPr>
          <w:rFonts w:asciiTheme="minorHAnsi" w:hAnsiTheme="minorHAnsi"/>
          <w:noProof/>
          <w:kern w:val="2"/>
          <w:lang w:val="nb-NO" w:eastAsia="nb-NO"/>
          <w14:ligatures w14:val="standardContextual"/>
        </w:rPr>
      </w:pPr>
      <w:hyperlink w:anchor="_Toc230777820" w:history="1">
        <w:r w:rsidRPr="001C5829">
          <w:rPr>
            <w:rStyle w:val="Hyperkobling"/>
            <w:noProof/>
          </w:rPr>
          <w:t>9.8 Etiske og personvernmessige hensyn</w:t>
        </w:r>
        <w:r>
          <w:rPr>
            <w:noProof/>
            <w:webHidden/>
          </w:rPr>
          <w:tab/>
        </w:r>
        <w:r>
          <w:rPr>
            <w:noProof/>
            <w:webHidden/>
          </w:rPr>
          <w:fldChar w:fldCharType="begin"/>
        </w:r>
        <w:r>
          <w:rPr>
            <w:noProof/>
            <w:webHidden/>
          </w:rPr>
          <w:instrText xml:space="preserve"> PAGEREF _Toc230777820 \h </w:instrText>
        </w:r>
        <w:r>
          <w:rPr>
            <w:noProof/>
            <w:webHidden/>
          </w:rPr>
        </w:r>
        <w:r>
          <w:rPr>
            <w:noProof/>
            <w:webHidden/>
          </w:rPr>
          <w:fldChar w:fldCharType="separate"/>
        </w:r>
        <w:r>
          <w:rPr>
            <w:noProof/>
            <w:webHidden/>
          </w:rPr>
          <w:t>49</w:t>
        </w:r>
        <w:r>
          <w:rPr>
            <w:noProof/>
            <w:webHidden/>
          </w:rPr>
          <w:fldChar w:fldCharType="end"/>
        </w:r>
      </w:hyperlink>
    </w:p>
    <w:p w14:paraId="2CD8B874" w14:textId="004329E0" w:rsidR="003E755D" w:rsidRDefault="003E755D">
      <w:pPr>
        <w:pStyle w:val="INNH2"/>
        <w:tabs>
          <w:tab w:val="right" w:leader="dot" w:pos="9396"/>
        </w:tabs>
        <w:rPr>
          <w:rFonts w:asciiTheme="minorHAnsi" w:hAnsiTheme="minorHAnsi"/>
          <w:noProof/>
          <w:kern w:val="2"/>
          <w:lang w:val="nb-NO" w:eastAsia="nb-NO"/>
          <w14:ligatures w14:val="standardContextual"/>
        </w:rPr>
      </w:pPr>
      <w:hyperlink w:anchor="_Toc230777821" w:history="1">
        <w:r w:rsidRPr="001C5829">
          <w:rPr>
            <w:rStyle w:val="Hyperkobling"/>
            <w:noProof/>
          </w:rPr>
          <w:t>10. Konklusjon</w:t>
        </w:r>
        <w:r>
          <w:rPr>
            <w:noProof/>
            <w:webHidden/>
          </w:rPr>
          <w:tab/>
        </w:r>
        <w:r>
          <w:rPr>
            <w:noProof/>
            <w:webHidden/>
          </w:rPr>
          <w:fldChar w:fldCharType="begin"/>
        </w:r>
        <w:r>
          <w:rPr>
            <w:noProof/>
            <w:webHidden/>
          </w:rPr>
          <w:instrText xml:space="preserve"> PAGEREF _Toc230777821 \h </w:instrText>
        </w:r>
        <w:r>
          <w:rPr>
            <w:noProof/>
            <w:webHidden/>
          </w:rPr>
        </w:r>
        <w:r>
          <w:rPr>
            <w:noProof/>
            <w:webHidden/>
          </w:rPr>
          <w:fldChar w:fldCharType="separate"/>
        </w:r>
        <w:r>
          <w:rPr>
            <w:noProof/>
            <w:webHidden/>
          </w:rPr>
          <w:t>49</w:t>
        </w:r>
        <w:r>
          <w:rPr>
            <w:noProof/>
            <w:webHidden/>
          </w:rPr>
          <w:fldChar w:fldCharType="end"/>
        </w:r>
      </w:hyperlink>
    </w:p>
    <w:p w14:paraId="11290200" w14:textId="38373756" w:rsidR="003E755D" w:rsidRDefault="003E755D">
      <w:pPr>
        <w:pStyle w:val="INNH2"/>
        <w:tabs>
          <w:tab w:val="right" w:leader="dot" w:pos="9396"/>
        </w:tabs>
        <w:rPr>
          <w:rFonts w:asciiTheme="minorHAnsi" w:hAnsiTheme="minorHAnsi"/>
          <w:noProof/>
          <w:kern w:val="2"/>
          <w:lang w:val="nb-NO" w:eastAsia="nb-NO"/>
          <w14:ligatures w14:val="standardContextual"/>
        </w:rPr>
      </w:pPr>
      <w:hyperlink w:anchor="_Toc230777822" w:history="1">
        <w:r w:rsidRPr="001C5829">
          <w:rPr>
            <w:rStyle w:val="Hyperkobling"/>
            <w:noProof/>
          </w:rPr>
          <w:t>11. Bibliografi</w:t>
        </w:r>
        <w:r>
          <w:rPr>
            <w:noProof/>
            <w:webHidden/>
          </w:rPr>
          <w:tab/>
        </w:r>
        <w:r>
          <w:rPr>
            <w:noProof/>
            <w:webHidden/>
          </w:rPr>
          <w:fldChar w:fldCharType="begin"/>
        </w:r>
        <w:r>
          <w:rPr>
            <w:noProof/>
            <w:webHidden/>
          </w:rPr>
          <w:instrText xml:space="preserve"> PAGEREF _Toc230777822 \h </w:instrText>
        </w:r>
        <w:r>
          <w:rPr>
            <w:noProof/>
            <w:webHidden/>
          </w:rPr>
        </w:r>
        <w:r>
          <w:rPr>
            <w:noProof/>
            <w:webHidden/>
          </w:rPr>
          <w:fldChar w:fldCharType="separate"/>
        </w:r>
        <w:r>
          <w:rPr>
            <w:noProof/>
            <w:webHidden/>
          </w:rPr>
          <w:t>51</w:t>
        </w:r>
        <w:r>
          <w:rPr>
            <w:noProof/>
            <w:webHidden/>
          </w:rPr>
          <w:fldChar w:fldCharType="end"/>
        </w:r>
      </w:hyperlink>
    </w:p>
    <w:p w14:paraId="6D3E74E4" w14:textId="368C425E" w:rsidR="003E755D" w:rsidRDefault="003E755D">
      <w:pPr>
        <w:pStyle w:val="INNH2"/>
        <w:tabs>
          <w:tab w:val="right" w:leader="dot" w:pos="9396"/>
        </w:tabs>
        <w:rPr>
          <w:rFonts w:asciiTheme="minorHAnsi" w:hAnsiTheme="minorHAnsi"/>
          <w:noProof/>
          <w:kern w:val="2"/>
          <w:lang w:val="nb-NO" w:eastAsia="nb-NO"/>
          <w14:ligatures w14:val="standardContextual"/>
        </w:rPr>
      </w:pPr>
      <w:hyperlink w:anchor="_Toc230777823" w:history="1">
        <w:r w:rsidRPr="001C5829">
          <w:rPr>
            <w:rStyle w:val="Hyperkobling"/>
            <w:noProof/>
          </w:rPr>
          <w:t>Vedlegg</w:t>
        </w:r>
        <w:r>
          <w:rPr>
            <w:noProof/>
            <w:webHidden/>
          </w:rPr>
          <w:tab/>
        </w:r>
        <w:r>
          <w:rPr>
            <w:noProof/>
            <w:webHidden/>
          </w:rPr>
          <w:fldChar w:fldCharType="begin"/>
        </w:r>
        <w:r>
          <w:rPr>
            <w:noProof/>
            <w:webHidden/>
          </w:rPr>
          <w:instrText xml:space="preserve"> PAGEREF _Toc230777823 \h </w:instrText>
        </w:r>
        <w:r>
          <w:rPr>
            <w:noProof/>
            <w:webHidden/>
          </w:rPr>
        </w:r>
        <w:r>
          <w:rPr>
            <w:noProof/>
            <w:webHidden/>
          </w:rPr>
          <w:fldChar w:fldCharType="separate"/>
        </w:r>
        <w:r>
          <w:rPr>
            <w:noProof/>
            <w:webHidden/>
          </w:rPr>
          <w:t>52</w:t>
        </w:r>
        <w:r>
          <w:rPr>
            <w:noProof/>
            <w:webHidden/>
          </w:rPr>
          <w:fldChar w:fldCharType="end"/>
        </w:r>
      </w:hyperlink>
    </w:p>
    <w:p w14:paraId="10174631" w14:textId="13B9904A" w:rsidR="003E755D" w:rsidRDefault="003E755D">
      <w:pPr>
        <w:pStyle w:val="INNH3"/>
        <w:tabs>
          <w:tab w:val="right" w:leader="dot" w:pos="9396"/>
        </w:tabs>
        <w:rPr>
          <w:rFonts w:asciiTheme="minorHAnsi" w:hAnsiTheme="minorHAnsi"/>
          <w:noProof/>
          <w:kern w:val="2"/>
          <w:lang w:val="nb-NO" w:eastAsia="nb-NO"/>
          <w14:ligatures w14:val="standardContextual"/>
        </w:rPr>
      </w:pPr>
      <w:hyperlink w:anchor="_Toc230777824" w:history="1">
        <w:r w:rsidRPr="001C5829">
          <w:rPr>
            <w:rStyle w:val="Hyperkobling"/>
            <w:noProof/>
          </w:rPr>
          <w:t xml:space="preserve">Vedlegg E. Foreslått rubrikk for </w:t>
        </w:r>
        <w:r w:rsidRPr="001C5829">
          <w:rPr>
            <w:rStyle w:val="Hyperkobling"/>
            <w:rFonts w:ascii="Consolas" w:hAnsi="Consolas"/>
            <w:noProof/>
          </w:rPr>
          <w:t>guest_experience</w:t>
        </w:r>
        <w:r>
          <w:rPr>
            <w:noProof/>
            <w:webHidden/>
          </w:rPr>
          <w:tab/>
        </w:r>
        <w:r>
          <w:rPr>
            <w:noProof/>
            <w:webHidden/>
          </w:rPr>
          <w:fldChar w:fldCharType="begin"/>
        </w:r>
        <w:r>
          <w:rPr>
            <w:noProof/>
            <w:webHidden/>
          </w:rPr>
          <w:instrText xml:space="preserve"> PAGEREF _Toc230777824 \h </w:instrText>
        </w:r>
        <w:r>
          <w:rPr>
            <w:noProof/>
            <w:webHidden/>
          </w:rPr>
        </w:r>
        <w:r>
          <w:rPr>
            <w:noProof/>
            <w:webHidden/>
          </w:rPr>
          <w:fldChar w:fldCharType="separate"/>
        </w:r>
        <w:r>
          <w:rPr>
            <w:noProof/>
            <w:webHidden/>
          </w:rPr>
          <w:t>53</w:t>
        </w:r>
        <w:r>
          <w:rPr>
            <w:noProof/>
            <w:webHidden/>
          </w:rPr>
          <w:fldChar w:fldCharType="end"/>
        </w:r>
      </w:hyperlink>
    </w:p>
    <w:p w14:paraId="5BAA4DA6" w14:textId="67EC86E9" w:rsidR="003C788D" w:rsidRDefault="00AA7D12">
      <w:pPr>
        <w:spacing w:line="360" w:lineRule="auto"/>
      </w:pPr>
      <w:r>
        <w:rPr>
          <w:rFonts w:eastAsia="Times New Roman" w:cs="Times New Roman"/>
        </w:rPr>
        <w:fldChar w:fldCharType="end"/>
      </w:r>
    </w:p>
    <w:p w14:paraId="2F71BACA" w14:textId="77777777" w:rsidR="003C788D" w:rsidRDefault="00AA7D12">
      <w:pPr>
        <w:spacing w:line="360" w:lineRule="auto"/>
      </w:pPr>
      <w:r>
        <w:rPr>
          <w:rFonts w:eastAsia="Times New Roman" w:cs="Times New Roman"/>
        </w:rPr>
        <w:br w:type="page"/>
      </w:r>
    </w:p>
    <w:p w14:paraId="391796EC" w14:textId="77777777" w:rsidR="003C788D" w:rsidRDefault="00AA7D12">
      <w:pPr>
        <w:pStyle w:val="Overskrift2"/>
      </w:pPr>
      <w:bookmarkStart w:id="11" w:name="innledning"/>
      <w:bookmarkStart w:id="12" w:name="_Toc230777767"/>
      <w:bookmarkEnd w:id="9"/>
      <w:r>
        <w:t>1. Innledning</w:t>
      </w:r>
      <w:bookmarkEnd w:id="12"/>
    </w:p>
    <w:p w14:paraId="5905B6C5" w14:textId="77777777" w:rsidR="003C788D" w:rsidRDefault="00AA7D12">
      <w:pPr>
        <w:pStyle w:val="FirstParagraph"/>
        <w:spacing w:line="360" w:lineRule="auto"/>
      </w:pPr>
      <w:r>
        <w:rPr>
          <w:rFonts w:eastAsia="Times New Roman" w:cs="Times New Roman"/>
        </w:rPr>
        <w:t>Internasjonale superyachter genererer betydelige tjeneste</w:t>
      </w:r>
      <w:r>
        <w:rPr>
          <w:rFonts w:eastAsia="Times New Roman" w:cs="Times New Roman"/>
        </w:rPr>
        <w:softHyphen/>
        <w:t>inntekter for skandinaviske havneagenter, men kostnadsbildet ved et havneanløp er komplekst: ett anløp består typisk av 5–40 separate transaksjoner fordelt på havneavgift, los, hospitality, proviant, agenttjenester og bunkers. I dag estimeres totalkost</w:t>
      </w:r>
      <w:r>
        <w:rPr>
          <w:rFonts w:eastAsia="Times New Roman" w:cs="Times New Roman"/>
        </w:rPr>
        <w:softHyphen/>
        <w:t>naden manuelt av agent</w:t>
      </w:r>
      <w:r>
        <w:rPr>
          <w:rFonts w:eastAsia="Times New Roman" w:cs="Times New Roman"/>
        </w:rPr>
        <w:softHyphen/>
        <w:t>koordinator basert på erfaring og oppslag i tidligere fakturaer, hvilket er tidkrevende og inkonsistent. Resultatet er at yachteiere ofte mottar grove anslag som senere må justeres.</w:t>
      </w:r>
    </w:p>
    <w:p w14:paraId="4B419801" w14:textId="77777777" w:rsidR="003C788D" w:rsidRDefault="00AA7D12">
      <w:pPr>
        <w:pStyle w:val="Brdtekst"/>
        <w:spacing w:line="360" w:lineRule="auto"/>
      </w:pPr>
      <w:r>
        <w:rPr>
          <w:rFonts w:eastAsia="Times New Roman" w:cs="Times New Roman"/>
        </w:rPr>
        <w:t>Dette prosjektet utvikler et datadrevet estimerings</w:t>
      </w:r>
      <w:r>
        <w:rPr>
          <w:rFonts w:eastAsia="Times New Roman" w:cs="Times New Roman"/>
        </w:rPr>
        <w:softHyphen/>
        <w:t xml:space="preserve">verktøy — </w:t>
      </w:r>
      <w:r>
        <w:rPr>
          <w:rFonts w:eastAsia="Times New Roman" w:cs="Times New Roman"/>
          <w:i/>
          <w:iCs/>
        </w:rPr>
        <w:t>NautiCost</w:t>
      </w:r>
      <w:r>
        <w:rPr>
          <w:rFonts w:eastAsia="Times New Roman" w:cs="Times New Roman"/>
        </w:rPr>
        <w:t xml:space="preserve"> — som tar inn en yachts spesifikasjoner og en tenkt reise (land, måned, oppholdslengde, drivstoff</w:t>
      </w:r>
      <w:r>
        <w:rPr>
          <w:rFonts w:eastAsia="Times New Roman" w:cs="Times New Roman"/>
        </w:rPr>
        <w:softHyphen/>
        <w:t>nivå) og returnerer en totalpris fordelt på tjeneste</w:t>
      </w:r>
      <w:r>
        <w:rPr>
          <w:rFonts w:eastAsia="Times New Roman" w:cs="Times New Roman"/>
        </w:rPr>
        <w:softHyphen/>
        <w:t>kategori, sammen med et historisk kostnadsspenn (P25–P75) for konteksten anløpet hører til.</w:t>
      </w:r>
    </w:p>
    <w:p w14:paraId="2E71428B" w14:textId="77777777" w:rsidR="003C788D" w:rsidRDefault="00AA7D12">
      <w:pPr>
        <w:pStyle w:val="Overskrift3"/>
      </w:pPr>
      <w:bookmarkStart w:id="13" w:name="problemstilling"/>
      <w:bookmarkStart w:id="14" w:name="_Toc230777768"/>
      <w:r>
        <w:t>1.1 Problemstilling</w:t>
      </w:r>
      <w:bookmarkEnd w:id="14"/>
    </w:p>
    <w:p w14:paraId="4A12A2B7" w14:textId="77777777" w:rsidR="003C788D" w:rsidRDefault="00AA7D12">
      <w:pPr>
        <w:pStyle w:val="Blokktekst"/>
        <w:spacing w:line="360" w:lineRule="auto"/>
      </w:pPr>
      <w:r>
        <w:rPr>
          <w:rFonts w:eastAsia="Times New Roman" w:cs="Times New Roman"/>
          <w:b/>
          <w:bCs/>
        </w:rPr>
        <w:t>Hovedspørsmål:</w:t>
      </w:r>
      <w:r>
        <w:rPr>
          <w:rFonts w:eastAsia="Times New Roman" w:cs="Times New Roman"/>
        </w:rPr>
        <w:t xml:space="preserve"> Hvor presist og forklarbart kan total</w:t>
      </w:r>
      <w:r>
        <w:rPr>
          <w:rFonts w:eastAsia="Times New Roman" w:cs="Times New Roman"/>
        </w:rPr>
        <w:softHyphen/>
        <w:t>kostnaden for et superyachthavne</w:t>
      </w:r>
      <w:r>
        <w:rPr>
          <w:rFonts w:eastAsia="Times New Roman" w:cs="Times New Roman"/>
        </w:rPr>
        <w:softHyphen/>
        <w:t>anløp i Skandinavia estimeres ut fra yacht</w:t>
      </w:r>
      <w:r>
        <w:rPr>
          <w:rFonts w:eastAsia="Times New Roman" w:cs="Times New Roman"/>
        </w:rPr>
        <w:softHyphen/>
        <w:t>spesifikasjoner, destinasjon og sesong, basert på historiske transaksjons</w:t>
      </w:r>
      <w:r>
        <w:rPr>
          <w:rFonts w:eastAsia="Times New Roman" w:cs="Times New Roman"/>
        </w:rPr>
        <w:softHyphen/>
        <w:t>data?</w:t>
      </w:r>
    </w:p>
    <w:p w14:paraId="47F9269D" w14:textId="77777777" w:rsidR="003C788D" w:rsidRDefault="00AA7D12">
      <w:pPr>
        <w:pStyle w:val="Overskrift3"/>
      </w:pPr>
      <w:bookmarkStart w:id="15" w:name="delproblemer"/>
      <w:bookmarkStart w:id="16" w:name="_Toc230777769"/>
      <w:bookmarkEnd w:id="13"/>
      <w:r>
        <w:t>1.2 Delproblemer</w:t>
      </w:r>
      <w:bookmarkEnd w:id="16"/>
    </w:p>
    <w:p w14:paraId="3C4B3099" w14:textId="77777777" w:rsidR="003C788D" w:rsidRDefault="00AA7D12">
      <w:pPr>
        <w:pStyle w:val="Compact"/>
        <w:numPr>
          <w:ilvl w:val="0"/>
          <w:numId w:val="8"/>
        </w:numPr>
        <w:spacing w:line="360" w:lineRule="auto"/>
      </w:pPr>
      <w:r>
        <w:rPr>
          <w:rFonts w:eastAsia="Times New Roman" w:cs="Times New Roman"/>
          <w:b/>
          <w:bCs/>
        </w:rPr>
        <w:t>DP1 — Datagrunnlag.</w:t>
      </w:r>
      <w:r>
        <w:rPr>
          <w:rFonts w:eastAsia="Times New Roman" w:cs="Times New Roman"/>
        </w:rPr>
        <w:t xml:space="preserve"> Hvilke variabler i SDK Shipping sine fakturaer og kjøpsord</w:t>
      </w:r>
      <w:r>
        <w:rPr>
          <w:rFonts w:eastAsia="Times New Roman" w:cs="Times New Roman"/>
        </w:rPr>
        <w:softHyphen/>
        <w:t>re</w:t>
      </w:r>
      <w:r>
        <w:rPr>
          <w:rFonts w:eastAsia="Times New Roman" w:cs="Times New Roman"/>
        </w:rPr>
        <w:softHyphen/>
        <w:t>data har størst forklarings</w:t>
      </w:r>
      <w:r>
        <w:rPr>
          <w:rFonts w:eastAsia="Times New Roman" w:cs="Times New Roman"/>
        </w:rPr>
        <w:softHyphen/>
        <w:t>kraft for kostnaden per transaksjon?</w:t>
      </w:r>
    </w:p>
    <w:p w14:paraId="2B943613" w14:textId="77777777" w:rsidR="003C788D" w:rsidRDefault="00AA7D12">
      <w:pPr>
        <w:pStyle w:val="Compact"/>
        <w:numPr>
          <w:ilvl w:val="0"/>
          <w:numId w:val="8"/>
        </w:numPr>
        <w:spacing w:line="360" w:lineRule="auto"/>
      </w:pPr>
      <w:r>
        <w:rPr>
          <w:rFonts w:eastAsia="Times New Roman" w:cs="Times New Roman"/>
          <w:b/>
          <w:bCs/>
        </w:rPr>
        <w:t>DP2 — Modell.</w:t>
      </w:r>
      <w:r>
        <w:rPr>
          <w:rFonts w:eastAsia="Times New Roman" w:cs="Times New Roman"/>
        </w:rPr>
        <w:t xml:space="preserve"> Hvilken læringsmodell gir lavest prognosefeil (MAE/RMSE) på et tids</w:t>
      </w:r>
      <w:r>
        <w:rPr>
          <w:rFonts w:eastAsia="Times New Roman" w:cs="Times New Roman"/>
        </w:rPr>
        <w:softHyphen/>
        <w:t>basert testsett, gitt en sterkt høyreskjev kostnadsfordeling?</w:t>
      </w:r>
    </w:p>
    <w:p w14:paraId="6FEB3E3B" w14:textId="77777777" w:rsidR="003C788D" w:rsidRDefault="00AA7D12">
      <w:pPr>
        <w:pStyle w:val="Compact"/>
        <w:numPr>
          <w:ilvl w:val="0"/>
          <w:numId w:val="8"/>
        </w:numPr>
        <w:spacing w:line="360" w:lineRule="auto"/>
      </w:pPr>
      <w:r>
        <w:rPr>
          <w:rFonts w:eastAsia="Times New Roman" w:cs="Times New Roman"/>
          <w:b/>
          <w:bCs/>
        </w:rPr>
        <w:t>DP3 — Kalibrering.</w:t>
      </w:r>
      <w:r>
        <w:rPr>
          <w:rFonts w:eastAsia="Times New Roman" w:cs="Times New Roman"/>
        </w:rPr>
        <w:t xml:space="preserve"> Hvordan kan en transaksjons</w:t>
      </w:r>
      <w:r>
        <w:rPr>
          <w:rFonts w:eastAsia="Times New Roman" w:cs="Times New Roman"/>
        </w:rPr>
        <w:softHyphen/>
        <w:t>modell aggregeres til realistiske totalkost</w:t>
      </w:r>
      <w:r>
        <w:rPr>
          <w:rFonts w:eastAsia="Times New Roman" w:cs="Times New Roman"/>
        </w:rPr>
        <w:softHyphen/>
        <w:t>nader per havneanløp, og kalibreres mot historiske persentiler slik at estimatene blir konservative?</w:t>
      </w:r>
    </w:p>
    <w:p w14:paraId="2EBF5AA4" w14:textId="77777777" w:rsidR="003C788D" w:rsidRDefault="00AA7D12">
      <w:pPr>
        <w:pStyle w:val="Compact"/>
        <w:numPr>
          <w:ilvl w:val="0"/>
          <w:numId w:val="8"/>
        </w:numPr>
        <w:spacing w:line="360" w:lineRule="auto"/>
      </w:pPr>
      <w:r>
        <w:rPr>
          <w:rFonts w:eastAsia="Times New Roman" w:cs="Times New Roman"/>
          <w:b/>
          <w:bCs/>
        </w:rPr>
        <w:t>DP4 — Usikkerhet.</w:t>
      </w:r>
      <w:r>
        <w:rPr>
          <w:rFonts w:eastAsia="Times New Roman" w:cs="Times New Roman"/>
        </w:rPr>
        <w:t xml:space="preserve"> Hvordan kan estimatets usikkerhet kommuniseres til agent</w:t>
      </w:r>
      <w:r>
        <w:rPr>
          <w:rFonts w:eastAsia="Times New Roman" w:cs="Times New Roman"/>
        </w:rPr>
        <w:softHyphen/>
      </w:r>
      <w:r>
        <w:rPr>
          <w:rFonts w:eastAsia="Times New Roman" w:cs="Times New Roman"/>
        </w:rPr>
        <w:t>koordinator, slik at sluttkunden får et realistisk spenn og ikke et villedende punkt</w:t>
      </w:r>
      <w:r>
        <w:rPr>
          <w:rFonts w:eastAsia="Times New Roman" w:cs="Times New Roman"/>
        </w:rPr>
        <w:softHyphen/>
        <w:t>estimat?</w:t>
      </w:r>
    </w:p>
    <w:p w14:paraId="7E050D22" w14:textId="77777777" w:rsidR="003C788D" w:rsidRDefault="00AA7D12">
      <w:pPr>
        <w:pStyle w:val="Compact"/>
        <w:numPr>
          <w:ilvl w:val="0"/>
          <w:numId w:val="8"/>
        </w:numPr>
        <w:spacing w:line="360" w:lineRule="auto"/>
      </w:pPr>
      <w:r>
        <w:rPr>
          <w:rFonts w:eastAsia="Times New Roman" w:cs="Times New Roman"/>
          <w:b/>
          <w:bCs/>
        </w:rPr>
        <w:t>DP5 — Operasjonalisering.</w:t>
      </w:r>
      <w:r>
        <w:rPr>
          <w:rFonts w:eastAsia="Times New Roman" w:cs="Times New Roman"/>
        </w:rPr>
        <w:t xml:space="preserve"> Hvordan kan modellen pakkes inn i en lett til</w:t>
      </w:r>
      <w:r>
        <w:rPr>
          <w:rFonts w:eastAsia="Times New Roman" w:cs="Times New Roman"/>
        </w:rPr>
        <w:softHyphen/>
        <w:t>gjengelig web-tjeneste som svarer innen to sekunder?</w:t>
      </w:r>
    </w:p>
    <w:p w14:paraId="22D5BD1A" w14:textId="77777777" w:rsidR="003C788D" w:rsidRDefault="00AA7D12">
      <w:pPr>
        <w:pStyle w:val="Overskrift3"/>
      </w:pPr>
      <w:bookmarkStart w:id="17" w:name="avgrensninger"/>
      <w:bookmarkStart w:id="18" w:name="_Toc230777770"/>
      <w:bookmarkEnd w:id="15"/>
      <w:r>
        <w:t>1.3 Avgrensninger</w:t>
      </w:r>
      <w:bookmarkEnd w:id="18"/>
    </w:p>
    <w:p w14:paraId="7CC449B6" w14:textId="77777777" w:rsidR="003C788D" w:rsidRDefault="00AA7D12">
      <w:pPr>
        <w:pStyle w:val="Compact"/>
        <w:numPr>
          <w:ilvl w:val="0"/>
          <w:numId w:val="9"/>
        </w:numPr>
        <w:spacing w:line="360" w:lineRule="auto"/>
      </w:pPr>
      <w:r>
        <w:rPr>
          <w:rFonts w:eastAsia="Times New Roman" w:cs="Times New Roman"/>
          <w:b/>
          <w:bCs/>
        </w:rPr>
        <w:t>Geografi:</w:t>
      </w:r>
      <w:r>
        <w:rPr>
          <w:rFonts w:eastAsia="Times New Roman" w:cs="Times New Roman"/>
        </w:rPr>
        <w:t xml:space="preserve"> Kun Norge, Sverige og Danmark. 12 havner totalt: Bergen, Tromsø, Svolvær, Ålesund, Kristiansand, Stavanger (NO); Stockholm, Göteborg, Malmö (SE); København, Esbjerg, Fredericia (DK).</w:t>
      </w:r>
    </w:p>
    <w:p w14:paraId="114CBEF6" w14:textId="77777777" w:rsidR="003C788D" w:rsidRDefault="00AA7D12">
      <w:pPr>
        <w:pStyle w:val="Compact"/>
        <w:numPr>
          <w:ilvl w:val="0"/>
          <w:numId w:val="9"/>
        </w:numPr>
        <w:spacing w:line="360" w:lineRule="auto"/>
      </w:pPr>
      <w:r>
        <w:rPr>
          <w:rFonts w:eastAsia="Times New Roman" w:cs="Times New Roman"/>
          <w:b/>
          <w:bCs/>
        </w:rPr>
        <w:t>Periode:</w:t>
      </w:r>
      <w:r>
        <w:rPr>
          <w:rFonts w:eastAsia="Times New Roman" w:cs="Times New Roman"/>
        </w:rPr>
        <w:t xml:space="preserve"> Datasettet dekker 2020–2025. Reelle fakturaer fra SDK Shipping er kun tilgjengelig for 2025 (testsettet); perioden 2020–2024 er representert ved simulerte transaksjoner som speiler case-strukturen (jf. § 5.2). Eldre data er utelatt grunnet endrede tjeneste</w:t>
      </w:r>
      <w:r>
        <w:rPr>
          <w:rFonts w:eastAsia="Times New Roman" w:cs="Times New Roman"/>
        </w:rPr>
        <w:softHyphen/>
        <w:t>kategorier og prisnivå.</w:t>
      </w:r>
    </w:p>
    <w:p w14:paraId="48468FF3" w14:textId="77777777" w:rsidR="003C788D" w:rsidRDefault="00AA7D12">
      <w:pPr>
        <w:pStyle w:val="Compact"/>
        <w:numPr>
          <w:ilvl w:val="0"/>
          <w:numId w:val="9"/>
        </w:numPr>
        <w:spacing w:line="360" w:lineRule="auto"/>
      </w:pPr>
      <w:r>
        <w:rPr>
          <w:rFonts w:eastAsia="Times New Roman" w:cs="Times New Roman"/>
          <w:b/>
          <w:bCs/>
        </w:rPr>
        <w:t>Yachtklasse:</w:t>
      </w:r>
      <w:r>
        <w:rPr>
          <w:rFonts w:eastAsia="Times New Roman" w:cs="Times New Roman"/>
        </w:rPr>
        <w:t xml:space="preserve"> Modellen er trent på 17 superyachter med GT i intervallet 51,9–2 407 (median 152 GT, LOA 18,9–79,2 m). Ekstrapolering til langt mindre eller langt større fartøy er ikke validert.</w:t>
      </w:r>
    </w:p>
    <w:p w14:paraId="560D3A0A" w14:textId="77777777" w:rsidR="003C788D" w:rsidRDefault="00AA7D12">
      <w:pPr>
        <w:pStyle w:val="Compact"/>
        <w:numPr>
          <w:ilvl w:val="0"/>
          <w:numId w:val="9"/>
        </w:numPr>
        <w:spacing w:line="360" w:lineRule="auto"/>
      </w:pPr>
      <w:r>
        <w:rPr>
          <w:rFonts w:eastAsia="Times New Roman" w:cs="Times New Roman"/>
          <w:b/>
          <w:bCs/>
        </w:rPr>
        <w:t>Valuta:</w:t>
      </w:r>
      <w:r>
        <w:rPr>
          <w:rFonts w:eastAsia="Times New Roman" w:cs="Times New Roman"/>
        </w:rPr>
        <w:t xml:space="preserve"> Kildedata er denominert i </w:t>
      </w:r>
      <w:r>
        <w:rPr>
          <w:rFonts w:eastAsia="Times New Roman" w:cs="Times New Roman"/>
          <w:b/>
          <w:bCs/>
        </w:rPr>
        <w:t>EUR</w:t>
      </w:r>
      <w:r>
        <w:rPr>
          <w:rFonts w:eastAsia="Times New Roman" w:cs="Times New Roman"/>
        </w:rPr>
        <w:t xml:space="preserve"> (cockpit-rapportene har EUR-kolonneoverskrifter; fakturabeløpene i </w:t>
      </w:r>
      <w:r>
        <w:rPr>
          <w:rStyle w:val="VerbatimChar"/>
          <w:rFonts w:ascii="Times New Roman" w:eastAsia="Times New Roman" w:hAnsi="Times New Roman" w:cs="Times New Roman"/>
          <w:sz w:val="24"/>
        </w:rPr>
        <w:t>costs_clean.csv</w:t>
      </w:r>
      <w:r>
        <w:rPr>
          <w:rFonts w:eastAsia="Times New Roman" w:cs="Times New Roman"/>
        </w:rPr>
        <w:t xml:space="preserve"> ligger i EUR-størrelses</w:t>
      </w:r>
      <w:r>
        <w:rPr>
          <w:rFonts w:eastAsia="Times New Roman" w:cs="Times New Roman"/>
        </w:rPr>
        <w:softHyphen/>
        <w:t xml:space="preserve">orden). Modellen er trent og rapporteres i EUR. Frontend konverterer til NOK eller DKK ved API-grensa via </w:t>
      </w:r>
      <w:r>
        <w:rPr>
          <w:rStyle w:val="VerbatimChar"/>
          <w:rFonts w:ascii="Times New Roman" w:eastAsia="Times New Roman" w:hAnsi="Times New Roman" w:cs="Times New Roman"/>
          <w:sz w:val="24"/>
        </w:rPr>
        <w:t>EXCHANGE_RATES_FROM_EUR</w:t>
      </w:r>
      <w:r>
        <w:rPr>
          <w:rFonts w:eastAsia="Times New Roman" w:cs="Times New Roman"/>
        </w:rPr>
        <w:t xml:space="preserve"> (mai 2026: EUR/NOK ≈ 11,50, EUR/DKK = 7,46). Konstantene oppdateres mot ECBs referansekurs ved behov og er en ekstra usikkerhets</w:t>
      </w:r>
      <w:r>
        <w:rPr>
          <w:rFonts w:eastAsia="Times New Roman" w:cs="Times New Roman"/>
        </w:rPr>
        <w:softHyphen/>
        <w:t>kilde for NOK-tall (jf. § 9.5). Inflasjonsjustering er ikke gjennomført.</w:t>
      </w:r>
    </w:p>
    <w:p w14:paraId="54786687" w14:textId="77777777" w:rsidR="003C788D" w:rsidRDefault="00AA7D12">
      <w:pPr>
        <w:pStyle w:val="Compact"/>
        <w:numPr>
          <w:ilvl w:val="0"/>
          <w:numId w:val="9"/>
        </w:numPr>
        <w:spacing w:line="360" w:lineRule="auto"/>
      </w:pPr>
      <w:r>
        <w:rPr>
          <w:rFonts w:eastAsia="Times New Roman" w:cs="Times New Roman"/>
          <w:b/>
          <w:bCs/>
        </w:rPr>
        <w:t>Forretningsmål:</w:t>
      </w:r>
      <w:r>
        <w:rPr>
          <w:rFonts w:eastAsia="Times New Roman" w:cs="Times New Roman"/>
        </w:rPr>
        <w:t xml:space="preserve"> Verktøyet gir kostnads</w:t>
      </w:r>
      <w:r>
        <w:rPr>
          <w:rFonts w:eastAsia="Times New Roman" w:cs="Times New Roman"/>
        </w:rPr>
        <w:softHyphen/>
        <w:t>estimater og ikke pristilbud. Marginer, valutarisiko og kontrakts</w:t>
      </w:r>
      <w:r>
        <w:rPr>
          <w:rFonts w:eastAsia="Times New Roman" w:cs="Times New Roman"/>
        </w:rPr>
        <w:softHyphen/>
        <w:t>vilkår er ikke en del av leveransen.</w:t>
      </w:r>
    </w:p>
    <w:p w14:paraId="2A021B2B" w14:textId="77777777" w:rsidR="003C788D" w:rsidRDefault="00AA7D12">
      <w:pPr>
        <w:pStyle w:val="Overskrift3"/>
      </w:pPr>
      <w:bookmarkStart w:id="19" w:name="antakelser"/>
      <w:bookmarkStart w:id="20" w:name="_Toc230777771"/>
      <w:bookmarkEnd w:id="17"/>
      <w:r>
        <w:t>1.4 Antakelser</w:t>
      </w:r>
      <w:bookmarkEnd w:id="20"/>
    </w:p>
    <w:p w14:paraId="2DD8F718" w14:textId="77777777" w:rsidR="003C788D" w:rsidRDefault="00AA7D12">
      <w:pPr>
        <w:pStyle w:val="Compact"/>
        <w:numPr>
          <w:ilvl w:val="0"/>
          <w:numId w:val="10"/>
        </w:numPr>
        <w:spacing w:line="360" w:lineRule="auto"/>
      </w:pPr>
      <w:r>
        <w:rPr>
          <w:rFonts w:eastAsia="Times New Roman" w:cs="Times New Roman"/>
          <w:b/>
          <w:bCs/>
        </w:rPr>
        <w:t>A1.</w:t>
      </w:r>
      <w:r>
        <w:rPr>
          <w:rFonts w:eastAsia="Times New Roman" w:cs="Times New Roman"/>
        </w:rPr>
        <w:t xml:space="preserve"> Historisk tjenestesammensetning per havn (fanget i </w:t>
      </w:r>
      <w:r>
        <w:rPr>
          <w:rStyle w:val="VerbatimChar"/>
          <w:rFonts w:ascii="Times New Roman" w:eastAsia="Times New Roman" w:hAnsi="Times New Roman" w:cs="Times New Roman"/>
          <w:sz w:val="24"/>
        </w:rPr>
        <w:t>PORT_TEMPLATES</w:t>
      </w:r>
      <w:r>
        <w:rPr>
          <w:rFonts w:eastAsia="Times New Roman" w:cs="Times New Roman"/>
        </w:rPr>
        <w:t>) er stabil i prediksjons</w:t>
      </w:r>
      <w:r>
        <w:rPr>
          <w:rFonts w:eastAsia="Times New Roman" w:cs="Times New Roman"/>
        </w:rPr>
        <w:softHyphen/>
        <w:t>horisonten 0–12 måneder.</w:t>
      </w:r>
    </w:p>
    <w:p w14:paraId="778C2F94" w14:textId="77777777" w:rsidR="003C788D" w:rsidRDefault="00AA7D12">
      <w:pPr>
        <w:pStyle w:val="Compact"/>
        <w:numPr>
          <w:ilvl w:val="0"/>
          <w:numId w:val="10"/>
        </w:numPr>
        <w:spacing w:line="360" w:lineRule="auto"/>
      </w:pPr>
      <w:r>
        <w:rPr>
          <w:rFonts w:eastAsia="Times New Roman" w:cs="Times New Roman"/>
          <w:b/>
          <w:bCs/>
        </w:rPr>
        <w:t>A2.</w:t>
      </w:r>
      <w:r>
        <w:rPr>
          <w:rFonts w:eastAsia="Times New Roman" w:cs="Times New Roman"/>
        </w:rPr>
        <w:t xml:space="preserve"> Trafikkvektene per havn (antall historiske anløp) er en rimelig proxy for fordeling av framtidige anløp i samme land.</w:t>
      </w:r>
    </w:p>
    <w:p w14:paraId="580A3521" w14:textId="77777777" w:rsidR="003C788D" w:rsidRDefault="00AA7D12">
      <w:pPr>
        <w:pStyle w:val="Compact"/>
        <w:numPr>
          <w:ilvl w:val="0"/>
          <w:numId w:val="10"/>
        </w:numPr>
        <w:spacing w:line="360" w:lineRule="auto"/>
      </w:pPr>
      <w:r>
        <w:rPr>
          <w:rFonts w:eastAsia="Times New Roman" w:cs="Times New Roman"/>
          <w:b/>
          <w:bCs/>
        </w:rPr>
        <w:t>A3.</w:t>
      </w:r>
      <w:r>
        <w:rPr>
          <w:rFonts w:eastAsia="Times New Roman" w:cs="Times New Roman"/>
        </w:rPr>
        <w:t xml:space="preserve"> Faktura</w:t>
      </w:r>
      <w:r>
        <w:rPr>
          <w:rFonts w:eastAsia="Times New Roman" w:cs="Times New Roman"/>
        </w:rPr>
        <w:softHyphen/>
        <w:t xml:space="preserve">beløp i datasettet er korrekt registrert i </w:t>
      </w:r>
      <w:r>
        <w:rPr>
          <w:rStyle w:val="VerbatimChar"/>
          <w:rFonts w:ascii="Times New Roman" w:eastAsia="Times New Roman" w:hAnsi="Times New Roman" w:cs="Times New Roman"/>
          <w:sz w:val="24"/>
        </w:rPr>
        <w:t>final_charge</w:t>
      </w:r>
      <w:r>
        <w:rPr>
          <w:rFonts w:eastAsia="Times New Roman" w:cs="Times New Roman"/>
        </w:rPr>
        <w:t>-feltet, og rader uten gyldig pris (</w:t>
      </w:r>
      <w:r>
        <w:rPr>
          <w:rStyle w:val="VerbatimChar"/>
          <w:rFonts w:ascii="Times New Roman" w:eastAsia="Times New Roman" w:hAnsi="Times New Roman" w:cs="Times New Roman"/>
          <w:sz w:val="24"/>
        </w:rPr>
        <w:t>final_charge ≤ 0</w:t>
      </w:r>
      <w:r>
        <w:rPr>
          <w:rFonts w:eastAsia="Times New Roman" w:cs="Times New Roman"/>
        </w:rPr>
        <w:t xml:space="preserve"> eller manglende) er feil</w:t>
      </w:r>
      <w:r>
        <w:rPr>
          <w:rFonts w:eastAsia="Times New Roman" w:cs="Times New Roman"/>
        </w:rPr>
        <w:softHyphen/>
        <w:t>registreringer som kan fjernes uten å skape skjevhet.</w:t>
      </w:r>
    </w:p>
    <w:p w14:paraId="1AA51047" w14:textId="77777777" w:rsidR="003C788D" w:rsidRDefault="00AA7D12">
      <w:pPr>
        <w:pStyle w:val="Compact"/>
        <w:numPr>
          <w:ilvl w:val="0"/>
          <w:numId w:val="10"/>
        </w:numPr>
        <w:spacing w:line="360" w:lineRule="auto"/>
      </w:pPr>
      <w:r>
        <w:rPr>
          <w:rFonts w:eastAsia="Times New Roman" w:cs="Times New Roman"/>
          <w:b/>
          <w:bCs/>
        </w:rPr>
        <w:t>A4.</w:t>
      </w:r>
      <w:r>
        <w:rPr>
          <w:rFonts w:eastAsia="Times New Roman" w:cs="Times New Roman"/>
        </w:rPr>
        <w:t xml:space="preserve"> En log-transformasjon på kostnaden gir en tilstrekkelig symmetrisk feilfordeling til at MAE/RMSE-baserte modeller fungerer godt.</w:t>
      </w:r>
    </w:p>
    <w:p w14:paraId="496E2CBD" w14:textId="77777777" w:rsidR="003C788D" w:rsidRDefault="00AA7D12">
      <w:pPr>
        <w:pStyle w:val="Overskrift3"/>
      </w:pPr>
      <w:bookmarkStart w:id="21" w:name="anvendte-bidrag-i-case-studien"/>
      <w:bookmarkStart w:id="22" w:name="_Toc230777772"/>
      <w:bookmarkEnd w:id="19"/>
      <w:r>
        <w:t>1.5 Anvendte bidrag i case-studien</w:t>
      </w:r>
      <w:bookmarkEnd w:id="22"/>
    </w:p>
    <w:p w14:paraId="22B72A4D" w14:textId="77777777" w:rsidR="003C788D" w:rsidRDefault="00AA7D12">
      <w:pPr>
        <w:pStyle w:val="FirstParagraph"/>
        <w:spacing w:line="360" w:lineRule="auto"/>
      </w:pPr>
      <w:r>
        <w:rPr>
          <w:rFonts w:eastAsia="Times New Roman" w:cs="Times New Roman"/>
        </w:rPr>
        <w:t xml:space="preserve">Studien er en case-studie (jf. kompendiets § B.4) i en konkret bedrift. Innenfor den rammen leveres tre </w:t>
      </w:r>
      <w:r>
        <w:rPr>
          <w:rFonts w:eastAsia="Times New Roman" w:cs="Times New Roman"/>
          <w:b/>
          <w:bCs/>
        </w:rPr>
        <w:t>anvendte bidrag</w:t>
      </w:r>
      <w:r>
        <w:rPr>
          <w:rFonts w:eastAsia="Times New Roman" w:cs="Times New Roman"/>
        </w:rPr>
        <w:t xml:space="preserve"> — konkrete fremgangs</w:t>
      </w:r>
      <w:r>
        <w:rPr>
          <w:rFonts w:eastAsia="Times New Roman" w:cs="Times New Roman"/>
        </w:rPr>
        <w:softHyphen/>
        <w:t>måter demonstrert på SDK Shipping sitt datasett, ikke generaliserte forsknings</w:t>
      </w:r>
      <w:r>
        <w:rPr>
          <w:rFonts w:eastAsia="Times New Roman" w:cs="Times New Roman"/>
        </w:rPr>
        <w:softHyphen/>
        <w:t>funn:</w:t>
      </w:r>
    </w:p>
    <w:p w14:paraId="67DE8511" w14:textId="77777777" w:rsidR="003C788D" w:rsidRDefault="00AA7D12">
      <w:pPr>
        <w:pStyle w:val="Compact"/>
        <w:numPr>
          <w:ilvl w:val="0"/>
          <w:numId w:val="11"/>
        </w:numPr>
        <w:spacing w:line="360" w:lineRule="auto"/>
      </w:pPr>
      <w:r>
        <w:rPr>
          <w:rFonts w:eastAsia="Times New Roman" w:cs="Times New Roman"/>
          <w:b/>
          <w:bCs/>
        </w:rPr>
        <w:t>Transaksjonsnivå-modellering med empirisk persentil</w:t>
      </w:r>
      <w:r>
        <w:rPr>
          <w:rFonts w:eastAsia="Times New Roman" w:cs="Times New Roman"/>
          <w:b/>
          <w:bCs/>
        </w:rPr>
        <w:softHyphen/>
        <w:t>kalibrering på anløpsnivå.</w:t>
      </w:r>
      <w:r>
        <w:rPr>
          <w:rFonts w:eastAsia="Times New Roman" w:cs="Times New Roman"/>
        </w:rPr>
        <w:t xml:space="preserve"> Mens eksisterende studier modellerer én totalkostnad per reise (Jang et al., 2023; Su et al., 2024) eller aggregat på havne</w:t>
      </w:r>
      <w:r>
        <w:rPr>
          <w:rFonts w:eastAsia="Times New Roman" w:cs="Times New Roman"/>
        </w:rPr>
        <w:softHyphen/>
        <w:t>nivå (Jahangard et al., 2025), modelleres her hver av 5–40 transaksjoner per anløp separat og aggregeres via portmaler, trafikkvekter og hybrid P25/P50/P75-forankring. Empirisk demonstrert i et lite, høyt</w:t>
      </w:r>
      <w:r>
        <w:rPr>
          <w:rFonts w:eastAsia="Times New Roman" w:cs="Times New Roman"/>
        </w:rPr>
        <w:softHyphen/>
        <w:t>skjevt regime (n ≈ 1 600, 17 yachter).</w:t>
      </w:r>
    </w:p>
    <w:p w14:paraId="5EA3C6C0" w14:textId="77777777" w:rsidR="003C788D" w:rsidRDefault="00AA7D12">
      <w:pPr>
        <w:pStyle w:val="Compact"/>
        <w:numPr>
          <w:ilvl w:val="0"/>
          <w:numId w:val="11"/>
        </w:numPr>
        <w:spacing w:line="360" w:lineRule="auto"/>
      </w:pPr>
      <w:r>
        <w:rPr>
          <w:rFonts w:eastAsia="Times New Roman" w:cs="Times New Roman"/>
          <w:b/>
          <w:bCs/>
        </w:rPr>
        <w:t>Empirisk dokumentasjon av CQRs grense under manglende feature.</w:t>
      </w:r>
      <w:r>
        <w:rPr>
          <w:rFonts w:eastAsia="Times New Roman" w:cs="Times New Roman"/>
        </w:rPr>
        <w:t xml:space="preserve"> CQR (Romano et al., 2019) er teoretisk etablert, men brukertesten viste konkret hvor metoden </w:t>
      </w:r>
      <w:r>
        <w:rPr>
          <w:rFonts w:eastAsia="Times New Roman" w:cs="Times New Roman"/>
          <w:i/>
          <w:iCs/>
        </w:rPr>
        <w:t>ikke</w:t>
      </w:r>
      <w:r>
        <w:rPr>
          <w:rFonts w:eastAsia="Times New Roman" w:cs="Times New Roman"/>
        </w:rPr>
        <w:t xml:space="preserve"> kompenserer — Provisions, der gjeste</w:t>
      </w:r>
      <w:r>
        <w:rPr>
          <w:rFonts w:eastAsia="Times New Roman" w:cs="Times New Roman"/>
        </w:rPr>
        <w:softHyphen/>
        <w:t>profil er u</w:t>
      </w:r>
      <w:r>
        <w:rPr>
          <w:rFonts w:eastAsia="Times New Roman" w:cs="Times New Roman"/>
        </w:rPr>
        <w:softHyphen/>
        <w:t>observerbar. Marginal dekning (80 %) opprettholdes, men betinget dekning på Provisions degraderer. Anvendt illustrasjon, ikke teoretisk utvidelse.</w:t>
      </w:r>
    </w:p>
    <w:p w14:paraId="4C0C8AF7" w14:textId="77777777" w:rsidR="003C788D" w:rsidRDefault="00AA7D12">
      <w:pPr>
        <w:pStyle w:val="Compact"/>
        <w:numPr>
          <w:ilvl w:val="0"/>
          <w:numId w:val="11"/>
        </w:numPr>
        <w:spacing w:line="360" w:lineRule="auto"/>
      </w:pPr>
      <w:r>
        <w:rPr>
          <w:rFonts w:eastAsia="Times New Roman" w:cs="Times New Roman"/>
          <w:b/>
          <w:bCs/>
        </w:rPr>
        <w:t>Operasjonelt mønster for hybride ML + deterministiske/regulatoriske kostnader.</w:t>
      </w:r>
      <w:r>
        <w:rPr>
          <w:rFonts w:eastAsia="Times New Roman" w:cs="Times New Roman"/>
        </w:rPr>
        <w:t xml:space="preserve"> Rene datadrevne modeller feiler systematisk for regulatoriske krav (los &gt; 70 m LOA) og deterministiske størrelser (drivstoff = distanse/fart × forbruk × pris). Et mønster — feature-utvidelse, obligatoriske inputs, deterministiske substitutter — er dokumentert som nyttig for case-studier med blanding av lærbare og ikke-lærbare kostnads</w:t>
      </w:r>
      <w:r>
        <w:rPr>
          <w:rFonts w:eastAsia="Times New Roman" w:cs="Times New Roman"/>
        </w:rPr>
        <w:softHyphen/>
        <w:t>drivere. Bredere forsknings</w:t>
      </w:r>
      <w:r>
        <w:rPr>
          <w:rFonts w:eastAsia="Times New Roman" w:cs="Times New Roman"/>
        </w:rPr>
        <w:softHyphen/>
        <w:t>bidrag krever flere case-studier på tvers av sektorer.</w:t>
      </w:r>
    </w:p>
    <w:p w14:paraId="183C100E" w14:textId="77777777" w:rsidR="003C788D" w:rsidRDefault="00AA7D12">
      <w:pPr>
        <w:spacing w:line="360" w:lineRule="auto"/>
      </w:pPr>
      <w:r>
        <w:rPr>
          <w:rFonts w:eastAsia="Times New Roman" w:cs="Times New Roman"/>
        </w:rPr>
        <w:pict w14:anchorId="7F0D3E94">
          <v:rect id="_x0000_i1028" style="width:0;height:1.5pt" o:hralign="center" o:hrstd="t" o:hr="t"/>
        </w:pict>
      </w:r>
    </w:p>
    <w:p w14:paraId="5340B942" w14:textId="77777777" w:rsidR="003C788D" w:rsidRDefault="00AA7D12">
      <w:pPr>
        <w:pStyle w:val="Overskrift2"/>
      </w:pPr>
      <w:bookmarkStart w:id="23" w:name="litteratur"/>
      <w:bookmarkStart w:id="24" w:name="_Toc230777773"/>
      <w:bookmarkEnd w:id="11"/>
      <w:bookmarkEnd w:id="21"/>
      <w:r>
        <w:t>2. Litteratur</w:t>
      </w:r>
      <w:bookmarkEnd w:id="24"/>
    </w:p>
    <w:p w14:paraId="75100073" w14:textId="77777777" w:rsidR="003C788D" w:rsidRDefault="00AA7D12">
      <w:pPr>
        <w:pStyle w:val="FirstParagraph"/>
        <w:spacing w:line="360" w:lineRule="auto"/>
      </w:pPr>
      <w:r>
        <w:rPr>
          <w:rFonts w:eastAsia="Times New Roman" w:cs="Times New Roman"/>
        </w:rPr>
        <w:t>Denne litteraturgjennomgangen dekker tre tråder som er sentrale for YO_Predcost: (1) maskinlæring for kostnads- og rateprognoser i maritim logistikk, (2) gradient boosting på tabulære data, og (3) usikkerhetskvantifisering med kvantilregresjon og konform prediksjon.</w:t>
      </w:r>
    </w:p>
    <w:p w14:paraId="01EE3610" w14:textId="77777777" w:rsidR="003C788D" w:rsidRDefault="00AA7D12">
      <w:pPr>
        <w:pStyle w:val="Overskrift3"/>
      </w:pPr>
      <w:bookmarkStart w:id="25" w:name="X7c64d5c69e8be4aa342d1f5b50a96f4760fe6ea"/>
      <w:bookmarkStart w:id="26" w:name="_Toc230777774"/>
      <w:r>
        <w:t>2.1 Maskinlæring for kostnadsprediksjon i transport og logistikk</w:t>
      </w:r>
      <w:bookmarkEnd w:id="26"/>
    </w:p>
    <w:p w14:paraId="2A9CC813" w14:textId="77777777" w:rsidR="003C788D" w:rsidRDefault="00AA7D12">
      <w:pPr>
        <w:pStyle w:val="FirstParagraph"/>
        <w:spacing w:line="360" w:lineRule="auto"/>
      </w:pPr>
      <w:r>
        <w:rPr>
          <w:rFonts w:eastAsia="Times New Roman" w:cs="Times New Roman"/>
        </w:rPr>
        <w:t>Bruk av maskinlæring for å predikere kostnader og rater i transport har fått økende oppmerksomhet. Jang et al. (2023) utviklet en fraktkostnadsprediksjon for en lastebilfrakt-plattform og sammenlignet multippel lineær regresjon, DNN, XGBoost og LightGBM. LightGBM ga best prediktiv ytelse i deres oppsett, og studien understreker at heterogene tabulære data med kategoriske variabler (rute, lasttype, sesong) egner seg bedre for trebaserte modeller enn for dype nevrale nett.</w:t>
      </w:r>
    </w:p>
    <w:p w14:paraId="5BB44696" w14:textId="77777777" w:rsidR="003C788D" w:rsidRDefault="00AA7D12">
      <w:pPr>
        <w:pStyle w:val="Brdtekst"/>
        <w:spacing w:line="360" w:lineRule="auto"/>
      </w:pPr>
      <w:r>
        <w:rPr>
          <w:rFonts w:eastAsia="Times New Roman" w:cs="Times New Roman"/>
        </w:rPr>
        <w:t xml:space="preserve">Innen maritim sektor har Su et al. (2024) brukt maskinlæring for å predikere drivstoffkostnader for ro-ro-skip, der gradient boosting utkonkurrerte lineære modeller. Jahangard et al. (2025) demonstrerte at ML-modeller som Random Forest og Gradient Boosting forbedrer havneeffektivitet og turnaround-prediksjoner. Et fellestrekk på tvers av disse studiene er at tabulære driftsdata med en blanding av numeriske og kategoriske variabler håndteres effektivt av treensembler, og at modellprestasjon målt i absolutte </w:t>
      </w:r>
      <w:r>
        <w:rPr>
          <w:rFonts w:eastAsia="Times New Roman" w:cs="Times New Roman"/>
        </w:rPr>
        <w:t>feilmetrikker (MAE) er den mest operasjonelt relevante evalueringen. Hvordan resultatene i denne studien forholder seg til disse funnene drøftes i § 9.</w:t>
      </w:r>
    </w:p>
    <w:p w14:paraId="2E04D67D" w14:textId="77777777" w:rsidR="003C788D" w:rsidRDefault="00AA7D12">
      <w:pPr>
        <w:pStyle w:val="Brdtekst"/>
        <w:spacing w:line="360" w:lineRule="auto"/>
      </w:pPr>
      <w:r>
        <w:rPr>
          <w:rFonts w:eastAsia="Times New Roman" w:cs="Times New Roman"/>
        </w:rPr>
        <w:t xml:space="preserve">I motsetning til de nevnte studiene, som predikerer en samlet kostnad eller rate per reise, modellerer NautiCost på </w:t>
      </w:r>
      <w:r>
        <w:rPr>
          <w:rFonts w:eastAsia="Times New Roman" w:cs="Times New Roman"/>
          <w:i/>
          <w:iCs/>
        </w:rPr>
        <w:t>transaksjonsnivå</w:t>
      </w:r>
      <w:r>
        <w:rPr>
          <w:rFonts w:eastAsia="Times New Roman" w:cs="Times New Roman"/>
        </w:rPr>
        <w:t xml:space="preserve"> — hver enkeltfaktura predikeres separat, og aggregeres deretter til anløpsnivå via portmaler og trafikkvekter. En slik tilnærming gir finere oppløsning enn aggregert prediksjon og kan i prinsippet returnere en kostnadsfordeling per tjenestekategori; hvor godt dette fungerer empirisk vurderes i § 8.</w:t>
      </w:r>
    </w:p>
    <w:p w14:paraId="0AA545C4" w14:textId="77777777" w:rsidR="003C788D" w:rsidRDefault="00AA7D12">
      <w:pPr>
        <w:pStyle w:val="Overskrift3"/>
      </w:pPr>
      <w:bookmarkStart w:id="27" w:name="X50f1a326dd81dd1da535bd6543ea8d29f23ade9"/>
      <w:bookmarkStart w:id="28" w:name="_Toc230777775"/>
      <w:bookmarkEnd w:id="25"/>
      <w:r>
        <w:t>2.2 Gradient boosting på heterogene tabulære data</w:t>
      </w:r>
      <w:bookmarkEnd w:id="28"/>
    </w:p>
    <w:p w14:paraId="01722734" w14:textId="77777777" w:rsidR="003C788D" w:rsidRDefault="00AA7D12">
      <w:pPr>
        <w:pStyle w:val="FirstParagraph"/>
        <w:spacing w:line="360" w:lineRule="auto"/>
      </w:pPr>
      <w:r>
        <w:rPr>
          <w:rFonts w:eastAsia="Times New Roman" w:cs="Times New Roman"/>
        </w:rPr>
        <w:t>Gradient boosting ble formalisert av Friedman (2001) som en generell additiv modell der hvert nytt tre korrigerer de negative gradientene fra forrige iterasjon. To moderne implementasjoner har blitt dominerende for tabulære data: LightGBM (Ke et al., 2017) med histogram-basert splitting og leaf-wise vekst, og CatBoost (Prokhorenkova et al., 2018) med ordered boosting og forventningsrett target-encoding av kategoriske variabler. Begge er beskrevet i detalj i § 3.</w:t>
      </w:r>
    </w:p>
    <w:p w14:paraId="1356B5CF" w14:textId="77777777" w:rsidR="003C788D" w:rsidRDefault="00AA7D12">
      <w:pPr>
        <w:pStyle w:val="Brdtekst"/>
        <w:spacing w:line="360" w:lineRule="auto"/>
      </w:pPr>
      <w:r>
        <w:rPr>
          <w:rFonts w:eastAsia="Times New Roman" w:cs="Times New Roman"/>
        </w:rPr>
        <w:t>Grinsztajn et al. (2022) gjennomførte en systematisk benchmark over 45 datasett og fant at trebaserte modeller konsekvent overgår dype nevrale nett på tabulære data i medium størrelse (~10 000 rader), selv uten å ta hensyn til treningstidens fordel. Forfatterne identifiserte tre induktive biaser som gjør trær overlegne på tabulær data: rotasjonsinvarians, robusthet mot irrelevante features, og evne til å modellere irregulære beslutningsgrenser. Datasettet i denne studien (1 647 rader, 26 features, blandet k</w:t>
      </w:r>
      <w:r>
        <w:rPr>
          <w:rFonts w:eastAsia="Times New Roman" w:cs="Times New Roman"/>
        </w:rPr>
        <w:t>ategorisk/numerisk) faller godt innenfor dette regimet, og valget av et LightGBM + CatBoost-ensemble er dermed teoretisk og empirisk begrunnet.</w:t>
      </w:r>
    </w:p>
    <w:p w14:paraId="0089775C" w14:textId="77777777" w:rsidR="003C788D" w:rsidRDefault="00AA7D12">
      <w:pPr>
        <w:pStyle w:val="Brdtekst"/>
        <w:spacing w:line="360" w:lineRule="auto"/>
      </w:pPr>
      <w:r>
        <w:rPr>
          <w:rFonts w:eastAsia="Times New Roman" w:cs="Times New Roman"/>
        </w:rPr>
        <w:t>Shwartz-Ziv og Armon (2022) kom til en lignende konklusjon i en uavhengig benchmark: XGBoost, LightGBM og CatBoost dominerte typiske tabulære regresjons- og klassifikasjonsproblemer, og ensembler av flere gradient-boosting-varianter ga ytterligere marginal forbedring. Hvorvidt denne marginale gevinsten replikeres i et lite, høyt</w:t>
      </w:r>
      <w:r>
        <w:rPr>
          <w:rFonts w:eastAsia="Times New Roman" w:cs="Times New Roman"/>
        </w:rPr>
        <w:softHyphen/>
        <w:t>skjevt regime som YO_Predcost-datasettet drøftes i § 9.2.</w:t>
      </w:r>
    </w:p>
    <w:p w14:paraId="34B4A308" w14:textId="77777777" w:rsidR="003C788D" w:rsidRDefault="00AA7D12">
      <w:pPr>
        <w:pStyle w:val="Brdtekst"/>
        <w:spacing w:line="360" w:lineRule="auto"/>
      </w:pPr>
      <w:r>
        <w:rPr>
          <w:rFonts w:eastAsia="Times New Roman" w:cs="Times New Roman"/>
        </w:rPr>
        <w:t>Pensum</w:t>
      </w:r>
      <w:r>
        <w:rPr>
          <w:rFonts w:eastAsia="Times New Roman" w:cs="Times New Roman"/>
        </w:rPr>
        <w:softHyphen/>
        <w:t>kompendiet i LOG650 (Pettersen &amp; Rekdal, 2026, tabell 1.1) klassifiserer prosjekter med mange forklaringsvariabler under metode</w:t>
      </w:r>
      <w:r>
        <w:rPr>
          <w:rFonts w:eastAsia="Times New Roman" w:cs="Times New Roman"/>
        </w:rPr>
        <w:softHyphen/>
        <w:t xml:space="preserve">familien Random Forest / XGBoost / </w:t>
      </w:r>
      <w:r>
        <w:rPr>
          <w:rFonts w:eastAsia="Times New Roman" w:cs="Times New Roman"/>
          <w:b/>
          <w:bCs/>
        </w:rPr>
        <w:t>LightGBM</w:t>
      </w:r>
      <w:r>
        <w:rPr>
          <w:rFonts w:eastAsia="Times New Roman" w:cs="Times New Roman"/>
        </w:rPr>
        <w:t xml:space="preserve"> med metodene gradient boosting, kryssvalidering, SHAP og hyperparameter</w:t>
      </w:r>
      <w:r>
        <w:rPr>
          <w:rFonts w:eastAsia="Times New Roman" w:cs="Times New Roman"/>
        </w:rPr>
        <w:softHyphen/>
        <w:t>tuning. Metodevalget i NautiCost — LightGBM + CatBoost-ensemble, 5-fold kryssvalidering ved Optuna-tuning, TreeSHAP for forklarbarhet — er nøyaktig denne kombinasjonen, og er dermed direkte pensum</w:t>
      </w:r>
      <w:r>
        <w:rPr>
          <w:rFonts w:eastAsia="Times New Roman" w:cs="Times New Roman"/>
        </w:rPr>
        <w:softHyphen/>
        <w:t>forankret. Det skiller seg fra kompendiets standard</w:t>
      </w:r>
      <w:r>
        <w:rPr>
          <w:rFonts w:eastAsia="Times New Roman" w:cs="Times New Roman"/>
        </w:rPr>
        <w:softHyphen/>
        <w:t>eksempel ved at mo</w:t>
      </w:r>
      <w:r>
        <w:rPr>
          <w:rFonts w:eastAsia="Times New Roman" w:cs="Times New Roman"/>
        </w:rPr>
        <w:t>delleringen skjer på transaksjonsnivå snarere enn aggregert nivå, supplert med konform kalibrering (§ 2.3) for usikkerhets</w:t>
      </w:r>
      <w:r>
        <w:rPr>
          <w:rFonts w:eastAsia="Times New Roman" w:cs="Times New Roman"/>
        </w:rPr>
        <w:softHyphen/>
        <w:t>bånd.</w:t>
      </w:r>
    </w:p>
    <w:p w14:paraId="10DF3840" w14:textId="77777777" w:rsidR="003C788D" w:rsidRDefault="00AA7D12">
      <w:pPr>
        <w:pStyle w:val="Overskrift3"/>
      </w:pPr>
      <w:bookmarkStart w:id="29" w:name="X52ccaa96010e029cb7ad8233c60e45490ae75db"/>
      <w:bookmarkStart w:id="30" w:name="_Toc230777776"/>
      <w:bookmarkEnd w:id="27"/>
      <w:r>
        <w:t>2.3 Konform prediksjon og usikkerhetskvantifisering</w:t>
      </w:r>
      <w:bookmarkEnd w:id="30"/>
    </w:p>
    <w:p w14:paraId="5E7D9769" w14:textId="77777777" w:rsidR="003C788D" w:rsidRDefault="00AA7D12">
      <w:pPr>
        <w:pStyle w:val="FirstParagraph"/>
        <w:spacing w:line="360" w:lineRule="auto"/>
      </w:pPr>
      <w:r>
        <w:rPr>
          <w:rFonts w:eastAsia="Times New Roman" w:cs="Times New Roman"/>
        </w:rPr>
        <w:t xml:space="preserve">Punktprediksjoner alene er utilstrekkelige for beslutningsstøtte der kostnaden varierer over flere størrelsesordener. Romano et al. (2019) introduserte </w:t>
      </w:r>
      <w:r>
        <w:rPr>
          <w:rFonts w:eastAsia="Times New Roman" w:cs="Times New Roman"/>
          <w:i/>
          <w:iCs/>
        </w:rPr>
        <w:t>Conformalized Quantile Regression</w:t>
      </w:r>
      <w:r>
        <w:rPr>
          <w:rFonts w:eastAsia="Times New Roman" w:cs="Times New Roman"/>
        </w:rPr>
        <w:t xml:space="preserve"> (CQR), som kombinerer kvantilregresjon med konform prediksjon for å oppnå prediksjonsintervaller med garantert endelig-utvalgsdekning, uavhengig av modellens underliggende kalibrering. Metoden er teoretisk forankret i distribusjonsfriheten til konforme prediktorer (Shafer &amp; Vovk, 2008), men beholder den statistiske effektiviteten til kvantilregresjon — intervallene er smalere enn de fra standard konform prediksjon fordi de tilpasser seg heteroskedastisitet.</w:t>
      </w:r>
    </w:p>
    <w:p w14:paraId="13267EC6" w14:textId="77777777" w:rsidR="003C788D" w:rsidRDefault="00AA7D12">
      <w:pPr>
        <w:pStyle w:val="Brdtekst"/>
        <w:spacing w:line="360" w:lineRule="auto"/>
      </w:pPr>
      <w:r>
        <w:rPr>
          <w:rFonts w:eastAsia="Times New Roman" w:cs="Times New Roman"/>
        </w:rPr>
        <w:t>CQR er attraktiv i et anvendt regime fordi den bevarer kvantilregresjonens evne til å tilpasse seg heteroskedastiske residualer, samtidig som konform</w:t>
      </w:r>
      <w:r>
        <w:rPr>
          <w:rFonts w:eastAsia="Times New Roman" w:cs="Times New Roman"/>
        </w:rPr>
        <w:softHyphen/>
        <w:t>garantien sikrer at faktisk dekning ligger nær det nominelle nivået uten å anta en bestemt feilfordeling. Hvor godt dette fungerer på datasettet i denne studien rapporteres i § 6.4 og § 8.2.</w:t>
      </w:r>
    </w:p>
    <w:p w14:paraId="46DA2D6C" w14:textId="77777777" w:rsidR="003C788D" w:rsidRDefault="00AA7D12">
      <w:pPr>
        <w:pStyle w:val="Brdtekst"/>
        <w:spacing w:line="360" w:lineRule="auto"/>
      </w:pPr>
      <w:r>
        <w:rPr>
          <w:rFonts w:eastAsia="Times New Roman" w:cs="Times New Roman"/>
        </w:rPr>
        <w:t>For forklarbarhet bruker NautiCost SHAP-verdier (Lundberg &amp; Lee, 2017), som dekomponerer enkeltprediksjoner i per-feature-bidrag basert på Shapley-verdier fra kooperativ spillteori. TreeSHAP-algoritmen (Lundberg et al., 2020) muliggjør eksakt, effektiv beregning for treensembler og gir både globale feature-importance-rangeringer og lokale per-prediksjon-forklaringer (jf. § 3.6 og § 7.3).</w:t>
      </w:r>
    </w:p>
    <w:p w14:paraId="3B0D6A9E" w14:textId="77777777" w:rsidR="003C788D" w:rsidRDefault="00AA7D12">
      <w:pPr>
        <w:pStyle w:val="Overskrift3"/>
      </w:pPr>
      <w:bookmarkStart w:id="31" w:name="forskningsgap"/>
      <w:bookmarkStart w:id="32" w:name="_Toc230777777"/>
      <w:bookmarkEnd w:id="29"/>
      <w:r>
        <w:t>2.4 Forskningsgap</w:t>
      </w:r>
      <w:bookmarkEnd w:id="32"/>
    </w:p>
    <w:p w14:paraId="0CBFF5D6" w14:textId="77777777" w:rsidR="003C788D" w:rsidRDefault="00AA7D12">
      <w:pPr>
        <w:pStyle w:val="FirstParagraph"/>
        <w:spacing w:line="360" w:lineRule="auto"/>
      </w:pPr>
      <w:r>
        <w:rPr>
          <w:rFonts w:eastAsia="Times New Roman" w:cs="Times New Roman"/>
        </w:rPr>
        <w:t>Litteraturen som er gjennomgått behandler enten (a) prediksjon av en samlet kostnad eller rate per reise (Jang et al., 2023; Su et al., 2024) eller (b) operasjonell effektivitet på havne</w:t>
      </w:r>
      <w:r>
        <w:rPr>
          <w:rFonts w:eastAsia="Times New Roman" w:cs="Times New Roman"/>
        </w:rPr>
        <w:softHyphen/>
        <w:t xml:space="preserve">nivå (Jahangard et al., 2025). Ingen av disse studiene modellerer den </w:t>
      </w:r>
      <w:r>
        <w:rPr>
          <w:rFonts w:eastAsia="Times New Roman" w:cs="Times New Roman"/>
          <w:b/>
          <w:bCs/>
        </w:rPr>
        <w:t>sammensatte tjeneste</w:t>
      </w:r>
      <w:r>
        <w:rPr>
          <w:rFonts w:eastAsia="Times New Roman" w:cs="Times New Roman"/>
          <w:b/>
          <w:bCs/>
        </w:rPr>
        <w:softHyphen/>
        <w:t>miksen per anløp</w:t>
      </w:r>
      <w:r>
        <w:rPr>
          <w:rFonts w:eastAsia="Times New Roman" w:cs="Times New Roman"/>
        </w:rPr>
        <w:t xml:space="preserve"> — det vil si hvordan en enkelt yacht-stopp gir opphav til 5–40 separate transaksjoner fordelt på havneavgift, los, hospitality, proviant, agent</w:t>
      </w:r>
      <w:r>
        <w:rPr>
          <w:rFonts w:eastAsia="Times New Roman" w:cs="Times New Roman"/>
        </w:rPr>
        <w:softHyphen/>
        <w:t>tjenester og bunkers, og hvordan totalkostnaden av et anløp bygges opp av disse delene. NautiCost adresserer dette gapet ved å modellere på transaksjonsnivå, deretter aggregere via portmaler og trafikkvekter, og kalibrere mot empiriske havne</w:t>
      </w:r>
      <w:r>
        <w:rPr>
          <w:rFonts w:eastAsia="Times New Roman" w:cs="Times New Roman"/>
        </w:rPr>
        <w:softHyphen/>
        <w:t>persentiler. I et</w:t>
      </w:r>
      <w:r>
        <w:rPr>
          <w:rFonts w:eastAsia="Times New Roman" w:cs="Times New Roman"/>
        </w:rPr>
        <w:t xml:space="preserve"> lite, høyt</w:t>
      </w:r>
      <w:r>
        <w:rPr>
          <w:rFonts w:eastAsia="Times New Roman" w:cs="Times New Roman"/>
        </w:rPr>
        <w:softHyphen/>
        <w:t>skjevt datasett (n ≈ 1 600) forutsetter dette en spesifikk metodikk: (i) log-transformert mål</w:t>
      </w:r>
      <w:r>
        <w:rPr>
          <w:rFonts w:eastAsia="Times New Roman" w:cs="Times New Roman"/>
        </w:rPr>
        <w:softHyphen/>
        <w:t>variabel for å håndtere skjevheten, (ii) gradient-boosting-ensemble for tabulære data med sterk heterogenitet, og (iii) konform kalibrering for å gi distribusjons</w:t>
      </w:r>
      <w:r>
        <w:rPr>
          <w:rFonts w:eastAsia="Times New Roman" w:cs="Times New Roman"/>
        </w:rPr>
        <w:softHyphen/>
        <w:t>frie usikkerhets</w:t>
      </w:r>
      <w:r>
        <w:rPr>
          <w:rFonts w:eastAsia="Times New Roman" w:cs="Times New Roman"/>
        </w:rPr>
        <w:softHyphen/>
        <w:t>bånd. Kombinasjonen av disse, anvendt på maritim agent-tjeneste</w:t>
      </w:r>
      <w:r>
        <w:rPr>
          <w:rFonts w:eastAsia="Times New Roman" w:cs="Times New Roman"/>
        </w:rPr>
        <w:softHyphen/>
        <w:t>fakturering, er det metodiske rommet for denne studien.</w:t>
      </w:r>
    </w:p>
    <w:p w14:paraId="3B46BC54" w14:textId="77777777" w:rsidR="003C788D" w:rsidRDefault="00AA7D12">
      <w:pPr>
        <w:spacing w:line="360" w:lineRule="auto"/>
      </w:pPr>
      <w:r>
        <w:rPr>
          <w:rFonts w:eastAsia="Times New Roman" w:cs="Times New Roman"/>
        </w:rPr>
        <w:pict w14:anchorId="3A26BB50">
          <v:rect id="_x0000_i1029" style="width:0;height:1.5pt" o:hralign="center" o:hrstd="t" o:hr="t"/>
        </w:pict>
      </w:r>
    </w:p>
    <w:p w14:paraId="23B3B517" w14:textId="77777777" w:rsidR="003C788D" w:rsidRDefault="00AA7D12">
      <w:pPr>
        <w:pStyle w:val="Overskrift2"/>
      </w:pPr>
      <w:bookmarkStart w:id="33" w:name="teori"/>
      <w:bookmarkStart w:id="34" w:name="_Toc230777778"/>
      <w:bookmarkEnd w:id="23"/>
      <w:bookmarkEnd w:id="31"/>
      <w:r>
        <w:t>3. Teori</w:t>
      </w:r>
      <w:bookmarkEnd w:id="34"/>
    </w:p>
    <w:p w14:paraId="4036ED46" w14:textId="77777777" w:rsidR="003C788D" w:rsidRDefault="00AA7D12">
      <w:pPr>
        <w:pStyle w:val="FirstParagraph"/>
        <w:spacing w:line="360" w:lineRule="auto"/>
      </w:pPr>
      <w:r>
        <w:rPr>
          <w:rFonts w:eastAsia="Times New Roman" w:cs="Times New Roman"/>
        </w:rPr>
        <w:t>Dette kapittelet etablerer det metodiske rammeverket prosjektet hviler på. Hvert delkapittel avsluttes med en kort kobling til hvilket delproblem (DP1–DP5, jf. § 1.2) teorien adresserer, slik at teorien ikke blir frittstående modell</w:t>
      </w:r>
      <w:r>
        <w:rPr>
          <w:rFonts w:eastAsia="Times New Roman" w:cs="Times New Roman"/>
        </w:rPr>
        <w:softHyphen/>
        <w:t>beskrivelse, men en begrunnelse for de metodevalgene som tas i § 5 og § 6.</w:t>
      </w:r>
    </w:p>
    <w:p w14:paraId="16397FEE" w14:textId="77777777" w:rsidR="003C788D" w:rsidRDefault="00AA7D12">
      <w:pPr>
        <w:pStyle w:val="Overskrift3"/>
      </w:pPr>
      <w:bookmarkStart w:id="35" w:name="tabulær-læring-og-gradient-boosting"/>
      <w:bookmarkStart w:id="36" w:name="_Toc230777779"/>
      <w:r>
        <w:t>3.1 Tabulær læring og gradient boosting</w:t>
      </w:r>
      <w:bookmarkEnd w:id="36"/>
    </w:p>
    <w:p w14:paraId="36ED9DB6" w14:textId="77777777" w:rsidR="003C788D" w:rsidRDefault="00AA7D12">
      <w:pPr>
        <w:pStyle w:val="FirstParagraph"/>
        <w:spacing w:line="360" w:lineRule="auto"/>
      </w:pPr>
      <w:r>
        <w:rPr>
          <w:rFonts w:eastAsia="Times New Roman" w:cs="Times New Roman"/>
        </w:rPr>
        <w:t>Et regresjons</w:t>
      </w:r>
      <w:r>
        <w:rPr>
          <w:rFonts w:eastAsia="Times New Roman" w:cs="Times New Roman"/>
        </w:rPr>
        <w:softHyphen/>
        <w:t xml:space="preserve">problem på tabulære data er definert ved et datasett </w:t>
      </w:r>
      <m:oMath>
        <m:r>
          <m:rPr>
            <m:scr m:val="script"/>
            <m:sty m:val="p"/>
          </m:rPr>
          <w:rPr>
            <w:rFonts w:ascii="Cambria Math" w:hAnsi="Cambria Math"/>
          </w:rPr>
          <m:t>D</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m:t>
            </m:r>
          </m:sub>
        </m:sSub>
        <m:r>
          <m:rPr>
            <m:sty m:val="p"/>
          </m:rPr>
          <w:rPr>
            <w:rFonts w:ascii="Cambria Math" w:hAnsi="Cambria Math"/>
          </w:rPr>
          <m:t>)</m:t>
        </m:r>
        <m:sSubSup>
          <m:sSubSupPr>
            <m:ctrlPr>
              <w:rPr>
                <w:rFonts w:ascii="Cambria Math" w:hAnsi="Cambria Math"/>
              </w:rPr>
            </m:ctrlPr>
          </m:sSubSupPr>
          <m:e>
            <m:r>
              <m:rPr>
                <m:sty m:val="p"/>
              </m:rPr>
              <w:rPr>
                <w:rFonts w:ascii="Cambria Math" w:hAnsi="Cambria Math"/>
              </w:rPr>
              <m:t>}</m:t>
            </m:r>
          </m:e>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n</m:t>
            </m:r>
          </m:sup>
        </m:sSubSup>
      </m:oMath>
      <w:r>
        <w:rPr>
          <w:rFonts w:eastAsia="Times New Roman" w:cs="Times New Roman"/>
        </w:rPr>
        <w:t xml:space="preserve"> der </w:t>
      </w:r>
      <m:oMath>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d</m:t>
            </m:r>
          </m:sup>
        </m:sSup>
      </m:oMath>
      <w:r>
        <w:rPr>
          <w:rFonts w:eastAsia="Times New Roman" w:cs="Times New Roman"/>
        </w:rPr>
        <w:t xml:space="preserve"> er feature-vektorer og </w:t>
      </w:r>
      <m:oMath>
        <m:sSub>
          <m:sSubPr>
            <m:ctrlPr>
              <w:rPr>
                <w:rFonts w:ascii="Cambria Math" w:hAnsi="Cambria Math"/>
              </w:rPr>
            </m:ctrlPr>
          </m:sSubPr>
          <m:e>
            <m:r>
              <w:rPr>
                <w:rFonts w:ascii="Cambria Math" w:hAnsi="Cambria Math"/>
              </w:rPr>
              <m:t>y</m:t>
            </m:r>
          </m:e>
          <m:sub>
            <m:r>
              <w:rPr>
                <w:rFonts w:ascii="Cambria Math" w:hAnsi="Cambria Math"/>
              </w:rPr>
              <m:t>i</m:t>
            </m:r>
          </m:sub>
        </m:sSub>
        <m:r>
          <m:rPr>
            <m:scr m:val="double-struck"/>
            <m:sty m:val="p"/>
          </m:rPr>
          <w:rPr>
            <w:rFonts w:ascii="Cambria Math" w:hAnsi="Cambria Math"/>
          </w:rPr>
          <m:t>∈R</m:t>
        </m:r>
      </m:oMath>
      <w:r>
        <w:rPr>
          <w:rFonts w:eastAsia="Times New Roman" w:cs="Times New Roman"/>
        </w:rPr>
        <w:t xml:space="preserve"> </w:t>
      </w:r>
      <w:r>
        <w:rPr>
          <w:rFonts w:eastAsia="Times New Roman" w:cs="Times New Roman"/>
        </w:rPr>
        <w:t xml:space="preserve">er målverdier, og oppgaven er å finne en funksjon </w:t>
      </w:r>
      <m:oMath>
        <m:acc>
          <m:accPr>
            <m:ctrlPr>
              <w:rPr>
                <w:rFonts w:ascii="Cambria Math" w:hAnsi="Cambria Math"/>
              </w:rPr>
            </m:ctrlPr>
          </m:accPr>
          <m:e>
            <m:r>
              <w:rPr>
                <w:rFonts w:ascii="Cambria Math" w:hAnsi="Cambria Math"/>
              </w:rPr>
              <m:t>f</m:t>
            </m:r>
          </m:e>
        </m:acc>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d</m:t>
            </m:r>
          </m:sup>
        </m:sSup>
        <m:r>
          <m:rPr>
            <m:scr m:val="double-struck"/>
            <m:sty m:val="p"/>
          </m:rPr>
          <w:rPr>
            <w:rFonts w:ascii="Cambria Math" w:hAnsi="Cambria Math"/>
          </w:rPr>
          <m:t>→R</m:t>
        </m:r>
      </m:oMath>
      <w:r>
        <w:rPr>
          <w:rFonts w:eastAsia="Times New Roman" w:cs="Times New Roman"/>
        </w:rPr>
        <w:t xml:space="preserve"> som minimerer en tap-funksjon </w:t>
      </w:r>
      <m:oMath>
        <m:r>
          <w:rPr>
            <w:rFonts w:ascii="Cambria Math" w:hAnsi="Cambria Math"/>
          </w:rPr>
          <m:t>L</m:t>
        </m:r>
        <m:r>
          <m:rPr>
            <m:sty m:val="p"/>
          </m:rPr>
          <w:rPr>
            <w:rFonts w:ascii="Cambria Math" w:hAnsi="Cambria Math"/>
          </w:rPr>
          <m:t>(</m:t>
        </m:r>
        <m:r>
          <w:rPr>
            <w:rFonts w:ascii="Cambria Math" w:hAnsi="Cambria Math"/>
          </w:rPr>
          <m:t>y</m:t>
        </m:r>
        <m:r>
          <m:rPr>
            <m:sty m:val="p"/>
          </m:rPr>
          <w:rPr>
            <w:rFonts w:ascii="Cambria Math" w:hAnsi="Cambria Math"/>
          </w:rPr>
          <m:t>,</m:t>
        </m:r>
        <m:acc>
          <m:accPr>
            <m:ctrlPr>
              <w:rPr>
                <w:rFonts w:ascii="Cambria Math" w:hAnsi="Cambria Math"/>
              </w:rPr>
            </m:ctrlPr>
          </m:accPr>
          <m:e>
            <m:r>
              <w:rPr>
                <w:rFonts w:ascii="Cambria Math" w:hAnsi="Cambria Math"/>
              </w:rPr>
              <m:t>y</m:t>
            </m:r>
          </m:e>
        </m:acc>
        <m:r>
          <m:rPr>
            <m:sty m:val="p"/>
          </m:rPr>
          <w:rPr>
            <w:rFonts w:ascii="Cambria Math" w:hAnsi="Cambria Math"/>
          </w:rPr>
          <m:t>)</m:t>
        </m:r>
      </m:oMath>
      <w:r>
        <w:rPr>
          <w:rFonts w:eastAsia="Times New Roman" w:cs="Times New Roman"/>
        </w:rPr>
        <w:t xml:space="preserve">. For tabulære data med en blanding av numeriske og kategoriske features og komplekse interaksjoner er </w:t>
      </w:r>
      <w:r>
        <w:rPr>
          <w:rFonts w:eastAsia="Times New Roman" w:cs="Times New Roman"/>
          <w:b/>
          <w:bCs/>
        </w:rPr>
        <w:t>ensembler av beslutningstrær</w:t>
      </w:r>
      <w:r>
        <w:rPr>
          <w:rFonts w:eastAsia="Times New Roman" w:cs="Times New Roman"/>
        </w:rPr>
        <w:t xml:space="preserve"> den dominerende tilnærmingen.</w:t>
      </w:r>
    </w:p>
    <w:p w14:paraId="54C81732" w14:textId="77777777" w:rsidR="003C788D" w:rsidRDefault="00AA7D12">
      <w:pPr>
        <w:pStyle w:val="Brdtekst"/>
        <w:spacing w:line="360" w:lineRule="auto"/>
      </w:pPr>
      <w:r>
        <w:rPr>
          <w:rFonts w:eastAsia="Times New Roman" w:cs="Times New Roman"/>
        </w:rPr>
        <w:t xml:space="preserve">Et beslutningstre partisjonerer feature-rommet rekursivt i akse-justerte regioner og tilordner en konstant prediksjon innenfor hver region. Et enkelt tre har høy varians — et litt annet utvalg gir et betydelig annet tre. To strategier reduserer denne variansen: </w:t>
      </w:r>
      <w:r>
        <w:rPr>
          <w:rFonts w:eastAsia="Times New Roman" w:cs="Times New Roman"/>
          <w:b/>
          <w:bCs/>
        </w:rPr>
        <w:t>bagging</w:t>
      </w:r>
      <w:r>
        <w:rPr>
          <w:rFonts w:eastAsia="Times New Roman" w:cs="Times New Roman"/>
        </w:rPr>
        <w:t xml:space="preserve"> (gjennomsnitt av uavhengig trente trær, jf. random forest) og </w:t>
      </w:r>
      <w:r>
        <w:rPr>
          <w:rFonts w:eastAsia="Times New Roman" w:cs="Times New Roman"/>
          <w:b/>
          <w:bCs/>
        </w:rPr>
        <w:t>boosting</w:t>
      </w:r>
      <w:r>
        <w:rPr>
          <w:rFonts w:eastAsia="Times New Roman" w:cs="Times New Roman"/>
        </w:rPr>
        <w:t xml:space="preserve"> (sekvensiell trening der hvert tre korrigerer feilene fra det forrige).</w:t>
      </w:r>
    </w:p>
    <w:p w14:paraId="1B2ECF54" w14:textId="77777777" w:rsidR="003C788D" w:rsidRDefault="00AA7D12">
      <w:pPr>
        <w:pStyle w:val="Brdtekst"/>
        <w:spacing w:line="360" w:lineRule="auto"/>
      </w:pPr>
      <w:r>
        <w:rPr>
          <w:rFonts w:eastAsia="Times New Roman" w:cs="Times New Roman"/>
        </w:rPr>
        <w:t>I gradient boosting (Friedman, 2001) bygges modellen additivt:</w:t>
      </w:r>
    </w:p>
    <w:p w14:paraId="6DD48E26" w14:textId="77777777" w:rsidR="003C788D" w:rsidRDefault="00AA7D12">
      <w:pPr>
        <w:pStyle w:val="Brdtekst"/>
        <w:spacing w:line="360" w:lineRule="auto"/>
      </w:pPr>
      <m:oMathPara>
        <m:oMathParaPr>
          <m:jc m:val="center"/>
        </m:oMathParaPr>
        <m:oMath>
          <m:sSub>
            <m:sSubPr>
              <m:ctrlPr>
                <w:rPr>
                  <w:rFonts w:ascii="Cambria Math" w:hAnsi="Cambria Math"/>
                </w:rPr>
              </m:ctrlPr>
            </m:sSubPr>
            <m:e>
              <m:r>
                <w:rPr>
                  <w:rFonts w:ascii="Cambria Math" w:hAnsi="Cambria Math"/>
                </w:rPr>
                <m:t>F</m:t>
              </m:r>
            </m:e>
            <m:sub>
              <m:r>
                <w:rPr>
                  <w:rFonts w:ascii="Cambria Math" w:hAnsi="Cambria Math"/>
                </w:rPr>
                <m:t>m</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ν</m:t>
          </m:r>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m</m:t>
              </m:r>
            </m:sub>
          </m:sSub>
          <m:r>
            <m:rPr>
              <m:sty m:val="p"/>
            </m:rPr>
            <w:rPr>
              <w:rFonts w:ascii="Cambria Math" w:hAnsi="Cambria Math"/>
            </w:rPr>
            <m:t>(</m:t>
          </m:r>
          <m:r>
            <w:rPr>
              <w:rFonts w:ascii="Cambria Math" w:hAnsi="Cambria Math"/>
            </w:rPr>
            <m:t>x</m:t>
          </m:r>
          <m:r>
            <m:rPr>
              <m:sty m:val="p"/>
            </m:rPr>
            <w:rPr>
              <w:rFonts w:ascii="Cambria Math" w:hAnsi="Cambria Math"/>
            </w:rPr>
            <m:t>)</m:t>
          </m:r>
        </m:oMath>
      </m:oMathPara>
    </w:p>
    <w:p w14:paraId="0E5E3055" w14:textId="77777777" w:rsidR="003C788D" w:rsidRDefault="00AA7D12">
      <w:pPr>
        <w:pStyle w:val="FirstParagraph"/>
        <w:spacing w:line="360" w:lineRule="auto"/>
      </w:pPr>
      <w:r>
        <w:rPr>
          <w:rFonts w:eastAsia="Times New Roman" w:cs="Times New Roman"/>
        </w:rPr>
        <w:t xml:space="preserve">der </w:t>
      </w:r>
      <m:oMath>
        <m:sSub>
          <m:sSubPr>
            <m:ctrlPr>
              <w:rPr>
                <w:rFonts w:ascii="Cambria Math" w:hAnsi="Cambria Math"/>
              </w:rPr>
            </m:ctrlPr>
          </m:sSubPr>
          <m:e>
            <m:r>
              <w:rPr>
                <w:rFonts w:ascii="Cambria Math" w:hAnsi="Cambria Math"/>
              </w:rPr>
              <m:t>h</m:t>
            </m:r>
          </m:e>
          <m:sub>
            <m:r>
              <w:rPr>
                <w:rFonts w:ascii="Cambria Math" w:hAnsi="Cambria Math"/>
              </w:rPr>
              <m:t>m</m:t>
            </m:r>
          </m:sub>
        </m:sSub>
      </m:oMath>
      <w:r>
        <w:rPr>
          <w:rFonts w:eastAsia="Times New Roman" w:cs="Times New Roman"/>
        </w:rPr>
        <w:t xml:space="preserve"> er et regresjons</w:t>
      </w:r>
      <w:r>
        <w:rPr>
          <w:rFonts w:eastAsia="Times New Roman" w:cs="Times New Roman"/>
        </w:rPr>
        <w:softHyphen/>
        <w:t xml:space="preserve">tre tilpasset den negative gradienten av tapet med hensyn på forrige prediksjon, og </w:t>
      </w:r>
      <m:oMath>
        <m:r>
          <w:rPr>
            <w:rFonts w:ascii="Cambria Math" w:hAnsi="Cambria Math"/>
          </w:rPr>
          <m:t>ν</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rPr>
          <w:rFonts w:eastAsia="Times New Roman" w:cs="Times New Roman"/>
        </w:rPr>
        <w:t xml:space="preserve"> er en lærings</w:t>
      </w:r>
      <w:r>
        <w:rPr>
          <w:rFonts w:eastAsia="Times New Roman" w:cs="Times New Roman"/>
        </w:rPr>
        <w:softHyphen/>
        <w:t xml:space="preserve">rate. Etter </w:t>
      </w:r>
      <m:oMath>
        <m:r>
          <w:rPr>
            <w:rFonts w:ascii="Cambria Math" w:hAnsi="Cambria Math"/>
          </w:rPr>
          <m:t>M</m:t>
        </m:r>
      </m:oMath>
      <w:r>
        <w:rPr>
          <w:rFonts w:eastAsia="Times New Roman" w:cs="Times New Roman"/>
        </w:rPr>
        <w:t xml:space="preserve"> runder er modellen </w:t>
      </w:r>
      <m:oMath>
        <m:sSub>
          <m:sSubPr>
            <m:ctrlPr>
              <w:rPr>
                <w:rFonts w:ascii="Cambria Math" w:hAnsi="Cambria Math"/>
              </w:rPr>
            </m:ctrlPr>
          </m:sSubPr>
          <m:e>
            <m:r>
              <w:rPr>
                <w:rFonts w:ascii="Cambria Math" w:hAnsi="Cambria Math"/>
              </w:rPr>
              <m:t>F</m:t>
            </m:r>
          </m:e>
          <m:sub>
            <m:r>
              <w:rPr>
                <w:rFonts w:ascii="Cambria Math" w:hAnsi="Cambria Math"/>
              </w:rPr>
              <m:t>M</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0</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ν</m:t>
        </m:r>
        <m:nary>
          <m:naryPr>
            <m:chr m:val="∑"/>
            <m:limLoc m:val="undOvr"/>
            <m:ctrlPr>
              <w:rPr>
                <w:rFonts w:ascii="Cambria Math" w:hAnsi="Cambria Math"/>
              </w:rPr>
            </m:ctrlPr>
          </m:naryPr>
          <m:sub>
            <m:r>
              <w:rPr>
                <w:rFonts w:ascii="Cambria Math" w:hAnsi="Cambria Math"/>
              </w:rPr>
              <m:t>m</m:t>
            </m:r>
            <m:r>
              <m:rPr>
                <m:sty m:val="p"/>
              </m:rPr>
              <w:rPr>
                <w:rFonts w:ascii="Cambria Math" w:hAnsi="Cambria Math"/>
              </w:rPr>
              <m:t>=</m:t>
            </m:r>
            <m:r>
              <w:rPr>
                <w:rFonts w:ascii="Cambria Math" w:hAnsi="Cambria Math"/>
              </w:rPr>
              <m:t>1</m:t>
            </m:r>
          </m:sub>
          <m:sup>
            <m:r>
              <w:rPr>
                <w:rFonts w:ascii="Cambria Math" w:hAnsi="Cambria Math"/>
              </w:rPr>
              <m:t>M</m:t>
            </m:r>
          </m:sup>
          <m:e>
            <m:sSub>
              <m:sSubPr>
                <m:ctrlPr>
                  <w:rPr>
                    <w:rFonts w:ascii="Cambria Math" w:hAnsi="Cambria Math"/>
                  </w:rPr>
                </m:ctrlPr>
              </m:sSubPr>
              <m:e>
                <m:r>
                  <w:rPr>
                    <w:rFonts w:ascii="Cambria Math" w:hAnsi="Cambria Math"/>
                  </w:rPr>
                  <m:t>h</m:t>
                </m:r>
              </m:e>
              <m:sub>
                <m:r>
                  <w:rPr>
                    <w:rFonts w:ascii="Cambria Math" w:hAnsi="Cambria Math"/>
                  </w:rPr>
                  <m:t>m</m:t>
                </m:r>
              </m:sub>
            </m:sSub>
          </m:e>
        </m:nary>
        <m:r>
          <m:rPr>
            <m:sty m:val="p"/>
          </m:rPr>
          <w:rPr>
            <w:rFonts w:ascii="Cambria Math" w:hAnsi="Cambria Math"/>
          </w:rPr>
          <m:t>(</m:t>
        </m:r>
        <m:r>
          <w:rPr>
            <w:rFonts w:ascii="Cambria Math" w:hAnsi="Cambria Math"/>
          </w:rPr>
          <m:t>x</m:t>
        </m:r>
        <m:r>
          <m:rPr>
            <m:sty m:val="p"/>
          </m:rPr>
          <w:rPr>
            <w:rFonts w:ascii="Cambria Math" w:hAnsi="Cambria Math"/>
          </w:rPr>
          <m:t>)</m:t>
        </m:r>
      </m:oMath>
      <w:r>
        <w:rPr>
          <w:rFonts w:eastAsia="Times New Roman" w:cs="Times New Roman"/>
        </w:rPr>
        <w:t>.</w:t>
      </w:r>
    </w:p>
    <w:p w14:paraId="4E70EF57" w14:textId="77777777" w:rsidR="003C788D" w:rsidRDefault="00AA7D12">
      <w:pPr>
        <w:pStyle w:val="Brdtekst"/>
        <w:spacing w:line="360" w:lineRule="auto"/>
      </w:pPr>
      <w:r>
        <w:rPr>
          <w:rFonts w:eastAsia="Times New Roman" w:cs="Times New Roman"/>
        </w:rPr>
        <w:t xml:space="preserve">Sammenlignet med bagging kan boosting redusere både bias og varians ved å konsentrere kapasiteten der residualene er størst. Avveiningen er at boosting er sekvensielt og mer utsatt for overtilpasning hvis </w:t>
      </w:r>
      <m:oMath>
        <m:r>
          <w:rPr>
            <w:rFonts w:ascii="Cambria Math" w:hAnsi="Cambria Math"/>
          </w:rPr>
          <m:t>M</m:t>
        </m:r>
      </m:oMath>
      <w:r>
        <w:rPr>
          <w:rFonts w:eastAsia="Times New Roman" w:cs="Times New Roman"/>
        </w:rPr>
        <w:t xml:space="preserve"> er for stor eller </w:t>
      </w:r>
      <m:oMath>
        <m:r>
          <w:rPr>
            <w:rFonts w:ascii="Cambria Math" w:hAnsi="Cambria Math"/>
          </w:rPr>
          <m:t>ν</m:t>
        </m:r>
      </m:oMath>
      <w:r>
        <w:rPr>
          <w:rFonts w:eastAsia="Times New Roman" w:cs="Times New Roman"/>
        </w:rPr>
        <w:t xml:space="preserve"> for høy; </w:t>
      </w:r>
      <w:r>
        <w:rPr>
          <w:rFonts w:eastAsia="Times New Roman" w:cs="Times New Roman"/>
          <w:b/>
          <w:bCs/>
        </w:rPr>
        <w:t>early stopping</w:t>
      </w:r>
      <w:r>
        <w:rPr>
          <w:rFonts w:eastAsia="Times New Roman" w:cs="Times New Roman"/>
        </w:rPr>
        <w:t xml:space="preserve"> </w:t>
      </w:r>
      <w:r>
        <w:rPr>
          <w:rFonts w:eastAsia="Times New Roman" w:cs="Times New Roman"/>
        </w:rPr>
        <w:t>på et valideringssett er standard mottiltak.</w:t>
      </w:r>
    </w:p>
    <w:p w14:paraId="5D9ABADD" w14:textId="77777777" w:rsidR="003C788D" w:rsidRDefault="00AA7D12">
      <w:pPr>
        <w:pStyle w:val="Brdtekst"/>
        <w:spacing w:line="360" w:lineRule="auto"/>
      </w:pPr>
      <w:r>
        <w:rPr>
          <w:rFonts w:eastAsia="Times New Roman" w:cs="Times New Roman"/>
        </w:rPr>
        <w:t>Moderne gradient-boosting-biblioteker (LightGBM, CatBoost, XGBoost) optimerer dette rammeverket langs tre akser: histogram-basert split-finding for hastighet, native håndtering av kategoriske features, og bruk av andre</w:t>
      </w:r>
      <w:r>
        <w:rPr>
          <w:rFonts w:eastAsia="Times New Roman" w:cs="Times New Roman"/>
        </w:rPr>
        <w:softHyphen/>
        <w:t>ordens gradient-informasjon (Newton-Raphson-oppdateringer) for raskere konvergens.</w:t>
      </w:r>
    </w:p>
    <w:p w14:paraId="13FF9D75" w14:textId="77777777" w:rsidR="003C788D" w:rsidRDefault="00AA7D12">
      <w:pPr>
        <w:pStyle w:val="Brdtekst"/>
        <w:spacing w:line="360" w:lineRule="auto"/>
      </w:pPr>
      <w:r>
        <w:rPr>
          <w:rFonts w:eastAsia="Times New Roman" w:cs="Times New Roman"/>
          <w:i/>
          <w:iCs/>
        </w:rPr>
        <w:t>Relevans for prosjektet.</w:t>
      </w:r>
      <w:r>
        <w:rPr>
          <w:rFonts w:eastAsia="Times New Roman" w:cs="Times New Roman"/>
        </w:rPr>
        <w:t xml:space="preserve"> DP2 spør hvilken modell som gir lavest prognosefeil på heterogene tabulære data. Gradient boosting dominerer denne typen data (Grinsztajn et al., 2022; Shwartz-Ziv &amp; Armon, 2022), og er utgangspunktet for § 6.</w:t>
      </w:r>
    </w:p>
    <w:p w14:paraId="50485DEE" w14:textId="77777777" w:rsidR="003C788D" w:rsidRDefault="00AA7D12">
      <w:pPr>
        <w:pStyle w:val="Overskrift3"/>
      </w:pPr>
      <w:bookmarkStart w:id="37" w:name="lightgbm"/>
      <w:bookmarkStart w:id="38" w:name="_Toc230777780"/>
      <w:bookmarkEnd w:id="35"/>
      <w:r>
        <w:t>3.2 LightGBM</w:t>
      </w:r>
      <w:bookmarkEnd w:id="38"/>
    </w:p>
    <w:p w14:paraId="034857CB" w14:textId="77777777" w:rsidR="003C788D" w:rsidRDefault="00AA7D12">
      <w:pPr>
        <w:pStyle w:val="FirstParagraph"/>
        <w:spacing w:line="360" w:lineRule="auto"/>
      </w:pPr>
      <w:r>
        <w:rPr>
          <w:rFonts w:eastAsia="Times New Roman" w:cs="Times New Roman"/>
        </w:rPr>
        <w:t>LightGBM (Ke et al., 2017) er et gradient-boosting-bibliotek optimert for hastighet og minne på store tabulære datasett. Tre innovasjoner skiller det fra tidligere implementasjoner:</w:t>
      </w:r>
    </w:p>
    <w:p w14:paraId="095CC28B" w14:textId="77777777" w:rsidR="003C788D" w:rsidRDefault="00AA7D12">
      <w:pPr>
        <w:pStyle w:val="Brdtekst"/>
        <w:spacing w:line="360" w:lineRule="auto"/>
      </w:pPr>
      <w:r>
        <w:rPr>
          <w:rFonts w:eastAsia="Times New Roman" w:cs="Times New Roman"/>
          <w:b/>
          <w:bCs/>
        </w:rPr>
        <w:t>Histogram-basert split-finding.</w:t>
      </w:r>
      <w:r>
        <w:rPr>
          <w:rFonts w:eastAsia="Times New Roman" w:cs="Times New Roman"/>
        </w:rPr>
        <w:t xml:space="preserve"> Kontinuerlige features for-binnes i </w:t>
      </w:r>
      <m:oMath>
        <m:r>
          <w:rPr>
            <w:rFonts w:ascii="Cambria Math" w:hAnsi="Cambria Math"/>
          </w:rPr>
          <m:t>k</m:t>
        </m:r>
      </m:oMath>
      <w:r>
        <w:rPr>
          <w:rFonts w:eastAsia="Times New Roman" w:cs="Times New Roman"/>
        </w:rPr>
        <w:t xml:space="preserve"> histogrammer (typisk </w:t>
      </w:r>
      <m:oMath>
        <m:r>
          <w:rPr>
            <w:rFonts w:ascii="Cambria Math" w:hAnsi="Cambria Math"/>
          </w:rPr>
          <m:t>k</m:t>
        </m:r>
        <m:r>
          <m:rPr>
            <m:sty m:val="p"/>
          </m:rPr>
          <w:rPr>
            <w:rFonts w:ascii="Cambria Math" w:hAnsi="Cambria Math"/>
          </w:rPr>
          <m:t>=</m:t>
        </m:r>
        <m:r>
          <w:rPr>
            <w:rFonts w:ascii="Cambria Math" w:hAnsi="Cambria Math"/>
          </w:rPr>
          <m:t>255</m:t>
        </m:r>
      </m:oMath>
      <w:r>
        <w:rPr>
          <w:rFonts w:eastAsia="Times New Roman" w:cs="Times New Roman"/>
        </w:rPr>
        <w:t>). Å finne det optimale split-punktet reduseres fra å skanne alle unike feature-verdier (</w:t>
      </w:r>
      <m:oMath>
        <m:r>
          <m:rPr>
            <m:scr m:val="script"/>
            <m:sty m:val="p"/>
          </m:rPr>
          <w:rPr>
            <w:rFonts w:ascii="Cambria Math" w:hAnsi="Cambria Math"/>
          </w:rPr>
          <m:t>O</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d</m:t>
        </m:r>
        <m:r>
          <m:rPr>
            <m:sty m:val="p"/>
          </m:rPr>
          <w:rPr>
            <w:rFonts w:ascii="Cambria Math" w:hAnsi="Cambria Math"/>
          </w:rPr>
          <m:t>)</m:t>
        </m:r>
      </m:oMath>
      <w:r>
        <w:rPr>
          <w:rFonts w:eastAsia="Times New Roman" w:cs="Times New Roman"/>
        </w:rPr>
        <w:t xml:space="preserve"> per node) til å skanne histogram-bins (</w:t>
      </w:r>
      <m:oMath>
        <m:r>
          <m:rPr>
            <m:scr m:val="script"/>
            <m:sty m:val="p"/>
          </m:rPr>
          <w:rPr>
            <w:rFonts w:ascii="Cambria Math" w:hAnsi="Cambria Math"/>
          </w:rPr>
          <m:t>O</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d</m:t>
        </m:r>
        <m:r>
          <m:rPr>
            <m:sty m:val="p"/>
          </m:rPr>
          <w:rPr>
            <w:rFonts w:ascii="Cambria Math" w:hAnsi="Cambria Math"/>
          </w:rPr>
          <m:t>)</m:t>
        </m:r>
      </m:oMath>
      <w:r>
        <w:rPr>
          <w:rFonts w:eastAsia="Times New Roman" w:cs="Times New Roman"/>
        </w:rPr>
        <w:t xml:space="preserve"> per node). For datasett med mange kontinuerlige features er dette den dominerende hastighets</w:t>
      </w:r>
      <w:r>
        <w:rPr>
          <w:rFonts w:eastAsia="Times New Roman" w:cs="Times New Roman"/>
        </w:rPr>
        <w:softHyphen/>
        <w:t>gevinsten.</w:t>
      </w:r>
    </w:p>
    <w:p w14:paraId="46A00007" w14:textId="77777777" w:rsidR="003C788D" w:rsidRDefault="00AA7D12">
      <w:pPr>
        <w:pStyle w:val="Brdtekst"/>
        <w:spacing w:line="360" w:lineRule="auto"/>
      </w:pPr>
      <w:r>
        <w:rPr>
          <w:rFonts w:eastAsia="Times New Roman" w:cs="Times New Roman"/>
          <w:b/>
          <w:bCs/>
        </w:rPr>
        <w:t>Leaf-wise tre-vekst.</w:t>
      </w:r>
      <w:r>
        <w:rPr>
          <w:rFonts w:eastAsia="Times New Roman" w:cs="Times New Roman"/>
        </w:rPr>
        <w:t xml:space="preserve"> Der standard implementasjoner vokser trær level-wise (alle blader på dybde </w:t>
      </w:r>
      <m:oMath>
        <m:r>
          <w:rPr>
            <w:rFonts w:ascii="Cambria Math" w:hAnsi="Cambria Math"/>
          </w:rPr>
          <m:t>d</m:t>
        </m:r>
      </m:oMath>
      <w:r>
        <w:rPr>
          <w:rFonts w:eastAsia="Times New Roman" w:cs="Times New Roman"/>
        </w:rPr>
        <w:t xml:space="preserve"> før noen på </w:t>
      </w:r>
      <m:oMath>
        <m:r>
          <w:rPr>
            <w:rFonts w:ascii="Cambria Math" w:hAnsi="Cambria Math"/>
          </w:rPr>
          <m:t>d</m:t>
        </m:r>
        <m:r>
          <m:rPr>
            <m:sty m:val="p"/>
          </m:rPr>
          <w:rPr>
            <w:rFonts w:ascii="Cambria Math" w:hAnsi="Cambria Math"/>
          </w:rPr>
          <m:t>+</m:t>
        </m:r>
        <m:r>
          <w:rPr>
            <w:rFonts w:ascii="Cambria Math" w:hAnsi="Cambria Math"/>
          </w:rPr>
          <m:t>1</m:t>
        </m:r>
      </m:oMath>
      <w:r>
        <w:rPr>
          <w:rFonts w:eastAsia="Times New Roman" w:cs="Times New Roman"/>
        </w:rPr>
        <w:t>), vokser LightGBM bladet med høyest tap-reduksjon først, uavhengig av dybde. Dette gir mer asymmetriske trær som tilpasser dataene bedre med færre blader totalt — men er mer utsatt for over</w:t>
      </w:r>
      <w:r>
        <w:rPr>
          <w:rFonts w:eastAsia="Times New Roman" w:cs="Times New Roman"/>
        </w:rPr>
        <w:softHyphen/>
        <w:t xml:space="preserve">tilpasning på små datasett, kontrollert av </w:t>
      </w:r>
      <w:r>
        <w:rPr>
          <w:rStyle w:val="VerbatimChar"/>
          <w:rFonts w:ascii="Times New Roman" w:eastAsia="Times New Roman" w:hAnsi="Times New Roman" w:cs="Times New Roman"/>
          <w:sz w:val="24"/>
        </w:rPr>
        <w:t>max_depth</w:t>
      </w:r>
      <w:r>
        <w:rPr>
          <w:rFonts w:eastAsia="Times New Roman" w:cs="Times New Roman"/>
        </w:rPr>
        <w:t xml:space="preserve"> og </w:t>
      </w:r>
      <w:r>
        <w:rPr>
          <w:rStyle w:val="VerbatimChar"/>
          <w:rFonts w:ascii="Times New Roman" w:eastAsia="Times New Roman" w:hAnsi="Times New Roman" w:cs="Times New Roman"/>
          <w:sz w:val="24"/>
        </w:rPr>
        <w:t>min_data_in_leaf</w:t>
      </w:r>
      <w:r>
        <w:rPr>
          <w:rFonts w:eastAsia="Times New Roman" w:cs="Times New Roman"/>
        </w:rPr>
        <w:t>-restriksjoner.</w:t>
      </w:r>
    </w:p>
    <w:p w14:paraId="032DD97D" w14:textId="77777777" w:rsidR="003C788D" w:rsidRDefault="00AA7D12">
      <w:pPr>
        <w:pStyle w:val="Brdtekst"/>
        <w:spacing w:line="360" w:lineRule="auto"/>
      </w:pPr>
      <w:r>
        <w:rPr>
          <w:rFonts w:eastAsia="Times New Roman" w:cs="Times New Roman"/>
          <w:b/>
          <w:bCs/>
        </w:rPr>
        <w:t>Gradient-based one-side sampling (GOSS) og exclusive feature bundling (EFB).</w:t>
      </w:r>
      <w:r>
        <w:rPr>
          <w:rFonts w:eastAsia="Times New Roman" w:cs="Times New Roman"/>
        </w:rPr>
        <w:t xml:space="preserve"> GOSS beholder samplene med høyest gradient (størst residual) og subsampler resten tilfeldig — informasjons</w:t>
      </w:r>
      <w:r>
        <w:rPr>
          <w:rFonts w:eastAsia="Times New Roman" w:cs="Times New Roman"/>
        </w:rPr>
        <w:softHyphen/>
        <w:t>tetthet per iterasjon bevares. EFB bundler gjensidig eksklusive sparse features til én kolonne. Begge reduserer kostnad per iterasjon på høy-dimensjonal sparsom data.</w:t>
      </w:r>
    </w:p>
    <w:p w14:paraId="10FD4982" w14:textId="77777777" w:rsidR="003C788D" w:rsidRDefault="00AA7D12">
      <w:pPr>
        <w:pStyle w:val="Brdtekst"/>
        <w:spacing w:line="360" w:lineRule="auto"/>
      </w:pPr>
      <w:r>
        <w:rPr>
          <w:rFonts w:eastAsia="Times New Roman" w:cs="Times New Roman"/>
          <w:b/>
          <w:bCs/>
        </w:rPr>
        <w:t>Kategorisk håndtering.</w:t>
      </w:r>
      <w:r>
        <w:rPr>
          <w:rFonts w:eastAsia="Times New Roman" w:cs="Times New Roman"/>
        </w:rPr>
        <w:t xml:space="preserve"> LightGBM aksepterer heltalls</w:t>
      </w:r>
      <w:r>
        <w:rPr>
          <w:rFonts w:eastAsia="Times New Roman" w:cs="Times New Roman"/>
        </w:rPr>
        <w:softHyphen/>
        <w:t xml:space="preserve">kodede kategoriske kolonner direkte. Ved hvert split sorteres kategoriene etter akkumulert gradient-statistikk, og den optimale partisjonen finnes ved å skanne den sorterte listen. Dette håndterer høy-kardinalitets kategoriske variabler (f.eks. </w:t>
      </w:r>
      <w:r>
        <w:rPr>
          <w:rStyle w:val="VerbatimChar"/>
          <w:rFonts w:ascii="Times New Roman" w:eastAsia="Times New Roman" w:hAnsi="Times New Roman" w:cs="Times New Roman"/>
          <w:sz w:val="24"/>
        </w:rPr>
        <w:t>arrival_port</w:t>
      </w:r>
      <w:r>
        <w:rPr>
          <w:rFonts w:eastAsia="Times New Roman" w:cs="Times New Roman"/>
        </w:rPr>
        <w:t xml:space="preserve">, </w:t>
      </w:r>
      <w:r>
        <w:rPr>
          <w:rStyle w:val="VerbatimChar"/>
          <w:rFonts w:ascii="Times New Roman" w:eastAsia="Times New Roman" w:hAnsi="Times New Roman" w:cs="Times New Roman"/>
          <w:sz w:val="24"/>
        </w:rPr>
        <w:t>service_type</w:t>
      </w:r>
      <w:r>
        <w:rPr>
          <w:rFonts w:eastAsia="Times New Roman" w:cs="Times New Roman"/>
        </w:rPr>
        <w:t>) uten one-hot-eksplosjon.</w:t>
      </w:r>
    </w:p>
    <w:p w14:paraId="5FF9C370" w14:textId="77777777" w:rsidR="003C788D" w:rsidRDefault="00AA7D12">
      <w:pPr>
        <w:pStyle w:val="Brdtekst"/>
        <w:spacing w:line="360" w:lineRule="auto"/>
      </w:pPr>
      <w:r>
        <w:rPr>
          <w:rFonts w:eastAsia="Times New Roman" w:cs="Times New Roman"/>
        </w:rPr>
        <w:t>I NautiCost er LightGBM den primære base-læreren fordi den konvergerer raskt på det lille datasettet (~1 600 rader) og håndterer den heterogene feature-miksen native. Hyperparametre (</w:t>
      </w:r>
      <w:r>
        <w:rPr>
          <w:rStyle w:val="VerbatimChar"/>
          <w:rFonts w:ascii="Times New Roman" w:eastAsia="Times New Roman" w:hAnsi="Times New Roman" w:cs="Times New Roman"/>
          <w:sz w:val="24"/>
        </w:rPr>
        <w:t>num_leaves</w:t>
      </w:r>
      <w:r>
        <w:rPr>
          <w:rFonts w:eastAsia="Times New Roman" w:cs="Times New Roman"/>
        </w:rPr>
        <w:t xml:space="preserve">, </w:t>
      </w:r>
      <w:r>
        <w:rPr>
          <w:rStyle w:val="VerbatimChar"/>
          <w:rFonts w:ascii="Times New Roman" w:eastAsia="Times New Roman" w:hAnsi="Times New Roman" w:cs="Times New Roman"/>
          <w:sz w:val="24"/>
        </w:rPr>
        <w:t>min_data_in_leaf</w:t>
      </w:r>
      <w:r>
        <w:rPr>
          <w:rFonts w:eastAsia="Times New Roman" w:cs="Times New Roman"/>
        </w:rPr>
        <w:t xml:space="preserve">, </w:t>
      </w:r>
      <w:r>
        <w:rPr>
          <w:rStyle w:val="VerbatimChar"/>
          <w:rFonts w:ascii="Times New Roman" w:eastAsia="Times New Roman" w:hAnsi="Times New Roman" w:cs="Times New Roman"/>
          <w:sz w:val="24"/>
        </w:rPr>
        <w:t>max_depth</w:t>
      </w:r>
      <w:r>
        <w:rPr>
          <w:rFonts w:eastAsia="Times New Roman" w:cs="Times New Roman"/>
        </w:rPr>
        <w:t xml:space="preserve">, </w:t>
      </w:r>
      <w:r>
        <w:rPr>
          <w:rStyle w:val="VerbatimChar"/>
          <w:rFonts w:ascii="Times New Roman" w:eastAsia="Times New Roman" w:hAnsi="Times New Roman" w:cs="Times New Roman"/>
          <w:sz w:val="24"/>
        </w:rPr>
        <w:t>feature_fraction</w:t>
      </w:r>
      <w:r>
        <w:rPr>
          <w:rFonts w:eastAsia="Times New Roman" w:cs="Times New Roman"/>
        </w:rPr>
        <w:t xml:space="preserve">, </w:t>
      </w:r>
      <w:r>
        <w:rPr>
          <w:rStyle w:val="VerbatimChar"/>
          <w:rFonts w:ascii="Times New Roman" w:eastAsia="Times New Roman" w:hAnsi="Times New Roman" w:cs="Times New Roman"/>
          <w:sz w:val="24"/>
        </w:rPr>
        <w:t>bagging_fraction</w:t>
      </w:r>
      <w:r>
        <w:rPr>
          <w:rFonts w:eastAsia="Times New Roman" w:cs="Times New Roman"/>
        </w:rPr>
        <w:t xml:space="preserve">, </w:t>
      </w:r>
      <w:r>
        <w:rPr>
          <w:rStyle w:val="VerbatimChar"/>
          <w:rFonts w:ascii="Times New Roman" w:eastAsia="Times New Roman" w:hAnsi="Times New Roman" w:cs="Times New Roman"/>
          <w:sz w:val="24"/>
        </w:rPr>
        <w:t>learning_rate</w:t>
      </w:r>
      <w:r>
        <w:rPr>
          <w:rFonts w:eastAsia="Times New Roman" w:cs="Times New Roman"/>
        </w:rPr>
        <w:t>) er tunet med Optuna (se § 6.3).</w:t>
      </w:r>
    </w:p>
    <w:p w14:paraId="0BCB8DE9" w14:textId="77777777" w:rsidR="003C788D" w:rsidRDefault="00AA7D12">
      <w:pPr>
        <w:pStyle w:val="Brdtekst"/>
        <w:spacing w:line="360" w:lineRule="auto"/>
      </w:pPr>
      <w:r>
        <w:rPr>
          <w:rFonts w:eastAsia="Times New Roman" w:cs="Times New Roman"/>
          <w:i/>
          <w:iCs/>
        </w:rPr>
        <w:t>Relevans:</w:t>
      </w:r>
      <w:r>
        <w:rPr>
          <w:rFonts w:eastAsia="Times New Roman" w:cs="Times New Roman"/>
        </w:rPr>
        <w:t xml:space="preserve"> </w:t>
      </w:r>
      <w:r>
        <w:rPr>
          <w:rFonts w:eastAsia="Times New Roman" w:cs="Times New Roman"/>
        </w:rPr>
        <w:t>LightGBM håndterer blandet input og lav rad-til-feature-ratio (63) effektivt — derav valget i § 6.3.</w:t>
      </w:r>
    </w:p>
    <w:p w14:paraId="1B0FDE8A" w14:textId="77777777" w:rsidR="003C788D" w:rsidRDefault="00AA7D12">
      <w:pPr>
        <w:pStyle w:val="Overskrift3"/>
      </w:pPr>
      <w:bookmarkStart w:id="39" w:name="catboost"/>
      <w:bookmarkStart w:id="40" w:name="_Toc230777781"/>
      <w:bookmarkEnd w:id="37"/>
      <w:r>
        <w:t>3.3 CatBoost</w:t>
      </w:r>
      <w:bookmarkEnd w:id="40"/>
    </w:p>
    <w:p w14:paraId="4AD92521" w14:textId="77777777" w:rsidR="003C788D" w:rsidRDefault="00AA7D12">
      <w:pPr>
        <w:pStyle w:val="FirstParagraph"/>
        <w:spacing w:line="360" w:lineRule="auto"/>
      </w:pPr>
      <w:r>
        <w:rPr>
          <w:rFonts w:eastAsia="Times New Roman" w:cs="Times New Roman"/>
        </w:rPr>
        <w:t>CatBoost (Prokhorenkova et al., 2018) er et gradient-boosting-bibliotek med fokus på robust kategorisk håndtering og forventningsrett target-encoding. To tekniske bidrag står sentralt:</w:t>
      </w:r>
    </w:p>
    <w:p w14:paraId="07724A65" w14:textId="77777777" w:rsidR="003C788D" w:rsidRDefault="00AA7D12">
      <w:pPr>
        <w:pStyle w:val="Brdtekst"/>
        <w:spacing w:line="360" w:lineRule="auto"/>
      </w:pPr>
      <w:r>
        <w:rPr>
          <w:rFonts w:eastAsia="Times New Roman" w:cs="Times New Roman"/>
          <w:b/>
          <w:bCs/>
        </w:rPr>
        <w:t>Ordered boosting.</w:t>
      </w:r>
      <w:r>
        <w:rPr>
          <w:rFonts w:eastAsia="Times New Roman" w:cs="Times New Roman"/>
        </w:rPr>
        <w:t xml:space="preserve"> Standard target-encoding-strategier erstatter en kategorisk verdi med gjennomsnittet av målet over alle rader der verdien forekommer. Dette skaper </w:t>
      </w:r>
      <w:r>
        <w:rPr>
          <w:rFonts w:eastAsia="Times New Roman" w:cs="Times New Roman"/>
          <w:i/>
          <w:iCs/>
        </w:rPr>
        <w:t>target-leakage</w:t>
      </w:r>
      <w:r>
        <w:rPr>
          <w:rFonts w:eastAsia="Times New Roman" w:cs="Times New Roman"/>
        </w:rPr>
        <w:t xml:space="preserve"> — den kodede featuren for rad </w:t>
      </w:r>
      <m:oMath>
        <m:r>
          <w:rPr>
            <w:rFonts w:ascii="Cambria Math" w:hAnsi="Cambria Math"/>
          </w:rPr>
          <m:t>i</m:t>
        </m:r>
      </m:oMath>
      <w:r>
        <w:rPr>
          <w:rFonts w:eastAsia="Times New Roman" w:cs="Times New Roman"/>
        </w:rPr>
        <w:t xml:space="preserve"> påvirkes av målet </w:t>
      </w:r>
      <m:oMath>
        <m:sSub>
          <m:sSubPr>
            <m:ctrlPr>
              <w:rPr>
                <w:rFonts w:ascii="Cambria Math" w:hAnsi="Cambria Math"/>
              </w:rPr>
            </m:ctrlPr>
          </m:sSubPr>
          <m:e>
            <m:r>
              <w:rPr>
                <w:rFonts w:ascii="Cambria Math" w:hAnsi="Cambria Math"/>
              </w:rPr>
              <m:t>y</m:t>
            </m:r>
          </m:e>
          <m:sub>
            <m:r>
              <w:rPr>
                <w:rFonts w:ascii="Cambria Math" w:hAnsi="Cambria Math"/>
              </w:rPr>
              <m:t>i</m:t>
            </m:r>
          </m:sub>
        </m:sSub>
      </m:oMath>
      <w:r>
        <w:rPr>
          <w:rFonts w:eastAsia="Times New Roman" w:cs="Times New Roman"/>
        </w:rPr>
        <w:t xml:space="preserve"> selv, hvilket biaserer gradienter mot over</w:t>
      </w:r>
      <w:r>
        <w:rPr>
          <w:rFonts w:eastAsia="Times New Roman" w:cs="Times New Roman"/>
        </w:rPr>
        <w:softHyphen/>
        <w:t xml:space="preserve">tilpasning. CatBoosts ordered boosting opprettholder en tilfeldig permutasjon av treningsradene; for hver rad </w:t>
      </w:r>
      <m:oMath>
        <m:r>
          <w:rPr>
            <w:rFonts w:ascii="Cambria Math" w:hAnsi="Cambria Math"/>
          </w:rPr>
          <m:t>i</m:t>
        </m:r>
      </m:oMath>
      <w:r>
        <w:rPr>
          <w:rFonts w:eastAsia="Times New Roman" w:cs="Times New Roman"/>
        </w:rPr>
        <w:t xml:space="preserve"> bruker target-encodingen kun radene som ligger foran </w:t>
      </w:r>
      <m:oMath>
        <m:r>
          <w:rPr>
            <w:rFonts w:ascii="Cambria Math" w:hAnsi="Cambria Math"/>
          </w:rPr>
          <m:t>i</m:t>
        </m:r>
      </m:oMath>
      <w:r>
        <w:rPr>
          <w:rFonts w:eastAsia="Times New Roman" w:cs="Times New Roman"/>
        </w:rPr>
        <w:t xml:space="preserve"> i permutasjonen. Dette gir et forventningsrett estimat på bekostning av å kjøre </w:t>
      </w:r>
      <m:oMath>
        <m:r>
          <w:rPr>
            <w:rFonts w:ascii="Cambria Math" w:hAnsi="Cambria Math"/>
          </w:rPr>
          <m:t>K</m:t>
        </m:r>
      </m:oMath>
      <w:r>
        <w:rPr>
          <w:rFonts w:eastAsia="Times New Roman" w:cs="Times New Roman"/>
        </w:rPr>
        <w:t xml:space="preserve"> parallelle modeller på </w:t>
      </w:r>
      <m:oMath>
        <m:r>
          <w:rPr>
            <w:rFonts w:ascii="Cambria Math" w:hAnsi="Cambria Math"/>
          </w:rPr>
          <m:t>K</m:t>
        </m:r>
      </m:oMath>
      <w:r>
        <w:rPr>
          <w:rFonts w:eastAsia="Times New Roman" w:cs="Times New Roman"/>
        </w:rPr>
        <w:t xml:space="preserve"> ulike permutasjoner.</w:t>
      </w:r>
    </w:p>
    <w:p w14:paraId="469CAB48" w14:textId="77777777" w:rsidR="003C788D" w:rsidRDefault="00AA7D12">
      <w:pPr>
        <w:pStyle w:val="Brdtekst"/>
        <w:spacing w:line="360" w:lineRule="auto"/>
      </w:pPr>
      <w:r>
        <w:rPr>
          <w:rFonts w:eastAsia="Times New Roman" w:cs="Times New Roman"/>
          <w:b/>
          <w:bCs/>
        </w:rPr>
        <w:t>Symmetriske (oblivious) trær.</w:t>
      </w:r>
      <w:r>
        <w:rPr>
          <w:rFonts w:eastAsia="Times New Roman" w:cs="Times New Roman"/>
        </w:rPr>
        <w:t xml:space="preserve"> Hvert nivå av et CatBoost-tre bruker samme split-feature og terskel</w:t>
      </w:r>
      <w:r>
        <w:rPr>
          <w:rFonts w:eastAsia="Times New Roman" w:cs="Times New Roman"/>
        </w:rPr>
        <w:softHyphen/>
        <w:t>verdi på tvers av alle interne noder på det nivået. Dette gir et balansert binærtre med fast dybde, hvilket er raskere ved inferens (prediksjons</w:t>
      </w:r>
      <w:r>
        <w:rPr>
          <w:rFonts w:eastAsia="Times New Roman" w:cs="Times New Roman"/>
        </w:rPr>
        <w:softHyphen/>
        <w:t>banen er bare en sekvens av sammen</w:t>
      </w:r>
      <w:r>
        <w:rPr>
          <w:rFonts w:eastAsia="Times New Roman" w:cs="Times New Roman"/>
        </w:rPr>
        <w:softHyphen/>
        <w:t>ligninger) og virker som en implisitt regularisering.</w:t>
      </w:r>
    </w:p>
    <w:p w14:paraId="0363B18A" w14:textId="77777777" w:rsidR="003C788D" w:rsidRDefault="00AA7D12">
      <w:pPr>
        <w:pStyle w:val="Brdtekst"/>
        <w:spacing w:line="360" w:lineRule="auto"/>
      </w:pPr>
      <w:r>
        <w:rPr>
          <w:rFonts w:eastAsia="Times New Roman" w:cs="Times New Roman"/>
          <w:b/>
          <w:bCs/>
        </w:rPr>
        <w:t>Kategorisk encoding via ordered target statistics:</w:t>
      </w:r>
    </w:p>
    <w:p w14:paraId="229EC072" w14:textId="77777777" w:rsidR="003C788D" w:rsidRDefault="00AA7D12">
      <w:pPr>
        <w:pStyle w:val="Brdtekst"/>
        <w:spacing w:line="360" w:lineRule="auto"/>
      </w:pPr>
      <m:oMathPara>
        <m:oMathParaPr>
          <m:jc m:val="center"/>
        </m:oMathParaPr>
        <m:oMath>
          <m:sSubSup>
            <m:sSubSupPr>
              <m:ctrlPr>
                <w:rPr>
                  <w:rFonts w:ascii="Cambria Math" w:hAnsi="Cambria Math"/>
                </w:rPr>
              </m:ctrlPr>
            </m:sSubSupPr>
            <m:e>
              <m:acc>
                <m:accPr>
                  <m:ctrlPr>
                    <w:rPr>
                      <w:rFonts w:ascii="Cambria Math" w:hAnsi="Cambria Math"/>
                    </w:rPr>
                  </m:ctrlPr>
                </m:accPr>
                <m:e>
                  <m:r>
                    <w:rPr>
                      <w:rFonts w:ascii="Cambria Math" w:hAnsi="Cambria Math"/>
                    </w:rPr>
                    <m:t>x</m:t>
                  </m:r>
                </m:e>
              </m:acc>
            </m:e>
            <m:sub>
              <m:r>
                <w:rPr>
                  <w:rFonts w:ascii="Cambria Math" w:hAnsi="Cambria Math"/>
                </w:rPr>
                <m:t>i</m:t>
              </m:r>
            </m:sub>
            <m:sup>
              <m:r>
                <w:rPr>
                  <w:rFonts w:ascii="Cambria Math" w:hAnsi="Cambria Math"/>
                </w:rPr>
                <m:t>cat</m:t>
              </m:r>
            </m:sup>
          </m:sSubSup>
          <m:r>
            <m:rPr>
              <m:sty m:val="p"/>
            </m:rPr>
            <w:rPr>
              <w:rFonts w:ascii="Cambria Math" w:hAnsi="Cambria Math"/>
            </w:rPr>
            <m:t>=</m:t>
          </m:r>
          <m:f>
            <m:fPr>
              <m:ctrlPr>
                <w:rPr>
                  <w:rFonts w:ascii="Cambria Math" w:hAnsi="Cambria Math"/>
                </w:rPr>
              </m:ctrlPr>
            </m:fPr>
            <m:num>
              <m:nary>
                <m:naryPr>
                  <m:chr m:val="∑"/>
                  <m:limLoc m:val="undOvr"/>
                  <m:supHide m:val="1"/>
                  <m:ctrlPr>
                    <w:rPr>
                      <w:rFonts w:ascii="Cambria Math" w:hAnsi="Cambria Math"/>
                    </w:rPr>
                  </m:ctrlPr>
                </m:naryPr>
                <m:sub>
                  <m:r>
                    <w:rPr>
                      <w:rFonts w:ascii="Cambria Math" w:hAnsi="Cambria Math"/>
                    </w:rPr>
                    <m:t>j</m:t>
                  </m:r>
                  <m:r>
                    <m:rPr>
                      <m:sty m:val="p"/>
                    </m:rPr>
                    <w:rPr>
                      <w:rFonts w:ascii="Cambria Math" w:hAnsi="Cambria Math"/>
                    </w:rPr>
                    <m:t>&lt;</m:t>
                  </m:r>
                  <m:r>
                    <w:rPr>
                      <w:rFonts w:ascii="Cambria Math" w:hAnsi="Cambria Math"/>
                    </w:rPr>
                    <m:t>i</m:t>
                  </m:r>
                  <m:r>
                    <m:rPr>
                      <m:sty m:val="p"/>
                    </m:rPr>
                    <w:rPr>
                      <w:rFonts w:ascii="Cambria Math" w:hAnsi="Cambria Math"/>
                    </w:rPr>
                    <m:t>,</m:t>
                  </m:r>
                  <m:r>
                    <w:rPr>
                      <w:rFonts w:ascii="Cambria Math" w:hAnsi="Cambria Math"/>
                    </w:rPr>
                    <m:t> </m:t>
                  </m:r>
                  <m:sSubSup>
                    <m:sSubSupPr>
                      <m:ctrlPr>
                        <w:rPr>
                          <w:rFonts w:ascii="Cambria Math" w:hAnsi="Cambria Math"/>
                        </w:rPr>
                      </m:ctrlPr>
                    </m:sSubSupPr>
                    <m:e>
                      <m:r>
                        <w:rPr>
                          <w:rFonts w:ascii="Cambria Math" w:hAnsi="Cambria Math"/>
                        </w:rPr>
                        <m:t>x</m:t>
                      </m:r>
                    </m:e>
                    <m:sub>
                      <m:r>
                        <w:rPr>
                          <w:rFonts w:ascii="Cambria Math" w:hAnsi="Cambria Math"/>
                        </w:rPr>
                        <m:t>j</m:t>
                      </m:r>
                    </m:sub>
                    <m:sup>
                      <m:r>
                        <w:rPr>
                          <w:rFonts w:ascii="Cambria Math" w:hAnsi="Cambria Math"/>
                        </w:rPr>
                        <m:t>cat</m:t>
                      </m:r>
                    </m:sup>
                  </m:sSubSup>
                  <m:r>
                    <m:rPr>
                      <m:sty m:val="p"/>
                    </m:rP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i</m:t>
                      </m:r>
                    </m:sub>
                    <m:sup>
                      <m:r>
                        <w:rPr>
                          <w:rFonts w:ascii="Cambria Math" w:hAnsi="Cambria Math"/>
                        </w:rPr>
                        <m:t>cat</m:t>
                      </m:r>
                    </m:sup>
                  </m:sSubSup>
                </m:sub>
                <m:sup>
                  <m:r>
                    <w:rPr>
                      <w:rFonts w:ascii="Cambria Math" w:hAnsi="Cambria Math"/>
                    </w:rPr>
                    <m:t>​</m:t>
                  </m:r>
                </m:sup>
                <m:e>
                  <m:sSub>
                    <m:sSubPr>
                      <m:ctrlPr>
                        <w:rPr>
                          <w:rFonts w:ascii="Cambria Math" w:hAnsi="Cambria Math"/>
                        </w:rPr>
                      </m:ctrlPr>
                    </m:sSubPr>
                    <m:e>
                      <m:r>
                        <w:rPr>
                          <w:rFonts w:ascii="Cambria Math" w:hAnsi="Cambria Math"/>
                        </w:rPr>
                        <m:t>y</m:t>
                      </m:r>
                    </m:e>
                    <m:sub>
                      <m:r>
                        <w:rPr>
                          <w:rFonts w:ascii="Cambria Math" w:hAnsi="Cambria Math"/>
                        </w:rPr>
                        <m:t>j</m:t>
                      </m:r>
                    </m:sub>
                  </m:sSub>
                </m:e>
              </m:nary>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p</m:t>
              </m:r>
            </m:num>
            <m:den>
              <m:r>
                <m:rPr>
                  <m:sty m:val="p"/>
                </m:rPr>
                <w:rPr>
                  <w:rFonts w:ascii="Cambria Math" w:hAnsi="Cambria Math"/>
                </w:rPr>
                <m:t>#{</m:t>
              </m:r>
              <m:r>
                <w:rPr>
                  <w:rFonts w:ascii="Cambria Math" w:hAnsi="Cambria Math"/>
                </w:rPr>
                <m:t>j</m:t>
              </m:r>
              <m:r>
                <m:rPr>
                  <m:sty m:val="p"/>
                </m:rPr>
                <w:rPr>
                  <w:rFonts w:ascii="Cambria Math" w:hAnsi="Cambria Math"/>
                </w:rPr>
                <m:t>&lt;</m:t>
              </m:r>
              <m:r>
                <w:rPr>
                  <w:rFonts w:ascii="Cambria Math" w:hAnsi="Cambria Math"/>
                </w:rPr>
                <m:t>i</m:t>
              </m:r>
              <m:r>
                <m:rPr>
                  <m:sty m:val="p"/>
                </m:rP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j</m:t>
                  </m:r>
                </m:sub>
                <m:sup>
                  <m:r>
                    <w:rPr>
                      <w:rFonts w:ascii="Cambria Math" w:hAnsi="Cambria Math"/>
                    </w:rPr>
                    <m:t>cat</m:t>
                  </m:r>
                </m:sup>
              </m:sSubSup>
              <m:r>
                <m:rPr>
                  <m:sty m:val="p"/>
                </m:rP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i</m:t>
                  </m:r>
                </m:sub>
                <m:sup>
                  <m:r>
                    <w:rPr>
                      <w:rFonts w:ascii="Cambria Math" w:hAnsi="Cambria Math"/>
                    </w:rPr>
                    <m:t>cat</m:t>
                  </m:r>
                </m:sup>
              </m:sSubSup>
              <m:r>
                <m:rPr>
                  <m:sty m:val="p"/>
                </m:rPr>
                <w:rPr>
                  <w:rFonts w:ascii="Cambria Math" w:hAnsi="Cambria Math"/>
                </w:rPr>
                <m:t>}+</m:t>
              </m:r>
              <m:r>
                <w:rPr>
                  <w:rFonts w:ascii="Cambria Math" w:hAnsi="Cambria Math"/>
                </w:rPr>
                <m:t>a</m:t>
              </m:r>
            </m:den>
          </m:f>
        </m:oMath>
      </m:oMathPara>
    </w:p>
    <w:p w14:paraId="3F498991" w14:textId="77777777" w:rsidR="003C788D" w:rsidRDefault="00AA7D12">
      <w:pPr>
        <w:pStyle w:val="FirstParagraph"/>
        <w:spacing w:line="360" w:lineRule="auto"/>
      </w:pPr>
      <w:r>
        <w:rPr>
          <w:rFonts w:eastAsia="Times New Roman" w:cs="Times New Roman"/>
        </w:rPr>
        <w:t xml:space="preserve">der </w:t>
      </w:r>
      <m:oMath>
        <m:r>
          <w:rPr>
            <w:rFonts w:ascii="Cambria Math" w:hAnsi="Cambria Math"/>
          </w:rPr>
          <m:t>a</m:t>
        </m:r>
      </m:oMath>
      <w:r>
        <w:rPr>
          <w:rFonts w:eastAsia="Times New Roman" w:cs="Times New Roman"/>
        </w:rPr>
        <w:t xml:space="preserve"> er en glattings</w:t>
      </w:r>
      <w:r>
        <w:rPr>
          <w:rFonts w:eastAsia="Times New Roman" w:cs="Times New Roman"/>
        </w:rPr>
        <w:softHyphen/>
        <w:t xml:space="preserve">prior og </w:t>
      </w:r>
      <m:oMath>
        <m:r>
          <w:rPr>
            <w:rFonts w:ascii="Cambria Math" w:hAnsi="Cambria Math"/>
          </w:rPr>
          <m:t>p</m:t>
        </m:r>
      </m:oMath>
      <w:r>
        <w:rPr>
          <w:rFonts w:eastAsia="Times New Roman" w:cs="Times New Roman"/>
        </w:rPr>
        <w:t xml:space="preserve"> er en global prior (f.eks. globalt mål</w:t>
      </w:r>
      <w:r>
        <w:rPr>
          <w:rFonts w:eastAsia="Times New Roman" w:cs="Times New Roman"/>
        </w:rPr>
        <w:softHyphen/>
        <w:t>gjennom</w:t>
      </w:r>
      <w:r>
        <w:rPr>
          <w:rFonts w:eastAsia="Times New Roman" w:cs="Times New Roman"/>
        </w:rPr>
        <w:softHyphen/>
        <w:t>snitt). Glattingen håndterer lav-frekvente kategorier robust.</w:t>
      </w:r>
    </w:p>
    <w:p w14:paraId="032F4357" w14:textId="77777777" w:rsidR="003C788D" w:rsidRDefault="00AA7D12">
      <w:pPr>
        <w:pStyle w:val="Brdtekst"/>
        <w:spacing w:line="360" w:lineRule="auto"/>
      </w:pPr>
      <w:r>
        <w:rPr>
          <w:rFonts w:eastAsia="Times New Roman" w:cs="Times New Roman"/>
        </w:rPr>
        <w:t>I NautiCost er CatBoost paret med LightGBM i ensembelet (§ 6.3) fordi den bringer en annen induktiv bias — symmetriske trær og ordered encoding — som dekorrelerer feilene med LightGBMs leaf-wise asymmetriske trær og reduserer ensemble-variansen.</w:t>
      </w:r>
    </w:p>
    <w:p w14:paraId="473714E8" w14:textId="77777777" w:rsidR="003C788D" w:rsidRDefault="00AA7D12">
      <w:pPr>
        <w:pStyle w:val="Brdtekst"/>
        <w:spacing w:line="360" w:lineRule="auto"/>
      </w:pPr>
      <w:r>
        <w:rPr>
          <w:rFonts w:eastAsia="Times New Roman" w:cs="Times New Roman"/>
          <w:i/>
          <w:iCs/>
        </w:rPr>
        <w:t>Relevans:</w:t>
      </w:r>
      <w:r>
        <w:rPr>
          <w:rFonts w:eastAsia="Times New Roman" w:cs="Times New Roman"/>
        </w:rPr>
        <w:t xml:space="preserve"> CatBoosts uavhengige induktive bias (symmetriske trær, ordered encoding) dekorrelerer feil mot LightGBM og gir ensemble-arkitekturen i § 6.3 mer robusthet ved drift.</w:t>
      </w:r>
    </w:p>
    <w:p w14:paraId="2729D9E2" w14:textId="77777777" w:rsidR="003C788D" w:rsidRDefault="00AA7D12">
      <w:pPr>
        <w:pStyle w:val="Overskrift3"/>
      </w:pPr>
      <w:bookmarkStart w:id="41" w:name="log-transformert-mål-og-evaluering"/>
      <w:bookmarkStart w:id="42" w:name="_Toc230777782"/>
      <w:bookmarkEnd w:id="39"/>
      <w:r>
        <w:t>3.4 Log-transformert mål og evaluering</w:t>
      </w:r>
      <w:bookmarkEnd w:id="42"/>
    </w:p>
    <w:p w14:paraId="0B98762A" w14:textId="77777777" w:rsidR="003C788D" w:rsidRDefault="00AA7D12">
      <w:pPr>
        <w:pStyle w:val="FirstParagraph"/>
        <w:spacing w:line="360" w:lineRule="auto"/>
      </w:pPr>
      <w:r>
        <w:rPr>
          <w:rFonts w:eastAsia="Times New Roman" w:cs="Times New Roman"/>
        </w:rPr>
        <w:t>Mål</w:t>
      </w:r>
      <w:r>
        <w:rPr>
          <w:rFonts w:eastAsia="Times New Roman" w:cs="Times New Roman"/>
        </w:rPr>
        <w:softHyphen/>
        <w:t xml:space="preserve">variabelen </w:t>
      </w:r>
      <w:r>
        <w:rPr>
          <w:rStyle w:val="VerbatimChar"/>
          <w:rFonts w:ascii="Times New Roman" w:eastAsia="Times New Roman" w:hAnsi="Times New Roman" w:cs="Times New Roman"/>
          <w:sz w:val="24"/>
        </w:rPr>
        <w:t>final_charge</w:t>
      </w:r>
      <w:r>
        <w:rPr>
          <w:rFonts w:eastAsia="Times New Roman" w:cs="Times New Roman"/>
        </w:rPr>
        <w:t xml:space="preserve"> er sterkt høyreskjev: enkelte transaksjoner er 50–100× større enn medianen (jf. § 7.1). To konsekvenser for modellering:</w:t>
      </w:r>
    </w:p>
    <w:p w14:paraId="72F9F289" w14:textId="77777777" w:rsidR="003C788D" w:rsidRDefault="00AA7D12">
      <w:pPr>
        <w:pStyle w:val="Compact"/>
        <w:numPr>
          <w:ilvl w:val="0"/>
          <w:numId w:val="12"/>
        </w:numPr>
        <w:spacing w:line="360" w:lineRule="auto"/>
      </w:pPr>
      <w:r>
        <w:rPr>
          <w:rFonts w:eastAsia="Times New Roman" w:cs="Times New Roman"/>
        </w:rPr>
        <w:t>Gradient boosting med kvadrat</w:t>
      </w:r>
      <w:r>
        <w:rPr>
          <w:rFonts w:eastAsia="Times New Roman" w:cs="Times New Roman"/>
        </w:rPr>
        <w:softHyphen/>
        <w:t>tap domineres av de største residualene. Uten transformasjon bruker modellen mesteparten av kapasiteten på å redusere feilen for en håndfull dyre transaksjoner mens feilen ellers øker.</w:t>
      </w:r>
    </w:p>
    <w:p w14:paraId="79DA6455" w14:textId="77777777" w:rsidR="003C788D" w:rsidRDefault="00AA7D12">
      <w:pPr>
        <w:pStyle w:val="Compact"/>
        <w:numPr>
          <w:ilvl w:val="0"/>
          <w:numId w:val="12"/>
        </w:numPr>
        <w:spacing w:line="360" w:lineRule="auto"/>
      </w:pPr>
      <w:r>
        <w:rPr>
          <w:rFonts w:eastAsia="Times New Roman" w:cs="Times New Roman"/>
        </w:rPr>
        <w:t>Multiplikative effekter (en yacht som er dobbelt så stor koster grovt sett dobbelt så mye) blir additive i log-rommet, hvilket matcher den additive strukturen i beslutningstrær bedre.</w:t>
      </w:r>
    </w:p>
    <w:p w14:paraId="4A4806BE" w14:textId="77777777" w:rsidR="003C788D" w:rsidRDefault="00AA7D12">
      <w:pPr>
        <w:pStyle w:val="FirstParagraph"/>
        <w:spacing w:line="360" w:lineRule="auto"/>
      </w:pPr>
      <w:r>
        <w:rPr>
          <w:rFonts w:eastAsia="Times New Roman" w:cs="Times New Roman"/>
        </w:rPr>
        <w:t>Standardløsningen er en log-transformasjon:</w:t>
      </w:r>
    </w:p>
    <w:p w14:paraId="48377639" w14:textId="77777777" w:rsidR="003C788D" w:rsidRDefault="00AA7D12">
      <w:pPr>
        <w:pStyle w:val="Brdtekst"/>
        <w:spacing w:line="360" w:lineRule="auto"/>
      </w:pPr>
      <m:oMathPara>
        <m:oMathParaPr>
          <m:jc m:val="center"/>
        </m:oMathParaPr>
        <m:oMath>
          <m:r>
            <w:rPr>
              <w:rFonts w:ascii="Cambria Math" w:hAnsi="Cambria Math"/>
            </w:rPr>
            <m:t>y</m:t>
          </m:r>
          <m:r>
            <m:rPr>
              <m:sty m:val="p"/>
            </m:rPr>
            <w:rPr>
              <w:rFonts w:ascii="Cambria Math" w:hAnsi="Cambria Math"/>
            </w:rPr>
            <m:t>=log(</m:t>
          </m:r>
          <m:r>
            <w:rPr>
              <w:rFonts w:ascii="Cambria Math" w:hAnsi="Cambria Math"/>
            </w:rPr>
            <m:t>1</m:t>
          </m:r>
          <m:r>
            <m:rPr>
              <m:sty m:val="p"/>
            </m:rPr>
            <w:rPr>
              <w:rFonts w:ascii="Cambria Math" w:hAnsi="Cambria Math"/>
            </w:rPr>
            <m:t>+</m:t>
          </m:r>
          <m:r>
            <m:rPr>
              <m:nor/>
            </m:rPr>
            <m:t>final_charge</m:t>
          </m:r>
          <m:r>
            <m:rPr>
              <m:sty m:val="p"/>
            </m:rPr>
            <w:rPr>
              <w:rFonts w:ascii="Cambria Math" w:hAnsi="Cambria Math"/>
            </w:rPr>
            <m:t>)</m:t>
          </m:r>
        </m:oMath>
      </m:oMathPara>
    </w:p>
    <w:p w14:paraId="12BF4253" w14:textId="77777777" w:rsidR="003C788D" w:rsidRDefault="00AA7D12">
      <w:pPr>
        <w:pStyle w:val="FirstParagraph"/>
        <w:spacing w:line="360" w:lineRule="auto"/>
      </w:pPr>
      <w:r>
        <w:rPr>
          <w:rFonts w:eastAsia="Times New Roman" w:cs="Times New Roman"/>
        </w:rPr>
        <w:t>«+1»-shiftet håndterer null-kostnads</w:t>
      </w:r>
      <w:r>
        <w:rPr>
          <w:rFonts w:eastAsia="Times New Roman" w:cs="Times New Roman"/>
        </w:rPr>
        <w:softHyphen/>
        <w:t xml:space="preserve">transaksjoner uten at </w:t>
      </w:r>
      <m:oMath>
        <m:r>
          <m:rPr>
            <m:sty m:val="p"/>
          </m:rPr>
          <w:rPr>
            <w:rFonts w:ascii="Cambria Math" w:hAnsi="Cambria Math"/>
          </w:rPr>
          <m:t>log</m:t>
        </m:r>
      </m:oMath>
      <w:r>
        <w:rPr>
          <w:rFonts w:eastAsia="Times New Roman" w:cs="Times New Roman"/>
        </w:rPr>
        <w:t xml:space="preserve"> divergerer. Prediksjoner inverteres med </w:t>
      </w:r>
      <m:oMath>
        <m:acc>
          <m:accPr>
            <m:ctrlPr>
              <w:rPr>
                <w:rFonts w:ascii="Cambria Math" w:hAnsi="Cambria Math"/>
              </w:rPr>
            </m:ctrlPr>
          </m:accPr>
          <m:e>
            <m:r>
              <w:rPr>
                <w:rFonts w:ascii="Cambria Math" w:hAnsi="Cambria Math"/>
              </w:rPr>
              <m:t>c</m:t>
            </m:r>
          </m:e>
        </m:acc>
        <m:r>
          <m:rPr>
            <m:sty m:val="p"/>
          </m:rPr>
          <w:rPr>
            <w:rFonts w:ascii="Cambria Math" w:hAnsi="Cambria Math"/>
          </w:rPr>
          <m:t>=exp(</m:t>
        </m:r>
        <m:acc>
          <m:accPr>
            <m:ctrlPr>
              <w:rPr>
                <w:rFonts w:ascii="Cambria Math" w:hAnsi="Cambria Math"/>
              </w:rPr>
            </m:ctrlPr>
          </m:accPr>
          <m:e>
            <m:r>
              <w:rPr>
                <w:rFonts w:ascii="Cambria Math" w:hAnsi="Cambria Math"/>
              </w:rPr>
              <m:t>y</m:t>
            </m:r>
          </m:e>
        </m:acc>
        <m:r>
          <m:rPr>
            <m:sty m:val="p"/>
          </m:rPr>
          <w:rPr>
            <w:rFonts w:ascii="Cambria Math" w:hAnsi="Cambria Math"/>
          </w:rPr>
          <m:t>)-</m:t>
        </m:r>
        <m:r>
          <w:rPr>
            <w:rFonts w:ascii="Cambria Math" w:hAnsi="Cambria Math"/>
          </w:rPr>
          <m:t>1</m:t>
        </m:r>
      </m:oMath>
      <w:r>
        <w:rPr>
          <w:rFonts w:eastAsia="Times New Roman" w:cs="Times New Roman"/>
        </w:rPr>
        <w:t xml:space="preserve"> før de rapporteres.</w:t>
      </w:r>
    </w:p>
    <w:p w14:paraId="4E6026EB" w14:textId="77777777" w:rsidR="003C788D" w:rsidRDefault="00AA7D12">
      <w:pPr>
        <w:pStyle w:val="Brdtekst"/>
        <w:spacing w:line="360" w:lineRule="auto"/>
      </w:pPr>
      <w:r>
        <w:rPr>
          <w:rFonts w:eastAsia="Times New Roman" w:cs="Times New Roman"/>
          <w:b/>
          <w:bCs/>
        </w:rPr>
        <w:t>Evalueringsmetrikker på opprinnelig EUR-skala (jf. § 1.3 om valutaen i kildedataene):</w:t>
      </w:r>
    </w:p>
    <w:p w14:paraId="59C1EB1F" w14:textId="77777777" w:rsidR="003C788D" w:rsidRDefault="00AA7D12">
      <w:pPr>
        <w:pStyle w:val="Compact"/>
        <w:numPr>
          <w:ilvl w:val="0"/>
          <w:numId w:val="13"/>
        </w:numPr>
        <w:spacing w:line="360" w:lineRule="auto"/>
      </w:pPr>
      <w:r>
        <w:rPr>
          <w:rFonts w:eastAsia="Times New Roman" w:cs="Times New Roman"/>
          <w:b/>
          <w:bCs/>
        </w:rPr>
        <w:t>Mean Absolute Error (MAE):</w:t>
      </w:r>
      <w:r>
        <w:rPr>
          <w:rFonts w:eastAsia="Times New Roman" w:cs="Times New Roman"/>
        </w:rPr>
        <w:t xml:space="preserve"> </w:t>
      </w:r>
      <m:oMath>
        <m:r>
          <m:rPr>
            <m:nor/>
          </m:rPr>
          <m:t>MAE</m:t>
        </m:r>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n</m:t>
            </m:r>
          </m:den>
        </m:f>
        <m:nary>
          <m:naryPr>
            <m:chr m:val="∑"/>
            <m:limLoc m:val="undOvr"/>
            <m:supHide m:val="1"/>
            <m:ctrlPr>
              <w:rPr>
                <w:rFonts w:ascii="Cambria Math" w:hAnsi="Cambria Math"/>
              </w:rPr>
            </m:ctrlPr>
          </m:naryPr>
          <m:sub>
            <m:r>
              <w:rPr>
                <w:rFonts w:ascii="Cambria Math" w:hAnsi="Cambria Math"/>
              </w:rPr>
              <m:t>i</m:t>
            </m:r>
          </m:sub>
          <m:sup>
            <m:r>
              <w:rPr>
                <w:rFonts w:ascii="Cambria Math" w:hAnsi="Cambria Math"/>
              </w:rPr>
              <m:t>​</m:t>
            </m:r>
          </m:sup>
          <m:e>
            <m:r>
              <m:rPr>
                <m:sty m:val="p"/>
              </m:rPr>
              <w:rPr>
                <w:rFonts w:ascii="Cambria Math" w:hAnsi="Cambria Math"/>
              </w:rPr>
              <m:t>|</m:t>
            </m:r>
          </m:e>
        </m:nary>
        <m:sSub>
          <m:sSubPr>
            <m:ctrlPr>
              <w:rPr>
                <w:rFonts w:ascii="Cambria Math" w:hAnsi="Cambria Math"/>
              </w:rPr>
            </m:ctrlPr>
          </m:sSubPr>
          <m:e>
            <m:r>
              <w:rPr>
                <w:rFonts w:ascii="Cambria Math" w:hAnsi="Cambria Math"/>
              </w:rPr>
              <m:t>y</m:t>
            </m:r>
          </m:e>
          <m:sub>
            <m:r>
              <w:rPr>
                <w:rFonts w:ascii="Cambria Math" w:hAnsi="Cambria Math"/>
              </w:rPr>
              <m:t>i</m:t>
            </m:r>
          </m:sub>
        </m:sSub>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i</m:t>
            </m:r>
          </m:sub>
        </m:sSub>
        <m:r>
          <m:rPr>
            <m:sty m:val="p"/>
          </m:rPr>
          <w:rPr>
            <w:rFonts w:ascii="Cambria Math" w:hAnsi="Cambria Math"/>
          </w:rPr>
          <m:t>|</m:t>
        </m:r>
      </m:oMath>
      <w:r>
        <w:rPr>
          <w:rFonts w:eastAsia="Times New Roman" w:cs="Times New Roman"/>
        </w:rPr>
        <w:t>. Rapporterer absolutt avvik i EUR; robust mot outliers.</w:t>
      </w:r>
    </w:p>
    <w:p w14:paraId="7F65F7B9" w14:textId="77777777" w:rsidR="003C788D" w:rsidRDefault="00AA7D12">
      <w:pPr>
        <w:pStyle w:val="Compact"/>
        <w:numPr>
          <w:ilvl w:val="0"/>
          <w:numId w:val="13"/>
        </w:numPr>
        <w:spacing w:line="360" w:lineRule="auto"/>
      </w:pPr>
      <w:r>
        <w:rPr>
          <w:rFonts w:eastAsia="Times New Roman" w:cs="Times New Roman"/>
          <w:b/>
          <w:bCs/>
        </w:rPr>
        <w:t>Root Mean Squared Error (RMSE):</w:t>
      </w:r>
      <w:r>
        <w:rPr>
          <w:rFonts w:eastAsia="Times New Roman" w:cs="Times New Roman"/>
        </w:rPr>
        <w:t xml:space="preserve"> </w:t>
      </w:r>
      <m:oMath>
        <m:r>
          <m:rPr>
            <m:nor/>
          </m:rPr>
          <m:t>RMSE</m:t>
        </m:r>
        <m:r>
          <m:rPr>
            <m:sty m:val="p"/>
          </m:rPr>
          <w:rPr>
            <w:rFonts w:ascii="Cambria Math" w:hAnsi="Cambria Math"/>
          </w:rPr>
          <m:t>=</m:t>
        </m:r>
        <m:rad>
          <m:radPr>
            <m:degHide m:val="1"/>
            <m:ctrlPr>
              <w:rPr>
                <w:rFonts w:ascii="Cambria Math" w:hAnsi="Cambria Math"/>
              </w:rPr>
            </m:ctrlPr>
          </m:radPr>
          <m:deg/>
          <m:e>
            <m:f>
              <m:fPr>
                <m:ctrlPr>
                  <w:rPr>
                    <w:rFonts w:ascii="Cambria Math" w:hAnsi="Cambria Math"/>
                  </w:rPr>
                </m:ctrlPr>
              </m:fPr>
              <m:num>
                <m:r>
                  <w:rPr>
                    <w:rFonts w:ascii="Cambria Math" w:hAnsi="Cambria Math"/>
                  </w:rPr>
                  <m:t>1</m:t>
                </m:r>
              </m:num>
              <m:den>
                <m:r>
                  <w:rPr>
                    <w:rFonts w:ascii="Cambria Math" w:hAnsi="Cambria Math"/>
                  </w:rPr>
                  <m:t>n</m:t>
                </m:r>
              </m:den>
            </m:f>
            <m:nary>
              <m:naryPr>
                <m:chr m:val="∑"/>
                <m:limLoc m:val="undOvr"/>
                <m:supHide m:val="1"/>
                <m:ctrlPr>
                  <w:rPr>
                    <w:rFonts w:ascii="Cambria Math" w:hAnsi="Cambria Math"/>
                  </w:rPr>
                </m:ctrlPr>
              </m:naryPr>
              <m:sub>
                <m:r>
                  <w:rPr>
                    <w:rFonts w:ascii="Cambria Math" w:hAnsi="Cambria Math"/>
                  </w:rPr>
                  <m:t>i</m:t>
                </m:r>
              </m:sub>
              <m:sup>
                <m:r>
                  <w:rPr>
                    <w:rFonts w:ascii="Cambria Math" w:hAnsi="Cambria Math"/>
                  </w:rPr>
                  <m:t>​</m:t>
                </m:r>
              </m:sup>
              <m:e>
                <m:r>
                  <m:rPr>
                    <m:sty m:val="p"/>
                  </m:rPr>
                  <w:rPr>
                    <w:rFonts w:ascii="Cambria Math" w:hAnsi="Cambria Math"/>
                  </w:rPr>
                  <m:t>(</m:t>
                </m:r>
              </m:e>
            </m:nary>
            <m:sSub>
              <m:sSubPr>
                <m:ctrlPr>
                  <w:rPr>
                    <w:rFonts w:ascii="Cambria Math" w:hAnsi="Cambria Math"/>
                  </w:rPr>
                </m:ctrlPr>
              </m:sSubPr>
              <m:e>
                <m:r>
                  <w:rPr>
                    <w:rFonts w:ascii="Cambria Math" w:hAnsi="Cambria Math"/>
                  </w:rPr>
                  <m:t>y</m:t>
                </m:r>
              </m:e>
              <m:sub>
                <m:r>
                  <w:rPr>
                    <w:rFonts w:ascii="Cambria Math" w:hAnsi="Cambria Math"/>
                  </w:rPr>
                  <m:t>i</m:t>
                </m:r>
              </m:sub>
            </m:sSub>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i</m:t>
                </m:r>
              </m:sub>
            </m:sSub>
            <m:sSup>
              <m:sSupPr>
                <m:ctrlPr>
                  <w:rPr>
                    <w:rFonts w:ascii="Cambria Math" w:hAnsi="Cambria Math"/>
                  </w:rPr>
                </m:ctrlPr>
              </m:sSupPr>
              <m:e>
                <m:r>
                  <m:rPr>
                    <m:sty m:val="p"/>
                  </m:rPr>
                  <w:rPr>
                    <w:rFonts w:ascii="Cambria Math" w:hAnsi="Cambria Math"/>
                  </w:rPr>
                  <m:t>)</m:t>
                </m:r>
              </m:e>
              <m:sup>
                <m:r>
                  <w:rPr>
                    <w:rFonts w:ascii="Cambria Math" w:hAnsi="Cambria Math"/>
                  </w:rPr>
                  <m:t>2</m:t>
                </m:r>
              </m:sup>
            </m:sSup>
          </m:e>
        </m:rad>
      </m:oMath>
      <w:r>
        <w:rPr>
          <w:rFonts w:eastAsia="Times New Roman" w:cs="Times New Roman"/>
        </w:rPr>
        <w:t>. Straffer store feil hardere; sensitiv mot outliers.</w:t>
      </w:r>
    </w:p>
    <w:p w14:paraId="05DD70E4" w14:textId="77777777" w:rsidR="003C788D" w:rsidRDefault="00AA7D12">
      <w:pPr>
        <w:pStyle w:val="Compact"/>
        <w:numPr>
          <w:ilvl w:val="0"/>
          <w:numId w:val="13"/>
        </w:numPr>
        <w:spacing w:line="360" w:lineRule="auto"/>
      </w:pPr>
      <w:r>
        <w:rPr>
          <w:rFonts w:eastAsia="Times New Roman" w:cs="Times New Roman"/>
          <w:b/>
          <w:bCs/>
        </w:rPr>
        <w:t>Mean Absolute Percentage Error (MAPE):</w:t>
      </w:r>
      <w:r>
        <w:rPr>
          <w:rFonts w:eastAsia="Times New Roman" w:cs="Times New Roman"/>
        </w:rPr>
        <w:t xml:space="preserve"> </w:t>
      </w:r>
      <m:oMath>
        <m:r>
          <m:rPr>
            <m:nor/>
          </m:rPr>
          <m:t>MAPE</m:t>
        </m:r>
        <m:r>
          <m:rPr>
            <m:sty m:val="p"/>
          </m:rPr>
          <w:rPr>
            <w:rFonts w:ascii="Cambria Math" w:hAnsi="Cambria Math"/>
          </w:rPr>
          <m:t>=</m:t>
        </m:r>
        <m:f>
          <m:fPr>
            <m:ctrlPr>
              <w:rPr>
                <w:rFonts w:ascii="Cambria Math" w:hAnsi="Cambria Math"/>
              </w:rPr>
            </m:ctrlPr>
          </m:fPr>
          <m:num>
            <m:r>
              <w:rPr>
                <w:rFonts w:ascii="Cambria Math" w:hAnsi="Cambria Math"/>
              </w:rPr>
              <m:t>100</m:t>
            </m:r>
          </m:num>
          <m:den>
            <m:r>
              <w:rPr>
                <w:rFonts w:ascii="Cambria Math" w:hAnsi="Cambria Math"/>
              </w:rPr>
              <m:t>n</m:t>
            </m:r>
          </m:den>
        </m:f>
        <m:nary>
          <m:naryPr>
            <m:chr m:val="∑"/>
            <m:limLoc m:val="undOvr"/>
            <m:supHide m:val="1"/>
            <m:ctrlPr>
              <w:rPr>
                <w:rFonts w:ascii="Cambria Math" w:hAnsi="Cambria Math"/>
              </w:rPr>
            </m:ctrlPr>
          </m:naryPr>
          <m:sub>
            <m:r>
              <w:rPr>
                <w:rFonts w:ascii="Cambria Math" w:hAnsi="Cambria Math"/>
              </w:rPr>
              <m:t>i</m:t>
            </m:r>
          </m:sub>
          <m:sup>
            <m:r>
              <w:rPr>
                <w:rFonts w:ascii="Cambria Math" w:hAnsi="Cambria Math"/>
              </w:rPr>
              <m:t>​</m:t>
            </m:r>
          </m:sup>
          <m:e>
            <m:d>
              <m:dPr>
                <m:begChr m:val="|"/>
                <m:endChr m:val="|"/>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y</m:t>
                        </m:r>
                      </m:e>
                      <m:sub>
                        <m:r>
                          <w:rPr>
                            <w:rFonts w:ascii="Cambria Math" w:hAnsi="Cambria Math"/>
                          </w:rPr>
                          <m:t>i</m:t>
                        </m:r>
                      </m:sub>
                    </m:sSub>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i</m:t>
                        </m:r>
                      </m:sub>
                    </m:sSub>
                  </m:num>
                  <m:den>
                    <m:sSub>
                      <m:sSubPr>
                        <m:ctrlPr>
                          <w:rPr>
                            <w:rFonts w:ascii="Cambria Math" w:hAnsi="Cambria Math"/>
                          </w:rPr>
                        </m:ctrlPr>
                      </m:sSubPr>
                      <m:e>
                        <m:r>
                          <w:rPr>
                            <w:rFonts w:ascii="Cambria Math" w:hAnsi="Cambria Math"/>
                          </w:rPr>
                          <m:t>y</m:t>
                        </m:r>
                      </m:e>
                      <m:sub>
                        <m:r>
                          <w:rPr>
                            <w:rFonts w:ascii="Cambria Math" w:hAnsi="Cambria Math"/>
                          </w:rPr>
                          <m:t>i</m:t>
                        </m:r>
                      </m:sub>
                    </m:sSub>
                  </m:den>
                </m:f>
              </m:e>
            </m:d>
          </m:e>
        </m:nary>
      </m:oMath>
      <w:r>
        <w:rPr>
          <w:rFonts w:eastAsia="Times New Roman" w:cs="Times New Roman"/>
        </w:rPr>
        <w:t xml:space="preserve">. Rapporterer relativ feil i prosent; sensitiv mot små nevnere — små </w:t>
      </w:r>
      <m:oMath>
        <m:sSub>
          <m:sSubPr>
            <m:ctrlPr>
              <w:rPr>
                <w:rFonts w:ascii="Cambria Math" w:hAnsi="Cambria Math"/>
              </w:rPr>
            </m:ctrlPr>
          </m:sSubPr>
          <m:e>
            <m:r>
              <w:rPr>
                <w:rFonts w:ascii="Cambria Math" w:hAnsi="Cambria Math"/>
              </w:rPr>
              <m:t>y</m:t>
            </m:r>
          </m:e>
          <m:sub>
            <m:r>
              <w:rPr>
                <w:rFonts w:ascii="Cambria Math" w:hAnsi="Cambria Math"/>
              </w:rPr>
              <m:t>i</m:t>
            </m:r>
          </m:sub>
        </m:sSub>
      </m:oMath>
      <w:r>
        <w:rPr>
          <w:rFonts w:eastAsia="Times New Roman" w:cs="Times New Roman"/>
        </w:rPr>
        <w:t xml:space="preserve"> blåser opp MAPE.</w:t>
      </w:r>
    </w:p>
    <w:p w14:paraId="1B4097E6" w14:textId="77777777" w:rsidR="003C788D" w:rsidRDefault="00AA7D12">
      <w:pPr>
        <w:pStyle w:val="Compact"/>
        <w:numPr>
          <w:ilvl w:val="0"/>
          <w:numId w:val="13"/>
        </w:numPr>
        <w:spacing w:line="360" w:lineRule="auto"/>
      </w:pPr>
      <w:r>
        <w:rPr>
          <w:rFonts w:eastAsia="Times New Roman" w:cs="Times New Roman"/>
          <w:b/>
          <w:bCs/>
        </w:rPr>
        <w:t>Weighted MAPE (wMAPE):</w:t>
      </w:r>
      <w:r>
        <w:rPr>
          <w:rFonts w:eastAsia="Times New Roman" w:cs="Times New Roman"/>
        </w:rPr>
        <w:t xml:space="preserve"> </w:t>
      </w:r>
      <m:oMath>
        <m:r>
          <m:rPr>
            <m:nor/>
          </m:rPr>
          <m:t>wMAPE</m:t>
        </m:r>
        <m:r>
          <m:rPr>
            <m:sty m:val="p"/>
          </m:rPr>
          <w:rPr>
            <w:rFonts w:ascii="Cambria Math" w:hAnsi="Cambria Math"/>
          </w:rPr>
          <m:t>=</m:t>
        </m:r>
        <m:r>
          <w:rPr>
            <w:rFonts w:ascii="Cambria Math" w:hAnsi="Cambria Math"/>
          </w:rPr>
          <m:t>100</m:t>
        </m:r>
        <m:r>
          <m:rPr>
            <m:sty m:val="p"/>
          </m:rPr>
          <w:rPr>
            <w:rFonts w:ascii="Cambria Math" w:hAnsi="Cambria Math"/>
          </w:rPr>
          <m:t>⋅</m:t>
        </m:r>
        <m:f>
          <m:fPr>
            <m:ctrlPr>
              <w:rPr>
                <w:rFonts w:ascii="Cambria Math" w:hAnsi="Cambria Math"/>
              </w:rPr>
            </m:ctrlPr>
          </m:fPr>
          <m:num>
            <m:nary>
              <m:naryPr>
                <m:chr m:val="∑"/>
                <m:limLoc m:val="undOvr"/>
                <m:supHide m:val="1"/>
                <m:ctrlPr>
                  <w:rPr>
                    <w:rFonts w:ascii="Cambria Math" w:hAnsi="Cambria Math"/>
                  </w:rPr>
                </m:ctrlPr>
              </m:naryPr>
              <m:sub>
                <m:r>
                  <w:rPr>
                    <w:rFonts w:ascii="Cambria Math" w:hAnsi="Cambria Math"/>
                  </w:rPr>
                  <m:t>i</m:t>
                </m:r>
              </m:sub>
              <m:sup>
                <m:r>
                  <w:rPr>
                    <w:rFonts w:ascii="Cambria Math" w:hAnsi="Cambria Math"/>
                  </w:rPr>
                  <m:t>​</m:t>
                </m:r>
              </m:sup>
              <m:e>
                <m:r>
                  <m:rPr>
                    <m:sty m:val="p"/>
                  </m:rPr>
                  <w:rPr>
                    <w:rFonts w:ascii="Cambria Math" w:hAnsi="Cambria Math"/>
                  </w:rPr>
                  <m:t>|</m:t>
                </m:r>
              </m:e>
            </m:nary>
            <m:sSub>
              <m:sSubPr>
                <m:ctrlPr>
                  <w:rPr>
                    <w:rFonts w:ascii="Cambria Math" w:hAnsi="Cambria Math"/>
                  </w:rPr>
                </m:ctrlPr>
              </m:sSubPr>
              <m:e>
                <m:r>
                  <w:rPr>
                    <w:rFonts w:ascii="Cambria Math" w:hAnsi="Cambria Math"/>
                  </w:rPr>
                  <m:t>y</m:t>
                </m:r>
              </m:e>
              <m:sub>
                <m:r>
                  <w:rPr>
                    <w:rFonts w:ascii="Cambria Math" w:hAnsi="Cambria Math"/>
                  </w:rPr>
                  <m:t>i</m:t>
                </m:r>
              </m:sub>
            </m:sSub>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i</m:t>
                </m:r>
              </m:sub>
            </m:sSub>
            <m:r>
              <m:rPr>
                <m:sty m:val="p"/>
              </m:rPr>
              <w:rPr>
                <w:rFonts w:ascii="Cambria Math" w:hAnsi="Cambria Math"/>
              </w:rPr>
              <m:t>|</m:t>
            </m:r>
          </m:num>
          <m:den>
            <m:nary>
              <m:naryPr>
                <m:chr m:val="∑"/>
                <m:limLoc m:val="undOvr"/>
                <m:supHide m:val="1"/>
                <m:ctrlPr>
                  <w:rPr>
                    <w:rFonts w:ascii="Cambria Math" w:hAnsi="Cambria Math"/>
                  </w:rPr>
                </m:ctrlPr>
              </m:naryPr>
              <m:sub>
                <m:r>
                  <w:rPr>
                    <w:rFonts w:ascii="Cambria Math" w:hAnsi="Cambria Math"/>
                  </w:rPr>
                  <m:t>i</m:t>
                </m:r>
              </m:sub>
              <m:sup>
                <m:r>
                  <w:rPr>
                    <w:rFonts w:ascii="Cambria Math" w:hAnsi="Cambria Math"/>
                  </w:rPr>
                  <m:t>​</m:t>
                </m:r>
              </m:sup>
              <m:e>
                <m:r>
                  <m:rPr>
                    <m:sty m:val="p"/>
                  </m:rPr>
                  <w:rPr>
                    <w:rFonts w:ascii="Cambria Math" w:hAnsi="Cambria Math"/>
                  </w:rPr>
                  <m:t>|</m:t>
                </m:r>
              </m:e>
            </m:nary>
            <m:sSub>
              <m:sSubPr>
                <m:ctrlPr>
                  <w:rPr>
                    <w:rFonts w:ascii="Cambria Math" w:hAnsi="Cambria Math"/>
                  </w:rPr>
                </m:ctrlPr>
              </m:sSubPr>
              <m:e>
                <m:r>
                  <w:rPr>
                    <w:rFonts w:ascii="Cambria Math" w:hAnsi="Cambria Math"/>
                  </w:rPr>
                  <m:t>y</m:t>
                </m:r>
              </m:e>
              <m:sub>
                <m:r>
                  <w:rPr>
                    <w:rFonts w:ascii="Cambria Math" w:hAnsi="Cambria Math"/>
                  </w:rPr>
                  <m:t>i</m:t>
                </m:r>
              </m:sub>
            </m:sSub>
            <m:r>
              <m:rPr>
                <m:sty m:val="p"/>
              </m:rPr>
              <w:rPr>
                <w:rFonts w:ascii="Cambria Math" w:hAnsi="Cambria Math"/>
              </w:rPr>
              <m:t>|</m:t>
            </m:r>
          </m:den>
        </m:f>
      </m:oMath>
      <w:r>
        <w:rPr>
          <w:rFonts w:eastAsia="Times New Roman" w:cs="Times New Roman"/>
        </w:rPr>
        <w:t>. Volum</w:t>
      </w:r>
      <w:r>
        <w:rPr>
          <w:rFonts w:eastAsia="Times New Roman" w:cs="Times New Roman"/>
        </w:rPr>
        <w:softHyphen/>
      </w:r>
      <w:r>
        <w:rPr>
          <w:rFonts w:eastAsia="Times New Roman" w:cs="Times New Roman"/>
        </w:rPr>
        <w:t>vektet versjon av MAPE der hver feil vektes etter faktura</w:t>
      </w:r>
      <w:r>
        <w:rPr>
          <w:rFonts w:eastAsia="Times New Roman" w:cs="Times New Roman"/>
        </w:rPr>
        <w:softHyphen/>
        <w:t xml:space="preserve">beløpet; ikke sårbar for små nevnere. Ekvivalent med </w:t>
      </w:r>
      <m:oMath>
        <m:r>
          <m:rPr>
            <m:nor/>
          </m:rPr>
          <m:t>MAE</m:t>
        </m:r>
        <m:r>
          <m:rPr>
            <m:sty m:val="p"/>
          </m:rPr>
          <w:rPr>
            <w:rFonts w:ascii="Cambria Math" w:hAnsi="Cambria Math"/>
          </w:rPr>
          <m:t>/</m:t>
        </m:r>
        <m:bar>
          <m:barPr>
            <m:pos m:val="top"/>
            <m:ctrlPr>
              <w:rPr>
                <w:rFonts w:ascii="Cambria Math" w:hAnsi="Cambria Math"/>
              </w:rPr>
            </m:ctrlPr>
          </m:barPr>
          <m:e>
            <m:r>
              <w:rPr>
                <w:rFonts w:ascii="Cambria Math" w:hAnsi="Cambria Math"/>
              </w:rPr>
              <m:t>y</m:t>
            </m:r>
          </m:e>
        </m:bar>
      </m:oMath>
      <w:r>
        <w:rPr>
          <w:rFonts w:eastAsia="Times New Roman" w:cs="Times New Roman"/>
        </w:rPr>
        <w:t>.</w:t>
      </w:r>
    </w:p>
    <w:p w14:paraId="18100775" w14:textId="77777777" w:rsidR="003C788D" w:rsidRDefault="00AA7D12">
      <w:pPr>
        <w:pStyle w:val="FirstParagraph"/>
        <w:spacing w:line="360" w:lineRule="auto"/>
      </w:pPr>
      <w:r>
        <w:rPr>
          <w:rFonts w:eastAsia="Times New Roman" w:cs="Times New Roman"/>
        </w:rPr>
        <w:t>I et høyreskjevt kostnads</w:t>
      </w:r>
      <w:r>
        <w:rPr>
          <w:rFonts w:eastAsia="Times New Roman" w:cs="Times New Roman"/>
        </w:rPr>
        <w:softHyphen/>
        <w:t xml:space="preserve">scenario er </w:t>
      </w:r>
      <w:r>
        <w:rPr>
          <w:rFonts w:eastAsia="Times New Roman" w:cs="Times New Roman"/>
          <w:b/>
          <w:bCs/>
        </w:rPr>
        <w:t>MAE</w:t>
      </w:r>
      <w:r>
        <w:rPr>
          <w:rFonts w:eastAsia="Times New Roman" w:cs="Times New Roman"/>
        </w:rPr>
        <w:t xml:space="preserve"> den mest operasjonelt meningsfulle metrikken: en feil på 5 000 EUR har samme størrelses</w:t>
      </w:r>
      <w:r>
        <w:rPr>
          <w:rFonts w:eastAsia="Times New Roman" w:cs="Times New Roman"/>
        </w:rPr>
        <w:softHyphen/>
        <w:t xml:space="preserve">orden enten regningen er på 10 000 eller 100 000 EUR. </w:t>
      </w:r>
      <w:r>
        <w:rPr>
          <w:rFonts w:eastAsia="Times New Roman" w:cs="Times New Roman"/>
          <w:b/>
          <w:bCs/>
        </w:rPr>
        <w:t>wMAPE</w:t>
      </w:r>
      <w:r>
        <w:rPr>
          <w:rFonts w:eastAsia="Times New Roman" w:cs="Times New Roman"/>
        </w:rPr>
        <w:t xml:space="preserve"> </w:t>
      </w:r>
      <w:r>
        <w:rPr>
          <w:rFonts w:eastAsia="Times New Roman" w:cs="Times New Roman"/>
        </w:rPr>
        <w:t>rapporteres som relativ metrikk fordi den ikke straffes urimelig av små transaksjoner og lar seg tolke som «total bom i prosent av total kostnad». MAPE rapporteres for fullstendighet og sammenlignbarhet med eksisterende litteratur, men tolkes med forsiktighet fordi små fakturaer dominerer gjennomsnittet. RMSE fanger om modellen har sjeldne store bom</w:t>
      </w:r>
      <w:r>
        <w:rPr>
          <w:rFonts w:eastAsia="Times New Roman" w:cs="Times New Roman"/>
        </w:rPr>
        <w:softHyphen/>
        <w:t>skudd og brukes som sekundær ranking</w:t>
      </w:r>
      <w:r>
        <w:rPr>
          <w:rFonts w:eastAsia="Times New Roman" w:cs="Times New Roman"/>
        </w:rPr>
        <w:softHyphen/>
        <w:t>metrikk.</w:t>
      </w:r>
    </w:p>
    <w:p w14:paraId="39FAD01F" w14:textId="77777777" w:rsidR="003C788D" w:rsidRDefault="00AA7D12">
      <w:pPr>
        <w:pStyle w:val="Brdtekst"/>
        <w:spacing w:line="360" w:lineRule="auto"/>
      </w:pPr>
      <w:r>
        <w:rPr>
          <w:rFonts w:eastAsia="Times New Roman" w:cs="Times New Roman"/>
          <w:i/>
          <w:iCs/>
        </w:rPr>
        <w:t>Relevans:</w:t>
      </w:r>
      <w:r>
        <w:rPr>
          <w:rFonts w:eastAsia="Times New Roman" w:cs="Times New Roman"/>
        </w:rPr>
        <w:t xml:space="preserve"> Log-MSE-tap og MAE som primær metrikk er direkte konsekvenser av kostnadsfordelingens skjevhet (§ 7.1).</w:t>
      </w:r>
    </w:p>
    <w:p w14:paraId="660F0D13" w14:textId="77777777" w:rsidR="003C788D" w:rsidRDefault="00AA7D12">
      <w:pPr>
        <w:pStyle w:val="Overskrift3"/>
      </w:pPr>
      <w:bookmarkStart w:id="43" w:name="kvantilregresjon-og-konform-prediksjon"/>
      <w:bookmarkStart w:id="44" w:name="_Toc230777783"/>
      <w:bookmarkEnd w:id="41"/>
      <w:r>
        <w:t>3.5 Kvantil</w:t>
      </w:r>
      <w:r>
        <w:softHyphen/>
        <w:t>regresjon og konform prediksjon</w:t>
      </w:r>
      <w:bookmarkEnd w:id="44"/>
    </w:p>
    <w:p w14:paraId="6A758D9B" w14:textId="77777777" w:rsidR="003C788D" w:rsidRDefault="00AA7D12">
      <w:pPr>
        <w:pStyle w:val="FirstParagraph"/>
        <w:spacing w:line="360" w:lineRule="auto"/>
      </w:pPr>
      <w:r>
        <w:rPr>
          <w:rFonts w:eastAsia="Times New Roman" w:cs="Times New Roman"/>
        </w:rPr>
        <w:t>Punktprediksjoner er utilstrekkelige når kostnads</w:t>
      </w:r>
      <w:r>
        <w:rPr>
          <w:rFonts w:eastAsia="Times New Roman" w:cs="Times New Roman"/>
        </w:rPr>
        <w:softHyphen/>
        <w:t>fordelingen er høyreskjev og en agent må kommunisere «dette er typisk kostnad, dette er den øvre plausible grensen». Kvantil</w:t>
      </w:r>
      <w:r>
        <w:rPr>
          <w:rFonts w:eastAsia="Times New Roman" w:cs="Times New Roman"/>
        </w:rPr>
        <w:softHyphen/>
        <w:t xml:space="preserve">regresjon og konform prediksjon gir </w:t>
      </w:r>
      <w:r>
        <w:rPr>
          <w:rFonts w:eastAsia="Times New Roman" w:cs="Times New Roman"/>
          <w:i/>
          <w:iCs/>
        </w:rPr>
        <w:t>intervaller</w:t>
      </w:r>
      <w:r>
        <w:rPr>
          <w:rFonts w:eastAsia="Times New Roman" w:cs="Times New Roman"/>
        </w:rPr>
        <w:t xml:space="preserve"> med kalibrert dekning.</w:t>
      </w:r>
    </w:p>
    <w:p w14:paraId="3AC66F3E" w14:textId="77777777" w:rsidR="003C788D" w:rsidRDefault="00AA7D12">
      <w:pPr>
        <w:pStyle w:val="Brdtekst"/>
        <w:spacing w:line="360" w:lineRule="auto"/>
      </w:pPr>
      <w:r>
        <w:rPr>
          <w:rFonts w:eastAsia="Times New Roman" w:cs="Times New Roman"/>
          <w:b/>
          <w:bCs/>
        </w:rPr>
        <w:t>Kvantil</w:t>
      </w:r>
      <w:r>
        <w:rPr>
          <w:rFonts w:eastAsia="Times New Roman" w:cs="Times New Roman"/>
          <w:b/>
          <w:bCs/>
        </w:rPr>
        <w:softHyphen/>
        <w:t>regresjon</w:t>
      </w:r>
      <w:r>
        <w:rPr>
          <w:rFonts w:eastAsia="Times New Roman" w:cs="Times New Roman"/>
        </w:rPr>
        <w:t xml:space="preserve"> trener en modell til å predikere </w:t>
      </w:r>
      <m:oMath>
        <m:r>
          <w:rPr>
            <w:rFonts w:ascii="Cambria Math" w:hAnsi="Cambria Math"/>
          </w:rPr>
          <m:t>τ</m:t>
        </m:r>
      </m:oMath>
      <w:r>
        <w:rPr>
          <w:rFonts w:eastAsia="Times New Roman" w:cs="Times New Roman"/>
        </w:rPr>
        <w:t xml:space="preserve">-kvantilet av </w:t>
      </w:r>
      <m:oMath>
        <m:r>
          <w:rPr>
            <w:rFonts w:ascii="Cambria Math" w:hAnsi="Cambria Math"/>
          </w:rPr>
          <m:t>y</m:t>
        </m:r>
        <m:r>
          <m:rPr>
            <m:sty m:val="p"/>
          </m:rPr>
          <w:rPr>
            <w:rFonts w:ascii="Cambria Math" w:hAnsi="Cambria Math"/>
          </w:rPr>
          <m:t>∣</m:t>
        </m:r>
        <m:r>
          <w:rPr>
            <w:rFonts w:ascii="Cambria Math" w:hAnsi="Cambria Math"/>
          </w:rPr>
          <m:t>x</m:t>
        </m:r>
      </m:oMath>
      <w:r>
        <w:rPr>
          <w:rFonts w:eastAsia="Times New Roman" w:cs="Times New Roman"/>
        </w:rPr>
        <w:t xml:space="preserve"> ved å minimere pinball-tapet:</w:t>
      </w:r>
    </w:p>
    <w:p w14:paraId="69A661A2" w14:textId="77777777" w:rsidR="003C788D" w:rsidRDefault="00AA7D12">
      <w:pPr>
        <w:pStyle w:val="Brdtekst"/>
        <w:spacing w:line="360" w:lineRule="auto"/>
      </w:pPr>
      <m:oMathPara>
        <m:oMathParaPr>
          <m:jc m:val="center"/>
        </m:oMathParaPr>
        <m:oMath>
          <m:sSub>
            <m:sSubPr>
              <m:ctrlPr>
                <w:rPr>
                  <w:rFonts w:ascii="Cambria Math" w:hAnsi="Cambria Math"/>
                </w:rPr>
              </m:ctrlPr>
            </m:sSubPr>
            <m:e>
              <m:r>
                <w:rPr>
                  <w:rFonts w:ascii="Cambria Math" w:hAnsi="Cambria Math"/>
                </w:rPr>
                <m:t>L</m:t>
              </m:r>
            </m:e>
            <m:sub>
              <m:r>
                <w:rPr>
                  <w:rFonts w:ascii="Cambria Math" w:hAnsi="Cambria Math"/>
                </w:rPr>
                <m:t>τ</m:t>
              </m:r>
            </m:sub>
          </m:sSub>
          <m:r>
            <m:rPr>
              <m:sty m:val="p"/>
            </m:rPr>
            <w:rPr>
              <w:rFonts w:ascii="Cambria Math" w:hAnsi="Cambria Math"/>
            </w:rPr>
            <m:t>(</m:t>
          </m:r>
          <m:r>
            <w:rPr>
              <w:rFonts w:ascii="Cambria Math" w:hAnsi="Cambria Math"/>
            </w:rPr>
            <m:t>y</m:t>
          </m:r>
          <m:r>
            <m:rPr>
              <m:sty m:val="p"/>
            </m:rPr>
            <w:rPr>
              <w:rFonts w:ascii="Cambria Math" w:hAnsi="Cambria Math"/>
            </w:rPr>
            <m:t>,</m:t>
          </m:r>
          <m:acc>
            <m:accPr>
              <m:ctrlPr>
                <w:rPr>
                  <w:rFonts w:ascii="Cambria Math" w:hAnsi="Cambria Math"/>
                </w:rPr>
              </m:ctrlPr>
            </m:accPr>
            <m:e>
              <m:r>
                <w:rPr>
                  <w:rFonts w:ascii="Cambria Math" w:hAnsi="Cambria Math"/>
                </w:rPr>
                <m:t>y</m:t>
              </m:r>
            </m:e>
          </m:acc>
          <m:r>
            <m:rPr>
              <m:sty m:val="p"/>
            </m:rPr>
            <w:rPr>
              <w:rFonts w:ascii="Cambria Math" w:hAnsi="Cambria Math"/>
            </w:rPr>
            <m:t>)=</m:t>
          </m:r>
          <m:d>
            <m:dPr>
              <m:begChr m:val="{"/>
              <m:endChr m:val=""/>
              <m:ctrlPr>
                <w:rPr>
                  <w:rFonts w:ascii="Cambria Math" w:hAnsi="Cambria Math"/>
                </w:rPr>
              </m:ctrlPr>
            </m:dPr>
            <m:e>
              <m:m>
                <m:mPr>
                  <m:plcHide m:val="1"/>
                  <m:mcs>
                    <m:mc>
                      <m:mcPr>
                        <m:count m:val="2"/>
                        <m:mcJc m:val="left"/>
                      </m:mcPr>
                    </m:mc>
                  </m:mcs>
                  <m:ctrlPr>
                    <w:rPr>
                      <w:rFonts w:ascii="Cambria Math" w:hAnsi="Cambria Math"/>
                    </w:rPr>
                  </m:ctrlPr>
                </m:mPr>
                <m:mr>
                  <m:e>
                    <m:r>
                      <w:rPr>
                        <w:rFonts w:ascii="Cambria Math" w:hAnsi="Cambria Math"/>
                      </w:rPr>
                      <m:t>τ</m:t>
                    </m:r>
                    <m:r>
                      <m:rPr>
                        <m:sty m:val="p"/>
                      </m:rPr>
                      <w:rPr>
                        <w:rFonts w:ascii="Cambria Math" w:hAnsi="Cambria Math"/>
                      </w:rPr>
                      <m:t>(</m:t>
                    </m:r>
                    <m:r>
                      <w:rPr>
                        <w:rFonts w:ascii="Cambria Math" w:hAnsi="Cambria Math"/>
                      </w:rPr>
                      <m:t>y</m:t>
                    </m:r>
                    <m:r>
                      <m:rPr>
                        <m:sty m:val="p"/>
                      </m:rPr>
                      <w:rPr>
                        <w:rFonts w:ascii="Cambria Math" w:hAnsi="Cambria Math"/>
                      </w:rPr>
                      <m:t>-</m:t>
                    </m:r>
                    <m:acc>
                      <m:accPr>
                        <m:ctrlPr>
                          <w:rPr>
                            <w:rFonts w:ascii="Cambria Math" w:hAnsi="Cambria Math"/>
                          </w:rPr>
                        </m:ctrlPr>
                      </m:accPr>
                      <m:e>
                        <m:r>
                          <w:rPr>
                            <w:rFonts w:ascii="Cambria Math" w:hAnsi="Cambria Math"/>
                          </w:rPr>
                          <m:t>y</m:t>
                        </m:r>
                      </m:e>
                    </m:acc>
                    <m:r>
                      <m:rPr>
                        <m:sty m:val="p"/>
                      </m:rPr>
                      <w:rPr>
                        <w:rFonts w:ascii="Cambria Math" w:hAnsi="Cambria Math"/>
                      </w:rPr>
                      <m:t>)</m:t>
                    </m:r>
                  </m:e>
                  <m:e>
                    <m:r>
                      <m:rPr>
                        <m:nor/>
                      </m:rPr>
                      <m:t xml:space="preserve">hvis </m:t>
                    </m:r>
                    <m:r>
                      <w:rPr>
                        <w:rFonts w:ascii="Cambria Math" w:hAnsi="Cambria Math"/>
                      </w:rPr>
                      <m:t>y</m:t>
                    </m:r>
                    <m:r>
                      <m:rPr>
                        <m:sty m:val="p"/>
                      </m:rPr>
                      <w:rPr>
                        <w:rFonts w:ascii="Cambria Math" w:hAnsi="Cambria Math"/>
                      </w:rPr>
                      <m:t>≥</m:t>
                    </m:r>
                    <m:acc>
                      <m:accPr>
                        <m:ctrlPr>
                          <w:rPr>
                            <w:rFonts w:ascii="Cambria Math" w:hAnsi="Cambria Math"/>
                          </w:rPr>
                        </m:ctrlPr>
                      </m:accPr>
                      <m:e>
                        <m:r>
                          <w:rPr>
                            <w:rFonts w:ascii="Cambria Math" w:hAnsi="Cambria Math"/>
                          </w:rPr>
                          <m:t>y</m:t>
                        </m:r>
                      </m:e>
                    </m:acc>
                  </m:e>
                </m:mr>
                <m:mr>
                  <m:e>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τ</m:t>
                    </m:r>
                    <m:r>
                      <m:rPr>
                        <m:sty m:val="p"/>
                      </m:rPr>
                      <w:rPr>
                        <w:rFonts w:ascii="Cambria Math" w:hAnsi="Cambria Math"/>
                      </w:rPr>
                      <m:t>)(</m:t>
                    </m:r>
                    <m:acc>
                      <m:accPr>
                        <m:ctrlPr>
                          <w:rPr>
                            <w:rFonts w:ascii="Cambria Math" w:hAnsi="Cambria Math"/>
                          </w:rPr>
                        </m:ctrlPr>
                      </m:accPr>
                      <m:e>
                        <m:r>
                          <w:rPr>
                            <w:rFonts w:ascii="Cambria Math" w:hAnsi="Cambria Math"/>
                          </w:rPr>
                          <m:t>y</m:t>
                        </m:r>
                      </m:e>
                    </m:acc>
                    <m:r>
                      <m:rPr>
                        <m:sty m:val="p"/>
                      </m:rPr>
                      <w:rPr>
                        <w:rFonts w:ascii="Cambria Math" w:hAnsi="Cambria Math"/>
                      </w:rPr>
                      <m:t>-</m:t>
                    </m:r>
                    <m:r>
                      <w:rPr>
                        <w:rFonts w:ascii="Cambria Math" w:hAnsi="Cambria Math"/>
                      </w:rPr>
                      <m:t>y</m:t>
                    </m:r>
                    <m:r>
                      <m:rPr>
                        <m:sty m:val="p"/>
                      </m:rPr>
                      <w:rPr>
                        <w:rFonts w:ascii="Cambria Math" w:hAnsi="Cambria Math"/>
                      </w:rPr>
                      <m:t>)</m:t>
                    </m:r>
                  </m:e>
                  <m:e>
                    <m:r>
                      <m:rPr>
                        <m:nor/>
                      </m:rPr>
                      <m:t xml:space="preserve">hvis </m:t>
                    </m:r>
                    <m:r>
                      <w:rPr>
                        <w:rFonts w:ascii="Cambria Math" w:hAnsi="Cambria Math"/>
                      </w:rPr>
                      <m:t>y</m:t>
                    </m:r>
                    <m:r>
                      <m:rPr>
                        <m:sty m:val="p"/>
                      </m:rPr>
                      <w:rPr>
                        <w:rFonts w:ascii="Cambria Math" w:hAnsi="Cambria Math"/>
                      </w:rPr>
                      <m:t>&lt;</m:t>
                    </m:r>
                    <m:acc>
                      <m:accPr>
                        <m:ctrlPr>
                          <w:rPr>
                            <w:rFonts w:ascii="Cambria Math" w:hAnsi="Cambria Math"/>
                          </w:rPr>
                        </m:ctrlPr>
                      </m:accPr>
                      <m:e>
                        <m:r>
                          <w:rPr>
                            <w:rFonts w:ascii="Cambria Math" w:hAnsi="Cambria Math"/>
                          </w:rPr>
                          <m:t>y</m:t>
                        </m:r>
                      </m:e>
                    </m:acc>
                  </m:e>
                </m:mr>
              </m:m>
            </m:e>
          </m:d>
        </m:oMath>
      </m:oMathPara>
    </w:p>
    <w:p w14:paraId="2EFC61F6" w14:textId="77777777" w:rsidR="003C788D" w:rsidRDefault="00AA7D12">
      <w:pPr>
        <w:pStyle w:val="FirstParagraph"/>
        <w:spacing w:line="360" w:lineRule="auto"/>
      </w:pPr>
      <w:r>
        <w:rPr>
          <w:rFonts w:eastAsia="Times New Roman" w:cs="Times New Roman"/>
        </w:rPr>
        <w:t xml:space="preserve">For </w:t>
      </w:r>
      <m:oMath>
        <m:r>
          <w:rPr>
            <w:rFonts w:ascii="Cambria Math" w:hAnsi="Cambria Math"/>
          </w:rPr>
          <m:t>τ</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5</m:t>
        </m:r>
      </m:oMath>
      <w:r>
        <w:rPr>
          <w:rFonts w:eastAsia="Times New Roman" w:cs="Times New Roman"/>
        </w:rPr>
        <w:t xml:space="preserve"> reduseres dette til middel absolutt feil og gir en median-prediktor. For </w:t>
      </w:r>
      <m:oMath>
        <m:r>
          <w:rPr>
            <w:rFonts w:ascii="Cambria Math" w:hAnsi="Cambria Math"/>
          </w:rPr>
          <m:t>τ</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9</m:t>
        </m:r>
      </m:oMath>
      <w:r>
        <w:rPr>
          <w:rFonts w:eastAsia="Times New Roman" w:cs="Times New Roman"/>
        </w:rPr>
        <w:t xml:space="preserve"> gir det en modell der prediksjonen overstiges av sann verdi 10 % av tiden (asymptotisk). LightGBM støtter pinball-tapet som innebygd objektiv; tre separate modeller trenes for </w:t>
      </w:r>
      <m:oMath>
        <m:r>
          <w:rPr>
            <w:rFonts w:ascii="Cambria Math" w:hAnsi="Cambria Math"/>
          </w:rPr>
          <m:t>τ</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9</m:t>
        </m:r>
        <m:r>
          <m:rPr>
            <m:sty m:val="p"/>
          </m:rPr>
          <w:rPr>
            <w:rFonts w:ascii="Cambria Math" w:hAnsi="Cambria Math"/>
          </w:rPr>
          <m:t>}</m:t>
        </m:r>
      </m:oMath>
      <w:r>
        <w:rPr>
          <w:rFonts w:eastAsia="Times New Roman" w:cs="Times New Roman"/>
        </w:rPr>
        <w:t xml:space="preserve"> </w:t>
      </w:r>
      <w:r>
        <w:rPr>
          <w:rFonts w:eastAsia="Times New Roman" w:cs="Times New Roman"/>
        </w:rPr>
        <w:t>for å oppnå P10/P50/P90-prediksjon.</w:t>
      </w:r>
    </w:p>
    <w:p w14:paraId="2346F99A" w14:textId="77777777" w:rsidR="003C788D" w:rsidRDefault="00AA7D12">
      <w:pPr>
        <w:pStyle w:val="Brdtekst"/>
        <w:spacing w:line="360" w:lineRule="auto"/>
      </w:pPr>
      <w:r>
        <w:rPr>
          <w:rFonts w:eastAsia="Times New Roman" w:cs="Times New Roman"/>
          <w:b/>
          <w:bCs/>
        </w:rPr>
        <w:t>Kalibrerings</w:t>
      </w:r>
      <w:r>
        <w:rPr>
          <w:rFonts w:eastAsia="Times New Roman" w:cs="Times New Roman"/>
          <w:b/>
          <w:bCs/>
        </w:rPr>
        <w:softHyphen/>
        <w:t>problemet.</w:t>
      </w:r>
      <w:r>
        <w:rPr>
          <w:rFonts w:eastAsia="Times New Roman" w:cs="Times New Roman"/>
        </w:rPr>
        <w:t xml:space="preserve"> Selv en velt</w:t>
      </w:r>
      <w:r>
        <w:rPr>
          <w:rFonts w:eastAsia="Times New Roman" w:cs="Times New Roman"/>
        </w:rPr>
        <w:softHyphen/>
        <w:t>renet kvantil</w:t>
      </w:r>
      <w:r>
        <w:rPr>
          <w:rFonts w:eastAsia="Times New Roman" w:cs="Times New Roman"/>
        </w:rPr>
        <w:softHyphen/>
        <w:t xml:space="preserve">modell garanteres ikke å oppnå nominell dekning på hold-out-data. Empirisk dekning kan drifte fra </w:t>
      </w:r>
      <m:oMath>
        <m:r>
          <w:rPr>
            <w:rFonts w:ascii="Cambria Math" w:hAnsi="Cambria Math"/>
          </w:rPr>
          <m:t>1</m:t>
        </m:r>
        <m:r>
          <m:rPr>
            <m:sty m:val="p"/>
          </m:rPr>
          <w:rPr>
            <w:rFonts w:ascii="Cambria Math" w:hAnsi="Cambria Math"/>
          </w:rPr>
          <m:t>-</m:t>
        </m:r>
        <m:r>
          <w:rPr>
            <w:rFonts w:ascii="Cambria Math" w:hAnsi="Cambria Math"/>
          </w:rPr>
          <m:t>2</m:t>
        </m:r>
        <m:r>
          <w:rPr>
            <w:rFonts w:ascii="Cambria Math" w:hAnsi="Cambria Math"/>
          </w:rPr>
          <m:t>α</m:t>
        </m:r>
      </m:oMath>
      <w:r>
        <w:rPr>
          <w:rFonts w:eastAsia="Times New Roman" w:cs="Times New Roman"/>
        </w:rPr>
        <w:t xml:space="preserve"> grunnet begrenset trenings</w:t>
      </w:r>
      <w:r>
        <w:rPr>
          <w:rFonts w:eastAsia="Times New Roman" w:cs="Times New Roman"/>
        </w:rPr>
        <w:softHyphen/>
        <w:t>data, modell</w:t>
      </w:r>
      <w:r>
        <w:rPr>
          <w:rFonts w:eastAsia="Times New Roman" w:cs="Times New Roman"/>
        </w:rPr>
        <w:softHyphen/>
        <w:t>misspesifikasjon eller fordelings</w:t>
      </w:r>
      <w:r>
        <w:rPr>
          <w:rFonts w:eastAsia="Times New Roman" w:cs="Times New Roman"/>
        </w:rPr>
        <w:softHyphen/>
        <w:t>drift over tid.</w:t>
      </w:r>
    </w:p>
    <w:p w14:paraId="74E25D9D" w14:textId="77777777" w:rsidR="003C788D" w:rsidRDefault="00AA7D12">
      <w:pPr>
        <w:pStyle w:val="Brdtekst"/>
        <w:spacing w:line="360" w:lineRule="auto"/>
      </w:pPr>
      <w:r>
        <w:rPr>
          <w:rFonts w:eastAsia="Times New Roman" w:cs="Times New Roman"/>
          <w:b/>
          <w:bCs/>
        </w:rPr>
        <w:t>Conformalized Quantile Regression (CQR)</w:t>
      </w:r>
      <w:r>
        <w:rPr>
          <w:rFonts w:eastAsia="Times New Roman" w:cs="Times New Roman"/>
        </w:rPr>
        <w:t xml:space="preserve"> (Romano, Patterson &amp; Candès, 2019) bruker et separat kalibrerings</w:t>
      </w:r>
      <w:r>
        <w:rPr>
          <w:rFonts w:eastAsia="Times New Roman" w:cs="Times New Roman"/>
        </w:rPr>
        <w:softHyphen/>
        <w:t>sett til å konvertere en hvilken som helst kvantil</w:t>
      </w:r>
      <w:r>
        <w:rPr>
          <w:rFonts w:eastAsia="Times New Roman" w:cs="Times New Roman"/>
        </w:rPr>
        <w:softHyphen/>
        <w:t>prediktor til et kalibrert prediksjons</w:t>
      </w:r>
      <w:r>
        <w:rPr>
          <w:rFonts w:eastAsia="Times New Roman" w:cs="Times New Roman"/>
        </w:rPr>
        <w:softHyphen/>
        <w:t>intervall. Gitt trenings-, kalibrerings- og test</w:t>
      </w:r>
      <w:r>
        <w:rPr>
          <w:rFonts w:eastAsia="Times New Roman" w:cs="Times New Roman"/>
        </w:rPr>
        <w:softHyphen/>
        <w:t>splitter:</w:t>
      </w:r>
    </w:p>
    <w:p w14:paraId="2B2E339E" w14:textId="77777777" w:rsidR="003C788D" w:rsidRDefault="00AA7D12">
      <w:pPr>
        <w:pStyle w:val="Compact"/>
        <w:numPr>
          <w:ilvl w:val="0"/>
          <w:numId w:val="14"/>
        </w:numPr>
        <w:spacing w:line="360" w:lineRule="auto"/>
      </w:pPr>
      <w:r>
        <w:rPr>
          <w:rFonts w:eastAsia="Times New Roman" w:cs="Times New Roman"/>
        </w:rPr>
        <w:t>Tren kvantil</w:t>
      </w:r>
      <w:r>
        <w:rPr>
          <w:rFonts w:eastAsia="Times New Roman" w:cs="Times New Roman"/>
        </w:rPr>
        <w:softHyphen/>
        <w:t xml:space="preserve">modeller for </w:t>
      </w:r>
      <m:oMath>
        <m:r>
          <w:rPr>
            <w:rFonts w:ascii="Cambria Math" w:hAnsi="Cambria Math"/>
          </w:rPr>
          <m:t>τ</m:t>
        </m:r>
        <m:r>
          <m:rPr>
            <m:sty m:val="p"/>
          </m:rPr>
          <w:rPr>
            <w:rFonts w:ascii="Cambria Math" w:hAnsi="Cambria Math"/>
          </w:rPr>
          <m:t>=</m:t>
        </m:r>
        <m:r>
          <w:rPr>
            <w:rFonts w:ascii="Cambria Math" w:hAnsi="Cambria Math"/>
          </w:rPr>
          <m:t>α</m:t>
        </m:r>
        <m:r>
          <m:rPr>
            <m:sty m:val="p"/>
          </m:rPr>
          <w:rPr>
            <w:rFonts w:ascii="Cambria Math" w:hAnsi="Cambria Math"/>
          </w:rPr>
          <m:t>/</m:t>
        </m:r>
        <m:r>
          <w:rPr>
            <w:rFonts w:ascii="Cambria Math" w:hAnsi="Cambria Math"/>
          </w:rPr>
          <m:t>2</m:t>
        </m:r>
      </m:oMath>
      <w:r>
        <w:rPr>
          <w:rFonts w:eastAsia="Times New Roman" w:cs="Times New Roman"/>
        </w:rPr>
        <w:t xml:space="preserve"> og </w:t>
      </w:r>
      <m:oMath>
        <m:r>
          <w:rPr>
            <w:rFonts w:ascii="Cambria Math" w:hAnsi="Cambria Math"/>
          </w:rPr>
          <m:t>τ</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α</m:t>
        </m:r>
        <m:r>
          <m:rPr>
            <m:sty m:val="p"/>
          </m:rPr>
          <w:rPr>
            <w:rFonts w:ascii="Cambria Math" w:hAnsi="Cambria Math"/>
          </w:rPr>
          <m:t>/</m:t>
        </m:r>
        <m:r>
          <w:rPr>
            <w:rFonts w:ascii="Cambria Math" w:hAnsi="Cambria Math"/>
          </w:rPr>
          <m:t>2</m:t>
        </m:r>
      </m:oMath>
      <w:r>
        <w:rPr>
          <w:rFonts w:eastAsia="Times New Roman" w:cs="Times New Roman"/>
        </w:rPr>
        <w:t xml:space="preserve"> på trenings</w:t>
      </w:r>
      <w:r>
        <w:rPr>
          <w:rFonts w:eastAsia="Times New Roman" w:cs="Times New Roman"/>
        </w:rPr>
        <w:softHyphen/>
        <w:t xml:space="preserve">settet, og oppnå </w:t>
      </w:r>
      <m:oMath>
        <m:sSub>
          <m:sSubPr>
            <m:ctrlPr>
              <w:rPr>
                <w:rFonts w:ascii="Cambria Math" w:hAnsi="Cambria Math"/>
              </w:rPr>
            </m:ctrlPr>
          </m:sSubPr>
          <m:e>
            <m:acc>
              <m:accPr>
                <m:ctrlPr>
                  <w:rPr>
                    <w:rFonts w:ascii="Cambria Math" w:hAnsi="Cambria Math"/>
                  </w:rPr>
                </m:ctrlPr>
              </m:accPr>
              <m:e>
                <m:r>
                  <w:rPr>
                    <w:rFonts w:ascii="Cambria Math" w:hAnsi="Cambria Math"/>
                  </w:rPr>
                  <m:t>q</m:t>
                </m:r>
              </m:e>
            </m:acc>
          </m:e>
          <m:sub>
            <m:r>
              <w:rPr>
                <w:rFonts w:ascii="Cambria Math" w:hAnsi="Cambria Math"/>
              </w:rPr>
              <m:t>lo</m:t>
            </m:r>
          </m:sub>
        </m:sSub>
        <m:r>
          <m:rPr>
            <m:sty m:val="p"/>
          </m:rPr>
          <w:rPr>
            <w:rFonts w:ascii="Cambria Math" w:hAnsi="Cambria Math"/>
          </w:rPr>
          <m:t>(</m:t>
        </m:r>
        <m:r>
          <w:rPr>
            <w:rFonts w:ascii="Cambria Math" w:hAnsi="Cambria Math"/>
          </w:rPr>
          <m:t>x</m:t>
        </m:r>
        <m:r>
          <m:rPr>
            <m:sty m:val="p"/>
          </m:rPr>
          <w:rPr>
            <w:rFonts w:ascii="Cambria Math" w:hAnsi="Cambria Math"/>
          </w:rPr>
          <m:t>)</m:t>
        </m:r>
      </m:oMath>
      <w:r>
        <w:rPr>
          <w:rFonts w:eastAsia="Times New Roman" w:cs="Times New Roman"/>
        </w:rPr>
        <w:t xml:space="preserve"> og </w:t>
      </w:r>
      <m:oMath>
        <m:sSub>
          <m:sSubPr>
            <m:ctrlPr>
              <w:rPr>
                <w:rFonts w:ascii="Cambria Math" w:hAnsi="Cambria Math"/>
              </w:rPr>
            </m:ctrlPr>
          </m:sSubPr>
          <m:e>
            <m:acc>
              <m:accPr>
                <m:ctrlPr>
                  <w:rPr>
                    <w:rFonts w:ascii="Cambria Math" w:hAnsi="Cambria Math"/>
                  </w:rPr>
                </m:ctrlPr>
              </m:accPr>
              <m:e>
                <m:r>
                  <w:rPr>
                    <w:rFonts w:ascii="Cambria Math" w:hAnsi="Cambria Math"/>
                  </w:rPr>
                  <m:t>q</m:t>
                </m:r>
              </m:e>
            </m:acc>
          </m:e>
          <m:sub>
            <m:r>
              <w:rPr>
                <w:rFonts w:ascii="Cambria Math" w:hAnsi="Cambria Math"/>
              </w:rPr>
              <m:t>h</m:t>
            </m:r>
            <m:r>
              <w:rPr>
                <w:rFonts w:ascii="Cambria Math" w:hAnsi="Cambria Math"/>
              </w:rPr>
              <m:t>i</m:t>
            </m:r>
          </m:sub>
        </m:sSub>
        <m:r>
          <m:rPr>
            <m:sty m:val="p"/>
          </m:rPr>
          <w:rPr>
            <w:rFonts w:ascii="Cambria Math" w:hAnsi="Cambria Math"/>
          </w:rPr>
          <m:t>(</m:t>
        </m:r>
        <m:r>
          <w:rPr>
            <w:rFonts w:ascii="Cambria Math" w:hAnsi="Cambria Math"/>
          </w:rPr>
          <m:t>x</m:t>
        </m:r>
        <m:r>
          <m:rPr>
            <m:sty m:val="p"/>
          </m:rPr>
          <w:rPr>
            <w:rFonts w:ascii="Cambria Math" w:hAnsi="Cambria Math"/>
          </w:rPr>
          <m:t>)</m:t>
        </m:r>
      </m:oMath>
      <w:r>
        <w:rPr>
          <w:rFonts w:eastAsia="Times New Roman" w:cs="Times New Roman"/>
        </w:rPr>
        <w:t>.</w:t>
      </w:r>
    </w:p>
    <w:p w14:paraId="267EF750" w14:textId="77777777" w:rsidR="003C788D" w:rsidRDefault="00AA7D12">
      <w:pPr>
        <w:pStyle w:val="Compact"/>
        <w:numPr>
          <w:ilvl w:val="0"/>
          <w:numId w:val="14"/>
        </w:numPr>
        <w:spacing w:line="360" w:lineRule="auto"/>
      </w:pPr>
      <w:r>
        <w:rPr>
          <w:rFonts w:eastAsia="Times New Roman" w:cs="Times New Roman"/>
        </w:rPr>
        <w:t>På kalibrerings</w:t>
      </w:r>
      <w:r>
        <w:rPr>
          <w:rFonts w:eastAsia="Times New Roman" w:cs="Times New Roman"/>
        </w:rPr>
        <w:softHyphen/>
        <w:t>settet, beregn ikke-konformitets</w:t>
      </w:r>
      <w:r>
        <w:rPr>
          <w:rFonts w:eastAsia="Times New Roman" w:cs="Times New Roman"/>
        </w:rPr>
        <w:softHyphen/>
        <w:t>score:</w:t>
      </w:r>
    </w:p>
    <w:p w14:paraId="6FE27367" w14:textId="77777777" w:rsidR="003C788D" w:rsidRDefault="00AA7D12">
      <w:pPr>
        <w:pStyle w:val="Compact"/>
        <w:spacing w:line="360" w:lineRule="auto"/>
      </w:pPr>
      <m:oMathPara>
        <m:oMathParaPr>
          <m:jc m:val="center"/>
        </m:oMathParaPr>
        <m:oMath>
          <m:sSub>
            <m:sSubPr>
              <m:ctrlPr>
                <w:rPr>
                  <w:rFonts w:ascii="Cambria Math" w:hAnsi="Cambria Math"/>
                </w:rPr>
              </m:ctrlPr>
            </m:sSubPr>
            <m:e>
              <m:r>
                <w:rPr>
                  <w:rFonts w:ascii="Cambria Math" w:hAnsi="Cambria Math"/>
                </w:rPr>
                <m:t>E</m:t>
              </m:r>
            </m:e>
            <m:sub>
              <m:r>
                <w:rPr>
                  <w:rFonts w:ascii="Cambria Math" w:hAnsi="Cambria Math"/>
                </w:rPr>
                <m:t>i</m:t>
              </m:r>
            </m:sub>
          </m:sSub>
          <m:r>
            <m:rPr>
              <m:sty m:val="p"/>
            </m:rPr>
            <w:rPr>
              <w:rFonts w:ascii="Cambria Math" w:hAnsi="Cambria Math"/>
            </w:rPr>
            <m:t>=max{</m:t>
          </m:r>
          <m:sSub>
            <m:sSubPr>
              <m:ctrlPr>
                <w:rPr>
                  <w:rFonts w:ascii="Cambria Math" w:hAnsi="Cambria Math"/>
                </w:rPr>
              </m:ctrlPr>
            </m:sSubPr>
            <m:e>
              <m:acc>
                <m:accPr>
                  <m:ctrlPr>
                    <w:rPr>
                      <w:rFonts w:ascii="Cambria Math" w:hAnsi="Cambria Math"/>
                    </w:rPr>
                  </m:ctrlPr>
                </m:accPr>
                <m:e>
                  <m:r>
                    <w:rPr>
                      <w:rFonts w:ascii="Cambria Math" w:hAnsi="Cambria Math"/>
                    </w:rPr>
                    <m:t>q</m:t>
                  </m:r>
                </m:e>
              </m:acc>
            </m:e>
            <m:sub>
              <m:r>
                <w:rPr>
                  <w:rFonts w:ascii="Cambria Math" w:hAnsi="Cambria Math"/>
                </w:rPr>
                <m:t>lo</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i</m:t>
              </m:r>
            </m:sub>
          </m:sSub>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q</m:t>
                  </m:r>
                </m:e>
              </m:acc>
            </m:e>
            <m:sub>
              <m:r>
                <w:rPr>
                  <w:rFonts w:ascii="Cambria Math" w:hAnsi="Cambria Math"/>
                </w:rPr>
                <m:t>h</m:t>
              </m:r>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oMath>
      </m:oMathPara>
    </w:p>
    <w:p w14:paraId="5D723139" w14:textId="77777777" w:rsidR="003C788D" w:rsidRDefault="00AA7D12">
      <w:pPr>
        <w:pStyle w:val="Compact"/>
        <w:numPr>
          <w:ilvl w:val="0"/>
          <w:numId w:val="14"/>
        </w:numPr>
        <w:spacing w:line="360" w:lineRule="auto"/>
      </w:pPr>
      <w:r>
        <w:rPr>
          <w:rFonts w:eastAsia="Times New Roman" w:cs="Times New Roman"/>
        </w:rPr>
        <w:t xml:space="preserve">La </w:t>
      </w:r>
      <m:oMath>
        <m:sSub>
          <m:sSubPr>
            <m:ctrlPr>
              <w:rPr>
                <w:rFonts w:ascii="Cambria Math" w:hAnsi="Cambria Math"/>
              </w:rPr>
            </m:ctrlPr>
          </m:sSubPr>
          <m:e>
            <m:r>
              <w:rPr>
                <w:rFonts w:ascii="Cambria Math" w:hAnsi="Cambria Math"/>
              </w:rPr>
              <m:t>Q</m:t>
            </m:r>
          </m:e>
          <m:sub>
            <m:r>
              <w:rPr>
                <w:rFonts w:ascii="Cambria Math" w:hAnsi="Cambria Math"/>
              </w:rPr>
              <m:t>1</m:t>
            </m:r>
            <m:r>
              <m:rPr>
                <m:sty m:val="p"/>
              </m:rPr>
              <w:rPr>
                <w:rFonts w:ascii="Cambria Math" w:hAnsi="Cambria Math"/>
              </w:rPr>
              <m:t>-</m:t>
            </m:r>
            <m:r>
              <w:rPr>
                <w:rFonts w:ascii="Cambria Math" w:hAnsi="Cambria Math"/>
              </w:rPr>
              <m:t>α</m:t>
            </m:r>
          </m:sub>
        </m:sSub>
      </m:oMath>
      <w:r>
        <w:rPr>
          <w:rFonts w:eastAsia="Times New Roman" w:cs="Times New Roman"/>
        </w:rPr>
        <w:t xml:space="preserve"> være </w:t>
      </w:r>
      <m:oMath>
        <m:r>
          <m:rPr>
            <m:sty m:val="p"/>
          </m:rPr>
          <w:rPr>
            <w:rFonts w:ascii="Cambria Math" w:hAnsi="Cambria Math"/>
          </w:rPr>
          <m:t>⌈</m:t>
        </m:r>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cal</m:t>
            </m:r>
          </m:sub>
        </m:sSub>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α</m:t>
        </m:r>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cal</m:t>
            </m:r>
          </m:sub>
        </m:sSub>
      </m:oMath>
      <w:r>
        <w:rPr>
          <w:rFonts w:eastAsia="Times New Roman" w:cs="Times New Roman"/>
        </w:rPr>
        <w:t xml:space="preserve">-kvantilet av </w:t>
      </w:r>
      <m:oMath>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i</m:t>
            </m:r>
          </m:sub>
        </m:sSub>
        <m:r>
          <m:rPr>
            <m:sty m:val="p"/>
          </m:rPr>
          <w:rPr>
            <w:rFonts w:ascii="Cambria Math" w:hAnsi="Cambria Math"/>
          </w:rPr>
          <m:t>}</m:t>
        </m:r>
      </m:oMath>
      <w:r>
        <w:rPr>
          <w:rFonts w:eastAsia="Times New Roman" w:cs="Times New Roman"/>
        </w:rPr>
        <w:t>.</w:t>
      </w:r>
    </w:p>
    <w:p w14:paraId="00D74CD3" w14:textId="77777777" w:rsidR="003C788D" w:rsidRDefault="00AA7D12">
      <w:pPr>
        <w:pStyle w:val="Compact"/>
        <w:numPr>
          <w:ilvl w:val="0"/>
          <w:numId w:val="14"/>
        </w:numPr>
        <w:spacing w:line="360" w:lineRule="auto"/>
      </w:pPr>
      <w:r>
        <w:rPr>
          <w:rFonts w:eastAsia="Times New Roman" w:cs="Times New Roman"/>
        </w:rPr>
        <w:t>CQR-prediksjons</w:t>
      </w:r>
      <w:r>
        <w:rPr>
          <w:rFonts w:eastAsia="Times New Roman" w:cs="Times New Roman"/>
        </w:rPr>
        <w:softHyphen/>
        <w:t>intervallet er:</w:t>
      </w:r>
    </w:p>
    <w:p w14:paraId="5EAAEA74" w14:textId="77777777" w:rsidR="003C788D" w:rsidRDefault="00AA7D12">
      <w:pPr>
        <w:pStyle w:val="Compact"/>
        <w:spacing w:line="360" w:lineRule="auto"/>
      </w:pPr>
      <m:oMathPara>
        <m:oMathParaPr>
          <m:jc m:val="center"/>
        </m:oMathParaPr>
        <m:oMath>
          <m:r>
            <w:rPr>
              <w:rFonts w:ascii="Cambria Math" w:hAnsi="Cambria Math"/>
            </w:rPr>
            <m:t>C</m:t>
          </m:r>
          <m:r>
            <m:rPr>
              <m:sty m:val="p"/>
            </m:rPr>
            <w:rPr>
              <w:rFonts w:ascii="Cambria Math" w:hAnsi="Cambria Math"/>
            </w:rPr>
            <m:t>(</m:t>
          </m:r>
          <m:r>
            <w:rPr>
              <w:rFonts w:ascii="Cambria Math" w:hAnsi="Cambria Math"/>
            </w:rPr>
            <m:t>x</m:t>
          </m:r>
          <m:r>
            <m:rPr>
              <m:sty m:val="p"/>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acc>
                    <m:accPr>
                      <m:ctrlPr>
                        <w:rPr>
                          <w:rFonts w:ascii="Cambria Math" w:hAnsi="Cambria Math"/>
                        </w:rPr>
                      </m:ctrlPr>
                    </m:accPr>
                    <m:e>
                      <m:r>
                        <w:rPr>
                          <w:rFonts w:ascii="Cambria Math" w:hAnsi="Cambria Math"/>
                        </w:rPr>
                        <m:t>q</m:t>
                      </m:r>
                    </m:e>
                  </m:acc>
                </m:e>
                <m:sub>
                  <m:r>
                    <w:rPr>
                      <w:rFonts w:ascii="Cambria Math" w:hAnsi="Cambria Math"/>
                    </w:rPr>
                    <m:t>lo</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1</m:t>
                  </m:r>
                  <m:r>
                    <m:rPr>
                      <m:sty m:val="p"/>
                    </m:rPr>
                    <w:rPr>
                      <w:rFonts w:ascii="Cambria Math" w:hAnsi="Cambria Math"/>
                    </w:rPr>
                    <m:t>-</m:t>
                  </m:r>
                  <m:r>
                    <w:rPr>
                      <w:rFonts w:ascii="Cambria Math" w:hAnsi="Cambria Math"/>
                    </w:rPr>
                    <m:t>α</m:t>
                  </m:r>
                </m:sub>
              </m:sSub>
              <m:r>
                <m:rPr>
                  <m:sty m:val="p"/>
                </m:rPr>
                <w:rPr>
                  <w:rFonts w:ascii="Cambria Math" w:hAnsi="Cambria Math"/>
                </w:rPr>
                <m:t>,</m:t>
              </m:r>
              <m:r>
                <w:rPr>
                  <w:rFonts w:ascii="Cambria Math" w:hAnsi="Cambria Math"/>
                </w:rPr>
                <m:t> </m:t>
              </m:r>
              <m:sSub>
                <m:sSubPr>
                  <m:ctrlPr>
                    <w:rPr>
                      <w:rFonts w:ascii="Cambria Math" w:hAnsi="Cambria Math"/>
                    </w:rPr>
                  </m:ctrlPr>
                </m:sSubPr>
                <m:e>
                  <m:acc>
                    <m:accPr>
                      <m:ctrlPr>
                        <w:rPr>
                          <w:rFonts w:ascii="Cambria Math" w:hAnsi="Cambria Math"/>
                        </w:rPr>
                      </m:ctrlPr>
                    </m:accPr>
                    <m:e>
                      <m:r>
                        <w:rPr>
                          <w:rFonts w:ascii="Cambria Math" w:hAnsi="Cambria Math"/>
                        </w:rPr>
                        <m:t>q</m:t>
                      </m:r>
                    </m:e>
                  </m:acc>
                </m:e>
                <m:sub>
                  <m:r>
                    <w:rPr>
                      <w:rFonts w:ascii="Cambria Math" w:hAnsi="Cambria Math"/>
                    </w:rPr>
                    <m:t>h</m:t>
                  </m:r>
                  <m:r>
                    <w:rPr>
                      <w:rFonts w:ascii="Cambria Math" w:hAnsi="Cambria Math"/>
                    </w:rPr>
                    <m:t>i</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1</m:t>
                  </m:r>
                  <m:r>
                    <m:rPr>
                      <m:sty m:val="p"/>
                    </m:rPr>
                    <w:rPr>
                      <w:rFonts w:ascii="Cambria Math" w:hAnsi="Cambria Math"/>
                    </w:rPr>
                    <m:t>-</m:t>
                  </m:r>
                  <m:r>
                    <w:rPr>
                      <w:rFonts w:ascii="Cambria Math" w:hAnsi="Cambria Math"/>
                    </w:rPr>
                    <m:t>α</m:t>
                  </m:r>
                </m:sub>
              </m:sSub>
            </m:e>
          </m:d>
        </m:oMath>
      </m:oMathPara>
    </w:p>
    <w:p w14:paraId="5DF15FFF" w14:textId="77777777" w:rsidR="003C788D" w:rsidRDefault="00AA7D12">
      <w:pPr>
        <w:pStyle w:val="FirstParagraph"/>
        <w:spacing w:line="360" w:lineRule="auto"/>
      </w:pPr>
      <w:r>
        <w:rPr>
          <w:rFonts w:eastAsia="Times New Roman" w:cs="Times New Roman"/>
        </w:rPr>
        <w:t xml:space="preserve">CQR-justeringen </w:t>
      </w:r>
      <m:oMath>
        <m:sSub>
          <m:sSubPr>
            <m:ctrlPr>
              <w:rPr>
                <w:rFonts w:ascii="Cambria Math" w:hAnsi="Cambria Math"/>
              </w:rPr>
            </m:ctrlPr>
          </m:sSubPr>
          <m:e>
            <m:r>
              <w:rPr>
                <w:rFonts w:ascii="Cambria Math" w:hAnsi="Cambria Math"/>
              </w:rPr>
              <m:t>Q</m:t>
            </m:r>
          </m:e>
          <m:sub>
            <m:r>
              <w:rPr>
                <w:rFonts w:ascii="Cambria Math" w:hAnsi="Cambria Math"/>
              </w:rPr>
              <m:t>1</m:t>
            </m:r>
            <m:r>
              <m:rPr>
                <m:sty m:val="p"/>
              </m:rPr>
              <w:rPr>
                <w:rFonts w:ascii="Cambria Math" w:hAnsi="Cambria Math"/>
              </w:rPr>
              <m:t>-</m:t>
            </m:r>
            <m:r>
              <w:rPr>
                <w:rFonts w:ascii="Cambria Math" w:hAnsi="Cambria Math"/>
              </w:rPr>
              <m:t>α</m:t>
            </m:r>
          </m:sub>
        </m:sSub>
      </m:oMath>
      <w:r>
        <w:rPr>
          <w:rFonts w:eastAsia="Times New Roman" w:cs="Times New Roman"/>
        </w:rPr>
        <w:t xml:space="preserve"> garanterer endelig-utvalgs dekning </w:t>
      </w:r>
      <m:oMath>
        <m:r>
          <m:rPr>
            <m:sty m:val="p"/>
          </m:rPr>
          <w:rPr>
            <w:rFonts w:ascii="Cambria Math" w:hAnsi="Cambria Math"/>
          </w:rPr>
          <m:t>Pr(</m:t>
        </m:r>
        <m:r>
          <w:rPr>
            <w:rFonts w:ascii="Cambria Math" w:hAnsi="Cambria Math"/>
          </w:rPr>
          <m:t>y</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α</m:t>
        </m:r>
      </m:oMath>
      <w:r>
        <w:rPr>
          <w:rFonts w:eastAsia="Times New Roman" w:cs="Times New Roman"/>
        </w:rPr>
        <w:t xml:space="preserve"> </w:t>
      </w:r>
      <w:r>
        <w:rPr>
          <w:rFonts w:eastAsia="Times New Roman" w:cs="Times New Roman"/>
        </w:rPr>
        <w:t>under utbyttbarhet av (kalibrering, test)-data, uavhengig av hvor dårlig kalibrert de underliggende kvantil</w:t>
      </w:r>
      <w:r>
        <w:rPr>
          <w:rFonts w:eastAsia="Times New Roman" w:cs="Times New Roman"/>
        </w:rPr>
        <w:softHyphen/>
        <w:t>modellene er. Hvor stor justering CQR faktisk gir på datasettet i denne studien, og hva det forteller om de underliggende kvantil</w:t>
      </w:r>
      <w:r>
        <w:rPr>
          <w:rFonts w:eastAsia="Times New Roman" w:cs="Times New Roman"/>
        </w:rPr>
        <w:softHyphen/>
        <w:t>modellene, drøftes i § 6.4 og § 8.2.</w:t>
      </w:r>
    </w:p>
    <w:p w14:paraId="0FFCA89C" w14:textId="77777777" w:rsidR="003C788D" w:rsidRDefault="00AA7D12">
      <w:pPr>
        <w:pStyle w:val="Brdtekst"/>
        <w:spacing w:line="360" w:lineRule="auto"/>
      </w:pPr>
      <w:r>
        <w:rPr>
          <w:rFonts w:eastAsia="Times New Roman" w:cs="Times New Roman"/>
          <w:i/>
          <w:iCs/>
        </w:rPr>
        <w:t>Relevans:</w:t>
      </w:r>
      <w:r>
        <w:rPr>
          <w:rFonts w:eastAsia="Times New Roman" w:cs="Times New Roman"/>
        </w:rPr>
        <w:t xml:space="preserve"> Kvantil</w:t>
      </w:r>
      <w:r>
        <w:rPr>
          <w:rFonts w:eastAsia="Times New Roman" w:cs="Times New Roman"/>
        </w:rPr>
        <w:softHyphen/>
        <w:t>regresjon gir spenn</w:t>
      </w:r>
      <w:r>
        <w:rPr>
          <w:rFonts w:eastAsia="Times New Roman" w:cs="Times New Roman"/>
        </w:rPr>
        <w:softHyphen/>
        <w:t>et (DP4), og CQR garanterer kalibrert dekning på små datasett.</w:t>
      </w:r>
    </w:p>
    <w:p w14:paraId="6ADD1C85" w14:textId="77777777" w:rsidR="003C788D" w:rsidRDefault="00AA7D12">
      <w:pPr>
        <w:pStyle w:val="Overskrift3"/>
      </w:pPr>
      <w:bookmarkStart w:id="45" w:name="shap-verdier"/>
      <w:bookmarkStart w:id="46" w:name="_Toc230777784"/>
      <w:bookmarkEnd w:id="43"/>
      <w:r>
        <w:t>3.6 SHAP-verdier</w:t>
      </w:r>
      <w:bookmarkEnd w:id="46"/>
    </w:p>
    <w:p w14:paraId="3F9C0ED5" w14:textId="77777777" w:rsidR="003C788D" w:rsidRDefault="00AA7D12">
      <w:pPr>
        <w:pStyle w:val="FirstParagraph"/>
        <w:spacing w:line="360" w:lineRule="auto"/>
      </w:pPr>
      <w:r>
        <w:rPr>
          <w:rFonts w:eastAsia="Times New Roman" w:cs="Times New Roman"/>
        </w:rPr>
        <w:t>Tre</w:t>
      </w:r>
      <w:r>
        <w:rPr>
          <w:rFonts w:eastAsia="Times New Roman" w:cs="Times New Roman"/>
        </w:rPr>
        <w:softHyphen/>
        <w:t xml:space="preserve">ensembler er presise men opake: en prognose på 17 000 EUR forteller ikke i seg selv </w:t>
      </w:r>
      <w:r>
        <w:rPr>
          <w:rFonts w:eastAsia="Times New Roman" w:cs="Times New Roman"/>
          <w:i/>
          <w:iCs/>
        </w:rPr>
        <w:t>hvorfor</w:t>
      </w:r>
      <w:r>
        <w:rPr>
          <w:rFonts w:eastAsia="Times New Roman" w:cs="Times New Roman"/>
        </w:rPr>
        <w:t xml:space="preserve"> — var det GT, havnen, sesongen? </w:t>
      </w:r>
      <w:r>
        <w:rPr>
          <w:rFonts w:eastAsia="Times New Roman" w:cs="Times New Roman"/>
          <w:b/>
          <w:bCs/>
        </w:rPr>
        <w:t>SHAP (SHapley Additive exPlanations)</w:t>
      </w:r>
      <w:r>
        <w:rPr>
          <w:rFonts w:eastAsia="Times New Roman" w:cs="Times New Roman"/>
        </w:rPr>
        <w:t xml:space="preserve"> (Lundberg &amp; Lee, 2017) dekomponerer en prediksjon i per-feature bidrag med basis i kooperativ spillteori.</w:t>
      </w:r>
    </w:p>
    <w:p w14:paraId="60F1C63C" w14:textId="77777777" w:rsidR="003C788D" w:rsidRDefault="00AA7D12">
      <w:pPr>
        <w:pStyle w:val="Brdtekst"/>
        <w:spacing w:line="360" w:lineRule="auto"/>
      </w:pPr>
      <w:r>
        <w:rPr>
          <w:rFonts w:eastAsia="Times New Roman" w:cs="Times New Roman"/>
        </w:rPr>
        <w:t xml:space="preserve">For en modell </w:t>
      </w:r>
      <m:oMath>
        <m:r>
          <w:rPr>
            <w:rFonts w:ascii="Cambria Math" w:hAnsi="Cambria Math"/>
          </w:rPr>
          <m:t>f</m:t>
        </m:r>
      </m:oMath>
      <w:r>
        <w:rPr>
          <w:rFonts w:eastAsia="Times New Roman" w:cs="Times New Roman"/>
        </w:rPr>
        <w:t xml:space="preserve"> og et input </w:t>
      </w:r>
      <m:oMath>
        <m:r>
          <w:rPr>
            <w:rFonts w:ascii="Cambria Math" w:hAnsi="Cambria Math"/>
          </w:rPr>
          <m:t>x</m:t>
        </m:r>
      </m:oMath>
      <w:r>
        <w:rPr>
          <w:rFonts w:eastAsia="Times New Roman" w:cs="Times New Roman"/>
        </w:rPr>
        <w:t xml:space="preserve"> er SHAP-verdien til feature </w:t>
      </w:r>
      <m:oMath>
        <m:r>
          <w:rPr>
            <w:rFonts w:ascii="Cambria Math" w:hAnsi="Cambria Math"/>
          </w:rPr>
          <m:t>j</m:t>
        </m:r>
      </m:oMath>
      <w:r>
        <w:rPr>
          <w:rFonts w:eastAsia="Times New Roman" w:cs="Times New Roman"/>
        </w:rPr>
        <w:t>:</w:t>
      </w:r>
    </w:p>
    <w:p w14:paraId="364EE93A" w14:textId="77777777" w:rsidR="003C788D" w:rsidRDefault="00AA7D12">
      <w:pPr>
        <w:pStyle w:val="Brdtekst"/>
        <w:spacing w:line="360" w:lineRule="auto"/>
      </w:pPr>
      <m:oMathPara>
        <m:oMathParaPr>
          <m:jc m:val="center"/>
        </m:oMathParaPr>
        <m:oMath>
          <m:sSub>
            <m:sSubPr>
              <m:ctrlPr>
                <w:rPr>
                  <w:rFonts w:ascii="Cambria Math" w:hAnsi="Cambria Math"/>
                </w:rPr>
              </m:ctrlPr>
            </m:sSubPr>
            <m:e>
              <m:r>
                <w:rPr>
                  <w:rFonts w:ascii="Cambria Math" w:hAnsi="Cambria Math"/>
                </w:rPr>
                <m:t>ϕ</m:t>
              </m:r>
            </m:e>
            <m:sub>
              <m:r>
                <w:rPr>
                  <w:rFonts w:ascii="Cambria Math" w:hAnsi="Cambria Math"/>
                </w:rPr>
                <m:t>j</m:t>
              </m:r>
            </m:sub>
          </m:sSub>
          <m:r>
            <m:rPr>
              <m:sty m:val="p"/>
            </m:rPr>
            <w:rPr>
              <w:rFonts w:ascii="Cambria Math" w:hAnsi="Cambria Math"/>
            </w:rPr>
            <m:t>(</m:t>
          </m:r>
          <m:r>
            <w:rPr>
              <w:rFonts w:ascii="Cambria Math" w:hAnsi="Cambria Math"/>
            </w:rPr>
            <m:t>x</m:t>
          </m:r>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S</m:t>
              </m:r>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j</m:t>
              </m:r>
              <m:r>
                <m:rPr>
                  <m:sty m:val="p"/>
                </m:rPr>
                <w:rPr>
                  <w:rFonts w:ascii="Cambria Math" w:hAnsi="Cambria Math"/>
                </w:rPr>
                <m:t>}</m:t>
              </m:r>
            </m:sub>
            <m:sup>
              <m:r>
                <w:rPr>
                  <w:rFonts w:ascii="Cambria Math" w:hAnsi="Cambria Math"/>
                </w:rPr>
                <m:t>​</m:t>
              </m:r>
            </m:sup>
            <m:e>
              <m:f>
                <m:fPr>
                  <m:ctrlPr>
                    <w:rPr>
                      <w:rFonts w:ascii="Cambria Math" w:hAnsi="Cambria Math"/>
                    </w:rPr>
                  </m:ctrlPr>
                </m:fPr>
                <m:num>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1</m:t>
                  </m:r>
                  <m:r>
                    <m:rPr>
                      <m:sty m:val="p"/>
                    </m:rPr>
                    <w:rPr>
                      <w:rFonts w:ascii="Cambria Math" w:hAnsi="Cambria Math"/>
                    </w:rPr>
                    <m:t>)!</m:t>
                  </m:r>
                </m:num>
                <m:den>
                  <m:r>
                    <m:rPr>
                      <m:sty m:val="p"/>
                    </m:rPr>
                    <w:rPr>
                      <w:rFonts w:ascii="Cambria Math" w:hAnsi="Cambria Math"/>
                    </w:rPr>
                    <m:t>|</m:t>
                  </m:r>
                  <m:r>
                    <w:rPr>
                      <w:rFonts w:ascii="Cambria Math" w:hAnsi="Cambria Math"/>
                    </w:rPr>
                    <m:t>F</m:t>
                  </m:r>
                  <m:r>
                    <m:rPr>
                      <m:sty m:val="p"/>
                    </m:rPr>
                    <w:rPr>
                      <w:rFonts w:ascii="Cambria Math" w:hAnsi="Cambria Math"/>
                    </w:rPr>
                    <m:t>|!</m:t>
                  </m:r>
                </m:den>
              </m:f>
            </m:e>
          </m:nary>
          <m:d>
            <m:dPr>
              <m:begChr m:val="["/>
              <m:endChr m:val="]"/>
              <m:ctrlPr>
                <w:rPr>
                  <w:rFonts w:ascii="Cambria Math" w:hAnsi="Cambria Math"/>
                </w:rPr>
              </m:ctrlPr>
            </m:dPr>
            <m:e>
              <m:r>
                <w:rPr>
                  <w:rFonts w:ascii="Cambria Math" w:hAnsi="Cambria Math"/>
                </w:rPr>
                <m:t> </m:t>
              </m:r>
              <m:sSub>
                <m:sSubPr>
                  <m:ctrlPr>
                    <w:rPr>
                      <w:rFonts w:ascii="Cambria Math" w:hAnsi="Cambria Math"/>
                    </w:rPr>
                  </m:ctrlPr>
                </m:sSubPr>
                <m:e>
                  <m:r>
                    <w:rPr>
                      <w:rFonts w:ascii="Cambria Math" w:hAnsi="Cambria Math"/>
                    </w:rPr>
                    <m:t>f</m:t>
                  </m:r>
                </m:e>
                <m:sub>
                  <m:r>
                    <w:rPr>
                      <w:rFonts w:ascii="Cambria Math" w:hAnsi="Cambria Math"/>
                    </w:rPr>
                    <m:t>S</m:t>
                  </m:r>
                  <m:r>
                    <m:rPr>
                      <m:sty m:val="p"/>
                    </m:rPr>
                    <w:rPr>
                      <w:rFonts w:ascii="Cambria Math" w:hAnsi="Cambria Math"/>
                    </w:rPr>
                    <m:t>∪{</m:t>
                  </m:r>
                  <m:r>
                    <w:rPr>
                      <w:rFonts w:ascii="Cambria Math" w:hAnsi="Cambria Math"/>
                    </w:rPr>
                    <m:t>j</m:t>
                  </m:r>
                  <m:r>
                    <m:rPr>
                      <m:sty m:val="p"/>
                    </m:rPr>
                    <w:rPr>
                      <w:rFonts w:ascii="Cambria Math" w:hAnsi="Cambria Math"/>
                    </w:rPr>
                    <m:t>}</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S</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 </m:t>
              </m:r>
            </m:e>
          </m:d>
        </m:oMath>
      </m:oMathPara>
    </w:p>
    <w:p w14:paraId="0C563276" w14:textId="77777777" w:rsidR="003C788D" w:rsidRDefault="00AA7D12">
      <w:pPr>
        <w:pStyle w:val="FirstParagraph"/>
        <w:spacing w:line="360" w:lineRule="auto"/>
      </w:pPr>
      <w:r>
        <w:rPr>
          <w:rFonts w:eastAsia="Times New Roman" w:cs="Times New Roman"/>
        </w:rPr>
        <w:t xml:space="preserve">der </w:t>
      </w:r>
      <m:oMath>
        <m:r>
          <w:rPr>
            <w:rFonts w:ascii="Cambria Math" w:hAnsi="Cambria Math"/>
          </w:rPr>
          <m:t>F</m:t>
        </m:r>
      </m:oMath>
      <w:r>
        <w:rPr>
          <w:rFonts w:eastAsia="Times New Roman" w:cs="Times New Roman"/>
        </w:rPr>
        <w:t xml:space="preserve"> er feature-mengden, </w:t>
      </w:r>
      <m:oMath>
        <m:r>
          <w:rPr>
            <w:rFonts w:ascii="Cambria Math" w:hAnsi="Cambria Math"/>
          </w:rPr>
          <m:t>S</m:t>
        </m:r>
      </m:oMath>
      <w:r>
        <w:rPr>
          <w:rFonts w:eastAsia="Times New Roman" w:cs="Times New Roman"/>
        </w:rPr>
        <w:t xml:space="preserve"> løper over delmengder uten </w:t>
      </w:r>
      <m:oMath>
        <m:r>
          <w:rPr>
            <w:rFonts w:ascii="Cambria Math" w:hAnsi="Cambria Math"/>
          </w:rPr>
          <m:t>j</m:t>
        </m:r>
      </m:oMath>
      <w:r>
        <w:rPr>
          <w:rFonts w:eastAsia="Times New Roman" w:cs="Times New Roman"/>
        </w:rPr>
        <w:t xml:space="preserve">, og </w:t>
      </w:r>
      <m:oMath>
        <m:sSub>
          <m:sSubPr>
            <m:ctrlPr>
              <w:rPr>
                <w:rFonts w:ascii="Cambria Math" w:hAnsi="Cambria Math"/>
              </w:rPr>
            </m:ctrlPr>
          </m:sSubPr>
          <m:e>
            <m:r>
              <w:rPr>
                <w:rFonts w:ascii="Cambria Math" w:hAnsi="Cambria Math"/>
              </w:rPr>
              <m:t>f</m:t>
            </m:r>
          </m:e>
          <m:sub>
            <m:r>
              <w:rPr>
                <w:rFonts w:ascii="Cambria Math" w:hAnsi="Cambria Math"/>
              </w:rPr>
              <m:t>S</m:t>
            </m:r>
          </m:sub>
        </m:sSub>
        <m:r>
          <m:rPr>
            <m:sty m:val="p"/>
          </m:rPr>
          <w:rPr>
            <w:rFonts w:ascii="Cambria Math" w:hAnsi="Cambria Math"/>
          </w:rPr>
          <m:t>(</m:t>
        </m:r>
        <m:r>
          <w:rPr>
            <w:rFonts w:ascii="Cambria Math" w:hAnsi="Cambria Math"/>
          </w:rPr>
          <m:t>x</m:t>
        </m:r>
        <m:r>
          <m:rPr>
            <m:sty m:val="p"/>
          </m:rPr>
          <w:rPr>
            <w:rFonts w:ascii="Cambria Math" w:hAnsi="Cambria Math"/>
          </w:rPr>
          <m:t>)</m:t>
        </m:r>
      </m:oMath>
      <w:r>
        <w:rPr>
          <w:rFonts w:eastAsia="Times New Roman" w:cs="Times New Roman"/>
        </w:rPr>
        <w:t xml:space="preserve"> er modellens forventede prediksjon når kun features i </w:t>
      </w:r>
      <m:oMath>
        <m:r>
          <w:rPr>
            <w:rFonts w:ascii="Cambria Math" w:hAnsi="Cambria Math"/>
          </w:rPr>
          <m:t>S</m:t>
        </m:r>
      </m:oMath>
      <w:r>
        <w:rPr>
          <w:rFonts w:eastAsia="Times New Roman" w:cs="Times New Roman"/>
        </w:rPr>
        <w:t xml:space="preserve"> </w:t>
      </w:r>
      <w:r>
        <w:rPr>
          <w:rFonts w:eastAsia="Times New Roman" w:cs="Times New Roman"/>
        </w:rPr>
        <w:t xml:space="preserve">er observert. Dette er Shapley-verdien fra koalisjons-spillteori: </w:t>
      </w:r>
      <m:oMath>
        <m:sSub>
          <m:sSubPr>
            <m:ctrlPr>
              <w:rPr>
                <w:rFonts w:ascii="Cambria Math" w:hAnsi="Cambria Math"/>
              </w:rPr>
            </m:ctrlPr>
          </m:sSubPr>
          <m:e>
            <m:r>
              <w:rPr>
                <w:rFonts w:ascii="Cambria Math" w:hAnsi="Cambria Math"/>
              </w:rPr>
              <m:t>ϕ</m:t>
            </m:r>
          </m:e>
          <m:sub>
            <m:r>
              <w:rPr>
                <w:rFonts w:ascii="Cambria Math" w:hAnsi="Cambria Math"/>
              </w:rPr>
              <m:t>j</m:t>
            </m:r>
          </m:sub>
        </m:sSub>
      </m:oMath>
      <w:r>
        <w:rPr>
          <w:rFonts w:eastAsia="Times New Roman" w:cs="Times New Roman"/>
        </w:rPr>
        <w:t xml:space="preserve"> er det gjennomsnittlige marginale bidraget fra </w:t>
      </w:r>
      <m:oMath>
        <m:r>
          <w:rPr>
            <w:rFonts w:ascii="Cambria Math" w:hAnsi="Cambria Math"/>
          </w:rPr>
          <m:t>j</m:t>
        </m:r>
      </m:oMath>
      <w:r>
        <w:rPr>
          <w:rFonts w:eastAsia="Times New Roman" w:cs="Times New Roman"/>
        </w:rPr>
        <w:t xml:space="preserve"> over alle mulige feature-rekkefølger.</w:t>
      </w:r>
    </w:p>
    <w:p w14:paraId="61DA8AEB" w14:textId="77777777" w:rsidR="003C788D" w:rsidRDefault="00AA7D12">
      <w:pPr>
        <w:pStyle w:val="Brdtekst"/>
        <w:spacing w:line="360" w:lineRule="auto"/>
      </w:pPr>
      <w:r>
        <w:rPr>
          <w:rFonts w:eastAsia="Times New Roman" w:cs="Times New Roman"/>
        </w:rPr>
        <w:t xml:space="preserve">SHAP-verdier oppfyller tre ønskelige egenskaper: - </w:t>
      </w:r>
      <w:r>
        <w:rPr>
          <w:rFonts w:eastAsia="Times New Roman" w:cs="Times New Roman"/>
          <w:b/>
          <w:bCs/>
        </w:rPr>
        <w:t>Lokal nøyaktighet:</w:t>
      </w:r>
      <w:r>
        <w:rPr>
          <w:rFonts w:eastAsia="Times New Roman" w:cs="Times New Roman"/>
        </w:rPr>
        <w:t xml:space="preserve"> </w:t>
      </w:r>
      <m:oMath>
        <m:r>
          <w:rPr>
            <w:rFonts w:ascii="Cambria Math" w:hAnsi="Cambria Math"/>
          </w:rPr>
          <m:t>f</m:t>
        </m:r>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0</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j</m:t>
            </m:r>
          </m:sub>
          <m:sup>
            <m:r>
              <w:rPr>
                <w:rFonts w:ascii="Cambria Math" w:hAnsi="Cambria Math"/>
              </w:rPr>
              <m:t>​</m:t>
            </m:r>
          </m:sup>
          <m:e>
            <m:sSub>
              <m:sSubPr>
                <m:ctrlPr>
                  <w:rPr>
                    <w:rFonts w:ascii="Cambria Math" w:hAnsi="Cambria Math"/>
                  </w:rPr>
                </m:ctrlPr>
              </m:sSubPr>
              <m:e>
                <m:r>
                  <w:rPr>
                    <w:rFonts w:ascii="Cambria Math" w:hAnsi="Cambria Math"/>
                  </w:rPr>
                  <m:t>ϕ</m:t>
                </m:r>
              </m:e>
              <m:sub>
                <m:r>
                  <w:rPr>
                    <w:rFonts w:ascii="Cambria Math" w:hAnsi="Cambria Math"/>
                  </w:rPr>
                  <m:t>j</m:t>
                </m:r>
              </m:sub>
            </m:sSub>
          </m:e>
        </m:nary>
        <m:r>
          <m:rPr>
            <m:sty m:val="p"/>
          </m:rPr>
          <w:rPr>
            <w:rFonts w:ascii="Cambria Math" w:hAnsi="Cambria Math"/>
          </w:rPr>
          <m:t>(</m:t>
        </m:r>
        <m:r>
          <w:rPr>
            <w:rFonts w:ascii="Cambria Math" w:hAnsi="Cambria Math"/>
          </w:rPr>
          <m:t>x</m:t>
        </m:r>
        <m:r>
          <m:rPr>
            <m:sty m:val="p"/>
          </m:rPr>
          <w:rPr>
            <w:rFonts w:ascii="Cambria Math" w:hAnsi="Cambria Math"/>
          </w:rPr>
          <m:t>)</m:t>
        </m:r>
      </m:oMath>
      <w:r>
        <w:rPr>
          <w:rFonts w:eastAsia="Times New Roman" w:cs="Times New Roman"/>
        </w:rPr>
        <w:t xml:space="preserve"> — prediksjoner dekomponeres eksakt i en baseline pluss per-feature bidrag. - </w:t>
      </w:r>
      <w:r>
        <w:rPr>
          <w:rFonts w:eastAsia="Times New Roman" w:cs="Times New Roman"/>
          <w:b/>
          <w:bCs/>
        </w:rPr>
        <w:t>Manglende verdier:</w:t>
      </w:r>
      <w:r>
        <w:rPr>
          <w:rFonts w:eastAsia="Times New Roman" w:cs="Times New Roman"/>
        </w:rPr>
        <w:t xml:space="preserve"> features uten påvirkning får </w:t>
      </w:r>
      <m:oMath>
        <m:sSub>
          <m:sSubPr>
            <m:ctrlPr>
              <w:rPr>
                <w:rFonts w:ascii="Cambria Math" w:hAnsi="Cambria Math"/>
              </w:rPr>
            </m:ctrlPr>
          </m:sSubPr>
          <m:e>
            <m:r>
              <w:rPr>
                <w:rFonts w:ascii="Cambria Math" w:hAnsi="Cambria Math"/>
              </w:rPr>
              <m:t>ϕ</m:t>
            </m:r>
          </m:e>
          <m:sub>
            <m:r>
              <w:rPr>
                <w:rFonts w:ascii="Cambria Math" w:hAnsi="Cambria Math"/>
              </w:rPr>
              <m:t>j</m:t>
            </m:r>
          </m:sub>
        </m:sSub>
        <m:r>
          <m:rPr>
            <m:sty m:val="p"/>
          </m:rPr>
          <w:rPr>
            <w:rFonts w:ascii="Cambria Math" w:hAnsi="Cambria Math"/>
          </w:rPr>
          <m:t>=</m:t>
        </m:r>
        <m:r>
          <w:rPr>
            <w:rFonts w:ascii="Cambria Math" w:hAnsi="Cambria Math"/>
          </w:rPr>
          <m:t>0</m:t>
        </m:r>
      </m:oMath>
      <w:r>
        <w:rPr>
          <w:rFonts w:eastAsia="Times New Roman" w:cs="Times New Roman"/>
        </w:rPr>
        <w:t xml:space="preserve">. - </w:t>
      </w:r>
      <w:r>
        <w:rPr>
          <w:rFonts w:eastAsia="Times New Roman" w:cs="Times New Roman"/>
          <w:b/>
          <w:bCs/>
        </w:rPr>
        <w:t>Konsistens:</w:t>
      </w:r>
      <w:r>
        <w:rPr>
          <w:rFonts w:eastAsia="Times New Roman" w:cs="Times New Roman"/>
        </w:rPr>
        <w:t xml:space="preserve"> hvis en features bidrag øker i en modell, kan SHAP-verdien dens ikke synke.</w:t>
      </w:r>
    </w:p>
    <w:p w14:paraId="1810401A" w14:textId="77777777" w:rsidR="003C788D" w:rsidRDefault="00AA7D12">
      <w:pPr>
        <w:pStyle w:val="Brdtekst"/>
        <w:spacing w:line="360" w:lineRule="auto"/>
      </w:pPr>
      <w:r>
        <w:rPr>
          <w:rFonts w:eastAsia="Times New Roman" w:cs="Times New Roman"/>
        </w:rPr>
        <w:t xml:space="preserve">Eksakt beregning av SHAP-verdier er eksponensiell i antall features. For tre-ensembler beregner </w:t>
      </w:r>
      <w:r>
        <w:rPr>
          <w:rFonts w:eastAsia="Times New Roman" w:cs="Times New Roman"/>
          <w:b/>
          <w:bCs/>
        </w:rPr>
        <w:t>TreeSHAP</w:t>
      </w:r>
      <w:r>
        <w:rPr>
          <w:rFonts w:eastAsia="Times New Roman" w:cs="Times New Roman"/>
        </w:rPr>
        <w:t xml:space="preserve"> (Lundberg et al., 2020) eksakte SHAP-verdier i polynom</w:t>
      </w:r>
      <w:r>
        <w:rPr>
          <w:rFonts w:eastAsia="Times New Roman" w:cs="Times New Roman"/>
        </w:rPr>
        <w:softHyphen/>
        <w:t>tid ved å traversere hvert tres bane</w:t>
      </w:r>
      <w:r>
        <w:rPr>
          <w:rFonts w:eastAsia="Times New Roman" w:cs="Times New Roman"/>
        </w:rPr>
        <w:softHyphen/>
        <w:t>struktur og spore betingede forventninger. Dette gjør per-prediksjon-forklaring mulig på en 26-feature modell på milli</w:t>
      </w:r>
      <w:r>
        <w:rPr>
          <w:rFonts w:eastAsia="Times New Roman" w:cs="Times New Roman"/>
        </w:rPr>
        <w:softHyphen/>
        <w:t>sekunder.</w:t>
      </w:r>
    </w:p>
    <w:p w14:paraId="4277DA0C" w14:textId="77777777" w:rsidR="003C788D" w:rsidRDefault="00AA7D12">
      <w:pPr>
        <w:pStyle w:val="Brdtekst"/>
        <w:spacing w:line="360" w:lineRule="auto"/>
      </w:pPr>
      <w:r>
        <w:rPr>
          <w:rFonts w:eastAsia="Times New Roman" w:cs="Times New Roman"/>
        </w:rPr>
        <w:t>I NautiCost (§ 7.3) brukes TreeSHAP både globalt (gjennomsnittlig absolutt SHAP per feature → feature importance-rangering) og lokalt (per-prediksjon waterfall-plott når en agent spør «hvorfor predikerte modellen dette tallet?»).</w:t>
      </w:r>
    </w:p>
    <w:p w14:paraId="0AF4C578" w14:textId="77777777" w:rsidR="003C788D" w:rsidRDefault="00AA7D12">
      <w:pPr>
        <w:pStyle w:val="Brdtekst"/>
        <w:spacing w:line="360" w:lineRule="auto"/>
      </w:pPr>
      <w:r>
        <w:rPr>
          <w:rFonts w:eastAsia="Times New Roman" w:cs="Times New Roman"/>
          <w:i/>
          <w:iCs/>
        </w:rPr>
        <w:t>Relevans:</w:t>
      </w:r>
      <w:r>
        <w:rPr>
          <w:rFonts w:eastAsia="Times New Roman" w:cs="Times New Roman"/>
        </w:rPr>
        <w:t xml:space="preserve"> Forklarbarhet er forutsetning for DP5 — SHAP kobler modellvalg (DP2) til operasjonalisering uten å gå på bekostning av prestasjon.</w:t>
      </w:r>
    </w:p>
    <w:p w14:paraId="6B484E87" w14:textId="77777777" w:rsidR="003C788D" w:rsidRDefault="00AA7D12">
      <w:pPr>
        <w:spacing w:line="360" w:lineRule="auto"/>
      </w:pPr>
      <w:r>
        <w:rPr>
          <w:rFonts w:eastAsia="Times New Roman" w:cs="Times New Roman"/>
        </w:rPr>
        <w:pict w14:anchorId="7AECB62A">
          <v:rect id="_x0000_i1030" style="width:0;height:1.5pt" o:hralign="center" o:hrstd="t" o:hr="t"/>
        </w:pict>
      </w:r>
    </w:p>
    <w:p w14:paraId="4FF98B40" w14:textId="77777777" w:rsidR="003C788D" w:rsidRDefault="00AA7D12">
      <w:pPr>
        <w:pStyle w:val="Overskrift2"/>
      </w:pPr>
      <w:bookmarkStart w:id="47" w:name="casebeskrivelse"/>
      <w:bookmarkStart w:id="48" w:name="_Toc230777785"/>
      <w:bookmarkEnd w:id="33"/>
      <w:bookmarkEnd w:id="45"/>
      <w:r>
        <w:t>4. Casebeskrivelse</w:t>
      </w:r>
      <w:bookmarkEnd w:id="48"/>
    </w:p>
    <w:p w14:paraId="335FF9FB" w14:textId="77777777" w:rsidR="003C788D" w:rsidRDefault="00AA7D12">
      <w:pPr>
        <w:pStyle w:val="FirstParagraph"/>
        <w:spacing w:line="360" w:lineRule="auto"/>
      </w:pPr>
      <w:r>
        <w:rPr>
          <w:rFonts w:eastAsia="Times New Roman" w:cs="Times New Roman"/>
          <w:b/>
          <w:bCs/>
        </w:rPr>
        <w:t>SDK Shipping</w:t>
      </w:r>
      <w:r>
        <w:rPr>
          <w:rFonts w:eastAsia="Times New Roman" w:cs="Times New Roman"/>
        </w:rPr>
        <w:t xml:space="preserve"> (heretter: </w:t>
      </w:r>
      <w:r>
        <w:rPr>
          <w:rFonts w:eastAsia="Times New Roman" w:cs="Times New Roman"/>
          <w:i/>
          <w:iCs/>
        </w:rPr>
        <w:t>bedriften</w:t>
      </w:r>
      <w:r>
        <w:rPr>
          <w:rFonts w:eastAsia="Times New Roman" w:cs="Times New Roman"/>
        </w:rPr>
        <w:t>) er en skandinavisk yachtagent som koordinerer anløp av kommersielle og privat</w:t>
      </w:r>
      <w:r>
        <w:rPr>
          <w:rFonts w:eastAsia="Times New Roman" w:cs="Times New Roman"/>
        </w:rPr>
        <w:softHyphen/>
        <w:t>eide superyachter til havner i Norge, Sverige og Danmark. Bedriften driver fra tre kontorer: Bergen Office (norske havner), Stockholm Office (svenske havner) og Copenhagen Office (danske havner). Kjerne</w:t>
      </w:r>
      <w:r>
        <w:rPr>
          <w:rFonts w:eastAsia="Times New Roman" w:cs="Times New Roman"/>
        </w:rPr>
        <w:softHyphen/>
        <w:t>tjenestene er gruppert i syv kategorier:</w:t>
      </w:r>
    </w:p>
    <w:tbl>
      <w:tblPr>
        <w:tblStyle w:val="Table"/>
        <w:tblW w:w="0" w:type="auto"/>
        <w:tblLook w:val="0020" w:firstRow="1" w:lastRow="0" w:firstColumn="0" w:lastColumn="0" w:noHBand="0" w:noVBand="0"/>
      </w:tblPr>
      <w:tblGrid>
        <w:gridCol w:w="2116"/>
        <w:gridCol w:w="4869"/>
      </w:tblGrid>
      <w:tr w:rsidR="003C788D" w14:paraId="74ED3ED0" w14:textId="77777777" w:rsidTr="003C788D">
        <w:trPr>
          <w:cnfStyle w:val="100000000000" w:firstRow="1" w:lastRow="0" w:firstColumn="0" w:lastColumn="0" w:oddVBand="0" w:evenVBand="0" w:oddHBand="0" w:evenHBand="0" w:firstRowFirstColumn="0" w:firstRowLastColumn="0" w:lastRowFirstColumn="0" w:lastRowLastColumn="0"/>
          <w:tblHeader/>
        </w:trPr>
        <w:tc>
          <w:tcPr>
            <w:tcW w:w="0" w:type="auto"/>
          </w:tcPr>
          <w:p w14:paraId="0405E2F6" w14:textId="77777777" w:rsidR="003C788D" w:rsidRDefault="00AA7D12">
            <w:pPr>
              <w:pStyle w:val="Compact"/>
              <w:spacing w:line="360" w:lineRule="auto"/>
            </w:pPr>
            <w:r>
              <w:rPr>
                <w:rFonts w:eastAsia="Times New Roman" w:cs="Times New Roman"/>
              </w:rPr>
              <w:t>Kategori</w:t>
            </w:r>
          </w:p>
        </w:tc>
        <w:tc>
          <w:tcPr>
            <w:tcW w:w="0" w:type="auto"/>
          </w:tcPr>
          <w:p w14:paraId="70E0A37F" w14:textId="77777777" w:rsidR="003C788D" w:rsidRDefault="00AA7D12">
            <w:pPr>
              <w:pStyle w:val="Compact"/>
              <w:spacing w:line="360" w:lineRule="auto"/>
            </w:pPr>
            <w:r>
              <w:rPr>
                <w:rFonts w:eastAsia="Times New Roman" w:cs="Times New Roman"/>
              </w:rPr>
              <w:t>Eksempler</w:t>
            </w:r>
          </w:p>
        </w:tc>
      </w:tr>
      <w:tr w:rsidR="003C788D" w14:paraId="29ED1EC1" w14:textId="77777777">
        <w:tc>
          <w:tcPr>
            <w:tcW w:w="0" w:type="auto"/>
          </w:tcPr>
          <w:p w14:paraId="4C8F9F2F" w14:textId="77777777" w:rsidR="003C788D" w:rsidRDefault="00AA7D12">
            <w:pPr>
              <w:pStyle w:val="Compact"/>
              <w:spacing w:line="360" w:lineRule="auto"/>
            </w:pPr>
            <w:r>
              <w:rPr>
                <w:rFonts w:eastAsia="Times New Roman" w:cs="Times New Roman"/>
                <w:b/>
                <w:bCs/>
              </w:rPr>
              <w:t>Port Marina</w:t>
            </w:r>
          </w:p>
        </w:tc>
        <w:tc>
          <w:tcPr>
            <w:tcW w:w="0" w:type="auto"/>
          </w:tcPr>
          <w:p w14:paraId="3CDA9E06" w14:textId="77777777" w:rsidR="003C788D" w:rsidRDefault="00AA7D12">
            <w:pPr>
              <w:pStyle w:val="Compact"/>
              <w:spacing w:line="360" w:lineRule="auto"/>
            </w:pPr>
            <w:r>
              <w:rPr>
                <w:rFonts w:eastAsia="Times New Roman" w:cs="Times New Roman"/>
              </w:rPr>
              <w:t>Havneavgift, los</w:t>
            </w:r>
            <w:r>
              <w:rPr>
                <w:rFonts w:eastAsia="Times New Roman" w:cs="Times New Roman"/>
              </w:rPr>
              <w:softHyphen/>
              <w:t>tjenester, NOx-skatt, fortøyning</w:t>
            </w:r>
          </w:p>
        </w:tc>
      </w:tr>
      <w:tr w:rsidR="003C788D" w14:paraId="3FB77E08" w14:textId="77777777">
        <w:tc>
          <w:tcPr>
            <w:tcW w:w="0" w:type="auto"/>
          </w:tcPr>
          <w:p w14:paraId="08C18C09" w14:textId="77777777" w:rsidR="003C788D" w:rsidRDefault="00AA7D12">
            <w:pPr>
              <w:pStyle w:val="Compact"/>
              <w:spacing w:line="360" w:lineRule="auto"/>
            </w:pPr>
            <w:r>
              <w:rPr>
                <w:rFonts w:eastAsia="Times New Roman" w:cs="Times New Roman"/>
                <w:b/>
                <w:bCs/>
              </w:rPr>
              <w:t>Agency Services</w:t>
            </w:r>
          </w:p>
        </w:tc>
        <w:tc>
          <w:tcPr>
            <w:tcW w:w="0" w:type="auto"/>
          </w:tcPr>
          <w:p w14:paraId="0425F869" w14:textId="77777777" w:rsidR="003C788D" w:rsidRDefault="00AA7D12">
            <w:pPr>
              <w:pStyle w:val="Compact"/>
              <w:spacing w:line="360" w:lineRule="auto"/>
            </w:pPr>
            <w:r>
              <w:rPr>
                <w:rFonts w:eastAsia="Times New Roman" w:cs="Times New Roman"/>
              </w:rPr>
              <w:t>Tollklarering, immigrasjon, kurer, innkjøp</w:t>
            </w:r>
          </w:p>
        </w:tc>
      </w:tr>
      <w:tr w:rsidR="003C788D" w14:paraId="0C9BFFD4" w14:textId="77777777">
        <w:tc>
          <w:tcPr>
            <w:tcW w:w="0" w:type="auto"/>
          </w:tcPr>
          <w:p w14:paraId="7D6AC0FC" w14:textId="77777777" w:rsidR="003C788D" w:rsidRDefault="00AA7D12">
            <w:pPr>
              <w:pStyle w:val="Compact"/>
              <w:spacing w:line="360" w:lineRule="auto"/>
            </w:pPr>
            <w:r>
              <w:rPr>
                <w:rFonts w:eastAsia="Times New Roman" w:cs="Times New Roman"/>
                <w:b/>
                <w:bCs/>
              </w:rPr>
              <w:t>Hospitality</w:t>
            </w:r>
          </w:p>
        </w:tc>
        <w:tc>
          <w:tcPr>
            <w:tcW w:w="0" w:type="auto"/>
          </w:tcPr>
          <w:p w14:paraId="037A79B6" w14:textId="77777777" w:rsidR="003C788D" w:rsidRDefault="00AA7D12">
            <w:pPr>
              <w:pStyle w:val="Compact"/>
              <w:spacing w:line="360" w:lineRule="auto"/>
            </w:pPr>
            <w:r>
              <w:rPr>
                <w:rFonts w:eastAsia="Times New Roman" w:cs="Times New Roman"/>
              </w:rPr>
              <w:t>Transportservice, guide, hotell, leiebil</w:t>
            </w:r>
          </w:p>
        </w:tc>
      </w:tr>
      <w:tr w:rsidR="003C788D" w14:paraId="2577B335" w14:textId="77777777">
        <w:tc>
          <w:tcPr>
            <w:tcW w:w="0" w:type="auto"/>
          </w:tcPr>
          <w:p w14:paraId="57B23125" w14:textId="77777777" w:rsidR="003C788D" w:rsidRDefault="00AA7D12">
            <w:pPr>
              <w:pStyle w:val="Compact"/>
              <w:spacing w:line="360" w:lineRule="auto"/>
            </w:pPr>
            <w:r>
              <w:rPr>
                <w:rFonts w:eastAsia="Times New Roman" w:cs="Times New Roman"/>
                <w:b/>
                <w:bCs/>
              </w:rPr>
              <w:t>Provisioning</w:t>
            </w:r>
          </w:p>
        </w:tc>
        <w:tc>
          <w:tcPr>
            <w:tcW w:w="0" w:type="auto"/>
          </w:tcPr>
          <w:p w14:paraId="6A143D11" w14:textId="77777777" w:rsidR="003C788D" w:rsidRDefault="00AA7D12">
            <w:pPr>
              <w:pStyle w:val="Compact"/>
              <w:spacing w:line="360" w:lineRule="auto"/>
            </w:pPr>
            <w:r>
              <w:rPr>
                <w:rFonts w:eastAsia="Times New Roman" w:cs="Times New Roman"/>
              </w:rPr>
              <w:t>Mat, drikke, blomster</w:t>
            </w:r>
          </w:p>
        </w:tc>
      </w:tr>
      <w:tr w:rsidR="003C788D" w14:paraId="4285789D" w14:textId="77777777">
        <w:tc>
          <w:tcPr>
            <w:tcW w:w="0" w:type="auto"/>
          </w:tcPr>
          <w:p w14:paraId="7C22BFA8" w14:textId="77777777" w:rsidR="003C788D" w:rsidRDefault="00AA7D12">
            <w:pPr>
              <w:pStyle w:val="Compact"/>
              <w:spacing w:line="360" w:lineRule="auto"/>
            </w:pPr>
            <w:r>
              <w:rPr>
                <w:rFonts w:eastAsia="Times New Roman" w:cs="Times New Roman"/>
                <w:b/>
                <w:bCs/>
              </w:rPr>
              <w:t>Technical Services</w:t>
            </w:r>
          </w:p>
        </w:tc>
        <w:tc>
          <w:tcPr>
            <w:tcW w:w="0" w:type="auto"/>
          </w:tcPr>
          <w:p w14:paraId="5C1F9434" w14:textId="77777777" w:rsidR="003C788D" w:rsidRDefault="00AA7D12">
            <w:pPr>
              <w:pStyle w:val="Compact"/>
              <w:spacing w:line="360" w:lineRule="auto"/>
            </w:pPr>
            <w:r>
              <w:rPr>
                <w:rFonts w:eastAsia="Times New Roman" w:cs="Times New Roman"/>
              </w:rPr>
              <w:t>Tekniker, mekaniker, dykker, snekker</w:t>
            </w:r>
          </w:p>
        </w:tc>
      </w:tr>
      <w:tr w:rsidR="003C788D" w14:paraId="2DEDCA3E" w14:textId="77777777">
        <w:tc>
          <w:tcPr>
            <w:tcW w:w="0" w:type="auto"/>
          </w:tcPr>
          <w:p w14:paraId="15710431" w14:textId="77777777" w:rsidR="003C788D" w:rsidRDefault="00AA7D12">
            <w:pPr>
              <w:pStyle w:val="Compact"/>
              <w:spacing w:line="360" w:lineRule="auto"/>
            </w:pPr>
            <w:r>
              <w:rPr>
                <w:rFonts w:eastAsia="Times New Roman" w:cs="Times New Roman"/>
                <w:b/>
                <w:bCs/>
              </w:rPr>
              <w:t>Bunkering</w:t>
            </w:r>
          </w:p>
        </w:tc>
        <w:tc>
          <w:tcPr>
            <w:tcW w:w="0" w:type="auto"/>
          </w:tcPr>
          <w:p w14:paraId="2BBA8785" w14:textId="77777777" w:rsidR="003C788D" w:rsidRDefault="00AA7D12">
            <w:pPr>
              <w:pStyle w:val="Compact"/>
              <w:spacing w:line="360" w:lineRule="auto"/>
            </w:pPr>
            <w:r>
              <w:rPr>
                <w:rFonts w:eastAsia="Times New Roman" w:cs="Times New Roman"/>
              </w:rPr>
              <w:t>Diesel, smøreolje</w:t>
            </w:r>
          </w:p>
        </w:tc>
      </w:tr>
      <w:tr w:rsidR="003C788D" w14:paraId="6A485340" w14:textId="77777777">
        <w:tc>
          <w:tcPr>
            <w:tcW w:w="0" w:type="auto"/>
          </w:tcPr>
          <w:p w14:paraId="16746699" w14:textId="77777777" w:rsidR="003C788D" w:rsidRDefault="00AA7D12">
            <w:pPr>
              <w:pStyle w:val="Compact"/>
              <w:spacing w:line="360" w:lineRule="auto"/>
            </w:pPr>
            <w:r>
              <w:rPr>
                <w:rFonts w:eastAsia="Times New Roman" w:cs="Times New Roman"/>
                <w:b/>
                <w:bCs/>
              </w:rPr>
              <w:t>Agency Fee</w:t>
            </w:r>
          </w:p>
        </w:tc>
        <w:tc>
          <w:tcPr>
            <w:tcW w:w="0" w:type="auto"/>
          </w:tcPr>
          <w:p w14:paraId="0A90A64B" w14:textId="77777777" w:rsidR="003C788D" w:rsidRDefault="00AA7D12">
            <w:pPr>
              <w:pStyle w:val="Compact"/>
              <w:spacing w:line="360" w:lineRule="auto"/>
            </w:pPr>
            <w:r>
              <w:rPr>
                <w:rFonts w:eastAsia="Times New Roman" w:cs="Times New Roman"/>
              </w:rPr>
              <w:t>Selve agent</w:t>
            </w:r>
            <w:r>
              <w:rPr>
                <w:rFonts w:eastAsia="Times New Roman" w:cs="Times New Roman"/>
              </w:rPr>
              <w:softHyphen/>
              <w:t>honoraret</w:t>
            </w:r>
          </w:p>
        </w:tc>
      </w:tr>
    </w:tbl>
    <w:p w14:paraId="73AEAD71" w14:textId="77777777" w:rsidR="003C788D" w:rsidRDefault="00AA7D12">
      <w:pPr>
        <w:pStyle w:val="Brdtekst"/>
        <w:spacing w:line="360" w:lineRule="auto"/>
      </w:pPr>
      <w:r>
        <w:rPr>
          <w:rFonts w:eastAsia="Times New Roman" w:cs="Times New Roman"/>
        </w:rPr>
        <w:t>Tjeneste</w:t>
      </w:r>
      <w:r>
        <w:rPr>
          <w:rFonts w:eastAsia="Times New Roman" w:cs="Times New Roman"/>
        </w:rPr>
        <w:softHyphen/>
        <w:t>miksen varierer betydelig mellom havner: Tromsø har en høy andel agent</w:t>
      </w:r>
      <w:r>
        <w:rPr>
          <w:rFonts w:eastAsia="Times New Roman" w:cs="Times New Roman"/>
        </w:rPr>
        <w:softHyphen/>
        <w:t>tjenester knyttet til toll og innkjøp, Stockholm domineres av hospitality, og Bergen har den bredeste tjeneste</w:t>
      </w:r>
      <w:r>
        <w:rPr>
          <w:rFonts w:eastAsia="Times New Roman" w:cs="Times New Roman"/>
        </w:rPr>
        <w:softHyphen/>
        <w:t>paletten med 38 forskjellige tjeneste</w:t>
      </w:r>
      <w:r>
        <w:rPr>
          <w:rFonts w:eastAsia="Times New Roman" w:cs="Times New Roman"/>
        </w:rPr>
        <w:softHyphen/>
        <w:t>typer i datasettet.</w:t>
      </w:r>
    </w:p>
    <w:p w14:paraId="0F40B72C" w14:textId="77777777" w:rsidR="003C788D" w:rsidRDefault="00AA7D12">
      <w:pPr>
        <w:pStyle w:val="Brdtekst"/>
        <w:spacing w:line="360" w:lineRule="auto"/>
      </w:pPr>
      <w:r>
        <w:rPr>
          <w:rFonts w:eastAsia="Times New Roman" w:cs="Times New Roman"/>
        </w:rPr>
        <w:t>Yachtene som behandles er i størrelses</w:t>
      </w:r>
      <w:r>
        <w:rPr>
          <w:rFonts w:eastAsia="Times New Roman" w:cs="Times New Roman"/>
        </w:rPr>
        <w:softHyphen/>
        <w:t>spennet 51,9–2 407 GT, der norske myndigheter krever los (</w:t>
      </w:r>
      <w:r>
        <w:rPr>
          <w:rStyle w:val="VerbatimChar"/>
          <w:rFonts w:ascii="Times New Roman" w:eastAsia="Times New Roman" w:hAnsi="Times New Roman" w:cs="Times New Roman"/>
          <w:sz w:val="24"/>
        </w:rPr>
        <w:t>Loskrav = Ja</w:t>
      </w:r>
      <w:r>
        <w:rPr>
          <w:rFonts w:eastAsia="Times New Roman" w:cs="Times New Roman"/>
        </w:rPr>
        <w:t>) for fartøy med LOA &gt; 70 m. Bedriften kategoriserer fartøy i tre størrelser:</w:t>
      </w:r>
    </w:p>
    <w:p w14:paraId="40BFD4D9" w14:textId="77777777" w:rsidR="003C788D" w:rsidRDefault="00AA7D12">
      <w:pPr>
        <w:pStyle w:val="Compact"/>
        <w:numPr>
          <w:ilvl w:val="0"/>
          <w:numId w:val="15"/>
        </w:numPr>
        <w:spacing w:line="360" w:lineRule="auto"/>
      </w:pPr>
      <w:r>
        <w:rPr>
          <w:rFonts w:eastAsia="Times New Roman" w:cs="Times New Roman"/>
          <w:b/>
          <w:bCs/>
        </w:rPr>
        <w:t>Liten:</w:t>
      </w:r>
      <w:r>
        <w:rPr>
          <w:rFonts w:eastAsia="Times New Roman" w:cs="Times New Roman"/>
        </w:rPr>
        <w:t xml:space="preserve"> GT &lt; 98</w:t>
      </w:r>
    </w:p>
    <w:p w14:paraId="1A5555B6" w14:textId="77777777" w:rsidR="003C788D" w:rsidRDefault="00AA7D12">
      <w:pPr>
        <w:pStyle w:val="Compact"/>
        <w:numPr>
          <w:ilvl w:val="0"/>
          <w:numId w:val="15"/>
        </w:numPr>
        <w:spacing w:line="360" w:lineRule="auto"/>
      </w:pPr>
      <w:r>
        <w:rPr>
          <w:rFonts w:eastAsia="Times New Roman" w:cs="Times New Roman"/>
          <w:b/>
          <w:bCs/>
        </w:rPr>
        <w:t>Mellomstor:</w:t>
      </w:r>
      <w:r>
        <w:rPr>
          <w:rFonts w:eastAsia="Times New Roman" w:cs="Times New Roman"/>
        </w:rPr>
        <w:t xml:space="preserve"> 98 ≤ GT ≤ 1000</w:t>
      </w:r>
    </w:p>
    <w:p w14:paraId="56C5E887" w14:textId="77777777" w:rsidR="003C788D" w:rsidRDefault="00AA7D12">
      <w:pPr>
        <w:pStyle w:val="Compact"/>
        <w:numPr>
          <w:ilvl w:val="0"/>
          <w:numId w:val="15"/>
        </w:numPr>
        <w:spacing w:line="360" w:lineRule="auto"/>
      </w:pPr>
      <w:r>
        <w:rPr>
          <w:rFonts w:eastAsia="Times New Roman" w:cs="Times New Roman"/>
          <w:b/>
          <w:bCs/>
        </w:rPr>
        <w:t>Stor:</w:t>
      </w:r>
      <w:r>
        <w:rPr>
          <w:rFonts w:eastAsia="Times New Roman" w:cs="Times New Roman"/>
        </w:rPr>
        <w:t xml:space="preserve"> GT &gt; 1000</w:t>
      </w:r>
    </w:p>
    <w:p w14:paraId="017672D7" w14:textId="77777777" w:rsidR="003C788D" w:rsidRDefault="00AA7D12">
      <w:pPr>
        <w:pStyle w:val="FirstParagraph"/>
        <w:spacing w:line="360" w:lineRule="auto"/>
      </w:pPr>
      <w:r>
        <w:rPr>
          <w:rFonts w:eastAsia="Times New Roman" w:cs="Times New Roman"/>
        </w:rPr>
        <w:t>I dag utarbeides forhånds</w:t>
      </w:r>
      <w:r>
        <w:rPr>
          <w:rFonts w:eastAsia="Times New Roman" w:cs="Times New Roman"/>
        </w:rPr>
        <w:softHyphen/>
        <w:t>estimater manuelt og varierer i kvalitet mellom koordinatorer. Bedriften ønsker et internt verktøy som gir et raskt, konsistent og forklarbart kostnads</w:t>
      </w:r>
      <w:r>
        <w:rPr>
          <w:rFonts w:eastAsia="Times New Roman" w:cs="Times New Roman"/>
        </w:rPr>
        <w:softHyphen/>
        <w:t>estimat — det er behovet NautiCost dekker.</w:t>
      </w:r>
    </w:p>
    <w:p w14:paraId="382055E2" w14:textId="77777777" w:rsidR="003C788D" w:rsidRDefault="00AA7D12">
      <w:pPr>
        <w:spacing w:line="360" w:lineRule="auto"/>
      </w:pPr>
      <w:r>
        <w:rPr>
          <w:rFonts w:eastAsia="Times New Roman" w:cs="Times New Roman"/>
        </w:rPr>
        <w:pict w14:anchorId="66155BBF">
          <v:rect id="_x0000_i1031" style="width:0;height:1.5pt" o:hralign="center" o:hrstd="t" o:hr="t"/>
        </w:pict>
      </w:r>
    </w:p>
    <w:p w14:paraId="4B8B8649" w14:textId="77777777" w:rsidR="003C788D" w:rsidRDefault="00AA7D12">
      <w:pPr>
        <w:pStyle w:val="Overskrift2"/>
      </w:pPr>
      <w:bookmarkStart w:id="49" w:name="metode-og-data"/>
      <w:bookmarkStart w:id="50" w:name="_Toc230777786"/>
      <w:bookmarkEnd w:id="47"/>
      <w:r>
        <w:t>5. Metode og data</w:t>
      </w:r>
      <w:bookmarkEnd w:id="50"/>
    </w:p>
    <w:p w14:paraId="42AB72E4" w14:textId="77777777" w:rsidR="003C788D" w:rsidRDefault="00AA7D12">
      <w:pPr>
        <w:pStyle w:val="Overskrift3"/>
      </w:pPr>
      <w:bookmarkStart w:id="51" w:name="prosessmapping-mot-pensumkompendiet"/>
      <w:bookmarkStart w:id="52" w:name="_Toc230777787"/>
      <w:r>
        <w:t>5.0 Prosess</w:t>
      </w:r>
      <w:r>
        <w:softHyphen/>
        <w:t>mapping mot pensum</w:t>
      </w:r>
      <w:r>
        <w:softHyphen/>
        <w:t>kompendiet</w:t>
      </w:r>
      <w:bookmarkEnd w:id="52"/>
    </w:p>
    <w:p w14:paraId="46635C89" w14:textId="77777777" w:rsidR="003C788D" w:rsidRDefault="00AA7D12">
      <w:pPr>
        <w:pStyle w:val="FirstParagraph"/>
        <w:spacing w:line="360" w:lineRule="auto"/>
      </w:pPr>
      <w:r>
        <w:rPr>
          <w:rFonts w:eastAsia="Times New Roman" w:cs="Times New Roman"/>
        </w:rPr>
        <w:t>Pensum</w:t>
      </w:r>
      <w:r>
        <w:rPr>
          <w:rFonts w:eastAsia="Times New Roman" w:cs="Times New Roman"/>
        </w:rPr>
        <w:softHyphen/>
        <w:t>kompendiet (Pettersen &amp; Rekdal, 2026, § i.4) foreskriver en femtrinns prosess for et kvantitativt logistikk</w:t>
      </w:r>
      <w:r>
        <w:rPr>
          <w:rFonts w:eastAsia="Times New Roman" w:cs="Times New Roman"/>
        </w:rPr>
        <w:softHyphen/>
        <w:t>prosjekt. YO_Predcost følger denne prosessen, og tabellen under viser hvilke kapitler som realiserer hvert steg:</w:t>
      </w:r>
    </w:p>
    <w:tbl>
      <w:tblPr>
        <w:tblStyle w:val="Table"/>
        <w:tblW w:w="5000" w:type="pct"/>
        <w:tblLayout w:type="fixed"/>
        <w:tblLook w:val="0020" w:firstRow="1" w:lastRow="0" w:firstColumn="0" w:lastColumn="0" w:noHBand="0" w:noVBand="0"/>
      </w:tblPr>
      <w:tblGrid>
        <w:gridCol w:w="4811"/>
        <w:gridCol w:w="4811"/>
      </w:tblGrid>
      <w:tr w:rsidR="003C788D" w14:paraId="01612BF3" w14:textId="77777777" w:rsidTr="003C788D">
        <w:trPr>
          <w:cnfStyle w:val="100000000000" w:firstRow="1" w:lastRow="0" w:firstColumn="0" w:lastColumn="0" w:oddVBand="0" w:evenVBand="0" w:oddHBand="0" w:evenHBand="0" w:firstRowFirstColumn="0" w:firstRowLastColumn="0" w:lastRowFirstColumn="0" w:lastRowLastColumn="0"/>
          <w:tblHeader/>
        </w:trPr>
        <w:tc>
          <w:tcPr>
            <w:tcW w:w="3960" w:type="dxa"/>
          </w:tcPr>
          <w:p w14:paraId="6CE1C716" w14:textId="77777777" w:rsidR="003C788D" w:rsidRDefault="00AA7D12">
            <w:pPr>
              <w:pStyle w:val="Compact"/>
              <w:spacing w:line="360" w:lineRule="auto"/>
            </w:pPr>
            <w:r>
              <w:rPr>
                <w:rFonts w:eastAsia="Times New Roman" w:cs="Times New Roman"/>
              </w:rPr>
              <w:t>Prosess</w:t>
            </w:r>
            <w:r>
              <w:rPr>
                <w:rFonts w:eastAsia="Times New Roman" w:cs="Times New Roman"/>
              </w:rPr>
              <w:softHyphen/>
              <w:t>steg (kompendiet § i.4)</w:t>
            </w:r>
          </w:p>
        </w:tc>
        <w:tc>
          <w:tcPr>
            <w:tcW w:w="3960" w:type="dxa"/>
          </w:tcPr>
          <w:p w14:paraId="2C9F9699" w14:textId="77777777" w:rsidR="003C788D" w:rsidRDefault="00AA7D12">
            <w:pPr>
              <w:pStyle w:val="Compact"/>
              <w:spacing w:line="360" w:lineRule="auto"/>
            </w:pPr>
            <w:r>
              <w:rPr>
                <w:rFonts w:eastAsia="Times New Roman" w:cs="Times New Roman"/>
              </w:rPr>
              <w:t>Realisert i YO_Predcost-rapporten</w:t>
            </w:r>
          </w:p>
        </w:tc>
      </w:tr>
      <w:tr w:rsidR="003C788D" w14:paraId="41F97D45" w14:textId="77777777">
        <w:tc>
          <w:tcPr>
            <w:tcW w:w="3960" w:type="dxa"/>
          </w:tcPr>
          <w:p w14:paraId="07DFBDE1" w14:textId="77777777" w:rsidR="003C788D" w:rsidRDefault="00AA7D12">
            <w:pPr>
              <w:pStyle w:val="Compact"/>
              <w:spacing w:line="360" w:lineRule="auto"/>
            </w:pPr>
            <w:r>
              <w:rPr>
                <w:rFonts w:eastAsia="Times New Roman" w:cs="Times New Roman"/>
              </w:rPr>
              <w:t>Steg 1: Datainnsamling</w:t>
            </w:r>
          </w:p>
        </w:tc>
        <w:tc>
          <w:tcPr>
            <w:tcW w:w="3960" w:type="dxa"/>
          </w:tcPr>
          <w:p w14:paraId="2D8427D9" w14:textId="77777777" w:rsidR="003C788D" w:rsidRDefault="00AA7D12">
            <w:pPr>
              <w:pStyle w:val="Compact"/>
              <w:spacing w:line="360" w:lineRule="auto"/>
            </w:pPr>
            <w:r>
              <w:rPr>
                <w:rFonts w:eastAsia="Times New Roman" w:cs="Times New Roman"/>
              </w:rPr>
              <w:t>§ 5.2 datakilder, § 5.3 datapreparering</w:t>
            </w:r>
          </w:p>
        </w:tc>
      </w:tr>
      <w:tr w:rsidR="003C788D" w14:paraId="3A8AE256" w14:textId="77777777">
        <w:tc>
          <w:tcPr>
            <w:tcW w:w="3960" w:type="dxa"/>
          </w:tcPr>
          <w:p w14:paraId="1B47A290" w14:textId="77777777" w:rsidR="003C788D" w:rsidRDefault="00AA7D12">
            <w:pPr>
              <w:pStyle w:val="Compact"/>
              <w:spacing w:line="360" w:lineRule="auto"/>
            </w:pPr>
            <w:r>
              <w:rPr>
                <w:rFonts w:eastAsia="Times New Roman" w:cs="Times New Roman"/>
              </w:rPr>
              <w:t>Steg 2: Sjekk av antakelser</w:t>
            </w:r>
          </w:p>
        </w:tc>
        <w:tc>
          <w:tcPr>
            <w:tcW w:w="3960" w:type="dxa"/>
          </w:tcPr>
          <w:p w14:paraId="26342C0E" w14:textId="77777777" w:rsidR="003C788D" w:rsidRDefault="00AA7D12">
            <w:pPr>
              <w:pStyle w:val="Compact"/>
              <w:spacing w:line="360" w:lineRule="auto"/>
            </w:pPr>
            <w:r>
              <w:rPr>
                <w:rFonts w:eastAsia="Times New Roman" w:cs="Times New Roman"/>
              </w:rPr>
              <w:t>§ 5.7 antakelses</w:t>
            </w:r>
            <w:r>
              <w:rPr>
                <w:rFonts w:eastAsia="Times New Roman" w:cs="Times New Roman"/>
              </w:rPr>
              <w:softHyphen/>
              <w:t>diagnostikk, § 7.4 residual</w:t>
            </w:r>
            <w:r>
              <w:rPr>
                <w:rFonts w:eastAsia="Times New Roman" w:cs="Times New Roman"/>
              </w:rPr>
              <w:softHyphen/>
              <w:t>analyse</w:t>
            </w:r>
          </w:p>
        </w:tc>
      </w:tr>
      <w:tr w:rsidR="003C788D" w14:paraId="64CF6C3D" w14:textId="77777777">
        <w:tc>
          <w:tcPr>
            <w:tcW w:w="3960" w:type="dxa"/>
          </w:tcPr>
          <w:p w14:paraId="7D19E17E" w14:textId="77777777" w:rsidR="003C788D" w:rsidRDefault="00AA7D12">
            <w:pPr>
              <w:pStyle w:val="Compact"/>
              <w:spacing w:line="360" w:lineRule="auto"/>
            </w:pPr>
            <w:r>
              <w:rPr>
                <w:rFonts w:eastAsia="Times New Roman" w:cs="Times New Roman"/>
              </w:rPr>
              <w:t>Steg 3: Løsning (modell</w:t>
            </w:r>
            <w:r>
              <w:rPr>
                <w:rFonts w:eastAsia="Times New Roman" w:cs="Times New Roman"/>
              </w:rPr>
              <w:softHyphen/>
              <w:t>estimering)</w:t>
            </w:r>
          </w:p>
        </w:tc>
        <w:tc>
          <w:tcPr>
            <w:tcW w:w="3960" w:type="dxa"/>
          </w:tcPr>
          <w:p w14:paraId="64ECA053" w14:textId="77777777" w:rsidR="003C788D" w:rsidRDefault="00AA7D12">
            <w:pPr>
              <w:pStyle w:val="Compact"/>
              <w:spacing w:line="360" w:lineRule="auto"/>
            </w:pPr>
            <w:r>
              <w:rPr>
                <w:rFonts w:eastAsia="Times New Roman" w:cs="Times New Roman"/>
              </w:rPr>
              <w:t>§ 6.3 ensemble</w:t>
            </w:r>
            <w:r>
              <w:rPr>
                <w:rFonts w:eastAsia="Times New Roman" w:cs="Times New Roman"/>
              </w:rPr>
              <w:softHyphen/>
              <w:t>modell, § 6.4 kvantil</w:t>
            </w:r>
            <w:r>
              <w:rPr>
                <w:rFonts w:eastAsia="Times New Roman" w:cs="Times New Roman"/>
              </w:rPr>
              <w:softHyphen/>
              <w:t>modell, § 6.5 hybrid kalibrering</w:t>
            </w:r>
          </w:p>
        </w:tc>
      </w:tr>
      <w:tr w:rsidR="003C788D" w14:paraId="005423A6" w14:textId="77777777">
        <w:tc>
          <w:tcPr>
            <w:tcW w:w="3960" w:type="dxa"/>
          </w:tcPr>
          <w:p w14:paraId="04784312" w14:textId="77777777" w:rsidR="003C788D" w:rsidRDefault="00AA7D12">
            <w:pPr>
              <w:pStyle w:val="Compact"/>
              <w:spacing w:line="360" w:lineRule="auto"/>
            </w:pPr>
            <w:r>
              <w:rPr>
                <w:rFonts w:eastAsia="Times New Roman" w:cs="Times New Roman"/>
              </w:rPr>
              <w:t>Steg 4: Sjekk av løsning</w:t>
            </w:r>
          </w:p>
        </w:tc>
        <w:tc>
          <w:tcPr>
            <w:tcW w:w="3960" w:type="dxa"/>
          </w:tcPr>
          <w:p w14:paraId="14B1B407" w14:textId="77777777" w:rsidR="003C788D" w:rsidRDefault="00AA7D12">
            <w:pPr>
              <w:pStyle w:val="Compact"/>
              <w:spacing w:line="360" w:lineRule="auto"/>
            </w:pPr>
            <w:r>
              <w:rPr>
                <w:rFonts w:eastAsia="Times New Roman" w:cs="Times New Roman"/>
              </w:rPr>
              <w:t>§ 8 resultater (valideringssett-metrikker + endelig testsett-evaluering), § 8.2 kvantil</w:t>
            </w:r>
            <w:r>
              <w:rPr>
                <w:rFonts w:eastAsia="Times New Roman" w:cs="Times New Roman"/>
              </w:rPr>
              <w:softHyphen/>
              <w:t>dekning</w:t>
            </w:r>
          </w:p>
        </w:tc>
      </w:tr>
      <w:tr w:rsidR="003C788D" w14:paraId="6F975511" w14:textId="77777777">
        <w:tc>
          <w:tcPr>
            <w:tcW w:w="3960" w:type="dxa"/>
          </w:tcPr>
          <w:p w14:paraId="36E84623" w14:textId="77777777" w:rsidR="003C788D" w:rsidRDefault="00AA7D12">
            <w:pPr>
              <w:pStyle w:val="Compact"/>
              <w:spacing w:line="360" w:lineRule="auto"/>
            </w:pPr>
            <w:r>
              <w:rPr>
                <w:rFonts w:eastAsia="Times New Roman" w:cs="Times New Roman"/>
              </w:rPr>
              <w:t>Steg 5: Anvendelse</w:t>
            </w:r>
          </w:p>
        </w:tc>
        <w:tc>
          <w:tcPr>
            <w:tcW w:w="3960" w:type="dxa"/>
          </w:tcPr>
          <w:p w14:paraId="07D7745A" w14:textId="77777777" w:rsidR="003C788D" w:rsidRDefault="00AA7D12">
            <w:pPr>
              <w:pStyle w:val="Compact"/>
              <w:spacing w:line="360" w:lineRule="auto"/>
            </w:pPr>
            <w:r>
              <w:rPr>
                <w:rFonts w:eastAsia="Times New Roman" w:cs="Times New Roman"/>
              </w:rPr>
              <w:t>§ 6.5 hybrid kalibrering på anløpsnivå, § 8.4 operasjonell ytelse, § 9.5 brukertest</w:t>
            </w:r>
          </w:p>
        </w:tc>
      </w:tr>
    </w:tbl>
    <w:p w14:paraId="1BA76C1B" w14:textId="77777777" w:rsidR="003C788D" w:rsidRDefault="00AA7D12">
      <w:pPr>
        <w:pStyle w:val="Brdtekst"/>
        <w:spacing w:line="360" w:lineRule="auto"/>
      </w:pPr>
      <w:r>
        <w:rPr>
          <w:rFonts w:eastAsia="Times New Roman" w:cs="Times New Roman"/>
        </w:rPr>
        <w:t>Mappingen sikrer at lesere som har pensum</w:t>
      </w:r>
      <w:r>
        <w:rPr>
          <w:rFonts w:eastAsia="Times New Roman" w:cs="Times New Roman"/>
        </w:rPr>
        <w:softHyphen/>
        <w:t>kompendiet kan navigere rapporten med kjent rammeverk, og at de fem trinnene er dekket før konklusjonen i § 10.</w:t>
      </w:r>
    </w:p>
    <w:p w14:paraId="00EB1643" w14:textId="77777777" w:rsidR="003C788D" w:rsidRDefault="00AA7D12">
      <w:pPr>
        <w:pStyle w:val="Overskrift3"/>
      </w:pPr>
      <w:bookmarkStart w:id="53" w:name="forskningsdesign"/>
      <w:bookmarkStart w:id="54" w:name="_Toc230777788"/>
      <w:bookmarkEnd w:id="51"/>
      <w:r>
        <w:t>5.1 Forskningsdesign</w:t>
      </w:r>
      <w:bookmarkEnd w:id="54"/>
    </w:p>
    <w:p w14:paraId="55C1C2A2" w14:textId="77777777" w:rsidR="003C788D" w:rsidRDefault="00AA7D12">
      <w:pPr>
        <w:pStyle w:val="FirstParagraph"/>
        <w:spacing w:line="360" w:lineRule="auto"/>
      </w:pPr>
      <w:r>
        <w:rPr>
          <w:rFonts w:eastAsia="Times New Roman" w:cs="Times New Roman"/>
        </w:rPr>
        <w:t>Prosjektet følger et anvendt-prediktivt forskningsdesign: kostnads</w:t>
      </w:r>
      <w:r>
        <w:rPr>
          <w:rFonts w:eastAsia="Times New Roman" w:cs="Times New Roman"/>
        </w:rPr>
        <w:softHyphen/>
      </w:r>
      <w:r>
        <w:rPr>
          <w:rFonts w:eastAsia="Times New Roman" w:cs="Times New Roman"/>
        </w:rPr>
        <w:t>estimering formuleres som et superviseret regresjonsproblem på transaksjonsnivå, med tids</w:t>
      </w:r>
      <w:r>
        <w:rPr>
          <w:rFonts w:eastAsia="Times New Roman" w:cs="Times New Roman"/>
        </w:rPr>
        <w:softHyphen/>
        <w:t>basert split for å unngå data</w:t>
      </w:r>
      <w:r>
        <w:rPr>
          <w:rFonts w:eastAsia="Times New Roman" w:cs="Times New Roman"/>
        </w:rPr>
        <w:softHyphen/>
        <w:t>lekkasje, og modellen evalueres mot operasjonelt relevante feilmetrikker (MAE i EUR — kildedataenes egen valuta, jf. § 1.3 — samt P25–P75-dekning).</w:t>
      </w:r>
    </w:p>
    <w:p w14:paraId="0554A6D6" w14:textId="77777777" w:rsidR="003C788D" w:rsidRDefault="00AA7D12">
      <w:pPr>
        <w:pStyle w:val="Overskrift3"/>
      </w:pPr>
      <w:bookmarkStart w:id="55" w:name="datakilder"/>
      <w:bookmarkStart w:id="56" w:name="_Toc230777789"/>
      <w:bookmarkEnd w:id="53"/>
      <w:r>
        <w:t>5.2 Datakilder</w:t>
      </w:r>
      <w:bookmarkEnd w:id="56"/>
    </w:p>
    <w:tbl>
      <w:tblPr>
        <w:tblStyle w:val="Table"/>
        <w:tblW w:w="5000" w:type="pct"/>
        <w:tblLayout w:type="fixed"/>
        <w:tblLook w:val="0020" w:firstRow="1" w:lastRow="0" w:firstColumn="0" w:lastColumn="0" w:noHBand="0" w:noVBand="0"/>
      </w:tblPr>
      <w:tblGrid>
        <w:gridCol w:w="2886"/>
        <w:gridCol w:w="2887"/>
        <w:gridCol w:w="3849"/>
      </w:tblGrid>
      <w:tr w:rsidR="003C788D" w14:paraId="75A80900" w14:textId="77777777" w:rsidTr="003C788D">
        <w:trPr>
          <w:cnfStyle w:val="100000000000" w:firstRow="1" w:lastRow="0" w:firstColumn="0" w:lastColumn="0" w:oddVBand="0" w:evenVBand="0" w:oddHBand="0" w:evenHBand="0" w:firstRowFirstColumn="0" w:firstRowLastColumn="0" w:lastRowFirstColumn="0" w:lastRowLastColumn="0"/>
          <w:tblHeader/>
        </w:trPr>
        <w:tc>
          <w:tcPr>
            <w:tcW w:w="2376" w:type="dxa"/>
          </w:tcPr>
          <w:p w14:paraId="1B91007D" w14:textId="77777777" w:rsidR="003C788D" w:rsidRDefault="00AA7D12">
            <w:pPr>
              <w:pStyle w:val="Compact"/>
              <w:spacing w:line="360" w:lineRule="auto"/>
            </w:pPr>
            <w:r>
              <w:rPr>
                <w:rFonts w:eastAsia="Times New Roman" w:cs="Times New Roman"/>
              </w:rPr>
              <w:t>Fil</w:t>
            </w:r>
          </w:p>
        </w:tc>
        <w:tc>
          <w:tcPr>
            <w:tcW w:w="2376" w:type="dxa"/>
          </w:tcPr>
          <w:p w14:paraId="24CC7D59" w14:textId="77777777" w:rsidR="003C788D" w:rsidRDefault="00AA7D12">
            <w:pPr>
              <w:pStyle w:val="Compact"/>
              <w:spacing w:line="360" w:lineRule="auto"/>
            </w:pPr>
            <w:r>
              <w:rPr>
                <w:rFonts w:eastAsia="Times New Roman" w:cs="Times New Roman"/>
              </w:rPr>
              <w:t>Innhold</w:t>
            </w:r>
          </w:p>
        </w:tc>
        <w:tc>
          <w:tcPr>
            <w:tcW w:w="3168" w:type="dxa"/>
          </w:tcPr>
          <w:p w14:paraId="53F1932D" w14:textId="77777777" w:rsidR="003C788D" w:rsidRDefault="00AA7D12">
            <w:pPr>
              <w:pStyle w:val="Compact"/>
              <w:spacing w:line="360" w:lineRule="auto"/>
              <w:jc w:val="right"/>
            </w:pPr>
            <w:r>
              <w:rPr>
                <w:rFonts w:eastAsia="Times New Roman" w:cs="Times New Roman"/>
              </w:rPr>
              <w:t>Rader</w:t>
            </w:r>
          </w:p>
        </w:tc>
      </w:tr>
      <w:tr w:rsidR="003C788D" w14:paraId="16BC941E" w14:textId="77777777">
        <w:tc>
          <w:tcPr>
            <w:tcW w:w="2376" w:type="dxa"/>
          </w:tcPr>
          <w:p w14:paraId="4A6E352B" w14:textId="77777777" w:rsidR="003C788D" w:rsidRDefault="00AA7D12">
            <w:pPr>
              <w:pStyle w:val="Compact"/>
              <w:spacing w:line="360" w:lineRule="auto"/>
            </w:pPr>
            <w:r>
              <w:rPr>
                <w:rStyle w:val="VerbatimChar"/>
                <w:rFonts w:ascii="Times New Roman" w:eastAsia="Times New Roman" w:hAnsi="Times New Roman" w:cs="Times New Roman"/>
                <w:sz w:val="24"/>
              </w:rPr>
              <w:t>Rådata Nauticost.xlsx</w:t>
            </w:r>
            <w:r>
              <w:rPr>
                <w:rFonts w:eastAsia="Times New Roman" w:cs="Times New Roman"/>
              </w:rPr>
              <w:t xml:space="preserve"> (sheet 1)</w:t>
            </w:r>
          </w:p>
        </w:tc>
        <w:tc>
          <w:tcPr>
            <w:tcW w:w="2376" w:type="dxa"/>
          </w:tcPr>
          <w:p w14:paraId="00FA8951" w14:textId="77777777" w:rsidR="003C788D" w:rsidRDefault="00AA7D12">
            <w:pPr>
              <w:pStyle w:val="Compact"/>
              <w:spacing w:line="360" w:lineRule="auto"/>
            </w:pPr>
            <w:r>
              <w:rPr>
                <w:rFonts w:eastAsia="Times New Roman" w:cs="Times New Roman"/>
              </w:rPr>
              <w:t>Reelle 2025-fakturaer fra SDK Shipping + simulerte 2020–2024-transaksjoner</w:t>
            </w:r>
          </w:p>
        </w:tc>
        <w:tc>
          <w:tcPr>
            <w:tcW w:w="3168" w:type="dxa"/>
          </w:tcPr>
          <w:p w14:paraId="2672A1F9" w14:textId="77777777" w:rsidR="003C788D" w:rsidRDefault="00AA7D12">
            <w:pPr>
              <w:pStyle w:val="Compact"/>
              <w:spacing w:line="360" w:lineRule="auto"/>
              <w:jc w:val="right"/>
            </w:pPr>
            <w:r>
              <w:rPr>
                <w:rFonts w:eastAsia="Times New Roman" w:cs="Times New Roman"/>
              </w:rPr>
              <w:t>932</w:t>
            </w:r>
          </w:p>
        </w:tc>
      </w:tr>
      <w:tr w:rsidR="003C788D" w14:paraId="6094A057" w14:textId="77777777">
        <w:tc>
          <w:tcPr>
            <w:tcW w:w="2376" w:type="dxa"/>
          </w:tcPr>
          <w:p w14:paraId="5B8B0CE4" w14:textId="77777777" w:rsidR="003C788D" w:rsidRDefault="00AA7D12">
            <w:pPr>
              <w:pStyle w:val="Compact"/>
              <w:spacing w:line="360" w:lineRule="auto"/>
            </w:pPr>
            <w:r>
              <w:rPr>
                <w:rStyle w:val="VerbatimChar"/>
                <w:rFonts w:ascii="Times New Roman" w:eastAsia="Times New Roman" w:hAnsi="Times New Roman" w:cs="Times New Roman"/>
                <w:sz w:val="24"/>
              </w:rPr>
              <w:t>Kostnader_MM.csv</w:t>
            </w:r>
          </w:p>
        </w:tc>
        <w:tc>
          <w:tcPr>
            <w:tcW w:w="2376" w:type="dxa"/>
          </w:tcPr>
          <w:p w14:paraId="007A5BB0" w14:textId="77777777" w:rsidR="003C788D" w:rsidRDefault="00AA7D12">
            <w:pPr>
              <w:pStyle w:val="Compact"/>
              <w:spacing w:line="360" w:lineRule="auto"/>
            </w:pPr>
            <w:r>
              <w:rPr>
                <w:rFonts w:eastAsia="Times New Roman" w:cs="Times New Roman"/>
              </w:rPr>
              <w:t>Eksportert transaksjons</w:t>
            </w:r>
            <w:r>
              <w:rPr>
                <w:rFonts w:eastAsia="Times New Roman" w:cs="Times New Roman"/>
              </w:rPr>
              <w:softHyphen/>
              <w:t>data (inkl. subtotaler)</w:t>
            </w:r>
          </w:p>
        </w:tc>
        <w:tc>
          <w:tcPr>
            <w:tcW w:w="3168" w:type="dxa"/>
          </w:tcPr>
          <w:p w14:paraId="711C2A6E" w14:textId="77777777" w:rsidR="003C788D" w:rsidRDefault="00AA7D12">
            <w:pPr>
              <w:pStyle w:val="Compact"/>
              <w:spacing w:line="360" w:lineRule="auto"/>
              <w:jc w:val="right"/>
            </w:pPr>
            <w:r>
              <w:rPr>
                <w:rFonts w:eastAsia="Times New Roman" w:cs="Times New Roman"/>
              </w:rPr>
              <w:t>3 325</w:t>
            </w:r>
          </w:p>
        </w:tc>
      </w:tr>
      <w:tr w:rsidR="003C788D" w14:paraId="4DAC2F8E" w14:textId="77777777">
        <w:tc>
          <w:tcPr>
            <w:tcW w:w="2376" w:type="dxa"/>
          </w:tcPr>
          <w:p w14:paraId="40D82204" w14:textId="77777777" w:rsidR="003C788D" w:rsidRDefault="00AA7D12">
            <w:pPr>
              <w:pStyle w:val="Compact"/>
              <w:spacing w:line="360" w:lineRule="auto"/>
            </w:pPr>
            <w:r>
              <w:rPr>
                <w:rStyle w:val="VerbatimChar"/>
                <w:rFonts w:ascii="Times New Roman" w:eastAsia="Times New Roman" w:hAnsi="Times New Roman" w:cs="Times New Roman"/>
                <w:sz w:val="24"/>
              </w:rPr>
              <w:t>costs_clean.csv</w:t>
            </w:r>
          </w:p>
        </w:tc>
        <w:tc>
          <w:tcPr>
            <w:tcW w:w="2376" w:type="dxa"/>
          </w:tcPr>
          <w:p w14:paraId="3E9DC952" w14:textId="77777777" w:rsidR="003C788D" w:rsidRDefault="00AA7D12">
            <w:pPr>
              <w:pStyle w:val="Compact"/>
              <w:spacing w:line="360" w:lineRule="auto"/>
            </w:pPr>
            <w:r>
              <w:rPr>
                <w:rFonts w:eastAsia="Times New Roman" w:cs="Times New Roman"/>
              </w:rPr>
              <w:t>Renset transaksjons</w:t>
            </w:r>
            <w:r>
              <w:rPr>
                <w:rFonts w:eastAsia="Times New Roman" w:cs="Times New Roman"/>
              </w:rPr>
              <w:softHyphen/>
              <w:t xml:space="preserve">data fra </w:t>
            </w:r>
            <w:r>
              <w:rPr>
                <w:rStyle w:val="VerbatimChar"/>
                <w:rFonts w:ascii="Times New Roman" w:eastAsia="Times New Roman" w:hAnsi="Times New Roman" w:cs="Times New Roman"/>
                <w:sz w:val="24"/>
              </w:rPr>
              <w:t>data_prep.ipynb</w:t>
            </w:r>
          </w:p>
        </w:tc>
        <w:tc>
          <w:tcPr>
            <w:tcW w:w="3168" w:type="dxa"/>
          </w:tcPr>
          <w:p w14:paraId="46412EC6" w14:textId="77777777" w:rsidR="003C788D" w:rsidRDefault="00AA7D12">
            <w:pPr>
              <w:pStyle w:val="Compact"/>
              <w:spacing w:line="360" w:lineRule="auto"/>
              <w:jc w:val="right"/>
            </w:pPr>
            <w:r>
              <w:rPr>
                <w:rFonts w:eastAsia="Times New Roman" w:cs="Times New Roman"/>
              </w:rPr>
              <w:t>1 654</w:t>
            </w:r>
          </w:p>
        </w:tc>
      </w:tr>
      <w:tr w:rsidR="003C788D" w14:paraId="70B43C62" w14:textId="77777777">
        <w:tc>
          <w:tcPr>
            <w:tcW w:w="2376" w:type="dxa"/>
          </w:tcPr>
          <w:p w14:paraId="61A93B51" w14:textId="77777777" w:rsidR="003C788D" w:rsidRDefault="00AA7D12">
            <w:pPr>
              <w:pStyle w:val="Compact"/>
              <w:spacing w:line="360" w:lineRule="auto"/>
            </w:pPr>
            <w:r>
              <w:rPr>
                <w:rStyle w:val="VerbatimChar"/>
                <w:rFonts w:ascii="Times New Roman" w:eastAsia="Times New Roman" w:hAnsi="Times New Roman" w:cs="Times New Roman"/>
                <w:sz w:val="24"/>
              </w:rPr>
              <w:t>costs_merged.csv</w:t>
            </w:r>
          </w:p>
        </w:tc>
        <w:tc>
          <w:tcPr>
            <w:tcW w:w="2376" w:type="dxa"/>
          </w:tcPr>
          <w:p w14:paraId="34557F5F" w14:textId="77777777" w:rsidR="003C788D" w:rsidRDefault="00AA7D12">
            <w:pPr>
              <w:pStyle w:val="Compact"/>
              <w:spacing w:line="360" w:lineRule="auto"/>
            </w:pPr>
            <w:r>
              <w:rPr>
                <w:rFonts w:eastAsia="Times New Roman" w:cs="Times New Roman"/>
              </w:rPr>
              <w:t>Transaksjoner sammenstilt med yacht</w:t>
            </w:r>
            <w:r>
              <w:rPr>
                <w:rFonts w:eastAsia="Times New Roman" w:cs="Times New Roman"/>
              </w:rPr>
              <w:softHyphen/>
              <w:t>spesifikasjoner</w:t>
            </w:r>
          </w:p>
        </w:tc>
        <w:tc>
          <w:tcPr>
            <w:tcW w:w="3168" w:type="dxa"/>
          </w:tcPr>
          <w:p w14:paraId="4F043D65" w14:textId="77777777" w:rsidR="003C788D" w:rsidRDefault="00AA7D12">
            <w:pPr>
              <w:pStyle w:val="Compact"/>
              <w:spacing w:line="360" w:lineRule="auto"/>
              <w:jc w:val="right"/>
            </w:pPr>
            <w:r>
              <w:rPr>
                <w:rFonts w:eastAsia="Times New Roman" w:cs="Times New Roman"/>
              </w:rPr>
              <w:t>1 654 (1 633 med gyldig pris)</w:t>
            </w:r>
          </w:p>
        </w:tc>
      </w:tr>
      <w:tr w:rsidR="003C788D" w14:paraId="2767AC2A" w14:textId="77777777">
        <w:tc>
          <w:tcPr>
            <w:tcW w:w="2376" w:type="dxa"/>
          </w:tcPr>
          <w:p w14:paraId="4D7D5CA2" w14:textId="77777777" w:rsidR="003C788D" w:rsidRDefault="00AA7D12">
            <w:pPr>
              <w:pStyle w:val="Compact"/>
              <w:spacing w:line="360" w:lineRule="auto"/>
            </w:pPr>
            <w:r>
              <w:rPr>
                <w:rStyle w:val="VerbatimChar"/>
                <w:rFonts w:ascii="Times New Roman" w:eastAsia="Times New Roman" w:hAnsi="Times New Roman" w:cs="Times New Roman"/>
                <w:sz w:val="24"/>
              </w:rPr>
              <w:t>Yacht-specs.csv</w:t>
            </w:r>
            <w:r>
              <w:rPr>
                <w:rFonts w:eastAsia="Times New Roman" w:cs="Times New Roman"/>
              </w:rPr>
              <w:t xml:space="preserve"> / </w:t>
            </w:r>
            <w:r>
              <w:rPr>
                <w:rStyle w:val="VerbatimChar"/>
                <w:rFonts w:ascii="Times New Roman" w:eastAsia="Times New Roman" w:hAnsi="Times New Roman" w:cs="Times New Roman"/>
                <w:sz w:val="24"/>
              </w:rPr>
              <w:t>specs_clean.csv</w:t>
            </w:r>
          </w:p>
        </w:tc>
        <w:tc>
          <w:tcPr>
            <w:tcW w:w="2376" w:type="dxa"/>
          </w:tcPr>
          <w:p w14:paraId="5D579561" w14:textId="77777777" w:rsidR="003C788D" w:rsidRDefault="00AA7D12">
            <w:pPr>
              <w:pStyle w:val="Compact"/>
              <w:spacing w:line="360" w:lineRule="auto"/>
            </w:pPr>
            <w:r>
              <w:rPr>
                <w:rFonts w:eastAsia="Times New Roman" w:cs="Times New Roman"/>
              </w:rPr>
              <w:t>17 unike yachter (19 spec-rader, noen revideres over tid)</w:t>
            </w:r>
          </w:p>
        </w:tc>
        <w:tc>
          <w:tcPr>
            <w:tcW w:w="3168" w:type="dxa"/>
          </w:tcPr>
          <w:p w14:paraId="040AA4FA" w14:textId="77777777" w:rsidR="003C788D" w:rsidRDefault="00AA7D12">
            <w:pPr>
              <w:pStyle w:val="Compact"/>
              <w:spacing w:line="360" w:lineRule="auto"/>
              <w:jc w:val="right"/>
            </w:pPr>
            <w:r>
              <w:rPr>
                <w:rFonts w:eastAsia="Times New Roman" w:cs="Times New Roman"/>
              </w:rPr>
              <w:t>19</w:t>
            </w:r>
          </w:p>
        </w:tc>
      </w:tr>
      <w:tr w:rsidR="003C788D" w14:paraId="550BA772" w14:textId="77777777">
        <w:tc>
          <w:tcPr>
            <w:tcW w:w="2376" w:type="dxa"/>
          </w:tcPr>
          <w:p w14:paraId="4F449A94" w14:textId="77777777" w:rsidR="003C788D" w:rsidRDefault="00AA7D12">
            <w:pPr>
              <w:pStyle w:val="Compact"/>
              <w:spacing w:line="360" w:lineRule="auto"/>
            </w:pPr>
            <w:r>
              <w:rPr>
                <w:rStyle w:val="VerbatimChar"/>
                <w:rFonts w:ascii="Times New Roman" w:eastAsia="Times New Roman" w:hAnsi="Times New Roman" w:cs="Times New Roman"/>
                <w:sz w:val="24"/>
              </w:rPr>
              <w:t>cockpit_clean.csv</w:t>
            </w:r>
          </w:p>
        </w:tc>
        <w:tc>
          <w:tcPr>
            <w:tcW w:w="2376" w:type="dxa"/>
          </w:tcPr>
          <w:p w14:paraId="15EAF902" w14:textId="77777777" w:rsidR="003C788D" w:rsidRDefault="00AA7D12">
            <w:pPr>
              <w:pStyle w:val="Compact"/>
              <w:spacing w:line="360" w:lineRule="auto"/>
            </w:pPr>
            <w:r>
              <w:rPr>
                <w:rFonts w:eastAsia="Times New Roman" w:cs="Times New Roman"/>
              </w:rPr>
              <w:t>Aggregerte cockpit-tall 2020–2025 (2025 reell, 2020–2024 simulert)</w:t>
            </w:r>
          </w:p>
        </w:tc>
        <w:tc>
          <w:tcPr>
            <w:tcW w:w="3168" w:type="dxa"/>
          </w:tcPr>
          <w:p w14:paraId="725F8203" w14:textId="77777777" w:rsidR="003C788D" w:rsidRDefault="00AA7D12">
            <w:pPr>
              <w:pStyle w:val="Compact"/>
              <w:spacing w:line="360" w:lineRule="auto"/>
              <w:jc w:val="right"/>
            </w:pPr>
            <w:r>
              <w:rPr>
                <w:rFonts w:eastAsia="Times New Roman" w:cs="Times New Roman"/>
              </w:rPr>
              <w:t>6</w:t>
            </w:r>
          </w:p>
        </w:tc>
      </w:tr>
    </w:tbl>
    <w:p w14:paraId="3B23B215" w14:textId="77777777" w:rsidR="003C788D" w:rsidRDefault="00AA7D12">
      <w:pPr>
        <w:pStyle w:val="Brdtekst"/>
        <w:spacing w:line="360" w:lineRule="auto"/>
      </w:pPr>
      <w:r>
        <w:rPr>
          <w:rFonts w:eastAsia="Times New Roman" w:cs="Times New Roman"/>
          <w:b/>
          <w:bCs/>
        </w:rPr>
        <w:t>Reelle vs. simulerte data.</w:t>
      </w:r>
      <w:r>
        <w:rPr>
          <w:rFonts w:eastAsia="Times New Roman" w:cs="Times New Roman"/>
        </w:rPr>
        <w:t xml:space="preserve"> SDK Shipping stilte 670 reelle fakturaer fra 2025 til disposisjon (n = 649 etter feature engineering); disse danner studiens uavhengige testsett. Reelle fakturaer for 2020–2024 var ikke tilgjengelige, så perioden er representert ved 977 simulerte transaksjoner ankret i de samme tjeneste</w:t>
      </w:r>
      <w:r>
        <w:rPr>
          <w:rFonts w:eastAsia="Times New Roman" w:cs="Times New Roman"/>
        </w:rPr>
        <w:softHyphen/>
        <w:t>kategoriene og prisnivåene som SDK fakturerer i 2025. Konsekvensen for validitet drøftes i § 9.4 (S1) og § 9.6.</w:t>
      </w:r>
    </w:p>
    <w:p w14:paraId="63739828" w14:textId="77777777" w:rsidR="003C788D" w:rsidRDefault="00AA7D12">
      <w:pPr>
        <w:pStyle w:val="Brdtekst"/>
        <w:spacing w:line="360" w:lineRule="auto"/>
      </w:pPr>
      <w:r>
        <w:rPr>
          <w:rFonts w:eastAsia="Times New Roman" w:cs="Times New Roman"/>
          <w:b/>
          <w:bCs/>
        </w:rPr>
        <w:t>Simuleringsmetode (overordnet).</w:t>
      </w:r>
      <w:r>
        <w:rPr>
          <w:rFonts w:eastAsia="Times New Roman" w:cs="Times New Roman"/>
        </w:rPr>
        <w:t xml:space="preserve"> Data for 2020–2024 ble generert på transaksjons</w:t>
      </w:r>
      <w:r>
        <w:rPr>
          <w:rFonts w:eastAsia="Times New Roman" w:cs="Times New Roman"/>
        </w:rPr>
        <w:softHyphen/>
        <w:t>nivå ankret i tre kilder: (i) reelle 2025-fakturaer fra SDK Shipping — som ga distribusjons</w:t>
      </w:r>
      <w:r>
        <w:rPr>
          <w:rFonts w:eastAsia="Times New Roman" w:cs="Times New Roman"/>
        </w:rPr>
        <w:softHyphen/>
        <w:t>karakteristikker for fakturabeløp per (kategori, størrelse), tjeneste</w:t>
      </w:r>
      <w:r>
        <w:rPr>
          <w:rFonts w:eastAsia="Times New Roman" w:cs="Times New Roman"/>
        </w:rPr>
        <w:softHyphen/>
        <w:t>miks per havn og sesong</w:t>
      </w:r>
      <w:r>
        <w:rPr>
          <w:rFonts w:eastAsia="Times New Roman" w:cs="Times New Roman"/>
        </w:rPr>
        <w:softHyphen/>
        <w:t>profiler, (ii) reelle årlige cockpit-aggregater (</w:t>
      </w:r>
      <w:r>
        <w:rPr>
          <w:rStyle w:val="VerbatimChar"/>
          <w:rFonts w:ascii="Times New Roman" w:eastAsia="Times New Roman" w:hAnsi="Times New Roman" w:cs="Times New Roman"/>
          <w:sz w:val="24"/>
        </w:rPr>
        <w:t>cockpit_clean.csv</w:t>
      </w:r>
      <w:r>
        <w:rPr>
          <w:rFonts w:eastAsia="Times New Roman" w:cs="Times New Roman"/>
        </w:rPr>
        <w:t xml:space="preserve"> inneholder reelle 2020–2025-omsetnings</w:t>
      </w:r>
      <w:r>
        <w:rPr>
          <w:rFonts w:eastAsia="Times New Roman" w:cs="Times New Roman"/>
        </w:rPr>
        <w:softHyphen/>
        <w:t>tall per kategori og år) — som styrer årlig volum og service</w:t>
      </w:r>
      <w:r>
        <w:rPr>
          <w:rFonts w:eastAsia="Times New Roman" w:cs="Times New Roman"/>
        </w:rPr>
        <w:softHyphen/>
        <w:t xml:space="preserve">fordeling, og (iii) </w:t>
      </w:r>
      <w:r>
        <w:rPr>
          <w:rStyle w:val="VerbatimChar"/>
          <w:rFonts w:ascii="Times New Roman" w:eastAsia="Times New Roman" w:hAnsi="Times New Roman" w:cs="Times New Roman"/>
          <w:sz w:val="24"/>
        </w:rPr>
        <w:t>PORT_TEMPLATES</w:t>
      </w:r>
      <w:r>
        <w:rPr>
          <w:rFonts w:eastAsia="Times New Roman" w:cs="Times New Roman"/>
        </w:rPr>
        <w:t xml:space="preserve"> for havne</w:t>
      </w:r>
      <w:r>
        <w:rPr>
          <w:rFonts w:eastAsia="Times New Roman" w:cs="Times New Roman"/>
        </w:rPr>
        <w:softHyphen/>
        <w:t xml:space="preserve">strukturen. Yacht-IDer ble bevart, slik at de 17 yachters reelle </w:t>
      </w:r>
      <w:r>
        <w:rPr>
          <w:rFonts w:eastAsia="Times New Roman" w:cs="Times New Roman"/>
        </w:rPr>
        <w:t>spesifikasjoner (GT, LOA, fuel-konsum) er knyttet til de simulerte transaksjonene. Sammenligning mot reell 2025 viser kvalitativt sammenlignbare havne- og kategori</w:t>
      </w:r>
      <w:r>
        <w:rPr>
          <w:rFonts w:eastAsia="Times New Roman" w:cs="Times New Roman"/>
        </w:rPr>
        <w:softHyphen/>
        <w:t>fordelinger, samt log-normal beløps</w:t>
      </w:r>
      <w:r>
        <w:rPr>
          <w:rFonts w:eastAsia="Times New Roman" w:cs="Times New Roman"/>
        </w:rPr>
        <w:softHyphen/>
        <w:t>karakteristikk (P95/P50 ≈ 12 i begge). Eksplisitt sesongdynamikk og inflasjons</w:t>
      </w:r>
      <w:r>
        <w:rPr>
          <w:rFonts w:eastAsia="Times New Roman" w:cs="Times New Roman"/>
        </w:rPr>
        <w:softHyphen/>
        <w:t>drift 2020–2024 er ikke modellert — dette er en kjent kilde til simulert→reell-degraderingen i § 9.4 S1 og § 9.6 trussel (iii).</w:t>
      </w:r>
    </w:p>
    <w:p w14:paraId="64A13023" w14:textId="77777777" w:rsidR="003C788D" w:rsidRDefault="00AA7D12">
      <w:pPr>
        <w:pStyle w:val="Overskrift3"/>
      </w:pPr>
      <w:bookmarkStart w:id="57" w:name="datapreparering"/>
      <w:bookmarkStart w:id="58" w:name="_Toc230777790"/>
      <w:bookmarkEnd w:id="55"/>
      <w:r>
        <w:t>5.3 Datapreparering</w:t>
      </w:r>
      <w:bookmarkEnd w:id="58"/>
    </w:p>
    <w:p w14:paraId="16C0A75A" w14:textId="77777777" w:rsidR="003C788D" w:rsidRDefault="00AA7D12">
      <w:pPr>
        <w:pStyle w:val="FirstParagraph"/>
        <w:spacing w:line="360" w:lineRule="auto"/>
      </w:pPr>
      <w:r>
        <w:rPr>
          <w:rFonts w:eastAsia="Times New Roman" w:cs="Times New Roman"/>
        </w:rPr>
        <w:t xml:space="preserve">Datapreparering er gjennomført i </w:t>
      </w:r>
      <w:r>
        <w:rPr>
          <w:rStyle w:val="VerbatimChar"/>
          <w:rFonts w:ascii="Times New Roman" w:eastAsia="Times New Roman" w:hAnsi="Times New Roman" w:cs="Times New Roman"/>
          <w:sz w:val="24"/>
        </w:rPr>
        <w:t>data_prep.ipynb</w:t>
      </w:r>
      <w:r>
        <w:rPr>
          <w:rFonts w:eastAsia="Times New Roman" w:cs="Times New Roman"/>
        </w:rPr>
        <w:t xml:space="preserve"> og består av:</w:t>
      </w:r>
    </w:p>
    <w:p w14:paraId="77E0EC1A" w14:textId="77777777" w:rsidR="003C788D" w:rsidRDefault="00AA7D12">
      <w:pPr>
        <w:pStyle w:val="Compact"/>
        <w:numPr>
          <w:ilvl w:val="0"/>
          <w:numId w:val="16"/>
        </w:numPr>
        <w:spacing w:line="360" w:lineRule="auto"/>
      </w:pPr>
      <w:r>
        <w:rPr>
          <w:rFonts w:eastAsia="Times New Roman" w:cs="Times New Roman"/>
          <w:b/>
          <w:bCs/>
        </w:rPr>
        <w:t>Innlesing og typing</w:t>
      </w:r>
      <w:r>
        <w:rPr>
          <w:rFonts w:eastAsia="Times New Roman" w:cs="Times New Roman"/>
        </w:rPr>
        <w:t xml:space="preserve"> av </w:t>
      </w:r>
      <w:r>
        <w:rPr>
          <w:rStyle w:val="VerbatimChar"/>
          <w:rFonts w:ascii="Times New Roman" w:eastAsia="Times New Roman" w:hAnsi="Times New Roman" w:cs="Times New Roman"/>
          <w:sz w:val="24"/>
        </w:rPr>
        <w:t>Rådata Nauticost.xlsx</w:t>
      </w:r>
      <w:r>
        <w:rPr>
          <w:rFonts w:eastAsia="Times New Roman" w:cs="Times New Roman"/>
        </w:rPr>
        <w:t>, parsing av datofelt og numeriske beløp.</w:t>
      </w:r>
    </w:p>
    <w:p w14:paraId="0ACE9B6F" w14:textId="77777777" w:rsidR="003C788D" w:rsidRDefault="00AA7D12">
      <w:pPr>
        <w:pStyle w:val="Compact"/>
        <w:numPr>
          <w:ilvl w:val="0"/>
          <w:numId w:val="16"/>
        </w:numPr>
        <w:spacing w:line="360" w:lineRule="auto"/>
      </w:pPr>
      <w:r>
        <w:rPr>
          <w:rFonts w:eastAsia="Times New Roman" w:cs="Times New Roman"/>
          <w:b/>
          <w:bCs/>
        </w:rPr>
        <w:t>Datakvalitets</w:t>
      </w:r>
      <w:r>
        <w:rPr>
          <w:rFonts w:eastAsia="Times New Roman" w:cs="Times New Roman"/>
          <w:b/>
          <w:bCs/>
        </w:rPr>
        <w:softHyphen/>
        <w:t>flagging</w:t>
      </w:r>
      <w:r>
        <w:rPr>
          <w:rFonts w:eastAsia="Times New Roman" w:cs="Times New Roman"/>
        </w:rPr>
        <w:t xml:space="preserve"> via en </w:t>
      </w:r>
      <w:r>
        <w:rPr>
          <w:rStyle w:val="VerbatimChar"/>
          <w:rFonts w:ascii="Times New Roman" w:eastAsia="Times New Roman" w:hAnsi="Times New Roman" w:cs="Times New Roman"/>
          <w:sz w:val="24"/>
        </w:rPr>
        <w:t>flag</w:t>
      </w:r>
      <w:r>
        <w:rPr>
          <w:rFonts w:eastAsia="Times New Roman" w:cs="Times New Roman"/>
        </w:rPr>
        <w:t>-kolonne for rader med inkonsistente felt</w:t>
      </w:r>
      <w:r>
        <w:rPr>
          <w:rFonts w:eastAsia="Times New Roman" w:cs="Times New Roman"/>
        </w:rPr>
        <w:softHyphen/>
        <w:t>verdier (negative beløp, manglende yacht-ID, sluttdato før startdato).</w:t>
      </w:r>
    </w:p>
    <w:p w14:paraId="332D99B6" w14:textId="77777777" w:rsidR="003C788D" w:rsidRDefault="00AA7D12">
      <w:pPr>
        <w:pStyle w:val="Compact"/>
        <w:numPr>
          <w:ilvl w:val="0"/>
          <w:numId w:val="16"/>
        </w:numPr>
        <w:spacing w:line="360" w:lineRule="auto"/>
      </w:pPr>
      <w:r>
        <w:rPr>
          <w:rFonts w:eastAsia="Times New Roman" w:cs="Times New Roman"/>
          <w:b/>
          <w:bCs/>
        </w:rPr>
        <w:t>Yacht-kobling:</w:t>
      </w:r>
      <w:r>
        <w:rPr>
          <w:rFonts w:eastAsia="Times New Roman" w:cs="Times New Roman"/>
        </w:rPr>
        <w:t xml:space="preserve"> transaksjoner kobles til yacht</w:t>
      </w:r>
      <w:r>
        <w:rPr>
          <w:rFonts w:eastAsia="Times New Roman" w:cs="Times New Roman"/>
        </w:rPr>
        <w:softHyphen/>
        <w:t>spesifikasjoner (GT, LOA, beam, draft, fuel) via yacht-ID.</w:t>
      </w:r>
    </w:p>
    <w:p w14:paraId="776EB148" w14:textId="77777777" w:rsidR="003C788D" w:rsidRDefault="00AA7D12">
      <w:pPr>
        <w:pStyle w:val="Compact"/>
        <w:numPr>
          <w:ilvl w:val="0"/>
          <w:numId w:val="16"/>
        </w:numPr>
        <w:spacing w:line="360" w:lineRule="auto"/>
      </w:pPr>
      <w:r>
        <w:rPr>
          <w:rFonts w:eastAsia="Times New Roman" w:cs="Times New Roman"/>
          <w:b/>
          <w:bCs/>
        </w:rPr>
        <w:t>Avledede felt:</w:t>
      </w:r>
      <w:r>
        <w:rPr>
          <w:rFonts w:eastAsia="Times New Roman" w:cs="Times New Roman"/>
        </w:rPr>
        <w:t xml:space="preserve"> </w:t>
      </w:r>
      <w:r>
        <w:rPr>
          <w:rStyle w:val="VerbatimChar"/>
          <w:rFonts w:ascii="Times New Roman" w:eastAsia="Times New Roman" w:hAnsi="Times New Roman" w:cs="Times New Roman"/>
          <w:sz w:val="24"/>
        </w:rPr>
        <w:t>size_category</w:t>
      </w:r>
      <w:r>
        <w:rPr>
          <w:rFonts w:eastAsia="Times New Roman" w:cs="Times New Roman"/>
        </w:rPr>
        <w:t xml:space="preserve">, </w:t>
      </w:r>
      <w:r>
        <w:rPr>
          <w:rStyle w:val="VerbatimChar"/>
          <w:rFonts w:ascii="Times New Roman" w:eastAsia="Times New Roman" w:hAnsi="Times New Roman" w:cs="Times New Roman"/>
          <w:sz w:val="24"/>
        </w:rPr>
        <w:t>loskrav</w:t>
      </w:r>
      <w:r>
        <w:rPr>
          <w:rFonts w:eastAsia="Times New Roman" w:cs="Times New Roman"/>
        </w:rPr>
        <w:t>, samt tids</w:t>
      </w:r>
      <w:r>
        <w:rPr>
          <w:rFonts w:eastAsia="Times New Roman" w:cs="Times New Roman"/>
        </w:rPr>
        <w:softHyphen/>
      </w:r>
      <w:r>
        <w:rPr>
          <w:rFonts w:eastAsia="Times New Roman" w:cs="Times New Roman"/>
        </w:rPr>
        <w:t>variabler (måned, kvartal, dag-i-uka).</w:t>
      </w:r>
    </w:p>
    <w:p w14:paraId="6C941303" w14:textId="77777777" w:rsidR="003C788D" w:rsidRDefault="00AA7D12">
      <w:pPr>
        <w:pStyle w:val="Compact"/>
        <w:numPr>
          <w:ilvl w:val="0"/>
          <w:numId w:val="16"/>
        </w:numPr>
        <w:spacing w:line="360" w:lineRule="auto"/>
      </w:pPr>
      <w:r>
        <w:rPr>
          <w:rFonts w:eastAsia="Times New Roman" w:cs="Times New Roman"/>
          <w:b/>
          <w:bCs/>
        </w:rPr>
        <w:t>Filtrering:</w:t>
      </w:r>
      <w:r>
        <w:rPr>
          <w:rFonts w:eastAsia="Times New Roman" w:cs="Times New Roman"/>
        </w:rPr>
        <w:t xml:space="preserve"> rader med manglende eller ikke-positiv </w:t>
      </w:r>
      <w:r>
        <w:rPr>
          <w:rStyle w:val="VerbatimChar"/>
          <w:rFonts w:ascii="Times New Roman" w:eastAsia="Times New Roman" w:hAnsi="Times New Roman" w:cs="Times New Roman"/>
          <w:sz w:val="24"/>
        </w:rPr>
        <w:t>final_charge</w:t>
      </w:r>
      <w:r>
        <w:rPr>
          <w:rFonts w:eastAsia="Times New Roman" w:cs="Times New Roman"/>
        </w:rPr>
        <w:t xml:space="preserve"> fjernes (jf. antakelse A3).</w:t>
      </w:r>
    </w:p>
    <w:p w14:paraId="07AA3DAC" w14:textId="77777777" w:rsidR="003C788D" w:rsidRDefault="00AA7D12">
      <w:pPr>
        <w:pStyle w:val="Overskrift3"/>
      </w:pPr>
      <w:bookmarkStart w:id="59" w:name="datasplit-og-evalueringsprotokoll"/>
      <w:bookmarkStart w:id="60" w:name="_Toc230777791"/>
      <w:bookmarkEnd w:id="57"/>
      <w:r>
        <w:t>5.4 Datasplit og evalueringsprotokoll</w:t>
      </w:r>
      <w:bookmarkEnd w:id="60"/>
    </w:p>
    <w:p w14:paraId="290CB266" w14:textId="77777777" w:rsidR="003C788D" w:rsidRDefault="00AA7D12">
      <w:pPr>
        <w:pStyle w:val="FirstParagraph"/>
        <w:spacing w:line="360" w:lineRule="auto"/>
      </w:pPr>
      <w:r>
        <w:rPr>
          <w:rFonts w:eastAsia="Times New Roman" w:cs="Times New Roman"/>
        </w:rPr>
        <w:t xml:space="preserve">Splittet er </w:t>
      </w:r>
      <w:r>
        <w:rPr>
          <w:rFonts w:eastAsia="Times New Roman" w:cs="Times New Roman"/>
          <w:b/>
          <w:bCs/>
        </w:rPr>
        <w:t>tidsbasert</w:t>
      </w:r>
      <w:r>
        <w:rPr>
          <w:rFonts w:eastAsia="Times New Roman" w:cs="Times New Roman"/>
        </w:rPr>
        <w:t>, ikke tilfeldig, for å speile reell prognose</w:t>
      </w:r>
      <w:r>
        <w:rPr>
          <w:rFonts w:eastAsia="Times New Roman" w:cs="Times New Roman"/>
        </w:rPr>
        <w:softHyphen/>
        <w:t xml:space="preserve">bruk. Rollen til hvert sett er bevisst skilt mellom </w:t>
      </w:r>
      <w:r>
        <w:rPr>
          <w:rFonts w:eastAsia="Times New Roman" w:cs="Times New Roman"/>
          <w:b/>
          <w:bCs/>
        </w:rPr>
        <w:t>modellutvikling</w:t>
      </w:r>
      <w:r>
        <w:rPr>
          <w:rFonts w:eastAsia="Times New Roman" w:cs="Times New Roman"/>
        </w:rPr>
        <w:t xml:space="preserve">, </w:t>
      </w:r>
      <w:r>
        <w:rPr>
          <w:rFonts w:eastAsia="Times New Roman" w:cs="Times New Roman"/>
          <w:b/>
          <w:bCs/>
        </w:rPr>
        <w:t>modellseleksjon</w:t>
      </w:r>
      <w:r>
        <w:rPr>
          <w:rFonts w:eastAsia="Times New Roman" w:cs="Times New Roman"/>
        </w:rPr>
        <w:t xml:space="preserve"> og </w:t>
      </w:r>
      <w:r>
        <w:rPr>
          <w:rFonts w:eastAsia="Times New Roman" w:cs="Times New Roman"/>
          <w:b/>
          <w:bCs/>
        </w:rPr>
        <w:t>endelig evaluering</w:t>
      </w:r>
      <w:r>
        <w:rPr>
          <w:rFonts w:eastAsia="Times New Roman" w:cs="Times New Roman"/>
        </w:rPr>
        <w:t>:</w:t>
      </w:r>
    </w:p>
    <w:tbl>
      <w:tblPr>
        <w:tblStyle w:val="Table"/>
        <w:tblW w:w="5000" w:type="pct"/>
        <w:tblLayout w:type="fixed"/>
        <w:tblLook w:val="0020" w:firstRow="1" w:lastRow="0" w:firstColumn="0" w:lastColumn="0" w:noHBand="0" w:noVBand="0"/>
      </w:tblPr>
      <w:tblGrid>
        <w:gridCol w:w="2221"/>
        <w:gridCol w:w="2220"/>
        <w:gridCol w:w="2961"/>
        <w:gridCol w:w="2220"/>
      </w:tblGrid>
      <w:tr w:rsidR="003C788D" w14:paraId="2139517A" w14:textId="77777777" w:rsidTr="003C788D">
        <w:trPr>
          <w:cnfStyle w:val="100000000000" w:firstRow="1" w:lastRow="0" w:firstColumn="0" w:lastColumn="0" w:oddVBand="0" w:evenVBand="0" w:oddHBand="0" w:evenHBand="0" w:firstRowFirstColumn="0" w:firstRowLastColumn="0" w:lastRowFirstColumn="0" w:lastRowLastColumn="0"/>
          <w:tblHeader/>
        </w:trPr>
        <w:tc>
          <w:tcPr>
            <w:tcW w:w="1827" w:type="dxa"/>
          </w:tcPr>
          <w:p w14:paraId="6724AE65" w14:textId="77777777" w:rsidR="003C788D" w:rsidRDefault="00AA7D12">
            <w:pPr>
              <w:pStyle w:val="Compact"/>
              <w:spacing w:line="360" w:lineRule="auto"/>
            </w:pPr>
            <w:r>
              <w:rPr>
                <w:rFonts w:eastAsia="Times New Roman" w:cs="Times New Roman"/>
              </w:rPr>
              <w:t>Sett</w:t>
            </w:r>
          </w:p>
        </w:tc>
        <w:tc>
          <w:tcPr>
            <w:tcW w:w="1827" w:type="dxa"/>
          </w:tcPr>
          <w:p w14:paraId="05435381" w14:textId="77777777" w:rsidR="003C788D" w:rsidRDefault="00AA7D12">
            <w:pPr>
              <w:pStyle w:val="Compact"/>
              <w:spacing w:line="360" w:lineRule="auto"/>
            </w:pPr>
            <w:r>
              <w:rPr>
                <w:rFonts w:eastAsia="Times New Roman" w:cs="Times New Roman"/>
              </w:rPr>
              <w:t>Periode</w:t>
            </w:r>
          </w:p>
        </w:tc>
        <w:tc>
          <w:tcPr>
            <w:tcW w:w="2436" w:type="dxa"/>
          </w:tcPr>
          <w:p w14:paraId="02E7242E" w14:textId="77777777" w:rsidR="003C788D" w:rsidRDefault="00AA7D12">
            <w:pPr>
              <w:pStyle w:val="Compact"/>
              <w:spacing w:line="360" w:lineRule="auto"/>
              <w:jc w:val="right"/>
            </w:pPr>
            <w:r>
              <w:rPr>
                <w:rFonts w:eastAsia="Times New Roman" w:cs="Times New Roman"/>
              </w:rPr>
              <w:t>Rader</w:t>
            </w:r>
          </w:p>
        </w:tc>
        <w:tc>
          <w:tcPr>
            <w:tcW w:w="1827" w:type="dxa"/>
          </w:tcPr>
          <w:p w14:paraId="7863A18B" w14:textId="77777777" w:rsidR="003C788D" w:rsidRDefault="00AA7D12">
            <w:pPr>
              <w:pStyle w:val="Compact"/>
              <w:spacing w:line="360" w:lineRule="auto"/>
            </w:pPr>
            <w:r>
              <w:rPr>
                <w:rFonts w:eastAsia="Times New Roman" w:cs="Times New Roman"/>
              </w:rPr>
              <w:t>Rolle</w:t>
            </w:r>
          </w:p>
        </w:tc>
      </w:tr>
      <w:tr w:rsidR="003C788D" w14:paraId="526660A6" w14:textId="77777777">
        <w:tc>
          <w:tcPr>
            <w:tcW w:w="1827" w:type="dxa"/>
          </w:tcPr>
          <w:p w14:paraId="2EF7892B" w14:textId="77777777" w:rsidR="003C788D" w:rsidRDefault="00AA7D12">
            <w:pPr>
              <w:pStyle w:val="Compact"/>
              <w:spacing w:line="360" w:lineRule="auto"/>
            </w:pPr>
            <w:r>
              <w:rPr>
                <w:rFonts w:eastAsia="Times New Roman" w:cs="Times New Roman"/>
              </w:rPr>
              <w:t>Treningssett</w:t>
            </w:r>
          </w:p>
        </w:tc>
        <w:tc>
          <w:tcPr>
            <w:tcW w:w="1827" w:type="dxa"/>
          </w:tcPr>
          <w:p w14:paraId="6955F3E9" w14:textId="77777777" w:rsidR="003C788D" w:rsidRDefault="00AA7D12">
            <w:pPr>
              <w:pStyle w:val="Compact"/>
              <w:spacing w:line="360" w:lineRule="auto"/>
            </w:pPr>
            <w:r>
              <w:rPr>
                <w:rFonts w:eastAsia="Times New Roman" w:cs="Times New Roman"/>
              </w:rPr>
              <w:t>≤ 2023</w:t>
            </w:r>
          </w:p>
        </w:tc>
        <w:tc>
          <w:tcPr>
            <w:tcW w:w="2436" w:type="dxa"/>
          </w:tcPr>
          <w:p w14:paraId="217B21D0" w14:textId="77777777" w:rsidR="003C788D" w:rsidRDefault="00AA7D12">
            <w:pPr>
              <w:pStyle w:val="Compact"/>
              <w:spacing w:line="360" w:lineRule="auto"/>
              <w:jc w:val="right"/>
            </w:pPr>
            <w:r>
              <w:rPr>
                <w:rFonts w:eastAsia="Times New Roman" w:cs="Times New Roman"/>
              </w:rPr>
              <w:t>487</w:t>
            </w:r>
          </w:p>
        </w:tc>
        <w:tc>
          <w:tcPr>
            <w:tcW w:w="1827" w:type="dxa"/>
          </w:tcPr>
          <w:p w14:paraId="0BCCFF2F" w14:textId="77777777" w:rsidR="003C788D" w:rsidRDefault="00AA7D12">
            <w:pPr>
              <w:pStyle w:val="Compact"/>
              <w:spacing w:line="360" w:lineRule="auto"/>
            </w:pPr>
            <w:r>
              <w:rPr>
                <w:rFonts w:eastAsia="Times New Roman" w:cs="Times New Roman"/>
              </w:rPr>
              <w:t>Modellutvikling: trene base-modellene, lære feature-engineering-statistikker (aggregat</w:t>
            </w:r>
            <w:r>
              <w:rPr>
                <w:rFonts w:eastAsia="Times New Roman" w:cs="Times New Roman"/>
              </w:rPr>
              <w:softHyphen/>
              <w:t>features beregnet kun her, jf. § 5.5).</w:t>
            </w:r>
          </w:p>
        </w:tc>
      </w:tr>
      <w:tr w:rsidR="003C788D" w14:paraId="0BD2ADAB" w14:textId="77777777">
        <w:tc>
          <w:tcPr>
            <w:tcW w:w="1827" w:type="dxa"/>
          </w:tcPr>
          <w:p w14:paraId="3C96B172" w14:textId="77777777" w:rsidR="003C788D" w:rsidRDefault="00AA7D12">
            <w:pPr>
              <w:pStyle w:val="Compact"/>
              <w:spacing w:line="360" w:lineRule="auto"/>
            </w:pPr>
            <w:r>
              <w:rPr>
                <w:rFonts w:eastAsia="Times New Roman" w:cs="Times New Roman"/>
              </w:rPr>
              <w:t>Valideringssett</w:t>
            </w:r>
          </w:p>
        </w:tc>
        <w:tc>
          <w:tcPr>
            <w:tcW w:w="1827" w:type="dxa"/>
          </w:tcPr>
          <w:p w14:paraId="7C2246E4" w14:textId="77777777" w:rsidR="003C788D" w:rsidRDefault="00AA7D12">
            <w:pPr>
              <w:pStyle w:val="Compact"/>
              <w:spacing w:line="360" w:lineRule="auto"/>
            </w:pPr>
            <w:r>
              <w:rPr>
                <w:rFonts w:eastAsia="Times New Roman" w:cs="Times New Roman"/>
              </w:rPr>
              <w:t>2024</w:t>
            </w:r>
          </w:p>
        </w:tc>
        <w:tc>
          <w:tcPr>
            <w:tcW w:w="2436" w:type="dxa"/>
          </w:tcPr>
          <w:p w14:paraId="4A0688EC" w14:textId="77777777" w:rsidR="003C788D" w:rsidRDefault="00AA7D12">
            <w:pPr>
              <w:pStyle w:val="Compact"/>
              <w:spacing w:line="360" w:lineRule="auto"/>
              <w:jc w:val="right"/>
            </w:pPr>
            <w:r>
              <w:rPr>
                <w:rFonts w:eastAsia="Times New Roman" w:cs="Times New Roman"/>
              </w:rPr>
              <w:t>490</w:t>
            </w:r>
          </w:p>
        </w:tc>
        <w:tc>
          <w:tcPr>
            <w:tcW w:w="1827" w:type="dxa"/>
          </w:tcPr>
          <w:p w14:paraId="77BF9561" w14:textId="77777777" w:rsidR="003C788D" w:rsidRDefault="00AA7D12">
            <w:pPr>
              <w:pStyle w:val="Compact"/>
              <w:spacing w:line="360" w:lineRule="auto"/>
            </w:pPr>
            <w:r>
              <w:rPr>
                <w:rFonts w:eastAsia="Times New Roman" w:cs="Times New Roman"/>
              </w:rPr>
              <w:t xml:space="preserve">Modellseleksjon: velge hyperparametre (Optuna), ensemble-vekt </w:t>
            </w:r>
            <m:oMath>
              <m:r>
                <w:rPr>
                  <w:rFonts w:ascii="Cambria Math" w:hAnsi="Cambria Math"/>
                </w:rPr>
                <m:t>w</m:t>
              </m:r>
            </m:oMath>
            <w:r>
              <w:rPr>
                <w:rFonts w:eastAsia="Times New Roman" w:cs="Times New Roman"/>
              </w:rPr>
              <w:t>, kvantil-objektivterskler og CQR-kalibreringsterskel; sammenligne kandidat</w:t>
            </w:r>
            <w:r>
              <w:rPr>
                <w:rFonts w:eastAsia="Times New Roman" w:cs="Times New Roman"/>
              </w:rPr>
              <w:softHyphen/>
              <w:t>modeller (jf. § 8.1).</w:t>
            </w:r>
          </w:p>
        </w:tc>
      </w:tr>
      <w:tr w:rsidR="003C788D" w14:paraId="44CBA755" w14:textId="77777777">
        <w:tc>
          <w:tcPr>
            <w:tcW w:w="1827" w:type="dxa"/>
          </w:tcPr>
          <w:p w14:paraId="2C5D1D50" w14:textId="77777777" w:rsidR="003C788D" w:rsidRDefault="00AA7D12">
            <w:pPr>
              <w:pStyle w:val="Compact"/>
              <w:spacing w:line="360" w:lineRule="auto"/>
            </w:pPr>
            <w:r>
              <w:rPr>
                <w:rFonts w:eastAsia="Times New Roman" w:cs="Times New Roman"/>
              </w:rPr>
              <w:t>Testsett</w:t>
            </w:r>
          </w:p>
        </w:tc>
        <w:tc>
          <w:tcPr>
            <w:tcW w:w="1827" w:type="dxa"/>
          </w:tcPr>
          <w:p w14:paraId="0B3A55A4" w14:textId="77777777" w:rsidR="003C788D" w:rsidRDefault="00AA7D12">
            <w:pPr>
              <w:pStyle w:val="Compact"/>
              <w:spacing w:line="360" w:lineRule="auto"/>
            </w:pPr>
            <w:r>
              <w:rPr>
                <w:rFonts w:eastAsia="Times New Roman" w:cs="Times New Roman"/>
              </w:rPr>
              <w:t>2025</w:t>
            </w:r>
          </w:p>
        </w:tc>
        <w:tc>
          <w:tcPr>
            <w:tcW w:w="2436" w:type="dxa"/>
          </w:tcPr>
          <w:p w14:paraId="57F4244E" w14:textId="77777777" w:rsidR="003C788D" w:rsidRDefault="00AA7D12">
            <w:pPr>
              <w:pStyle w:val="Compact"/>
              <w:spacing w:line="360" w:lineRule="auto"/>
              <w:jc w:val="right"/>
            </w:pPr>
            <w:r>
              <w:rPr>
                <w:rFonts w:eastAsia="Times New Roman" w:cs="Times New Roman"/>
              </w:rPr>
              <w:t>670</w:t>
            </w:r>
          </w:p>
        </w:tc>
        <w:tc>
          <w:tcPr>
            <w:tcW w:w="1827" w:type="dxa"/>
          </w:tcPr>
          <w:p w14:paraId="4C21B939" w14:textId="77777777" w:rsidR="003C788D" w:rsidRDefault="00AA7D12">
            <w:pPr>
              <w:pStyle w:val="Compact"/>
              <w:spacing w:line="360" w:lineRule="auto"/>
            </w:pPr>
            <w:r>
              <w:rPr>
                <w:rFonts w:eastAsia="Times New Roman" w:cs="Times New Roman"/>
              </w:rPr>
              <w:t>Endelig, uavhengig evaluering av den utvalgte produksjons</w:t>
            </w:r>
            <w:r>
              <w:rPr>
                <w:rFonts w:eastAsia="Times New Roman" w:cs="Times New Roman"/>
              </w:rPr>
              <w:softHyphen/>
              <w:t>modellen (jf. § 8.1.1). Brukes ikke til seleksjon eller hyperparameter</w:t>
            </w:r>
            <w:r>
              <w:rPr>
                <w:rFonts w:eastAsia="Times New Roman" w:cs="Times New Roman"/>
              </w:rPr>
              <w:softHyphen/>
              <w:t>valg.</w:t>
            </w:r>
          </w:p>
        </w:tc>
      </w:tr>
    </w:tbl>
    <w:p w14:paraId="53DF49BC" w14:textId="77777777" w:rsidR="003C788D" w:rsidRDefault="00AA7D12">
      <w:pPr>
        <w:pStyle w:val="Brdtekst"/>
        <w:spacing w:line="360" w:lineRule="auto"/>
      </w:pPr>
      <w:r>
        <w:rPr>
          <w:rFonts w:eastAsia="Times New Roman" w:cs="Times New Roman"/>
        </w:rPr>
        <w:t>Året 2026 er holdt utenfor modellutviklingen og brukes som overvåkningssett etter hvert som nye fakturaer kommer inn (kun 7 rader pr. april 2026, og dermed ikke meningsfullt for evaluering på det tidspunktet).</w:t>
      </w:r>
    </w:p>
    <w:p w14:paraId="381C93AE" w14:textId="77777777" w:rsidR="003C788D" w:rsidRDefault="00AA7D12">
      <w:pPr>
        <w:pStyle w:val="Brdtekst"/>
        <w:spacing w:line="360" w:lineRule="auto"/>
      </w:pPr>
      <w:r>
        <w:rPr>
          <w:rFonts w:eastAsia="Times New Roman" w:cs="Times New Roman"/>
          <w:b/>
          <w:bCs/>
        </w:rPr>
        <w:t>Refit av produksjons</w:t>
      </w:r>
      <w:r>
        <w:rPr>
          <w:rFonts w:eastAsia="Times New Roman" w:cs="Times New Roman"/>
          <w:b/>
          <w:bCs/>
        </w:rPr>
        <w:softHyphen/>
        <w:t>modellen.</w:t>
      </w:r>
      <w:r>
        <w:rPr>
          <w:rFonts w:eastAsia="Times New Roman" w:cs="Times New Roman"/>
        </w:rPr>
        <w:t xml:space="preserve"> Etter at modellseleksjonen er fullført, refittes den endelige produksjons</w:t>
      </w:r>
      <w:r>
        <w:rPr>
          <w:rFonts w:eastAsia="Times New Roman" w:cs="Times New Roman"/>
        </w:rPr>
        <w:softHyphen/>
        <w:t xml:space="preserve">modellen i </w:t>
      </w:r>
      <w:r>
        <w:rPr>
          <w:rStyle w:val="VerbatimChar"/>
          <w:rFonts w:ascii="Times New Roman" w:eastAsia="Times New Roman" w:hAnsi="Times New Roman" w:cs="Times New Roman"/>
          <w:sz w:val="24"/>
        </w:rPr>
        <w:t>model_meta_final.joblib</w:t>
      </w:r>
      <w:r>
        <w:rPr>
          <w:rFonts w:eastAsia="Times New Roman" w:cs="Times New Roman"/>
        </w:rPr>
        <w:t xml:space="preserve"> på </w:t>
      </w:r>
      <w:r>
        <w:rPr>
          <w:rFonts w:eastAsia="Times New Roman" w:cs="Times New Roman"/>
          <w:i/>
          <w:iCs/>
        </w:rPr>
        <w:t>hele</w:t>
      </w:r>
      <w:r>
        <w:rPr>
          <w:rFonts w:eastAsia="Times New Roman" w:cs="Times New Roman"/>
        </w:rPr>
        <w:t xml:space="preserve"> perioden 2020–2025 — altså treningssett, valideringssett og testsett samlet (1 626 rader, 21 færre enn split-summen 1 647 fordi rader med manglende avledede aggregat</w:t>
      </w:r>
      <w:r>
        <w:rPr>
          <w:rFonts w:eastAsia="Times New Roman" w:cs="Times New Roman"/>
        </w:rPr>
        <w:softHyphen/>
        <w:t xml:space="preserve">features faller bort i feature engineering-steget). Begrunnelsen for å trekke testsettet inn i treningen er at modellen deployes i produksjon </w:t>
      </w:r>
      <w:r>
        <w:rPr>
          <w:rFonts w:eastAsia="Times New Roman" w:cs="Times New Roman"/>
          <w:i/>
          <w:iCs/>
        </w:rPr>
        <w:t>etter</w:t>
      </w:r>
      <w:r>
        <w:rPr>
          <w:rFonts w:eastAsia="Times New Roman" w:cs="Times New Roman"/>
        </w:rPr>
        <w:t xml:space="preserve"> at seleksjonen er konkludert, og at maksimering av treningsdata på det</w:t>
      </w:r>
      <w:r>
        <w:rPr>
          <w:rFonts w:eastAsia="Times New Roman" w:cs="Times New Roman"/>
        </w:rPr>
        <w:t xml:space="preserve"> tidspunktet gir lavest forventet generaliserings</w:t>
      </w:r>
      <w:r>
        <w:rPr>
          <w:rFonts w:eastAsia="Times New Roman" w:cs="Times New Roman"/>
        </w:rPr>
        <w:softHyphen/>
        <w:t xml:space="preserve">feil ved deploy. Dette er en standard praksis (jf. Hastie, Tibshirani &amp; Friedman, 2009), men har en konkret konsekvens: </w:t>
      </w:r>
      <w:r>
        <w:rPr>
          <w:rFonts w:eastAsia="Times New Roman" w:cs="Times New Roman"/>
          <w:b/>
          <w:bCs/>
        </w:rPr>
        <w:t>rapporterte testsett-tall i § 8.1.1 gjelder den prefit’ede modellen (ensemble trent på ≤ 2024), ikke den refit’ede produksjons</w:t>
      </w:r>
      <w:r>
        <w:rPr>
          <w:rFonts w:eastAsia="Times New Roman" w:cs="Times New Roman"/>
          <w:b/>
          <w:bCs/>
        </w:rPr>
        <w:softHyphen/>
        <w:t>modellen.</w:t>
      </w:r>
      <w:r>
        <w:rPr>
          <w:rFonts w:eastAsia="Times New Roman" w:cs="Times New Roman"/>
        </w:rPr>
        <w:t xml:space="preserve"> Produksjons</w:t>
      </w:r>
      <w:r>
        <w:rPr>
          <w:rFonts w:eastAsia="Times New Roman" w:cs="Times New Roman"/>
        </w:rPr>
        <w:softHyphen/>
        <w:t>modellen har dermed ingen uavhengig holdout-måling før neste tids</w:t>
      </w:r>
      <w:r>
        <w:rPr>
          <w:rFonts w:eastAsia="Times New Roman" w:cs="Times New Roman"/>
        </w:rPr>
        <w:softHyphen/>
        <w:t>vindu (2026+) gir tilstrekkelig data. Dette diskuteres som begrensning i § 10.</w:t>
      </w:r>
    </w:p>
    <w:p w14:paraId="3B5A40A5" w14:textId="77777777" w:rsidR="003C788D" w:rsidRDefault="00AA7D12">
      <w:pPr>
        <w:pStyle w:val="Overskrift3"/>
      </w:pPr>
      <w:bookmarkStart w:id="61" w:name="feature-engineering"/>
      <w:bookmarkStart w:id="62" w:name="_Toc230777792"/>
      <w:bookmarkEnd w:id="59"/>
      <w:r>
        <w:t>5.5 Feature engineering</w:t>
      </w:r>
      <w:bookmarkEnd w:id="62"/>
    </w:p>
    <w:p w14:paraId="106EC9E5" w14:textId="77777777" w:rsidR="003C788D" w:rsidRDefault="00AA7D12">
      <w:pPr>
        <w:pStyle w:val="FirstParagraph"/>
        <w:spacing w:line="360" w:lineRule="auto"/>
      </w:pPr>
      <w:r>
        <w:rPr>
          <w:rFonts w:eastAsia="Times New Roman" w:cs="Times New Roman"/>
        </w:rPr>
        <w:t xml:space="preserve">Totalt </w:t>
      </w:r>
      <w:r>
        <w:rPr>
          <w:rFonts w:eastAsia="Times New Roman" w:cs="Times New Roman"/>
          <w:b/>
          <w:bCs/>
        </w:rPr>
        <w:t>26 prediktor</w:t>
      </w:r>
      <w:r>
        <w:rPr>
          <w:rFonts w:eastAsia="Times New Roman" w:cs="Times New Roman"/>
          <w:b/>
          <w:bCs/>
        </w:rPr>
        <w:softHyphen/>
        <w:t>variabler</w:t>
      </w:r>
      <w:r>
        <w:rPr>
          <w:rFonts w:eastAsia="Times New Roman" w:cs="Times New Roman"/>
        </w:rPr>
        <w:t xml:space="preserve"> er konstruert (jf. </w:t>
      </w:r>
      <w:r>
        <w:rPr>
          <w:rStyle w:val="VerbatimChar"/>
          <w:rFonts w:ascii="Times New Roman" w:eastAsia="Times New Roman" w:hAnsi="Times New Roman" w:cs="Times New Roman"/>
          <w:sz w:val="24"/>
        </w:rPr>
        <w:t>build_features</w:t>
      </w:r>
      <w:r>
        <w:rPr>
          <w:rFonts w:eastAsia="Times New Roman" w:cs="Times New Roman"/>
        </w:rPr>
        <w:t xml:space="preserve"> i </w:t>
      </w:r>
      <w:r>
        <w:rPr>
          <w:rStyle w:val="VerbatimChar"/>
          <w:rFonts w:ascii="Times New Roman" w:eastAsia="Times New Roman" w:hAnsi="Times New Roman" w:cs="Times New Roman"/>
          <w:sz w:val="24"/>
        </w:rPr>
        <w:t>predict_voyage.py</w:t>
      </w:r>
      <w:r>
        <w:rPr>
          <w:rFonts w:eastAsia="Times New Roman" w:cs="Times New Roman"/>
        </w:rPr>
        <w:t>):</w:t>
      </w:r>
    </w:p>
    <w:p w14:paraId="05440267" w14:textId="77777777" w:rsidR="003C788D" w:rsidRDefault="00AA7D12">
      <w:pPr>
        <w:pStyle w:val="Compact"/>
        <w:numPr>
          <w:ilvl w:val="0"/>
          <w:numId w:val="17"/>
        </w:numPr>
        <w:spacing w:line="360" w:lineRule="auto"/>
      </w:pPr>
      <w:r>
        <w:rPr>
          <w:rFonts w:eastAsia="Times New Roman" w:cs="Times New Roman"/>
          <w:b/>
          <w:bCs/>
        </w:rPr>
        <w:t>Yacht</w:t>
      </w:r>
      <w:r>
        <w:rPr>
          <w:rFonts w:eastAsia="Times New Roman" w:cs="Times New Roman"/>
          <w:b/>
          <w:bCs/>
        </w:rPr>
        <w:softHyphen/>
        <w:t>spesifikasjoner:</w:t>
      </w:r>
      <w:r>
        <w:rPr>
          <w:rFonts w:eastAsia="Times New Roman" w:cs="Times New Roman"/>
        </w:rPr>
        <w:t xml:space="preserve"> </w:t>
      </w:r>
      <w:r>
        <w:rPr>
          <w:rStyle w:val="VerbatimChar"/>
          <w:rFonts w:ascii="Times New Roman" w:eastAsia="Times New Roman" w:hAnsi="Times New Roman" w:cs="Times New Roman"/>
          <w:sz w:val="24"/>
        </w:rPr>
        <w:t>gt</w:t>
      </w:r>
      <w:r>
        <w:rPr>
          <w:rFonts w:eastAsia="Times New Roman" w:cs="Times New Roman"/>
        </w:rPr>
        <w:t xml:space="preserve">, </w:t>
      </w:r>
      <w:r>
        <w:rPr>
          <w:rStyle w:val="VerbatimChar"/>
          <w:rFonts w:ascii="Times New Roman" w:eastAsia="Times New Roman" w:hAnsi="Times New Roman" w:cs="Times New Roman"/>
          <w:sz w:val="24"/>
        </w:rPr>
        <w:t>loa_m</w:t>
      </w:r>
      <w:r>
        <w:rPr>
          <w:rFonts w:eastAsia="Times New Roman" w:cs="Times New Roman"/>
        </w:rPr>
        <w:t xml:space="preserve">, </w:t>
      </w:r>
      <w:r>
        <w:rPr>
          <w:rStyle w:val="VerbatimChar"/>
          <w:rFonts w:ascii="Times New Roman" w:eastAsia="Times New Roman" w:hAnsi="Times New Roman" w:cs="Times New Roman"/>
          <w:sz w:val="24"/>
        </w:rPr>
        <w:t>beam_m</w:t>
      </w:r>
      <w:r>
        <w:rPr>
          <w:rFonts w:eastAsia="Times New Roman" w:cs="Times New Roman"/>
        </w:rPr>
        <w:t xml:space="preserve">, </w:t>
      </w:r>
      <w:r>
        <w:rPr>
          <w:rStyle w:val="VerbatimChar"/>
          <w:rFonts w:ascii="Times New Roman" w:eastAsia="Times New Roman" w:hAnsi="Times New Roman" w:cs="Times New Roman"/>
          <w:sz w:val="24"/>
        </w:rPr>
        <w:t>draft_m</w:t>
      </w:r>
      <w:r>
        <w:rPr>
          <w:rFonts w:eastAsia="Times New Roman" w:cs="Times New Roman"/>
        </w:rPr>
        <w:t>.</w:t>
      </w:r>
    </w:p>
    <w:p w14:paraId="1D1CE357" w14:textId="77777777" w:rsidR="003C788D" w:rsidRDefault="00AA7D12">
      <w:pPr>
        <w:pStyle w:val="Compact"/>
        <w:numPr>
          <w:ilvl w:val="0"/>
          <w:numId w:val="17"/>
        </w:numPr>
        <w:spacing w:line="360" w:lineRule="auto"/>
      </w:pPr>
      <w:r>
        <w:rPr>
          <w:rFonts w:eastAsia="Times New Roman" w:cs="Times New Roman"/>
          <w:b/>
          <w:bCs/>
        </w:rPr>
        <w:t>Avledede yacht</w:t>
      </w:r>
      <w:r>
        <w:rPr>
          <w:rFonts w:eastAsia="Times New Roman" w:cs="Times New Roman"/>
          <w:b/>
          <w:bCs/>
        </w:rPr>
        <w:softHyphen/>
        <w:t>felt:</w:t>
      </w:r>
      <w:r>
        <w:rPr>
          <w:rFonts w:eastAsia="Times New Roman" w:cs="Times New Roman"/>
        </w:rPr>
        <w:t xml:space="preserve"> </w:t>
      </w:r>
      <w:r>
        <w:rPr>
          <w:rStyle w:val="VerbatimChar"/>
          <w:rFonts w:ascii="Times New Roman" w:eastAsia="Times New Roman" w:hAnsi="Times New Roman" w:cs="Times New Roman"/>
          <w:sz w:val="24"/>
        </w:rPr>
        <w:t>size_category</w:t>
      </w:r>
      <w:r>
        <w:rPr>
          <w:rFonts w:eastAsia="Times New Roman" w:cs="Times New Roman"/>
        </w:rPr>
        <w:t xml:space="preserve">, </w:t>
      </w:r>
      <w:r>
        <w:rPr>
          <w:rStyle w:val="VerbatimChar"/>
          <w:rFonts w:ascii="Times New Roman" w:eastAsia="Times New Roman" w:hAnsi="Times New Roman" w:cs="Times New Roman"/>
          <w:sz w:val="24"/>
        </w:rPr>
        <w:t>loskrav</w:t>
      </w:r>
      <w:r>
        <w:rPr>
          <w:rFonts w:eastAsia="Times New Roman" w:cs="Times New Roman"/>
        </w:rPr>
        <w:t>.</w:t>
      </w:r>
    </w:p>
    <w:p w14:paraId="784A43BD" w14:textId="77777777" w:rsidR="003C788D" w:rsidRDefault="00AA7D12">
      <w:pPr>
        <w:pStyle w:val="Compact"/>
        <w:numPr>
          <w:ilvl w:val="0"/>
          <w:numId w:val="17"/>
        </w:numPr>
        <w:spacing w:line="360" w:lineRule="auto"/>
      </w:pPr>
      <w:r>
        <w:rPr>
          <w:rFonts w:eastAsia="Times New Roman" w:cs="Times New Roman"/>
          <w:b/>
          <w:bCs/>
        </w:rPr>
        <w:t>Reise</w:t>
      </w:r>
      <w:r>
        <w:rPr>
          <w:rFonts w:eastAsia="Times New Roman" w:cs="Times New Roman"/>
          <w:b/>
          <w:bCs/>
        </w:rPr>
        <w:softHyphen/>
        <w:t>parametere:</w:t>
      </w:r>
      <w:r>
        <w:rPr>
          <w:rFonts w:eastAsia="Times New Roman" w:cs="Times New Roman"/>
        </w:rPr>
        <w:t xml:space="preserve"> </w:t>
      </w:r>
      <w:r>
        <w:rPr>
          <w:rStyle w:val="VerbatimChar"/>
          <w:rFonts w:ascii="Times New Roman" w:eastAsia="Times New Roman" w:hAnsi="Times New Roman" w:cs="Times New Roman"/>
          <w:sz w:val="24"/>
        </w:rPr>
        <w:t>arrival_port</w:t>
      </w:r>
      <w:r>
        <w:rPr>
          <w:rFonts w:eastAsia="Times New Roman" w:cs="Times New Roman"/>
        </w:rPr>
        <w:t xml:space="preserve">, </w:t>
      </w:r>
      <w:r>
        <w:rPr>
          <w:rStyle w:val="VerbatimChar"/>
          <w:rFonts w:ascii="Times New Roman" w:eastAsia="Times New Roman" w:hAnsi="Times New Roman" w:cs="Times New Roman"/>
          <w:sz w:val="24"/>
        </w:rPr>
        <w:t>office</w:t>
      </w:r>
      <w:r>
        <w:rPr>
          <w:rFonts w:eastAsia="Times New Roman" w:cs="Times New Roman"/>
        </w:rPr>
        <w:t xml:space="preserve">, </w:t>
      </w:r>
      <w:r>
        <w:rPr>
          <w:rStyle w:val="VerbatimChar"/>
          <w:rFonts w:ascii="Times New Roman" w:eastAsia="Times New Roman" w:hAnsi="Times New Roman" w:cs="Times New Roman"/>
          <w:sz w:val="24"/>
        </w:rPr>
        <w:t>month</w:t>
      </w:r>
      <w:r>
        <w:rPr>
          <w:rFonts w:eastAsia="Times New Roman" w:cs="Times New Roman"/>
        </w:rPr>
        <w:t xml:space="preserve">, </w:t>
      </w:r>
      <w:r>
        <w:rPr>
          <w:rStyle w:val="VerbatimChar"/>
          <w:rFonts w:ascii="Times New Roman" w:eastAsia="Times New Roman" w:hAnsi="Times New Roman" w:cs="Times New Roman"/>
          <w:sz w:val="24"/>
        </w:rPr>
        <w:t>stay_days</w:t>
      </w:r>
      <w:r>
        <w:rPr>
          <w:rFonts w:eastAsia="Times New Roman" w:cs="Times New Roman"/>
        </w:rPr>
        <w:t>.</w:t>
      </w:r>
    </w:p>
    <w:p w14:paraId="5415A045" w14:textId="77777777" w:rsidR="003C788D" w:rsidRDefault="00AA7D12">
      <w:pPr>
        <w:pStyle w:val="Compact"/>
        <w:numPr>
          <w:ilvl w:val="0"/>
          <w:numId w:val="17"/>
        </w:numPr>
        <w:spacing w:line="360" w:lineRule="auto"/>
      </w:pPr>
      <w:r>
        <w:rPr>
          <w:rFonts w:eastAsia="Times New Roman" w:cs="Times New Roman"/>
          <w:b/>
          <w:bCs/>
        </w:rPr>
        <w:t>Tjeneste</w:t>
      </w:r>
      <w:r>
        <w:rPr>
          <w:rFonts w:eastAsia="Times New Roman" w:cs="Times New Roman"/>
          <w:b/>
          <w:bCs/>
        </w:rPr>
        <w:softHyphen/>
        <w:t>kontekst:</w:t>
      </w:r>
      <w:r>
        <w:rPr>
          <w:rFonts w:eastAsia="Times New Roman" w:cs="Times New Roman"/>
        </w:rPr>
        <w:t xml:space="preserve"> </w:t>
      </w:r>
      <w:r>
        <w:rPr>
          <w:rStyle w:val="VerbatimChar"/>
          <w:rFonts w:ascii="Times New Roman" w:eastAsia="Times New Roman" w:hAnsi="Times New Roman" w:cs="Times New Roman"/>
          <w:sz w:val="24"/>
        </w:rPr>
        <w:t>service_type</w:t>
      </w:r>
      <w:r>
        <w:rPr>
          <w:rFonts w:eastAsia="Times New Roman" w:cs="Times New Roman"/>
        </w:rPr>
        <w:t xml:space="preserve">, </w:t>
      </w:r>
      <w:r>
        <w:rPr>
          <w:rStyle w:val="VerbatimChar"/>
          <w:rFonts w:ascii="Times New Roman" w:eastAsia="Times New Roman" w:hAnsi="Times New Roman" w:cs="Times New Roman"/>
          <w:sz w:val="24"/>
        </w:rPr>
        <w:t>service_category</w:t>
      </w:r>
      <w:r>
        <w:rPr>
          <w:rFonts w:eastAsia="Times New Roman" w:cs="Times New Roman"/>
        </w:rPr>
        <w:t>.</w:t>
      </w:r>
    </w:p>
    <w:p w14:paraId="5CB26596" w14:textId="77777777" w:rsidR="003C788D" w:rsidRDefault="00AA7D12">
      <w:pPr>
        <w:pStyle w:val="Compact"/>
        <w:numPr>
          <w:ilvl w:val="0"/>
          <w:numId w:val="17"/>
        </w:numPr>
        <w:spacing w:line="360" w:lineRule="auto"/>
      </w:pPr>
      <w:r>
        <w:rPr>
          <w:rFonts w:eastAsia="Times New Roman" w:cs="Times New Roman"/>
          <w:b/>
          <w:bCs/>
        </w:rPr>
        <w:t>Tids</w:t>
      </w:r>
      <w:r>
        <w:rPr>
          <w:rFonts w:eastAsia="Times New Roman" w:cs="Times New Roman"/>
          <w:b/>
          <w:bCs/>
        </w:rPr>
        <w:softHyphen/>
        <w:t>features:</w:t>
      </w:r>
      <w:r>
        <w:rPr>
          <w:rFonts w:eastAsia="Times New Roman" w:cs="Times New Roman"/>
        </w:rPr>
        <w:t xml:space="preserve"> </w:t>
      </w:r>
      <w:r>
        <w:rPr>
          <w:rStyle w:val="VerbatimChar"/>
          <w:rFonts w:ascii="Times New Roman" w:eastAsia="Times New Roman" w:hAnsi="Times New Roman" w:cs="Times New Roman"/>
          <w:sz w:val="24"/>
        </w:rPr>
        <w:t>quarter</w:t>
      </w:r>
      <w:r>
        <w:rPr>
          <w:rFonts w:eastAsia="Times New Roman" w:cs="Times New Roman"/>
        </w:rPr>
        <w:t xml:space="preserve">, </w:t>
      </w:r>
      <w:r>
        <w:rPr>
          <w:rStyle w:val="VerbatimChar"/>
          <w:rFonts w:ascii="Times New Roman" w:eastAsia="Times New Roman" w:hAnsi="Times New Roman" w:cs="Times New Roman"/>
          <w:sz w:val="24"/>
        </w:rPr>
        <w:t>is_summer</w:t>
      </w:r>
      <w:r>
        <w:rPr>
          <w:rFonts w:eastAsia="Times New Roman" w:cs="Times New Roman"/>
        </w:rPr>
        <w:t xml:space="preserve">, </w:t>
      </w:r>
      <w:r>
        <w:rPr>
          <w:rStyle w:val="VerbatimChar"/>
          <w:rFonts w:ascii="Times New Roman" w:eastAsia="Times New Roman" w:hAnsi="Times New Roman" w:cs="Times New Roman"/>
          <w:sz w:val="24"/>
        </w:rPr>
        <w:t>is_shoulder</w:t>
      </w:r>
      <w:r>
        <w:rPr>
          <w:rFonts w:eastAsia="Times New Roman" w:cs="Times New Roman"/>
        </w:rPr>
        <w:t xml:space="preserve">, </w:t>
      </w:r>
      <w:r>
        <w:rPr>
          <w:rStyle w:val="VerbatimChar"/>
          <w:rFonts w:ascii="Times New Roman" w:eastAsia="Times New Roman" w:hAnsi="Times New Roman" w:cs="Times New Roman"/>
          <w:sz w:val="24"/>
        </w:rPr>
        <w:t>day_of_week</w:t>
      </w:r>
      <w:r>
        <w:rPr>
          <w:rFonts w:eastAsia="Times New Roman" w:cs="Times New Roman"/>
        </w:rPr>
        <w:t xml:space="preserve">, </w:t>
      </w:r>
      <w:r>
        <w:rPr>
          <w:rStyle w:val="VerbatimChar"/>
          <w:rFonts w:ascii="Times New Roman" w:eastAsia="Times New Roman" w:hAnsi="Times New Roman" w:cs="Times New Roman"/>
          <w:sz w:val="24"/>
        </w:rPr>
        <w:t>week_of_year</w:t>
      </w:r>
      <w:r>
        <w:rPr>
          <w:rFonts w:eastAsia="Times New Roman" w:cs="Times New Roman"/>
        </w:rPr>
        <w:t>.</w:t>
      </w:r>
    </w:p>
    <w:p w14:paraId="42F00242" w14:textId="77777777" w:rsidR="003C788D" w:rsidRDefault="00AA7D12">
      <w:pPr>
        <w:pStyle w:val="Compact"/>
        <w:numPr>
          <w:ilvl w:val="0"/>
          <w:numId w:val="17"/>
        </w:numPr>
        <w:spacing w:line="360" w:lineRule="auto"/>
      </w:pPr>
      <w:r>
        <w:rPr>
          <w:rFonts w:eastAsia="Times New Roman" w:cs="Times New Roman"/>
          <w:b/>
          <w:bCs/>
        </w:rPr>
        <w:t>Interaksjoner:</w:t>
      </w:r>
      <w:r>
        <w:rPr>
          <w:rFonts w:eastAsia="Times New Roman" w:cs="Times New Roman"/>
        </w:rPr>
        <w:t xml:space="preserve"> </w:t>
      </w:r>
      <w:r>
        <w:rPr>
          <w:rStyle w:val="VerbatimChar"/>
          <w:rFonts w:ascii="Times New Roman" w:eastAsia="Times New Roman" w:hAnsi="Times New Roman" w:cs="Times New Roman"/>
          <w:sz w:val="24"/>
        </w:rPr>
        <w:t>gt × stay_days</w:t>
      </w:r>
      <w:r>
        <w:rPr>
          <w:rFonts w:eastAsia="Times New Roman" w:cs="Times New Roman"/>
        </w:rPr>
        <w:t xml:space="preserve">, </w:t>
      </w:r>
      <w:r>
        <w:rPr>
          <w:rStyle w:val="VerbatimChar"/>
          <w:rFonts w:ascii="Times New Roman" w:eastAsia="Times New Roman" w:hAnsi="Times New Roman" w:cs="Times New Roman"/>
          <w:sz w:val="24"/>
        </w:rPr>
        <w:t>loa_m × stay_days</w:t>
      </w:r>
      <w:r>
        <w:rPr>
          <w:rFonts w:eastAsia="Times New Roman" w:cs="Times New Roman"/>
        </w:rPr>
        <w:t xml:space="preserve">, </w:t>
      </w:r>
      <w:r>
        <w:rPr>
          <w:rStyle w:val="VerbatimChar"/>
          <w:rFonts w:ascii="Times New Roman" w:eastAsia="Times New Roman" w:hAnsi="Times New Roman" w:cs="Times New Roman"/>
          <w:sz w:val="24"/>
        </w:rPr>
        <w:t>fuel_lph × stay_days</w:t>
      </w:r>
      <w:r>
        <w:rPr>
          <w:rFonts w:eastAsia="Times New Roman" w:cs="Times New Roman"/>
        </w:rPr>
        <w:t>.</w:t>
      </w:r>
    </w:p>
    <w:p w14:paraId="0C9384DB" w14:textId="77777777" w:rsidR="003C788D" w:rsidRDefault="00AA7D12">
      <w:pPr>
        <w:pStyle w:val="Compact"/>
        <w:numPr>
          <w:ilvl w:val="0"/>
          <w:numId w:val="17"/>
        </w:numPr>
        <w:spacing w:line="360" w:lineRule="auto"/>
      </w:pPr>
      <w:r>
        <w:rPr>
          <w:rFonts w:eastAsia="Times New Roman" w:cs="Times New Roman"/>
          <w:b/>
          <w:bCs/>
        </w:rPr>
        <w:t>Aggregat</w:t>
      </w:r>
      <w:r>
        <w:rPr>
          <w:rFonts w:eastAsia="Times New Roman" w:cs="Times New Roman"/>
          <w:b/>
          <w:bCs/>
        </w:rPr>
        <w:softHyphen/>
        <w:t>statistikk:</w:t>
      </w:r>
      <w:r>
        <w:rPr>
          <w:rFonts w:eastAsia="Times New Roman" w:cs="Times New Roman"/>
        </w:rPr>
        <w:t xml:space="preserve"> </w:t>
      </w:r>
      <w:r>
        <w:rPr>
          <w:rStyle w:val="VerbatimChar"/>
          <w:rFonts w:ascii="Times New Roman" w:eastAsia="Times New Roman" w:hAnsi="Times New Roman" w:cs="Times New Roman"/>
          <w:sz w:val="24"/>
        </w:rPr>
        <w:t>size_svc_mean_charge</w:t>
      </w:r>
      <w:r>
        <w:rPr>
          <w:rFonts w:eastAsia="Times New Roman" w:cs="Times New Roman"/>
        </w:rPr>
        <w:t xml:space="preserve">, </w:t>
      </w:r>
      <w:r>
        <w:rPr>
          <w:rStyle w:val="VerbatimChar"/>
          <w:rFonts w:ascii="Times New Roman" w:eastAsia="Times New Roman" w:hAnsi="Times New Roman" w:cs="Times New Roman"/>
          <w:sz w:val="24"/>
        </w:rPr>
        <w:t>size_svc_median_charge</w:t>
      </w:r>
      <w:r>
        <w:rPr>
          <w:rFonts w:eastAsia="Times New Roman" w:cs="Times New Roman"/>
        </w:rPr>
        <w:t xml:space="preserve">, </w:t>
      </w:r>
      <w:r>
        <w:rPr>
          <w:rStyle w:val="VerbatimChar"/>
          <w:rFonts w:ascii="Times New Roman" w:eastAsia="Times New Roman" w:hAnsi="Times New Roman" w:cs="Times New Roman"/>
          <w:sz w:val="24"/>
        </w:rPr>
        <w:t>size_svc_count</w:t>
      </w:r>
      <w:r>
        <w:rPr>
          <w:rFonts w:eastAsia="Times New Roman" w:cs="Times New Roman"/>
        </w:rPr>
        <w:t xml:space="preserve">, </w:t>
      </w:r>
      <w:r>
        <w:rPr>
          <w:rStyle w:val="VerbatimChar"/>
          <w:rFonts w:ascii="Times New Roman" w:eastAsia="Times New Roman" w:hAnsi="Times New Roman" w:cs="Times New Roman"/>
          <w:sz w:val="24"/>
        </w:rPr>
        <w:t>port_mean_charge</w:t>
      </w:r>
      <w:r>
        <w:rPr>
          <w:rFonts w:eastAsia="Times New Roman" w:cs="Times New Roman"/>
        </w:rPr>
        <w:t xml:space="preserve">, </w:t>
      </w:r>
      <w:r>
        <w:rPr>
          <w:rStyle w:val="VerbatimChar"/>
          <w:rFonts w:ascii="Times New Roman" w:eastAsia="Times New Roman" w:hAnsi="Times New Roman" w:cs="Times New Roman"/>
          <w:sz w:val="24"/>
        </w:rPr>
        <w:t>port_median_charge</w:t>
      </w:r>
      <w:r>
        <w:rPr>
          <w:rFonts w:eastAsia="Times New Roman" w:cs="Times New Roman"/>
        </w:rPr>
        <w:t xml:space="preserve"> — alle i EUR, og beregnet </w:t>
      </w:r>
      <w:r>
        <w:rPr>
          <w:rFonts w:eastAsia="Times New Roman" w:cs="Times New Roman"/>
          <w:b/>
          <w:bCs/>
        </w:rPr>
        <w:t>kun på trenings</w:t>
      </w:r>
      <w:r>
        <w:rPr>
          <w:rFonts w:eastAsia="Times New Roman" w:cs="Times New Roman"/>
          <w:b/>
          <w:bCs/>
        </w:rPr>
        <w:softHyphen/>
        <w:t>settet</w:t>
      </w:r>
      <w:r>
        <w:rPr>
          <w:rFonts w:eastAsia="Times New Roman" w:cs="Times New Roman"/>
        </w:rPr>
        <w:t xml:space="preserve"> </w:t>
      </w:r>
      <w:r>
        <w:rPr>
          <w:rFonts w:eastAsia="Times New Roman" w:cs="Times New Roman"/>
        </w:rPr>
        <w:t xml:space="preserve">for å unngå target leakage. Merk at </w:t>
      </w:r>
      <w:r>
        <w:rPr>
          <w:rStyle w:val="VerbatimChar"/>
          <w:rFonts w:ascii="Times New Roman" w:eastAsia="Times New Roman" w:hAnsi="Times New Roman" w:cs="Times New Roman"/>
          <w:sz w:val="24"/>
        </w:rPr>
        <w:t>size_*</w:t>
      </w:r>
      <w:r>
        <w:rPr>
          <w:rFonts w:eastAsia="Times New Roman" w:cs="Times New Roman"/>
        </w:rPr>
        <w:t>-aggregatene er poolet på tvers av Norge, Sverige og Danmark — en avgrensning som drøftes i § 9.5.</w:t>
      </w:r>
    </w:p>
    <w:p w14:paraId="125C8819" w14:textId="77777777" w:rsidR="003C788D" w:rsidRDefault="00AA7D12">
      <w:pPr>
        <w:pStyle w:val="Compact"/>
        <w:numPr>
          <w:ilvl w:val="0"/>
          <w:numId w:val="17"/>
        </w:numPr>
        <w:spacing w:line="360" w:lineRule="auto"/>
      </w:pPr>
      <w:r>
        <w:rPr>
          <w:rFonts w:eastAsia="Times New Roman" w:cs="Times New Roman"/>
          <w:b/>
          <w:bCs/>
        </w:rPr>
        <w:t>Tekstmål:</w:t>
      </w:r>
      <w:r>
        <w:rPr>
          <w:rFonts w:eastAsia="Times New Roman" w:cs="Times New Roman"/>
        </w:rPr>
        <w:t xml:space="preserve"> lengde av faktura</w:t>
      </w:r>
      <w:r>
        <w:rPr>
          <w:rFonts w:eastAsia="Times New Roman" w:cs="Times New Roman"/>
        </w:rPr>
        <w:softHyphen/>
        <w:t>kommentar (</w:t>
      </w:r>
      <w:r>
        <w:rPr>
          <w:rStyle w:val="VerbatimChar"/>
          <w:rFonts w:ascii="Times New Roman" w:eastAsia="Times New Roman" w:hAnsi="Times New Roman" w:cs="Times New Roman"/>
          <w:sz w:val="24"/>
        </w:rPr>
        <w:t>cmt_len</w:t>
      </w:r>
      <w:r>
        <w:rPr>
          <w:rFonts w:eastAsia="Times New Roman" w:cs="Times New Roman"/>
        </w:rPr>
        <w:t>).</w:t>
      </w:r>
    </w:p>
    <w:p w14:paraId="02DDE5F3" w14:textId="77777777" w:rsidR="003C788D" w:rsidRDefault="00AA7D12">
      <w:pPr>
        <w:pStyle w:val="Overskrift3"/>
      </w:pPr>
      <w:bookmarkStart w:id="63" w:name="verktøy-og-reproduserbarhet"/>
      <w:bookmarkStart w:id="64" w:name="_Toc230777793"/>
      <w:bookmarkEnd w:id="61"/>
      <w:r>
        <w:t>5.6 Verktøy og reproduserbarhet</w:t>
      </w:r>
      <w:bookmarkEnd w:id="64"/>
    </w:p>
    <w:p w14:paraId="15CB5DF7" w14:textId="77777777" w:rsidR="003C788D" w:rsidRDefault="00AA7D12">
      <w:pPr>
        <w:pStyle w:val="FirstParagraph"/>
        <w:spacing w:line="360" w:lineRule="auto"/>
      </w:pPr>
      <w:r>
        <w:rPr>
          <w:rFonts w:eastAsia="Times New Roman" w:cs="Times New Roman"/>
        </w:rPr>
        <w:t>Pipeline er implementert i Python 3.11 med pandas, scikit-learn, LightGBM 4.x, CatBoost 1.2, og Optuna for hyper</w:t>
      </w:r>
      <w:r>
        <w:rPr>
          <w:rFonts w:eastAsia="Times New Roman" w:cs="Times New Roman"/>
        </w:rPr>
        <w:softHyphen/>
        <w:t>parameter</w:t>
      </w:r>
      <w:r>
        <w:rPr>
          <w:rFonts w:eastAsia="Times New Roman" w:cs="Times New Roman"/>
        </w:rPr>
        <w:softHyphen/>
        <w:t>søk. Alle modell</w:t>
      </w:r>
      <w:r>
        <w:rPr>
          <w:rFonts w:eastAsia="Times New Roman" w:cs="Times New Roman"/>
        </w:rPr>
        <w:softHyphen/>
        <w:t xml:space="preserve">artefakter er lagret i </w:t>
      </w:r>
      <w:r>
        <w:rPr>
          <w:rStyle w:val="VerbatimChar"/>
          <w:rFonts w:ascii="Times New Roman" w:eastAsia="Times New Roman" w:hAnsi="Times New Roman" w:cs="Times New Roman"/>
          <w:sz w:val="24"/>
        </w:rPr>
        <w:t>013 fase 3 - review/artifacts/</w:t>
      </w:r>
      <w:r>
        <w:rPr>
          <w:rFonts w:eastAsia="Times New Roman" w:cs="Times New Roman"/>
        </w:rPr>
        <w:t>. Backend</w:t>
      </w:r>
      <w:r>
        <w:rPr>
          <w:rFonts w:eastAsia="Times New Roman" w:cs="Times New Roman"/>
        </w:rPr>
        <w:softHyphen/>
      </w:r>
      <w:r>
        <w:rPr>
          <w:rFonts w:eastAsia="Times New Roman" w:cs="Times New Roman"/>
        </w:rPr>
        <w:t>tjenesten er bygget med FastAPI og frontend med Next.js 14. Hele arbeidsflyten — inkludert AI-bistand i Claude Code — er versjons</w:t>
      </w:r>
      <w:r>
        <w:rPr>
          <w:rFonts w:eastAsia="Times New Roman" w:cs="Times New Roman"/>
        </w:rPr>
        <w:softHyphen/>
        <w:t>kontrollert på GitHub i samsvar med god vitenskapelig praksis.</w:t>
      </w:r>
    </w:p>
    <w:p w14:paraId="35E09989" w14:textId="77777777" w:rsidR="003C788D" w:rsidRDefault="00AA7D12">
      <w:pPr>
        <w:pStyle w:val="Overskrift3"/>
      </w:pPr>
      <w:bookmarkStart w:id="65" w:name="antakelsessjekk-kompendiet-steg-2"/>
      <w:bookmarkStart w:id="66" w:name="_Toc230777794"/>
      <w:bookmarkEnd w:id="63"/>
      <w:r>
        <w:t>5.7 Antakelses</w:t>
      </w:r>
      <w:r>
        <w:softHyphen/>
        <w:t>sjekk (kompendiet steg 2)</w:t>
      </w:r>
      <w:bookmarkEnd w:id="66"/>
    </w:p>
    <w:p w14:paraId="046EEE38" w14:textId="77777777" w:rsidR="003C788D" w:rsidRDefault="00AA7D12">
      <w:pPr>
        <w:pStyle w:val="FirstParagraph"/>
        <w:spacing w:line="360" w:lineRule="auto"/>
      </w:pPr>
      <w:r>
        <w:rPr>
          <w:rFonts w:eastAsia="Times New Roman" w:cs="Times New Roman"/>
        </w:rPr>
        <w:t>Selv om tre</w:t>
      </w:r>
      <w:r>
        <w:rPr>
          <w:rFonts w:eastAsia="Times New Roman" w:cs="Times New Roman"/>
        </w:rPr>
        <w:softHyphen/>
        <w:t>ensembler er robuste mot mange klassiske brudd på regresjons</w:t>
      </w:r>
      <w:r>
        <w:rPr>
          <w:rFonts w:eastAsia="Times New Roman" w:cs="Times New Roman"/>
        </w:rPr>
        <w:softHyphen/>
        <w:t>antakelser (linearitet, normalitet, homoskedastisitet), foreskriver pensum</w:t>
      </w:r>
      <w:r>
        <w:rPr>
          <w:rFonts w:eastAsia="Times New Roman" w:cs="Times New Roman"/>
        </w:rPr>
        <w:softHyphen/>
        <w:t>kompendiet (§ i.4.2) at antakelsene skal verifiseres eksplisitt før modellen brukes. Tre sjekker rapporteres, alle utført på trenings</w:t>
      </w:r>
      <w:r>
        <w:rPr>
          <w:rFonts w:eastAsia="Times New Roman" w:cs="Times New Roman"/>
        </w:rPr>
        <w:softHyphen/>
        <w:t>settet (≤ 2023):</w:t>
      </w:r>
    </w:p>
    <w:p w14:paraId="2EB59ED4" w14:textId="77777777" w:rsidR="003C788D" w:rsidRDefault="00AA7D12">
      <w:pPr>
        <w:numPr>
          <w:ilvl w:val="0"/>
          <w:numId w:val="18"/>
        </w:numPr>
        <w:spacing w:line="360" w:lineRule="auto"/>
      </w:pPr>
      <w:r>
        <w:rPr>
          <w:rFonts w:eastAsia="Times New Roman" w:cs="Times New Roman"/>
          <w:b/>
          <w:bCs/>
        </w:rPr>
        <w:t>Skjevhet i mål</w:t>
      </w:r>
      <w:r>
        <w:rPr>
          <w:rFonts w:eastAsia="Times New Roman" w:cs="Times New Roman"/>
          <w:b/>
          <w:bCs/>
        </w:rPr>
        <w:softHyphen/>
        <w:t>variabelen.</w:t>
      </w:r>
      <w:r>
        <w:rPr>
          <w:rFonts w:eastAsia="Times New Roman" w:cs="Times New Roman"/>
        </w:rPr>
        <w:t xml:space="preserve"> Som rapportert i § 7.1 er </w:t>
      </w:r>
      <w:r>
        <w:rPr>
          <w:rStyle w:val="VerbatimChar"/>
          <w:rFonts w:ascii="Times New Roman" w:eastAsia="Times New Roman" w:hAnsi="Times New Roman" w:cs="Times New Roman"/>
          <w:sz w:val="24"/>
        </w:rPr>
        <w:t>final_charge</w:t>
      </w:r>
      <w:r>
        <w:rPr>
          <w:rFonts w:eastAsia="Times New Roman" w:cs="Times New Roman"/>
        </w:rPr>
        <w:t xml:space="preserve"> sterkt høyreskjev (snitt &gt; 3× median, P95/P50 ≈ 12). Log-transformasjonen (§ 6.1) reduserer skjevheten fra ~5,8 til ~0,4 målt med skewness-koeffisienten, hvilket er innenfor det området L2-tap håndterer godt. Antakelse om at log-skala gir tilnærmet symmetrisk feilfordeling holder dermed empirisk (jf. residual</w:t>
      </w:r>
      <w:r>
        <w:rPr>
          <w:rFonts w:eastAsia="Times New Roman" w:cs="Times New Roman"/>
        </w:rPr>
        <w:softHyphen/>
        <w:t>plottet i § 7.4).</w:t>
      </w:r>
    </w:p>
    <w:p w14:paraId="089B059C" w14:textId="77777777" w:rsidR="003C788D" w:rsidRDefault="00AA7D12">
      <w:pPr>
        <w:numPr>
          <w:ilvl w:val="0"/>
          <w:numId w:val="18"/>
        </w:numPr>
        <w:spacing w:line="360" w:lineRule="auto"/>
      </w:pPr>
      <w:r>
        <w:rPr>
          <w:rFonts w:eastAsia="Times New Roman" w:cs="Times New Roman"/>
          <w:b/>
          <w:bCs/>
        </w:rPr>
        <w:t>Heteroskedastisitet.</w:t>
      </w:r>
      <w:r>
        <w:rPr>
          <w:rFonts w:eastAsia="Times New Roman" w:cs="Times New Roman"/>
        </w:rPr>
        <w:t xml:space="preserve"> Bruschagan-test (uformelt: residualer vs. predikert verdi i log-rom) viser at residual</w:t>
      </w:r>
      <w:r>
        <w:rPr>
          <w:rFonts w:eastAsia="Times New Roman" w:cs="Times New Roman"/>
        </w:rPr>
        <w:softHyphen/>
        <w:t>variansen ikke er konstant over hele predikert-spennet — store predikerte verdier (Provisioning og Port Marina for Stor-yachter) har større absolutte residualer enn små predikerte verdier. Dette er en av grunnene til at kvantil</w:t>
      </w:r>
      <w:r>
        <w:rPr>
          <w:rFonts w:eastAsia="Times New Roman" w:cs="Times New Roman"/>
        </w:rPr>
        <w:softHyphen/>
        <w:t>regresjon og CQR-kalibrering (§ 6.4) er valgt: konstante prediksjons</w:t>
      </w:r>
      <w:r>
        <w:rPr>
          <w:rFonts w:eastAsia="Times New Roman" w:cs="Times New Roman"/>
        </w:rPr>
        <w:softHyphen/>
        <w:t>bånd ville vært feil, og kvantil</w:t>
      </w:r>
      <w:r>
        <w:rPr>
          <w:rFonts w:eastAsia="Times New Roman" w:cs="Times New Roman"/>
        </w:rPr>
        <w:softHyphen/>
        <w:t>modellene tilpasser seg heteroskedastisiteten.</w:t>
      </w:r>
    </w:p>
    <w:p w14:paraId="3E32D5F0" w14:textId="77777777" w:rsidR="003C788D" w:rsidRDefault="00AA7D12">
      <w:pPr>
        <w:numPr>
          <w:ilvl w:val="0"/>
          <w:numId w:val="18"/>
        </w:numPr>
        <w:spacing w:line="360" w:lineRule="auto"/>
      </w:pPr>
      <w:r>
        <w:rPr>
          <w:rFonts w:eastAsia="Times New Roman" w:cs="Times New Roman"/>
          <w:b/>
          <w:bCs/>
        </w:rPr>
        <w:t>Multikollinearitet.</w:t>
      </w:r>
      <w:r>
        <w:rPr>
          <w:rFonts w:eastAsia="Times New Roman" w:cs="Times New Roman"/>
        </w:rPr>
        <w:t xml:space="preserve"> Variance Inflation Factor (VIF) for de numeriske featurene viser at </w:t>
      </w:r>
      <w:r>
        <w:rPr>
          <w:rStyle w:val="VerbatimChar"/>
          <w:rFonts w:ascii="Times New Roman" w:eastAsia="Times New Roman" w:hAnsi="Times New Roman" w:cs="Times New Roman"/>
          <w:sz w:val="24"/>
        </w:rPr>
        <w:t>gt</w:t>
      </w:r>
      <w:r>
        <w:rPr>
          <w:rFonts w:eastAsia="Times New Roman" w:cs="Times New Roman"/>
        </w:rPr>
        <w:t xml:space="preserve">, </w:t>
      </w:r>
      <w:r>
        <w:rPr>
          <w:rStyle w:val="VerbatimChar"/>
          <w:rFonts w:ascii="Times New Roman" w:eastAsia="Times New Roman" w:hAnsi="Times New Roman" w:cs="Times New Roman"/>
          <w:sz w:val="24"/>
        </w:rPr>
        <w:t>loa_m</w:t>
      </w:r>
      <w:r>
        <w:rPr>
          <w:rFonts w:eastAsia="Times New Roman" w:cs="Times New Roman"/>
        </w:rPr>
        <w:t xml:space="preserve"> og </w:t>
      </w:r>
      <w:r>
        <w:rPr>
          <w:rStyle w:val="VerbatimChar"/>
          <w:rFonts w:ascii="Times New Roman" w:eastAsia="Times New Roman" w:hAnsi="Times New Roman" w:cs="Times New Roman"/>
          <w:sz w:val="24"/>
        </w:rPr>
        <w:t>fuel_lph</w:t>
      </w:r>
      <w:r>
        <w:rPr>
          <w:rFonts w:eastAsia="Times New Roman" w:cs="Times New Roman"/>
        </w:rPr>
        <w:t xml:space="preserve"> er sterkt korrelerte (alle VIF &gt; 10, par-Pearson &gt; 0,9). Notebook-cellen som dropper </w:t>
      </w:r>
      <w:r>
        <w:rPr>
          <w:rStyle w:val="VerbatimChar"/>
          <w:rFonts w:ascii="Times New Roman" w:eastAsia="Times New Roman" w:hAnsi="Times New Roman" w:cs="Times New Roman"/>
          <w:sz w:val="24"/>
        </w:rPr>
        <w:t>log_gt</w:t>
      </w:r>
      <w:r>
        <w:rPr>
          <w:rFonts w:eastAsia="Times New Roman" w:cs="Times New Roman"/>
        </w:rPr>
        <w:t xml:space="preserve"> (r = 0,94 med </w:t>
      </w:r>
      <w:r>
        <w:rPr>
          <w:rStyle w:val="VerbatimChar"/>
          <w:rFonts w:ascii="Times New Roman" w:eastAsia="Times New Roman" w:hAnsi="Times New Roman" w:cs="Times New Roman"/>
          <w:sz w:val="24"/>
        </w:rPr>
        <w:t>gt</w:t>
      </w:r>
      <w:r>
        <w:rPr>
          <w:rFonts w:eastAsia="Times New Roman" w:cs="Times New Roman"/>
        </w:rPr>
        <w:t xml:space="preserve">), </w:t>
      </w:r>
      <w:r>
        <w:rPr>
          <w:rStyle w:val="VerbatimChar"/>
          <w:rFonts w:ascii="Times New Roman" w:eastAsia="Times New Roman" w:hAnsi="Times New Roman" w:cs="Times New Roman"/>
          <w:sz w:val="24"/>
        </w:rPr>
        <w:t>fuel_lph</w:t>
      </w:r>
      <w:r>
        <w:rPr>
          <w:rFonts w:eastAsia="Times New Roman" w:cs="Times New Roman"/>
        </w:rPr>
        <w:t xml:space="preserve"> (r = 0,999 med </w:t>
      </w:r>
      <w:r>
        <w:rPr>
          <w:rStyle w:val="VerbatimChar"/>
          <w:rFonts w:ascii="Times New Roman" w:eastAsia="Times New Roman" w:hAnsi="Times New Roman" w:cs="Times New Roman"/>
          <w:sz w:val="24"/>
        </w:rPr>
        <w:t>gt</w:t>
      </w:r>
      <w:r>
        <w:rPr>
          <w:rFonts w:eastAsia="Times New Roman" w:cs="Times New Roman"/>
        </w:rPr>
        <w:t>) og noen redundante aggregat</w:t>
      </w:r>
      <w:r>
        <w:rPr>
          <w:rFonts w:eastAsia="Times New Roman" w:cs="Times New Roman"/>
        </w:rPr>
        <w:softHyphen/>
        <w:t xml:space="preserve">features eliminerer de mest ekstreme tilfellene. Resterende moderate multikollinearitet (VIF ≈ 3–5 for </w:t>
      </w:r>
      <w:r>
        <w:rPr>
          <w:rStyle w:val="VerbatimChar"/>
          <w:rFonts w:ascii="Times New Roman" w:eastAsia="Times New Roman" w:hAnsi="Times New Roman" w:cs="Times New Roman"/>
          <w:sz w:val="24"/>
        </w:rPr>
        <w:t>loa_m × stay_days</w:t>
      </w:r>
      <w:r>
        <w:rPr>
          <w:rFonts w:eastAsia="Times New Roman" w:cs="Times New Roman"/>
        </w:rPr>
        <w:t xml:space="preserve"> og lignende interaksjons</w:t>
      </w:r>
      <w:r>
        <w:rPr>
          <w:rFonts w:eastAsia="Times New Roman" w:cs="Times New Roman"/>
        </w:rPr>
        <w:softHyphen/>
        <w:t>features) er akseptert fordi tre</w:t>
      </w:r>
      <w:r>
        <w:rPr>
          <w:rFonts w:eastAsia="Times New Roman" w:cs="Times New Roman"/>
        </w:rPr>
        <w:softHyphen/>
        <w:t>ensembler ikke er sensitive for kollineære features på samme måte som lineæ</w:t>
      </w:r>
      <w:r>
        <w:rPr>
          <w:rFonts w:eastAsia="Times New Roman" w:cs="Times New Roman"/>
        </w:rPr>
        <w:t>r regresjon — en feature med VIF = 5 i et tre vil bare bli valgt sjeldnere ved split, ikke gi numerisk ustabilitet.</w:t>
      </w:r>
    </w:p>
    <w:p w14:paraId="3F462EBB" w14:textId="77777777" w:rsidR="003C788D" w:rsidRDefault="00AA7D12">
      <w:pPr>
        <w:pStyle w:val="FirstParagraph"/>
        <w:spacing w:line="360" w:lineRule="auto"/>
      </w:pPr>
      <w:r>
        <w:rPr>
          <w:rFonts w:eastAsia="Times New Roman" w:cs="Times New Roman"/>
        </w:rPr>
        <w:t>Konklusjonen er at antakelses</w:t>
      </w:r>
      <w:r>
        <w:rPr>
          <w:rFonts w:eastAsia="Times New Roman" w:cs="Times New Roman"/>
        </w:rPr>
        <w:softHyphen/>
        <w:t>bruddet som ville vært mest skadelig — sterk skjevhet i mål</w:t>
      </w:r>
      <w:r>
        <w:rPr>
          <w:rFonts w:eastAsia="Times New Roman" w:cs="Times New Roman"/>
        </w:rPr>
        <w:softHyphen/>
        <w:t>variabelen — er adressert via log-transformasjon, og at heteroskedastisitet er håndtert via kvantil</w:t>
      </w:r>
      <w:r>
        <w:rPr>
          <w:rFonts w:eastAsia="Times New Roman" w:cs="Times New Roman"/>
        </w:rPr>
        <w:softHyphen/>
        <w:t>modellering snarere enn ignorert. Antakelsene er dermed “tilstrekkelig oppfylt” i kompendiets forstand (§ i.4.2), og resultatene i § 8 skal leses i lys av denne sjekken.</w:t>
      </w:r>
    </w:p>
    <w:p w14:paraId="027B8DE9" w14:textId="77777777" w:rsidR="003C788D" w:rsidRDefault="00AA7D12">
      <w:pPr>
        <w:spacing w:line="360" w:lineRule="auto"/>
      </w:pPr>
      <w:r>
        <w:rPr>
          <w:rFonts w:eastAsia="Times New Roman" w:cs="Times New Roman"/>
        </w:rPr>
        <w:pict w14:anchorId="5C6D9D34">
          <v:rect id="_x0000_i1032" style="width:0;height:1.5pt" o:hralign="center" o:hrstd="t" o:hr="t"/>
        </w:pict>
      </w:r>
    </w:p>
    <w:p w14:paraId="58FFCC2E" w14:textId="77777777" w:rsidR="003C788D" w:rsidRDefault="00AA7D12">
      <w:pPr>
        <w:pStyle w:val="Overskrift2"/>
      </w:pPr>
      <w:bookmarkStart w:id="67" w:name="modell"/>
      <w:bookmarkStart w:id="68" w:name="_Toc230777795"/>
      <w:bookmarkEnd w:id="49"/>
      <w:bookmarkEnd w:id="65"/>
      <w:r>
        <w:t>6. Modell</w:t>
      </w:r>
      <w:bookmarkEnd w:id="68"/>
    </w:p>
    <w:p w14:paraId="6848E4D1" w14:textId="77777777" w:rsidR="003C788D" w:rsidRDefault="00AA7D12">
      <w:pPr>
        <w:pStyle w:val="Overskrift3"/>
      </w:pPr>
      <w:bookmarkStart w:id="69" w:name="målvariabel-og-tap"/>
      <w:bookmarkStart w:id="70" w:name="_Toc230777796"/>
      <w:r>
        <w:t>6.1 Mål</w:t>
      </w:r>
      <w:r>
        <w:softHyphen/>
        <w:t>variabel og tap</w:t>
      </w:r>
      <w:bookmarkEnd w:id="70"/>
    </w:p>
    <w:p w14:paraId="4F7F0A2E" w14:textId="77777777" w:rsidR="003C788D" w:rsidRDefault="00AA7D12">
      <w:pPr>
        <w:pStyle w:val="FirstParagraph"/>
        <w:spacing w:line="360" w:lineRule="auto"/>
      </w:pPr>
      <w:r>
        <w:rPr>
          <w:rFonts w:eastAsia="Times New Roman" w:cs="Times New Roman"/>
        </w:rPr>
        <w:t>Mål</w:t>
      </w:r>
      <w:r>
        <w:rPr>
          <w:rFonts w:eastAsia="Times New Roman" w:cs="Times New Roman"/>
        </w:rPr>
        <w:softHyphen/>
        <w:t xml:space="preserve">variabelen er kostnaden per transaksjon, </w:t>
      </w:r>
      <w:r>
        <w:rPr>
          <w:rStyle w:val="VerbatimChar"/>
          <w:rFonts w:ascii="Times New Roman" w:eastAsia="Times New Roman" w:hAnsi="Times New Roman" w:cs="Times New Roman"/>
          <w:sz w:val="24"/>
        </w:rPr>
        <w:t>final_charge</w:t>
      </w:r>
      <w:r>
        <w:rPr>
          <w:rFonts w:eastAsia="Times New Roman" w:cs="Times New Roman"/>
        </w:rPr>
        <w:t>, log-transformert:</w:t>
      </w:r>
    </w:p>
    <w:p w14:paraId="57B661E6" w14:textId="77777777" w:rsidR="003C788D" w:rsidRDefault="00AA7D12">
      <w:pPr>
        <w:pStyle w:val="Brdtekst"/>
        <w:spacing w:line="360" w:lineRule="auto"/>
      </w:pPr>
      <m:oMathPara>
        <m:oMathParaPr>
          <m:jc m:val="center"/>
        </m:oMathParaPr>
        <m:oMath>
          <m:r>
            <w:rPr>
              <w:rFonts w:ascii="Cambria Math" w:hAnsi="Cambria Math"/>
            </w:rPr>
            <m:t>y</m:t>
          </m:r>
          <m:r>
            <m:rPr>
              <m:sty m:val="p"/>
            </m:rPr>
            <w:rPr>
              <w:rFonts w:ascii="Cambria Math" w:hAnsi="Cambria Math"/>
            </w:rPr>
            <m:t>=log(</m:t>
          </m:r>
          <m:r>
            <w:rPr>
              <w:rFonts w:ascii="Cambria Math" w:hAnsi="Cambria Math"/>
            </w:rPr>
            <m:t>1</m:t>
          </m:r>
          <m:r>
            <m:rPr>
              <m:sty m:val="p"/>
            </m:rPr>
            <w:rPr>
              <w:rFonts w:ascii="Cambria Math" w:hAnsi="Cambria Math"/>
            </w:rPr>
            <m:t>+</m:t>
          </m:r>
          <m:r>
            <m:rPr>
              <m:nor/>
            </m:rPr>
            <m:t>final_charge</m:t>
          </m:r>
          <m:r>
            <m:rPr>
              <m:sty m:val="p"/>
            </m:rPr>
            <w:rPr>
              <w:rFonts w:ascii="Cambria Math" w:hAnsi="Cambria Math"/>
            </w:rPr>
            <m:t>)</m:t>
          </m:r>
        </m:oMath>
      </m:oMathPara>
    </w:p>
    <w:p w14:paraId="0AD69092" w14:textId="77777777" w:rsidR="003C788D" w:rsidRDefault="00AA7D12">
      <w:pPr>
        <w:pStyle w:val="FirstParagraph"/>
        <w:spacing w:line="360" w:lineRule="auto"/>
      </w:pPr>
      <w:r>
        <w:rPr>
          <w:rFonts w:eastAsia="Times New Roman" w:cs="Times New Roman"/>
        </w:rPr>
        <w:t xml:space="preserve">Modellene optimerer L2-tap i log-rommet; predikerte verdier inverteres med </w:t>
      </w:r>
      <w:r>
        <w:rPr>
          <w:rStyle w:val="VerbatimChar"/>
          <w:rFonts w:ascii="Times New Roman" w:eastAsia="Times New Roman" w:hAnsi="Times New Roman" w:cs="Times New Roman"/>
          <w:sz w:val="24"/>
        </w:rPr>
        <w:t>expm1</w:t>
      </w:r>
      <w:r>
        <w:rPr>
          <w:rFonts w:eastAsia="Times New Roman" w:cs="Times New Roman"/>
        </w:rPr>
        <w:t xml:space="preserve"> ved evaluering.</w:t>
      </w:r>
    </w:p>
    <w:p w14:paraId="6474E69C" w14:textId="77777777" w:rsidR="003C788D" w:rsidRDefault="00AA7D12">
      <w:pPr>
        <w:pStyle w:val="Overskrift3"/>
      </w:pPr>
      <w:bookmarkStart w:id="71" w:name="baselinemodeller"/>
      <w:bookmarkStart w:id="72" w:name="_Toc230777797"/>
      <w:bookmarkEnd w:id="69"/>
      <w:r>
        <w:t>6.2 Baseline</w:t>
      </w:r>
      <w:r>
        <w:softHyphen/>
        <w:t>modeller</w:t>
      </w:r>
      <w:bookmarkEnd w:id="72"/>
    </w:p>
    <w:p w14:paraId="73BFEA00" w14:textId="77777777" w:rsidR="003C788D" w:rsidRDefault="00AA7D12">
      <w:pPr>
        <w:pStyle w:val="FirstParagraph"/>
        <w:spacing w:line="360" w:lineRule="auto"/>
      </w:pPr>
      <w:r>
        <w:rPr>
          <w:rFonts w:eastAsia="Times New Roman" w:cs="Times New Roman"/>
        </w:rPr>
        <w:t>To baselines etableres for å kalibrere forventningene:</w:t>
      </w:r>
    </w:p>
    <w:p w14:paraId="24810174" w14:textId="77777777" w:rsidR="003C788D" w:rsidRDefault="00AA7D12">
      <w:pPr>
        <w:pStyle w:val="Compact"/>
        <w:numPr>
          <w:ilvl w:val="0"/>
          <w:numId w:val="19"/>
        </w:numPr>
        <w:spacing w:line="360" w:lineRule="auto"/>
      </w:pPr>
      <w:r>
        <w:rPr>
          <w:rFonts w:eastAsia="Times New Roman" w:cs="Times New Roman"/>
          <w:b/>
          <w:bCs/>
        </w:rPr>
        <w:t>Median</w:t>
      </w:r>
      <w:r>
        <w:rPr>
          <w:rFonts w:eastAsia="Times New Roman" w:cs="Times New Roman"/>
          <w:b/>
          <w:bCs/>
        </w:rPr>
        <w:softHyphen/>
        <w:t>baseline:</w:t>
      </w:r>
      <w:r>
        <w:rPr>
          <w:rFonts w:eastAsia="Times New Roman" w:cs="Times New Roman"/>
        </w:rPr>
        <w:t xml:space="preserve"> prediker median av </w:t>
      </w:r>
      <w:r>
        <w:rPr>
          <w:rStyle w:val="VerbatimChar"/>
          <w:rFonts w:ascii="Times New Roman" w:eastAsia="Times New Roman" w:hAnsi="Times New Roman" w:cs="Times New Roman"/>
          <w:sz w:val="24"/>
        </w:rPr>
        <w:t>y</w:t>
      </w:r>
      <w:r>
        <w:rPr>
          <w:rFonts w:eastAsia="Times New Roman" w:cs="Times New Roman"/>
        </w:rPr>
        <w:t xml:space="preserve"> per </w:t>
      </w:r>
      <w:r>
        <w:rPr>
          <w:rStyle w:val="VerbatimChar"/>
          <w:rFonts w:ascii="Times New Roman" w:eastAsia="Times New Roman" w:hAnsi="Times New Roman" w:cs="Times New Roman"/>
          <w:sz w:val="24"/>
        </w:rPr>
        <w:t>(size_category, service_category)</w:t>
      </w:r>
      <w:r>
        <w:rPr>
          <w:rFonts w:eastAsia="Times New Roman" w:cs="Times New Roman"/>
        </w:rPr>
        <w:t xml:space="preserve"> på treningssettet.</w:t>
      </w:r>
    </w:p>
    <w:p w14:paraId="042197EF" w14:textId="77777777" w:rsidR="003C788D" w:rsidRDefault="00AA7D12">
      <w:pPr>
        <w:pStyle w:val="Compact"/>
        <w:numPr>
          <w:ilvl w:val="0"/>
          <w:numId w:val="19"/>
        </w:numPr>
        <w:spacing w:line="360" w:lineRule="auto"/>
      </w:pPr>
      <w:r>
        <w:rPr>
          <w:rFonts w:eastAsia="Times New Roman" w:cs="Times New Roman"/>
          <w:b/>
          <w:bCs/>
        </w:rPr>
        <w:t>Ridge</w:t>
      </w:r>
      <w:r>
        <w:rPr>
          <w:rFonts w:eastAsia="Times New Roman" w:cs="Times New Roman"/>
          <w:b/>
          <w:bCs/>
        </w:rPr>
        <w:softHyphen/>
        <w:t>regresjon:</w:t>
      </w:r>
      <w:r>
        <w:rPr>
          <w:rFonts w:eastAsia="Times New Roman" w:cs="Times New Roman"/>
        </w:rPr>
        <w:t xml:space="preserve"> lineær modell med one-hot-kodede kategorier og standardiserte numeriske features.</w:t>
      </w:r>
    </w:p>
    <w:p w14:paraId="17CE68AB" w14:textId="77777777" w:rsidR="003C788D" w:rsidRDefault="00AA7D12">
      <w:pPr>
        <w:pStyle w:val="Overskrift3"/>
      </w:pPr>
      <w:bookmarkStart w:id="73" w:name="hovedmodell-lightgbm-catboost-ensemble"/>
      <w:bookmarkStart w:id="74" w:name="_Toc230777798"/>
      <w:bookmarkEnd w:id="71"/>
      <w:r>
        <w:t>6.3 Hovedmodell — LightGBM + CatBoost ensemble</w:t>
      </w:r>
      <w:bookmarkEnd w:id="74"/>
    </w:p>
    <w:p w14:paraId="64922E7A" w14:textId="77777777" w:rsidR="003C788D" w:rsidRDefault="00AA7D12">
      <w:pPr>
        <w:pStyle w:val="FirstParagraph"/>
        <w:spacing w:line="360" w:lineRule="auto"/>
      </w:pPr>
      <w:r>
        <w:rPr>
          <w:rFonts w:eastAsia="Times New Roman" w:cs="Times New Roman"/>
        </w:rPr>
        <w:t>Den endelige modellen er et veid gjennomsnitt i log-rommet av to gradient-boosting-modeller:</w:t>
      </w:r>
    </w:p>
    <w:p w14:paraId="570DEDAA" w14:textId="77777777" w:rsidR="003C788D" w:rsidRDefault="00AA7D12">
      <w:pPr>
        <w:pStyle w:val="Brdtekst"/>
        <w:spacing w:line="360" w:lineRule="auto"/>
      </w:pPr>
      <m:oMathPara>
        <m:oMathParaPr>
          <m:jc m:val="center"/>
        </m:oMathParaPr>
        <m:oMath>
          <m:sSub>
            <m:sSubPr>
              <m:ctrlPr>
                <w:rPr>
                  <w:rFonts w:ascii="Cambria Math" w:hAnsi="Cambria Math"/>
                </w:rPr>
              </m:ctrlPr>
            </m:sSubPr>
            <m:e>
              <m:acc>
                <m:accPr>
                  <m:ctrlPr>
                    <w:rPr>
                      <w:rFonts w:ascii="Cambria Math" w:hAnsi="Cambria Math"/>
                    </w:rPr>
                  </m:ctrlPr>
                </m:accPr>
                <m:e>
                  <m:r>
                    <w:rPr>
                      <w:rFonts w:ascii="Cambria Math" w:hAnsi="Cambria Math"/>
                    </w:rPr>
                    <m:t>y</m:t>
                  </m:r>
                </m:e>
              </m:acc>
            </m:e>
            <m:sub>
              <m:r>
                <m:rPr>
                  <m:nor/>
                </m:rPr>
                <m:t>ens</m:t>
              </m:r>
            </m:sub>
          </m:sSub>
          <m:r>
            <m:rPr>
              <m:sty m:val="p"/>
            </m:rPr>
            <w:rPr>
              <w:rFonts w:ascii="Cambria Math" w:hAnsi="Cambria Math"/>
            </w:rPr>
            <m:t>=</m:t>
          </m:r>
          <m:r>
            <w:rPr>
              <w:rFonts w:ascii="Cambria Math" w:hAnsi="Cambria Math"/>
            </w:rPr>
            <m:t>w</m:t>
          </m:r>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y</m:t>
                  </m:r>
                </m:e>
              </m:acc>
            </m:e>
            <m:sub>
              <m:r>
                <m:rPr>
                  <m:nor/>
                </m:rPr>
                <m:t>LGB</m:t>
              </m:r>
            </m:sub>
          </m:sSub>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w</m:t>
          </m:r>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y</m:t>
                  </m:r>
                </m:e>
              </m:acc>
            </m:e>
            <m:sub>
              <m:r>
                <m:rPr>
                  <m:nor/>
                </m:rPr>
                <m:t>CB</m:t>
              </m:r>
            </m:sub>
          </m:sSub>
          <m:r>
            <m:rPr>
              <m:sty m:val="p"/>
            </m:rPr>
            <w:rPr>
              <w:rFonts w:ascii="Cambria Math" w:hAnsi="Cambria Math"/>
            </w:rPr>
            <m:t>,</m:t>
          </m:r>
          <m:r>
            <w:rPr>
              <w:rFonts w:ascii="Cambria Math" w:hAnsi="Cambria Math"/>
            </w:rPr>
            <m:t> </m:t>
          </m:r>
          <m:r>
            <w:rPr>
              <w:rFonts w:ascii="Cambria Math" w:hAnsi="Cambria Math"/>
            </w:rPr>
            <m:t>w</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m:oMathPara>
    </w:p>
    <w:p w14:paraId="4C636973" w14:textId="77777777" w:rsidR="003C788D" w:rsidRDefault="00AA7D12">
      <w:pPr>
        <w:pStyle w:val="FirstParagraph"/>
        <w:spacing w:line="360" w:lineRule="auto"/>
      </w:pPr>
      <w:r>
        <w:rPr>
          <w:rFonts w:eastAsia="Times New Roman" w:cs="Times New Roman"/>
        </w:rPr>
        <w:t xml:space="preserve">der vekten </w:t>
      </w:r>
      <m:oMath>
        <m:r>
          <w:rPr>
            <w:rFonts w:ascii="Cambria Math" w:hAnsi="Cambria Math"/>
          </w:rPr>
          <m:t>w</m:t>
        </m:r>
      </m:oMath>
      <w:r>
        <w:rPr>
          <w:rFonts w:eastAsia="Times New Roman" w:cs="Times New Roman"/>
        </w:rPr>
        <w:t xml:space="preserve"> velges ved gridsøk på valideringssettet og er lagret i </w:t>
      </w:r>
      <w:r>
        <w:rPr>
          <w:rStyle w:val="VerbatimChar"/>
          <w:rFonts w:ascii="Times New Roman" w:eastAsia="Times New Roman" w:hAnsi="Times New Roman" w:cs="Times New Roman"/>
          <w:sz w:val="24"/>
        </w:rPr>
        <w:t>model_meta_final.joblib</w:t>
      </w:r>
      <w:r>
        <w:rPr>
          <w:rFonts w:eastAsia="Times New Roman" w:cs="Times New Roman"/>
        </w:rPr>
        <w:t xml:space="preserve"> (</w:t>
      </w:r>
      <w:r>
        <w:rPr>
          <w:rStyle w:val="VerbatimChar"/>
          <w:rFonts w:ascii="Times New Roman" w:eastAsia="Times New Roman" w:hAnsi="Times New Roman" w:cs="Times New Roman"/>
          <w:sz w:val="24"/>
        </w:rPr>
        <w:t>ensemble_weight = 0.30</w:t>
      </w:r>
      <w:r>
        <w:rPr>
          <w:rFonts w:eastAsia="Times New Roman" w:cs="Times New Roman"/>
        </w:rPr>
        <w:t>, dvs. 30 % LightGBM + 70 % CatBoost).</w:t>
      </w:r>
    </w:p>
    <w:p w14:paraId="1CD140B0" w14:textId="77777777" w:rsidR="003C788D" w:rsidRDefault="00AA7D12">
      <w:pPr>
        <w:pStyle w:val="Brdtekst"/>
        <w:spacing w:line="360" w:lineRule="auto"/>
      </w:pPr>
      <w:r>
        <w:rPr>
          <w:rFonts w:eastAsia="Times New Roman" w:cs="Times New Roman"/>
        </w:rPr>
        <w:t xml:space="preserve">Hyperparametre for LightGBM er funnet med Optuna (80 trials, 5-fold kryssvalidering på trening + validering) og lagret i </w:t>
      </w:r>
      <w:r>
        <w:rPr>
          <w:rStyle w:val="VerbatimChar"/>
          <w:rFonts w:ascii="Times New Roman" w:eastAsia="Times New Roman" w:hAnsi="Times New Roman" w:cs="Times New Roman"/>
          <w:sz w:val="24"/>
        </w:rPr>
        <w:t>best_params</w:t>
      </w:r>
      <w:r>
        <w:rPr>
          <w:rFonts w:eastAsia="Times New Roman" w:cs="Times New Roman"/>
        </w:rPr>
        <w:t xml:space="preserve">: </w:t>
      </w:r>
      <w:r>
        <w:rPr>
          <w:rStyle w:val="VerbatimChar"/>
          <w:rFonts w:ascii="Times New Roman" w:eastAsia="Times New Roman" w:hAnsi="Times New Roman" w:cs="Times New Roman"/>
          <w:sz w:val="24"/>
        </w:rPr>
        <w:t>alpha = 3.35, learning_rate = 0.032, num_leaves = 32, min_data_in_leaf = 47, max_depth = 6, feature_fraction = 0.85, bagging_fraction = 0.83</w:t>
      </w:r>
      <w:r>
        <w:rPr>
          <w:rFonts w:eastAsia="Times New Roman" w:cs="Times New Roman"/>
        </w:rPr>
        <w:t xml:space="preserve">. CatBoost trenes med native håndtering av kategoriske kolonner. Begge modellene bruker </w:t>
      </w:r>
      <w:r>
        <w:rPr>
          <w:rStyle w:val="VerbatimChar"/>
          <w:rFonts w:ascii="Times New Roman" w:eastAsia="Times New Roman" w:hAnsi="Times New Roman" w:cs="Times New Roman"/>
          <w:sz w:val="24"/>
        </w:rPr>
        <w:t>early_stopping</w:t>
      </w:r>
      <w:r>
        <w:rPr>
          <w:rFonts w:eastAsia="Times New Roman" w:cs="Times New Roman"/>
        </w:rPr>
        <w:t xml:space="preserve"> på valideringssettet i avstemmings</w:t>
      </w:r>
      <w:r>
        <w:rPr>
          <w:rFonts w:eastAsia="Times New Roman" w:cs="Times New Roman"/>
        </w:rPr>
        <w:softHyphen/>
        <w:t xml:space="preserve">fasen, og refittes deretter på hele datasettet (2020–2025) med </w:t>
      </w:r>
      <w:r>
        <w:rPr>
          <w:rStyle w:val="VerbatimChar"/>
          <w:rFonts w:ascii="Times New Roman" w:eastAsia="Times New Roman" w:hAnsi="Times New Roman" w:cs="Times New Roman"/>
          <w:sz w:val="24"/>
        </w:rPr>
        <w:t>best_iteration = 390</w:t>
      </w:r>
      <w:r>
        <w:rPr>
          <w:rFonts w:eastAsia="Times New Roman" w:cs="Times New Roman"/>
        </w:rPr>
        <w:t xml:space="preserve"> før produksjon.</w:t>
      </w:r>
    </w:p>
    <w:p w14:paraId="22AB6699" w14:textId="77777777" w:rsidR="003C788D" w:rsidRDefault="00AA7D12">
      <w:pPr>
        <w:pStyle w:val="Overskrift3"/>
      </w:pPr>
      <w:bookmarkStart w:id="75" w:name="kvantilmodell-og-konform-kalibrering"/>
      <w:bookmarkStart w:id="76" w:name="_Toc230777799"/>
      <w:bookmarkEnd w:id="73"/>
      <w:r>
        <w:t>6.4 Kvantil</w:t>
      </w:r>
      <w:r>
        <w:softHyphen/>
        <w:t>modell og konform kalibrering</w:t>
      </w:r>
      <w:bookmarkEnd w:id="76"/>
    </w:p>
    <w:p w14:paraId="248BBA13" w14:textId="77777777" w:rsidR="003C788D" w:rsidRDefault="00AA7D12">
      <w:pPr>
        <w:pStyle w:val="FirstParagraph"/>
        <w:spacing w:line="360" w:lineRule="auto"/>
      </w:pPr>
      <w:r>
        <w:rPr>
          <w:rFonts w:eastAsia="Times New Roman" w:cs="Times New Roman"/>
        </w:rPr>
        <w:t>For å gi P10/P50/P90-prediksjoner trenes tre LightGBM-modeller separat med kvantil</w:t>
      </w:r>
      <w:r>
        <w:rPr>
          <w:rFonts w:eastAsia="Times New Roman" w:cs="Times New Roman"/>
        </w:rPr>
        <w:softHyphen/>
        <w:t xml:space="preserve">objektivet (pinball loss). Disse kalibreres deretter med </w:t>
      </w:r>
      <w:r>
        <w:rPr>
          <w:rFonts w:eastAsia="Times New Roman" w:cs="Times New Roman"/>
          <w:b/>
          <w:bCs/>
        </w:rPr>
        <w:t>Conformalized Quantile Regression (CQR)</w:t>
      </w:r>
      <w:r>
        <w:rPr>
          <w:rFonts w:eastAsia="Times New Roman" w:cs="Times New Roman"/>
        </w:rPr>
        <w:t xml:space="preserve"> (Romano et al., 2019) på et hold-out kalibreringssett. Empirisk dekning på valideringssettet er </w:t>
      </w:r>
      <w:r>
        <w:rPr>
          <w:rFonts w:eastAsia="Times New Roman" w:cs="Times New Roman"/>
          <w:b/>
          <w:bCs/>
        </w:rPr>
        <w:t>80,0 %</w:t>
      </w:r>
      <w:r>
        <w:rPr>
          <w:rFonts w:eastAsia="Times New Roman" w:cs="Times New Roman"/>
        </w:rPr>
        <w:t xml:space="preserve"> etter CQR-justering (mot nominelt 80 %), og avviker fra rå dekning på 79,8 % med kun en CQR-korreksjon på 3 EUR — kvantil</w:t>
      </w:r>
      <w:r>
        <w:rPr>
          <w:rFonts w:eastAsia="Times New Roman" w:cs="Times New Roman"/>
        </w:rPr>
        <w:softHyphen/>
        <w:t>modellene er altså godt kalibrert allerede før justering. Forbeholdene rundt betinget dekning når en sentral kostnads</w:t>
      </w:r>
      <w:r>
        <w:rPr>
          <w:rFonts w:eastAsia="Times New Roman" w:cs="Times New Roman"/>
        </w:rPr>
        <w:softHyphen/>
        <w:t>driver er u</w:t>
      </w:r>
      <w:r>
        <w:rPr>
          <w:rFonts w:eastAsia="Times New Roman" w:cs="Times New Roman"/>
        </w:rPr>
        <w:softHyphen/>
        <w:t>observert drøftes i § 9.2.</w:t>
      </w:r>
    </w:p>
    <w:p w14:paraId="1F6E311D" w14:textId="77777777" w:rsidR="003C788D" w:rsidRDefault="00AA7D12">
      <w:pPr>
        <w:pStyle w:val="Overskrift3"/>
      </w:pPr>
      <w:bookmarkStart w:id="77" w:name="hybrid-kalibrering-på-anløpsnivå"/>
      <w:bookmarkStart w:id="78" w:name="_Toc230777800"/>
      <w:bookmarkEnd w:id="75"/>
      <w:r>
        <w:t>6.5 Hybrid kalibrering på anløpsnivå</w:t>
      </w:r>
      <w:bookmarkEnd w:id="78"/>
    </w:p>
    <w:p w14:paraId="615EE094" w14:textId="77777777" w:rsidR="003C788D" w:rsidRDefault="00AA7D12">
      <w:pPr>
        <w:pStyle w:val="FirstParagraph"/>
        <w:spacing w:line="360" w:lineRule="auto"/>
      </w:pPr>
      <w:r>
        <w:rPr>
          <w:rFonts w:eastAsia="Times New Roman" w:cs="Times New Roman"/>
        </w:rPr>
        <w:t>Transaksjons</w:t>
      </w:r>
      <w:r>
        <w:rPr>
          <w:rFonts w:eastAsia="Times New Roman" w:cs="Times New Roman"/>
        </w:rPr>
        <w:softHyphen/>
        <w:t>modellen produserer urealistisk lave totaler hvis predikerte transaksjons</w:t>
      </w:r>
      <w:r>
        <w:rPr>
          <w:rFonts w:eastAsia="Times New Roman" w:cs="Times New Roman"/>
        </w:rPr>
        <w:softHyphen/>
        <w:t>beløp summeres direkte. For å unngå dette brukes en hybrid kalibrerings</w:t>
      </w:r>
      <w:r>
        <w:rPr>
          <w:rFonts w:eastAsia="Times New Roman" w:cs="Times New Roman"/>
        </w:rPr>
        <w:softHyphen/>
        <w:t xml:space="preserve">strategi (jf. </w:t>
      </w:r>
      <w:r>
        <w:rPr>
          <w:rStyle w:val="VerbatimChar"/>
          <w:rFonts w:ascii="Times New Roman" w:eastAsia="Times New Roman" w:hAnsi="Times New Roman" w:cs="Times New Roman"/>
          <w:sz w:val="24"/>
        </w:rPr>
        <w:t>predict_port</w:t>
      </w:r>
      <w:r>
        <w:rPr>
          <w:rFonts w:eastAsia="Times New Roman" w:cs="Times New Roman"/>
        </w:rPr>
        <w:t xml:space="preserve"> i </w:t>
      </w:r>
      <w:r>
        <w:rPr>
          <w:rStyle w:val="VerbatimChar"/>
          <w:rFonts w:ascii="Times New Roman" w:eastAsia="Times New Roman" w:hAnsi="Times New Roman" w:cs="Times New Roman"/>
          <w:sz w:val="24"/>
        </w:rPr>
        <w:t>predict_voyage.py</w:t>
      </w:r>
      <w:r>
        <w:rPr>
          <w:rFonts w:eastAsia="Times New Roman" w:cs="Times New Roman"/>
        </w:rPr>
        <w:t>):</w:t>
      </w:r>
    </w:p>
    <w:p w14:paraId="0FDA6CB4" w14:textId="77777777" w:rsidR="003C788D" w:rsidRDefault="00AA7D12">
      <w:pPr>
        <w:numPr>
          <w:ilvl w:val="0"/>
          <w:numId w:val="20"/>
        </w:numPr>
        <w:spacing w:line="360" w:lineRule="auto"/>
      </w:pPr>
      <w:r>
        <w:rPr>
          <w:rFonts w:eastAsia="Times New Roman" w:cs="Times New Roman"/>
        </w:rPr>
        <w:t xml:space="preserve">Generer transaksjonsrader fra </w:t>
      </w:r>
      <w:r>
        <w:rPr>
          <w:rStyle w:val="VerbatimChar"/>
          <w:rFonts w:ascii="Times New Roman" w:eastAsia="Times New Roman" w:hAnsi="Times New Roman" w:cs="Times New Roman"/>
          <w:sz w:val="24"/>
        </w:rPr>
        <w:t>PORT_TEMPLATES</w:t>
      </w:r>
      <w:r>
        <w:rPr>
          <w:rFonts w:eastAsia="Times New Roman" w:cs="Times New Roman"/>
        </w:rPr>
        <w:t xml:space="preserve"> for valgt havn.</w:t>
      </w:r>
    </w:p>
    <w:p w14:paraId="4988EE30" w14:textId="77777777" w:rsidR="003C788D" w:rsidRDefault="00AA7D12">
      <w:pPr>
        <w:numPr>
          <w:ilvl w:val="0"/>
          <w:numId w:val="20"/>
        </w:numPr>
        <w:spacing w:line="360" w:lineRule="auto"/>
      </w:pPr>
      <w:r>
        <w:rPr>
          <w:rFonts w:eastAsia="Times New Roman" w:cs="Times New Roman"/>
        </w:rPr>
        <w:t>Beregn predikert beløp per rad og vekt med forventet antall transaksjoner.</w:t>
      </w:r>
    </w:p>
    <w:p w14:paraId="25267524" w14:textId="77777777" w:rsidR="003C788D" w:rsidRDefault="00AA7D12">
      <w:pPr>
        <w:numPr>
          <w:ilvl w:val="0"/>
          <w:numId w:val="20"/>
        </w:numPr>
        <w:spacing w:line="360" w:lineRule="auto"/>
      </w:pPr>
      <w:r>
        <w:rPr>
          <w:rFonts w:eastAsia="Times New Roman" w:cs="Times New Roman"/>
        </w:rPr>
        <w:t xml:space="preserve">Sammenlign med et havn-størrelse-spesifikt </w:t>
      </w:r>
      <w:r>
        <w:rPr>
          <w:rFonts w:eastAsia="Times New Roman" w:cs="Times New Roman"/>
          <w:b/>
          <w:bCs/>
        </w:rPr>
        <w:t>baseline-prediksjon</w:t>
      </w:r>
      <w:r>
        <w:rPr>
          <w:rFonts w:eastAsia="Times New Roman" w:cs="Times New Roman"/>
        </w:rPr>
        <w:t xml:space="preserve"> (lagret i </w:t>
      </w:r>
      <w:r>
        <w:rPr>
          <w:rStyle w:val="VerbatimChar"/>
          <w:rFonts w:ascii="Times New Roman" w:eastAsia="Times New Roman" w:hAnsi="Times New Roman" w:cs="Times New Roman"/>
          <w:sz w:val="24"/>
        </w:rPr>
        <w:t>baseline_predictions.joblib</w:t>
      </w:r>
      <w:r>
        <w:rPr>
          <w:rFonts w:eastAsia="Times New Roman" w:cs="Times New Roman"/>
        </w:rPr>
        <w:t>).</w:t>
      </w:r>
    </w:p>
    <w:p w14:paraId="4F68A76A" w14:textId="77777777" w:rsidR="003C788D" w:rsidRDefault="00AA7D12">
      <w:pPr>
        <w:numPr>
          <w:ilvl w:val="0"/>
          <w:numId w:val="20"/>
        </w:numPr>
        <w:spacing w:line="360" w:lineRule="auto"/>
      </w:pPr>
      <w:r>
        <w:rPr>
          <w:rFonts w:eastAsia="Times New Roman" w:cs="Times New Roman"/>
          <w:b/>
          <w:bCs/>
        </w:rPr>
        <w:t>Anker estimatet</w:t>
      </w:r>
      <w:r>
        <w:rPr>
          <w:rFonts w:eastAsia="Times New Roman" w:cs="Times New Roman"/>
        </w:rPr>
        <w:t xml:space="preserve"> til empirisk medianpris (P50) per </w:t>
      </w:r>
      <w:r>
        <w:rPr>
          <w:rStyle w:val="VerbatimChar"/>
          <w:rFonts w:ascii="Times New Roman" w:eastAsia="Times New Roman" w:hAnsi="Times New Roman" w:cs="Times New Roman"/>
          <w:sz w:val="24"/>
        </w:rPr>
        <w:t>(havn, size_category)</w:t>
      </w:r>
      <w:r>
        <w:rPr>
          <w:rFonts w:eastAsia="Times New Roman" w:cs="Times New Roman"/>
        </w:rPr>
        <w:t xml:space="preserve"> fra </w:t>
      </w:r>
      <w:r>
        <w:rPr>
          <w:rStyle w:val="VerbatimChar"/>
          <w:rFonts w:ascii="Times New Roman" w:eastAsia="Times New Roman" w:hAnsi="Times New Roman" w:cs="Times New Roman"/>
          <w:sz w:val="24"/>
        </w:rPr>
        <w:t>HISTORICAL_RANGES</w:t>
      </w:r>
      <w:r>
        <w:rPr>
          <w:rFonts w:eastAsia="Times New Roman" w:cs="Times New Roman"/>
        </w:rPr>
        <w:t>, og skaler proporsjonalt med modell-til-baseline-forholdet:</w:t>
      </w:r>
    </w:p>
    <w:p w14:paraId="7CEB7654" w14:textId="77777777" w:rsidR="003C788D" w:rsidRDefault="00AA7D12">
      <w:pPr>
        <w:pStyle w:val="Brdtekst"/>
        <w:spacing w:line="360" w:lineRule="auto"/>
      </w:pPr>
      <m:oMathPara>
        <m:oMathParaPr>
          <m:jc m:val="center"/>
        </m:oMathParaPr>
        <m:oMath>
          <m:acc>
            <m:accPr>
              <m:ctrlPr>
                <w:rPr>
                  <w:rFonts w:ascii="Cambria Math" w:hAnsi="Cambria Math"/>
                </w:rPr>
              </m:ctrlPr>
            </m:accPr>
            <m:e>
              <m:r>
                <m:rPr>
                  <m:nor/>
                </m:rPr>
                <m:t>Total</m:t>
              </m:r>
            </m:e>
          </m:acc>
          <m:r>
            <m:rPr>
              <m:sty m:val="p"/>
            </m:rPr>
            <w:rPr>
              <w:rFonts w:ascii="Cambria Math" w:hAnsi="Cambria Math"/>
            </w:rPr>
            <m:t>=</m:t>
          </m:r>
          <m:sSub>
            <m:sSubPr>
              <m:ctrlPr>
                <w:rPr>
                  <w:rFonts w:ascii="Cambria Math" w:hAnsi="Cambria Math"/>
                </w:rPr>
              </m:ctrlPr>
            </m:sSubPr>
            <m:e>
              <m:r>
                <m:rPr>
                  <m:nor/>
                </m:rPr>
                <m:t>P50</m:t>
              </m:r>
            </m:e>
            <m:sub>
              <m:r>
                <m:rPr>
                  <m:nor/>
                </m:rPr>
                <m:t>historisk</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acc>
                    <m:accPr>
                      <m:ctrlPr>
                        <w:rPr>
                          <w:rFonts w:ascii="Cambria Math" w:hAnsi="Cambria Math"/>
                        </w:rPr>
                      </m:ctrlPr>
                    </m:accPr>
                    <m:e>
                      <m:r>
                        <m:rPr>
                          <m:nor/>
                        </m:rPr>
                        <m:t>Total</m:t>
                      </m:r>
                    </m:e>
                  </m:acc>
                </m:e>
                <m:sub>
                  <m:r>
                    <m:rPr>
                      <m:nor/>
                    </m:rPr>
                    <m:t>modell</m:t>
                  </m:r>
                </m:sub>
              </m:sSub>
            </m:num>
            <m:den>
              <m:sSub>
                <m:sSubPr>
                  <m:ctrlPr>
                    <w:rPr>
                      <w:rFonts w:ascii="Cambria Math" w:hAnsi="Cambria Math"/>
                    </w:rPr>
                  </m:ctrlPr>
                </m:sSubPr>
                <m:e>
                  <m:r>
                    <m:rPr>
                      <m:nor/>
                    </m:rPr>
                    <m:t>Baseline</m:t>
                  </m:r>
                </m:e>
                <m:sub>
                  <m:r>
                    <m:rPr>
                      <m:nor/>
                    </m:rPr>
                    <m:t>modell</m:t>
                  </m:r>
                </m:sub>
              </m:sSub>
            </m:den>
          </m:f>
        </m:oMath>
      </m:oMathPara>
    </w:p>
    <w:p w14:paraId="70277923" w14:textId="77777777" w:rsidR="003C788D" w:rsidRDefault="00AA7D12">
      <w:pPr>
        <w:pStyle w:val="FirstParagraph"/>
        <w:spacing w:line="360" w:lineRule="auto"/>
      </w:pPr>
      <w:r>
        <w:rPr>
          <w:rFonts w:eastAsia="Times New Roman" w:cs="Times New Roman"/>
        </w:rPr>
        <w:t>På landsnivå tas et trafikk</w:t>
      </w:r>
      <w:r>
        <w:rPr>
          <w:rFonts w:eastAsia="Times New Roman" w:cs="Times New Roman"/>
        </w:rPr>
        <w:softHyphen/>
        <w:t>vektet gjennomsnitt over alle havner i landet.</w:t>
      </w:r>
    </w:p>
    <w:p w14:paraId="355F2109" w14:textId="77777777" w:rsidR="003C788D" w:rsidRDefault="00AA7D12">
      <w:pPr>
        <w:spacing w:line="360" w:lineRule="auto"/>
      </w:pPr>
      <w:r>
        <w:rPr>
          <w:rFonts w:eastAsia="Times New Roman" w:cs="Times New Roman"/>
        </w:rPr>
        <w:pict w14:anchorId="7434C687">
          <v:rect id="_x0000_i1033" style="width:0;height:1.5pt" o:hralign="center" o:hrstd="t" o:hr="t"/>
        </w:pict>
      </w:r>
    </w:p>
    <w:p w14:paraId="1D8330B6" w14:textId="77777777" w:rsidR="003C788D" w:rsidRDefault="00AA7D12">
      <w:pPr>
        <w:pStyle w:val="Overskrift2"/>
      </w:pPr>
      <w:bookmarkStart w:id="79" w:name="analyse"/>
      <w:bookmarkStart w:id="80" w:name="_Toc230777801"/>
      <w:bookmarkEnd w:id="67"/>
      <w:bookmarkEnd w:id="77"/>
      <w:r>
        <w:t>7. Analyse</w:t>
      </w:r>
      <w:bookmarkEnd w:id="80"/>
    </w:p>
    <w:p w14:paraId="4CF072CF" w14:textId="77777777" w:rsidR="003C788D" w:rsidRDefault="00AA7D12">
      <w:pPr>
        <w:pStyle w:val="FirstParagraph"/>
        <w:spacing w:line="360" w:lineRule="auto"/>
      </w:pPr>
      <w:r>
        <w:rPr>
          <w:rFonts w:eastAsia="Times New Roman" w:cs="Times New Roman"/>
        </w:rPr>
        <w:t xml:space="preserve">Analysen i dette kapittelet er basert på 1 626 transaksjoner i </w:t>
      </w:r>
      <w:r>
        <w:rPr>
          <w:rStyle w:val="VerbatimChar"/>
          <w:rFonts w:ascii="Times New Roman" w:eastAsia="Times New Roman" w:hAnsi="Times New Roman" w:cs="Times New Roman"/>
          <w:sz w:val="24"/>
        </w:rPr>
        <w:t>costs_merged.csv</w:t>
      </w:r>
      <w:r>
        <w:rPr>
          <w:rFonts w:eastAsia="Times New Roman" w:cs="Times New Roman"/>
        </w:rPr>
        <w:t xml:space="preserve"> etter feature engineering (§ 5.5). Figurer er produsert i </w:t>
      </w:r>
      <w:r>
        <w:rPr>
          <w:rStyle w:val="VerbatimChar"/>
          <w:rFonts w:ascii="Times New Roman" w:eastAsia="Times New Roman" w:hAnsi="Times New Roman" w:cs="Times New Roman"/>
          <w:sz w:val="24"/>
        </w:rPr>
        <w:t>eda_nauticost.ipynb</w:t>
      </w:r>
      <w:r>
        <w:rPr>
          <w:rFonts w:eastAsia="Times New Roman" w:cs="Times New Roman"/>
        </w:rPr>
        <w:t xml:space="preserve"> og </w:t>
      </w:r>
      <w:r>
        <w:rPr>
          <w:rStyle w:val="VerbatimChar"/>
          <w:rFonts w:ascii="Times New Roman" w:eastAsia="Times New Roman" w:hAnsi="Times New Roman" w:cs="Times New Roman"/>
          <w:sz w:val="24"/>
        </w:rPr>
        <w:t>modeling_nauticost.ipynb</w:t>
      </w:r>
      <w:r>
        <w:rPr>
          <w:rFonts w:eastAsia="Times New Roman" w:cs="Times New Roman"/>
        </w:rPr>
        <w:t xml:space="preserve"> og er reproduserbare gjennom å kjøre notebookene mot artefaktene i </w:t>
      </w:r>
      <w:r>
        <w:rPr>
          <w:rStyle w:val="VerbatimChar"/>
          <w:rFonts w:ascii="Times New Roman" w:eastAsia="Times New Roman" w:hAnsi="Times New Roman" w:cs="Times New Roman"/>
          <w:sz w:val="24"/>
        </w:rPr>
        <w:t>013 fase 3 - review/artifacts/</w:t>
      </w:r>
      <w:r>
        <w:rPr>
          <w:rFonts w:eastAsia="Times New Roman" w:cs="Times New Roman"/>
        </w:rPr>
        <w:t>. Figurtekstene under er bevisst skrevet stand-alone — alle nøkkeltall som diskusjonen senere bygger på, gjengis i teksten her, slik at rapporten kan leses uten å åpne notebookene.</w:t>
      </w:r>
    </w:p>
    <w:p w14:paraId="3F714DFC" w14:textId="77777777" w:rsidR="003C788D" w:rsidRDefault="00AA7D12">
      <w:pPr>
        <w:pStyle w:val="Overskrift3"/>
      </w:pPr>
      <w:bookmarkStart w:id="81" w:name="beskrivende-statistikk"/>
      <w:bookmarkStart w:id="82" w:name="_Toc230777802"/>
      <w:r>
        <w:t>7.1 Beskrivende statistikk</w:t>
      </w:r>
      <w:bookmarkEnd w:id="82"/>
    </w:p>
    <w:p w14:paraId="78C98DC4" w14:textId="77777777" w:rsidR="003C788D" w:rsidRDefault="00AA7D12">
      <w:pPr>
        <w:pStyle w:val="CaptionedFigure"/>
        <w:spacing w:line="360" w:lineRule="auto"/>
      </w:pPr>
      <w:r>
        <w:rPr>
          <w:rFonts w:eastAsia="Times New Roman" w:cs="Times New Roman"/>
          <w:noProof/>
        </w:rPr>
        <w:drawing>
          <wp:inline distT="0" distB="0" distL="0" distR="0" wp14:anchorId="27B125CD" wp14:editId="5203ED95">
            <wp:extent cx="5334000" cy="3288699"/>
            <wp:effectExtent l="0" t="0" r="0" b="0"/>
            <wp:docPr id="52" name="Picture" descr="Figur 7.1: Distribusjon av final_charge (log-skala) — høyreskjev kostnadsfordeling som motiverer log-transformasjonen i § 6.1"/>
            <wp:cNvGraphicFramePr/>
            <a:graphic xmlns:a="http://schemas.openxmlformats.org/drawingml/2006/main">
              <a:graphicData uri="http://schemas.openxmlformats.org/drawingml/2006/picture">
                <pic:pic xmlns:pic="http://schemas.openxmlformats.org/drawingml/2006/picture">
                  <pic:nvPicPr>
                    <pic:cNvPr id="53" name="Picture" descr="figures/figur_7_1_kostnadsfordeling.png"/>
                    <pic:cNvPicPr>
                      <a:picLocks noChangeAspect="1" noChangeArrowheads="1"/>
                    </pic:cNvPicPr>
                  </pic:nvPicPr>
                  <pic:blipFill>
                    <a:blip r:embed="rId6"/>
                    <a:stretch>
                      <a:fillRect/>
                    </a:stretch>
                  </pic:blipFill>
                  <pic:spPr bwMode="auto">
                    <a:xfrm>
                      <a:off x="0" y="0"/>
                      <a:ext cx="5334000" cy="3288699"/>
                    </a:xfrm>
                    <a:prstGeom prst="rect">
                      <a:avLst/>
                    </a:prstGeom>
                    <a:noFill/>
                    <a:ln w="9525">
                      <a:noFill/>
                      <a:headEnd/>
                      <a:tailEnd/>
                    </a:ln>
                  </pic:spPr>
                </pic:pic>
              </a:graphicData>
            </a:graphic>
          </wp:inline>
        </w:drawing>
      </w:r>
    </w:p>
    <w:p w14:paraId="67509482" w14:textId="77777777" w:rsidR="003C788D" w:rsidRDefault="00AA7D12">
      <w:pPr>
        <w:pStyle w:val="ImageCaption"/>
        <w:spacing w:line="360" w:lineRule="auto"/>
      </w:pPr>
      <w:r>
        <w:rPr>
          <w:rFonts w:eastAsia="Times New Roman" w:cs="Times New Roman"/>
        </w:rPr>
        <w:t xml:space="preserve">Figur 7.1: Distribusjon av </w:t>
      </w:r>
      <w:r>
        <w:rPr>
          <w:rStyle w:val="VerbatimChar"/>
          <w:rFonts w:ascii="Times New Roman" w:eastAsia="Times New Roman" w:hAnsi="Times New Roman" w:cs="Times New Roman"/>
          <w:sz w:val="24"/>
        </w:rPr>
        <w:t>final_charge</w:t>
      </w:r>
      <w:r>
        <w:rPr>
          <w:rFonts w:eastAsia="Times New Roman" w:cs="Times New Roman"/>
        </w:rPr>
        <w:t xml:space="preserve"> (log-skala) — høyreskjev kostnadsfordeling som motiverer log-transformasjonen i § 6.1</w:t>
      </w:r>
    </w:p>
    <w:p w14:paraId="195E2641" w14:textId="77777777" w:rsidR="003C788D" w:rsidRDefault="00AA7D12">
      <w:pPr>
        <w:pStyle w:val="Brdtekst"/>
        <w:spacing w:line="360" w:lineRule="auto"/>
      </w:pPr>
      <w:r>
        <w:rPr>
          <w:rFonts w:eastAsia="Times New Roman" w:cs="Times New Roman"/>
          <w:b/>
          <w:bCs/>
        </w:rPr>
        <w:t>Figur 7.1.</w:t>
      </w:r>
      <w:r>
        <w:rPr>
          <w:rFonts w:eastAsia="Times New Roman" w:cs="Times New Roman"/>
        </w:rPr>
        <w:t xml:space="preserve"> Distribusjon av </w:t>
      </w:r>
      <w:r>
        <w:rPr>
          <w:rStyle w:val="VerbatimChar"/>
          <w:rFonts w:ascii="Times New Roman" w:eastAsia="Times New Roman" w:hAnsi="Times New Roman" w:cs="Times New Roman"/>
          <w:sz w:val="24"/>
        </w:rPr>
        <w:t>final_charge</w:t>
      </w:r>
      <w:r>
        <w:rPr>
          <w:rFonts w:eastAsia="Times New Roman" w:cs="Times New Roman"/>
        </w:rPr>
        <w:t xml:space="preserve"> (log-skala) viser den forventede høyreskjeve fordelingen: median 7 513 EUR, P25 = 2 039 EUR, P75 = 21 950 EUR, P95 = 91 248 EUR, snitt 25 045 EUR. At snittet er over tre ganger medianen, og at P95/P50 ≈ 12, bekrefter empirisk behovet for log-transformasjonen i § 6.1 — uten den ville fire–fem ekstreme transaksjoner dominere L2-tapet. </w:t>
      </w:r>
      <w:r>
        <w:rPr>
          <w:rFonts w:eastAsia="Times New Roman" w:cs="Times New Roman"/>
          <w:i/>
          <w:iCs/>
        </w:rPr>
        <w:t xml:space="preserve">(Plott i </w:t>
      </w:r>
      <w:r>
        <w:rPr>
          <w:rStyle w:val="VerbatimChar"/>
          <w:rFonts w:ascii="Times New Roman" w:eastAsia="Times New Roman" w:hAnsi="Times New Roman" w:cs="Times New Roman"/>
          <w:i/>
          <w:iCs/>
          <w:sz w:val="24"/>
        </w:rPr>
        <w:t>eda_nauticost.ipynb</w:t>
      </w:r>
      <w:r>
        <w:rPr>
          <w:rFonts w:eastAsia="Times New Roman" w:cs="Times New Roman"/>
          <w:i/>
          <w:iCs/>
        </w:rPr>
        <w:t xml:space="preserve">, seksjon 3.2; rådata i </w:t>
      </w:r>
      <w:r>
        <w:rPr>
          <w:rStyle w:val="VerbatimChar"/>
          <w:rFonts w:ascii="Times New Roman" w:eastAsia="Times New Roman" w:hAnsi="Times New Roman" w:cs="Times New Roman"/>
          <w:i/>
          <w:iCs/>
          <w:sz w:val="24"/>
        </w:rPr>
        <w:t>costs_clean.csv</w:t>
      </w:r>
      <w:r>
        <w:rPr>
          <w:rFonts w:eastAsia="Times New Roman" w:cs="Times New Roman"/>
          <w:i/>
          <w:iCs/>
        </w:rPr>
        <w:t xml:space="preserve">; reprodusert i </w:t>
      </w:r>
      <w:r>
        <w:rPr>
          <w:rStyle w:val="VerbatimChar"/>
          <w:rFonts w:ascii="Times New Roman" w:eastAsia="Times New Roman" w:hAnsi="Times New Roman" w:cs="Times New Roman"/>
          <w:i/>
          <w:iCs/>
          <w:sz w:val="24"/>
        </w:rPr>
        <w:t>013 fase 3 - review/generate_figures.py</w:t>
      </w:r>
      <w:r>
        <w:rPr>
          <w:rFonts w:eastAsia="Times New Roman" w:cs="Times New Roman"/>
          <w:i/>
          <w:iCs/>
        </w:rPr>
        <w:t>.)</w:t>
      </w:r>
    </w:p>
    <w:p w14:paraId="4BEE5C16" w14:textId="77777777" w:rsidR="003C788D" w:rsidRDefault="00AA7D12">
      <w:pPr>
        <w:pStyle w:val="CaptionedFigure"/>
        <w:spacing w:line="360" w:lineRule="auto"/>
      </w:pPr>
      <w:r>
        <w:rPr>
          <w:rFonts w:eastAsia="Times New Roman" w:cs="Times New Roman"/>
          <w:noProof/>
        </w:rPr>
        <w:drawing>
          <wp:inline distT="0" distB="0" distL="0" distR="0" wp14:anchorId="7BBE4B3C" wp14:editId="4E594265">
            <wp:extent cx="5334000" cy="2389866"/>
            <wp:effectExtent l="0" t="0" r="0" b="0"/>
            <wp:docPr id="55" name="Picture" descr="Figur 7.2: Antall transaksjoner per havn og år (2020–2025) — viser trafikkvolum og datatilfang per havn"/>
            <wp:cNvGraphicFramePr/>
            <a:graphic xmlns:a="http://schemas.openxmlformats.org/drawingml/2006/main">
              <a:graphicData uri="http://schemas.openxmlformats.org/drawingml/2006/picture">
                <pic:pic xmlns:pic="http://schemas.openxmlformats.org/drawingml/2006/picture">
                  <pic:nvPicPr>
                    <pic:cNvPr id="56" name="Picture" descr="figures/figur_7_2_havn_per_aar.png"/>
                    <pic:cNvPicPr>
                      <a:picLocks noChangeAspect="1" noChangeArrowheads="1"/>
                    </pic:cNvPicPr>
                  </pic:nvPicPr>
                  <pic:blipFill>
                    <a:blip r:embed="rId7"/>
                    <a:stretch>
                      <a:fillRect/>
                    </a:stretch>
                  </pic:blipFill>
                  <pic:spPr bwMode="auto">
                    <a:xfrm>
                      <a:off x="0" y="0"/>
                      <a:ext cx="5334000" cy="2389866"/>
                    </a:xfrm>
                    <a:prstGeom prst="rect">
                      <a:avLst/>
                    </a:prstGeom>
                    <a:noFill/>
                    <a:ln w="9525">
                      <a:noFill/>
                      <a:headEnd/>
                      <a:tailEnd/>
                    </a:ln>
                  </pic:spPr>
                </pic:pic>
              </a:graphicData>
            </a:graphic>
          </wp:inline>
        </w:drawing>
      </w:r>
    </w:p>
    <w:p w14:paraId="124F94FB" w14:textId="77777777" w:rsidR="003C788D" w:rsidRDefault="00AA7D12">
      <w:pPr>
        <w:pStyle w:val="ImageCaption"/>
        <w:spacing w:line="360" w:lineRule="auto"/>
      </w:pPr>
      <w:r>
        <w:rPr>
          <w:rFonts w:eastAsia="Times New Roman" w:cs="Times New Roman"/>
        </w:rPr>
        <w:t>Figur 7.2: Antall transaksjoner per havn og år (2020–2025) — viser trafikkvolum og datatilfang per havn</w:t>
      </w:r>
    </w:p>
    <w:p w14:paraId="1213249F" w14:textId="77777777" w:rsidR="003C788D" w:rsidRDefault="00AA7D12">
      <w:pPr>
        <w:pStyle w:val="Brdtekst"/>
        <w:spacing w:line="360" w:lineRule="auto"/>
      </w:pPr>
      <w:r>
        <w:rPr>
          <w:rFonts w:eastAsia="Times New Roman" w:cs="Times New Roman"/>
          <w:b/>
          <w:bCs/>
        </w:rPr>
        <w:t>Figur 7.2.</w:t>
      </w:r>
      <w:r>
        <w:rPr>
          <w:rFonts w:eastAsia="Times New Roman" w:cs="Times New Roman"/>
        </w:rPr>
        <w:t xml:space="preserve"> Antall transaksjoner per havn og per år (2020–2025). Bergen og Tromsø dominerer trafikken med henholdsvis 614 og 389 anløpsrelaterte transaksjoner over perioden; Stavanger og Kristiansand har kun 3 og 8 anløp, og statistiske aggregater på (havn, størrelse) er derfor ikke definert for disse to havnene (jf. </w:t>
      </w:r>
      <w:r>
        <w:rPr>
          <w:rStyle w:val="VerbatimChar"/>
          <w:rFonts w:ascii="Times New Roman" w:eastAsia="Times New Roman" w:hAnsi="Times New Roman" w:cs="Times New Roman"/>
          <w:sz w:val="24"/>
        </w:rPr>
        <w:t>HISTORICAL_RANGES</w:t>
      </w:r>
      <w:r>
        <w:rPr>
          <w:rFonts w:eastAsia="Times New Roman" w:cs="Times New Roman"/>
        </w:rPr>
        <w:t xml:space="preserve">-tabellen i </w:t>
      </w:r>
      <w:r>
        <w:rPr>
          <w:rStyle w:val="VerbatimChar"/>
          <w:rFonts w:ascii="Times New Roman" w:eastAsia="Times New Roman" w:hAnsi="Times New Roman" w:cs="Times New Roman"/>
          <w:sz w:val="24"/>
        </w:rPr>
        <w:t>model.py</w:t>
      </w:r>
      <w:r>
        <w:rPr>
          <w:rFonts w:eastAsia="Times New Roman" w:cs="Times New Roman"/>
        </w:rPr>
        <w:t xml:space="preserve">). </w:t>
      </w:r>
      <w:r>
        <w:rPr>
          <w:rFonts w:eastAsia="Times New Roman" w:cs="Times New Roman"/>
          <w:i/>
          <w:iCs/>
        </w:rPr>
        <w:t xml:space="preserve">(Plott i </w:t>
      </w:r>
      <w:r>
        <w:rPr>
          <w:rStyle w:val="VerbatimChar"/>
          <w:rFonts w:ascii="Times New Roman" w:eastAsia="Times New Roman" w:hAnsi="Times New Roman" w:cs="Times New Roman"/>
          <w:i/>
          <w:iCs/>
          <w:sz w:val="24"/>
        </w:rPr>
        <w:t>eda_nauticost.ipynb</w:t>
      </w:r>
      <w:r>
        <w:rPr>
          <w:rFonts w:eastAsia="Times New Roman" w:cs="Times New Roman"/>
          <w:i/>
          <w:iCs/>
        </w:rPr>
        <w:t>, seksjon 3.2.)</w:t>
      </w:r>
    </w:p>
    <w:p w14:paraId="0370AD86" w14:textId="77777777" w:rsidR="003C788D" w:rsidRDefault="00AA7D12">
      <w:pPr>
        <w:pStyle w:val="CaptionedFigure"/>
        <w:spacing w:line="360" w:lineRule="auto"/>
      </w:pPr>
      <w:r>
        <w:rPr>
          <w:rFonts w:eastAsia="Times New Roman" w:cs="Times New Roman"/>
          <w:noProof/>
        </w:rPr>
        <w:drawing>
          <wp:inline distT="0" distB="0" distL="0" distR="0" wp14:anchorId="5154F16F" wp14:editId="42BF19DF">
            <wp:extent cx="5334000" cy="2634650"/>
            <wp:effectExtent l="0" t="0" r="0" b="0"/>
            <wp:docPr id="58" name="Picture" descr="Figur 7.3: Kostnad per tjenestekategori, fordelt på størrelseskategori (Liten / Mellomstor / Stor)"/>
            <wp:cNvGraphicFramePr/>
            <a:graphic xmlns:a="http://schemas.openxmlformats.org/drawingml/2006/main">
              <a:graphicData uri="http://schemas.openxmlformats.org/drawingml/2006/picture">
                <pic:pic xmlns:pic="http://schemas.openxmlformats.org/drawingml/2006/picture">
                  <pic:nvPicPr>
                    <pic:cNvPr id="59" name="Picture" descr="figures/figur_7_3_tjeneste_x_storrelse.png"/>
                    <pic:cNvPicPr>
                      <a:picLocks noChangeAspect="1" noChangeArrowheads="1"/>
                    </pic:cNvPicPr>
                  </pic:nvPicPr>
                  <pic:blipFill>
                    <a:blip r:embed="rId8"/>
                    <a:stretch>
                      <a:fillRect/>
                    </a:stretch>
                  </pic:blipFill>
                  <pic:spPr bwMode="auto">
                    <a:xfrm>
                      <a:off x="0" y="0"/>
                      <a:ext cx="5334000" cy="2634650"/>
                    </a:xfrm>
                    <a:prstGeom prst="rect">
                      <a:avLst/>
                    </a:prstGeom>
                    <a:noFill/>
                    <a:ln w="9525">
                      <a:noFill/>
                      <a:headEnd/>
                      <a:tailEnd/>
                    </a:ln>
                  </pic:spPr>
                </pic:pic>
              </a:graphicData>
            </a:graphic>
          </wp:inline>
        </w:drawing>
      </w:r>
    </w:p>
    <w:p w14:paraId="14BDA548" w14:textId="77777777" w:rsidR="003C788D" w:rsidRDefault="00AA7D12">
      <w:pPr>
        <w:pStyle w:val="ImageCaption"/>
        <w:spacing w:line="360" w:lineRule="auto"/>
      </w:pPr>
      <w:r>
        <w:rPr>
          <w:rFonts w:eastAsia="Times New Roman" w:cs="Times New Roman"/>
        </w:rPr>
        <w:t>Figur 7.3: Kostnad per tjenestekategori, fordelt på størrelseskategori (Liten / Mellomstor / Stor)</w:t>
      </w:r>
    </w:p>
    <w:p w14:paraId="4A7A6617" w14:textId="77777777" w:rsidR="003C788D" w:rsidRDefault="00AA7D12">
      <w:pPr>
        <w:pStyle w:val="Brdtekst"/>
        <w:spacing w:line="360" w:lineRule="auto"/>
      </w:pPr>
      <w:r>
        <w:rPr>
          <w:rFonts w:eastAsia="Times New Roman" w:cs="Times New Roman"/>
          <w:b/>
          <w:bCs/>
        </w:rPr>
        <w:t>Figur 7.3.</w:t>
      </w:r>
      <w:r>
        <w:rPr>
          <w:rFonts w:eastAsia="Times New Roman" w:cs="Times New Roman"/>
        </w:rPr>
        <w:t xml:space="preserve"> Kostnad per tjeneste</w:t>
      </w:r>
      <w:r>
        <w:rPr>
          <w:rFonts w:eastAsia="Times New Roman" w:cs="Times New Roman"/>
        </w:rPr>
        <w:softHyphen/>
        <w:t>kategori, fordelt på størrelses</w:t>
      </w:r>
      <w:r>
        <w:rPr>
          <w:rFonts w:eastAsia="Times New Roman" w:cs="Times New Roman"/>
        </w:rPr>
        <w:softHyphen/>
        <w:t>kategori. Provisioning og Port Marina dominerer total</w:t>
      </w:r>
      <w:r>
        <w:rPr>
          <w:rFonts w:eastAsia="Times New Roman" w:cs="Times New Roman"/>
        </w:rPr>
        <w:softHyphen/>
      </w:r>
      <w:r>
        <w:rPr>
          <w:rFonts w:eastAsia="Times New Roman" w:cs="Times New Roman"/>
        </w:rPr>
        <w:t xml:space="preserve">kostnaden for Stor-yachter (typisk 30–40 % hver), Hospitality er hovedkategori for mellomstore, og Liten-kategorien har en flatere fordeling med Agency Services som største enkeltkategori. </w:t>
      </w:r>
      <w:r>
        <w:rPr>
          <w:rFonts w:eastAsia="Times New Roman" w:cs="Times New Roman"/>
          <w:i/>
          <w:iCs/>
        </w:rPr>
        <w:t xml:space="preserve">(Plott i </w:t>
      </w:r>
      <w:r>
        <w:rPr>
          <w:rStyle w:val="VerbatimChar"/>
          <w:rFonts w:ascii="Times New Roman" w:eastAsia="Times New Roman" w:hAnsi="Times New Roman" w:cs="Times New Roman"/>
          <w:i/>
          <w:iCs/>
          <w:sz w:val="24"/>
        </w:rPr>
        <w:t>eda_nauticost.ipynb</w:t>
      </w:r>
      <w:r>
        <w:rPr>
          <w:rFonts w:eastAsia="Times New Roman" w:cs="Times New Roman"/>
          <w:i/>
          <w:iCs/>
        </w:rPr>
        <w:t>, seksjon 3.3.)</w:t>
      </w:r>
    </w:p>
    <w:p w14:paraId="54AB5D44" w14:textId="77777777" w:rsidR="003C788D" w:rsidRDefault="00AA7D12">
      <w:pPr>
        <w:pStyle w:val="Overskrift3"/>
      </w:pPr>
      <w:bookmarkStart w:id="83" w:name="korrelasjoner-og-feature-importance"/>
      <w:bookmarkStart w:id="84" w:name="_Toc230777803"/>
      <w:bookmarkEnd w:id="81"/>
      <w:r>
        <w:t>7.2 Korrelasjoner og feature importance</w:t>
      </w:r>
      <w:bookmarkEnd w:id="84"/>
    </w:p>
    <w:p w14:paraId="4D25DC88" w14:textId="77777777" w:rsidR="003C788D" w:rsidRDefault="00AA7D12">
      <w:pPr>
        <w:pStyle w:val="CaptionedFigure"/>
        <w:spacing w:line="360" w:lineRule="auto"/>
      </w:pPr>
      <w:r>
        <w:rPr>
          <w:rFonts w:eastAsia="Times New Roman" w:cs="Times New Roman"/>
          <w:noProof/>
        </w:rPr>
        <w:drawing>
          <wp:inline distT="0" distB="0" distL="0" distR="0" wp14:anchorId="38506517" wp14:editId="7F42FE77">
            <wp:extent cx="5334000" cy="3294926"/>
            <wp:effectExtent l="0" t="0" r="0" b="0"/>
            <wp:docPr id="62" name="Picture" descr="Figur 7.4: Spearman-korrelasjon mellom numeriske features og log-kostnad — GT, LOA og fuel­konsum er moderat positivt korrelert"/>
            <wp:cNvGraphicFramePr/>
            <a:graphic xmlns:a="http://schemas.openxmlformats.org/drawingml/2006/main">
              <a:graphicData uri="http://schemas.openxmlformats.org/drawingml/2006/picture">
                <pic:pic xmlns:pic="http://schemas.openxmlformats.org/drawingml/2006/picture">
                  <pic:nvPicPr>
                    <pic:cNvPr id="63" name="Picture" descr="figures/figur_7_4_spearman.png"/>
                    <pic:cNvPicPr>
                      <a:picLocks noChangeAspect="1" noChangeArrowheads="1"/>
                    </pic:cNvPicPr>
                  </pic:nvPicPr>
                  <pic:blipFill>
                    <a:blip r:embed="rId9"/>
                    <a:stretch>
                      <a:fillRect/>
                    </a:stretch>
                  </pic:blipFill>
                  <pic:spPr bwMode="auto">
                    <a:xfrm>
                      <a:off x="0" y="0"/>
                      <a:ext cx="5334000" cy="3294926"/>
                    </a:xfrm>
                    <a:prstGeom prst="rect">
                      <a:avLst/>
                    </a:prstGeom>
                    <a:noFill/>
                    <a:ln w="9525">
                      <a:noFill/>
                      <a:headEnd/>
                      <a:tailEnd/>
                    </a:ln>
                  </pic:spPr>
                </pic:pic>
              </a:graphicData>
            </a:graphic>
          </wp:inline>
        </w:drawing>
      </w:r>
    </w:p>
    <w:p w14:paraId="408A3DA6" w14:textId="77777777" w:rsidR="003C788D" w:rsidRDefault="00AA7D12">
      <w:pPr>
        <w:pStyle w:val="ImageCaption"/>
        <w:spacing w:line="360" w:lineRule="auto"/>
      </w:pPr>
      <w:r>
        <w:rPr>
          <w:rFonts w:eastAsia="Times New Roman" w:cs="Times New Roman"/>
        </w:rPr>
        <w:t>Figur 7.4: Spearman-korrelasjon mellom numeriske features og log-kostnad — GT, LOA og fuel</w:t>
      </w:r>
      <w:r>
        <w:rPr>
          <w:rFonts w:eastAsia="Times New Roman" w:cs="Times New Roman"/>
        </w:rPr>
        <w:softHyphen/>
        <w:t>konsum er moderat positivt korrelert</w:t>
      </w:r>
    </w:p>
    <w:p w14:paraId="126BE6E5" w14:textId="77777777" w:rsidR="003C788D" w:rsidRDefault="00AA7D12">
      <w:pPr>
        <w:pStyle w:val="Brdtekst"/>
        <w:spacing w:line="360" w:lineRule="auto"/>
      </w:pPr>
      <w:r>
        <w:rPr>
          <w:rFonts w:eastAsia="Times New Roman" w:cs="Times New Roman"/>
          <w:b/>
          <w:bCs/>
        </w:rPr>
        <w:t>Figur 7.4.</w:t>
      </w:r>
      <w:r>
        <w:rPr>
          <w:rFonts w:eastAsia="Times New Roman" w:cs="Times New Roman"/>
        </w:rPr>
        <w:t xml:space="preserve"> </w:t>
      </w:r>
      <w:r>
        <w:rPr>
          <w:rFonts w:eastAsia="Times New Roman" w:cs="Times New Roman"/>
        </w:rPr>
        <w:t>Spearman-korrelasjon mellom numeriske features og log-kostnad. GT (ρ = 0,38), LOA (ρ = 0,35) og fuel</w:t>
      </w:r>
      <w:r>
        <w:rPr>
          <w:rFonts w:eastAsia="Times New Roman" w:cs="Times New Roman"/>
        </w:rPr>
        <w:softHyphen/>
        <w:t>konsum (ρ = 0,31) er positivt korrelert med kostnad; korrelasjonene er moderate fordi yacht-størrelse alene ikke determinerer kostnaden (tjeneste</w:t>
      </w:r>
      <w:r>
        <w:rPr>
          <w:rFonts w:eastAsia="Times New Roman" w:cs="Times New Roman"/>
        </w:rPr>
        <w:softHyphen/>
        <w:t xml:space="preserve">miks og sesong påvirker minst like sterkt). </w:t>
      </w:r>
      <w:r>
        <w:rPr>
          <w:rFonts w:eastAsia="Times New Roman" w:cs="Times New Roman"/>
          <w:i/>
          <w:iCs/>
        </w:rPr>
        <w:t xml:space="preserve">(Plott i </w:t>
      </w:r>
      <w:r>
        <w:rPr>
          <w:rStyle w:val="VerbatimChar"/>
          <w:rFonts w:ascii="Times New Roman" w:eastAsia="Times New Roman" w:hAnsi="Times New Roman" w:cs="Times New Roman"/>
          <w:i/>
          <w:iCs/>
          <w:sz w:val="24"/>
        </w:rPr>
        <w:t>eda_nauticost.ipynb</w:t>
      </w:r>
      <w:r>
        <w:rPr>
          <w:rFonts w:eastAsia="Times New Roman" w:cs="Times New Roman"/>
          <w:i/>
          <w:iCs/>
        </w:rPr>
        <w:t>, seksjon 4.)</w:t>
      </w:r>
    </w:p>
    <w:p w14:paraId="50858DA5" w14:textId="77777777" w:rsidR="003C788D" w:rsidRDefault="00AA7D12">
      <w:pPr>
        <w:pStyle w:val="CaptionedFigure"/>
        <w:spacing w:line="360" w:lineRule="auto"/>
      </w:pPr>
      <w:r>
        <w:rPr>
          <w:rFonts w:eastAsia="Times New Roman" w:cs="Times New Roman"/>
          <w:noProof/>
        </w:rPr>
        <w:drawing>
          <wp:inline distT="0" distB="0" distL="0" distR="0" wp14:anchorId="482916A3" wp14:editId="6B564B58">
            <wp:extent cx="5334000" cy="3528031"/>
            <wp:effectExtent l="0" t="0" r="0" b="0"/>
            <wp:docPr id="65" name="Picture" descr="Figur 7.5: Top-15 feature importance fra LightGBM (gain-andel) — service_type og størrelse-baserte aggregat­statistikker dominerer"/>
            <wp:cNvGraphicFramePr/>
            <a:graphic xmlns:a="http://schemas.openxmlformats.org/drawingml/2006/main">
              <a:graphicData uri="http://schemas.openxmlformats.org/drawingml/2006/picture">
                <pic:pic xmlns:pic="http://schemas.openxmlformats.org/drawingml/2006/picture">
                  <pic:nvPicPr>
                    <pic:cNvPr id="66" name="Picture" descr="figures/figur_7_5_feature_importance.png"/>
                    <pic:cNvPicPr>
                      <a:picLocks noChangeAspect="1" noChangeArrowheads="1"/>
                    </pic:cNvPicPr>
                  </pic:nvPicPr>
                  <pic:blipFill>
                    <a:blip r:embed="rId10"/>
                    <a:stretch>
                      <a:fillRect/>
                    </a:stretch>
                  </pic:blipFill>
                  <pic:spPr bwMode="auto">
                    <a:xfrm>
                      <a:off x="0" y="0"/>
                      <a:ext cx="5334000" cy="3528031"/>
                    </a:xfrm>
                    <a:prstGeom prst="rect">
                      <a:avLst/>
                    </a:prstGeom>
                    <a:noFill/>
                    <a:ln w="9525">
                      <a:noFill/>
                      <a:headEnd/>
                      <a:tailEnd/>
                    </a:ln>
                  </pic:spPr>
                </pic:pic>
              </a:graphicData>
            </a:graphic>
          </wp:inline>
        </w:drawing>
      </w:r>
    </w:p>
    <w:p w14:paraId="2E97E476" w14:textId="77777777" w:rsidR="003C788D" w:rsidRDefault="00AA7D12">
      <w:pPr>
        <w:pStyle w:val="ImageCaption"/>
        <w:spacing w:line="360" w:lineRule="auto"/>
      </w:pPr>
      <w:r>
        <w:rPr>
          <w:rFonts w:eastAsia="Times New Roman" w:cs="Times New Roman"/>
        </w:rPr>
        <w:t xml:space="preserve">Figur 7.5: Top-15 feature importance fra LightGBM (gain-andel) — </w:t>
      </w:r>
      <w:r>
        <w:rPr>
          <w:rStyle w:val="VerbatimChar"/>
          <w:rFonts w:ascii="Times New Roman" w:eastAsia="Times New Roman" w:hAnsi="Times New Roman" w:cs="Times New Roman"/>
          <w:sz w:val="24"/>
        </w:rPr>
        <w:t>service_type</w:t>
      </w:r>
      <w:r>
        <w:rPr>
          <w:rFonts w:eastAsia="Times New Roman" w:cs="Times New Roman"/>
        </w:rPr>
        <w:t xml:space="preserve"> og størrelse-baserte aggregat</w:t>
      </w:r>
      <w:r>
        <w:rPr>
          <w:rFonts w:eastAsia="Times New Roman" w:cs="Times New Roman"/>
        </w:rPr>
        <w:softHyphen/>
        <w:t>statistikker dominerer</w:t>
      </w:r>
    </w:p>
    <w:p w14:paraId="14243D77" w14:textId="77777777" w:rsidR="003C788D" w:rsidRDefault="00AA7D12">
      <w:pPr>
        <w:pStyle w:val="Brdtekst"/>
        <w:spacing w:line="360" w:lineRule="auto"/>
      </w:pPr>
      <w:r>
        <w:rPr>
          <w:rFonts w:eastAsia="Times New Roman" w:cs="Times New Roman"/>
          <w:b/>
          <w:bCs/>
        </w:rPr>
        <w:t>Figur 7.5.</w:t>
      </w:r>
      <w:r>
        <w:rPr>
          <w:rFonts w:eastAsia="Times New Roman" w:cs="Times New Roman"/>
        </w:rPr>
        <w:t xml:space="preserve"> Top-15 feature importance fra LightGBM (gain). De fem viktigste featurene er </w:t>
      </w:r>
      <w:r>
        <w:rPr>
          <w:rStyle w:val="VerbatimChar"/>
          <w:rFonts w:ascii="Times New Roman" w:eastAsia="Times New Roman" w:hAnsi="Times New Roman" w:cs="Times New Roman"/>
          <w:sz w:val="24"/>
        </w:rPr>
        <w:t>service_type</w:t>
      </w:r>
      <w:r>
        <w:rPr>
          <w:rFonts w:eastAsia="Times New Roman" w:cs="Times New Roman"/>
        </w:rPr>
        <w:t xml:space="preserve"> (gain-andel ≈ 32 %), </w:t>
      </w:r>
      <w:r>
        <w:rPr>
          <w:rStyle w:val="VerbatimChar"/>
          <w:rFonts w:ascii="Times New Roman" w:eastAsia="Times New Roman" w:hAnsi="Times New Roman" w:cs="Times New Roman"/>
          <w:sz w:val="24"/>
        </w:rPr>
        <w:t>size_svc_median_charge</w:t>
      </w:r>
      <w:r>
        <w:rPr>
          <w:rFonts w:eastAsia="Times New Roman" w:cs="Times New Roman"/>
        </w:rPr>
        <w:t xml:space="preserve"> (≈ 18 %), </w:t>
      </w:r>
      <w:r>
        <w:rPr>
          <w:rStyle w:val="VerbatimChar"/>
          <w:rFonts w:ascii="Times New Roman" w:eastAsia="Times New Roman" w:hAnsi="Times New Roman" w:cs="Times New Roman"/>
          <w:sz w:val="24"/>
        </w:rPr>
        <w:t>size_svc_mean_charge</w:t>
      </w:r>
      <w:r>
        <w:rPr>
          <w:rFonts w:eastAsia="Times New Roman" w:cs="Times New Roman"/>
        </w:rPr>
        <w:t xml:space="preserve"> (≈ 11 %), </w:t>
      </w:r>
      <w:r>
        <w:rPr>
          <w:rStyle w:val="VerbatimChar"/>
          <w:rFonts w:ascii="Times New Roman" w:eastAsia="Times New Roman" w:hAnsi="Times New Roman" w:cs="Times New Roman"/>
          <w:sz w:val="24"/>
        </w:rPr>
        <w:t>cmt_len</w:t>
      </w:r>
      <w:r>
        <w:rPr>
          <w:rFonts w:eastAsia="Times New Roman" w:cs="Times New Roman"/>
        </w:rPr>
        <w:t xml:space="preserve"> (≈ 6 %) og </w:t>
      </w:r>
      <w:r>
        <w:rPr>
          <w:rStyle w:val="VerbatimChar"/>
          <w:rFonts w:ascii="Times New Roman" w:eastAsia="Times New Roman" w:hAnsi="Times New Roman" w:cs="Times New Roman"/>
          <w:sz w:val="24"/>
        </w:rPr>
        <w:t>week_of_year</w:t>
      </w:r>
      <w:r>
        <w:rPr>
          <w:rFonts w:eastAsia="Times New Roman" w:cs="Times New Roman"/>
        </w:rPr>
        <w:t xml:space="preserve"> (≈ 5 %). At aggregat-statistikkene rangerer høyt bekrefter at feature engineering-steget i § 5.5 tilfører reell signal, og at modellen i praksis lærer et hierarki: tjenestetype velger et baseline-prisnivå, og yacht- og tids</w:t>
      </w:r>
      <w:r>
        <w:rPr>
          <w:rFonts w:eastAsia="Times New Roman" w:cs="Times New Roman"/>
        </w:rPr>
        <w:softHyphen/>
        <w:t xml:space="preserve">features modulerer det baselinet. </w:t>
      </w:r>
      <w:r>
        <w:rPr>
          <w:rFonts w:eastAsia="Times New Roman" w:cs="Times New Roman"/>
          <w:i/>
          <w:iCs/>
        </w:rPr>
        <w:t xml:space="preserve">(Plott i </w:t>
      </w:r>
      <w:r>
        <w:rPr>
          <w:rStyle w:val="VerbatimChar"/>
          <w:rFonts w:ascii="Times New Roman" w:eastAsia="Times New Roman" w:hAnsi="Times New Roman" w:cs="Times New Roman"/>
          <w:i/>
          <w:iCs/>
          <w:sz w:val="24"/>
        </w:rPr>
        <w:t>modeling_nauticost.ipynb</w:t>
      </w:r>
      <w:r>
        <w:rPr>
          <w:rFonts w:eastAsia="Times New Roman" w:cs="Times New Roman"/>
          <w:i/>
          <w:iCs/>
        </w:rPr>
        <w:t xml:space="preserve">, seksjon 6; </w:t>
      </w:r>
      <w:r>
        <w:rPr>
          <w:rFonts w:eastAsia="Times New Roman" w:cs="Times New Roman"/>
          <w:i/>
          <w:iCs/>
        </w:rPr>
        <w:t xml:space="preserve">reprodusert i </w:t>
      </w:r>
      <w:r>
        <w:rPr>
          <w:rStyle w:val="VerbatimChar"/>
          <w:rFonts w:ascii="Times New Roman" w:eastAsia="Times New Roman" w:hAnsi="Times New Roman" w:cs="Times New Roman"/>
          <w:i/>
          <w:iCs/>
          <w:sz w:val="24"/>
        </w:rPr>
        <w:t>generate_figures.py</w:t>
      </w:r>
      <w:r>
        <w:rPr>
          <w:rFonts w:eastAsia="Times New Roman" w:cs="Times New Roman"/>
          <w:i/>
          <w:iCs/>
        </w:rPr>
        <w:t>.)</w:t>
      </w:r>
    </w:p>
    <w:p w14:paraId="4D56B35B" w14:textId="77777777" w:rsidR="003C788D" w:rsidRDefault="00AA7D12">
      <w:pPr>
        <w:pStyle w:val="Overskrift3"/>
      </w:pPr>
      <w:bookmarkStart w:id="85" w:name="shap-analyse"/>
      <w:bookmarkStart w:id="86" w:name="_Toc230777804"/>
      <w:bookmarkEnd w:id="83"/>
      <w:r>
        <w:t>7.3 SHAP-analyse</w:t>
      </w:r>
      <w:bookmarkEnd w:id="86"/>
    </w:p>
    <w:p w14:paraId="122B7B95" w14:textId="77777777" w:rsidR="003C788D" w:rsidRDefault="00AA7D12">
      <w:pPr>
        <w:pStyle w:val="CaptionedFigure"/>
        <w:spacing w:line="360" w:lineRule="auto"/>
      </w:pPr>
      <w:r>
        <w:rPr>
          <w:rFonts w:eastAsia="Times New Roman" w:cs="Times New Roman"/>
          <w:noProof/>
        </w:rPr>
        <w:drawing>
          <wp:inline distT="0" distB="0" distL="0" distR="0" wp14:anchorId="689570E4" wp14:editId="4818D9D5">
            <wp:extent cx="5334000" cy="3530676"/>
            <wp:effectExtent l="0" t="0" r="0" b="0"/>
            <wp:docPr id="69" name="Picture" descr="Figur 7.6: LightGBM gain-importance (fallback for SHAP) — relativ styrke per feature i ensemble­modellen"/>
            <wp:cNvGraphicFramePr/>
            <a:graphic xmlns:a="http://schemas.openxmlformats.org/drawingml/2006/main">
              <a:graphicData uri="http://schemas.openxmlformats.org/drawingml/2006/picture">
                <pic:pic xmlns:pic="http://schemas.openxmlformats.org/drawingml/2006/picture">
                  <pic:nvPicPr>
                    <pic:cNvPr id="70" name="Picture" descr="figures/figur_7_6_shap_summary.png"/>
                    <pic:cNvPicPr>
                      <a:picLocks noChangeAspect="1" noChangeArrowheads="1"/>
                    </pic:cNvPicPr>
                  </pic:nvPicPr>
                  <pic:blipFill>
                    <a:blip r:embed="rId11"/>
                    <a:stretch>
                      <a:fillRect/>
                    </a:stretch>
                  </pic:blipFill>
                  <pic:spPr bwMode="auto">
                    <a:xfrm>
                      <a:off x="0" y="0"/>
                      <a:ext cx="5334000" cy="3530676"/>
                    </a:xfrm>
                    <a:prstGeom prst="rect">
                      <a:avLst/>
                    </a:prstGeom>
                    <a:noFill/>
                    <a:ln w="9525">
                      <a:noFill/>
                      <a:headEnd/>
                      <a:tailEnd/>
                    </a:ln>
                  </pic:spPr>
                </pic:pic>
              </a:graphicData>
            </a:graphic>
          </wp:inline>
        </w:drawing>
      </w:r>
    </w:p>
    <w:p w14:paraId="2930CE95" w14:textId="77777777" w:rsidR="003C788D" w:rsidRDefault="00AA7D12">
      <w:pPr>
        <w:pStyle w:val="ImageCaption"/>
        <w:spacing w:line="360" w:lineRule="auto"/>
      </w:pPr>
      <w:r>
        <w:rPr>
          <w:rFonts w:eastAsia="Times New Roman" w:cs="Times New Roman"/>
        </w:rPr>
        <w:t>Figur 7.6: LightGBM gain-importance (fallback for SHAP) — relativ styrke per feature i ensemble</w:t>
      </w:r>
      <w:r>
        <w:rPr>
          <w:rFonts w:eastAsia="Times New Roman" w:cs="Times New Roman"/>
        </w:rPr>
        <w:softHyphen/>
        <w:t>modellen</w:t>
      </w:r>
    </w:p>
    <w:p w14:paraId="50720098" w14:textId="77777777" w:rsidR="003C788D" w:rsidRDefault="00AA7D12">
      <w:pPr>
        <w:pStyle w:val="Brdtekst"/>
        <w:spacing w:line="360" w:lineRule="auto"/>
      </w:pPr>
      <w:r>
        <w:rPr>
          <w:rFonts w:eastAsia="Times New Roman" w:cs="Times New Roman"/>
          <w:b/>
          <w:bCs/>
        </w:rPr>
        <w:t>Figur 7.6.</w:t>
      </w:r>
      <w:r>
        <w:rPr>
          <w:rFonts w:eastAsia="Times New Roman" w:cs="Times New Roman"/>
        </w:rPr>
        <w:t xml:space="preserve"> LightGBM gain-importance brukt som fallback for SHAP-summary (TreeSHAP-generering feilet teknisk på et </w:t>
      </w:r>
      <w:r>
        <w:rPr>
          <w:rStyle w:val="VerbatimChar"/>
          <w:rFonts w:ascii="Times New Roman" w:eastAsia="Times New Roman" w:hAnsi="Times New Roman" w:cs="Times New Roman"/>
          <w:sz w:val="24"/>
        </w:rPr>
        <w:t>categorical_feature</w:t>
      </w:r>
      <w:r>
        <w:rPr>
          <w:rFonts w:eastAsia="Times New Roman" w:cs="Times New Roman"/>
        </w:rPr>
        <w:t>-mismatch og ble erstattet av gain-importance som proxy). Figuren viser relativ styrke (ikke effekt</w:t>
      </w:r>
      <w:r>
        <w:rPr>
          <w:rFonts w:eastAsia="Times New Roman" w:cs="Times New Roman"/>
        </w:rPr>
        <w:softHyphen/>
        <w:t xml:space="preserve">retning) per feature. </w:t>
      </w:r>
      <w:r>
        <w:rPr>
          <w:rStyle w:val="VerbatimChar"/>
          <w:rFonts w:ascii="Times New Roman" w:eastAsia="Times New Roman" w:hAnsi="Times New Roman" w:cs="Times New Roman"/>
          <w:sz w:val="24"/>
        </w:rPr>
        <w:t>service_type</w:t>
      </w:r>
      <w:r>
        <w:rPr>
          <w:rFonts w:eastAsia="Times New Roman" w:cs="Times New Roman"/>
        </w:rPr>
        <w:t xml:space="preserve"> og aggregat</w:t>
      </w:r>
      <w:r>
        <w:rPr>
          <w:rFonts w:eastAsia="Times New Roman" w:cs="Times New Roman"/>
        </w:rPr>
        <w:softHyphen/>
        <w:t>statistikkene (</w:t>
      </w:r>
      <w:r>
        <w:rPr>
          <w:rStyle w:val="VerbatimChar"/>
          <w:rFonts w:ascii="Times New Roman" w:eastAsia="Times New Roman" w:hAnsi="Times New Roman" w:cs="Times New Roman"/>
          <w:sz w:val="24"/>
        </w:rPr>
        <w:t>size_svc_median_charge</w:t>
      </w:r>
      <w:r>
        <w:rPr>
          <w:rFonts w:eastAsia="Times New Roman" w:cs="Times New Roman"/>
        </w:rPr>
        <w:t xml:space="preserve">, </w:t>
      </w:r>
      <w:r>
        <w:rPr>
          <w:rStyle w:val="VerbatimChar"/>
          <w:rFonts w:ascii="Times New Roman" w:eastAsia="Times New Roman" w:hAnsi="Times New Roman" w:cs="Times New Roman"/>
          <w:sz w:val="24"/>
        </w:rPr>
        <w:t>size_svc_mean_charge</w:t>
      </w:r>
      <w:r>
        <w:rPr>
          <w:rFonts w:eastAsia="Times New Roman" w:cs="Times New Roman"/>
        </w:rPr>
        <w:t xml:space="preserve">) dominerer, med </w:t>
      </w:r>
      <w:r>
        <w:rPr>
          <w:rStyle w:val="VerbatimChar"/>
          <w:rFonts w:ascii="Times New Roman" w:eastAsia="Times New Roman" w:hAnsi="Times New Roman" w:cs="Times New Roman"/>
          <w:sz w:val="24"/>
        </w:rPr>
        <w:t>gt</w:t>
      </w:r>
      <w:r>
        <w:rPr>
          <w:rFonts w:eastAsia="Times New Roman" w:cs="Times New Roman"/>
        </w:rPr>
        <w:t xml:space="preserve"> og </w:t>
      </w:r>
      <w:r>
        <w:rPr>
          <w:rStyle w:val="VerbatimChar"/>
          <w:rFonts w:ascii="Times New Roman" w:eastAsia="Times New Roman" w:hAnsi="Times New Roman" w:cs="Times New Roman"/>
          <w:sz w:val="24"/>
        </w:rPr>
        <w:t>stay_days</w:t>
      </w:r>
      <w:r>
        <w:rPr>
          <w:rFonts w:eastAsia="Times New Roman" w:cs="Times New Roman"/>
        </w:rPr>
        <w:t xml:space="preserve"> som viktige sekundære drivere. Et ekte SHAP-plott ville i tillegg gitt fortegns</w:t>
      </w:r>
      <w:r>
        <w:rPr>
          <w:rFonts w:eastAsia="Times New Roman" w:cs="Times New Roman"/>
        </w:rPr>
        <w:softHyphen/>
        <w:t>informasjon (positiv/negativ påvirkning på predikert kostnad) som denn</w:t>
      </w:r>
      <w:r>
        <w:rPr>
          <w:rFonts w:eastAsia="Times New Roman" w:cs="Times New Roman"/>
        </w:rPr>
        <w:t xml:space="preserve">e proxyen ikke fanger — fortegnet er rekonstruert kvalitativt i teksten under: høyere GT, lengre opphold og dyre tjenestetyper (Provisioning, Port Marina) gir høyere predikert kostnad. </w:t>
      </w:r>
      <w:r>
        <w:rPr>
          <w:rFonts w:eastAsia="Times New Roman" w:cs="Times New Roman"/>
          <w:i/>
          <w:iCs/>
        </w:rPr>
        <w:t xml:space="preserve">(Plott i </w:t>
      </w:r>
      <w:r>
        <w:rPr>
          <w:rStyle w:val="VerbatimChar"/>
          <w:rFonts w:ascii="Times New Roman" w:eastAsia="Times New Roman" w:hAnsi="Times New Roman" w:cs="Times New Roman"/>
          <w:i/>
          <w:iCs/>
          <w:sz w:val="24"/>
        </w:rPr>
        <w:t>modeling_nauticost.ipynb</w:t>
      </w:r>
      <w:r>
        <w:rPr>
          <w:rFonts w:eastAsia="Times New Roman" w:cs="Times New Roman"/>
          <w:i/>
          <w:iCs/>
        </w:rPr>
        <w:t>, seksjon 10; regenerering med ekte TreeSHAP er flagget som videre arbeid.)</w:t>
      </w:r>
    </w:p>
    <w:p w14:paraId="408DB896" w14:textId="77777777" w:rsidR="003C788D" w:rsidRDefault="00AA7D12">
      <w:pPr>
        <w:pStyle w:val="CaptionedFigure"/>
        <w:spacing w:line="360" w:lineRule="auto"/>
      </w:pPr>
      <w:r>
        <w:rPr>
          <w:rFonts w:eastAsia="Times New Roman" w:cs="Times New Roman"/>
          <w:noProof/>
        </w:rPr>
        <w:drawing>
          <wp:inline distT="0" distB="0" distL="0" distR="0" wp14:anchorId="7C6995A5" wp14:editId="799ECFE7">
            <wp:extent cx="5334000" cy="1660156"/>
            <wp:effectExtent l="0" t="0" r="0" b="0"/>
            <wp:docPr id="72" name="Picture" descr="Figur 7.7: Predikerte kostnader fordelt på GT (log-skala), tjenestekategori og ankomsthavn — viser monoton GT-effekt og tydelig havne­variasjon"/>
            <wp:cNvGraphicFramePr/>
            <a:graphic xmlns:a="http://schemas.openxmlformats.org/drawingml/2006/main">
              <a:graphicData uri="http://schemas.openxmlformats.org/drawingml/2006/picture">
                <pic:pic xmlns:pic="http://schemas.openxmlformats.org/drawingml/2006/picture">
                  <pic:nvPicPr>
                    <pic:cNvPr id="73" name="Picture" descr="figures/figur_7_7_dependence.png"/>
                    <pic:cNvPicPr>
                      <a:picLocks noChangeAspect="1" noChangeArrowheads="1"/>
                    </pic:cNvPicPr>
                  </pic:nvPicPr>
                  <pic:blipFill>
                    <a:blip r:embed="rId12"/>
                    <a:stretch>
                      <a:fillRect/>
                    </a:stretch>
                  </pic:blipFill>
                  <pic:spPr bwMode="auto">
                    <a:xfrm>
                      <a:off x="0" y="0"/>
                      <a:ext cx="5334000" cy="1660156"/>
                    </a:xfrm>
                    <a:prstGeom prst="rect">
                      <a:avLst/>
                    </a:prstGeom>
                    <a:noFill/>
                    <a:ln w="9525">
                      <a:noFill/>
                      <a:headEnd/>
                      <a:tailEnd/>
                    </a:ln>
                  </pic:spPr>
                </pic:pic>
              </a:graphicData>
            </a:graphic>
          </wp:inline>
        </w:drawing>
      </w:r>
    </w:p>
    <w:p w14:paraId="17EF2584" w14:textId="77777777" w:rsidR="003C788D" w:rsidRDefault="00AA7D12">
      <w:pPr>
        <w:pStyle w:val="ImageCaption"/>
        <w:spacing w:line="360" w:lineRule="auto"/>
      </w:pPr>
      <w:r>
        <w:rPr>
          <w:rFonts w:eastAsia="Times New Roman" w:cs="Times New Roman"/>
        </w:rPr>
        <w:t>Figur 7.7: Predikerte kostnader fordelt på GT (log-skala), tjenestekategori og ankomsthavn — viser monoton GT-effekt og tydelig havne</w:t>
      </w:r>
      <w:r>
        <w:rPr>
          <w:rFonts w:eastAsia="Times New Roman" w:cs="Times New Roman"/>
        </w:rPr>
        <w:softHyphen/>
        <w:t>variasjon</w:t>
      </w:r>
    </w:p>
    <w:p w14:paraId="4C7EF652" w14:textId="77777777" w:rsidR="003C788D" w:rsidRDefault="00AA7D12">
      <w:pPr>
        <w:pStyle w:val="Brdtekst"/>
        <w:spacing w:line="360" w:lineRule="auto"/>
      </w:pPr>
      <w:r>
        <w:rPr>
          <w:rFonts w:eastAsia="Times New Roman" w:cs="Times New Roman"/>
          <w:b/>
          <w:bCs/>
        </w:rPr>
        <w:t>Figur 7.7.</w:t>
      </w:r>
      <w:r>
        <w:rPr>
          <w:rFonts w:eastAsia="Times New Roman" w:cs="Times New Roman"/>
        </w:rPr>
        <w:t xml:space="preserve"> Predikerte kostnader fordelt på sentrale features på valideringssettet: (a) predikert kostnad vs. GT (log-skala), (b) median prediksjon per </w:t>
      </w:r>
      <w:r>
        <w:rPr>
          <w:rStyle w:val="VerbatimChar"/>
          <w:rFonts w:ascii="Times New Roman" w:eastAsia="Times New Roman" w:hAnsi="Times New Roman" w:cs="Times New Roman"/>
          <w:sz w:val="24"/>
        </w:rPr>
        <w:t>service_category</w:t>
      </w:r>
      <w:r>
        <w:rPr>
          <w:rFonts w:eastAsia="Times New Roman" w:cs="Times New Roman"/>
        </w:rPr>
        <w:t xml:space="preserve">, (c) median prediksjon per </w:t>
      </w:r>
      <w:r>
        <w:rPr>
          <w:rStyle w:val="VerbatimChar"/>
          <w:rFonts w:ascii="Times New Roman" w:eastAsia="Times New Roman" w:hAnsi="Times New Roman" w:cs="Times New Roman"/>
          <w:sz w:val="24"/>
        </w:rPr>
        <w:t>arrival_port</w:t>
      </w:r>
      <w:r>
        <w:rPr>
          <w:rFonts w:eastAsia="Times New Roman" w:cs="Times New Roman"/>
        </w:rPr>
        <w:t>. GT-effekten er monoton men ikke-lineær. Havne</w:t>
      </w:r>
      <w:r>
        <w:rPr>
          <w:rFonts w:eastAsia="Times New Roman" w:cs="Times New Roman"/>
        </w:rPr>
        <w:softHyphen/>
        <w:t>effekten viser at København og Stockholm gir høyere prediksjoner enn norske havner ved samme yacht</w:t>
      </w:r>
      <w:r>
        <w:rPr>
          <w:rFonts w:eastAsia="Times New Roman" w:cs="Times New Roman"/>
        </w:rPr>
        <w:softHyphen/>
        <w:t>størrelse, hvilket er konsistent med havne</w:t>
      </w:r>
      <w:r>
        <w:rPr>
          <w:rFonts w:eastAsia="Times New Roman" w:cs="Times New Roman"/>
        </w:rPr>
        <w:softHyphen/>
        <w:t>avgifts</w:t>
      </w:r>
      <w:r>
        <w:rPr>
          <w:rFonts w:eastAsia="Times New Roman" w:cs="Times New Roman"/>
        </w:rPr>
        <w:softHyphen/>
        <w:t>nivåene i datasettet og motiverer land</w:t>
      </w:r>
      <w:r>
        <w:rPr>
          <w:rFonts w:eastAsia="Times New Roman" w:cs="Times New Roman"/>
        </w:rPr>
        <w:softHyphen/>
        <w:t xml:space="preserve">bevisst aggregering som videre arbeid (§ 9.5.5). </w:t>
      </w:r>
      <w:r>
        <w:rPr>
          <w:rFonts w:eastAsia="Times New Roman" w:cs="Times New Roman"/>
          <w:i/>
          <w:iCs/>
        </w:rPr>
        <w:t xml:space="preserve">(Plott i </w:t>
      </w:r>
      <w:r>
        <w:rPr>
          <w:rStyle w:val="VerbatimChar"/>
          <w:rFonts w:ascii="Times New Roman" w:eastAsia="Times New Roman" w:hAnsi="Times New Roman" w:cs="Times New Roman"/>
          <w:i/>
          <w:iCs/>
          <w:sz w:val="24"/>
        </w:rPr>
        <w:t>modeling_nauticost.i</w:t>
      </w:r>
      <w:r>
        <w:rPr>
          <w:rStyle w:val="VerbatimChar"/>
          <w:rFonts w:ascii="Times New Roman" w:eastAsia="Times New Roman" w:hAnsi="Times New Roman" w:cs="Times New Roman"/>
          <w:i/>
          <w:iCs/>
          <w:sz w:val="24"/>
        </w:rPr>
        <w:t>pynb</w:t>
      </w:r>
      <w:r>
        <w:rPr>
          <w:rFonts w:eastAsia="Times New Roman" w:cs="Times New Roman"/>
          <w:i/>
          <w:iCs/>
        </w:rPr>
        <w:t xml:space="preserve">, seksjon 10; reprodusert i </w:t>
      </w:r>
      <w:r>
        <w:rPr>
          <w:rStyle w:val="VerbatimChar"/>
          <w:rFonts w:ascii="Times New Roman" w:eastAsia="Times New Roman" w:hAnsi="Times New Roman" w:cs="Times New Roman"/>
          <w:i/>
          <w:iCs/>
          <w:sz w:val="24"/>
        </w:rPr>
        <w:t>generate_figures.py</w:t>
      </w:r>
      <w:r>
        <w:rPr>
          <w:rFonts w:eastAsia="Times New Roman" w:cs="Times New Roman"/>
          <w:i/>
          <w:iCs/>
        </w:rPr>
        <w:t>.)</w:t>
      </w:r>
    </w:p>
    <w:p w14:paraId="3DBC7890" w14:textId="77777777" w:rsidR="003C788D" w:rsidRDefault="00AA7D12">
      <w:pPr>
        <w:pStyle w:val="Overskrift3"/>
      </w:pPr>
      <w:bookmarkStart w:id="87" w:name="residualdiagnostikk"/>
      <w:bookmarkStart w:id="88" w:name="_Toc230777805"/>
      <w:bookmarkEnd w:id="85"/>
      <w:r>
        <w:t>7.4 Residual</w:t>
      </w:r>
      <w:r>
        <w:softHyphen/>
        <w:t>diagnostikk</w:t>
      </w:r>
      <w:bookmarkEnd w:id="88"/>
    </w:p>
    <w:p w14:paraId="0269FED0" w14:textId="77777777" w:rsidR="003C788D" w:rsidRDefault="00AA7D12">
      <w:pPr>
        <w:pStyle w:val="CaptionedFigure"/>
        <w:spacing w:line="360" w:lineRule="auto"/>
      </w:pPr>
      <w:r>
        <w:rPr>
          <w:rFonts w:eastAsia="Times New Roman" w:cs="Times New Roman"/>
          <w:noProof/>
        </w:rPr>
        <w:drawing>
          <wp:inline distT="0" distB="0" distL="0" distR="0" wp14:anchorId="5C9ABF96" wp14:editId="37B4C246">
            <wp:extent cx="5334000" cy="2126429"/>
            <wp:effectExtent l="0" t="0" r="0" b="0"/>
            <wp:docPr id="76" name="Picture" descr="Figur 7.8: Residualplott (predikert vs. faktisk i log-rom) på valideringssettet (n = 490, 2024) — bias ≈ −0,20 indikerer systematisk overprediksjon for lave fakturaer"/>
            <wp:cNvGraphicFramePr/>
            <a:graphic xmlns:a="http://schemas.openxmlformats.org/drawingml/2006/main">
              <a:graphicData uri="http://schemas.openxmlformats.org/drawingml/2006/picture">
                <pic:pic xmlns:pic="http://schemas.openxmlformats.org/drawingml/2006/picture">
                  <pic:nvPicPr>
                    <pic:cNvPr id="77" name="Picture" descr="figures/figur_7_8_residuals.png"/>
                    <pic:cNvPicPr>
                      <a:picLocks noChangeAspect="1" noChangeArrowheads="1"/>
                    </pic:cNvPicPr>
                  </pic:nvPicPr>
                  <pic:blipFill>
                    <a:blip r:embed="rId13"/>
                    <a:stretch>
                      <a:fillRect/>
                    </a:stretch>
                  </pic:blipFill>
                  <pic:spPr bwMode="auto">
                    <a:xfrm>
                      <a:off x="0" y="0"/>
                      <a:ext cx="5334000" cy="2126429"/>
                    </a:xfrm>
                    <a:prstGeom prst="rect">
                      <a:avLst/>
                    </a:prstGeom>
                    <a:noFill/>
                    <a:ln w="9525">
                      <a:noFill/>
                      <a:headEnd/>
                      <a:tailEnd/>
                    </a:ln>
                  </pic:spPr>
                </pic:pic>
              </a:graphicData>
            </a:graphic>
          </wp:inline>
        </w:drawing>
      </w:r>
    </w:p>
    <w:p w14:paraId="37612484" w14:textId="77777777" w:rsidR="003C788D" w:rsidRDefault="00AA7D12">
      <w:pPr>
        <w:pStyle w:val="ImageCaption"/>
        <w:spacing w:line="360" w:lineRule="auto"/>
      </w:pPr>
      <w:r>
        <w:rPr>
          <w:rFonts w:eastAsia="Times New Roman" w:cs="Times New Roman"/>
        </w:rPr>
        <w:t>Figur 7.8: Residualplott (predikert vs. faktisk i log-rom) på valideringssettet (n = 490, 2024) — bias ≈ −0,20 indikerer systematisk overprediksjon for lave fakturaer</w:t>
      </w:r>
    </w:p>
    <w:p w14:paraId="24C2A337" w14:textId="77777777" w:rsidR="003C788D" w:rsidRDefault="00AA7D12">
      <w:pPr>
        <w:pStyle w:val="Brdtekst"/>
        <w:spacing w:line="360" w:lineRule="auto"/>
      </w:pPr>
      <w:r>
        <w:rPr>
          <w:rFonts w:eastAsia="Times New Roman" w:cs="Times New Roman"/>
          <w:b/>
          <w:bCs/>
        </w:rPr>
        <w:t>Figur 7.8.</w:t>
      </w:r>
      <w:r>
        <w:rPr>
          <w:rFonts w:eastAsia="Times New Roman" w:cs="Times New Roman"/>
        </w:rPr>
        <w:t xml:space="preserve"> Residual</w:t>
      </w:r>
      <w:r>
        <w:rPr>
          <w:rFonts w:eastAsia="Times New Roman" w:cs="Times New Roman"/>
        </w:rPr>
        <w:softHyphen/>
        <w:t xml:space="preserve">plott (predikert vs. faktisk i log-rom) på valideringssettet (n = 490, 2024) for den tunede LightGBM-modellen. Gjennomsnittlig residual er </w:t>
      </w:r>
      <w:r>
        <w:rPr>
          <w:rFonts w:eastAsia="Times New Roman" w:cs="Times New Roman"/>
          <w:b/>
          <w:bCs/>
        </w:rPr>
        <w:t>−0,20 i log-rom</w:t>
      </w:r>
      <w:r>
        <w:rPr>
          <w:rFonts w:eastAsia="Times New Roman" w:cs="Times New Roman"/>
        </w:rPr>
        <w:t xml:space="preserve"> (tilsvarende ≈ 18 % overprediksjon på opprinnelig skala): modellen estimerer i snitt høyere enn faktisk kostnad. Bias-en er konsentrert i transaksjoner der faktisk beløp er lavt (typisk små Agency Services-fakturaer &lt; 1 000 EUR) — modellen klarer ikke å predikere ned i dette beløpsspennet med presisjon. På anløpsnivå, der mange transaksjoner agg</w:t>
      </w:r>
      <w:r>
        <w:rPr>
          <w:rFonts w:eastAsia="Times New Roman" w:cs="Times New Roman"/>
        </w:rPr>
        <w:t>regeres, har bias-en mindre effekt fordi store og små transaksjoner blandes, og den hybride persentil-kalibreringen i § 6.5 forankrer totalen mot empirisk median. De største absolutte feilene konsentrerer seg i kategoriene Provisioning/Stor og Port Marina/Stor, der kostnadene avhenger av hva som ble bestilt snarere enn yacht</w:t>
      </w:r>
      <w:r>
        <w:rPr>
          <w:rFonts w:eastAsia="Times New Roman" w:cs="Times New Roman"/>
        </w:rPr>
        <w:softHyphen/>
        <w:t xml:space="preserve">spesifikasjoner — dette samsvarer med funnet i § 9.5.4 om manglende </w:t>
      </w:r>
      <w:r>
        <w:rPr>
          <w:rStyle w:val="VerbatimChar"/>
          <w:rFonts w:ascii="Times New Roman" w:eastAsia="Times New Roman" w:hAnsi="Times New Roman" w:cs="Times New Roman"/>
          <w:sz w:val="24"/>
        </w:rPr>
        <w:t>guest_experience</w:t>
      </w:r>
      <w:r>
        <w:rPr>
          <w:rFonts w:eastAsia="Times New Roman" w:cs="Times New Roman"/>
        </w:rPr>
        <w:t xml:space="preserve">-feature for Provisioning. </w:t>
      </w:r>
      <w:r>
        <w:rPr>
          <w:rFonts w:eastAsia="Times New Roman" w:cs="Times New Roman"/>
          <w:i/>
          <w:iCs/>
        </w:rPr>
        <w:t xml:space="preserve">(Plott i </w:t>
      </w:r>
      <w:r>
        <w:rPr>
          <w:rStyle w:val="VerbatimChar"/>
          <w:rFonts w:ascii="Times New Roman" w:eastAsia="Times New Roman" w:hAnsi="Times New Roman" w:cs="Times New Roman"/>
          <w:i/>
          <w:iCs/>
          <w:sz w:val="24"/>
        </w:rPr>
        <w:t>modeling_nauticost.ipynb</w:t>
      </w:r>
      <w:r>
        <w:rPr>
          <w:rFonts w:eastAsia="Times New Roman" w:cs="Times New Roman"/>
          <w:i/>
          <w:iCs/>
        </w:rPr>
        <w:t xml:space="preserve">, seksjon 11, og reprodusert i </w:t>
      </w:r>
      <w:r>
        <w:rPr>
          <w:rStyle w:val="VerbatimChar"/>
          <w:rFonts w:ascii="Times New Roman" w:eastAsia="Times New Roman" w:hAnsi="Times New Roman" w:cs="Times New Roman"/>
          <w:i/>
          <w:iCs/>
          <w:sz w:val="24"/>
        </w:rPr>
        <w:t>013 fase 3</w:t>
      </w:r>
      <w:r>
        <w:rPr>
          <w:rStyle w:val="VerbatimChar"/>
          <w:rFonts w:ascii="Times New Roman" w:eastAsia="Times New Roman" w:hAnsi="Times New Roman" w:cs="Times New Roman"/>
          <w:i/>
          <w:iCs/>
          <w:sz w:val="24"/>
        </w:rPr>
        <w:t xml:space="preserve"> - review/generate_figures.py</w:t>
      </w:r>
      <w:r>
        <w:rPr>
          <w:rFonts w:eastAsia="Times New Roman" w:cs="Times New Roman"/>
          <w:i/>
          <w:iCs/>
        </w:rPr>
        <w:t>.)</w:t>
      </w:r>
    </w:p>
    <w:p w14:paraId="59FC357E" w14:textId="77777777" w:rsidR="003C788D" w:rsidRDefault="00AA7D12">
      <w:pPr>
        <w:pStyle w:val="Brdtekst"/>
        <w:spacing w:line="360" w:lineRule="auto"/>
      </w:pPr>
      <w:r>
        <w:rPr>
          <w:rFonts w:eastAsia="Times New Roman" w:cs="Times New Roman"/>
          <w:b/>
          <w:bCs/>
        </w:rPr>
        <w:t>Tabell 7.1.</w:t>
      </w:r>
      <w:r>
        <w:rPr>
          <w:rFonts w:eastAsia="Times New Roman" w:cs="Times New Roman"/>
        </w:rPr>
        <w:t xml:space="preserve"> Validerings</w:t>
      </w:r>
      <w:r>
        <w:rPr>
          <w:rFonts w:eastAsia="Times New Roman" w:cs="Times New Roman"/>
        </w:rPr>
        <w:softHyphen/>
        <w:t xml:space="preserve">residualer per størrelseskategori (n = 490, år 2024). MAPE er rapportert som </w:t>
      </w:r>
      <w:r>
        <w:rPr>
          <w:rFonts w:eastAsia="Times New Roman" w:cs="Times New Roman"/>
          <w:b/>
          <w:bCs/>
        </w:rPr>
        <w:t>forholdstall</w:t>
      </w:r>
      <w:r>
        <w:rPr>
          <w:rFonts w:eastAsia="Times New Roman" w:cs="Times New Roman"/>
        </w:rPr>
        <w:t xml:space="preserve"> (gjennomsnittlig |feil| / faktisk verdi); 0,89 betyr 89 % gjennomsnittlig avvik, 4,07 betyr 407 %. De høye forholds</w:t>
      </w:r>
      <w:r>
        <w:rPr>
          <w:rFonts w:eastAsia="Times New Roman" w:cs="Times New Roman"/>
        </w:rPr>
        <w:softHyphen/>
        <w:t>tallene drives av mange små transaksjoner (jf. drøftingen av MAPE-sensitivitet i § 3.4).</w:t>
      </w:r>
    </w:p>
    <w:tbl>
      <w:tblPr>
        <w:tblStyle w:val="Table"/>
        <w:tblW w:w="0" w:type="auto"/>
        <w:tblLook w:val="0020" w:firstRow="1" w:lastRow="0" w:firstColumn="0" w:lastColumn="0" w:noHBand="0" w:noVBand="0"/>
      </w:tblPr>
      <w:tblGrid>
        <w:gridCol w:w="1536"/>
        <w:gridCol w:w="576"/>
        <w:gridCol w:w="1450"/>
        <w:gridCol w:w="2210"/>
      </w:tblGrid>
      <w:tr w:rsidR="003C788D" w14:paraId="438ACF0B" w14:textId="77777777" w:rsidTr="003C788D">
        <w:trPr>
          <w:cnfStyle w:val="100000000000" w:firstRow="1" w:lastRow="0" w:firstColumn="0" w:lastColumn="0" w:oddVBand="0" w:evenVBand="0" w:oddHBand="0" w:evenHBand="0" w:firstRowFirstColumn="0" w:firstRowLastColumn="0" w:lastRowFirstColumn="0" w:lastRowLastColumn="0"/>
          <w:tblHeader/>
        </w:trPr>
        <w:tc>
          <w:tcPr>
            <w:tcW w:w="0" w:type="auto"/>
          </w:tcPr>
          <w:p w14:paraId="3B9D0BAC" w14:textId="77777777" w:rsidR="003C788D" w:rsidRDefault="00AA7D12">
            <w:pPr>
              <w:pStyle w:val="Compact"/>
              <w:spacing w:line="360" w:lineRule="auto"/>
            </w:pPr>
            <w:r>
              <w:rPr>
                <w:rFonts w:eastAsia="Times New Roman" w:cs="Times New Roman"/>
              </w:rPr>
              <w:t>size_category</w:t>
            </w:r>
          </w:p>
        </w:tc>
        <w:tc>
          <w:tcPr>
            <w:tcW w:w="0" w:type="auto"/>
          </w:tcPr>
          <w:p w14:paraId="12D5AAB7" w14:textId="77777777" w:rsidR="003C788D" w:rsidRDefault="00AA7D12">
            <w:pPr>
              <w:pStyle w:val="Compact"/>
              <w:spacing w:line="360" w:lineRule="auto"/>
              <w:jc w:val="right"/>
            </w:pPr>
            <w:r>
              <w:rPr>
                <w:rFonts w:eastAsia="Times New Roman" w:cs="Times New Roman"/>
              </w:rPr>
              <w:t>n</w:t>
            </w:r>
          </w:p>
        </w:tc>
        <w:tc>
          <w:tcPr>
            <w:tcW w:w="0" w:type="auto"/>
          </w:tcPr>
          <w:p w14:paraId="2A02F12B" w14:textId="77777777" w:rsidR="003C788D" w:rsidRDefault="00AA7D12">
            <w:pPr>
              <w:pStyle w:val="Compact"/>
              <w:spacing w:line="360" w:lineRule="auto"/>
              <w:jc w:val="right"/>
            </w:pPr>
            <w:r>
              <w:rPr>
                <w:rFonts w:eastAsia="Times New Roman" w:cs="Times New Roman"/>
              </w:rPr>
              <w:t>MAE (EUR)</w:t>
            </w:r>
          </w:p>
        </w:tc>
        <w:tc>
          <w:tcPr>
            <w:tcW w:w="0" w:type="auto"/>
          </w:tcPr>
          <w:p w14:paraId="4DEACB6C" w14:textId="77777777" w:rsidR="003C788D" w:rsidRDefault="00AA7D12">
            <w:pPr>
              <w:pStyle w:val="Compact"/>
              <w:spacing w:line="360" w:lineRule="auto"/>
              <w:jc w:val="right"/>
            </w:pPr>
            <w:r>
              <w:rPr>
                <w:rFonts w:eastAsia="Times New Roman" w:cs="Times New Roman"/>
              </w:rPr>
              <w:t>MAPE (forholds</w:t>
            </w:r>
            <w:r>
              <w:rPr>
                <w:rFonts w:eastAsia="Times New Roman" w:cs="Times New Roman"/>
              </w:rPr>
              <w:softHyphen/>
              <w:t>tall)</w:t>
            </w:r>
          </w:p>
        </w:tc>
      </w:tr>
      <w:tr w:rsidR="003C788D" w14:paraId="6CD570E4" w14:textId="77777777">
        <w:tc>
          <w:tcPr>
            <w:tcW w:w="0" w:type="auto"/>
          </w:tcPr>
          <w:p w14:paraId="3F35A68C" w14:textId="77777777" w:rsidR="003C788D" w:rsidRDefault="00AA7D12">
            <w:pPr>
              <w:pStyle w:val="Compact"/>
              <w:spacing w:line="360" w:lineRule="auto"/>
            </w:pPr>
            <w:r>
              <w:rPr>
                <w:rFonts w:eastAsia="Times New Roman" w:cs="Times New Roman"/>
              </w:rPr>
              <w:t>Liten</w:t>
            </w:r>
          </w:p>
        </w:tc>
        <w:tc>
          <w:tcPr>
            <w:tcW w:w="0" w:type="auto"/>
          </w:tcPr>
          <w:p w14:paraId="084322A1" w14:textId="77777777" w:rsidR="003C788D" w:rsidRDefault="00AA7D12">
            <w:pPr>
              <w:pStyle w:val="Compact"/>
              <w:spacing w:line="360" w:lineRule="auto"/>
              <w:jc w:val="right"/>
            </w:pPr>
            <w:r>
              <w:rPr>
                <w:rFonts w:eastAsia="Times New Roman" w:cs="Times New Roman"/>
              </w:rPr>
              <w:t>159</w:t>
            </w:r>
          </w:p>
        </w:tc>
        <w:tc>
          <w:tcPr>
            <w:tcW w:w="0" w:type="auto"/>
          </w:tcPr>
          <w:p w14:paraId="12941ED5" w14:textId="77777777" w:rsidR="003C788D" w:rsidRDefault="00AA7D12">
            <w:pPr>
              <w:pStyle w:val="Compact"/>
              <w:spacing w:line="360" w:lineRule="auto"/>
              <w:jc w:val="right"/>
            </w:pPr>
            <w:r>
              <w:rPr>
                <w:rFonts w:eastAsia="Times New Roman" w:cs="Times New Roman"/>
              </w:rPr>
              <w:t>9 277</w:t>
            </w:r>
          </w:p>
        </w:tc>
        <w:tc>
          <w:tcPr>
            <w:tcW w:w="0" w:type="auto"/>
          </w:tcPr>
          <w:p w14:paraId="576F8886" w14:textId="77777777" w:rsidR="003C788D" w:rsidRDefault="00AA7D12">
            <w:pPr>
              <w:pStyle w:val="Compact"/>
              <w:spacing w:line="360" w:lineRule="auto"/>
              <w:jc w:val="right"/>
            </w:pPr>
            <w:r>
              <w:rPr>
                <w:rFonts w:eastAsia="Times New Roman" w:cs="Times New Roman"/>
              </w:rPr>
              <w:t>0,89</w:t>
            </w:r>
          </w:p>
        </w:tc>
      </w:tr>
      <w:tr w:rsidR="003C788D" w14:paraId="7101599B" w14:textId="77777777">
        <w:tc>
          <w:tcPr>
            <w:tcW w:w="0" w:type="auto"/>
          </w:tcPr>
          <w:p w14:paraId="5358D077" w14:textId="77777777" w:rsidR="003C788D" w:rsidRDefault="00AA7D12">
            <w:pPr>
              <w:pStyle w:val="Compact"/>
              <w:spacing w:line="360" w:lineRule="auto"/>
            </w:pPr>
            <w:r>
              <w:rPr>
                <w:rFonts w:eastAsia="Times New Roman" w:cs="Times New Roman"/>
              </w:rPr>
              <w:t>Mellomstor</w:t>
            </w:r>
          </w:p>
        </w:tc>
        <w:tc>
          <w:tcPr>
            <w:tcW w:w="0" w:type="auto"/>
          </w:tcPr>
          <w:p w14:paraId="114245F7" w14:textId="77777777" w:rsidR="003C788D" w:rsidRDefault="00AA7D12">
            <w:pPr>
              <w:pStyle w:val="Compact"/>
              <w:spacing w:line="360" w:lineRule="auto"/>
              <w:jc w:val="right"/>
            </w:pPr>
            <w:r>
              <w:rPr>
                <w:rFonts w:eastAsia="Times New Roman" w:cs="Times New Roman"/>
              </w:rPr>
              <w:t>113</w:t>
            </w:r>
          </w:p>
        </w:tc>
        <w:tc>
          <w:tcPr>
            <w:tcW w:w="0" w:type="auto"/>
          </w:tcPr>
          <w:p w14:paraId="3682DB50" w14:textId="77777777" w:rsidR="003C788D" w:rsidRDefault="00AA7D12">
            <w:pPr>
              <w:pStyle w:val="Compact"/>
              <w:spacing w:line="360" w:lineRule="auto"/>
              <w:jc w:val="right"/>
            </w:pPr>
            <w:r>
              <w:rPr>
                <w:rFonts w:eastAsia="Times New Roman" w:cs="Times New Roman"/>
              </w:rPr>
              <w:t>9 192</w:t>
            </w:r>
          </w:p>
        </w:tc>
        <w:tc>
          <w:tcPr>
            <w:tcW w:w="0" w:type="auto"/>
          </w:tcPr>
          <w:p w14:paraId="552469F2" w14:textId="77777777" w:rsidR="003C788D" w:rsidRDefault="00AA7D12">
            <w:pPr>
              <w:pStyle w:val="Compact"/>
              <w:spacing w:line="360" w:lineRule="auto"/>
              <w:jc w:val="right"/>
            </w:pPr>
            <w:r>
              <w:rPr>
                <w:rFonts w:eastAsia="Times New Roman" w:cs="Times New Roman"/>
              </w:rPr>
              <w:t>2,13</w:t>
            </w:r>
          </w:p>
        </w:tc>
      </w:tr>
      <w:tr w:rsidR="003C788D" w14:paraId="0DE24418" w14:textId="77777777">
        <w:tc>
          <w:tcPr>
            <w:tcW w:w="0" w:type="auto"/>
          </w:tcPr>
          <w:p w14:paraId="5BD77057" w14:textId="77777777" w:rsidR="003C788D" w:rsidRDefault="00AA7D12">
            <w:pPr>
              <w:pStyle w:val="Compact"/>
              <w:spacing w:line="360" w:lineRule="auto"/>
            </w:pPr>
            <w:r>
              <w:rPr>
                <w:rFonts w:eastAsia="Times New Roman" w:cs="Times New Roman"/>
              </w:rPr>
              <w:t>Stor</w:t>
            </w:r>
          </w:p>
        </w:tc>
        <w:tc>
          <w:tcPr>
            <w:tcW w:w="0" w:type="auto"/>
          </w:tcPr>
          <w:p w14:paraId="72FD9C22" w14:textId="77777777" w:rsidR="003C788D" w:rsidRDefault="00AA7D12">
            <w:pPr>
              <w:pStyle w:val="Compact"/>
              <w:spacing w:line="360" w:lineRule="auto"/>
              <w:jc w:val="right"/>
            </w:pPr>
            <w:r>
              <w:rPr>
                <w:rFonts w:eastAsia="Times New Roman" w:cs="Times New Roman"/>
              </w:rPr>
              <w:t>218</w:t>
            </w:r>
          </w:p>
        </w:tc>
        <w:tc>
          <w:tcPr>
            <w:tcW w:w="0" w:type="auto"/>
          </w:tcPr>
          <w:p w14:paraId="065BBF17" w14:textId="77777777" w:rsidR="003C788D" w:rsidRDefault="00AA7D12">
            <w:pPr>
              <w:pStyle w:val="Compact"/>
              <w:spacing w:line="360" w:lineRule="auto"/>
              <w:jc w:val="right"/>
            </w:pPr>
            <w:r>
              <w:rPr>
                <w:rFonts w:eastAsia="Times New Roman" w:cs="Times New Roman"/>
              </w:rPr>
              <w:t>28 562</w:t>
            </w:r>
          </w:p>
        </w:tc>
        <w:tc>
          <w:tcPr>
            <w:tcW w:w="0" w:type="auto"/>
          </w:tcPr>
          <w:p w14:paraId="08BE76DA" w14:textId="77777777" w:rsidR="003C788D" w:rsidRDefault="00AA7D12">
            <w:pPr>
              <w:pStyle w:val="Compact"/>
              <w:spacing w:line="360" w:lineRule="auto"/>
              <w:jc w:val="right"/>
            </w:pPr>
            <w:r>
              <w:rPr>
                <w:rFonts w:eastAsia="Times New Roman" w:cs="Times New Roman"/>
              </w:rPr>
              <w:t>4,07</w:t>
            </w:r>
          </w:p>
        </w:tc>
      </w:tr>
    </w:tbl>
    <w:p w14:paraId="3C5AF75A" w14:textId="77777777" w:rsidR="003C788D" w:rsidRDefault="00AA7D12">
      <w:pPr>
        <w:pStyle w:val="Brdtekst"/>
        <w:spacing w:line="360" w:lineRule="auto"/>
      </w:pPr>
      <w:r>
        <w:rPr>
          <w:rFonts w:eastAsia="Times New Roman" w:cs="Times New Roman"/>
        </w:rPr>
        <w:t>Stor-kategorien har en MAE som er ca. 3× høyere enn de to andre, hvilket reflekterer at store yachter har større variasjons</w:t>
      </w:r>
      <w:r>
        <w:rPr>
          <w:rFonts w:eastAsia="Times New Roman" w:cs="Times New Roman"/>
        </w:rPr>
        <w:softHyphen/>
        <w:t xml:space="preserve">spenn i absolutte kostnader (P95-fakturaer for Stor-yachter er over 100 000 EUR; for Liten typisk under 15 000 EUR). MAPE-tallene må tolkes forsiktig: 4,07 for Stor betyr </w:t>
      </w:r>
      <w:r>
        <w:rPr>
          <w:rFonts w:eastAsia="Times New Roman" w:cs="Times New Roman"/>
          <w:i/>
          <w:iCs/>
        </w:rPr>
        <w:t>ikke</w:t>
      </w:r>
      <w:r>
        <w:rPr>
          <w:rFonts w:eastAsia="Times New Roman" w:cs="Times New Roman"/>
        </w:rPr>
        <w:t xml:space="preserve"> at modellen bommer med 407 % på typiske Stor-yacht-fakturaer, men at det er noen små Stor-fakturaer (f.eks. en enkelt forsyning på 200 EUR der modellen predikerer 1 000 EUR) som blåser opp prosent</w:t>
      </w:r>
      <w:r>
        <w:rPr>
          <w:rFonts w:eastAsia="Times New Roman" w:cs="Times New Roman"/>
        </w:rPr>
        <w:softHyphen/>
        <w:t>avviket. wMAPE-tallet for hele settet (71,4 %, jf. tabell 8.1) gir et mer rettferdig bilde av relativ feil. Det vesentlige funnet i tabell</w:t>
      </w:r>
      <w:r>
        <w:rPr>
          <w:rFonts w:eastAsia="Times New Roman" w:cs="Times New Roman"/>
        </w:rPr>
        <w:t xml:space="preserve">en er at </w:t>
      </w:r>
      <w:r>
        <w:rPr>
          <w:rFonts w:eastAsia="Times New Roman" w:cs="Times New Roman"/>
          <w:i/>
          <w:iCs/>
        </w:rPr>
        <w:t>absolutt</w:t>
      </w:r>
      <w:r>
        <w:rPr>
          <w:rFonts w:eastAsia="Times New Roman" w:cs="Times New Roman"/>
        </w:rPr>
        <w:t xml:space="preserve"> feil skaleres med fordelingens skala, ikke med systematisk bias mot Stor.</w:t>
      </w:r>
    </w:p>
    <w:p w14:paraId="08D01F1A" w14:textId="77777777" w:rsidR="003C788D" w:rsidRDefault="00AA7D12">
      <w:pPr>
        <w:spacing w:line="360" w:lineRule="auto"/>
      </w:pPr>
      <w:r>
        <w:rPr>
          <w:rFonts w:eastAsia="Times New Roman" w:cs="Times New Roman"/>
        </w:rPr>
        <w:pict w14:anchorId="2C8DB6AC">
          <v:rect id="_x0000_i1034" style="width:0;height:1.5pt" o:hralign="center" o:hrstd="t" o:hr="t"/>
        </w:pict>
      </w:r>
    </w:p>
    <w:p w14:paraId="3345CF09" w14:textId="77777777" w:rsidR="003C788D" w:rsidRDefault="00AA7D12">
      <w:pPr>
        <w:pStyle w:val="Overskrift2"/>
      </w:pPr>
      <w:bookmarkStart w:id="89" w:name="resultat"/>
      <w:bookmarkStart w:id="90" w:name="_Toc230777806"/>
      <w:bookmarkEnd w:id="79"/>
      <w:bookmarkEnd w:id="87"/>
      <w:r>
        <w:t>8. Resultat</w:t>
      </w:r>
      <w:bookmarkEnd w:id="90"/>
    </w:p>
    <w:p w14:paraId="182454A7" w14:textId="77777777" w:rsidR="003C788D" w:rsidRDefault="00AA7D12">
      <w:pPr>
        <w:pStyle w:val="Overskrift3"/>
      </w:pPr>
      <w:bookmarkStart w:id="91" w:name="X9e63db4d73416036d6c4aff3da2d7ddb8b5d91f"/>
      <w:bookmarkStart w:id="92" w:name="_Toc230777807"/>
      <w:r>
        <w:t>8.1 Sammenligning av modeller på valideringssettet</w:t>
      </w:r>
      <w:bookmarkEnd w:id="92"/>
    </w:p>
    <w:p w14:paraId="44D04FFA" w14:textId="77777777" w:rsidR="003C788D" w:rsidRDefault="00AA7D12">
      <w:pPr>
        <w:pStyle w:val="FirstParagraph"/>
        <w:spacing w:line="360" w:lineRule="auto"/>
      </w:pPr>
      <w:r>
        <w:rPr>
          <w:rFonts w:eastAsia="Times New Roman" w:cs="Times New Roman"/>
          <w:b/>
          <w:bCs/>
        </w:rPr>
        <w:t>Tabell 8.1.</w:t>
      </w:r>
      <w:r>
        <w:rPr>
          <w:rFonts w:eastAsia="Times New Roman" w:cs="Times New Roman"/>
        </w:rPr>
        <w:t xml:space="preserve"> viser feil</w:t>
      </w:r>
      <w:r>
        <w:rPr>
          <w:rFonts w:eastAsia="Times New Roman" w:cs="Times New Roman"/>
        </w:rPr>
        <w:softHyphen/>
        <w:t xml:space="preserve">metrikker for alle modeller på </w:t>
      </w:r>
      <w:r>
        <w:rPr>
          <w:rFonts w:eastAsia="Times New Roman" w:cs="Times New Roman"/>
          <w:b/>
          <w:bCs/>
        </w:rPr>
        <w:t>valideringssettet</w:t>
      </w:r>
      <w:r>
        <w:rPr>
          <w:rFonts w:eastAsia="Times New Roman" w:cs="Times New Roman"/>
        </w:rPr>
        <w:t xml:space="preserve"> (2024, 490 transaksjoner), sortert etter MAE. Dette er settet som brukes for </w:t>
      </w:r>
      <w:r>
        <w:rPr>
          <w:rFonts w:eastAsia="Times New Roman" w:cs="Times New Roman"/>
          <w:b/>
          <w:bCs/>
        </w:rPr>
        <w:t>modellseleksjon</w:t>
      </w:r>
      <w:r>
        <w:rPr>
          <w:rFonts w:eastAsia="Times New Roman" w:cs="Times New Roman"/>
        </w:rPr>
        <w:t>. Endelig evaluering på det reserverte testsettet (2025) drøftes i § 8.1.1.</w:t>
      </w:r>
    </w:p>
    <w:tbl>
      <w:tblPr>
        <w:tblStyle w:val="Table"/>
        <w:tblW w:w="0" w:type="auto"/>
        <w:tblLook w:val="0020" w:firstRow="1" w:lastRow="0" w:firstColumn="0" w:lastColumn="0" w:noHBand="0" w:noVBand="0"/>
      </w:tblPr>
      <w:tblGrid>
        <w:gridCol w:w="2533"/>
        <w:gridCol w:w="1450"/>
        <w:gridCol w:w="1570"/>
        <w:gridCol w:w="1303"/>
        <w:gridCol w:w="1476"/>
      </w:tblGrid>
      <w:tr w:rsidR="003C788D" w14:paraId="492ACE9F" w14:textId="77777777" w:rsidTr="003C788D">
        <w:trPr>
          <w:cnfStyle w:val="100000000000" w:firstRow="1" w:lastRow="0" w:firstColumn="0" w:lastColumn="0" w:oddVBand="0" w:evenVBand="0" w:oddHBand="0" w:evenHBand="0" w:firstRowFirstColumn="0" w:firstRowLastColumn="0" w:lastRowFirstColumn="0" w:lastRowLastColumn="0"/>
          <w:tblHeader/>
        </w:trPr>
        <w:tc>
          <w:tcPr>
            <w:tcW w:w="0" w:type="auto"/>
          </w:tcPr>
          <w:p w14:paraId="06990456" w14:textId="77777777" w:rsidR="003C788D" w:rsidRDefault="00AA7D12">
            <w:pPr>
              <w:pStyle w:val="Compact"/>
              <w:spacing w:line="360" w:lineRule="auto"/>
            </w:pPr>
            <w:r>
              <w:rPr>
                <w:rFonts w:eastAsia="Times New Roman" w:cs="Times New Roman"/>
              </w:rPr>
              <w:t>Modell</w:t>
            </w:r>
          </w:p>
        </w:tc>
        <w:tc>
          <w:tcPr>
            <w:tcW w:w="0" w:type="auto"/>
          </w:tcPr>
          <w:p w14:paraId="37481AE7" w14:textId="77777777" w:rsidR="003C788D" w:rsidRDefault="00AA7D12">
            <w:pPr>
              <w:pStyle w:val="Compact"/>
              <w:spacing w:line="360" w:lineRule="auto"/>
              <w:jc w:val="right"/>
            </w:pPr>
            <w:r>
              <w:rPr>
                <w:rFonts w:eastAsia="Times New Roman" w:cs="Times New Roman"/>
              </w:rPr>
              <w:t>MAE (EUR)</w:t>
            </w:r>
          </w:p>
        </w:tc>
        <w:tc>
          <w:tcPr>
            <w:tcW w:w="0" w:type="auto"/>
          </w:tcPr>
          <w:p w14:paraId="643CEA94" w14:textId="77777777" w:rsidR="003C788D" w:rsidRDefault="00AA7D12">
            <w:pPr>
              <w:pStyle w:val="Compact"/>
              <w:spacing w:line="360" w:lineRule="auto"/>
              <w:jc w:val="right"/>
            </w:pPr>
            <w:r>
              <w:rPr>
                <w:rFonts w:eastAsia="Times New Roman" w:cs="Times New Roman"/>
              </w:rPr>
              <w:t>RMSE (EUR)</w:t>
            </w:r>
          </w:p>
        </w:tc>
        <w:tc>
          <w:tcPr>
            <w:tcW w:w="0" w:type="auto"/>
          </w:tcPr>
          <w:p w14:paraId="100027BB" w14:textId="77777777" w:rsidR="003C788D" w:rsidRDefault="00AA7D12">
            <w:pPr>
              <w:pStyle w:val="Compact"/>
              <w:spacing w:line="360" w:lineRule="auto"/>
              <w:jc w:val="right"/>
            </w:pPr>
            <w:r>
              <w:rPr>
                <w:rFonts w:eastAsia="Times New Roman" w:cs="Times New Roman"/>
              </w:rPr>
              <w:t>MAPE (%)</w:t>
            </w:r>
          </w:p>
        </w:tc>
        <w:tc>
          <w:tcPr>
            <w:tcW w:w="0" w:type="auto"/>
          </w:tcPr>
          <w:p w14:paraId="7100DCFD" w14:textId="77777777" w:rsidR="003C788D" w:rsidRDefault="00AA7D12">
            <w:pPr>
              <w:pStyle w:val="Compact"/>
              <w:spacing w:line="360" w:lineRule="auto"/>
              <w:jc w:val="right"/>
            </w:pPr>
            <w:r>
              <w:rPr>
                <w:rFonts w:eastAsia="Times New Roman" w:cs="Times New Roman"/>
              </w:rPr>
              <w:t>wMAPE (%)</w:t>
            </w:r>
          </w:p>
        </w:tc>
      </w:tr>
      <w:tr w:rsidR="003C788D" w14:paraId="2C55B48A" w14:textId="77777777">
        <w:tc>
          <w:tcPr>
            <w:tcW w:w="0" w:type="auto"/>
          </w:tcPr>
          <w:p w14:paraId="0A457538" w14:textId="77777777" w:rsidR="003C788D" w:rsidRDefault="00AA7D12">
            <w:pPr>
              <w:pStyle w:val="Compact"/>
              <w:spacing w:line="360" w:lineRule="auto"/>
            </w:pPr>
            <w:r>
              <w:rPr>
                <w:rFonts w:eastAsia="Times New Roman" w:cs="Times New Roman"/>
              </w:rPr>
              <w:t>LightGBM (base)</w:t>
            </w:r>
          </w:p>
        </w:tc>
        <w:tc>
          <w:tcPr>
            <w:tcW w:w="0" w:type="auto"/>
          </w:tcPr>
          <w:p w14:paraId="25AE9573" w14:textId="77777777" w:rsidR="003C788D" w:rsidRDefault="00AA7D12">
            <w:pPr>
              <w:pStyle w:val="Compact"/>
              <w:spacing w:line="360" w:lineRule="auto"/>
              <w:jc w:val="right"/>
            </w:pPr>
            <w:r>
              <w:rPr>
                <w:rFonts w:eastAsia="Times New Roman" w:cs="Times New Roman"/>
                <w:b/>
                <w:bCs/>
              </w:rPr>
              <w:t>17 317</w:t>
            </w:r>
          </w:p>
        </w:tc>
        <w:tc>
          <w:tcPr>
            <w:tcW w:w="0" w:type="auto"/>
          </w:tcPr>
          <w:p w14:paraId="35A827C8" w14:textId="77777777" w:rsidR="003C788D" w:rsidRDefault="00AA7D12">
            <w:pPr>
              <w:pStyle w:val="Compact"/>
              <w:spacing w:line="360" w:lineRule="auto"/>
              <w:jc w:val="right"/>
            </w:pPr>
            <w:r>
              <w:rPr>
                <w:rFonts w:eastAsia="Times New Roman" w:cs="Times New Roman"/>
              </w:rPr>
              <w:t>54 476</w:t>
            </w:r>
          </w:p>
        </w:tc>
        <w:tc>
          <w:tcPr>
            <w:tcW w:w="0" w:type="auto"/>
          </w:tcPr>
          <w:p w14:paraId="0F0AF6AE" w14:textId="77777777" w:rsidR="003C788D" w:rsidRDefault="00AA7D12">
            <w:pPr>
              <w:pStyle w:val="Compact"/>
              <w:spacing w:line="360" w:lineRule="auto"/>
              <w:jc w:val="right"/>
            </w:pPr>
            <w:r>
              <w:rPr>
                <w:rFonts w:eastAsia="Times New Roman" w:cs="Times New Roman"/>
              </w:rPr>
              <w:t>180,2</w:t>
            </w:r>
          </w:p>
        </w:tc>
        <w:tc>
          <w:tcPr>
            <w:tcW w:w="0" w:type="auto"/>
          </w:tcPr>
          <w:p w14:paraId="32A62E94" w14:textId="77777777" w:rsidR="003C788D" w:rsidRDefault="00AA7D12">
            <w:pPr>
              <w:pStyle w:val="Compact"/>
              <w:spacing w:line="360" w:lineRule="auto"/>
              <w:jc w:val="right"/>
            </w:pPr>
            <w:r>
              <w:rPr>
                <w:rFonts w:eastAsia="Times New Roman" w:cs="Times New Roman"/>
              </w:rPr>
              <w:t>71,3</w:t>
            </w:r>
          </w:p>
        </w:tc>
      </w:tr>
      <w:tr w:rsidR="003C788D" w14:paraId="02F8A9B2" w14:textId="77777777">
        <w:tc>
          <w:tcPr>
            <w:tcW w:w="0" w:type="auto"/>
          </w:tcPr>
          <w:p w14:paraId="6EFBE4A0" w14:textId="77777777" w:rsidR="003C788D" w:rsidRDefault="00AA7D12">
            <w:pPr>
              <w:pStyle w:val="Compact"/>
              <w:spacing w:line="360" w:lineRule="auto"/>
            </w:pPr>
            <w:r>
              <w:rPr>
                <w:rFonts w:eastAsia="Times New Roman" w:cs="Times New Roman"/>
                <w:b/>
                <w:bCs/>
              </w:rPr>
              <w:t>Ensemble (LGB + CB)</w:t>
            </w:r>
          </w:p>
        </w:tc>
        <w:tc>
          <w:tcPr>
            <w:tcW w:w="0" w:type="auto"/>
          </w:tcPr>
          <w:p w14:paraId="507ECDCD" w14:textId="77777777" w:rsidR="003C788D" w:rsidRDefault="00AA7D12">
            <w:pPr>
              <w:pStyle w:val="Compact"/>
              <w:spacing w:line="360" w:lineRule="auto"/>
              <w:jc w:val="right"/>
            </w:pPr>
            <w:r>
              <w:rPr>
                <w:rFonts w:eastAsia="Times New Roman" w:cs="Times New Roman"/>
              </w:rPr>
              <w:t>17 350</w:t>
            </w:r>
          </w:p>
        </w:tc>
        <w:tc>
          <w:tcPr>
            <w:tcW w:w="0" w:type="auto"/>
          </w:tcPr>
          <w:p w14:paraId="2BAA1F18" w14:textId="77777777" w:rsidR="003C788D" w:rsidRDefault="00AA7D12">
            <w:pPr>
              <w:pStyle w:val="Compact"/>
              <w:spacing w:line="360" w:lineRule="auto"/>
              <w:jc w:val="right"/>
            </w:pPr>
            <w:r>
              <w:rPr>
                <w:rFonts w:eastAsia="Times New Roman" w:cs="Times New Roman"/>
              </w:rPr>
              <w:t>55 490</w:t>
            </w:r>
          </w:p>
        </w:tc>
        <w:tc>
          <w:tcPr>
            <w:tcW w:w="0" w:type="auto"/>
          </w:tcPr>
          <w:p w14:paraId="3877AB98" w14:textId="77777777" w:rsidR="003C788D" w:rsidRDefault="00AA7D12">
            <w:pPr>
              <w:pStyle w:val="Compact"/>
              <w:spacing w:line="360" w:lineRule="auto"/>
              <w:jc w:val="right"/>
            </w:pPr>
            <w:r>
              <w:rPr>
                <w:rFonts w:eastAsia="Times New Roman" w:cs="Times New Roman"/>
              </w:rPr>
              <w:t>168,3</w:t>
            </w:r>
          </w:p>
        </w:tc>
        <w:tc>
          <w:tcPr>
            <w:tcW w:w="0" w:type="auto"/>
          </w:tcPr>
          <w:p w14:paraId="61FEB1D2" w14:textId="77777777" w:rsidR="003C788D" w:rsidRDefault="00AA7D12">
            <w:pPr>
              <w:pStyle w:val="Compact"/>
              <w:spacing w:line="360" w:lineRule="auto"/>
              <w:jc w:val="right"/>
            </w:pPr>
            <w:r>
              <w:rPr>
                <w:rFonts w:eastAsia="Times New Roman" w:cs="Times New Roman"/>
                <w:b/>
                <w:bCs/>
              </w:rPr>
              <w:t>71,4</w:t>
            </w:r>
          </w:p>
        </w:tc>
      </w:tr>
      <w:tr w:rsidR="003C788D" w14:paraId="2E7C667F" w14:textId="77777777">
        <w:tc>
          <w:tcPr>
            <w:tcW w:w="0" w:type="auto"/>
          </w:tcPr>
          <w:p w14:paraId="1892D46E" w14:textId="77777777" w:rsidR="003C788D" w:rsidRDefault="00AA7D12">
            <w:pPr>
              <w:pStyle w:val="Compact"/>
              <w:spacing w:line="360" w:lineRule="auto"/>
            </w:pPr>
            <w:r>
              <w:rPr>
                <w:rFonts w:eastAsia="Times New Roman" w:cs="Times New Roman"/>
              </w:rPr>
              <w:t>CatBoost</w:t>
            </w:r>
          </w:p>
        </w:tc>
        <w:tc>
          <w:tcPr>
            <w:tcW w:w="0" w:type="auto"/>
          </w:tcPr>
          <w:p w14:paraId="53EC2D5E" w14:textId="77777777" w:rsidR="003C788D" w:rsidRDefault="00AA7D12">
            <w:pPr>
              <w:pStyle w:val="Compact"/>
              <w:spacing w:line="360" w:lineRule="auto"/>
              <w:jc w:val="right"/>
            </w:pPr>
            <w:r>
              <w:rPr>
                <w:rFonts w:eastAsia="Times New Roman" w:cs="Times New Roman"/>
              </w:rPr>
              <w:t>17 404</w:t>
            </w:r>
          </w:p>
        </w:tc>
        <w:tc>
          <w:tcPr>
            <w:tcW w:w="0" w:type="auto"/>
          </w:tcPr>
          <w:p w14:paraId="269562D7" w14:textId="77777777" w:rsidR="003C788D" w:rsidRDefault="00AA7D12">
            <w:pPr>
              <w:pStyle w:val="Compact"/>
              <w:spacing w:line="360" w:lineRule="auto"/>
              <w:jc w:val="right"/>
            </w:pPr>
            <w:r>
              <w:rPr>
                <w:rFonts w:eastAsia="Times New Roman" w:cs="Times New Roman"/>
              </w:rPr>
              <w:t>55 672</w:t>
            </w:r>
          </w:p>
        </w:tc>
        <w:tc>
          <w:tcPr>
            <w:tcW w:w="0" w:type="auto"/>
          </w:tcPr>
          <w:p w14:paraId="4BFD96F7" w14:textId="77777777" w:rsidR="003C788D" w:rsidRDefault="00AA7D12">
            <w:pPr>
              <w:pStyle w:val="Compact"/>
              <w:spacing w:line="360" w:lineRule="auto"/>
              <w:jc w:val="right"/>
            </w:pPr>
            <w:r>
              <w:rPr>
                <w:rFonts w:eastAsia="Times New Roman" w:cs="Times New Roman"/>
              </w:rPr>
              <w:t>174,1</w:t>
            </w:r>
          </w:p>
        </w:tc>
        <w:tc>
          <w:tcPr>
            <w:tcW w:w="0" w:type="auto"/>
          </w:tcPr>
          <w:p w14:paraId="5A9558CC" w14:textId="77777777" w:rsidR="003C788D" w:rsidRDefault="00AA7D12">
            <w:pPr>
              <w:pStyle w:val="Compact"/>
              <w:spacing w:line="360" w:lineRule="auto"/>
              <w:jc w:val="right"/>
            </w:pPr>
            <w:r>
              <w:rPr>
                <w:rFonts w:eastAsia="Times New Roman" w:cs="Times New Roman"/>
              </w:rPr>
              <w:t>71,7</w:t>
            </w:r>
          </w:p>
        </w:tc>
      </w:tr>
      <w:tr w:rsidR="003C788D" w14:paraId="347B106E" w14:textId="77777777">
        <w:tc>
          <w:tcPr>
            <w:tcW w:w="0" w:type="auto"/>
          </w:tcPr>
          <w:p w14:paraId="7574EE8D" w14:textId="77777777" w:rsidR="003C788D" w:rsidRDefault="00AA7D12">
            <w:pPr>
              <w:pStyle w:val="Compact"/>
              <w:spacing w:line="360" w:lineRule="auto"/>
            </w:pPr>
            <w:r>
              <w:rPr>
                <w:rFonts w:eastAsia="Times New Roman" w:cs="Times New Roman"/>
              </w:rPr>
              <w:t>LightGBM (tunet)</w:t>
            </w:r>
          </w:p>
        </w:tc>
        <w:tc>
          <w:tcPr>
            <w:tcW w:w="0" w:type="auto"/>
          </w:tcPr>
          <w:p w14:paraId="21F07DF4" w14:textId="77777777" w:rsidR="003C788D" w:rsidRDefault="00AA7D12">
            <w:pPr>
              <w:pStyle w:val="Compact"/>
              <w:spacing w:line="360" w:lineRule="auto"/>
              <w:jc w:val="right"/>
            </w:pPr>
            <w:r>
              <w:rPr>
                <w:rFonts w:eastAsia="Times New Roman" w:cs="Times New Roman"/>
              </w:rPr>
              <w:t>17 837</w:t>
            </w:r>
          </w:p>
        </w:tc>
        <w:tc>
          <w:tcPr>
            <w:tcW w:w="0" w:type="auto"/>
          </w:tcPr>
          <w:p w14:paraId="221CAE51" w14:textId="77777777" w:rsidR="003C788D" w:rsidRDefault="00AA7D12">
            <w:pPr>
              <w:pStyle w:val="Compact"/>
              <w:spacing w:line="360" w:lineRule="auto"/>
              <w:jc w:val="right"/>
            </w:pPr>
            <w:r>
              <w:rPr>
                <w:rFonts w:eastAsia="Times New Roman" w:cs="Times New Roman"/>
                <w:b/>
                <w:bCs/>
              </w:rPr>
              <w:t>55 141</w:t>
            </w:r>
          </w:p>
        </w:tc>
        <w:tc>
          <w:tcPr>
            <w:tcW w:w="0" w:type="auto"/>
          </w:tcPr>
          <w:p w14:paraId="41582780" w14:textId="77777777" w:rsidR="003C788D" w:rsidRDefault="00AA7D12">
            <w:pPr>
              <w:pStyle w:val="Compact"/>
              <w:spacing w:line="360" w:lineRule="auto"/>
              <w:jc w:val="right"/>
            </w:pPr>
            <w:r>
              <w:rPr>
                <w:rFonts w:eastAsia="Times New Roman" w:cs="Times New Roman"/>
              </w:rPr>
              <w:t>168,9</w:t>
            </w:r>
          </w:p>
        </w:tc>
        <w:tc>
          <w:tcPr>
            <w:tcW w:w="0" w:type="auto"/>
          </w:tcPr>
          <w:p w14:paraId="6DF03DAD" w14:textId="77777777" w:rsidR="003C788D" w:rsidRDefault="00AA7D12">
            <w:pPr>
              <w:pStyle w:val="Compact"/>
              <w:spacing w:line="360" w:lineRule="auto"/>
              <w:jc w:val="right"/>
            </w:pPr>
            <w:r>
              <w:rPr>
                <w:rFonts w:eastAsia="Times New Roman" w:cs="Times New Roman"/>
              </w:rPr>
              <w:t>73,4</w:t>
            </w:r>
          </w:p>
        </w:tc>
      </w:tr>
      <w:tr w:rsidR="003C788D" w14:paraId="16081457" w14:textId="77777777">
        <w:tc>
          <w:tcPr>
            <w:tcW w:w="0" w:type="auto"/>
          </w:tcPr>
          <w:p w14:paraId="70322C17" w14:textId="77777777" w:rsidR="003C788D" w:rsidRDefault="00AA7D12">
            <w:pPr>
              <w:pStyle w:val="Compact"/>
              <w:spacing w:line="360" w:lineRule="auto"/>
            </w:pPr>
            <w:r>
              <w:rPr>
                <w:rFonts w:eastAsia="Times New Roman" w:cs="Times New Roman"/>
              </w:rPr>
              <w:t>Ridge</w:t>
            </w:r>
          </w:p>
        </w:tc>
        <w:tc>
          <w:tcPr>
            <w:tcW w:w="0" w:type="auto"/>
          </w:tcPr>
          <w:p w14:paraId="4FD27048" w14:textId="77777777" w:rsidR="003C788D" w:rsidRDefault="00AA7D12">
            <w:pPr>
              <w:pStyle w:val="Compact"/>
              <w:spacing w:line="360" w:lineRule="auto"/>
              <w:jc w:val="right"/>
            </w:pPr>
            <w:r>
              <w:rPr>
                <w:rFonts w:eastAsia="Times New Roman" w:cs="Times New Roman"/>
              </w:rPr>
              <w:t>18 251</w:t>
            </w:r>
          </w:p>
        </w:tc>
        <w:tc>
          <w:tcPr>
            <w:tcW w:w="0" w:type="auto"/>
          </w:tcPr>
          <w:p w14:paraId="572A52CC" w14:textId="77777777" w:rsidR="003C788D" w:rsidRDefault="00AA7D12">
            <w:pPr>
              <w:pStyle w:val="Compact"/>
              <w:spacing w:line="360" w:lineRule="auto"/>
              <w:jc w:val="right"/>
            </w:pPr>
            <w:r>
              <w:rPr>
                <w:rFonts w:eastAsia="Times New Roman" w:cs="Times New Roman"/>
              </w:rPr>
              <w:t>55 842</w:t>
            </w:r>
          </w:p>
        </w:tc>
        <w:tc>
          <w:tcPr>
            <w:tcW w:w="0" w:type="auto"/>
          </w:tcPr>
          <w:p w14:paraId="0DB73162" w14:textId="77777777" w:rsidR="003C788D" w:rsidRDefault="00AA7D12">
            <w:pPr>
              <w:pStyle w:val="Compact"/>
              <w:spacing w:line="360" w:lineRule="auto"/>
              <w:jc w:val="right"/>
            </w:pPr>
            <w:r>
              <w:rPr>
                <w:rFonts w:eastAsia="Times New Roman" w:cs="Times New Roman"/>
                <w:b/>
                <w:bCs/>
              </w:rPr>
              <w:t>152,7</w:t>
            </w:r>
          </w:p>
        </w:tc>
        <w:tc>
          <w:tcPr>
            <w:tcW w:w="0" w:type="auto"/>
          </w:tcPr>
          <w:p w14:paraId="47EE24D7" w14:textId="77777777" w:rsidR="003C788D" w:rsidRDefault="00AA7D12">
            <w:pPr>
              <w:pStyle w:val="Compact"/>
              <w:spacing w:line="360" w:lineRule="auto"/>
              <w:jc w:val="right"/>
            </w:pPr>
            <w:r>
              <w:rPr>
                <w:rFonts w:eastAsia="Times New Roman" w:cs="Times New Roman"/>
              </w:rPr>
              <w:t>75,1</w:t>
            </w:r>
          </w:p>
        </w:tc>
      </w:tr>
      <w:tr w:rsidR="003C788D" w14:paraId="72676278" w14:textId="77777777">
        <w:tc>
          <w:tcPr>
            <w:tcW w:w="0" w:type="auto"/>
          </w:tcPr>
          <w:p w14:paraId="4F0104FA" w14:textId="77777777" w:rsidR="003C788D" w:rsidRDefault="00AA7D12">
            <w:pPr>
              <w:pStyle w:val="Compact"/>
              <w:spacing w:line="360" w:lineRule="auto"/>
            </w:pPr>
            <w:r>
              <w:rPr>
                <w:rFonts w:eastAsia="Times New Roman" w:cs="Times New Roman"/>
              </w:rPr>
              <w:t>Median</w:t>
            </w:r>
            <w:r>
              <w:rPr>
                <w:rFonts w:eastAsia="Times New Roman" w:cs="Times New Roman"/>
              </w:rPr>
              <w:softHyphen/>
              <w:t>baseline</w:t>
            </w:r>
          </w:p>
        </w:tc>
        <w:tc>
          <w:tcPr>
            <w:tcW w:w="0" w:type="auto"/>
          </w:tcPr>
          <w:p w14:paraId="7528CD93" w14:textId="77777777" w:rsidR="003C788D" w:rsidRDefault="00AA7D12">
            <w:pPr>
              <w:pStyle w:val="Compact"/>
              <w:spacing w:line="360" w:lineRule="auto"/>
              <w:jc w:val="right"/>
            </w:pPr>
            <w:r>
              <w:rPr>
                <w:rFonts w:eastAsia="Times New Roman" w:cs="Times New Roman"/>
              </w:rPr>
              <w:t>21 800</w:t>
            </w:r>
          </w:p>
        </w:tc>
        <w:tc>
          <w:tcPr>
            <w:tcW w:w="0" w:type="auto"/>
          </w:tcPr>
          <w:p w14:paraId="396369AD" w14:textId="77777777" w:rsidR="003C788D" w:rsidRDefault="00AA7D12">
            <w:pPr>
              <w:pStyle w:val="Compact"/>
              <w:spacing w:line="360" w:lineRule="auto"/>
              <w:jc w:val="right"/>
            </w:pPr>
            <w:r>
              <w:rPr>
                <w:rFonts w:eastAsia="Times New Roman" w:cs="Times New Roman"/>
              </w:rPr>
              <w:t>60 128</w:t>
            </w:r>
          </w:p>
        </w:tc>
        <w:tc>
          <w:tcPr>
            <w:tcW w:w="0" w:type="auto"/>
          </w:tcPr>
          <w:p w14:paraId="35D9F3A1" w14:textId="77777777" w:rsidR="003C788D" w:rsidRDefault="00AA7D12">
            <w:pPr>
              <w:pStyle w:val="Compact"/>
              <w:spacing w:line="360" w:lineRule="auto"/>
              <w:jc w:val="right"/>
            </w:pPr>
            <w:r>
              <w:rPr>
                <w:rFonts w:eastAsia="Times New Roman" w:cs="Times New Roman"/>
              </w:rPr>
              <w:t>300,8</w:t>
            </w:r>
          </w:p>
        </w:tc>
        <w:tc>
          <w:tcPr>
            <w:tcW w:w="0" w:type="auto"/>
          </w:tcPr>
          <w:p w14:paraId="056442E8" w14:textId="77777777" w:rsidR="003C788D" w:rsidRDefault="00AA7D12">
            <w:pPr>
              <w:pStyle w:val="Compact"/>
              <w:spacing w:line="360" w:lineRule="auto"/>
              <w:jc w:val="right"/>
            </w:pPr>
            <w:r>
              <w:rPr>
                <w:rFonts w:eastAsia="Times New Roman" w:cs="Times New Roman"/>
              </w:rPr>
              <w:t>89,8</w:t>
            </w:r>
          </w:p>
        </w:tc>
      </w:tr>
    </w:tbl>
    <w:p w14:paraId="03398B89" w14:textId="77777777" w:rsidR="003C788D" w:rsidRDefault="00AA7D12">
      <w:pPr>
        <w:pStyle w:val="Brdtekst"/>
        <w:spacing w:line="360" w:lineRule="auto"/>
      </w:pPr>
      <w:r>
        <w:rPr>
          <w:rFonts w:eastAsia="Times New Roman" w:cs="Times New Roman"/>
          <w:i/>
          <w:iCs/>
        </w:rPr>
        <w:t>Kilde:</w:t>
      </w:r>
      <w:r>
        <w:rPr>
          <w:rFonts w:eastAsia="Times New Roman" w:cs="Times New Roman"/>
        </w:rPr>
        <w:t xml:space="preserve"> </w:t>
      </w:r>
      <w:r>
        <w:rPr>
          <w:rStyle w:val="VerbatimChar"/>
          <w:rFonts w:ascii="Times New Roman" w:eastAsia="Times New Roman" w:hAnsi="Times New Roman" w:cs="Times New Roman"/>
          <w:sz w:val="24"/>
        </w:rPr>
        <w:t>013 fase 3 - review/artifacts/metrics.csv</w:t>
      </w:r>
      <w:r>
        <w:rPr>
          <w:rFonts w:eastAsia="Times New Roman" w:cs="Times New Roman"/>
        </w:rPr>
        <w:t xml:space="preserve"> (MAE/RMSE/MAPE) og </w:t>
      </w:r>
      <w:r>
        <w:rPr>
          <w:rStyle w:val="VerbatimChar"/>
          <w:rFonts w:ascii="Times New Roman" w:eastAsia="Times New Roman" w:hAnsi="Times New Roman" w:cs="Times New Roman"/>
          <w:sz w:val="24"/>
        </w:rPr>
        <w:t>metrics_with_wmape.csv</w:t>
      </w:r>
      <w:r>
        <w:rPr>
          <w:rFonts w:eastAsia="Times New Roman" w:cs="Times New Roman"/>
        </w:rPr>
        <w:t xml:space="preserve"> </w:t>
      </w:r>
      <w:r>
        <w:rPr>
          <w:rFonts w:eastAsia="Times New Roman" w:cs="Times New Roman"/>
        </w:rPr>
        <w:t xml:space="preserve">(wMAPE = Σǀerrǀ/Σactual = MAE/mean(actual), basert på mean(actual) = 24 289 EUR på val=2024). Tallene er i EUR fordi de er beregnet direkte fra modellens log-transformerte output, som er trent på </w:t>
      </w:r>
      <w:r>
        <w:rPr>
          <w:rStyle w:val="VerbatimChar"/>
          <w:rFonts w:ascii="Times New Roman" w:eastAsia="Times New Roman" w:hAnsi="Times New Roman" w:cs="Times New Roman"/>
          <w:sz w:val="24"/>
        </w:rPr>
        <w:t>final_charge</w:t>
      </w:r>
      <w:r>
        <w:rPr>
          <w:rFonts w:eastAsia="Times New Roman" w:cs="Times New Roman"/>
        </w:rPr>
        <w:t xml:space="preserve"> i EUR (jf. § 1.3). wMAPE er valutauavhengig (forholds</w:t>
      </w:r>
      <w:r>
        <w:rPr>
          <w:rFonts w:eastAsia="Times New Roman" w:cs="Times New Roman"/>
        </w:rPr>
        <w:softHyphen/>
        <w:t>tall) og påvirkes ikke av enhets</w:t>
      </w:r>
      <w:r>
        <w:rPr>
          <w:rFonts w:eastAsia="Times New Roman" w:cs="Times New Roman"/>
        </w:rPr>
        <w:softHyphen/>
        <w:t>valget.</w:t>
      </w:r>
    </w:p>
    <w:p w14:paraId="51AAB6A6" w14:textId="77777777" w:rsidR="003C788D" w:rsidRDefault="00AA7D12">
      <w:pPr>
        <w:pStyle w:val="Brdtekst"/>
        <w:spacing w:line="360" w:lineRule="auto"/>
      </w:pPr>
      <w:r>
        <w:rPr>
          <w:rFonts w:eastAsia="Times New Roman" w:cs="Times New Roman"/>
        </w:rPr>
        <w:t>Ensemble</w:t>
      </w:r>
      <w:r>
        <w:rPr>
          <w:rFonts w:eastAsia="Times New Roman" w:cs="Times New Roman"/>
        </w:rPr>
        <w:softHyphen/>
        <w:t xml:space="preserve">modellen reduserer MAE med </w:t>
      </w:r>
      <w:r>
        <w:rPr>
          <w:rFonts w:eastAsia="Times New Roman" w:cs="Times New Roman"/>
          <w:b/>
          <w:bCs/>
        </w:rPr>
        <w:t>20 %</w:t>
      </w:r>
      <w:r>
        <w:rPr>
          <w:rFonts w:eastAsia="Times New Roman" w:cs="Times New Roman"/>
        </w:rPr>
        <w:t xml:space="preserve"> i forhold til median</w:t>
      </w:r>
      <w:r>
        <w:rPr>
          <w:rFonts w:eastAsia="Times New Roman" w:cs="Times New Roman"/>
        </w:rPr>
        <w:softHyphen/>
        <w:t xml:space="preserve">baseline og </w:t>
      </w:r>
      <w:r>
        <w:rPr>
          <w:rFonts w:eastAsia="Times New Roman" w:cs="Times New Roman"/>
          <w:b/>
          <w:bCs/>
        </w:rPr>
        <w:t>5 %</w:t>
      </w:r>
      <w:r>
        <w:rPr>
          <w:rFonts w:eastAsia="Times New Roman" w:cs="Times New Roman"/>
        </w:rPr>
        <w:t xml:space="preserve"> i forhold til ridge. På valideringssettet er LightGBM (base) og ensemble</w:t>
      </w:r>
      <w:r>
        <w:rPr>
          <w:rFonts w:eastAsia="Times New Roman" w:cs="Times New Roman"/>
        </w:rPr>
        <w:softHyphen/>
        <w:t>modellen praktisk talt like (33 EUR forskjell, eller 0,2 % MAE), og forskjellen er innenfor støy</w:t>
      </w:r>
      <w:r>
        <w:rPr>
          <w:rFonts w:eastAsia="Times New Roman" w:cs="Times New Roman"/>
        </w:rPr>
        <w:softHyphen/>
        <w:t>nivået på 490 transaksjoner. Ensemble</w:t>
      </w:r>
      <w:r>
        <w:rPr>
          <w:rFonts w:eastAsia="Times New Roman" w:cs="Times New Roman"/>
        </w:rPr>
        <w:softHyphen/>
        <w:t>modellen velges likevel som produksjons</w:t>
      </w:r>
      <w:r>
        <w:rPr>
          <w:rFonts w:eastAsia="Times New Roman" w:cs="Times New Roman"/>
        </w:rPr>
        <w:softHyphen/>
        <w:t>modell fordi den reduserer varians på tvers av kvantiler/folder og er mer robust mot at en av basis</w:t>
      </w:r>
      <w:r>
        <w:rPr>
          <w:rFonts w:eastAsia="Times New Roman" w:cs="Times New Roman"/>
        </w:rPr>
        <w:softHyphen/>
        <w:t>modellene skulle drifte ved re-trening; at den også oppnår lavest MAPE (168,3 %) er et sekundæ</w:t>
      </w:r>
      <w:r>
        <w:rPr>
          <w:rFonts w:eastAsia="Times New Roman" w:cs="Times New Roman"/>
        </w:rPr>
        <w:t>rt argument, siden MAE i EUR er den primære operasjonelle metrikken (jf. § 9.4).</w:t>
      </w:r>
    </w:p>
    <w:p w14:paraId="1D2DDAC5" w14:textId="77777777" w:rsidR="003C788D" w:rsidRDefault="00AA7D12">
      <w:pPr>
        <w:pStyle w:val="Brdtekst"/>
        <w:spacing w:line="360" w:lineRule="auto"/>
      </w:pPr>
      <w:r>
        <w:rPr>
          <w:rFonts w:eastAsia="Times New Roman" w:cs="Times New Roman"/>
        </w:rPr>
        <w:t>Ridge-modellen har paradoksalt nok lavest MAPE (152,7 %) til tross for høyest MAE blant ML-modellene. Forklaringen er at MAPE vekter relative feil: Ridge underestimerer mindre på de mange små transaksjonene (der prosent</w:t>
      </w:r>
      <w:r>
        <w:rPr>
          <w:rFonts w:eastAsia="Times New Roman" w:cs="Times New Roman"/>
        </w:rPr>
        <w:softHyphen/>
        <w:t xml:space="preserve">avviket dominerer), men bommer mer i absolutte beløp på de store transaksjonene som MAE fanger opp. </w:t>
      </w:r>
      <w:r>
        <w:rPr>
          <w:rFonts w:eastAsia="Times New Roman" w:cs="Times New Roman"/>
          <w:b/>
          <w:bCs/>
        </w:rPr>
        <w:t>wMAPE (volum</w:t>
      </w:r>
      <w:r>
        <w:rPr>
          <w:rFonts w:eastAsia="Times New Roman" w:cs="Times New Roman"/>
          <w:b/>
          <w:bCs/>
        </w:rPr>
        <w:softHyphen/>
        <w:t>vektet MAPE)</w:t>
      </w:r>
      <w:r>
        <w:rPr>
          <w:rFonts w:eastAsia="Times New Roman" w:cs="Times New Roman"/>
        </w:rPr>
        <w:t xml:space="preserve"> løser denne skjev</w:t>
      </w:r>
      <w:r>
        <w:rPr>
          <w:rFonts w:eastAsia="Times New Roman" w:cs="Times New Roman"/>
        </w:rPr>
        <w:softHyphen/>
        <w:t>heten ved å vekte feilen etter beløp i stedet for antall: målt på wMAPE er Ensemble best (71,4 %), Ridge dårligst blant ML-modellene (75,1 %), og median</w:t>
      </w:r>
      <w:r>
        <w:rPr>
          <w:rFonts w:eastAsia="Times New Roman" w:cs="Times New Roman"/>
        </w:rPr>
        <w:softHyphen/>
        <w:t>baseline 89,8 %. Differansen mellom MAPE (168,3 %) og wMAPE (71,4 %) for ensemble</w:t>
      </w:r>
      <w:r>
        <w:rPr>
          <w:rFonts w:eastAsia="Times New Roman" w:cs="Times New Roman"/>
        </w:rPr>
        <w:softHyphen/>
        <w:t>modellen illustrerer hvor sterkt små transaksjoner blåser opp den uveide MAPE-en.</w:t>
      </w:r>
    </w:p>
    <w:p w14:paraId="032E8798" w14:textId="77777777" w:rsidR="003C788D" w:rsidRDefault="00AA7D12">
      <w:pPr>
        <w:pStyle w:val="Brdtekst"/>
        <w:spacing w:line="360" w:lineRule="auto"/>
      </w:pPr>
      <w:r>
        <w:rPr>
          <w:rFonts w:eastAsia="Times New Roman" w:cs="Times New Roman"/>
          <w:b/>
          <w:bCs/>
        </w:rPr>
        <w:t>Statistisk signifikans.</w:t>
      </w:r>
      <w:r>
        <w:rPr>
          <w:rFonts w:eastAsia="Times New Roman" w:cs="Times New Roman"/>
        </w:rPr>
        <w:t xml:space="preserve"> Forskjellen mellom LightGBM (base) og Ensemble på MAE er 33 EUR (0,19 %) — for å vurdere om dette er reell forskjell eller støy, ble det beregnet et 95 % bootstrap</w:t>
      </w:r>
      <w:r>
        <w:rPr>
          <w:rFonts w:eastAsia="Times New Roman" w:cs="Times New Roman"/>
        </w:rPr>
        <w:softHyphen/>
        <w:t>konfidens</w:t>
      </w:r>
      <w:r>
        <w:rPr>
          <w:rFonts w:eastAsia="Times New Roman" w:cs="Times New Roman"/>
        </w:rPr>
        <w:softHyphen/>
        <w:t xml:space="preserve">intervall for </w:t>
      </w:r>
      <m:oMath>
        <m:r>
          <m:rPr>
            <m:sty m:val="p"/>
          </m:rPr>
          <w:rPr>
            <w:rFonts w:ascii="Cambria Math" w:hAnsi="Cambria Math"/>
          </w:rPr>
          <m:t>Δ</m:t>
        </m:r>
        <m:r>
          <m:rPr>
            <m:nor/>
          </m:rPr>
          <m:t>MAE</m:t>
        </m:r>
        <m:r>
          <m:rPr>
            <m:sty m:val="p"/>
          </m:rPr>
          <w:rPr>
            <w:rFonts w:ascii="Cambria Math" w:hAnsi="Cambria Math"/>
          </w:rPr>
          <m:t>=</m:t>
        </m:r>
        <m:sSub>
          <m:sSubPr>
            <m:ctrlPr>
              <w:rPr>
                <w:rFonts w:ascii="Cambria Math" w:hAnsi="Cambria Math"/>
              </w:rPr>
            </m:ctrlPr>
          </m:sSubPr>
          <m:e>
            <m:r>
              <m:rPr>
                <m:nor/>
              </m:rPr>
              <m:t>MAE</m:t>
            </m:r>
          </m:e>
          <m:sub>
            <m:r>
              <m:rPr>
                <m:nor/>
              </m:rPr>
              <m:t>base</m:t>
            </m:r>
          </m:sub>
        </m:sSub>
        <m:r>
          <m:rPr>
            <m:sty m:val="p"/>
          </m:rPr>
          <w:rPr>
            <w:rFonts w:ascii="Cambria Math" w:hAnsi="Cambria Math"/>
          </w:rPr>
          <m:t>-</m:t>
        </m:r>
        <m:sSub>
          <m:sSubPr>
            <m:ctrlPr>
              <w:rPr>
                <w:rFonts w:ascii="Cambria Math" w:hAnsi="Cambria Math"/>
              </w:rPr>
            </m:ctrlPr>
          </m:sSubPr>
          <m:e>
            <m:r>
              <m:rPr>
                <m:nor/>
              </m:rPr>
              <m:t>MAE</m:t>
            </m:r>
          </m:e>
          <m:sub>
            <m:r>
              <m:rPr>
                <m:nor/>
              </m:rPr>
              <m:t>ens</m:t>
            </m:r>
          </m:sub>
        </m:sSub>
      </m:oMath>
      <w:r>
        <w:rPr>
          <w:rFonts w:eastAsia="Times New Roman" w:cs="Times New Roman"/>
        </w:rPr>
        <w:t xml:space="preserve"> ved 1 000 bootstrap-utvalg av valideringssettet. Resultatet er </w:t>
      </w:r>
      <m:oMath>
        <m:r>
          <m:rPr>
            <m:sty m:val="p"/>
          </m:rPr>
          <w:rPr>
            <w:rFonts w:ascii="Cambria Math" w:hAnsi="Cambria Math"/>
          </w:rPr>
          <m:t>Δ</m:t>
        </m:r>
        <m:r>
          <m:rPr>
            <m:nor/>
          </m:rPr>
          <m:t>MAE</m:t>
        </m:r>
        <m:r>
          <m:rPr>
            <m:sty m:val="p"/>
          </m:rPr>
          <w:rPr>
            <w:rFonts w:ascii="Cambria Math" w:hAnsi="Cambria Math"/>
          </w:rPr>
          <m:t>=-</m:t>
        </m:r>
        <m:r>
          <w:rPr>
            <w:rFonts w:ascii="Cambria Math" w:hAnsi="Cambria Math"/>
          </w:rPr>
          <m:t>33</m:t>
        </m:r>
        <m:r>
          <m:rPr>
            <m:sty m:val="p"/>
          </m:rPr>
          <w:rPr>
            <w:rFonts w:ascii="Cambria Math" w:hAnsi="Cambria Math"/>
          </w:rPr>
          <m:t>±</m:t>
        </m:r>
        <m:r>
          <w:rPr>
            <w:rFonts w:ascii="Cambria Math" w:hAnsi="Cambria Math"/>
          </w:rPr>
          <m:t>870</m:t>
        </m:r>
      </m:oMath>
      <w:r>
        <w:rPr>
          <w:rFonts w:eastAsia="Times New Roman" w:cs="Times New Roman"/>
        </w:rPr>
        <w:t xml:space="preserve"> EUR (95 % KI: </w:t>
      </w:r>
      <m:oMath>
        <m:r>
          <m:rPr>
            <m:sty m:val="p"/>
          </m:rPr>
          <w:rPr>
            <w:rFonts w:ascii="Cambria Math" w:hAnsi="Cambria Math"/>
          </w:rPr>
          <m:t>[-</m:t>
        </m:r>
        <m:r>
          <w:rPr>
            <w:rFonts w:ascii="Cambria Math" w:hAnsi="Cambria Math"/>
          </w:rPr>
          <m:t>1 720</m:t>
        </m:r>
        <m:r>
          <m:rPr>
            <m:sty m:val="p"/>
          </m:rPr>
          <w:rPr>
            <w:rFonts w:ascii="Cambria Math" w:hAnsi="Cambria Math"/>
          </w:rPr>
          <m:t>;</m:t>
        </m:r>
        <m:r>
          <w:rPr>
            <w:rFonts w:ascii="Cambria Math" w:hAnsi="Cambria Math"/>
          </w:rPr>
          <m:t> </m:t>
        </m:r>
        <m:r>
          <w:rPr>
            <w:rFonts w:ascii="Cambria Math" w:hAnsi="Cambria Math"/>
          </w:rPr>
          <m:t>1 650</m:t>
        </m:r>
        <m:r>
          <m:rPr>
            <m:sty m:val="p"/>
          </m:rPr>
          <w:rPr>
            <w:rFonts w:ascii="Cambria Math" w:hAnsi="Cambria Math"/>
          </w:rPr>
          <m:t>]</m:t>
        </m:r>
      </m:oMath>
      <w:r>
        <w:rPr>
          <w:rFonts w:eastAsia="Times New Roman" w:cs="Times New Roman"/>
        </w:rPr>
        <w:t xml:space="preserve">), som omslutter null og dermed </w:t>
      </w:r>
      <w:r>
        <w:rPr>
          <w:rFonts w:eastAsia="Times New Roman" w:cs="Times New Roman"/>
          <w:i/>
          <w:iCs/>
        </w:rPr>
        <w:t>ikke</w:t>
      </w:r>
      <w:r>
        <w:rPr>
          <w:rFonts w:eastAsia="Times New Roman" w:cs="Times New Roman"/>
        </w:rPr>
        <w:t xml:space="preserve"> er statistisk signifikant. På samme måte er Ensemble vs. CatBoost ikke signifikant (Δ = 54 EUR; KI omslutter null). De tre gradient</w:t>
      </w:r>
      <w:r>
        <w:rPr>
          <w:rFonts w:eastAsia="Times New Roman" w:cs="Times New Roman"/>
        </w:rPr>
        <w:softHyphen/>
        <w:t>boosting-modellene er dermed praktisk talt likeverdige på validerings</w:t>
      </w:r>
      <w:r>
        <w:rPr>
          <w:rFonts w:eastAsia="Times New Roman" w:cs="Times New Roman"/>
        </w:rPr>
        <w:softHyphen/>
        <w:t>settet — i tråd med Shwartz-Ziv &amp; Armon (2022). Forskjellen mellom Ensemble og median</w:t>
      </w:r>
      <w:r>
        <w:rPr>
          <w:rFonts w:eastAsia="Times New Roman" w:cs="Times New Roman"/>
        </w:rPr>
        <w:softHyphen/>
        <w:t>baseline er derimot klart signifikant (</w:t>
      </w:r>
      <m:oMath>
        <m:r>
          <m:rPr>
            <m:sty m:val="p"/>
          </m:rPr>
          <w:rPr>
            <w:rFonts w:ascii="Cambria Math" w:hAnsi="Cambria Math"/>
          </w:rPr>
          <m:t>Δ=</m:t>
        </m:r>
        <m:r>
          <w:rPr>
            <w:rFonts w:ascii="Cambria Math" w:hAnsi="Cambria Math"/>
          </w:rPr>
          <m:t>4 450</m:t>
        </m:r>
      </m:oMath>
      <w:r>
        <w:rPr>
          <w:rFonts w:eastAsia="Times New Roman" w:cs="Times New Roman"/>
        </w:rPr>
        <w:t xml:space="preserve"> EUR; KI: </w:t>
      </w:r>
      <m:oMath>
        <m:r>
          <m:rPr>
            <m:sty m:val="p"/>
          </m:rPr>
          <w:rPr>
            <w:rFonts w:ascii="Cambria Math" w:hAnsi="Cambria Math"/>
          </w:rPr>
          <m:t>[</m:t>
        </m:r>
        <m:r>
          <w:rPr>
            <w:rFonts w:ascii="Cambria Math" w:hAnsi="Cambria Math"/>
          </w:rPr>
          <m:t>3 100</m:t>
        </m:r>
        <m:r>
          <m:rPr>
            <m:sty m:val="p"/>
          </m:rPr>
          <w:rPr>
            <w:rFonts w:ascii="Cambria Math" w:hAnsi="Cambria Math"/>
          </w:rPr>
          <m:t>;</m:t>
        </m:r>
        <m:r>
          <w:rPr>
            <w:rFonts w:ascii="Cambria Math" w:hAnsi="Cambria Math"/>
          </w:rPr>
          <m:t> </m:t>
        </m:r>
        <m:r>
          <w:rPr>
            <w:rFonts w:ascii="Cambria Math" w:hAnsi="Cambria Math"/>
          </w:rPr>
          <m:t>5 860</m:t>
        </m:r>
        <m:r>
          <m:rPr>
            <m:sty m:val="p"/>
          </m:rPr>
          <w:rPr>
            <w:rFonts w:ascii="Cambria Math" w:hAnsi="Cambria Math"/>
          </w:rPr>
          <m:t>]</m:t>
        </m:r>
      </m:oMath>
      <w:r>
        <w:rPr>
          <w:rFonts w:eastAsia="Times New Roman" w:cs="Times New Roman"/>
        </w:rPr>
        <w:t>). Konklusjonen er at modellvalget mellom de tre gradient-boosting-variantene må gjøres på sekundære kriterier (varians</w:t>
      </w:r>
      <w:r>
        <w:rPr>
          <w:rFonts w:eastAsia="Times New Roman" w:cs="Times New Roman"/>
        </w:rPr>
        <w:softHyphen/>
        <w:t>robusthet, drift-toleranse) — ikke på MAE-tallene alene, som er innenfor støy</w:t>
      </w:r>
      <w:r>
        <w:rPr>
          <w:rFonts w:eastAsia="Times New Roman" w:cs="Times New Roman"/>
        </w:rPr>
        <w:softHyphen/>
        <w:t>båndet.</w:t>
      </w:r>
    </w:p>
    <w:p w14:paraId="2B148565" w14:textId="77777777" w:rsidR="003C788D" w:rsidRDefault="00AA7D12">
      <w:pPr>
        <w:pStyle w:val="Overskrift3"/>
      </w:pPr>
      <w:bookmarkStart w:id="93" w:name="endelig-evaluering-på-testsettet-2025"/>
      <w:bookmarkStart w:id="94" w:name="_Toc230777808"/>
      <w:bookmarkEnd w:id="91"/>
      <w:r>
        <w:t>8.1.1 Endelig evaluering på testsettet (2025)</w:t>
      </w:r>
      <w:bookmarkEnd w:id="94"/>
    </w:p>
    <w:p w14:paraId="4D4E4FDB" w14:textId="77777777" w:rsidR="003C788D" w:rsidRDefault="00AA7D12">
      <w:pPr>
        <w:pStyle w:val="FirstParagraph"/>
        <w:spacing w:line="360" w:lineRule="auto"/>
      </w:pPr>
      <w:r>
        <w:rPr>
          <w:rFonts w:eastAsia="Times New Roman" w:cs="Times New Roman"/>
        </w:rPr>
        <w:t xml:space="preserve">For å gi et </w:t>
      </w:r>
      <w:r>
        <w:rPr>
          <w:rFonts w:eastAsia="Times New Roman" w:cs="Times New Roman"/>
          <w:b/>
          <w:bCs/>
        </w:rPr>
        <w:t>uavhengig generaliserings</w:t>
      </w:r>
      <w:r>
        <w:rPr>
          <w:rFonts w:eastAsia="Times New Roman" w:cs="Times New Roman"/>
          <w:b/>
          <w:bCs/>
        </w:rPr>
        <w:softHyphen/>
        <w:t>anslag</w:t>
      </w:r>
      <w:r>
        <w:rPr>
          <w:rFonts w:eastAsia="Times New Roman" w:cs="Times New Roman"/>
        </w:rPr>
        <w:t xml:space="preserve"> ble testsettet (2025, 670 transaksjoner før feature-engineering, 649 etter) evaluert etter at modell</w:t>
      </w:r>
      <w:r>
        <w:rPr>
          <w:rFonts w:eastAsia="Times New Roman" w:cs="Times New Roman"/>
        </w:rPr>
        <w:softHyphen/>
      </w:r>
      <w:r>
        <w:rPr>
          <w:rFonts w:eastAsia="Times New Roman" w:cs="Times New Roman"/>
        </w:rPr>
        <w:t xml:space="preserve">seleksjonen var konkludert. Pipeline (gjengitt i skriptet </w:t>
      </w:r>
      <w:r>
        <w:rPr>
          <w:rStyle w:val="VerbatimChar"/>
          <w:rFonts w:ascii="Times New Roman" w:eastAsia="Times New Roman" w:hAnsi="Times New Roman" w:cs="Times New Roman"/>
          <w:sz w:val="24"/>
        </w:rPr>
        <w:t>013 fase 3 - review/eval_test_2025.py</w:t>
      </w:r>
      <w:r>
        <w:rPr>
          <w:rFonts w:eastAsia="Times New Roman" w:cs="Times New Roman"/>
        </w:rPr>
        <w:t>): de samme model</w:t>
      </w:r>
      <w:r>
        <w:rPr>
          <w:rFonts w:eastAsia="Times New Roman" w:cs="Times New Roman"/>
        </w:rPr>
        <w:softHyphen/>
        <w:t>klassene som i § 8.1, trent på trenings</w:t>
      </w:r>
      <w:r>
        <w:rPr>
          <w:rFonts w:eastAsia="Times New Roman" w:cs="Times New Roman"/>
        </w:rPr>
        <w:softHyphen/>
        <w:t>settet (≤ 2023) med early stopping på val=2024 for å replisere prefit-modellen som modell</w:t>
      </w:r>
      <w:r>
        <w:rPr>
          <w:rFonts w:eastAsia="Times New Roman" w:cs="Times New Roman"/>
        </w:rPr>
        <w:softHyphen/>
        <w:t>seleksjonen ble gjort på, deretter evaluert på det helt urørte testsettet (2025). Aggregat</w:t>
      </w:r>
      <w:r>
        <w:rPr>
          <w:rFonts w:eastAsia="Times New Roman" w:cs="Times New Roman"/>
        </w:rPr>
        <w:softHyphen/>
        <w:t>features (</w:t>
      </w:r>
      <w:r>
        <w:rPr>
          <w:rStyle w:val="VerbatimChar"/>
          <w:rFonts w:ascii="Times New Roman" w:eastAsia="Times New Roman" w:hAnsi="Times New Roman" w:cs="Times New Roman"/>
          <w:sz w:val="24"/>
        </w:rPr>
        <w:t>size_svc_*</w:t>
      </w:r>
      <w:r>
        <w:rPr>
          <w:rFonts w:eastAsia="Times New Roman" w:cs="Times New Roman"/>
        </w:rPr>
        <w:t xml:space="preserve">, </w:t>
      </w:r>
      <w:r>
        <w:rPr>
          <w:rStyle w:val="VerbatimChar"/>
          <w:rFonts w:ascii="Times New Roman" w:eastAsia="Times New Roman" w:hAnsi="Times New Roman" w:cs="Times New Roman"/>
          <w:sz w:val="24"/>
        </w:rPr>
        <w:t>port_*</w:t>
      </w:r>
      <w:r>
        <w:rPr>
          <w:rFonts w:eastAsia="Times New Roman" w:cs="Times New Roman"/>
        </w:rPr>
        <w:t xml:space="preserve">) er som tidligere beregnet kun på ≤ 2023 for å unngå target leakage. Resultater er lagret i </w:t>
      </w:r>
      <w:r>
        <w:rPr>
          <w:rStyle w:val="VerbatimChar"/>
          <w:rFonts w:ascii="Times New Roman" w:eastAsia="Times New Roman" w:hAnsi="Times New Roman" w:cs="Times New Roman"/>
          <w:sz w:val="24"/>
        </w:rPr>
        <w:t>artifacts/metrics_test_2025.csv</w:t>
      </w:r>
      <w:r>
        <w:rPr>
          <w:rFonts w:eastAsia="Times New Roman" w:cs="Times New Roman"/>
        </w:rPr>
        <w:t>.</w:t>
      </w:r>
    </w:p>
    <w:p w14:paraId="505A5F12" w14:textId="77777777" w:rsidR="003C788D" w:rsidRDefault="00AA7D12">
      <w:pPr>
        <w:pStyle w:val="Brdtekst"/>
        <w:spacing w:line="360" w:lineRule="auto"/>
      </w:pPr>
      <w:r>
        <w:rPr>
          <w:rFonts w:eastAsia="Times New Roman" w:cs="Times New Roman"/>
          <w:b/>
          <w:bCs/>
        </w:rPr>
        <w:t>Tabell 8.2.</w:t>
      </w:r>
      <w:r>
        <w:rPr>
          <w:rFonts w:eastAsia="Times New Roman" w:cs="Times New Roman"/>
        </w:rPr>
        <w:t xml:space="preserve"> Endelige test-sett-metrikker (2025, n = 649 transaksjoner; mean(actual) = 25 632 EUR), sortert etter MAE. Sammenlignet med tilsvarende valideringsmetrikker fra tabell 8.1.</w:t>
      </w:r>
    </w:p>
    <w:tbl>
      <w:tblPr>
        <w:tblStyle w:val="Table"/>
        <w:tblW w:w="5000" w:type="pct"/>
        <w:tblLayout w:type="fixed"/>
        <w:tblLook w:val="0020" w:firstRow="1" w:lastRow="0" w:firstColumn="0" w:lastColumn="0" w:noHBand="0" w:noVBand="0"/>
      </w:tblPr>
      <w:tblGrid>
        <w:gridCol w:w="1518"/>
        <w:gridCol w:w="2026"/>
        <w:gridCol w:w="2026"/>
        <w:gridCol w:w="2026"/>
        <w:gridCol w:w="2026"/>
      </w:tblGrid>
      <w:tr w:rsidR="003C788D" w14:paraId="06584B7E" w14:textId="77777777" w:rsidTr="003C788D">
        <w:trPr>
          <w:cnfStyle w:val="100000000000" w:firstRow="1" w:lastRow="0" w:firstColumn="0" w:lastColumn="0" w:oddVBand="0" w:evenVBand="0" w:oddHBand="0" w:evenHBand="0" w:firstRowFirstColumn="0" w:firstRowLastColumn="0" w:lastRowFirstColumn="0" w:lastRowLastColumn="0"/>
          <w:tblHeader/>
        </w:trPr>
        <w:tc>
          <w:tcPr>
            <w:tcW w:w="1250" w:type="dxa"/>
          </w:tcPr>
          <w:p w14:paraId="35FE1F90" w14:textId="77777777" w:rsidR="003C788D" w:rsidRDefault="00AA7D12">
            <w:pPr>
              <w:pStyle w:val="Compact"/>
              <w:spacing w:line="360" w:lineRule="auto"/>
            </w:pPr>
            <w:r>
              <w:rPr>
                <w:rFonts w:eastAsia="Times New Roman" w:cs="Times New Roman"/>
              </w:rPr>
              <w:t>Modell</w:t>
            </w:r>
          </w:p>
        </w:tc>
        <w:tc>
          <w:tcPr>
            <w:tcW w:w="1667" w:type="dxa"/>
          </w:tcPr>
          <w:p w14:paraId="710DB1F9" w14:textId="77777777" w:rsidR="003C788D" w:rsidRDefault="00AA7D12">
            <w:pPr>
              <w:pStyle w:val="Compact"/>
              <w:spacing w:line="360" w:lineRule="auto"/>
              <w:jc w:val="right"/>
            </w:pPr>
            <w:r>
              <w:rPr>
                <w:rFonts w:eastAsia="Times New Roman" w:cs="Times New Roman"/>
              </w:rPr>
              <w:t>MAE (test, EUR)</w:t>
            </w:r>
          </w:p>
        </w:tc>
        <w:tc>
          <w:tcPr>
            <w:tcW w:w="1667" w:type="dxa"/>
          </w:tcPr>
          <w:p w14:paraId="3571956B" w14:textId="77777777" w:rsidR="003C788D" w:rsidRDefault="00AA7D12">
            <w:pPr>
              <w:pStyle w:val="Compact"/>
              <w:spacing w:line="360" w:lineRule="auto"/>
              <w:jc w:val="right"/>
            </w:pPr>
            <w:r>
              <w:rPr>
                <w:rFonts w:eastAsia="Times New Roman" w:cs="Times New Roman"/>
              </w:rPr>
              <w:t>RMSE (test, EUR)</w:t>
            </w:r>
          </w:p>
        </w:tc>
        <w:tc>
          <w:tcPr>
            <w:tcW w:w="1667" w:type="dxa"/>
          </w:tcPr>
          <w:p w14:paraId="617DFC5E" w14:textId="77777777" w:rsidR="003C788D" w:rsidRDefault="00AA7D12">
            <w:pPr>
              <w:pStyle w:val="Compact"/>
              <w:spacing w:line="360" w:lineRule="auto"/>
              <w:jc w:val="right"/>
            </w:pPr>
            <w:r>
              <w:rPr>
                <w:rFonts w:eastAsia="Times New Roman" w:cs="Times New Roman"/>
              </w:rPr>
              <w:t>wMAPE (test, %)</w:t>
            </w:r>
          </w:p>
        </w:tc>
        <w:tc>
          <w:tcPr>
            <w:tcW w:w="1667" w:type="dxa"/>
          </w:tcPr>
          <w:p w14:paraId="39477B77" w14:textId="77777777" w:rsidR="003C788D" w:rsidRDefault="00AA7D12">
            <w:pPr>
              <w:pStyle w:val="Compact"/>
              <w:spacing w:line="360" w:lineRule="auto"/>
              <w:jc w:val="right"/>
            </w:pPr>
            <w:r>
              <w:rPr>
                <w:rFonts w:eastAsia="Times New Roman" w:cs="Times New Roman"/>
              </w:rPr>
              <w:t>Δ MAE (val→test)</w:t>
            </w:r>
          </w:p>
        </w:tc>
      </w:tr>
      <w:tr w:rsidR="003C788D" w14:paraId="1222B1DA" w14:textId="77777777">
        <w:tc>
          <w:tcPr>
            <w:tcW w:w="1250" w:type="dxa"/>
          </w:tcPr>
          <w:p w14:paraId="0454CA4A" w14:textId="77777777" w:rsidR="003C788D" w:rsidRDefault="00AA7D12">
            <w:pPr>
              <w:pStyle w:val="Compact"/>
              <w:spacing w:line="360" w:lineRule="auto"/>
            </w:pPr>
            <w:r>
              <w:rPr>
                <w:rFonts w:eastAsia="Times New Roman" w:cs="Times New Roman"/>
                <w:b/>
                <w:bCs/>
              </w:rPr>
              <w:t>LightGBM (base)</w:t>
            </w:r>
          </w:p>
        </w:tc>
        <w:tc>
          <w:tcPr>
            <w:tcW w:w="1667" w:type="dxa"/>
          </w:tcPr>
          <w:p w14:paraId="43E11E1F" w14:textId="77777777" w:rsidR="003C788D" w:rsidRDefault="00AA7D12">
            <w:pPr>
              <w:pStyle w:val="Compact"/>
              <w:spacing w:line="360" w:lineRule="auto"/>
              <w:jc w:val="right"/>
            </w:pPr>
            <w:r>
              <w:rPr>
                <w:rFonts w:eastAsia="Times New Roman" w:cs="Times New Roman"/>
                <w:b/>
                <w:bCs/>
              </w:rPr>
              <w:t>18 765</w:t>
            </w:r>
          </w:p>
        </w:tc>
        <w:tc>
          <w:tcPr>
            <w:tcW w:w="1667" w:type="dxa"/>
          </w:tcPr>
          <w:p w14:paraId="2E4D6FAB" w14:textId="77777777" w:rsidR="003C788D" w:rsidRDefault="00AA7D12">
            <w:pPr>
              <w:pStyle w:val="Compact"/>
              <w:spacing w:line="360" w:lineRule="auto"/>
              <w:jc w:val="right"/>
            </w:pPr>
            <w:r>
              <w:rPr>
                <w:rFonts w:eastAsia="Times New Roman" w:cs="Times New Roman"/>
              </w:rPr>
              <w:t>60 382</w:t>
            </w:r>
          </w:p>
        </w:tc>
        <w:tc>
          <w:tcPr>
            <w:tcW w:w="1667" w:type="dxa"/>
          </w:tcPr>
          <w:p w14:paraId="6BC1B5E1" w14:textId="77777777" w:rsidR="003C788D" w:rsidRDefault="00AA7D12">
            <w:pPr>
              <w:pStyle w:val="Compact"/>
              <w:spacing w:line="360" w:lineRule="auto"/>
              <w:jc w:val="right"/>
            </w:pPr>
            <w:r>
              <w:rPr>
                <w:rFonts w:eastAsia="Times New Roman" w:cs="Times New Roman"/>
                <w:b/>
                <w:bCs/>
              </w:rPr>
              <w:t>73,2</w:t>
            </w:r>
          </w:p>
        </w:tc>
        <w:tc>
          <w:tcPr>
            <w:tcW w:w="1667" w:type="dxa"/>
          </w:tcPr>
          <w:p w14:paraId="016B72E0" w14:textId="77777777" w:rsidR="003C788D" w:rsidRDefault="00AA7D12">
            <w:pPr>
              <w:pStyle w:val="Compact"/>
              <w:spacing w:line="360" w:lineRule="auto"/>
              <w:jc w:val="right"/>
            </w:pPr>
            <w:r>
              <w:rPr>
                <w:rFonts w:eastAsia="Times New Roman" w:cs="Times New Roman"/>
              </w:rPr>
              <w:t>+1 448 (+8 %)</w:t>
            </w:r>
          </w:p>
        </w:tc>
      </w:tr>
      <w:tr w:rsidR="003C788D" w14:paraId="24DE8CF5" w14:textId="77777777">
        <w:tc>
          <w:tcPr>
            <w:tcW w:w="1250" w:type="dxa"/>
          </w:tcPr>
          <w:p w14:paraId="580DADB2" w14:textId="77777777" w:rsidR="003C788D" w:rsidRDefault="00AA7D12">
            <w:pPr>
              <w:pStyle w:val="Compact"/>
              <w:spacing w:line="360" w:lineRule="auto"/>
            </w:pPr>
            <w:r>
              <w:rPr>
                <w:rFonts w:eastAsia="Times New Roman" w:cs="Times New Roman"/>
              </w:rPr>
              <w:t>Ensemble (LGB + CB)</w:t>
            </w:r>
          </w:p>
        </w:tc>
        <w:tc>
          <w:tcPr>
            <w:tcW w:w="1667" w:type="dxa"/>
          </w:tcPr>
          <w:p w14:paraId="1FCD5F2B" w14:textId="77777777" w:rsidR="003C788D" w:rsidRDefault="00AA7D12">
            <w:pPr>
              <w:pStyle w:val="Compact"/>
              <w:spacing w:line="360" w:lineRule="auto"/>
              <w:jc w:val="right"/>
            </w:pPr>
            <w:r>
              <w:rPr>
                <w:rFonts w:eastAsia="Times New Roman" w:cs="Times New Roman"/>
              </w:rPr>
              <w:t>19 051</w:t>
            </w:r>
          </w:p>
        </w:tc>
        <w:tc>
          <w:tcPr>
            <w:tcW w:w="1667" w:type="dxa"/>
          </w:tcPr>
          <w:p w14:paraId="24C8BA28" w14:textId="77777777" w:rsidR="003C788D" w:rsidRDefault="00AA7D12">
            <w:pPr>
              <w:pStyle w:val="Compact"/>
              <w:spacing w:line="360" w:lineRule="auto"/>
              <w:jc w:val="right"/>
            </w:pPr>
            <w:r>
              <w:rPr>
                <w:rFonts w:eastAsia="Times New Roman" w:cs="Times New Roman"/>
                <w:b/>
                <w:bCs/>
              </w:rPr>
              <w:t>61 032</w:t>
            </w:r>
          </w:p>
        </w:tc>
        <w:tc>
          <w:tcPr>
            <w:tcW w:w="1667" w:type="dxa"/>
          </w:tcPr>
          <w:p w14:paraId="439A5996" w14:textId="77777777" w:rsidR="003C788D" w:rsidRDefault="00AA7D12">
            <w:pPr>
              <w:pStyle w:val="Compact"/>
              <w:spacing w:line="360" w:lineRule="auto"/>
              <w:jc w:val="right"/>
            </w:pPr>
            <w:r>
              <w:rPr>
                <w:rFonts w:eastAsia="Times New Roman" w:cs="Times New Roman"/>
              </w:rPr>
              <w:t>74,3</w:t>
            </w:r>
          </w:p>
        </w:tc>
        <w:tc>
          <w:tcPr>
            <w:tcW w:w="1667" w:type="dxa"/>
          </w:tcPr>
          <w:p w14:paraId="136BAD28" w14:textId="77777777" w:rsidR="003C788D" w:rsidRDefault="00AA7D12">
            <w:pPr>
              <w:pStyle w:val="Compact"/>
              <w:spacing w:line="360" w:lineRule="auto"/>
              <w:jc w:val="right"/>
            </w:pPr>
            <w:r>
              <w:rPr>
                <w:rFonts w:eastAsia="Times New Roman" w:cs="Times New Roman"/>
              </w:rPr>
              <w:t>+1 701 (+10 %)</w:t>
            </w:r>
          </w:p>
        </w:tc>
      </w:tr>
      <w:tr w:rsidR="003C788D" w14:paraId="66A89F54" w14:textId="77777777">
        <w:tc>
          <w:tcPr>
            <w:tcW w:w="1250" w:type="dxa"/>
          </w:tcPr>
          <w:p w14:paraId="08D25A0A" w14:textId="77777777" w:rsidR="003C788D" w:rsidRDefault="00AA7D12">
            <w:pPr>
              <w:pStyle w:val="Compact"/>
              <w:spacing w:line="360" w:lineRule="auto"/>
            </w:pPr>
            <w:r>
              <w:rPr>
                <w:rFonts w:eastAsia="Times New Roman" w:cs="Times New Roman"/>
              </w:rPr>
              <w:t>CatBoost</w:t>
            </w:r>
          </w:p>
        </w:tc>
        <w:tc>
          <w:tcPr>
            <w:tcW w:w="1667" w:type="dxa"/>
          </w:tcPr>
          <w:p w14:paraId="08D4EC9B" w14:textId="77777777" w:rsidR="003C788D" w:rsidRDefault="00AA7D12">
            <w:pPr>
              <w:pStyle w:val="Compact"/>
              <w:spacing w:line="360" w:lineRule="auto"/>
              <w:jc w:val="right"/>
            </w:pPr>
            <w:r>
              <w:rPr>
                <w:rFonts w:eastAsia="Times New Roman" w:cs="Times New Roman"/>
              </w:rPr>
              <w:t>19 065</w:t>
            </w:r>
          </w:p>
        </w:tc>
        <w:tc>
          <w:tcPr>
            <w:tcW w:w="1667" w:type="dxa"/>
          </w:tcPr>
          <w:p w14:paraId="6B85A7E9" w14:textId="77777777" w:rsidR="003C788D" w:rsidRDefault="00AA7D12">
            <w:pPr>
              <w:pStyle w:val="Compact"/>
              <w:spacing w:line="360" w:lineRule="auto"/>
              <w:jc w:val="right"/>
            </w:pPr>
            <w:r>
              <w:rPr>
                <w:rFonts w:eastAsia="Times New Roman" w:cs="Times New Roman"/>
              </w:rPr>
              <w:t>60 888</w:t>
            </w:r>
          </w:p>
        </w:tc>
        <w:tc>
          <w:tcPr>
            <w:tcW w:w="1667" w:type="dxa"/>
          </w:tcPr>
          <w:p w14:paraId="018778EE" w14:textId="77777777" w:rsidR="003C788D" w:rsidRDefault="00AA7D12">
            <w:pPr>
              <w:pStyle w:val="Compact"/>
              <w:spacing w:line="360" w:lineRule="auto"/>
              <w:jc w:val="right"/>
            </w:pPr>
            <w:r>
              <w:rPr>
                <w:rFonts w:eastAsia="Times New Roman" w:cs="Times New Roman"/>
              </w:rPr>
              <w:t>74,4</w:t>
            </w:r>
          </w:p>
        </w:tc>
        <w:tc>
          <w:tcPr>
            <w:tcW w:w="1667" w:type="dxa"/>
          </w:tcPr>
          <w:p w14:paraId="4536E980" w14:textId="77777777" w:rsidR="003C788D" w:rsidRDefault="00AA7D12">
            <w:pPr>
              <w:pStyle w:val="Compact"/>
              <w:spacing w:line="360" w:lineRule="auto"/>
              <w:jc w:val="right"/>
            </w:pPr>
            <w:r>
              <w:rPr>
                <w:rFonts w:eastAsia="Times New Roman" w:cs="Times New Roman"/>
              </w:rPr>
              <w:t>+1 661 (+10 %)</w:t>
            </w:r>
          </w:p>
        </w:tc>
      </w:tr>
      <w:tr w:rsidR="003C788D" w14:paraId="6FDDFFC9" w14:textId="77777777">
        <w:tc>
          <w:tcPr>
            <w:tcW w:w="1250" w:type="dxa"/>
          </w:tcPr>
          <w:p w14:paraId="6DF537EC" w14:textId="77777777" w:rsidR="003C788D" w:rsidRDefault="00AA7D12">
            <w:pPr>
              <w:pStyle w:val="Compact"/>
              <w:spacing w:line="360" w:lineRule="auto"/>
            </w:pPr>
            <w:r>
              <w:rPr>
                <w:rFonts w:eastAsia="Times New Roman" w:cs="Times New Roman"/>
              </w:rPr>
              <w:t>LightGBM (tunet)</w:t>
            </w:r>
          </w:p>
        </w:tc>
        <w:tc>
          <w:tcPr>
            <w:tcW w:w="1667" w:type="dxa"/>
          </w:tcPr>
          <w:p w14:paraId="736F53D7" w14:textId="77777777" w:rsidR="003C788D" w:rsidRDefault="00AA7D12">
            <w:pPr>
              <w:pStyle w:val="Compact"/>
              <w:spacing w:line="360" w:lineRule="auto"/>
              <w:jc w:val="right"/>
            </w:pPr>
            <w:r>
              <w:rPr>
                <w:rFonts w:eastAsia="Times New Roman" w:cs="Times New Roman"/>
              </w:rPr>
              <w:t>19 331</w:t>
            </w:r>
          </w:p>
        </w:tc>
        <w:tc>
          <w:tcPr>
            <w:tcW w:w="1667" w:type="dxa"/>
          </w:tcPr>
          <w:p w14:paraId="10F049BB" w14:textId="77777777" w:rsidR="003C788D" w:rsidRDefault="00AA7D12">
            <w:pPr>
              <w:pStyle w:val="Compact"/>
              <w:spacing w:line="360" w:lineRule="auto"/>
              <w:jc w:val="right"/>
            </w:pPr>
            <w:r>
              <w:rPr>
                <w:rFonts w:eastAsia="Times New Roman" w:cs="Times New Roman"/>
              </w:rPr>
              <w:t>61 324</w:t>
            </w:r>
          </w:p>
        </w:tc>
        <w:tc>
          <w:tcPr>
            <w:tcW w:w="1667" w:type="dxa"/>
          </w:tcPr>
          <w:p w14:paraId="6D4950B0" w14:textId="77777777" w:rsidR="003C788D" w:rsidRDefault="00AA7D12">
            <w:pPr>
              <w:pStyle w:val="Compact"/>
              <w:spacing w:line="360" w:lineRule="auto"/>
              <w:jc w:val="right"/>
            </w:pPr>
            <w:r>
              <w:rPr>
                <w:rFonts w:eastAsia="Times New Roman" w:cs="Times New Roman"/>
              </w:rPr>
              <w:t>75,4</w:t>
            </w:r>
          </w:p>
        </w:tc>
        <w:tc>
          <w:tcPr>
            <w:tcW w:w="1667" w:type="dxa"/>
          </w:tcPr>
          <w:p w14:paraId="30A97443" w14:textId="77777777" w:rsidR="003C788D" w:rsidRDefault="00AA7D12">
            <w:pPr>
              <w:pStyle w:val="Compact"/>
              <w:spacing w:line="360" w:lineRule="auto"/>
              <w:jc w:val="right"/>
            </w:pPr>
            <w:r>
              <w:rPr>
                <w:rFonts w:eastAsia="Times New Roman" w:cs="Times New Roman"/>
              </w:rPr>
              <w:t>+1 494 (+8 %)</w:t>
            </w:r>
          </w:p>
        </w:tc>
      </w:tr>
      <w:tr w:rsidR="003C788D" w14:paraId="1B3DB20D" w14:textId="77777777">
        <w:tc>
          <w:tcPr>
            <w:tcW w:w="1250" w:type="dxa"/>
          </w:tcPr>
          <w:p w14:paraId="32AAACDE" w14:textId="77777777" w:rsidR="003C788D" w:rsidRDefault="00AA7D12">
            <w:pPr>
              <w:pStyle w:val="Compact"/>
              <w:spacing w:line="360" w:lineRule="auto"/>
            </w:pPr>
            <w:r>
              <w:rPr>
                <w:rFonts w:eastAsia="Times New Roman" w:cs="Times New Roman"/>
              </w:rPr>
              <w:t>Median</w:t>
            </w:r>
            <w:r>
              <w:rPr>
                <w:rFonts w:eastAsia="Times New Roman" w:cs="Times New Roman"/>
              </w:rPr>
              <w:softHyphen/>
              <w:t>baseline</w:t>
            </w:r>
          </w:p>
        </w:tc>
        <w:tc>
          <w:tcPr>
            <w:tcW w:w="1667" w:type="dxa"/>
          </w:tcPr>
          <w:p w14:paraId="58B69B63" w14:textId="77777777" w:rsidR="003C788D" w:rsidRDefault="00AA7D12">
            <w:pPr>
              <w:pStyle w:val="Compact"/>
              <w:spacing w:line="360" w:lineRule="auto"/>
              <w:jc w:val="right"/>
            </w:pPr>
            <w:r>
              <w:rPr>
                <w:rFonts w:eastAsia="Times New Roman" w:cs="Times New Roman"/>
              </w:rPr>
              <w:t>23 157</w:t>
            </w:r>
          </w:p>
        </w:tc>
        <w:tc>
          <w:tcPr>
            <w:tcW w:w="1667" w:type="dxa"/>
          </w:tcPr>
          <w:p w14:paraId="7073FD87" w14:textId="77777777" w:rsidR="003C788D" w:rsidRDefault="00AA7D12">
            <w:pPr>
              <w:pStyle w:val="Compact"/>
              <w:spacing w:line="360" w:lineRule="auto"/>
              <w:jc w:val="right"/>
            </w:pPr>
            <w:r>
              <w:rPr>
                <w:rFonts w:eastAsia="Times New Roman" w:cs="Times New Roman"/>
              </w:rPr>
              <w:t>65 706</w:t>
            </w:r>
          </w:p>
        </w:tc>
        <w:tc>
          <w:tcPr>
            <w:tcW w:w="1667" w:type="dxa"/>
          </w:tcPr>
          <w:p w14:paraId="2CD218B5" w14:textId="77777777" w:rsidR="003C788D" w:rsidRDefault="00AA7D12">
            <w:pPr>
              <w:pStyle w:val="Compact"/>
              <w:spacing w:line="360" w:lineRule="auto"/>
              <w:jc w:val="right"/>
            </w:pPr>
            <w:r>
              <w:rPr>
                <w:rFonts w:eastAsia="Times New Roman" w:cs="Times New Roman"/>
              </w:rPr>
              <w:t>90,3</w:t>
            </w:r>
          </w:p>
        </w:tc>
        <w:tc>
          <w:tcPr>
            <w:tcW w:w="1667" w:type="dxa"/>
          </w:tcPr>
          <w:p w14:paraId="130AAA8E" w14:textId="77777777" w:rsidR="003C788D" w:rsidRDefault="00AA7D12">
            <w:pPr>
              <w:pStyle w:val="Compact"/>
              <w:spacing w:line="360" w:lineRule="auto"/>
              <w:jc w:val="right"/>
            </w:pPr>
            <w:r>
              <w:rPr>
                <w:rFonts w:eastAsia="Times New Roman" w:cs="Times New Roman"/>
              </w:rPr>
              <w:t>+1 357 (+6 %)</w:t>
            </w:r>
          </w:p>
        </w:tc>
      </w:tr>
      <w:tr w:rsidR="003C788D" w14:paraId="4ADD281A" w14:textId="77777777">
        <w:tc>
          <w:tcPr>
            <w:tcW w:w="1250" w:type="dxa"/>
          </w:tcPr>
          <w:p w14:paraId="28E4537F" w14:textId="77777777" w:rsidR="003C788D" w:rsidRDefault="00AA7D12">
            <w:pPr>
              <w:pStyle w:val="Compact"/>
              <w:spacing w:line="360" w:lineRule="auto"/>
            </w:pPr>
            <w:r>
              <w:rPr>
                <w:rFonts w:eastAsia="Times New Roman" w:cs="Times New Roman"/>
              </w:rPr>
              <w:t>Ridge</w:t>
            </w:r>
          </w:p>
        </w:tc>
        <w:tc>
          <w:tcPr>
            <w:tcW w:w="1667" w:type="dxa"/>
          </w:tcPr>
          <w:p w14:paraId="5A640082" w14:textId="77777777" w:rsidR="003C788D" w:rsidRDefault="00AA7D12">
            <w:pPr>
              <w:pStyle w:val="Compact"/>
              <w:spacing w:line="360" w:lineRule="auto"/>
              <w:jc w:val="right"/>
            </w:pPr>
            <w:r>
              <w:rPr>
                <w:rFonts w:eastAsia="Times New Roman" w:cs="Times New Roman"/>
              </w:rPr>
              <w:t>43 120</w:t>
            </w:r>
          </w:p>
        </w:tc>
        <w:tc>
          <w:tcPr>
            <w:tcW w:w="1667" w:type="dxa"/>
          </w:tcPr>
          <w:p w14:paraId="49745F1B" w14:textId="77777777" w:rsidR="003C788D" w:rsidRDefault="00AA7D12">
            <w:pPr>
              <w:pStyle w:val="Compact"/>
              <w:spacing w:line="360" w:lineRule="auto"/>
              <w:jc w:val="right"/>
            </w:pPr>
            <w:r>
              <w:rPr>
                <w:rFonts w:eastAsia="Times New Roman" w:cs="Times New Roman"/>
              </w:rPr>
              <w:t>369 462</w:t>
            </w:r>
          </w:p>
        </w:tc>
        <w:tc>
          <w:tcPr>
            <w:tcW w:w="1667" w:type="dxa"/>
          </w:tcPr>
          <w:p w14:paraId="10716D85" w14:textId="77777777" w:rsidR="003C788D" w:rsidRDefault="00AA7D12">
            <w:pPr>
              <w:pStyle w:val="Compact"/>
              <w:spacing w:line="360" w:lineRule="auto"/>
              <w:jc w:val="right"/>
            </w:pPr>
            <w:r>
              <w:rPr>
                <w:rFonts w:eastAsia="Times New Roman" w:cs="Times New Roman"/>
              </w:rPr>
              <w:t>168,2</w:t>
            </w:r>
          </w:p>
        </w:tc>
        <w:tc>
          <w:tcPr>
            <w:tcW w:w="1667" w:type="dxa"/>
          </w:tcPr>
          <w:p w14:paraId="6A835191" w14:textId="77777777" w:rsidR="003C788D" w:rsidRDefault="00AA7D12">
            <w:pPr>
              <w:pStyle w:val="Compact"/>
              <w:spacing w:line="360" w:lineRule="auto"/>
              <w:jc w:val="right"/>
            </w:pPr>
            <w:r>
              <w:rPr>
                <w:rFonts w:eastAsia="Times New Roman" w:cs="Times New Roman"/>
              </w:rPr>
              <w:t>+24 869 (+136 %)</w:t>
            </w:r>
          </w:p>
        </w:tc>
      </w:tr>
    </w:tbl>
    <w:p w14:paraId="21585406" w14:textId="77777777" w:rsidR="003C788D" w:rsidRDefault="00AA7D12">
      <w:pPr>
        <w:pStyle w:val="Brdtekst"/>
        <w:spacing w:line="360" w:lineRule="auto"/>
      </w:pPr>
      <w:r>
        <w:rPr>
          <w:rFonts w:eastAsia="Times New Roman" w:cs="Times New Roman"/>
          <w:i/>
          <w:iCs/>
        </w:rPr>
        <w:t>Kilde:</w:t>
      </w:r>
      <w:r>
        <w:rPr>
          <w:rFonts w:eastAsia="Times New Roman" w:cs="Times New Roman"/>
        </w:rPr>
        <w:t xml:space="preserve"> </w:t>
      </w:r>
      <w:r>
        <w:rPr>
          <w:rStyle w:val="VerbatimChar"/>
          <w:rFonts w:ascii="Times New Roman" w:eastAsia="Times New Roman" w:hAnsi="Times New Roman" w:cs="Times New Roman"/>
          <w:sz w:val="24"/>
        </w:rPr>
        <w:t>013 fase 3 - review/artifacts/metrics_test_2025.csv</w:t>
      </w:r>
      <w:r>
        <w:rPr>
          <w:rFonts w:eastAsia="Times New Roman" w:cs="Times New Roman"/>
        </w:rPr>
        <w:t xml:space="preserve"> (generert ved </w:t>
      </w:r>
      <w:r>
        <w:rPr>
          <w:rStyle w:val="VerbatimChar"/>
          <w:rFonts w:ascii="Times New Roman" w:eastAsia="Times New Roman" w:hAnsi="Times New Roman" w:cs="Times New Roman"/>
          <w:sz w:val="24"/>
        </w:rPr>
        <w:t>eval_test_2025.py</w:t>
      </w:r>
      <w:r>
        <w:rPr>
          <w:rFonts w:eastAsia="Times New Roman" w:cs="Times New Roman"/>
        </w:rPr>
        <w:t>, kjørt 2026-05-12).</w:t>
      </w:r>
    </w:p>
    <w:p w14:paraId="549C3734" w14:textId="77777777" w:rsidR="003C788D" w:rsidRDefault="00AA7D12">
      <w:pPr>
        <w:pStyle w:val="Brdtekst"/>
        <w:spacing w:line="360" w:lineRule="auto"/>
      </w:pPr>
      <w:r>
        <w:rPr>
          <w:rFonts w:eastAsia="Times New Roman" w:cs="Times New Roman"/>
        </w:rPr>
        <w:t>Tre observasjoner er sentrale:</w:t>
      </w:r>
    </w:p>
    <w:p w14:paraId="07FEBB9B" w14:textId="77777777" w:rsidR="003C788D" w:rsidRDefault="00AA7D12">
      <w:pPr>
        <w:pStyle w:val="Compact"/>
        <w:numPr>
          <w:ilvl w:val="0"/>
          <w:numId w:val="21"/>
        </w:numPr>
        <w:spacing w:line="360" w:lineRule="auto"/>
      </w:pPr>
      <w:r>
        <w:rPr>
          <w:rFonts w:eastAsia="Times New Roman" w:cs="Times New Roman"/>
          <w:b/>
          <w:bCs/>
        </w:rPr>
        <w:t>Generaliseringen holder.</w:t>
      </w:r>
      <w:r>
        <w:rPr>
          <w:rFonts w:eastAsia="Times New Roman" w:cs="Times New Roman"/>
        </w:rPr>
        <w:t xml:space="preserve"> </w:t>
      </w:r>
      <w:r>
        <w:rPr>
          <w:rFonts w:eastAsia="Times New Roman" w:cs="Times New Roman"/>
        </w:rPr>
        <w:t>Ensemble-modellen oppnår MAE = 19 051 EUR på testsettet, ≈ 10 % høyere enn val-MAE (17 350). Dette er forventet etter modell</w:t>
      </w:r>
      <w:r>
        <w:rPr>
          <w:rFonts w:eastAsia="Times New Roman" w:cs="Times New Roman"/>
        </w:rPr>
        <w:softHyphen/>
        <w:t>seleksjon: når hyperparametre og ensemble</w:t>
      </w:r>
      <w:r>
        <w:rPr>
          <w:rFonts w:eastAsia="Times New Roman" w:cs="Times New Roman"/>
        </w:rPr>
        <w:softHyphen/>
        <w:t>vekt er valgt for å minimere val-MAE, vil et uavhengig testsett vise noe høyere feil. Veksten er moderat og innenfor det som er rapportert for tilsvarende studier (Jang et al., 2023, rapporterer 8–12 % degradering val→test).</w:t>
      </w:r>
    </w:p>
    <w:p w14:paraId="526FEA7F" w14:textId="77777777" w:rsidR="003C788D" w:rsidRDefault="00AA7D12">
      <w:pPr>
        <w:pStyle w:val="Compact"/>
        <w:numPr>
          <w:ilvl w:val="0"/>
          <w:numId w:val="21"/>
        </w:numPr>
        <w:spacing w:line="360" w:lineRule="auto"/>
      </w:pPr>
      <w:r>
        <w:rPr>
          <w:rFonts w:eastAsia="Times New Roman" w:cs="Times New Roman"/>
          <w:b/>
          <w:bCs/>
        </w:rPr>
        <w:t>Ridge eksploderer på test.</w:t>
      </w:r>
      <w:r>
        <w:rPr>
          <w:rFonts w:eastAsia="Times New Roman" w:cs="Times New Roman"/>
        </w:rPr>
        <w:t xml:space="preserve"> Ridge-RMSE på test</w:t>
      </w:r>
      <w:r>
        <w:rPr>
          <w:rFonts w:eastAsia="Times New Roman" w:cs="Times New Roman"/>
        </w:rPr>
        <w:softHyphen/>
        <w:t>settet er 369 462 EUR — over 6× høyere enn på val. Dette skyldes en håndfull ekstreme 2025-transaksjoner som er utenfor rangen Ridge ble trent på (de største faktura</w:t>
      </w:r>
      <w:r>
        <w:rPr>
          <w:rFonts w:eastAsia="Times New Roman" w:cs="Times New Roman"/>
        </w:rPr>
        <w:softHyphen/>
        <w:t>beløpene i 2025 er ≈ 30 % høyere enn maks i ≤ 2023). Lineær ekstrapolasjon utenfor trenings</w:t>
      </w:r>
      <w:r>
        <w:rPr>
          <w:rFonts w:eastAsia="Times New Roman" w:cs="Times New Roman"/>
        </w:rPr>
        <w:softHyphen/>
        <w:t>rangen feiler systematisk, og dette er et empirisk argument for valg av tre</w:t>
      </w:r>
      <w:r>
        <w:rPr>
          <w:rFonts w:eastAsia="Times New Roman" w:cs="Times New Roman"/>
        </w:rPr>
        <w:softHyphen/>
        <w:t>ensemble framfor lineære alternativer i et regime med drift mot større fakturaer over tid.</w:t>
      </w:r>
    </w:p>
    <w:p w14:paraId="2A83E507" w14:textId="77777777" w:rsidR="003C788D" w:rsidRDefault="00AA7D12">
      <w:pPr>
        <w:pStyle w:val="Compact"/>
        <w:numPr>
          <w:ilvl w:val="0"/>
          <w:numId w:val="21"/>
        </w:numPr>
        <w:spacing w:line="360" w:lineRule="auto"/>
      </w:pPr>
      <w:r>
        <w:rPr>
          <w:rFonts w:eastAsia="Times New Roman" w:cs="Times New Roman"/>
          <w:b/>
          <w:bCs/>
        </w:rPr>
        <w:t>Ranking mellom gradient-boosting-modeller endres.</w:t>
      </w:r>
      <w:r>
        <w:rPr>
          <w:rFonts w:eastAsia="Times New Roman" w:cs="Times New Roman"/>
        </w:rPr>
        <w:t xml:space="preserve"> På testsettet er LightGBM (base) marginalt best (MAE = 18 765, wMAPE = 73,2), tett etterfulgt av Ensemble og CatBoost (innenfor 0,3 pp wMAPE). Som i § 8.1 er disse forskjellene innenfor bootstrap-støy. Ensemble beholdes som produksjons</w:t>
      </w:r>
      <w:r>
        <w:rPr>
          <w:rFonts w:eastAsia="Times New Roman" w:cs="Times New Roman"/>
        </w:rPr>
        <w:softHyphen/>
        <w:t>modell på grunn av varians</w:t>
      </w:r>
      <w:r>
        <w:rPr>
          <w:rFonts w:eastAsia="Times New Roman" w:cs="Times New Roman"/>
        </w:rPr>
        <w:softHyphen/>
        <w:t>reduksjonen drøftet i § 6.3, ikke fordi den vinner på rå test-MAE.</w:t>
      </w:r>
    </w:p>
    <w:p w14:paraId="20F5FDAF" w14:textId="77777777" w:rsidR="003C788D" w:rsidRDefault="00AA7D12">
      <w:pPr>
        <w:pStyle w:val="FirstParagraph"/>
        <w:spacing w:line="360" w:lineRule="auto"/>
      </w:pPr>
      <w:r>
        <w:rPr>
          <w:rFonts w:eastAsia="Times New Roman" w:cs="Times New Roman"/>
          <w:b/>
          <w:bCs/>
        </w:rPr>
        <w:t>Forholdet mellom prefit- og produksjons</w:t>
      </w:r>
      <w:r>
        <w:rPr>
          <w:rFonts w:eastAsia="Times New Roman" w:cs="Times New Roman"/>
          <w:b/>
          <w:bCs/>
        </w:rPr>
        <w:softHyphen/>
        <w:t>modellen — metodisk svakhet som anerkjennes eksplisitt.</w:t>
      </w:r>
      <w:r>
        <w:rPr>
          <w:rFonts w:eastAsia="Times New Roman" w:cs="Times New Roman"/>
        </w:rPr>
        <w:t xml:space="preserve"> Tabellene over gjelder </w:t>
      </w:r>
      <w:r>
        <w:rPr>
          <w:rFonts w:eastAsia="Times New Roman" w:cs="Times New Roman"/>
          <w:i/>
          <w:iCs/>
        </w:rPr>
        <w:t>prefit-modellen</w:t>
      </w:r>
      <w:r>
        <w:rPr>
          <w:rFonts w:eastAsia="Times New Roman" w:cs="Times New Roman"/>
        </w:rPr>
        <w:t xml:space="preserve"> (trent på ≤ 2023). Produksjons</w:t>
      </w:r>
      <w:r>
        <w:rPr>
          <w:rFonts w:eastAsia="Times New Roman" w:cs="Times New Roman"/>
        </w:rPr>
        <w:softHyphen/>
        <w:t xml:space="preserve">modellen i </w:t>
      </w:r>
      <w:r>
        <w:rPr>
          <w:rStyle w:val="VerbatimChar"/>
          <w:rFonts w:ascii="Times New Roman" w:eastAsia="Times New Roman" w:hAnsi="Times New Roman" w:cs="Times New Roman"/>
          <w:sz w:val="24"/>
        </w:rPr>
        <w:t>model_meta_final.joblib</w:t>
      </w:r>
      <w:r>
        <w:rPr>
          <w:rFonts w:eastAsia="Times New Roman" w:cs="Times New Roman"/>
        </w:rPr>
        <w:t xml:space="preserve"> er refittet på hele 2020–2025 inkludert testsettet, så den deployede modellen har </w:t>
      </w:r>
      <w:r>
        <w:rPr>
          <w:rFonts w:eastAsia="Times New Roman" w:cs="Times New Roman"/>
          <w:b/>
          <w:bCs/>
        </w:rPr>
        <w:t>null uavhengig holdout</w:t>
      </w:r>
      <w:r>
        <w:rPr>
          <w:rFonts w:eastAsia="Times New Roman" w:cs="Times New Roman"/>
        </w:rPr>
        <w:t>. Forskjellen i generaliserings</w:t>
      </w:r>
      <w:r>
        <w:rPr>
          <w:rFonts w:eastAsia="Times New Roman" w:cs="Times New Roman"/>
        </w:rPr>
        <w:softHyphen/>
        <w:t>evne mellom prefit og refit er ikke kvantifisert; det krever et 2026-holdout som ikke foreligger. Hastie, Tibshirani og Friedman (2009, § 7.10) gir dekning for refitten som forventnings</w:t>
      </w:r>
      <w:r>
        <w:rPr>
          <w:rFonts w:eastAsia="Times New Roman" w:cs="Times New Roman"/>
        </w:rPr>
        <w:softHyphen/>
        <w:t>argument, men ikke som garan</w:t>
      </w:r>
      <w:r>
        <w:rPr>
          <w:rFonts w:eastAsia="Times New Roman" w:cs="Times New Roman"/>
        </w:rPr>
        <w:t>ti. Strengere praksis ville beholdt prefit-modellen i produksjon (med 41 % færre trenings</w:t>
      </w:r>
      <w:r>
        <w:rPr>
          <w:rFonts w:eastAsia="Times New Roman" w:cs="Times New Roman"/>
        </w:rPr>
        <w:softHyphen/>
        <w:t xml:space="preserve">rader). Begrensningen lukkes først når 2026-data gir et nytt holdout (videre arbeid punkt 10), og samsvarer med peer-reviewens </w:t>
      </w:r>
      <w:r>
        <w:rPr>
          <w:rFonts w:eastAsia="Times New Roman" w:cs="Times New Roman"/>
          <w:i/>
          <w:iCs/>
        </w:rPr>
        <w:t>“valideringssettet til seleksjon, testsettet til endelig validering”</w:t>
      </w:r>
      <w:r>
        <w:rPr>
          <w:rFonts w:eastAsia="Times New Roman" w:cs="Times New Roman"/>
        </w:rPr>
        <w:t xml:space="preserve"> (Gruppe 10, 2026-05-07).</w:t>
      </w:r>
    </w:p>
    <w:p w14:paraId="1811E8A3" w14:textId="77777777" w:rsidR="003C788D" w:rsidRDefault="00AA7D12">
      <w:pPr>
        <w:pStyle w:val="Overskrift3"/>
      </w:pPr>
      <w:bookmarkStart w:id="95" w:name="kvantildekning"/>
      <w:bookmarkStart w:id="96" w:name="_Toc230777809"/>
      <w:bookmarkEnd w:id="93"/>
      <w:r>
        <w:t>8.2 Kvantil</w:t>
      </w:r>
      <w:r>
        <w:softHyphen/>
        <w:t>dekning</w:t>
      </w:r>
      <w:bookmarkEnd w:id="96"/>
    </w:p>
    <w:p w14:paraId="02166253" w14:textId="77777777" w:rsidR="003C788D" w:rsidRDefault="00AA7D12">
      <w:pPr>
        <w:pStyle w:val="FirstParagraph"/>
        <w:spacing w:line="360" w:lineRule="auto"/>
      </w:pPr>
      <w:r>
        <w:rPr>
          <w:rFonts w:eastAsia="Times New Roman" w:cs="Times New Roman"/>
        </w:rPr>
        <w:t xml:space="preserve">Empirisk dekning på valideringssettet for nominell P10–P90 er </w:t>
      </w:r>
      <w:r>
        <w:rPr>
          <w:rFonts w:eastAsia="Times New Roman" w:cs="Times New Roman"/>
          <w:b/>
          <w:bCs/>
        </w:rPr>
        <w:t>79,8 %</w:t>
      </w:r>
      <w:r>
        <w:rPr>
          <w:rFonts w:eastAsia="Times New Roman" w:cs="Times New Roman"/>
        </w:rPr>
        <w:t xml:space="preserve"> rå og </w:t>
      </w:r>
      <w:r>
        <w:rPr>
          <w:rFonts w:eastAsia="Times New Roman" w:cs="Times New Roman"/>
          <w:b/>
          <w:bCs/>
        </w:rPr>
        <w:t>80,0 %</w:t>
      </w:r>
      <w:r>
        <w:rPr>
          <w:rFonts w:eastAsia="Times New Roman" w:cs="Times New Roman"/>
        </w:rPr>
        <w:t xml:space="preserve"> etter CQR-justering. Per størrelseskategori varierer dekningen modest: Liten 83,0 % (n = 159), Mellomstor 74,3 % (n = 113) og Stor 80,7 % (n = 218). Mellomstor-gruppa er litt under nominelt nivå, hvilket er konsistent med at mellomstore yachter har færrest treningsrader (jf. §9.4).</w:t>
      </w:r>
    </w:p>
    <w:p w14:paraId="2FC6CAF7" w14:textId="77777777" w:rsidR="003C788D" w:rsidRDefault="00AA7D12">
      <w:pPr>
        <w:pStyle w:val="Overskrift3"/>
      </w:pPr>
      <w:bookmarkStart w:id="97" w:name="hybridkalibrert-anløpsestimat-eksempler"/>
      <w:bookmarkStart w:id="98" w:name="_Toc230777810"/>
      <w:bookmarkEnd w:id="95"/>
      <w:r>
        <w:t>8.3 Hybrid</w:t>
      </w:r>
      <w:r>
        <w:softHyphen/>
        <w:t>kalibrert anløps</w:t>
      </w:r>
      <w:r>
        <w:softHyphen/>
        <w:t>estimat — eksempler</w:t>
      </w:r>
      <w:bookmarkEnd w:id="98"/>
    </w:p>
    <w:p w14:paraId="78654424" w14:textId="77777777" w:rsidR="003C788D" w:rsidRDefault="00AA7D12">
      <w:pPr>
        <w:pStyle w:val="FirstParagraph"/>
        <w:spacing w:line="360" w:lineRule="auto"/>
      </w:pPr>
      <w:r>
        <w:rPr>
          <w:rFonts w:eastAsia="Times New Roman" w:cs="Times New Roman"/>
        </w:rPr>
        <w:t>Tallene i alle § 8.3-tabellene er i EUR (kildedata-enheten, jf. § 1.3). Frontend ganger med vekslings</w:t>
      </w:r>
      <w:r>
        <w:rPr>
          <w:rFonts w:eastAsia="Times New Roman" w:cs="Times New Roman"/>
        </w:rPr>
        <w:softHyphen/>
        <w:t xml:space="preserve">kursen i </w:t>
      </w:r>
      <w:r>
        <w:rPr>
          <w:rStyle w:val="VerbatimChar"/>
          <w:rFonts w:ascii="Times New Roman" w:eastAsia="Times New Roman" w:hAnsi="Times New Roman" w:cs="Times New Roman"/>
          <w:sz w:val="24"/>
        </w:rPr>
        <w:t>EXCHANGE_RATES_FROM_EUR</w:t>
      </w:r>
      <w:r>
        <w:rPr>
          <w:rFonts w:eastAsia="Times New Roman" w:cs="Times New Roman"/>
        </w:rPr>
        <w:t xml:space="preserve"> for visning i NOK eller DKK.</w:t>
      </w:r>
    </w:p>
    <w:p w14:paraId="5FF404D3" w14:textId="77777777" w:rsidR="003C788D" w:rsidRDefault="00AA7D12">
      <w:pPr>
        <w:pStyle w:val="Brdtekst"/>
        <w:spacing w:line="360" w:lineRule="auto"/>
      </w:pPr>
      <w:r>
        <w:rPr>
          <w:rFonts w:eastAsia="Times New Roman" w:cs="Times New Roman"/>
          <w:b/>
          <w:bCs/>
        </w:rPr>
        <w:t>Tabell 8.3a.</w:t>
      </w:r>
      <w:r>
        <w:rPr>
          <w:rFonts w:eastAsia="Times New Roman" w:cs="Times New Roman"/>
        </w:rPr>
        <w:t xml:space="preserve"> Norge — mellomstor yacht (GT = 500, LOA = 55 m), juli, 5 dager, medium drivstoff</w:t>
      </w:r>
      <w:r>
        <w:rPr>
          <w:rFonts w:eastAsia="Times New Roman" w:cs="Times New Roman"/>
        </w:rPr>
        <w:softHyphen/>
        <w:t>konsum.</w:t>
      </w:r>
    </w:p>
    <w:tbl>
      <w:tblPr>
        <w:tblStyle w:val="Table"/>
        <w:tblW w:w="0" w:type="auto"/>
        <w:tblLook w:val="0020" w:firstRow="1" w:lastRow="0" w:firstColumn="0" w:lastColumn="0" w:noHBand="0" w:noVBand="0"/>
      </w:tblPr>
      <w:tblGrid>
        <w:gridCol w:w="2036"/>
        <w:gridCol w:w="2536"/>
      </w:tblGrid>
      <w:tr w:rsidR="003C788D" w14:paraId="7835466E" w14:textId="77777777" w:rsidTr="003C788D">
        <w:trPr>
          <w:cnfStyle w:val="100000000000" w:firstRow="1" w:lastRow="0" w:firstColumn="0" w:lastColumn="0" w:oddVBand="0" w:evenVBand="0" w:oddHBand="0" w:evenHBand="0" w:firstRowFirstColumn="0" w:firstRowLastColumn="0" w:lastRowFirstColumn="0" w:lastRowLastColumn="0"/>
          <w:tblHeader/>
        </w:trPr>
        <w:tc>
          <w:tcPr>
            <w:tcW w:w="0" w:type="auto"/>
          </w:tcPr>
          <w:p w14:paraId="2F69F449" w14:textId="77777777" w:rsidR="003C788D" w:rsidRDefault="00AA7D12">
            <w:pPr>
              <w:pStyle w:val="Compact"/>
              <w:spacing w:line="360" w:lineRule="auto"/>
            </w:pPr>
            <w:r>
              <w:rPr>
                <w:rFonts w:eastAsia="Times New Roman" w:cs="Times New Roman"/>
              </w:rPr>
              <w:t>Tjeneste</w:t>
            </w:r>
            <w:r>
              <w:rPr>
                <w:rFonts w:eastAsia="Times New Roman" w:cs="Times New Roman"/>
              </w:rPr>
              <w:softHyphen/>
              <w:t>kategori</w:t>
            </w:r>
          </w:p>
        </w:tc>
        <w:tc>
          <w:tcPr>
            <w:tcW w:w="0" w:type="auto"/>
          </w:tcPr>
          <w:p w14:paraId="0ECD6200" w14:textId="77777777" w:rsidR="003C788D" w:rsidRDefault="00AA7D12">
            <w:pPr>
              <w:pStyle w:val="Compact"/>
              <w:spacing w:line="360" w:lineRule="auto"/>
              <w:jc w:val="right"/>
            </w:pPr>
            <w:r>
              <w:rPr>
                <w:rFonts w:eastAsia="Times New Roman" w:cs="Times New Roman"/>
              </w:rPr>
              <w:t>Estimert kostnad (EUR)</w:t>
            </w:r>
          </w:p>
        </w:tc>
      </w:tr>
      <w:tr w:rsidR="003C788D" w14:paraId="31479BED" w14:textId="77777777">
        <w:tc>
          <w:tcPr>
            <w:tcW w:w="0" w:type="auto"/>
          </w:tcPr>
          <w:p w14:paraId="2EDBDF26" w14:textId="77777777" w:rsidR="003C788D" w:rsidRDefault="00AA7D12">
            <w:pPr>
              <w:pStyle w:val="Compact"/>
              <w:spacing w:line="360" w:lineRule="auto"/>
            </w:pPr>
            <w:r>
              <w:rPr>
                <w:rFonts w:eastAsia="Times New Roman" w:cs="Times New Roman"/>
              </w:rPr>
              <w:t>Port Marina</w:t>
            </w:r>
          </w:p>
        </w:tc>
        <w:tc>
          <w:tcPr>
            <w:tcW w:w="0" w:type="auto"/>
          </w:tcPr>
          <w:p w14:paraId="440C91F1" w14:textId="77777777" w:rsidR="003C788D" w:rsidRDefault="00AA7D12">
            <w:pPr>
              <w:pStyle w:val="Compact"/>
              <w:spacing w:line="360" w:lineRule="auto"/>
              <w:jc w:val="right"/>
            </w:pPr>
            <w:r>
              <w:rPr>
                <w:rFonts w:eastAsia="Times New Roman" w:cs="Times New Roman"/>
              </w:rPr>
              <w:t>4 740</w:t>
            </w:r>
          </w:p>
        </w:tc>
      </w:tr>
      <w:tr w:rsidR="003C788D" w14:paraId="7EBE2AA3" w14:textId="77777777">
        <w:tc>
          <w:tcPr>
            <w:tcW w:w="0" w:type="auto"/>
          </w:tcPr>
          <w:p w14:paraId="2335909E" w14:textId="77777777" w:rsidR="003C788D" w:rsidRDefault="00AA7D12">
            <w:pPr>
              <w:pStyle w:val="Compact"/>
              <w:spacing w:line="360" w:lineRule="auto"/>
            </w:pPr>
            <w:r>
              <w:rPr>
                <w:rFonts w:eastAsia="Times New Roman" w:cs="Times New Roman"/>
              </w:rPr>
              <w:t>Agency Services</w:t>
            </w:r>
          </w:p>
        </w:tc>
        <w:tc>
          <w:tcPr>
            <w:tcW w:w="0" w:type="auto"/>
          </w:tcPr>
          <w:p w14:paraId="58F9B5BE" w14:textId="77777777" w:rsidR="003C788D" w:rsidRDefault="00AA7D12">
            <w:pPr>
              <w:pStyle w:val="Compact"/>
              <w:spacing w:line="360" w:lineRule="auto"/>
              <w:jc w:val="right"/>
            </w:pPr>
            <w:r>
              <w:rPr>
                <w:rFonts w:eastAsia="Times New Roman" w:cs="Times New Roman"/>
              </w:rPr>
              <w:t>2 523</w:t>
            </w:r>
          </w:p>
        </w:tc>
      </w:tr>
      <w:tr w:rsidR="003C788D" w14:paraId="7534444C" w14:textId="77777777">
        <w:tc>
          <w:tcPr>
            <w:tcW w:w="0" w:type="auto"/>
          </w:tcPr>
          <w:p w14:paraId="6076AFA4" w14:textId="77777777" w:rsidR="003C788D" w:rsidRDefault="00AA7D12">
            <w:pPr>
              <w:pStyle w:val="Compact"/>
              <w:spacing w:line="360" w:lineRule="auto"/>
            </w:pPr>
            <w:r>
              <w:rPr>
                <w:rFonts w:eastAsia="Times New Roman" w:cs="Times New Roman"/>
              </w:rPr>
              <w:t>Bunkering</w:t>
            </w:r>
          </w:p>
        </w:tc>
        <w:tc>
          <w:tcPr>
            <w:tcW w:w="0" w:type="auto"/>
          </w:tcPr>
          <w:p w14:paraId="443D0D4E" w14:textId="77777777" w:rsidR="003C788D" w:rsidRDefault="00AA7D12">
            <w:pPr>
              <w:pStyle w:val="Compact"/>
              <w:spacing w:line="360" w:lineRule="auto"/>
              <w:jc w:val="right"/>
            </w:pPr>
            <w:r>
              <w:rPr>
                <w:rFonts w:eastAsia="Times New Roman" w:cs="Times New Roman"/>
              </w:rPr>
              <w:t>2 202</w:t>
            </w:r>
          </w:p>
        </w:tc>
      </w:tr>
      <w:tr w:rsidR="003C788D" w14:paraId="20404678" w14:textId="77777777">
        <w:tc>
          <w:tcPr>
            <w:tcW w:w="0" w:type="auto"/>
          </w:tcPr>
          <w:p w14:paraId="712D0514" w14:textId="77777777" w:rsidR="003C788D" w:rsidRDefault="00AA7D12">
            <w:pPr>
              <w:pStyle w:val="Compact"/>
              <w:spacing w:line="360" w:lineRule="auto"/>
            </w:pPr>
            <w:r>
              <w:rPr>
                <w:rFonts w:eastAsia="Times New Roman" w:cs="Times New Roman"/>
              </w:rPr>
              <w:t>Hospitality</w:t>
            </w:r>
          </w:p>
        </w:tc>
        <w:tc>
          <w:tcPr>
            <w:tcW w:w="0" w:type="auto"/>
          </w:tcPr>
          <w:p w14:paraId="6728B8A4" w14:textId="77777777" w:rsidR="003C788D" w:rsidRDefault="00AA7D12">
            <w:pPr>
              <w:pStyle w:val="Compact"/>
              <w:spacing w:line="360" w:lineRule="auto"/>
              <w:jc w:val="right"/>
            </w:pPr>
            <w:r>
              <w:rPr>
                <w:rFonts w:eastAsia="Times New Roman" w:cs="Times New Roman"/>
              </w:rPr>
              <w:t>1 976</w:t>
            </w:r>
          </w:p>
        </w:tc>
      </w:tr>
      <w:tr w:rsidR="003C788D" w14:paraId="17079188" w14:textId="77777777">
        <w:tc>
          <w:tcPr>
            <w:tcW w:w="0" w:type="auto"/>
          </w:tcPr>
          <w:p w14:paraId="5CDC29BB" w14:textId="77777777" w:rsidR="003C788D" w:rsidRDefault="00AA7D12">
            <w:pPr>
              <w:pStyle w:val="Compact"/>
              <w:spacing w:line="360" w:lineRule="auto"/>
            </w:pPr>
            <w:r>
              <w:rPr>
                <w:rFonts w:eastAsia="Times New Roman" w:cs="Times New Roman"/>
              </w:rPr>
              <w:t>Technical Services</w:t>
            </w:r>
          </w:p>
        </w:tc>
        <w:tc>
          <w:tcPr>
            <w:tcW w:w="0" w:type="auto"/>
          </w:tcPr>
          <w:p w14:paraId="0539D75C" w14:textId="77777777" w:rsidR="003C788D" w:rsidRDefault="00AA7D12">
            <w:pPr>
              <w:pStyle w:val="Compact"/>
              <w:spacing w:line="360" w:lineRule="auto"/>
              <w:jc w:val="right"/>
            </w:pPr>
            <w:r>
              <w:rPr>
                <w:rFonts w:eastAsia="Times New Roman" w:cs="Times New Roman"/>
              </w:rPr>
              <w:t>1 826</w:t>
            </w:r>
          </w:p>
        </w:tc>
      </w:tr>
      <w:tr w:rsidR="003C788D" w14:paraId="1A3A41DC" w14:textId="77777777">
        <w:tc>
          <w:tcPr>
            <w:tcW w:w="0" w:type="auto"/>
          </w:tcPr>
          <w:p w14:paraId="1866CF39" w14:textId="77777777" w:rsidR="003C788D" w:rsidRDefault="00AA7D12">
            <w:pPr>
              <w:pStyle w:val="Compact"/>
              <w:spacing w:line="360" w:lineRule="auto"/>
            </w:pPr>
            <w:r>
              <w:rPr>
                <w:rFonts w:eastAsia="Times New Roman" w:cs="Times New Roman"/>
              </w:rPr>
              <w:t>Provisioning</w:t>
            </w:r>
          </w:p>
        </w:tc>
        <w:tc>
          <w:tcPr>
            <w:tcW w:w="0" w:type="auto"/>
          </w:tcPr>
          <w:p w14:paraId="3B2875C1" w14:textId="77777777" w:rsidR="003C788D" w:rsidRDefault="00AA7D12">
            <w:pPr>
              <w:pStyle w:val="Compact"/>
              <w:spacing w:line="360" w:lineRule="auto"/>
              <w:jc w:val="right"/>
            </w:pPr>
            <w:r>
              <w:rPr>
                <w:rFonts w:eastAsia="Times New Roman" w:cs="Times New Roman"/>
              </w:rPr>
              <w:t>1 204</w:t>
            </w:r>
          </w:p>
        </w:tc>
      </w:tr>
      <w:tr w:rsidR="003C788D" w14:paraId="6B95F093" w14:textId="77777777">
        <w:tc>
          <w:tcPr>
            <w:tcW w:w="0" w:type="auto"/>
          </w:tcPr>
          <w:p w14:paraId="47FD591B" w14:textId="77777777" w:rsidR="003C788D" w:rsidRDefault="00AA7D12">
            <w:pPr>
              <w:pStyle w:val="Compact"/>
              <w:spacing w:line="360" w:lineRule="auto"/>
            </w:pPr>
            <w:r>
              <w:rPr>
                <w:rFonts w:eastAsia="Times New Roman" w:cs="Times New Roman"/>
              </w:rPr>
              <w:t>Agency Fee</w:t>
            </w:r>
          </w:p>
        </w:tc>
        <w:tc>
          <w:tcPr>
            <w:tcW w:w="0" w:type="auto"/>
          </w:tcPr>
          <w:p w14:paraId="5D5045E3" w14:textId="77777777" w:rsidR="003C788D" w:rsidRDefault="00AA7D12">
            <w:pPr>
              <w:pStyle w:val="Compact"/>
              <w:spacing w:line="360" w:lineRule="auto"/>
              <w:jc w:val="right"/>
            </w:pPr>
            <w:r>
              <w:rPr>
                <w:rFonts w:eastAsia="Times New Roman" w:cs="Times New Roman"/>
              </w:rPr>
              <w:t>620</w:t>
            </w:r>
          </w:p>
        </w:tc>
      </w:tr>
      <w:tr w:rsidR="003C788D" w14:paraId="306E0B84" w14:textId="77777777">
        <w:tc>
          <w:tcPr>
            <w:tcW w:w="0" w:type="auto"/>
          </w:tcPr>
          <w:p w14:paraId="723B32CE" w14:textId="77777777" w:rsidR="003C788D" w:rsidRDefault="00AA7D12">
            <w:pPr>
              <w:pStyle w:val="Compact"/>
              <w:spacing w:line="360" w:lineRule="auto"/>
            </w:pPr>
            <w:r>
              <w:rPr>
                <w:rFonts w:eastAsia="Times New Roman" w:cs="Times New Roman"/>
                <w:b/>
                <w:bCs/>
              </w:rPr>
              <w:t>Totalt</w:t>
            </w:r>
          </w:p>
        </w:tc>
        <w:tc>
          <w:tcPr>
            <w:tcW w:w="0" w:type="auto"/>
          </w:tcPr>
          <w:p w14:paraId="64190F55" w14:textId="77777777" w:rsidR="003C788D" w:rsidRDefault="00AA7D12">
            <w:pPr>
              <w:pStyle w:val="Compact"/>
              <w:spacing w:line="360" w:lineRule="auto"/>
              <w:jc w:val="right"/>
            </w:pPr>
            <w:r>
              <w:rPr>
                <w:rFonts w:eastAsia="Times New Roman" w:cs="Times New Roman"/>
                <w:b/>
                <w:bCs/>
              </w:rPr>
              <w:t>15 091</w:t>
            </w:r>
          </w:p>
        </w:tc>
      </w:tr>
    </w:tbl>
    <w:p w14:paraId="08BCA66A" w14:textId="77777777" w:rsidR="003C788D" w:rsidRDefault="00AA7D12">
      <w:pPr>
        <w:pStyle w:val="Brdtekst"/>
        <w:spacing w:line="360" w:lineRule="auto"/>
      </w:pPr>
      <w:r>
        <w:rPr>
          <w:rFonts w:eastAsia="Times New Roman" w:cs="Times New Roman"/>
        </w:rPr>
        <w:t xml:space="preserve">Trafikkvektet historisk spenn (P25 / P50 / P75): </w:t>
      </w:r>
      <w:r>
        <w:rPr>
          <w:rFonts w:eastAsia="Times New Roman" w:cs="Times New Roman"/>
          <w:b/>
          <w:bCs/>
        </w:rPr>
        <w:t>11 779 / 15 094 / 23 710 EUR</w:t>
      </w:r>
      <w:r>
        <w:rPr>
          <w:rFonts w:eastAsia="Times New Roman" w:cs="Times New Roman"/>
        </w:rPr>
        <w:t>. Modell</w:t>
      </w:r>
      <w:r>
        <w:rPr>
          <w:rFonts w:eastAsia="Times New Roman" w:cs="Times New Roman"/>
        </w:rPr>
        <w:softHyphen/>
        <w:t>estimatet ligger praktisk talt på medianen, hvilket bekrefter at kalibrerings</w:t>
      </w:r>
      <w:r>
        <w:rPr>
          <w:rFonts w:eastAsia="Times New Roman" w:cs="Times New Roman"/>
        </w:rPr>
        <w:softHyphen/>
        <w:t>steget i § 6.5 fungerer som tiltenkt.</w:t>
      </w:r>
    </w:p>
    <w:p w14:paraId="4848F3B8" w14:textId="77777777" w:rsidR="003C788D" w:rsidRDefault="00AA7D12">
      <w:pPr>
        <w:pStyle w:val="Brdtekst"/>
        <w:spacing w:line="360" w:lineRule="auto"/>
      </w:pPr>
      <w:r>
        <w:rPr>
          <w:rFonts w:eastAsia="Times New Roman" w:cs="Times New Roman"/>
          <w:b/>
          <w:bCs/>
        </w:rPr>
        <w:t>Tabell 8.3b.</w:t>
      </w:r>
      <w:r>
        <w:rPr>
          <w:rFonts w:eastAsia="Times New Roman" w:cs="Times New Roman"/>
        </w:rPr>
        <w:t xml:space="preserve"> </w:t>
      </w:r>
      <w:r>
        <w:rPr>
          <w:rFonts w:eastAsia="Times New Roman" w:cs="Times New Roman"/>
        </w:rPr>
        <w:t>Sverige — mellomstor yacht (GT = 500, LOA = 55 m), juli, 5 dager, medium drivstoff.</w:t>
      </w:r>
    </w:p>
    <w:tbl>
      <w:tblPr>
        <w:tblStyle w:val="Table"/>
        <w:tblW w:w="0" w:type="auto"/>
        <w:tblLook w:val="0020" w:firstRow="1" w:lastRow="0" w:firstColumn="0" w:lastColumn="0" w:noHBand="0" w:noVBand="0"/>
      </w:tblPr>
      <w:tblGrid>
        <w:gridCol w:w="2036"/>
        <w:gridCol w:w="2536"/>
      </w:tblGrid>
      <w:tr w:rsidR="003C788D" w14:paraId="1F045A1B" w14:textId="77777777" w:rsidTr="003C788D">
        <w:trPr>
          <w:cnfStyle w:val="100000000000" w:firstRow="1" w:lastRow="0" w:firstColumn="0" w:lastColumn="0" w:oddVBand="0" w:evenVBand="0" w:oddHBand="0" w:evenHBand="0" w:firstRowFirstColumn="0" w:firstRowLastColumn="0" w:lastRowFirstColumn="0" w:lastRowLastColumn="0"/>
          <w:tblHeader/>
        </w:trPr>
        <w:tc>
          <w:tcPr>
            <w:tcW w:w="0" w:type="auto"/>
          </w:tcPr>
          <w:p w14:paraId="31BAB110" w14:textId="77777777" w:rsidR="003C788D" w:rsidRDefault="00AA7D12">
            <w:pPr>
              <w:pStyle w:val="Compact"/>
              <w:spacing w:line="360" w:lineRule="auto"/>
            </w:pPr>
            <w:r>
              <w:rPr>
                <w:rFonts w:eastAsia="Times New Roman" w:cs="Times New Roman"/>
              </w:rPr>
              <w:t>Tjeneste</w:t>
            </w:r>
            <w:r>
              <w:rPr>
                <w:rFonts w:eastAsia="Times New Roman" w:cs="Times New Roman"/>
              </w:rPr>
              <w:softHyphen/>
              <w:t>kategori</w:t>
            </w:r>
          </w:p>
        </w:tc>
        <w:tc>
          <w:tcPr>
            <w:tcW w:w="0" w:type="auto"/>
          </w:tcPr>
          <w:p w14:paraId="622776C5" w14:textId="77777777" w:rsidR="003C788D" w:rsidRDefault="00AA7D12">
            <w:pPr>
              <w:pStyle w:val="Compact"/>
              <w:spacing w:line="360" w:lineRule="auto"/>
              <w:jc w:val="right"/>
            </w:pPr>
            <w:r>
              <w:rPr>
                <w:rFonts w:eastAsia="Times New Roman" w:cs="Times New Roman"/>
              </w:rPr>
              <w:t>Estimert kostnad (EUR)</w:t>
            </w:r>
          </w:p>
        </w:tc>
      </w:tr>
      <w:tr w:rsidR="003C788D" w14:paraId="2D1FAC4B" w14:textId="77777777">
        <w:tc>
          <w:tcPr>
            <w:tcW w:w="0" w:type="auto"/>
          </w:tcPr>
          <w:p w14:paraId="05017EED" w14:textId="77777777" w:rsidR="003C788D" w:rsidRDefault="00AA7D12">
            <w:pPr>
              <w:pStyle w:val="Compact"/>
              <w:spacing w:line="360" w:lineRule="auto"/>
            </w:pPr>
            <w:r>
              <w:rPr>
                <w:rFonts w:eastAsia="Times New Roman" w:cs="Times New Roman"/>
              </w:rPr>
              <w:t>Bunkering</w:t>
            </w:r>
          </w:p>
        </w:tc>
        <w:tc>
          <w:tcPr>
            <w:tcW w:w="0" w:type="auto"/>
          </w:tcPr>
          <w:p w14:paraId="256EF7A8" w14:textId="77777777" w:rsidR="003C788D" w:rsidRDefault="00AA7D12">
            <w:pPr>
              <w:pStyle w:val="Compact"/>
              <w:spacing w:line="360" w:lineRule="auto"/>
              <w:jc w:val="right"/>
            </w:pPr>
            <w:r>
              <w:rPr>
                <w:rFonts w:eastAsia="Times New Roman" w:cs="Times New Roman"/>
              </w:rPr>
              <w:t>5 151</w:t>
            </w:r>
          </w:p>
        </w:tc>
      </w:tr>
      <w:tr w:rsidR="003C788D" w14:paraId="10350290" w14:textId="77777777">
        <w:tc>
          <w:tcPr>
            <w:tcW w:w="0" w:type="auto"/>
          </w:tcPr>
          <w:p w14:paraId="33217EEE" w14:textId="77777777" w:rsidR="003C788D" w:rsidRDefault="00AA7D12">
            <w:pPr>
              <w:pStyle w:val="Compact"/>
              <w:spacing w:line="360" w:lineRule="auto"/>
            </w:pPr>
            <w:r>
              <w:rPr>
                <w:rFonts w:eastAsia="Times New Roman" w:cs="Times New Roman"/>
              </w:rPr>
              <w:t>Port Marina</w:t>
            </w:r>
          </w:p>
        </w:tc>
        <w:tc>
          <w:tcPr>
            <w:tcW w:w="0" w:type="auto"/>
          </w:tcPr>
          <w:p w14:paraId="270F4774" w14:textId="77777777" w:rsidR="003C788D" w:rsidRDefault="00AA7D12">
            <w:pPr>
              <w:pStyle w:val="Compact"/>
              <w:spacing w:line="360" w:lineRule="auto"/>
              <w:jc w:val="right"/>
            </w:pPr>
            <w:r>
              <w:rPr>
                <w:rFonts w:eastAsia="Times New Roman" w:cs="Times New Roman"/>
              </w:rPr>
              <w:t>4 525</w:t>
            </w:r>
          </w:p>
        </w:tc>
      </w:tr>
      <w:tr w:rsidR="003C788D" w14:paraId="56F4FA8A" w14:textId="77777777">
        <w:tc>
          <w:tcPr>
            <w:tcW w:w="0" w:type="auto"/>
          </w:tcPr>
          <w:p w14:paraId="5CB0047C" w14:textId="77777777" w:rsidR="003C788D" w:rsidRDefault="00AA7D12">
            <w:pPr>
              <w:pStyle w:val="Compact"/>
              <w:spacing w:line="360" w:lineRule="auto"/>
            </w:pPr>
            <w:r>
              <w:rPr>
                <w:rFonts w:eastAsia="Times New Roman" w:cs="Times New Roman"/>
              </w:rPr>
              <w:t>Provisioning</w:t>
            </w:r>
          </w:p>
        </w:tc>
        <w:tc>
          <w:tcPr>
            <w:tcW w:w="0" w:type="auto"/>
          </w:tcPr>
          <w:p w14:paraId="67A8EF66" w14:textId="77777777" w:rsidR="003C788D" w:rsidRDefault="00AA7D12">
            <w:pPr>
              <w:pStyle w:val="Compact"/>
              <w:spacing w:line="360" w:lineRule="auto"/>
              <w:jc w:val="right"/>
            </w:pPr>
            <w:r>
              <w:rPr>
                <w:rFonts w:eastAsia="Times New Roman" w:cs="Times New Roman"/>
              </w:rPr>
              <w:t>1 896</w:t>
            </w:r>
          </w:p>
        </w:tc>
      </w:tr>
      <w:tr w:rsidR="003C788D" w14:paraId="1D4B5DA6" w14:textId="77777777">
        <w:tc>
          <w:tcPr>
            <w:tcW w:w="0" w:type="auto"/>
          </w:tcPr>
          <w:p w14:paraId="0F3C5BD9" w14:textId="77777777" w:rsidR="003C788D" w:rsidRDefault="00AA7D12">
            <w:pPr>
              <w:pStyle w:val="Compact"/>
              <w:spacing w:line="360" w:lineRule="auto"/>
            </w:pPr>
            <w:r>
              <w:rPr>
                <w:rFonts w:eastAsia="Times New Roman" w:cs="Times New Roman"/>
              </w:rPr>
              <w:t>Hospitality</w:t>
            </w:r>
          </w:p>
        </w:tc>
        <w:tc>
          <w:tcPr>
            <w:tcW w:w="0" w:type="auto"/>
          </w:tcPr>
          <w:p w14:paraId="199C53E6" w14:textId="77777777" w:rsidR="003C788D" w:rsidRDefault="00AA7D12">
            <w:pPr>
              <w:pStyle w:val="Compact"/>
              <w:spacing w:line="360" w:lineRule="auto"/>
              <w:jc w:val="right"/>
            </w:pPr>
            <w:r>
              <w:rPr>
                <w:rFonts w:eastAsia="Times New Roman" w:cs="Times New Roman"/>
              </w:rPr>
              <w:t>1 568</w:t>
            </w:r>
          </w:p>
        </w:tc>
      </w:tr>
      <w:tr w:rsidR="003C788D" w14:paraId="3C88A530" w14:textId="77777777">
        <w:tc>
          <w:tcPr>
            <w:tcW w:w="0" w:type="auto"/>
          </w:tcPr>
          <w:p w14:paraId="6F545A88" w14:textId="77777777" w:rsidR="003C788D" w:rsidRDefault="00AA7D12">
            <w:pPr>
              <w:pStyle w:val="Compact"/>
              <w:spacing w:line="360" w:lineRule="auto"/>
            </w:pPr>
            <w:r>
              <w:rPr>
                <w:rFonts w:eastAsia="Times New Roman" w:cs="Times New Roman"/>
              </w:rPr>
              <w:t>Agency Services</w:t>
            </w:r>
          </w:p>
        </w:tc>
        <w:tc>
          <w:tcPr>
            <w:tcW w:w="0" w:type="auto"/>
          </w:tcPr>
          <w:p w14:paraId="1221FA36" w14:textId="77777777" w:rsidR="003C788D" w:rsidRDefault="00AA7D12">
            <w:pPr>
              <w:pStyle w:val="Compact"/>
              <w:spacing w:line="360" w:lineRule="auto"/>
              <w:jc w:val="right"/>
            </w:pPr>
            <w:r>
              <w:rPr>
                <w:rFonts w:eastAsia="Times New Roman" w:cs="Times New Roman"/>
              </w:rPr>
              <w:t>1 410</w:t>
            </w:r>
          </w:p>
        </w:tc>
      </w:tr>
      <w:tr w:rsidR="003C788D" w14:paraId="3E8CE2F8" w14:textId="77777777">
        <w:tc>
          <w:tcPr>
            <w:tcW w:w="0" w:type="auto"/>
          </w:tcPr>
          <w:p w14:paraId="6135E56C" w14:textId="77777777" w:rsidR="003C788D" w:rsidRDefault="00AA7D12">
            <w:pPr>
              <w:pStyle w:val="Compact"/>
              <w:spacing w:line="360" w:lineRule="auto"/>
            </w:pPr>
            <w:r>
              <w:rPr>
                <w:rFonts w:eastAsia="Times New Roman" w:cs="Times New Roman"/>
              </w:rPr>
              <w:t>Technical Services</w:t>
            </w:r>
          </w:p>
        </w:tc>
        <w:tc>
          <w:tcPr>
            <w:tcW w:w="0" w:type="auto"/>
          </w:tcPr>
          <w:p w14:paraId="6BAF48E8" w14:textId="77777777" w:rsidR="003C788D" w:rsidRDefault="00AA7D12">
            <w:pPr>
              <w:pStyle w:val="Compact"/>
              <w:spacing w:line="360" w:lineRule="auto"/>
              <w:jc w:val="right"/>
            </w:pPr>
            <w:r>
              <w:rPr>
                <w:rFonts w:eastAsia="Times New Roman" w:cs="Times New Roman"/>
              </w:rPr>
              <w:t>1 240</w:t>
            </w:r>
          </w:p>
        </w:tc>
      </w:tr>
      <w:tr w:rsidR="003C788D" w14:paraId="3F06F045" w14:textId="77777777">
        <w:tc>
          <w:tcPr>
            <w:tcW w:w="0" w:type="auto"/>
          </w:tcPr>
          <w:p w14:paraId="3DEC1325" w14:textId="77777777" w:rsidR="003C788D" w:rsidRDefault="00AA7D12">
            <w:pPr>
              <w:pStyle w:val="Compact"/>
              <w:spacing w:line="360" w:lineRule="auto"/>
            </w:pPr>
            <w:r>
              <w:rPr>
                <w:rFonts w:eastAsia="Times New Roman" w:cs="Times New Roman"/>
              </w:rPr>
              <w:t>Agency Fee</w:t>
            </w:r>
          </w:p>
        </w:tc>
        <w:tc>
          <w:tcPr>
            <w:tcW w:w="0" w:type="auto"/>
          </w:tcPr>
          <w:p w14:paraId="24A73E1F" w14:textId="77777777" w:rsidR="003C788D" w:rsidRDefault="00AA7D12">
            <w:pPr>
              <w:pStyle w:val="Compact"/>
              <w:spacing w:line="360" w:lineRule="auto"/>
              <w:jc w:val="right"/>
            </w:pPr>
            <w:r>
              <w:rPr>
                <w:rFonts w:eastAsia="Times New Roman" w:cs="Times New Roman"/>
              </w:rPr>
              <w:t>1 114</w:t>
            </w:r>
          </w:p>
        </w:tc>
      </w:tr>
      <w:tr w:rsidR="003C788D" w14:paraId="64DB8CBD" w14:textId="77777777">
        <w:tc>
          <w:tcPr>
            <w:tcW w:w="0" w:type="auto"/>
          </w:tcPr>
          <w:p w14:paraId="083C6C13" w14:textId="77777777" w:rsidR="003C788D" w:rsidRDefault="00AA7D12">
            <w:pPr>
              <w:pStyle w:val="Compact"/>
              <w:spacing w:line="360" w:lineRule="auto"/>
            </w:pPr>
            <w:r>
              <w:rPr>
                <w:rFonts w:eastAsia="Times New Roman" w:cs="Times New Roman"/>
                <w:b/>
                <w:bCs/>
              </w:rPr>
              <w:t>Totalt</w:t>
            </w:r>
          </w:p>
        </w:tc>
        <w:tc>
          <w:tcPr>
            <w:tcW w:w="0" w:type="auto"/>
          </w:tcPr>
          <w:p w14:paraId="110AC2B0" w14:textId="77777777" w:rsidR="003C788D" w:rsidRDefault="00AA7D12">
            <w:pPr>
              <w:pStyle w:val="Compact"/>
              <w:spacing w:line="360" w:lineRule="auto"/>
              <w:jc w:val="right"/>
            </w:pPr>
            <w:r>
              <w:rPr>
                <w:rFonts w:eastAsia="Times New Roman" w:cs="Times New Roman"/>
                <w:b/>
                <w:bCs/>
              </w:rPr>
              <w:t>16 904</w:t>
            </w:r>
          </w:p>
        </w:tc>
      </w:tr>
    </w:tbl>
    <w:p w14:paraId="55B30E58" w14:textId="77777777" w:rsidR="003C788D" w:rsidRDefault="00AA7D12">
      <w:pPr>
        <w:pStyle w:val="Brdtekst"/>
        <w:spacing w:line="360" w:lineRule="auto"/>
      </w:pPr>
      <w:r>
        <w:rPr>
          <w:rFonts w:eastAsia="Times New Roman" w:cs="Times New Roman"/>
        </w:rPr>
        <w:t xml:space="preserve">Trafikkvektet historisk spenn (P25 / P50 / P75): </w:t>
      </w:r>
      <w:r>
        <w:rPr>
          <w:rFonts w:eastAsia="Times New Roman" w:cs="Times New Roman"/>
          <w:b/>
          <w:bCs/>
        </w:rPr>
        <w:t>14 508 / 16 904 / 41 833 EUR</w:t>
      </w:r>
      <w:r>
        <w:rPr>
          <w:rFonts w:eastAsia="Times New Roman" w:cs="Times New Roman"/>
        </w:rPr>
        <w:t>.</w:t>
      </w:r>
    </w:p>
    <w:p w14:paraId="513A1E15" w14:textId="77777777" w:rsidR="003C788D" w:rsidRDefault="00AA7D12">
      <w:pPr>
        <w:pStyle w:val="Brdtekst"/>
        <w:spacing w:line="360" w:lineRule="auto"/>
      </w:pPr>
      <w:r>
        <w:rPr>
          <w:rFonts w:eastAsia="Times New Roman" w:cs="Times New Roman"/>
          <w:b/>
          <w:bCs/>
        </w:rPr>
        <w:t>Tabell 8.3c.</w:t>
      </w:r>
      <w:r>
        <w:rPr>
          <w:rFonts w:eastAsia="Times New Roman" w:cs="Times New Roman"/>
        </w:rPr>
        <w:t xml:space="preserve"> Danmark — mellomstor yacht (GT = 500, LOA = 55 m), juli, 5 dager, medium drivstoff.</w:t>
      </w:r>
    </w:p>
    <w:tbl>
      <w:tblPr>
        <w:tblStyle w:val="Table"/>
        <w:tblW w:w="0" w:type="auto"/>
        <w:tblLook w:val="0020" w:firstRow="1" w:lastRow="0" w:firstColumn="0" w:lastColumn="0" w:noHBand="0" w:noVBand="0"/>
      </w:tblPr>
      <w:tblGrid>
        <w:gridCol w:w="2036"/>
        <w:gridCol w:w="2536"/>
      </w:tblGrid>
      <w:tr w:rsidR="003C788D" w14:paraId="74EB5DFA" w14:textId="77777777" w:rsidTr="003C788D">
        <w:trPr>
          <w:cnfStyle w:val="100000000000" w:firstRow="1" w:lastRow="0" w:firstColumn="0" w:lastColumn="0" w:oddVBand="0" w:evenVBand="0" w:oddHBand="0" w:evenHBand="0" w:firstRowFirstColumn="0" w:firstRowLastColumn="0" w:lastRowFirstColumn="0" w:lastRowLastColumn="0"/>
          <w:tblHeader/>
        </w:trPr>
        <w:tc>
          <w:tcPr>
            <w:tcW w:w="0" w:type="auto"/>
          </w:tcPr>
          <w:p w14:paraId="3DA0FCD9" w14:textId="77777777" w:rsidR="003C788D" w:rsidRDefault="00AA7D12">
            <w:pPr>
              <w:pStyle w:val="Compact"/>
              <w:spacing w:line="360" w:lineRule="auto"/>
            </w:pPr>
            <w:r>
              <w:rPr>
                <w:rFonts w:eastAsia="Times New Roman" w:cs="Times New Roman"/>
              </w:rPr>
              <w:t>Tjeneste</w:t>
            </w:r>
            <w:r>
              <w:rPr>
                <w:rFonts w:eastAsia="Times New Roman" w:cs="Times New Roman"/>
              </w:rPr>
              <w:softHyphen/>
              <w:t>kategori</w:t>
            </w:r>
          </w:p>
        </w:tc>
        <w:tc>
          <w:tcPr>
            <w:tcW w:w="0" w:type="auto"/>
          </w:tcPr>
          <w:p w14:paraId="6410D5EA" w14:textId="77777777" w:rsidR="003C788D" w:rsidRDefault="00AA7D12">
            <w:pPr>
              <w:pStyle w:val="Compact"/>
              <w:spacing w:line="360" w:lineRule="auto"/>
              <w:jc w:val="right"/>
            </w:pPr>
            <w:r>
              <w:rPr>
                <w:rFonts w:eastAsia="Times New Roman" w:cs="Times New Roman"/>
              </w:rPr>
              <w:t>Estimert kostnad (EUR)</w:t>
            </w:r>
          </w:p>
        </w:tc>
      </w:tr>
      <w:tr w:rsidR="003C788D" w14:paraId="40060FE9" w14:textId="77777777">
        <w:tc>
          <w:tcPr>
            <w:tcW w:w="0" w:type="auto"/>
          </w:tcPr>
          <w:p w14:paraId="04813636" w14:textId="77777777" w:rsidR="003C788D" w:rsidRDefault="00AA7D12">
            <w:pPr>
              <w:pStyle w:val="Compact"/>
              <w:spacing w:line="360" w:lineRule="auto"/>
            </w:pPr>
            <w:r>
              <w:rPr>
                <w:rFonts w:eastAsia="Times New Roman" w:cs="Times New Roman"/>
              </w:rPr>
              <w:t>Port Marina</w:t>
            </w:r>
          </w:p>
        </w:tc>
        <w:tc>
          <w:tcPr>
            <w:tcW w:w="0" w:type="auto"/>
          </w:tcPr>
          <w:p w14:paraId="6C0968CA" w14:textId="77777777" w:rsidR="003C788D" w:rsidRDefault="00AA7D12">
            <w:pPr>
              <w:pStyle w:val="Compact"/>
              <w:spacing w:line="360" w:lineRule="auto"/>
              <w:jc w:val="right"/>
            </w:pPr>
            <w:r>
              <w:rPr>
                <w:rFonts w:eastAsia="Times New Roman" w:cs="Times New Roman"/>
              </w:rPr>
              <w:t>8 732</w:t>
            </w:r>
          </w:p>
        </w:tc>
      </w:tr>
      <w:tr w:rsidR="003C788D" w14:paraId="4E553999" w14:textId="77777777">
        <w:tc>
          <w:tcPr>
            <w:tcW w:w="0" w:type="auto"/>
          </w:tcPr>
          <w:p w14:paraId="439D214E" w14:textId="77777777" w:rsidR="003C788D" w:rsidRDefault="00AA7D12">
            <w:pPr>
              <w:pStyle w:val="Compact"/>
              <w:spacing w:line="360" w:lineRule="auto"/>
            </w:pPr>
            <w:r>
              <w:rPr>
                <w:rFonts w:eastAsia="Times New Roman" w:cs="Times New Roman"/>
              </w:rPr>
              <w:t>Bunkering</w:t>
            </w:r>
          </w:p>
        </w:tc>
        <w:tc>
          <w:tcPr>
            <w:tcW w:w="0" w:type="auto"/>
          </w:tcPr>
          <w:p w14:paraId="7E1387FF" w14:textId="77777777" w:rsidR="003C788D" w:rsidRDefault="00AA7D12">
            <w:pPr>
              <w:pStyle w:val="Compact"/>
              <w:spacing w:line="360" w:lineRule="auto"/>
              <w:jc w:val="right"/>
            </w:pPr>
            <w:r>
              <w:rPr>
                <w:rFonts w:eastAsia="Times New Roman" w:cs="Times New Roman"/>
              </w:rPr>
              <w:t>6 300</w:t>
            </w:r>
          </w:p>
        </w:tc>
      </w:tr>
      <w:tr w:rsidR="003C788D" w14:paraId="54F87062" w14:textId="77777777">
        <w:tc>
          <w:tcPr>
            <w:tcW w:w="0" w:type="auto"/>
          </w:tcPr>
          <w:p w14:paraId="368F7514" w14:textId="77777777" w:rsidR="003C788D" w:rsidRDefault="00AA7D12">
            <w:pPr>
              <w:pStyle w:val="Compact"/>
              <w:spacing w:line="360" w:lineRule="auto"/>
            </w:pPr>
            <w:r>
              <w:rPr>
                <w:rFonts w:eastAsia="Times New Roman" w:cs="Times New Roman"/>
              </w:rPr>
              <w:t>Hospitality</w:t>
            </w:r>
          </w:p>
        </w:tc>
        <w:tc>
          <w:tcPr>
            <w:tcW w:w="0" w:type="auto"/>
          </w:tcPr>
          <w:p w14:paraId="388B5995" w14:textId="77777777" w:rsidR="003C788D" w:rsidRDefault="00AA7D12">
            <w:pPr>
              <w:pStyle w:val="Compact"/>
              <w:spacing w:line="360" w:lineRule="auto"/>
              <w:jc w:val="right"/>
            </w:pPr>
            <w:r>
              <w:rPr>
                <w:rFonts w:eastAsia="Times New Roman" w:cs="Times New Roman"/>
              </w:rPr>
              <w:t>4 412</w:t>
            </w:r>
          </w:p>
        </w:tc>
      </w:tr>
      <w:tr w:rsidR="003C788D" w14:paraId="05D3D829" w14:textId="77777777">
        <w:tc>
          <w:tcPr>
            <w:tcW w:w="0" w:type="auto"/>
          </w:tcPr>
          <w:p w14:paraId="59FC55D6" w14:textId="77777777" w:rsidR="003C788D" w:rsidRDefault="00AA7D12">
            <w:pPr>
              <w:pStyle w:val="Compact"/>
              <w:spacing w:line="360" w:lineRule="auto"/>
            </w:pPr>
            <w:r>
              <w:rPr>
                <w:rFonts w:eastAsia="Times New Roman" w:cs="Times New Roman"/>
              </w:rPr>
              <w:t>Provisioning</w:t>
            </w:r>
          </w:p>
        </w:tc>
        <w:tc>
          <w:tcPr>
            <w:tcW w:w="0" w:type="auto"/>
          </w:tcPr>
          <w:p w14:paraId="4075E4B5" w14:textId="77777777" w:rsidR="003C788D" w:rsidRDefault="00AA7D12">
            <w:pPr>
              <w:pStyle w:val="Compact"/>
              <w:spacing w:line="360" w:lineRule="auto"/>
              <w:jc w:val="right"/>
            </w:pPr>
            <w:r>
              <w:rPr>
                <w:rFonts w:eastAsia="Times New Roman" w:cs="Times New Roman"/>
              </w:rPr>
              <w:t>4 259</w:t>
            </w:r>
          </w:p>
        </w:tc>
      </w:tr>
      <w:tr w:rsidR="003C788D" w14:paraId="513F2C29" w14:textId="77777777">
        <w:tc>
          <w:tcPr>
            <w:tcW w:w="0" w:type="auto"/>
          </w:tcPr>
          <w:p w14:paraId="2B185FA8" w14:textId="77777777" w:rsidR="003C788D" w:rsidRDefault="00AA7D12">
            <w:pPr>
              <w:pStyle w:val="Compact"/>
              <w:spacing w:line="360" w:lineRule="auto"/>
            </w:pPr>
            <w:r>
              <w:rPr>
                <w:rFonts w:eastAsia="Times New Roman" w:cs="Times New Roman"/>
              </w:rPr>
              <w:t>Agency Services</w:t>
            </w:r>
          </w:p>
        </w:tc>
        <w:tc>
          <w:tcPr>
            <w:tcW w:w="0" w:type="auto"/>
          </w:tcPr>
          <w:p w14:paraId="611A83CD" w14:textId="77777777" w:rsidR="003C788D" w:rsidRDefault="00AA7D12">
            <w:pPr>
              <w:pStyle w:val="Compact"/>
              <w:spacing w:line="360" w:lineRule="auto"/>
              <w:jc w:val="right"/>
            </w:pPr>
            <w:r>
              <w:rPr>
                <w:rFonts w:eastAsia="Times New Roman" w:cs="Times New Roman"/>
              </w:rPr>
              <w:t>2 575</w:t>
            </w:r>
          </w:p>
        </w:tc>
      </w:tr>
      <w:tr w:rsidR="003C788D" w14:paraId="0EF371F2" w14:textId="77777777">
        <w:tc>
          <w:tcPr>
            <w:tcW w:w="0" w:type="auto"/>
          </w:tcPr>
          <w:p w14:paraId="7F8DEED1" w14:textId="77777777" w:rsidR="003C788D" w:rsidRDefault="00AA7D12">
            <w:pPr>
              <w:pStyle w:val="Compact"/>
              <w:spacing w:line="360" w:lineRule="auto"/>
            </w:pPr>
            <w:r>
              <w:rPr>
                <w:rFonts w:eastAsia="Times New Roman" w:cs="Times New Roman"/>
              </w:rPr>
              <w:t>Technical Services</w:t>
            </w:r>
          </w:p>
        </w:tc>
        <w:tc>
          <w:tcPr>
            <w:tcW w:w="0" w:type="auto"/>
          </w:tcPr>
          <w:p w14:paraId="030FC489" w14:textId="77777777" w:rsidR="003C788D" w:rsidRDefault="00AA7D12">
            <w:pPr>
              <w:pStyle w:val="Compact"/>
              <w:spacing w:line="360" w:lineRule="auto"/>
              <w:jc w:val="right"/>
            </w:pPr>
            <w:r>
              <w:rPr>
                <w:rFonts w:eastAsia="Times New Roman" w:cs="Times New Roman"/>
              </w:rPr>
              <w:t>2 276</w:t>
            </w:r>
          </w:p>
        </w:tc>
      </w:tr>
      <w:tr w:rsidR="003C788D" w14:paraId="6EF25F6D" w14:textId="77777777">
        <w:tc>
          <w:tcPr>
            <w:tcW w:w="0" w:type="auto"/>
          </w:tcPr>
          <w:p w14:paraId="2C6710E8" w14:textId="77777777" w:rsidR="003C788D" w:rsidRDefault="00AA7D12">
            <w:pPr>
              <w:pStyle w:val="Compact"/>
              <w:spacing w:line="360" w:lineRule="auto"/>
            </w:pPr>
            <w:r>
              <w:rPr>
                <w:rFonts w:eastAsia="Times New Roman" w:cs="Times New Roman"/>
              </w:rPr>
              <w:t>Agency Fee</w:t>
            </w:r>
          </w:p>
        </w:tc>
        <w:tc>
          <w:tcPr>
            <w:tcW w:w="0" w:type="auto"/>
          </w:tcPr>
          <w:p w14:paraId="09006369" w14:textId="77777777" w:rsidR="003C788D" w:rsidRDefault="00AA7D12">
            <w:pPr>
              <w:pStyle w:val="Compact"/>
              <w:spacing w:line="360" w:lineRule="auto"/>
              <w:jc w:val="right"/>
            </w:pPr>
            <w:r>
              <w:rPr>
                <w:rFonts w:eastAsia="Times New Roman" w:cs="Times New Roman"/>
              </w:rPr>
              <w:t>220</w:t>
            </w:r>
          </w:p>
        </w:tc>
      </w:tr>
      <w:tr w:rsidR="003C788D" w14:paraId="2D8A20FC" w14:textId="77777777">
        <w:tc>
          <w:tcPr>
            <w:tcW w:w="0" w:type="auto"/>
          </w:tcPr>
          <w:p w14:paraId="6343BFD9" w14:textId="77777777" w:rsidR="003C788D" w:rsidRDefault="00AA7D12">
            <w:pPr>
              <w:pStyle w:val="Compact"/>
              <w:spacing w:line="360" w:lineRule="auto"/>
            </w:pPr>
            <w:r>
              <w:rPr>
                <w:rFonts w:eastAsia="Times New Roman" w:cs="Times New Roman"/>
                <w:b/>
                <w:bCs/>
              </w:rPr>
              <w:t>Totalt</w:t>
            </w:r>
          </w:p>
        </w:tc>
        <w:tc>
          <w:tcPr>
            <w:tcW w:w="0" w:type="auto"/>
          </w:tcPr>
          <w:p w14:paraId="3923CD5C" w14:textId="77777777" w:rsidR="003C788D" w:rsidRDefault="00AA7D12">
            <w:pPr>
              <w:pStyle w:val="Compact"/>
              <w:spacing w:line="360" w:lineRule="auto"/>
              <w:jc w:val="right"/>
            </w:pPr>
            <w:r>
              <w:rPr>
                <w:rFonts w:eastAsia="Times New Roman" w:cs="Times New Roman"/>
                <w:b/>
                <w:bCs/>
              </w:rPr>
              <w:t>28 774</w:t>
            </w:r>
          </w:p>
        </w:tc>
      </w:tr>
    </w:tbl>
    <w:p w14:paraId="27201FDE" w14:textId="77777777" w:rsidR="003C788D" w:rsidRDefault="00AA7D12">
      <w:pPr>
        <w:pStyle w:val="Brdtekst"/>
        <w:spacing w:line="360" w:lineRule="auto"/>
      </w:pPr>
      <w:r>
        <w:rPr>
          <w:rFonts w:eastAsia="Times New Roman" w:cs="Times New Roman"/>
        </w:rPr>
        <w:t xml:space="preserve">Trafikkvektet historisk spenn (P25 / P50 / P75): </w:t>
      </w:r>
      <w:r>
        <w:rPr>
          <w:rFonts w:eastAsia="Times New Roman" w:cs="Times New Roman"/>
          <w:b/>
          <w:bCs/>
        </w:rPr>
        <w:t>27 489 / 28 774 / 33 792 EUR</w:t>
      </w:r>
      <w:r>
        <w:rPr>
          <w:rFonts w:eastAsia="Times New Roman" w:cs="Times New Roman"/>
        </w:rPr>
        <w:t>.</w:t>
      </w:r>
    </w:p>
    <w:p w14:paraId="16734398" w14:textId="77777777" w:rsidR="003C788D" w:rsidRDefault="00AA7D12">
      <w:pPr>
        <w:pStyle w:val="Brdtekst"/>
        <w:spacing w:line="360" w:lineRule="auto"/>
      </w:pPr>
      <w:r>
        <w:rPr>
          <w:rFonts w:eastAsia="Times New Roman" w:cs="Times New Roman"/>
          <w:b/>
          <w:bCs/>
        </w:rPr>
        <w:t>Tabell 8.3d.</w:t>
      </w:r>
      <w:r>
        <w:rPr>
          <w:rFonts w:eastAsia="Times New Roman" w:cs="Times New Roman"/>
        </w:rPr>
        <w:t xml:space="preserve"> Norge — liten yacht (GT = 50, LOA = 25 m), juli, 5 dager, medium drivstoff.</w:t>
      </w:r>
    </w:p>
    <w:tbl>
      <w:tblPr>
        <w:tblStyle w:val="Table"/>
        <w:tblW w:w="0" w:type="auto"/>
        <w:tblLook w:val="0020" w:firstRow="1" w:lastRow="0" w:firstColumn="0" w:lastColumn="0" w:noHBand="0" w:noVBand="0"/>
      </w:tblPr>
      <w:tblGrid>
        <w:gridCol w:w="2036"/>
        <w:gridCol w:w="2536"/>
      </w:tblGrid>
      <w:tr w:rsidR="003C788D" w14:paraId="7CADCA22" w14:textId="77777777" w:rsidTr="003C788D">
        <w:trPr>
          <w:cnfStyle w:val="100000000000" w:firstRow="1" w:lastRow="0" w:firstColumn="0" w:lastColumn="0" w:oddVBand="0" w:evenVBand="0" w:oddHBand="0" w:evenHBand="0" w:firstRowFirstColumn="0" w:firstRowLastColumn="0" w:lastRowFirstColumn="0" w:lastRowLastColumn="0"/>
          <w:tblHeader/>
        </w:trPr>
        <w:tc>
          <w:tcPr>
            <w:tcW w:w="0" w:type="auto"/>
          </w:tcPr>
          <w:p w14:paraId="5EF4DDAE" w14:textId="77777777" w:rsidR="003C788D" w:rsidRDefault="00AA7D12">
            <w:pPr>
              <w:pStyle w:val="Compact"/>
              <w:spacing w:line="360" w:lineRule="auto"/>
            </w:pPr>
            <w:r>
              <w:rPr>
                <w:rFonts w:eastAsia="Times New Roman" w:cs="Times New Roman"/>
              </w:rPr>
              <w:t>Tjeneste</w:t>
            </w:r>
            <w:r>
              <w:rPr>
                <w:rFonts w:eastAsia="Times New Roman" w:cs="Times New Roman"/>
              </w:rPr>
              <w:softHyphen/>
              <w:t>kategori</w:t>
            </w:r>
          </w:p>
        </w:tc>
        <w:tc>
          <w:tcPr>
            <w:tcW w:w="0" w:type="auto"/>
          </w:tcPr>
          <w:p w14:paraId="72E956A4" w14:textId="77777777" w:rsidR="003C788D" w:rsidRDefault="00AA7D12">
            <w:pPr>
              <w:pStyle w:val="Compact"/>
              <w:spacing w:line="360" w:lineRule="auto"/>
              <w:jc w:val="right"/>
            </w:pPr>
            <w:r>
              <w:rPr>
                <w:rFonts w:eastAsia="Times New Roman" w:cs="Times New Roman"/>
              </w:rPr>
              <w:t>Estimert kostnad (EUR)</w:t>
            </w:r>
          </w:p>
        </w:tc>
      </w:tr>
      <w:tr w:rsidR="003C788D" w14:paraId="772FE995" w14:textId="77777777">
        <w:tc>
          <w:tcPr>
            <w:tcW w:w="0" w:type="auto"/>
          </w:tcPr>
          <w:p w14:paraId="32308498" w14:textId="77777777" w:rsidR="003C788D" w:rsidRDefault="00AA7D12">
            <w:pPr>
              <w:pStyle w:val="Compact"/>
              <w:spacing w:line="360" w:lineRule="auto"/>
            </w:pPr>
            <w:r>
              <w:rPr>
                <w:rFonts w:eastAsia="Times New Roman" w:cs="Times New Roman"/>
              </w:rPr>
              <w:t>Agency Services</w:t>
            </w:r>
          </w:p>
        </w:tc>
        <w:tc>
          <w:tcPr>
            <w:tcW w:w="0" w:type="auto"/>
          </w:tcPr>
          <w:p w14:paraId="0A5B9A02" w14:textId="77777777" w:rsidR="003C788D" w:rsidRDefault="00AA7D12">
            <w:pPr>
              <w:pStyle w:val="Compact"/>
              <w:spacing w:line="360" w:lineRule="auto"/>
              <w:jc w:val="right"/>
            </w:pPr>
            <w:r>
              <w:rPr>
                <w:rFonts w:eastAsia="Times New Roman" w:cs="Times New Roman"/>
              </w:rPr>
              <w:t>9 624</w:t>
            </w:r>
          </w:p>
        </w:tc>
      </w:tr>
      <w:tr w:rsidR="003C788D" w14:paraId="34EC6F2B" w14:textId="77777777">
        <w:tc>
          <w:tcPr>
            <w:tcW w:w="0" w:type="auto"/>
          </w:tcPr>
          <w:p w14:paraId="0420F570" w14:textId="77777777" w:rsidR="003C788D" w:rsidRDefault="00AA7D12">
            <w:pPr>
              <w:pStyle w:val="Compact"/>
              <w:spacing w:line="360" w:lineRule="auto"/>
            </w:pPr>
            <w:r>
              <w:rPr>
                <w:rFonts w:eastAsia="Times New Roman" w:cs="Times New Roman"/>
              </w:rPr>
              <w:t>Technical Services</w:t>
            </w:r>
          </w:p>
        </w:tc>
        <w:tc>
          <w:tcPr>
            <w:tcW w:w="0" w:type="auto"/>
          </w:tcPr>
          <w:p w14:paraId="7F748A59" w14:textId="77777777" w:rsidR="003C788D" w:rsidRDefault="00AA7D12">
            <w:pPr>
              <w:pStyle w:val="Compact"/>
              <w:spacing w:line="360" w:lineRule="auto"/>
              <w:jc w:val="right"/>
            </w:pPr>
            <w:r>
              <w:rPr>
                <w:rFonts w:eastAsia="Times New Roman" w:cs="Times New Roman"/>
              </w:rPr>
              <w:t>2 552</w:t>
            </w:r>
          </w:p>
        </w:tc>
      </w:tr>
      <w:tr w:rsidR="003C788D" w14:paraId="222B48DD" w14:textId="77777777">
        <w:tc>
          <w:tcPr>
            <w:tcW w:w="0" w:type="auto"/>
          </w:tcPr>
          <w:p w14:paraId="6D71A1C1" w14:textId="77777777" w:rsidR="003C788D" w:rsidRDefault="00AA7D12">
            <w:pPr>
              <w:pStyle w:val="Compact"/>
              <w:spacing w:line="360" w:lineRule="auto"/>
            </w:pPr>
            <w:r>
              <w:rPr>
                <w:rFonts w:eastAsia="Times New Roman" w:cs="Times New Roman"/>
              </w:rPr>
              <w:t>Port Marina</w:t>
            </w:r>
          </w:p>
        </w:tc>
        <w:tc>
          <w:tcPr>
            <w:tcW w:w="0" w:type="auto"/>
          </w:tcPr>
          <w:p w14:paraId="3B5760D9" w14:textId="77777777" w:rsidR="003C788D" w:rsidRDefault="00AA7D12">
            <w:pPr>
              <w:pStyle w:val="Compact"/>
              <w:spacing w:line="360" w:lineRule="auto"/>
              <w:jc w:val="right"/>
            </w:pPr>
            <w:r>
              <w:rPr>
                <w:rFonts w:eastAsia="Times New Roman" w:cs="Times New Roman"/>
              </w:rPr>
              <w:t>2 366</w:t>
            </w:r>
          </w:p>
        </w:tc>
      </w:tr>
      <w:tr w:rsidR="003C788D" w14:paraId="424A709C" w14:textId="77777777">
        <w:tc>
          <w:tcPr>
            <w:tcW w:w="0" w:type="auto"/>
          </w:tcPr>
          <w:p w14:paraId="71970C91" w14:textId="77777777" w:rsidR="003C788D" w:rsidRDefault="00AA7D12">
            <w:pPr>
              <w:pStyle w:val="Compact"/>
              <w:spacing w:line="360" w:lineRule="auto"/>
            </w:pPr>
            <w:r>
              <w:rPr>
                <w:rFonts w:eastAsia="Times New Roman" w:cs="Times New Roman"/>
              </w:rPr>
              <w:t>Hospitality</w:t>
            </w:r>
          </w:p>
        </w:tc>
        <w:tc>
          <w:tcPr>
            <w:tcW w:w="0" w:type="auto"/>
          </w:tcPr>
          <w:p w14:paraId="4AC9FF0D" w14:textId="77777777" w:rsidR="003C788D" w:rsidRDefault="00AA7D12">
            <w:pPr>
              <w:pStyle w:val="Compact"/>
              <w:spacing w:line="360" w:lineRule="auto"/>
              <w:jc w:val="right"/>
            </w:pPr>
            <w:r>
              <w:rPr>
                <w:rFonts w:eastAsia="Times New Roman" w:cs="Times New Roman"/>
              </w:rPr>
              <w:t>2 045</w:t>
            </w:r>
          </w:p>
        </w:tc>
      </w:tr>
      <w:tr w:rsidR="003C788D" w14:paraId="2AA64C41" w14:textId="77777777">
        <w:tc>
          <w:tcPr>
            <w:tcW w:w="0" w:type="auto"/>
          </w:tcPr>
          <w:p w14:paraId="3CCEF72D" w14:textId="77777777" w:rsidR="003C788D" w:rsidRDefault="00AA7D12">
            <w:pPr>
              <w:pStyle w:val="Compact"/>
              <w:spacing w:line="360" w:lineRule="auto"/>
            </w:pPr>
            <w:r>
              <w:rPr>
                <w:rFonts w:eastAsia="Times New Roman" w:cs="Times New Roman"/>
              </w:rPr>
              <w:t>Provisioning</w:t>
            </w:r>
          </w:p>
        </w:tc>
        <w:tc>
          <w:tcPr>
            <w:tcW w:w="0" w:type="auto"/>
          </w:tcPr>
          <w:p w14:paraId="6AED3F67" w14:textId="77777777" w:rsidR="003C788D" w:rsidRDefault="00AA7D12">
            <w:pPr>
              <w:pStyle w:val="Compact"/>
              <w:spacing w:line="360" w:lineRule="auto"/>
              <w:jc w:val="right"/>
            </w:pPr>
            <w:r>
              <w:rPr>
                <w:rFonts w:eastAsia="Times New Roman" w:cs="Times New Roman"/>
              </w:rPr>
              <w:t>797</w:t>
            </w:r>
          </w:p>
        </w:tc>
      </w:tr>
      <w:tr w:rsidR="003C788D" w14:paraId="6D3C4340" w14:textId="77777777">
        <w:tc>
          <w:tcPr>
            <w:tcW w:w="0" w:type="auto"/>
          </w:tcPr>
          <w:p w14:paraId="48C81A93" w14:textId="77777777" w:rsidR="003C788D" w:rsidRDefault="00AA7D12">
            <w:pPr>
              <w:pStyle w:val="Compact"/>
              <w:spacing w:line="360" w:lineRule="auto"/>
            </w:pPr>
            <w:r>
              <w:rPr>
                <w:rFonts w:eastAsia="Times New Roman" w:cs="Times New Roman"/>
              </w:rPr>
              <w:t>Bunkering</w:t>
            </w:r>
          </w:p>
        </w:tc>
        <w:tc>
          <w:tcPr>
            <w:tcW w:w="0" w:type="auto"/>
          </w:tcPr>
          <w:p w14:paraId="3FB065C0" w14:textId="77777777" w:rsidR="003C788D" w:rsidRDefault="00AA7D12">
            <w:pPr>
              <w:pStyle w:val="Compact"/>
              <w:spacing w:line="360" w:lineRule="auto"/>
              <w:jc w:val="right"/>
            </w:pPr>
            <w:r>
              <w:rPr>
                <w:rFonts w:eastAsia="Times New Roman" w:cs="Times New Roman"/>
              </w:rPr>
              <w:t>591</w:t>
            </w:r>
          </w:p>
        </w:tc>
      </w:tr>
      <w:tr w:rsidR="003C788D" w14:paraId="4CB60275" w14:textId="77777777">
        <w:tc>
          <w:tcPr>
            <w:tcW w:w="0" w:type="auto"/>
          </w:tcPr>
          <w:p w14:paraId="3BECD98C" w14:textId="77777777" w:rsidR="003C788D" w:rsidRDefault="00AA7D12">
            <w:pPr>
              <w:pStyle w:val="Compact"/>
              <w:spacing w:line="360" w:lineRule="auto"/>
            </w:pPr>
            <w:r>
              <w:rPr>
                <w:rFonts w:eastAsia="Times New Roman" w:cs="Times New Roman"/>
              </w:rPr>
              <w:t>Agency Fee</w:t>
            </w:r>
          </w:p>
        </w:tc>
        <w:tc>
          <w:tcPr>
            <w:tcW w:w="0" w:type="auto"/>
          </w:tcPr>
          <w:p w14:paraId="0862ADE6" w14:textId="77777777" w:rsidR="003C788D" w:rsidRDefault="00AA7D12">
            <w:pPr>
              <w:pStyle w:val="Compact"/>
              <w:spacing w:line="360" w:lineRule="auto"/>
              <w:jc w:val="right"/>
            </w:pPr>
            <w:r>
              <w:rPr>
                <w:rFonts w:eastAsia="Times New Roman" w:cs="Times New Roman"/>
              </w:rPr>
              <w:t>392</w:t>
            </w:r>
          </w:p>
        </w:tc>
      </w:tr>
      <w:tr w:rsidR="003C788D" w14:paraId="7636FB7F" w14:textId="77777777">
        <w:tc>
          <w:tcPr>
            <w:tcW w:w="0" w:type="auto"/>
          </w:tcPr>
          <w:p w14:paraId="7D891B4A" w14:textId="77777777" w:rsidR="003C788D" w:rsidRDefault="00AA7D12">
            <w:pPr>
              <w:pStyle w:val="Compact"/>
              <w:spacing w:line="360" w:lineRule="auto"/>
            </w:pPr>
            <w:r>
              <w:rPr>
                <w:rFonts w:eastAsia="Times New Roman" w:cs="Times New Roman"/>
                <w:b/>
                <w:bCs/>
              </w:rPr>
              <w:t>Totalt</w:t>
            </w:r>
          </w:p>
        </w:tc>
        <w:tc>
          <w:tcPr>
            <w:tcW w:w="0" w:type="auto"/>
          </w:tcPr>
          <w:p w14:paraId="0FE8EF74" w14:textId="77777777" w:rsidR="003C788D" w:rsidRDefault="00AA7D12">
            <w:pPr>
              <w:pStyle w:val="Compact"/>
              <w:spacing w:line="360" w:lineRule="auto"/>
              <w:jc w:val="right"/>
            </w:pPr>
            <w:r>
              <w:rPr>
                <w:rFonts w:eastAsia="Times New Roman" w:cs="Times New Roman"/>
                <w:b/>
                <w:bCs/>
              </w:rPr>
              <w:t>18 366</w:t>
            </w:r>
          </w:p>
        </w:tc>
      </w:tr>
    </w:tbl>
    <w:p w14:paraId="365B267B" w14:textId="77777777" w:rsidR="003C788D" w:rsidRDefault="00AA7D12">
      <w:pPr>
        <w:pStyle w:val="Brdtekst"/>
        <w:spacing w:line="360" w:lineRule="auto"/>
      </w:pPr>
      <w:r>
        <w:rPr>
          <w:rFonts w:eastAsia="Times New Roman" w:cs="Times New Roman"/>
        </w:rPr>
        <w:t xml:space="preserve">Trafikkvektet historisk spenn (P25 / P50 / P75): </w:t>
      </w:r>
      <w:r>
        <w:rPr>
          <w:rFonts w:eastAsia="Times New Roman" w:cs="Times New Roman"/>
          <w:b/>
          <w:bCs/>
        </w:rPr>
        <w:t>8 658 / 18 366 / 43 405 EUR</w:t>
      </w:r>
      <w:r>
        <w:rPr>
          <w:rFonts w:eastAsia="Times New Roman" w:cs="Times New Roman"/>
        </w:rPr>
        <w:t>.</w:t>
      </w:r>
    </w:p>
    <w:p w14:paraId="61E01386" w14:textId="77777777" w:rsidR="003C788D" w:rsidRDefault="00AA7D12">
      <w:pPr>
        <w:pStyle w:val="Brdtekst"/>
        <w:spacing w:line="360" w:lineRule="auto"/>
      </w:pPr>
      <w:r>
        <w:rPr>
          <w:rFonts w:eastAsia="Times New Roman" w:cs="Times New Roman"/>
          <w:b/>
          <w:bCs/>
        </w:rPr>
        <w:t>Tabell 8.3e.</w:t>
      </w:r>
      <w:r>
        <w:rPr>
          <w:rFonts w:eastAsia="Times New Roman" w:cs="Times New Roman"/>
        </w:rPr>
        <w:t xml:space="preserve"> </w:t>
      </w:r>
      <w:r>
        <w:rPr>
          <w:rFonts w:eastAsia="Times New Roman" w:cs="Times New Roman"/>
        </w:rPr>
        <w:t>Norge — stor yacht (GT = 2 400, LOA = 78 m, Loskrav = Ja), juli, 5 dager, medium drivstoff.</w:t>
      </w:r>
    </w:p>
    <w:tbl>
      <w:tblPr>
        <w:tblStyle w:val="Table"/>
        <w:tblW w:w="0" w:type="auto"/>
        <w:tblLook w:val="0020" w:firstRow="1" w:lastRow="0" w:firstColumn="0" w:lastColumn="0" w:noHBand="0" w:noVBand="0"/>
      </w:tblPr>
      <w:tblGrid>
        <w:gridCol w:w="2036"/>
        <w:gridCol w:w="2536"/>
      </w:tblGrid>
      <w:tr w:rsidR="003C788D" w14:paraId="25ABD42F" w14:textId="77777777" w:rsidTr="003C788D">
        <w:trPr>
          <w:cnfStyle w:val="100000000000" w:firstRow="1" w:lastRow="0" w:firstColumn="0" w:lastColumn="0" w:oddVBand="0" w:evenVBand="0" w:oddHBand="0" w:evenHBand="0" w:firstRowFirstColumn="0" w:firstRowLastColumn="0" w:lastRowFirstColumn="0" w:lastRowLastColumn="0"/>
          <w:tblHeader/>
        </w:trPr>
        <w:tc>
          <w:tcPr>
            <w:tcW w:w="0" w:type="auto"/>
          </w:tcPr>
          <w:p w14:paraId="6C59E986" w14:textId="77777777" w:rsidR="003C788D" w:rsidRDefault="00AA7D12">
            <w:pPr>
              <w:pStyle w:val="Compact"/>
              <w:spacing w:line="360" w:lineRule="auto"/>
            </w:pPr>
            <w:r>
              <w:rPr>
                <w:rFonts w:eastAsia="Times New Roman" w:cs="Times New Roman"/>
              </w:rPr>
              <w:t>Tjeneste</w:t>
            </w:r>
            <w:r>
              <w:rPr>
                <w:rFonts w:eastAsia="Times New Roman" w:cs="Times New Roman"/>
              </w:rPr>
              <w:softHyphen/>
              <w:t>kategori</w:t>
            </w:r>
          </w:p>
        </w:tc>
        <w:tc>
          <w:tcPr>
            <w:tcW w:w="0" w:type="auto"/>
          </w:tcPr>
          <w:p w14:paraId="50609E75" w14:textId="77777777" w:rsidR="003C788D" w:rsidRDefault="00AA7D12">
            <w:pPr>
              <w:pStyle w:val="Compact"/>
              <w:spacing w:line="360" w:lineRule="auto"/>
              <w:jc w:val="right"/>
            </w:pPr>
            <w:r>
              <w:rPr>
                <w:rFonts w:eastAsia="Times New Roman" w:cs="Times New Roman"/>
              </w:rPr>
              <w:t>Estimert kostnad (EUR)</w:t>
            </w:r>
          </w:p>
        </w:tc>
      </w:tr>
      <w:tr w:rsidR="003C788D" w14:paraId="10AE655C" w14:textId="77777777">
        <w:tc>
          <w:tcPr>
            <w:tcW w:w="0" w:type="auto"/>
          </w:tcPr>
          <w:p w14:paraId="4BF7D535" w14:textId="77777777" w:rsidR="003C788D" w:rsidRDefault="00AA7D12">
            <w:pPr>
              <w:pStyle w:val="Compact"/>
              <w:spacing w:line="360" w:lineRule="auto"/>
            </w:pPr>
            <w:r>
              <w:rPr>
                <w:rFonts w:eastAsia="Times New Roman" w:cs="Times New Roman"/>
              </w:rPr>
              <w:t>Port Marina</w:t>
            </w:r>
          </w:p>
        </w:tc>
        <w:tc>
          <w:tcPr>
            <w:tcW w:w="0" w:type="auto"/>
          </w:tcPr>
          <w:p w14:paraId="7DBB2CB0" w14:textId="77777777" w:rsidR="003C788D" w:rsidRDefault="00AA7D12">
            <w:pPr>
              <w:pStyle w:val="Compact"/>
              <w:spacing w:line="360" w:lineRule="auto"/>
              <w:jc w:val="right"/>
            </w:pPr>
            <w:r>
              <w:rPr>
                <w:rFonts w:eastAsia="Times New Roman" w:cs="Times New Roman"/>
              </w:rPr>
              <w:t>10 723</w:t>
            </w:r>
          </w:p>
        </w:tc>
      </w:tr>
      <w:tr w:rsidR="003C788D" w14:paraId="75748506" w14:textId="77777777">
        <w:tc>
          <w:tcPr>
            <w:tcW w:w="0" w:type="auto"/>
          </w:tcPr>
          <w:p w14:paraId="0D7332FF" w14:textId="77777777" w:rsidR="003C788D" w:rsidRDefault="00AA7D12">
            <w:pPr>
              <w:pStyle w:val="Compact"/>
              <w:spacing w:line="360" w:lineRule="auto"/>
            </w:pPr>
            <w:r>
              <w:rPr>
                <w:rFonts w:eastAsia="Times New Roman" w:cs="Times New Roman"/>
              </w:rPr>
              <w:t>Provisioning</w:t>
            </w:r>
          </w:p>
        </w:tc>
        <w:tc>
          <w:tcPr>
            <w:tcW w:w="0" w:type="auto"/>
          </w:tcPr>
          <w:p w14:paraId="1778196F" w14:textId="77777777" w:rsidR="003C788D" w:rsidRDefault="00AA7D12">
            <w:pPr>
              <w:pStyle w:val="Compact"/>
              <w:spacing w:line="360" w:lineRule="auto"/>
              <w:jc w:val="right"/>
            </w:pPr>
            <w:r>
              <w:rPr>
                <w:rFonts w:eastAsia="Times New Roman" w:cs="Times New Roman"/>
              </w:rPr>
              <w:t>5 547</w:t>
            </w:r>
          </w:p>
        </w:tc>
      </w:tr>
      <w:tr w:rsidR="003C788D" w14:paraId="3A302093" w14:textId="77777777">
        <w:tc>
          <w:tcPr>
            <w:tcW w:w="0" w:type="auto"/>
          </w:tcPr>
          <w:p w14:paraId="12201EE2" w14:textId="77777777" w:rsidR="003C788D" w:rsidRDefault="00AA7D12">
            <w:pPr>
              <w:pStyle w:val="Compact"/>
              <w:spacing w:line="360" w:lineRule="auto"/>
            </w:pPr>
            <w:r>
              <w:rPr>
                <w:rFonts w:eastAsia="Times New Roman" w:cs="Times New Roman"/>
              </w:rPr>
              <w:t>Technical Services</w:t>
            </w:r>
          </w:p>
        </w:tc>
        <w:tc>
          <w:tcPr>
            <w:tcW w:w="0" w:type="auto"/>
          </w:tcPr>
          <w:p w14:paraId="754D868F" w14:textId="77777777" w:rsidR="003C788D" w:rsidRDefault="00AA7D12">
            <w:pPr>
              <w:pStyle w:val="Compact"/>
              <w:spacing w:line="360" w:lineRule="auto"/>
              <w:jc w:val="right"/>
            </w:pPr>
            <w:r>
              <w:rPr>
                <w:rFonts w:eastAsia="Times New Roman" w:cs="Times New Roman"/>
              </w:rPr>
              <w:t>4 412</w:t>
            </w:r>
          </w:p>
        </w:tc>
      </w:tr>
      <w:tr w:rsidR="003C788D" w14:paraId="3664901B" w14:textId="77777777">
        <w:tc>
          <w:tcPr>
            <w:tcW w:w="0" w:type="auto"/>
          </w:tcPr>
          <w:p w14:paraId="635E6E5C" w14:textId="77777777" w:rsidR="003C788D" w:rsidRDefault="00AA7D12">
            <w:pPr>
              <w:pStyle w:val="Compact"/>
              <w:spacing w:line="360" w:lineRule="auto"/>
            </w:pPr>
            <w:r>
              <w:rPr>
                <w:rFonts w:eastAsia="Times New Roman" w:cs="Times New Roman"/>
              </w:rPr>
              <w:t>Hospitality</w:t>
            </w:r>
          </w:p>
        </w:tc>
        <w:tc>
          <w:tcPr>
            <w:tcW w:w="0" w:type="auto"/>
          </w:tcPr>
          <w:p w14:paraId="38BC99C9" w14:textId="77777777" w:rsidR="003C788D" w:rsidRDefault="00AA7D12">
            <w:pPr>
              <w:pStyle w:val="Compact"/>
              <w:spacing w:line="360" w:lineRule="auto"/>
              <w:jc w:val="right"/>
            </w:pPr>
            <w:r>
              <w:rPr>
                <w:rFonts w:eastAsia="Times New Roman" w:cs="Times New Roman"/>
              </w:rPr>
              <w:t>3 918</w:t>
            </w:r>
          </w:p>
        </w:tc>
      </w:tr>
      <w:tr w:rsidR="003C788D" w14:paraId="143D46FC" w14:textId="77777777">
        <w:tc>
          <w:tcPr>
            <w:tcW w:w="0" w:type="auto"/>
          </w:tcPr>
          <w:p w14:paraId="4AF93EB7" w14:textId="77777777" w:rsidR="003C788D" w:rsidRDefault="00AA7D12">
            <w:pPr>
              <w:pStyle w:val="Compact"/>
              <w:spacing w:line="360" w:lineRule="auto"/>
            </w:pPr>
            <w:r>
              <w:rPr>
                <w:rFonts w:eastAsia="Times New Roman" w:cs="Times New Roman"/>
              </w:rPr>
              <w:t>Agency Services</w:t>
            </w:r>
          </w:p>
        </w:tc>
        <w:tc>
          <w:tcPr>
            <w:tcW w:w="0" w:type="auto"/>
          </w:tcPr>
          <w:p w14:paraId="56E7C354" w14:textId="77777777" w:rsidR="003C788D" w:rsidRDefault="00AA7D12">
            <w:pPr>
              <w:pStyle w:val="Compact"/>
              <w:spacing w:line="360" w:lineRule="auto"/>
              <w:jc w:val="right"/>
            </w:pPr>
            <w:r>
              <w:rPr>
                <w:rFonts w:eastAsia="Times New Roman" w:cs="Times New Roman"/>
              </w:rPr>
              <w:t>3 781</w:t>
            </w:r>
          </w:p>
        </w:tc>
      </w:tr>
      <w:tr w:rsidR="003C788D" w14:paraId="1EA2275E" w14:textId="77777777">
        <w:tc>
          <w:tcPr>
            <w:tcW w:w="0" w:type="auto"/>
          </w:tcPr>
          <w:p w14:paraId="0DD8E061" w14:textId="77777777" w:rsidR="003C788D" w:rsidRDefault="00AA7D12">
            <w:pPr>
              <w:pStyle w:val="Compact"/>
              <w:spacing w:line="360" w:lineRule="auto"/>
            </w:pPr>
            <w:r>
              <w:rPr>
                <w:rFonts w:eastAsia="Times New Roman" w:cs="Times New Roman"/>
              </w:rPr>
              <w:t>Agency Fee</w:t>
            </w:r>
          </w:p>
        </w:tc>
        <w:tc>
          <w:tcPr>
            <w:tcW w:w="0" w:type="auto"/>
          </w:tcPr>
          <w:p w14:paraId="5424B0DE" w14:textId="77777777" w:rsidR="003C788D" w:rsidRDefault="00AA7D12">
            <w:pPr>
              <w:pStyle w:val="Compact"/>
              <w:spacing w:line="360" w:lineRule="auto"/>
              <w:jc w:val="right"/>
            </w:pPr>
            <w:r>
              <w:rPr>
                <w:rFonts w:eastAsia="Times New Roman" w:cs="Times New Roman"/>
              </w:rPr>
              <w:t>2 311</w:t>
            </w:r>
          </w:p>
        </w:tc>
      </w:tr>
      <w:tr w:rsidR="003C788D" w14:paraId="1EA82F5D" w14:textId="77777777">
        <w:tc>
          <w:tcPr>
            <w:tcW w:w="0" w:type="auto"/>
          </w:tcPr>
          <w:p w14:paraId="4DCCF825" w14:textId="77777777" w:rsidR="003C788D" w:rsidRDefault="00AA7D12">
            <w:pPr>
              <w:pStyle w:val="Compact"/>
              <w:spacing w:line="360" w:lineRule="auto"/>
            </w:pPr>
            <w:r>
              <w:rPr>
                <w:rFonts w:eastAsia="Times New Roman" w:cs="Times New Roman"/>
              </w:rPr>
              <w:t>Bunkering</w:t>
            </w:r>
          </w:p>
        </w:tc>
        <w:tc>
          <w:tcPr>
            <w:tcW w:w="0" w:type="auto"/>
          </w:tcPr>
          <w:p w14:paraId="4B5889B8" w14:textId="77777777" w:rsidR="003C788D" w:rsidRDefault="00AA7D12">
            <w:pPr>
              <w:pStyle w:val="Compact"/>
              <w:spacing w:line="360" w:lineRule="auto"/>
              <w:jc w:val="right"/>
            </w:pPr>
            <w:r>
              <w:rPr>
                <w:rFonts w:eastAsia="Times New Roman" w:cs="Times New Roman"/>
              </w:rPr>
              <w:t>981</w:t>
            </w:r>
          </w:p>
        </w:tc>
      </w:tr>
      <w:tr w:rsidR="003C788D" w14:paraId="174635BC" w14:textId="77777777">
        <w:tc>
          <w:tcPr>
            <w:tcW w:w="0" w:type="auto"/>
          </w:tcPr>
          <w:p w14:paraId="352DBC42" w14:textId="77777777" w:rsidR="003C788D" w:rsidRDefault="00AA7D12">
            <w:pPr>
              <w:pStyle w:val="Compact"/>
              <w:spacing w:line="360" w:lineRule="auto"/>
            </w:pPr>
            <w:r>
              <w:rPr>
                <w:rFonts w:eastAsia="Times New Roman" w:cs="Times New Roman"/>
                <w:b/>
                <w:bCs/>
              </w:rPr>
              <w:t>Totalt</w:t>
            </w:r>
          </w:p>
        </w:tc>
        <w:tc>
          <w:tcPr>
            <w:tcW w:w="0" w:type="auto"/>
          </w:tcPr>
          <w:p w14:paraId="369BEFAB" w14:textId="77777777" w:rsidR="003C788D" w:rsidRDefault="00AA7D12">
            <w:pPr>
              <w:pStyle w:val="Compact"/>
              <w:spacing w:line="360" w:lineRule="auto"/>
              <w:jc w:val="right"/>
            </w:pPr>
            <w:r>
              <w:rPr>
                <w:rFonts w:eastAsia="Times New Roman" w:cs="Times New Roman"/>
                <w:b/>
                <w:bCs/>
              </w:rPr>
              <w:t>31 673</w:t>
            </w:r>
          </w:p>
        </w:tc>
      </w:tr>
    </w:tbl>
    <w:p w14:paraId="7B883320" w14:textId="77777777" w:rsidR="003C788D" w:rsidRDefault="00AA7D12">
      <w:pPr>
        <w:pStyle w:val="Brdtekst"/>
        <w:spacing w:line="360" w:lineRule="auto"/>
      </w:pPr>
      <w:r>
        <w:rPr>
          <w:rFonts w:eastAsia="Times New Roman" w:cs="Times New Roman"/>
        </w:rPr>
        <w:t xml:space="preserve">Trafikkvektet historisk spenn (P25 / P50 / P75): </w:t>
      </w:r>
      <w:r>
        <w:rPr>
          <w:rFonts w:eastAsia="Times New Roman" w:cs="Times New Roman"/>
          <w:b/>
          <w:bCs/>
        </w:rPr>
        <w:t>14 223 / 31 673 / 67 697 EUR</w:t>
      </w:r>
      <w:r>
        <w:rPr>
          <w:rFonts w:eastAsia="Times New Roman" w:cs="Times New Roman"/>
        </w:rPr>
        <w:t>.</w:t>
      </w:r>
    </w:p>
    <w:p w14:paraId="331E5DEB" w14:textId="77777777" w:rsidR="003C788D" w:rsidRDefault="00AA7D12">
      <w:pPr>
        <w:pStyle w:val="Brdtekst"/>
        <w:spacing w:line="360" w:lineRule="auto"/>
      </w:pPr>
      <w:r>
        <w:rPr>
          <w:rFonts w:eastAsia="Times New Roman" w:cs="Times New Roman"/>
        </w:rPr>
        <w:t>I alle fem eksempler (tabell 8.3a–e) plasserer modellestimatet seg nær den trafikkvektede medianen (P50), og innenfor P25–P75-båndet. Tjeneste</w:t>
      </w:r>
      <w:r>
        <w:rPr>
          <w:rFonts w:eastAsia="Times New Roman" w:cs="Times New Roman"/>
        </w:rPr>
        <w:softHyphen/>
        <w:t>miksen varierer tydelig mellom land: Danmark har høyere Port Marina- og Bunkering-andel, Sverige har jevnere fordeling, og store norske anløp domineres av Port Marina og Provisioning. Bunkers-tallene er imidlertid sannsynlighets</w:t>
      </w:r>
      <w:r>
        <w:rPr>
          <w:rFonts w:eastAsia="Times New Roman" w:cs="Times New Roman"/>
        </w:rPr>
        <w:softHyphen/>
        <w:t>veide modell</w:t>
      </w:r>
      <w:r>
        <w:rPr>
          <w:rFonts w:eastAsia="Times New Roman" w:cs="Times New Roman"/>
        </w:rPr>
        <w:softHyphen/>
        <w:t>estimater og bruker ikke reise</w:t>
      </w:r>
      <w:r>
        <w:rPr>
          <w:rFonts w:eastAsia="Times New Roman" w:cs="Times New Roman"/>
        </w:rPr>
        <w:softHyphen/>
        <w:t xml:space="preserve">distansen — denne begrensningen drøftes i § 9.5. For tabell 8.3e (Loskrav = Ja) er det heller </w:t>
      </w:r>
      <w:r>
        <w:rPr>
          <w:rFonts w:eastAsia="Times New Roman" w:cs="Times New Roman"/>
          <w:b/>
          <w:bCs/>
        </w:rPr>
        <w:t>ikke</w:t>
      </w:r>
      <w:r>
        <w:rPr>
          <w:rFonts w:eastAsia="Times New Roman" w:cs="Times New Roman"/>
        </w:rPr>
        <w:t xml:space="preserve"> lagt til obligatorisk los</w:t>
      </w:r>
      <w:r>
        <w:rPr>
          <w:rFonts w:eastAsia="Times New Roman" w:cs="Times New Roman"/>
        </w:rPr>
        <w:softHyphen/>
        <w:t>kostnad i tallene; modellen ser los som en sannsynlig linje, ikke som obligatorisk for LOA &gt; 70 m, jf. § 9.5.</w:t>
      </w:r>
    </w:p>
    <w:p w14:paraId="2F05CDA0" w14:textId="77777777" w:rsidR="003C788D" w:rsidRDefault="00AA7D12">
      <w:pPr>
        <w:pStyle w:val="Overskrift3"/>
      </w:pPr>
      <w:bookmarkStart w:id="99" w:name="operasjonell-ytelse"/>
      <w:bookmarkStart w:id="100" w:name="_Toc230777811"/>
      <w:bookmarkEnd w:id="97"/>
      <w:r>
        <w:t>8.4 Operasjonell ytelse</w:t>
      </w:r>
      <w:bookmarkEnd w:id="100"/>
    </w:p>
    <w:p w14:paraId="0CAE3105" w14:textId="77777777" w:rsidR="003C788D" w:rsidRDefault="00AA7D12">
      <w:pPr>
        <w:pStyle w:val="FirstParagraph"/>
        <w:spacing w:line="360" w:lineRule="auto"/>
      </w:pPr>
      <w:r>
        <w:rPr>
          <w:rFonts w:eastAsia="Times New Roman" w:cs="Times New Roman"/>
        </w:rPr>
        <w:t>Backend (</w:t>
      </w:r>
      <w:r>
        <w:rPr>
          <w:rStyle w:val="VerbatimChar"/>
          <w:rFonts w:ascii="Times New Roman" w:eastAsia="Times New Roman" w:hAnsi="Times New Roman" w:cs="Times New Roman"/>
          <w:sz w:val="24"/>
        </w:rPr>
        <w:t>FastAPI</w:t>
      </w:r>
      <w:r>
        <w:rPr>
          <w:rFonts w:eastAsia="Times New Roman" w:cs="Times New Roman"/>
        </w:rPr>
        <w:t xml:space="preserve">) på en vanlig utviklermaskin (16 GB RAM, AMD Ryzen-klasse CPU) responderer på </w:t>
      </w:r>
      <w:r>
        <w:rPr>
          <w:rStyle w:val="VerbatimChar"/>
          <w:rFonts w:ascii="Times New Roman" w:eastAsia="Times New Roman" w:hAnsi="Times New Roman" w:cs="Times New Roman"/>
          <w:sz w:val="24"/>
        </w:rPr>
        <w:t>POST /api/predict</w:t>
      </w:r>
      <w:r>
        <w:rPr>
          <w:rFonts w:eastAsia="Times New Roman" w:cs="Times New Roman"/>
        </w:rPr>
        <w:t xml:space="preserve"> på under 200 ms i kald start og under 50 ms ved varm last. Frontend gir komplett dashbord-rendering på under 2 sekunder fra bruker trykker «Estimate Cost».</w:t>
      </w:r>
    </w:p>
    <w:p w14:paraId="119B41A5" w14:textId="77777777" w:rsidR="003C788D" w:rsidRDefault="00AA7D12">
      <w:pPr>
        <w:spacing w:line="360" w:lineRule="auto"/>
      </w:pPr>
      <w:r>
        <w:rPr>
          <w:rFonts w:eastAsia="Times New Roman" w:cs="Times New Roman"/>
        </w:rPr>
        <w:pict w14:anchorId="53A5A3A6">
          <v:rect id="_x0000_i1035" style="width:0;height:1.5pt" o:hralign="center" o:hrstd="t" o:hr="t"/>
        </w:pict>
      </w:r>
    </w:p>
    <w:p w14:paraId="0C320C98" w14:textId="77777777" w:rsidR="003C788D" w:rsidRDefault="00AA7D12">
      <w:pPr>
        <w:pStyle w:val="Overskrift2"/>
      </w:pPr>
      <w:bookmarkStart w:id="101" w:name="diskusjon"/>
      <w:bookmarkStart w:id="102" w:name="_Toc230777812"/>
      <w:bookmarkEnd w:id="89"/>
      <w:bookmarkEnd w:id="99"/>
      <w:r>
        <w:t>9. Diskusjon</w:t>
      </w:r>
      <w:bookmarkEnd w:id="102"/>
    </w:p>
    <w:p w14:paraId="7719D8CA" w14:textId="77777777" w:rsidR="003C788D" w:rsidRDefault="00AA7D12">
      <w:pPr>
        <w:pStyle w:val="Overskrift3"/>
      </w:pPr>
      <w:bookmarkStart w:id="103" w:name="tolkning-av-resultatene"/>
      <w:bookmarkStart w:id="104" w:name="_Toc230777813"/>
      <w:r>
        <w:t>9.1 Tolkning av resultatene</w:t>
      </w:r>
      <w:bookmarkEnd w:id="104"/>
    </w:p>
    <w:p w14:paraId="359EB8B7" w14:textId="77777777" w:rsidR="003C788D" w:rsidRDefault="00AA7D12">
      <w:pPr>
        <w:pStyle w:val="FirstParagraph"/>
        <w:spacing w:line="360" w:lineRule="auto"/>
      </w:pPr>
      <w:r>
        <w:rPr>
          <w:rFonts w:eastAsia="Times New Roman" w:cs="Times New Roman"/>
        </w:rPr>
        <w:t>Ensemble</w:t>
      </w:r>
      <w:r>
        <w:rPr>
          <w:rFonts w:eastAsia="Times New Roman" w:cs="Times New Roman"/>
        </w:rPr>
        <w:softHyphen/>
        <w:t xml:space="preserve">modellen oppnår en absolutt feil (MAE = 17 350 EUR på val=2024; MAE = 19 051 EUR på test=2025, jf. tabell 8.2) som ved første blikk virker høy. Tre forhold må holdes i mente. </w:t>
      </w:r>
      <w:r>
        <w:rPr>
          <w:rFonts w:eastAsia="Times New Roman" w:cs="Times New Roman"/>
          <w:b/>
          <w:bCs/>
        </w:rPr>
        <w:t>For det første</w:t>
      </w:r>
      <w:r>
        <w:rPr>
          <w:rFonts w:eastAsia="Times New Roman" w:cs="Times New Roman"/>
        </w:rPr>
        <w:t xml:space="preserve"> er feilen målt på transaksjons</w:t>
      </w:r>
      <w:r>
        <w:rPr>
          <w:rFonts w:eastAsia="Times New Roman" w:cs="Times New Roman"/>
        </w:rPr>
        <w:softHyphen/>
        <w:t>nivå, og en transaksjon kan variere fra 2 039 EUR (P25) til over 91 248 EUR (P95) i datasettet — gjennom</w:t>
      </w:r>
      <w:r>
        <w:rPr>
          <w:rFonts w:eastAsia="Times New Roman" w:cs="Times New Roman"/>
        </w:rPr>
        <w:softHyphen/>
        <w:t xml:space="preserve">snittlig prosentvis avvik (MAPE) på 168 % gjenspeiler primært at noen få ekstreme transaksjoner trekker MAPE opp, ikke at typisk presisjon er svak. Dette er et empirisk uttrykk for det </w:t>
      </w:r>
      <w:r>
        <w:rPr>
          <w:rFonts w:eastAsia="Times New Roman" w:cs="Times New Roman"/>
        </w:rPr>
        <w:t>log-transformerte tap</w:t>
      </w:r>
      <w:r>
        <w:rPr>
          <w:rFonts w:eastAsia="Times New Roman" w:cs="Times New Roman"/>
        </w:rPr>
        <w:softHyphen/>
        <w:t>landskapet drøftet i § 3.4: modellen optimerer L2 i log-rommet, og store relative feil i ti-EUR-størrelses</w:t>
      </w:r>
      <w:r>
        <w:rPr>
          <w:rFonts w:eastAsia="Times New Roman" w:cs="Times New Roman"/>
        </w:rPr>
        <w:softHyphen/>
        <w:t>ordener bidrar uforholdsmessig lite til log-tapet, samtidig som de blåser opp MAPE i absolutt</w:t>
      </w:r>
      <w:r>
        <w:rPr>
          <w:rFonts w:eastAsia="Times New Roman" w:cs="Times New Roman"/>
        </w:rPr>
        <w:softHyphen/>
        <w:t xml:space="preserve">rommet. </w:t>
      </w:r>
      <w:r>
        <w:rPr>
          <w:rFonts w:eastAsia="Times New Roman" w:cs="Times New Roman"/>
          <w:b/>
          <w:bCs/>
        </w:rPr>
        <w:t>For det andre</w:t>
      </w:r>
      <w:r>
        <w:rPr>
          <w:rFonts w:eastAsia="Times New Roman" w:cs="Times New Roman"/>
        </w:rPr>
        <w:t xml:space="preserve"> plasserer wMAPE-tallet (71,4 % val, 74,3 % test) NautiCost i den nedre enden av sammenlignbare studier: Jang et al. (2023) rapporterer wMAPE rundt 65–75 % for LightGBM på fraktkostnads</w:t>
      </w:r>
      <w:r>
        <w:rPr>
          <w:rFonts w:eastAsia="Times New Roman" w:cs="Times New Roman"/>
        </w:rPr>
        <w:softHyphen/>
        <w:t>prediksjon i en lignende heterogen, tabulær setting med n ~ 7 000 transaksjoner; S</w:t>
      </w:r>
      <w:r>
        <w:rPr>
          <w:rFonts w:eastAsia="Times New Roman" w:cs="Times New Roman"/>
        </w:rPr>
        <w:t>u et al. (2024) rapporterer relative feil i samme størrelses</w:t>
      </w:r>
      <w:r>
        <w:rPr>
          <w:rFonts w:eastAsia="Times New Roman" w:cs="Times New Roman"/>
        </w:rPr>
        <w:softHyphen/>
        <w:t>orden (60–80 %) for ro-ro-drivstoff</w:t>
      </w:r>
      <w:r>
        <w:rPr>
          <w:rFonts w:eastAsia="Times New Roman" w:cs="Times New Roman"/>
        </w:rPr>
        <w:softHyphen/>
        <w:t>prediksjon. Dette resultatet er dermed kvantitativt sammenlignbart med eksisterende litteratur, til tross for et betydelig mindre datasett (1 633 vs. ≥ 5 000 i de refererte studiene). At gradient-boosting-modellene slår både median</w:t>
      </w:r>
      <w:r>
        <w:rPr>
          <w:rFonts w:eastAsia="Times New Roman" w:cs="Times New Roman"/>
        </w:rPr>
        <w:softHyphen/>
        <w:t>baseline (wMAPE 89,8 %) og ridge</w:t>
      </w:r>
      <w:r>
        <w:rPr>
          <w:rFonts w:eastAsia="Times New Roman" w:cs="Times New Roman"/>
        </w:rPr>
        <w:softHyphen/>
        <w:t>regresjon (75,1 %) bekrefter også Jang et al. (2023) sin kjerne</w:t>
      </w:r>
      <w:r>
        <w:rPr>
          <w:rFonts w:eastAsia="Times New Roman" w:cs="Times New Roman"/>
        </w:rPr>
        <w:softHyphen/>
        <w:t>observasjon: trebaserte modeller dominerer lineære alternativer på heterogene tabulære</w:t>
      </w:r>
      <w:r>
        <w:rPr>
          <w:rFonts w:eastAsia="Times New Roman" w:cs="Times New Roman"/>
        </w:rPr>
        <w:t xml:space="preserve"> data. </w:t>
      </w:r>
      <w:r>
        <w:rPr>
          <w:rFonts w:eastAsia="Times New Roman" w:cs="Times New Roman"/>
          <w:b/>
          <w:bCs/>
        </w:rPr>
        <w:t>For det tredje</w:t>
      </w:r>
      <w:r>
        <w:rPr>
          <w:rFonts w:eastAsia="Times New Roman" w:cs="Times New Roman"/>
        </w:rPr>
        <w:t xml:space="preserve"> er det de aggregerte anløps</w:t>
      </w:r>
      <w:r>
        <w:rPr>
          <w:rFonts w:eastAsia="Times New Roman" w:cs="Times New Roman"/>
        </w:rPr>
        <w:softHyphen/>
        <w:t>estimatene (§ 8.3) som er den operasjonelle målestokken — der har medianestimatet plassert seg innenfor det historiske P25–P75-båndet i alle fem testede eksempler, og det er den presisjonen som spiller størst rolle for agentkoordinator.</w:t>
      </w:r>
    </w:p>
    <w:p w14:paraId="25211DB9" w14:textId="77777777" w:rsidR="003C788D" w:rsidRDefault="00AA7D12">
      <w:pPr>
        <w:pStyle w:val="Overskrift3"/>
      </w:pPr>
      <w:bookmarkStart w:id="105" w:name="X244671d3f5a9d81faac214b94d413d8f6763369"/>
      <w:bookmarkStart w:id="106" w:name="_Toc230777814"/>
      <w:bookmarkEnd w:id="103"/>
      <w:r>
        <w:t>9.2 Forholdet mellom ensemble og enkelt</w:t>
      </w:r>
      <w:r>
        <w:softHyphen/>
        <w:t>modellene</w:t>
      </w:r>
      <w:bookmarkEnd w:id="106"/>
    </w:p>
    <w:p w14:paraId="027E0280" w14:textId="77777777" w:rsidR="003C788D" w:rsidRDefault="00AA7D12">
      <w:pPr>
        <w:pStyle w:val="FirstParagraph"/>
        <w:spacing w:line="360" w:lineRule="auto"/>
      </w:pPr>
      <w:r>
        <w:rPr>
          <w:rFonts w:eastAsia="Times New Roman" w:cs="Times New Roman"/>
        </w:rPr>
        <w:t>På valideringssettet (2024) er LightGBM (base) marginalt best på MAE (17 317 EUR) og RMSE (54 476 EUR), mens ensemble</w:t>
      </w:r>
      <w:r>
        <w:rPr>
          <w:rFonts w:eastAsia="Times New Roman" w:cs="Times New Roman"/>
        </w:rPr>
        <w:softHyphen/>
        <w:t>modellen vinner på MAPE (168,3 %). Rangeringen mellom de to er innenfor støy</w:t>
      </w:r>
      <w:r>
        <w:rPr>
          <w:rFonts w:eastAsia="Times New Roman" w:cs="Times New Roman"/>
        </w:rPr>
        <w:softHyphen/>
        <w:t>nivået, og det er ingen statistisk signifikant forskjell mellom dem på 490 transaksjoner. Forskjellene speiler det generelle bildet i Shwartz-Ziv &amp; Armon (2022) og Grinsztajn et al. (2022): på heterogene tabulære data i mellom</w:t>
      </w:r>
      <w:r>
        <w:rPr>
          <w:rFonts w:eastAsia="Times New Roman" w:cs="Times New Roman"/>
        </w:rPr>
        <w:softHyphen/>
        <w:t>størrelse er gradient-boosting-modeller mer eller mindre likeverdige, og ensembler gir marginal varians</w:t>
      </w:r>
      <w:r>
        <w:rPr>
          <w:rFonts w:eastAsia="Times New Roman" w:cs="Times New Roman"/>
        </w:rPr>
        <w:softHyphen/>
        <w:t>reduksjon snarere enn vesentlig MAE-forbedring. Et interessant biprodukt av re-splittingen er at den Op</w:t>
      </w:r>
      <w:r>
        <w:rPr>
          <w:rFonts w:eastAsia="Times New Roman" w:cs="Times New Roman"/>
        </w:rPr>
        <w:t>tuna-tunede LightGBM-modellen presterer dårligere (17 837 EUR) enn base-modellen — et tegn på at hyperparameter</w:t>
      </w:r>
      <w:r>
        <w:rPr>
          <w:rFonts w:eastAsia="Times New Roman" w:cs="Times New Roman"/>
        </w:rPr>
        <w:softHyphen/>
        <w:t>søket kan ha overtilpasset seg den spesifikke fold-strukturen i kryssvalideringen. Dette minner om at bayesiansk optimering på små valider</w:t>
      </w:r>
      <w:r>
        <w:rPr>
          <w:rFonts w:eastAsia="Times New Roman" w:cs="Times New Roman"/>
        </w:rPr>
        <w:softHyphen/>
        <w:t>ingssett er sårbart, og argumenterer for å beholde en enkelt-modell-fallback ved re-trening. Ensemble velges som produksjons</w:t>
      </w:r>
      <w:r>
        <w:rPr>
          <w:rFonts w:eastAsia="Times New Roman" w:cs="Times New Roman"/>
        </w:rPr>
        <w:softHyphen/>
        <w:t>modell fordi varians</w:t>
      </w:r>
      <w:r>
        <w:rPr>
          <w:rFonts w:eastAsia="Times New Roman" w:cs="Times New Roman"/>
        </w:rPr>
        <w:softHyphen/>
        <w:t>reduksjon mellom CatBoost og tunet LightGBM gir mer robust adferd ved drift i underliggende data</w:t>
      </w:r>
      <w:r>
        <w:rPr>
          <w:rFonts w:eastAsia="Times New Roman" w:cs="Times New Roman"/>
        </w:rPr>
        <w:softHyphen/>
        <w:t>distribusjon.</w:t>
      </w:r>
    </w:p>
    <w:p w14:paraId="37329622" w14:textId="77777777" w:rsidR="003C788D" w:rsidRDefault="00AA7D12">
      <w:pPr>
        <w:pStyle w:val="Brdtekst"/>
        <w:spacing w:line="360" w:lineRule="auto"/>
      </w:pPr>
      <w:r>
        <w:rPr>
          <w:rFonts w:eastAsia="Times New Roman" w:cs="Times New Roman"/>
        </w:rPr>
        <w:t xml:space="preserve">CQR-korreksjonen på 3 EUR (§ 6.4 og § 8.2) er teoretisk forventet </w:t>
      </w:r>
      <w:r>
        <w:rPr>
          <w:rFonts w:eastAsia="Times New Roman" w:cs="Times New Roman"/>
          <w:i/>
          <w:iCs/>
        </w:rPr>
        <w:t>gitt</w:t>
      </w:r>
      <w:r>
        <w:rPr>
          <w:rFonts w:eastAsia="Times New Roman" w:cs="Times New Roman"/>
        </w:rPr>
        <w:t xml:space="preserve"> at de underliggende kvantil</w:t>
      </w:r>
      <w:r>
        <w:rPr>
          <w:rFonts w:eastAsia="Times New Roman" w:cs="Times New Roman"/>
        </w:rPr>
        <w:softHyphen/>
        <w:t>modellene er korrekt spesifisert. Det at korreksjonen ble så liten, betyr ikke at usikkerhets</w:t>
      </w:r>
      <w:r>
        <w:rPr>
          <w:rFonts w:eastAsia="Times New Roman" w:cs="Times New Roman"/>
        </w:rPr>
        <w:softHyphen/>
        <w:t>båndene er like små for hele kostnads</w:t>
      </w:r>
      <w:r>
        <w:rPr>
          <w:rFonts w:eastAsia="Times New Roman" w:cs="Times New Roman"/>
        </w:rPr>
        <w:softHyphen/>
        <w:t>domenet — det betyr at residual</w:t>
      </w:r>
      <w:r>
        <w:rPr>
          <w:rFonts w:eastAsia="Times New Roman" w:cs="Times New Roman"/>
        </w:rPr>
        <w:softHyphen/>
        <w:t>fordelingen som kvantil</w:t>
      </w:r>
      <w:r>
        <w:rPr>
          <w:rFonts w:eastAsia="Times New Roman" w:cs="Times New Roman"/>
        </w:rPr>
        <w:softHyphen/>
        <w:t>modellene ser ut fra log-trans</w:t>
      </w:r>
      <w:r>
        <w:rPr>
          <w:rFonts w:eastAsia="Times New Roman" w:cs="Times New Roman"/>
        </w:rPr>
        <w:softHyphen/>
        <w:t>formerte features samsvarer med antakelsen i Romano et al. (2019). En viktig nyanse fra konform</w:t>
      </w:r>
      <w:r>
        <w:rPr>
          <w:rFonts w:eastAsia="Times New Roman" w:cs="Times New Roman"/>
        </w:rPr>
        <w:softHyphen/>
        <w:t>prediksjons</w:t>
      </w:r>
      <w:r>
        <w:rPr>
          <w:rFonts w:eastAsia="Times New Roman" w:cs="Times New Roman"/>
        </w:rPr>
        <w:softHyphen/>
        <w:t xml:space="preserve">teorien (Shafer &amp; Vovk, 2008; Romano et al., 2019) er imidlertid at CQR-garantien gjelder </w:t>
      </w:r>
      <w:r>
        <w:rPr>
          <w:rFonts w:eastAsia="Times New Roman" w:cs="Times New Roman"/>
          <w:i/>
          <w:iCs/>
        </w:rPr>
        <w:t>marginal</w:t>
      </w:r>
      <w:r>
        <w:rPr>
          <w:rFonts w:eastAsia="Times New Roman" w:cs="Times New Roman"/>
        </w:rPr>
        <w:t xml:space="preserve"> dekning over hele test</w:t>
      </w:r>
      <w:r>
        <w:rPr>
          <w:rFonts w:eastAsia="Times New Roman" w:cs="Times New Roman"/>
        </w:rPr>
        <w:softHyphen/>
        <w:t xml:space="preserve">distribusjonen, ikke </w:t>
      </w:r>
      <w:r>
        <w:rPr>
          <w:rFonts w:eastAsia="Times New Roman" w:cs="Times New Roman"/>
          <w:i/>
          <w:iCs/>
        </w:rPr>
        <w:t>betinget</w:t>
      </w:r>
      <w:r>
        <w:rPr>
          <w:rFonts w:eastAsia="Times New Roman" w:cs="Times New Roman"/>
        </w:rPr>
        <w:t xml:space="preserve"> </w:t>
      </w:r>
      <w:r>
        <w:rPr>
          <w:rFonts w:eastAsia="Times New Roman" w:cs="Times New Roman"/>
        </w:rPr>
        <w:t>dekning på subpopulasjoner. I et regime der en sentral kostnads</w:t>
      </w:r>
      <w:r>
        <w:rPr>
          <w:rFonts w:eastAsia="Times New Roman" w:cs="Times New Roman"/>
        </w:rPr>
        <w:softHyphen/>
        <w:t>driver (</w:t>
      </w:r>
      <w:r>
        <w:rPr>
          <w:rStyle w:val="VerbatimChar"/>
          <w:rFonts w:ascii="Times New Roman" w:eastAsia="Times New Roman" w:hAnsi="Times New Roman" w:cs="Times New Roman"/>
          <w:sz w:val="24"/>
        </w:rPr>
        <w:t>guest_experience</w:t>
      </w:r>
      <w:r>
        <w:rPr>
          <w:rFonts w:eastAsia="Times New Roman" w:cs="Times New Roman"/>
        </w:rPr>
        <w:t>) er fraværende fra feature-settet (§ 9.5.4), kan båndet være for smalt for noen kategorier (særlig Provisions); CQR korrigerer ikke for en manglende feature den ikke kan observere. Dette er den empiriske illustrasjonen av forskjellen mellom marginal og betinget dekning som § 1.5 punkt (ii) peker på som ett av studiens bidrag.</w:t>
      </w:r>
    </w:p>
    <w:p w14:paraId="2AB66195" w14:textId="77777777" w:rsidR="003C788D" w:rsidRDefault="00AA7D12">
      <w:pPr>
        <w:pStyle w:val="Overskrift3"/>
      </w:pPr>
      <w:bookmarkStart w:id="107" w:name="modellens-styrker"/>
      <w:bookmarkStart w:id="108" w:name="_Toc230777815"/>
      <w:bookmarkEnd w:id="105"/>
      <w:r>
        <w:t>9.3 Modellens styrker</w:t>
      </w:r>
      <w:bookmarkEnd w:id="108"/>
    </w:p>
    <w:p w14:paraId="31CA69B2" w14:textId="77777777" w:rsidR="003C788D" w:rsidRDefault="00AA7D12">
      <w:pPr>
        <w:pStyle w:val="Compact"/>
        <w:numPr>
          <w:ilvl w:val="0"/>
          <w:numId w:val="22"/>
        </w:numPr>
        <w:spacing w:line="360" w:lineRule="auto"/>
      </w:pPr>
      <w:r>
        <w:rPr>
          <w:rFonts w:eastAsia="Times New Roman" w:cs="Times New Roman"/>
          <w:b/>
          <w:bCs/>
        </w:rPr>
        <w:t>Kalibrering mot historiske persentiler</w:t>
      </w:r>
      <w:r>
        <w:rPr>
          <w:rFonts w:eastAsia="Times New Roman" w:cs="Times New Roman"/>
        </w:rPr>
        <w:t xml:space="preserve"> (§ 6.5) gjør at totalen alltid forankres i empirisk virkelighet, og eliminerer urealistisk lave estimater som rene transaksjons</w:t>
      </w:r>
      <w:r>
        <w:rPr>
          <w:rFonts w:eastAsia="Times New Roman" w:cs="Times New Roman"/>
        </w:rPr>
        <w:softHyphen/>
        <w:t>summer kan produsere.</w:t>
      </w:r>
    </w:p>
    <w:p w14:paraId="3D459FF7" w14:textId="77777777" w:rsidR="003C788D" w:rsidRDefault="00AA7D12">
      <w:pPr>
        <w:pStyle w:val="Compact"/>
        <w:numPr>
          <w:ilvl w:val="0"/>
          <w:numId w:val="22"/>
        </w:numPr>
        <w:spacing w:line="360" w:lineRule="auto"/>
      </w:pPr>
      <w:r>
        <w:rPr>
          <w:rFonts w:eastAsia="Times New Roman" w:cs="Times New Roman"/>
          <w:b/>
          <w:bCs/>
        </w:rPr>
        <w:t>Kvantil</w:t>
      </w:r>
      <w:r>
        <w:rPr>
          <w:rFonts w:eastAsia="Times New Roman" w:cs="Times New Roman"/>
          <w:b/>
          <w:bCs/>
        </w:rPr>
        <w:softHyphen/>
        <w:t>modeller med CQR-kalibrering</w:t>
      </w:r>
      <w:r>
        <w:rPr>
          <w:rFonts w:eastAsia="Times New Roman" w:cs="Times New Roman"/>
        </w:rPr>
        <w:t xml:space="preserve"> gir et håndfast usikkerhetsbånd som er enklere å kommunisere til kunde enn et nakent punktestimat.</w:t>
      </w:r>
    </w:p>
    <w:p w14:paraId="33169974" w14:textId="77777777" w:rsidR="003C788D" w:rsidRDefault="00AA7D12">
      <w:pPr>
        <w:pStyle w:val="Compact"/>
        <w:numPr>
          <w:ilvl w:val="0"/>
          <w:numId w:val="22"/>
        </w:numPr>
        <w:spacing w:line="360" w:lineRule="auto"/>
      </w:pPr>
      <w:r>
        <w:rPr>
          <w:rFonts w:eastAsia="Times New Roman" w:cs="Times New Roman"/>
          <w:b/>
          <w:bCs/>
        </w:rPr>
        <w:t>Tids</w:t>
      </w:r>
      <w:r>
        <w:rPr>
          <w:rFonts w:eastAsia="Times New Roman" w:cs="Times New Roman"/>
          <w:b/>
          <w:bCs/>
        </w:rPr>
        <w:softHyphen/>
        <w:t>basert split</w:t>
      </w:r>
      <w:r>
        <w:rPr>
          <w:rFonts w:eastAsia="Times New Roman" w:cs="Times New Roman"/>
        </w:rPr>
        <w:t xml:space="preserve"> speiler hvordan modellen brukes operasjonelt og fjerner risiko for optimistiske prestasjons</w:t>
      </w:r>
      <w:r>
        <w:rPr>
          <w:rFonts w:eastAsia="Times New Roman" w:cs="Times New Roman"/>
        </w:rPr>
        <w:softHyphen/>
        <w:t>tall fra tilfeldig split.</w:t>
      </w:r>
    </w:p>
    <w:p w14:paraId="0509BF00" w14:textId="77777777" w:rsidR="003C788D" w:rsidRDefault="00AA7D12">
      <w:pPr>
        <w:pStyle w:val="Overskrift3"/>
      </w:pPr>
      <w:bookmarkStart w:id="109" w:name="X56aa68e323ecedcef833e61fdd58166787950c3"/>
      <w:bookmarkStart w:id="110" w:name="_Toc230777816"/>
      <w:bookmarkEnd w:id="107"/>
      <w:r>
        <w:t>9.4 Modellens svakheter — kritisk drøfting og forsvar</w:t>
      </w:r>
      <w:bookmarkEnd w:id="110"/>
    </w:p>
    <w:p w14:paraId="61F11DE4" w14:textId="77777777" w:rsidR="003C788D" w:rsidRDefault="00AA7D12">
      <w:pPr>
        <w:pStyle w:val="FirstParagraph"/>
        <w:spacing w:line="360" w:lineRule="auto"/>
      </w:pPr>
      <w:r>
        <w:rPr>
          <w:rFonts w:eastAsia="Times New Roman" w:cs="Times New Roman"/>
        </w:rPr>
        <w:t>Hver svakhet er ledsaget av et forsvar — bevisst valg, akseptert begrensning, eller åpent punkt for videre arbeid.</w:t>
      </w:r>
    </w:p>
    <w:p w14:paraId="7A14AB30" w14:textId="77777777" w:rsidR="003C788D" w:rsidRDefault="00AA7D12">
      <w:pPr>
        <w:pStyle w:val="Brdtekst"/>
        <w:spacing w:line="360" w:lineRule="auto"/>
      </w:pPr>
      <w:r>
        <w:rPr>
          <w:rFonts w:eastAsia="Times New Roman" w:cs="Times New Roman"/>
          <w:b/>
          <w:bCs/>
        </w:rPr>
        <w:t>Strukturell hovedkilde til usikkerhet (S1).</w:t>
      </w:r>
      <w:r>
        <w:rPr>
          <w:rFonts w:eastAsia="Times New Roman" w:cs="Times New Roman"/>
        </w:rPr>
        <w:t xml:space="preserve"> 977 av 1 647 transaksjoner (≈ 59 %, perioden 2020–2024) er simulert fordi reelle fakturaer ikke var tilgjengelige (jf. § 5.2). En ukjent del av val→test-degraderingen (+10 % MAE) skyldes derfor simulert→reell-distribusjons</w:t>
      </w:r>
      <w:r>
        <w:rPr>
          <w:rFonts w:eastAsia="Times New Roman" w:cs="Times New Roman"/>
        </w:rPr>
        <w:softHyphen/>
        <w:t xml:space="preserve">skift snarere enn ren tidsdrift. </w:t>
      </w:r>
      <w:r>
        <w:rPr>
          <w:rFonts w:eastAsia="Times New Roman" w:cs="Times New Roman"/>
          <w:i/>
          <w:iCs/>
        </w:rPr>
        <w:t>Forsvar:</w:t>
      </w:r>
      <w:r>
        <w:rPr>
          <w:rFonts w:eastAsia="Times New Roman" w:cs="Times New Roman"/>
        </w:rPr>
        <w:t xml:space="preserve"> simuleringen er ankret i SDK Shipping sine reelle 2025-fakturaer, og 2025-testsettet (n = 649) bekrefter brukbare estimater på faktiske data. Strukturelt lukkes dette først når flere år med reelle fakturaer foreligger (videre arbeid punkt 1).</w:t>
      </w:r>
    </w:p>
    <w:p w14:paraId="05F837D8" w14:textId="77777777" w:rsidR="003C788D" w:rsidRDefault="00AA7D12">
      <w:pPr>
        <w:pStyle w:val="Brdtekst"/>
        <w:spacing w:line="360" w:lineRule="auto"/>
      </w:pPr>
      <w:r>
        <w:rPr>
          <w:rFonts w:eastAsia="Times New Roman" w:cs="Times New Roman"/>
          <w:b/>
          <w:bCs/>
        </w:rPr>
        <w:t>Data</w:t>
      </w:r>
      <w:r>
        <w:rPr>
          <w:rFonts w:eastAsia="Times New Roman" w:cs="Times New Roman"/>
          <w:b/>
          <w:bCs/>
        </w:rPr>
        <w:softHyphen/>
        <w:t>svakheter (1–7).</w:t>
      </w:r>
      <w:r>
        <w:rPr>
          <w:rFonts w:eastAsia="Times New Roman" w:cs="Times New Roman"/>
        </w:rPr>
        <w:t xml:space="preserve"> (1) </w:t>
      </w:r>
      <w:r>
        <w:rPr>
          <w:rFonts w:eastAsia="Times New Roman" w:cs="Times New Roman"/>
          <w:i/>
          <w:iCs/>
        </w:rPr>
        <w:t>Tynn flåte (n = 17):</w:t>
      </w:r>
      <w:r>
        <w:rPr>
          <w:rFonts w:eastAsia="Times New Roman" w:cs="Times New Roman"/>
        </w:rPr>
        <w:t xml:space="preserve"> den strukturelt største svakheten innenfor data</w:t>
      </w:r>
      <w:r>
        <w:rPr>
          <w:rFonts w:eastAsia="Times New Roman" w:cs="Times New Roman"/>
        </w:rPr>
        <w:softHyphen/>
        <w:t xml:space="preserve">settet — modellen kan ha lært yacht-spesifikke mønstre. </w:t>
      </w:r>
      <w:r>
        <w:rPr>
          <w:rFonts w:eastAsia="Times New Roman" w:cs="Times New Roman"/>
          <w:i/>
          <w:iCs/>
        </w:rPr>
        <w:t>Forsvar:</w:t>
      </w:r>
      <w:r>
        <w:rPr>
          <w:rFonts w:eastAsia="Times New Roman" w:cs="Times New Roman"/>
        </w:rPr>
        <w:t xml:space="preserve"> avgrensningen er eksplisitt i § 1.3, hybrid persentil-kalibrering forankrer estimatet i empirisk virkelighet, og videre arbeid punkt 1 lukker det med utvidet flåte. (2) </w:t>
      </w:r>
      <w:r>
        <w:rPr>
          <w:rFonts w:eastAsia="Times New Roman" w:cs="Times New Roman"/>
          <w:i/>
          <w:iCs/>
        </w:rPr>
        <w:t>Mellomstor underrepresentert (n = 113, dekning 74 %):</w:t>
      </w:r>
      <w:r>
        <w:rPr>
          <w:rFonts w:eastAsia="Times New Roman" w:cs="Times New Roman"/>
        </w:rPr>
        <w:t xml:space="preserve"> operasjonelt problem. </w:t>
      </w:r>
      <w:r>
        <w:rPr>
          <w:rFonts w:eastAsia="Times New Roman" w:cs="Times New Roman"/>
          <w:i/>
          <w:iCs/>
        </w:rPr>
        <w:t>Forsvar:</w:t>
      </w:r>
      <w:r>
        <w:rPr>
          <w:rFonts w:eastAsia="Times New Roman" w:cs="Times New Roman"/>
        </w:rPr>
        <w:t xml:space="preserve"> dokumentert i § 8.2 og synliggjort; lukkes ved mer data. (3) </w:t>
      </w:r>
      <w:r>
        <w:rPr>
          <w:rFonts w:eastAsia="Times New Roman" w:cs="Times New Roman"/>
          <w:i/>
          <w:iCs/>
        </w:rPr>
        <w:t>Sjeldne havner (Stavanger n=3, Kristiansa</w:t>
      </w:r>
      <w:r>
        <w:rPr>
          <w:rFonts w:eastAsia="Times New Roman" w:cs="Times New Roman"/>
          <w:i/>
          <w:iCs/>
        </w:rPr>
        <w:t>nd n=8):</w:t>
      </w:r>
      <w:r>
        <w:rPr>
          <w:rFonts w:eastAsia="Times New Roman" w:cs="Times New Roman"/>
        </w:rPr>
        <w:t xml:space="preserve"> hybrid-kalibreringen kollapser til rent modell</w:t>
      </w:r>
      <w:r>
        <w:rPr>
          <w:rFonts w:eastAsia="Times New Roman" w:cs="Times New Roman"/>
        </w:rPr>
        <w:softHyphen/>
        <w:t xml:space="preserve">estimat. </w:t>
      </w:r>
      <w:r>
        <w:rPr>
          <w:rFonts w:eastAsia="Times New Roman" w:cs="Times New Roman"/>
          <w:i/>
          <w:iCs/>
        </w:rPr>
        <w:t>Forsvar:</w:t>
      </w:r>
      <w:r>
        <w:rPr>
          <w:rFonts w:eastAsia="Times New Roman" w:cs="Times New Roman"/>
        </w:rPr>
        <w:t xml:space="preserve"> </w:t>
      </w:r>
      <w:r>
        <w:rPr>
          <w:rStyle w:val="VerbatimChar"/>
          <w:rFonts w:ascii="Times New Roman" w:eastAsia="Times New Roman" w:hAnsi="Times New Roman" w:cs="Times New Roman"/>
          <w:sz w:val="24"/>
        </w:rPr>
        <w:t>HISTORICAL_RANGES</w:t>
      </w:r>
      <w:r>
        <w:rPr>
          <w:rFonts w:eastAsia="Times New Roman" w:cs="Times New Roman"/>
        </w:rPr>
        <w:t xml:space="preserve"> rapporterer ikke usikkerhet for disse — modellen er ærlig om når den ikke kan kalibrere. (4) </w:t>
      </w:r>
      <w:r>
        <w:rPr>
          <w:rFonts w:eastAsia="Times New Roman" w:cs="Times New Roman"/>
          <w:i/>
          <w:iCs/>
        </w:rPr>
        <w:t xml:space="preserve">Manglende </w:t>
      </w:r>
      <w:r>
        <w:rPr>
          <w:rStyle w:val="VerbatimChar"/>
          <w:rFonts w:ascii="Times New Roman" w:eastAsia="Times New Roman" w:hAnsi="Times New Roman" w:cs="Times New Roman"/>
          <w:i/>
          <w:iCs/>
          <w:sz w:val="24"/>
        </w:rPr>
        <w:t>guest_experience</w:t>
      </w:r>
      <w:r>
        <w:rPr>
          <w:rFonts w:eastAsia="Times New Roman" w:cs="Times New Roman"/>
          <w:i/>
          <w:iCs/>
        </w:rPr>
        <w:t>:</w:t>
      </w:r>
      <w:r>
        <w:rPr>
          <w:rFonts w:eastAsia="Times New Roman" w:cs="Times New Roman"/>
        </w:rPr>
        <w:t xml:space="preserve"> hovedfaktor for Provisions mangler i kildedata. </w:t>
      </w:r>
      <w:r>
        <w:rPr>
          <w:rFonts w:eastAsia="Times New Roman" w:cs="Times New Roman"/>
          <w:i/>
          <w:iCs/>
        </w:rPr>
        <w:t>Forsvar:</w:t>
      </w:r>
      <w:r>
        <w:rPr>
          <w:rFonts w:eastAsia="Times New Roman" w:cs="Times New Roman"/>
        </w:rPr>
        <w:t xml:space="preserve"> </w:t>
      </w:r>
      <w:r>
        <w:rPr>
          <w:rFonts w:eastAsia="Times New Roman" w:cs="Times New Roman"/>
        </w:rPr>
        <w:t xml:space="preserve">operasjonell rubrikk er foreslått i Vedlegg E; det er gjort et bevisst valg å </w:t>
      </w:r>
      <w:r>
        <w:rPr>
          <w:rFonts w:eastAsia="Times New Roman" w:cs="Times New Roman"/>
          <w:i/>
          <w:iCs/>
        </w:rPr>
        <w:t>ikke</w:t>
      </w:r>
      <w:r>
        <w:rPr>
          <w:rFonts w:eastAsia="Times New Roman" w:cs="Times New Roman"/>
        </w:rPr>
        <w:t xml:space="preserve"> simulere data syntetisk. CQR-begrensningen som følger er løftet fram som ett av studiens anvendte bidrag (§ 1.5 punkt ii). (5) </w:t>
      </w:r>
      <w:r>
        <w:rPr>
          <w:rFonts w:eastAsia="Times New Roman" w:cs="Times New Roman"/>
          <w:i/>
          <w:iCs/>
        </w:rPr>
        <w:t>Ingen inflasjons</w:t>
      </w:r>
      <w:r>
        <w:rPr>
          <w:rFonts w:eastAsia="Times New Roman" w:cs="Times New Roman"/>
          <w:i/>
          <w:iCs/>
        </w:rPr>
        <w:softHyphen/>
        <w:t>justering:</w:t>
      </w:r>
      <w:r>
        <w:rPr>
          <w:rFonts w:eastAsia="Times New Roman" w:cs="Times New Roman"/>
        </w:rPr>
        <w:t xml:space="preserve"> 15–20 % kumulert inflasjon 2020–2025 ikke kompensert. </w:t>
      </w:r>
      <w:r>
        <w:rPr>
          <w:rFonts w:eastAsia="Times New Roman" w:cs="Times New Roman"/>
          <w:i/>
          <w:iCs/>
        </w:rPr>
        <w:t>Forsvar:</w:t>
      </w:r>
      <w:r>
        <w:rPr>
          <w:rFonts w:eastAsia="Times New Roman" w:cs="Times New Roman"/>
        </w:rPr>
        <w:t xml:space="preserve"> 2020–2021 underrepresentert (n = 163), drift</w:t>
      </w:r>
      <w:r>
        <w:rPr>
          <w:rFonts w:eastAsia="Times New Roman" w:cs="Times New Roman"/>
        </w:rPr>
        <w:softHyphen/>
        <w:t xml:space="preserve">effekten begrenset; rullerende re-trening flagget. (6) </w:t>
      </w:r>
      <w:r>
        <w:rPr>
          <w:rFonts w:eastAsia="Times New Roman" w:cs="Times New Roman"/>
          <w:i/>
          <w:iCs/>
        </w:rPr>
        <w:t>Konstant vekslingskurs:</w:t>
      </w:r>
      <w:r>
        <w:rPr>
          <w:rFonts w:eastAsia="Times New Roman" w:cs="Times New Roman"/>
        </w:rPr>
        <w:t xml:space="preserve"> 5 % NOK-bevegelse gir 5 % bias. </w:t>
      </w:r>
      <w:r>
        <w:rPr>
          <w:rFonts w:eastAsia="Times New Roman" w:cs="Times New Roman"/>
          <w:i/>
          <w:iCs/>
        </w:rPr>
        <w:t>Forsvar:</w:t>
      </w:r>
      <w:r>
        <w:rPr>
          <w:rFonts w:eastAsia="Times New Roman" w:cs="Times New Roman"/>
        </w:rPr>
        <w:t xml:space="preserve"> modellen er trent i EUR; valuta</w:t>
      </w:r>
      <w:r>
        <w:rPr>
          <w:rFonts w:eastAsia="Times New Roman" w:cs="Times New Roman"/>
        </w:rPr>
        <w:softHyphen/>
        <w:t>konvertering k</w:t>
      </w:r>
      <w:r>
        <w:rPr>
          <w:rFonts w:eastAsia="Times New Roman" w:cs="Times New Roman"/>
        </w:rPr>
        <w:t xml:space="preserve">an oppdateres uten re-trening. (7) </w:t>
      </w:r>
      <w:r>
        <w:rPr>
          <w:rFonts w:eastAsia="Times New Roman" w:cs="Times New Roman"/>
          <w:i/>
          <w:iCs/>
        </w:rPr>
        <w:t>Ingen outlier-trimming i evaluering:</w:t>
      </w:r>
      <w:r>
        <w:rPr>
          <w:rFonts w:eastAsia="Times New Roman" w:cs="Times New Roman"/>
        </w:rPr>
        <w:t xml:space="preserve"> P95/P50 ≈ 12. </w:t>
      </w:r>
      <w:r>
        <w:rPr>
          <w:rFonts w:eastAsia="Times New Roman" w:cs="Times New Roman"/>
          <w:i/>
          <w:iCs/>
        </w:rPr>
        <w:t>Forsvar:</w:t>
      </w:r>
      <w:r>
        <w:rPr>
          <w:rFonts w:eastAsia="Times New Roman" w:cs="Times New Roman"/>
        </w:rPr>
        <w:t xml:space="preserve"> trening bruker P99-cap (§ 5.4); evaluering på faktiske verdier viser modellens reelle adferd.</w:t>
      </w:r>
    </w:p>
    <w:p w14:paraId="1E83000F" w14:textId="77777777" w:rsidR="003C788D" w:rsidRDefault="00AA7D12">
      <w:pPr>
        <w:pStyle w:val="Brdtekst"/>
        <w:spacing w:line="360" w:lineRule="auto"/>
      </w:pPr>
      <w:r>
        <w:rPr>
          <w:rFonts w:eastAsia="Times New Roman" w:cs="Times New Roman"/>
          <w:b/>
          <w:bCs/>
        </w:rPr>
        <w:t>Modell</w:t>
      </w:r>
      <w:r>
        <w:rPr>
          <w:rFonts w:eastAsia="Times New Roman" w:cs="Times New Roman"/>
          <w:b/>
          <w:bCs/>
        </w:rPr>
        <w:softHyphen/>
        <w:t>svakheter (8–12).</w:t>
      </w:r>
      <w:r>
        <w:rPr>
          <w:rFonts w:eastAsia="Times New Roman" w:cs="Times New Roman"/>
        </w:rPr>
        <w:t xml:space="preserve"> (8) </w:t>
      </w:r>
      <w:r>
        <w:rPr>
          <w:rFonts w:eastAsia="Times New Roman" w:cs="Times New Roman"/>
          <w:i/>
          <w:iCs/>
        </w:rPr>
        <w:t>Optuna-tunet ble dårligere enn base:</w:t>
      </w:r>
      <w:r>
        <w:rPr>
          <w:rFonts w:eastAsia="Times New Roman" w:cs="Times New Roman"/>
        </w:rPr>
        <w:t xml:space="preserve"> tegn på overtilpasning til 5-fold CV på 490 valideringsrader. </w:t>
      </w:r>
      <w:r>
        <w:rPr>
          <w:rFonts w:eastAsia="Times New Roman" w:cs="Times New Roman"/>
          <w:i/>
          <w:iCs/>
        </w:rPr>
        <w:t>Forsvar:</w:t>
      </w:r>
      <w:r>
        <w:rPr>
          <w:rFonts w:eastAsia="Times New Roman" w:cs="Times New Roman"/>
        </w:rPr>
        <w:t xml:space="preserve"> empirisk argument for å beholde base som fallback ved re-trening; identifisert og rapportert åpent. (9) </w:t>
      </w:r>
      <w:r>
        <w:rPr>
          <w:rFonts w:eastAsia="Times New Roman" w:cs="Times New Roman"/>
          <w:i/>
          <w:iCs/>
        </w:rPr>
        <w:t>Ensemble-gevinsten er statistisk insignifikant:</w:t>
      </w:r>
      <w:r>
        <w:rPr>
          <w:rFonts w:eastAsia="Times New Roman" w:cs="Times New Roman"/>
        </w:rPr>
        <w:t xml:space="preserve"> bootstrap-KI omslutter null (§ 8.1). </w:t>
      </w:r>
      <w:r>
        <w:rPr>
          <w:rFonts w:eastAsia="Times New Roman" w:cs="Times New Roman"/>
          <w:i/>
          <w:iCs/>
        </w:rPr>
        <w:t>Forsvar:</w:t>
      </w:r>
      <w:r>
        <w:rPr>
          <w:rFonts w:eastAsia="Times New Roman" w:cs="Times New Roman"/>
        </w:rPr>
        <w:t xml:space="preserve"> ensemble velges på </w:t>
      </w:r>
      <w:r>
        <w:rPr>
          <w:rFonts w:eastAsia="Times New Roman" w:cs="Times New Roman"/>
          <w:i/>
          <w:iCs/>
        </w:rPr>
        <w:t>forsikrings</w:t>
      </w:r>
      <w:r>
        <w:rPr>
          <w:rFonts w:eastAsia="Times New Roman" w:cs="Times New Roman"/>
          <w:i/>
          <w:iCs/>
        </w:rPr>
        <w:softHyphen/>
        <w:t>grunner</w:t>
      </w:r>
      <w:r>
        <w:rPr>
          <w:rFonts w:eastAsia="Times New Roman" w:cs="Times New Roman"/>
        </w:rPr>
        <w:t xml:space="preserve"> (varians</w:t>
      </w:r>
      <w:r>
        <w:rPr>
          <w:rFonts w:eastAsia="Times New Roman" w:cs="Times New Roman"/>
        </w:rPr>
        <w:softHyphen/>
        <w:t>robusthet ved drift) snarere enn gevinst</w:t>
      </w:r>
      <w:r>
        <w:rPr>
          <w:rFonts w:eastAsia="Times New Roman" w:cs="Times New Roman"/>
        </w:rPr>
        <w:softHyphen/>
        <w:t xml:space="preserve">grunner — og dette rapporteres ærlig. (10) </w:t>
      </w:r>
      <w:r>
        <w:rPr>
          <w:rFonts w:eastAsia="Times New Roman" w:cs="Times New Roman"/>
          <w:i/>
          <w:iCs/>
        </w:rPr>
        <w:t>Regulatoriske krav som sannsynligheter:</w:t>
      </w:r>
      <w:r>
        <w:rPr>
          <w:rFonts w:eastAsia="Times New Roman" w:cs="Times New Roman"/>
        </w:rPr>
        <w:t xml:space="preserve"> los er obli</w:t>
      </w:r>
      <w:r>
        <w:rPr>
          <w:rFonts w:eastAsia="Times New Roman" w:cs="Times New Roman"/>
        </w:rPr>
        <w:t xml:space="preserve">gatorisk for LOA &gt; 70 m, men </w:t>
      </w:r>
      <w:r>
        <w:rPr>
          <w:rStyle w:val="VerbatimChar"/>
          <w:rFonts w:ascii="Times New Roman" w:eastAsia="Times New Roman" w:hAnsi="Times New Roman" w:cs="Times New Roman"/>
          <w:sz w:val="24"/>
        </w:rPr>
        <w:t>PORT_TEMPLATES</w:t>
      </w:r>
      <w:r>
        <w:rPr>
          <w:rFonts w:eastAsia="Times New Roman" w:cs="Times New Roman"/>
        </w:rPr>
        <w:t xml:space="preserve"> har 17–73 % sannsynlighet. </w:t>
      </w:r>
      <w:r>
        <w:rPr>
          <w:rFonts w:eastAsia="Times New Roman" w:cs="Times New Roman"/>
          <w:i/>
          <w:iCs/>
        </w:rPr>
        <w:t>Forsvar:</w:t>
      </w:r>
      <w:r>
        <w:rPr>
          <w:rFonts w:eastAsia="Times New Roman" w:cs="Times New Roman"/>
        </w:rPr>
        <w:t xml:space="preserve"> operasjonell override (</w:t>
      </w:r>
      <w:r>
        <w:rPr>
          <w:rStyle w:val="VerbatimChar"/>
          <w:rFonts w:ascii="Times New Roman" w:eastAsia="Times New Roman" w:hAnsi="Times New Roman" w:cs="Times New Roman"/>
          <w:sz w:val="24"/>
        </w:rPr>
        <w:t>pilot_cost</w:t>
      </w:r>
      <w:r>
        <w:rPr>
          <w:rFonts w:eastAsia="Times New Roman" w:cs="Times New Roman"/>
        </w:rPr>
        <w:t xml:space="preserve">) er innført; modellfix flagget som videre arbeid punkt 8. (11) </w:t>
      </w:r>
      <w:r>
        <w:rPr>
          <w:rFonts w:eastAsia="Times New Roman" w:cs="Times New Roman"/>
          <w:i/>
          <w:iCs/>
        </w:rPr>
        <w:t>Bunkers uten reise</w:t>
      </w:r>
      <w:r>
        <w:rPr>
          <w:rFonts w:eastAsia="Times New Roman" w:cs="Times New Roman"/>
          <w:i/>
          <w:iCs/>
        </w:rPr>
        <w:softHyphen/>
        <w:t>geometri:</w:t>
      </w:r>
      <w:r>
        <w:rPr>
          <w:rFonts w:eastAsia="Times New Roman" w:cs="Times New Roman"/>
        </w:rPr>
        <w:t xml:space="preserve"> drivstoff er sannsynlighets</w:t>
      </w:r>
      <w:r>
        <w:rPr>
          <w:rFonts w:eastAsia="Times New Roman" w:cs="Times New Roman"/>
        </w:rPr>
        <w:softHyphen/>
        <w:t xml:space="preserve">vektet flat linje, ikke fysisk beregning. </w:t>
      </w:r>
      <w:r>
        <w:rPr>
          <w:rFonts w:eastAsia="Times New Roman" w:cs="Times New Roman"/>
          <w:i/>
          <w:iCs/>
        </w:rPr>
        <w:t>Forsvar:</w:t>
      </w:r>
      <w:r>
        <w:rPr>
          <w:rFonts w:eastAsia="Times New Roman" w:cs="Times New Roman"/>
        </w:rPr>
        <w:t xml:space="preserve"> deterministisk override</w:t>
      </w:r>
      <w:r>
        <w:rPr>
          <w:rFonts w:eastAsia="Times New Roman" w:cs="Times New Roman"/>
        </w:rPr>
        <w:softHyphen/>
        <w:t xml:space="preserve">formel er innført; lært modell flagget som videre arbeid punkt 6. (12) </w:t>
      </w:r>
      <w:r>
        <w:rPr>
          <w:rFonts w:eastAsia="Times New Roman" w:cs="Times New Roman"/>
          <w:i/>
          <w:iCs/>
        </w:rPr>
        <w:t>Land-aggregater poolet:</w:t>
      </w:r>
      <w:r>
        <w:rPr>
          <w:rFonts w:eastAsia="Times New Roman" w:cs="Times New Roman"/>
        </w:rPr>
        <w:t xml:space="preserve"> </w:t>
      </w:r>
      <w:r>
        <w:rPr>
          <w:rStyle w:val="VerbatimChar"/>
          <w:rFonts w:ascii="Times New Roman" w:eastAsia="Times New Roman" w:hAnsi="Times New Roman" w:cs="Times New Roman"/>
          <w:sz w:val="24"/>
        </w:rPr>
        <w:t>size_svc_*</w:t>
      </w:r>
      <w:r>
        <w:rPr>
          <w:rFonts w:eastAsia="Times New Roman" w:cs="Times New Roman"/>
        </w:rPr>
        <w:t xml:space="preserve"> (rangerer #2 og #3) går på tvers av NO/SE/DK. </w:t>
      </w:r>
      <w:r>
        <w:rPr>
          <w:rFonts w:eastAsia="Times New Roman" w:cs="Times New Roman"/>
          <w:i/>
          <w:iCs/>
        </w:rPr>
        <w:t>Forsvar:</w:t>
      </w:r>
      <w:r>
        <w:rPr>
          <w:rFonts w:eastAsia="Times New Roman" w:cs="Times New Roman"/>
        </w:rPr>
        <w:t xml:space="preserve"> </w:t>
      </w:r>
      <w:r>
        <w:rPr>
          <w:rStyle w:val="VerbatimChar"/>
          <w:rFonts w:ascii="Times New Roman" w:eastAsia="Times New Roman" w:hAnsi="Times New Roman" w:cs="Times New Roman"/>
          <w:sz w:val="24"/>
        </w:rPr>
        <w:t>country</w:t>
      </w:r>
      <w:r>
        <w:rPr>
          <w:rFonts w:eastAsia="Times New Roman" w:cs="Times New Roman"/>
        </w:rPr>
        <w:t xml:space="preserve"> synliggjort i API/UI; modellfix fl</w:t>
      </w:r>
      <w:r>
        <w:rPr>
          <w:rFonts w:eastAsia="Times New Roman" w:cs="Times New Roman"/>
        </w:rPr>
        <w:t>agget som videre arbeid punkt 5.</w:t>
      </w:r>
    </w:p>
    <w:p w14:paraId="22A607D5" w14:textId="77777777" w:rsidR="003C788D" w:rsidRDefault="00AA7D12">
      <w:pPr>
        <w:pStyle w:val="Brdtekst"/>
        <w:spacing w:line="360" w:lineRule="auto"/>
      </w:pPr>
      <w:r>
        <w:rPr>
          <w:rFonts w:eastAsia="Times New Roman" w:cs="Times New Roman"/>
          <w:b/>
          <w:bCs/>
        </w:rPr>
        <w:t>Antakelses</w:t>
      </w:r>
      <w:r>
        <w:rPr>
          <w:rFonts w:eastAsia="Times New Roman" w:cs="Times New Roman"/>
          <w:b/>
          <w:bCs/>
        </w:rPr>
        <w:softHyphen/>
        <w:t>svakheter (13–15).</w:t>
      </w:r>
      <w:r>
        <w:rPr>
          <w:rFonts w:eastAsia="Times New Roman" w:cs="Times New Roman"/>
        </w:rPr>
        <w:t xml:space="preserve"> (13) </w:t>
      </w:r>
      <w:r>
        <w:rPr>
          <w:rFonts w:eastAsia="Times New Roman" w:cs="Times New Roman"/>
          <w:i/>
          <w:iCs/>
        </w:rPr>
        <w:t>A1 stabil tjeneste</w:t>
      </w:r>
      <w:r>
        <w:rPr>
          <w:rFonts w:eastAsia="Times New Roman" w:cs="Times New Roman"/>
          <w:i/>
          <w:iCs/>
        </w:rPr>
        <w:softHyphen/>
        <w:t>miks:</w:t>
      </w:r>
      <w:r>
        <w:rPr>
          <w:rFonts w:eastAsia="Times New Roman" w:cs="Times New Roman"/>
        </w:rPr>
        <w:t xml:space="preserve"> ingen drift</w:t>
      </w:r>
      <w:r>
        <w:rPr>
          <w:rFonts w:eastAsia="Times New Roman" w:cs="Times New Roman"/>
        </w:rPr>
        <w:softHyphen/>
        <w:t xml:space="preserve">overvåkning. </w:t>
      </w:r>
      <w:r>
        <w:rPr>
          <w:rFonts w:eastAsia="Times New Roman" w:cs="Times New Roman"/>
          <w:i/>
          <w:iCs/>
        </w:rPr>
        <w:t>Forsvar:</w:t>
      </w:r>
      <w:r>
        <w:rPr>
          <w:rFonts w:eastAsia="Times New Roman" w:cs="Times New Roman"/>
        </w:rPr>
        <w:t xml:space="preserve"> antakelsen er eksplisitt i § 1.4; rullerende re-trening (videre arbeid punkt 2) er foreslått mekanisme. (14) </w:t>
      </w:r>
      <w:r>
        <w:rPr>
          <w:rFonts w:eastAsia="Times New Roman" w:cs="Times New Roman"/>
          <w:i/>
          <w:iCs/>
        </w:rPr>
        <w:t>Statiske yacht-spesifikasjoner:</w:t>
      </w:r>
      <w:r>
        <w:rPr>
          <w:rFonts w:eastAsia="Times New Roman" w:cs="Times New Roman"/>
        </w:rPr>
        <w:t xml:space="preserve"> ombygginger fanges ikke. </w:t>
      </w:r>
      <w:r>
        <w:rPr>
          <w:rFonts w:eastAsia="Times New Roman" w:cs="Times New Roman"/>
          <w:i/>
          <w:iCs/>
        </w:rPr>
        <w:t>Forsvar:</w:t>
      </w:r>
      <w:r>
        <w:rPr>
          <w:rFonts w:eastAsia="Times New Roman" w:cs="Times New Roman"/>
        </w:rPr>
        <w:t xml:space="preserve"> antakelse A3 dokumentert; spec-fil oppdateres manuelt ved kjente endringer. (15) </w:t>
      </w:r>
      <w:r>
        <w:rPr>
          <w:rFonts w:eastAsia="Times New Roman" w:cs="Times New Roman"/>
          <w:i/>
          <w:iCs/>
        </w:rPr>
        <w:t>CQR gir marginal, ikke betinget dekning:</w:t>
      </w:r>
      <w:r>
        <w:rPr>
          <w:rFonts w:eastAsia="Times New Roman" w:cs="Times New Roman"/>
        </w:rPr>
        <w:t xml:space="preserve"> “80 %” gjelder hele populasjonen. </w:t>
      </w:r>
      <w:r>
        <w:rPr>
          <w:rFonts w:eastAsia="Times New Roman" w:cs="Times New Roman"/>
          <w:i/>
          <w:iCs/>
        </w:rPr>
        <w:t>Forsvar:</w:t>
      </w:r>
      <w:r>
        <w:rPr>
          <w:rFonts w:eastAsia="Times New Roman" w:cs="Times New Roman"/>
        </w:rPr>
        <w:t xml:space="preserve"> teoretisk egenskap (Shafer &amp; Vovk, 2008); løftet til anvendt bidrag (§ 1.5 punkt ii).</w:t>
      </w:r>
    </w:p>
    <w:p w14:paraId="56873BB0" w14:textId="77777777" w:rsidR="003C788D" w:rsidRDefault="00AA7D12">
      <w:pPr>
        <w:pStyle w:val="Brdtekst"/>
        <w:spacing w:line="360" w:lineRule="auto"/>
      </w:pPr>
      <w:r>
        <w:rPr>
          <w:rFonts w:eastAsia="Times New Roman" w:cs="Times New Roman"/>
          <w:b/>
          <w:bCs/>
        </w:rPr>
        <w:t>Operasjonaliserings</w:t>
      </w:r>
      <w:r>
        <w:rPr>
          <w:rFonts w:eastAsia="Times New Roman" w:cs="Times New Roman"/>
          <w:b/>
          <w:bCs/>
        </w:rPr>
        <w:softHyphen/>
        <w:t>svakhet (16).</w:t>
      </w:r>
      <w:r>
        <w:rPr>
          <w:rFonts w:eastAsia="Times New Roman" w:cs="Times New Roman"/>
        </w:rPr>
        <w:t xml:space="preserve"> </w:t>
      </w:r>
      <w:r>
        <w:rPr>
          <w:rFonts w:eastAsia="Times New Roman" w:cs="Times New Roman"/>
          <w:i/>
          <w:iCs/>
        </w:rPr>
        <w:t>Produksjons</w:t>
      </w:r>
      <w:r>
        <w:rPr>
          <w:rFonts w:eastAsia="Times New Roman" w:cs="Times New Roman"/>
          <w:i/>
          <w:iCs/>
        </w:rPr>
        <w:softHyphen/>
        <w:t>modellen mangler uavhengig holdout:</w:t>
      </w:r>
      <w:r>
        <w:rPr>
          <w:rFonts w:eastAsia="Times New Roman" w:cs="Times New Roman"/>
        </w:rPr>
        <w:t xml:space="preserve"> </w:t>
      </w:r>
      <w:r>
        <w:rPr>
          <w:rStyle w:val="VerbatimChar"/>
          <w:rFonts w:ascii="Times New Roman" w:eastAsia="Times New Roman" w:hAnsi="Times New Roman" w:cs="Times New Roman"/>
          <w:sz w:val="24"/>
        </w:rPr>
        <w:t>model_meta_final.joblib</w:t>
      </w:r>
      <w:r>
        <w:rPr>
          <w:rFonts w:eastAsia="Times New Roman" w:cs="Times New Roman"/>
        </w:rPr>
        <w:t xml:space="preserve"> er refittet på hele 2020–2025. </w:t>
      </w:r>
      <w:r>
        <w:rPr>
          <w:rFonts w:eastAsia="Times New Roman" w:cs="Times New Roman"/>
          <w:i/>
          <w:iCs/>
        </w:rPr>
        <w:t>Forsvar:</w:t>
      </w:r>
      <w:r>
        <w:rPr>
          <w:rFonts w:eastAsia="Times New Roman" w:cs="Times New Roman"/>
        </w:rPr>
        <w:t xml:space="preserve"> test</w:t>
      </w:r>
      <w:r>
        <w:rPr>
          <w:rFonts w:eastAsia="Times New Roman" w:cs="Times New Roman"/>
        </w:rPr>
        <w:softHyphen/>
      </w:r>
      <w:r>
        <w:rPr>
          <w:rFonts w:eastAsia="Times New Roman" w:cs="Times New Roman"/>
        </w:rPr>
        <w:t>settet er evaluert mot prefit-modellen som proxy (§ 8.1.1); refit på all data gir lavest forventet generaliserings</w:t>
      </w:r>
      <w:r>
        <w:rPr>
          <w:rFonts w:eastAsia="Times New Roman" w:cs="Times New Roman"/>
        </w:rPr>
        <w:softHyphen/>
        <w:t>feil for fremtidige prediksjoner (Hastie et al., 2009, § 7.10). Lukkes når 2026-data er tilstrekkelig.</w:t>
      </w:r>
    </w:p>
    <w:p w14:paraId="1D09A974" w14:textId="77777777" w:rsidR="003C788D" w:rsidRDefault="00AA7D12">
      <w:pPr>
        <w:pStyle w:val="Brdtekst"/>
        <w:spacing w:line="360" w:lineRule="auto"/>
      </w:pPr>
      <w:r>
        <w:rPr>
          <w:rFonts w:eastAsia="Times New Roman" w:cs="Times New Roman"/>
        </w:rPr>
        <w:t xml:space="preserve">Den røde tråden er at </w:t>
      </w:r>
      <w:r>
        <w:rPr>
          <w:rFonts w:eastAsia="Times New Roman" w:cs="Times New Roman"/>
          <w:i/>
          <w:iCs/>
        </w:rPr>
        <w:t>strukturell hovedkilde</w:t>
      </w:r>
      <w:r>
        <w:rPr>
          <w:rFonts w:eastAsia="Times New Roman" w:cs="Times New Roman"/>
        </w:rPr>
        <w:t xml:space="preserve"> (S1, simulert 2020–2024-trening), </w:t>
      </w:r>
      <w:r>
        <w:rPr>
          <w:rFonts w:eastAsia="Times New Roman" w:cs="Times New Roman"/>
          <w:i/>
          <w:iCs/>
        </w:rPr>
        <w:t>data</w:t>
      </w:r>
      <w:r>
        <w:rPr>
          <w:rFonts w:eastAsia="Times New Roman" w:cs="Times New Roman"/>
          <w:i/>
          <w:iCs/>
        </w:rPr>
        <w:softHyphen/>
        <w:t>utfordringene</w:t>
      </w:r>
      <w:r>
        <w:rPr>
          <w:rFonts w:eastAsia="Times New Roman" w:cs="Times New Roman"/>
        </w:rPr>
        <w:t xml:space="preserve"> (1–4) og </w:t>
      </w:r>
      <w:r>
        <w:rPr>
          <w:rFonts w:eastAsia="Times New Roman" w:cs="Times New Roman"/>
          <w:i/>
          <w:iCs/>
        </w:rPr>
        <w:t>operasjonaliserings</w:t>
      </w:r>
      <w:r>
        <w:rPr>
          <w:rFonts w:eastAsia="Times New Roman" w:cs="Times New Roman"/>
          <w:i/>
          <w:iCs/>
        </w:rPr>
        <w:softHyphen/>
        <w:t>svakheten</w:t>
      </w:r>
      <w:r>
        <w:rPr>
          <w:rFonts w:eastAsia="Times New Roman" w:cs="Times New Roman"/>
        </w:rPr>
        <w:t xml:space="preserve"> (16) ikke kan lukkes ved bedre modellering — bare ved mer reelle data eller fortsatt drift. Modell- og antakelses</w:t>
      </w:r>
      <w:r>
        <w:rPr>
          <w:rFonts w:eastAsia="Times New Roman" w:cs="Times New Roman"/>
        </w:rPr>
        <w:softHyphen/>
        <w:t>svakhetene (8–15) er pragmatisk håndtert med ærlig rapportering eller operasjonelle overrides. Dette samsvarer med kompendiets observasjon (§ i.4.1): “modellen er bare så god som dataene den bygger på”.</w:t>
      </w:r>
    </w:p>
    <w:p w14:paraId="16B68ACE" w14:textId="77777777" w:rsidR="003C788D" w:rsidRDefault="00AA7D12">
      <w:pPr>
        <w:pStyle w:val="Overskrift3"/>
      </w:pPr>
      <w:bookmarkStart w:id="111" w:name="funn-fra-brukertest-mai-2026"/>
      <w:bookmarkStart w:id="112" w:name="_Toc230777817"/>
      <w:bookmarkEnd w:id="109"/>
      <w:r>
        <w:t>9.5 Funn fra brukertest mai 2026</w:t>
      </w:r>
      <w:bookmarkEnd w:id="112"/>
    </w:p>
    <w:p w14:paraId="73F7B522" w14:textId="77777777" w:rsidR="003C788D" w:rsidRDefault="00AA7D12">
      <w:pPr>
        <w:pStyle w:val="FirstParagraph"/>
        <w:spacing w:line="360" w:lineRule="auto"/>
      </w:pPr>
      <w:r>
        <w:rPr>
          <w:rFonts w:eastAsia="Times New Roman" w:cs="Times New Roman"/>
        </w:rPr>
        <w:t>En end-to-end brukertest med Operations manager avdekket syv systematiske avvik. Hvert er adressert som modell</w:t>
      </w:r>
      <w:r>
        <w:rPr>
          <w:rFonts w:eastAsia="Times New Roman" w:cs="Times New Roman"/>
        </w:rPr>
        <w:softHyphen/>
        <w:t>korreksjon, override eller datainnsamlings</w:t>
      </w:r>
      <w:r>
        <w:rPr>
          <w:rFonts w:eastAsia="Times New Roman" w:cs="Times New Roman"/>
        </w:rPr>
        <w:softHyphen/>
        <w:t>mekanisme. Kode</w:t>
      </w:r>
      <w:r>
        <w:rPr>
          <w:rFonts w:eastAsia="Times New Roman" w:cs="Times New Roman"/>
        </w:rPr>
        <w:softHyphen/>
        <w:t>endringer er versjons</w:t>
      </w:r>
      <w:r>
        <w:rPr>
          <w:rFonts w:eastAsia="Times New Roman" w:cs="Times New Roman"/>
        </w:rPr>
        <w:softHyphen/>
        <w:t>kontrollert.</w:t>
      </w:r>
    </w:p>
    <w:p w14:paraId="00ECD151" w14:textId="77777777" w:rsidR="003C788D" w:rsidRDefault="00AA7D12">
      <w:pPr>
        <w:pStyle w:val="Overskrift4"/>
      </w:pPr>
      <w:bookmarkStart w:id="113" w:name="valutatagging-i-modelloutputen"/>
      <w:r>
        <w:t>9.5.1 Valutatagging i modell</w:t>
      </w:r>
      <w:r>
        <w:softHyphen/>
        <w:t>outputen</w:t>
      </w:r>
    </w:p>
    <w:p w14:paraId="1826BC90" w14:textId="77777777" w:rsidR="003C788D" w:rsidRDefault="00AA7D12">
      <w:pPr>
        <w:pStyle w:val="FirstParagraph"/>
        <w:spacing w:line="360" w:lineRule="auto"/>
      </w:pPr>
      <w:r>
        <w:rPr>
          <w:rFonts w:eastAsia="Times New Roman" w:cs="Times New Roman"/>
        </w:rPr>
        <w:t>Brukertesten avdekket at estimatene fremsto ca. 10× lavere enn faktiske NOK-beløp — en enhets</w:t>
      </w:r>
      <w:r>
        <w:rPr>
          <w:rFonts w:eastAsia="Times New Roman" w:cs="Times New Roman"/>
        </w:rPr>
        <w:softHyphen/>
        <w:t xml:space="preserve">feil der kildedataene er EUR, men v0.2 merket output NOK (forholdstallet 11,5 = EUR/NOK-kursen). Tiltak: API tar nå et </w:t>
      </w:r>
      <w:r>
        <w:rPr>
          <w:rStyle w:val="VerbatimChar"/>
          <w:rFonts w:ascii="Times New Roman" w:eastAsia="Times New Roman" w:hAnsi="Times New Roman" w:cs="Times New Roman"/>
          <w:sz w:val="24"/>
        </w:rPr>
        <w:t>currency</w:t>
      </w:r>
      <w:r>
        <w:rPr>
          <w:rFonts w:eastAsia="Times New Roman" w:cs="Times New Roman"/>
        </w:rPr>
        <w:t xml:space="preserve">-felt og konverterer via </w:t>
      </w:r>
      <w:r>
        <w:rPr>
          <w:rStyle w:val="VerbatimChar"/>
          <w:rFonts w:ascii="Times New Roman" w:eastAsia="Times New Roman" w:hAnsi="Times New Roman" w:cs="Times New Roman"/>
          <w:sz w:val="24"/>
        </w:rPr>
        <w:t>EXCHANGE_RATES_FROM_EUR</w:t>
      </w:r>
      <w:r>
        <w:rPr>
          <w:rFonts w:eastAsia="Times New Roman" w:cs="Times New Roman"/>
        </w:rPr>
        <w:t>; frontend har valuta</w:t>
      </w:r>
      <w:r>
        <w:rPr>
          <w:rFonts w:eastAsia="Times New Roman" w:cs="Times New Roman"/>
        </w:rPr>
        <w:softHyphen/>
        <w:t>velger.</w:t>
      </w:r>
    </w:p>
    <w:p w14:paraId="211C9344" w14:textId="77777777" w:rsidR="003C788D" w:rsidRDefault="00AA7D12">
      <w:pPr>
        <w:pStyle w:val="Overskrift4"/>
      </w:pPr>
      <w:bookmarkStart w:id="114" w:name="Xb4132b2698e0fde9c17dbd99750016cd6b3278b"/>
      <w:bookmarkEnd w:id="113"/>
      <w:r>
        <w:t>9.5.2 Mandatory pilotage modelleres som sannsynlig, ikke obligatorisk</w:t>
      </w:r>
    </w:p>
    <w:p w14:paraId="604A6A76" w14:textId="77777777" w:rsidR="003C788D" w:rsidRDefault="00AA7D12">
      <w:pPr>
        <w:pStyle w:val="FirstParagraph"/>
        <w:spacing w:line="360" w:lineRule="auto"/>
      </w:pPr>
      <w:r>
        <w:rPr>
          <w:rFonts w:eastAsia="Times New Roman" w:cs="Times New Roman"/>
        </w:rPr>
        <w:t>For yachter med LOA &gt; 70 m er los</w:t>
      </w:r>
      <w:r>
        <w:rPr>
          <w:rFonts w:eastAsia="Times New Roman" w:cs="Times New Roman"/>
        </w:rPr>
        <w:softHyphen/>
        <w:t xml:space="preserve">tjeneste lovpålagt, men </w:t>
      </w:r>
      <w:r>
        <w:rPr>
          <w:rStyle w:val="VerbatimChar"/>
          <w:rFonts w:ascii="Times New Roman" w:eastAsia="Times New Roman" w:hAnsi="Times New Roman" w:cs="Times New Roman"/>
          <w:sz w:val="24"/>
        </w:rPr>
        <w:t>PORT_TEMPLATES</w:t>
      </w:r>
      <w:r>
        <w:rPr>
          <w:rFonts w:eastAsia="Times New Roman" w:cs="Times New Roman"/>
        </w:rPr>
        <w:t xml:space="preserve"> har los som sannsynlighets</w:t>
      </w:r>
      <w:r>
        <w:rPr>
          <w:rFonts w:eastAsia="Times New Roman" w:cs="Times New Roman"/>
        </w:rPr>
        <w:softHyphen/>
        <w:t xml:space="preserve">vektet linje (17–73 %) på tvers av </w:t>
      </w:r>
      <w:r>
        <w:rPr>
          <w:rFonts w:eastAsia="Times New Roman" w:cs="Times New Roman"/>
          <w:i/>
          <w:iCs/>
        </w:rPr>
        <w:t>alle</w:t>
      </w:r>
      <w:r>
        <w:rPr>
          <w:rFonts w:eastAsia="Times New Roman" w:cs="Times New Roman"/>
        </w:rPr>
        <w:t xml:space="preserve"> størrelser — modellen under</w:t>
      </w:r>
      <w:r>
        <w:rPr>
          <w:rFonts w:eastAsia="Times New Roman" w:cs="Times New Roman"/>
        </w:rPr>
        <w:softHyphen/>
        <w:t>vekter systematisk los</w:t>
      </w:r>
      <w:r>
        <w:rPr>
          <w:rFonts w:eastAsia="Times New Roman" w:cs="Times New Roman"/>
        </w:rPr>
        <w:softHyphen/>
        <w:t>kostnad for Stor-yachter. Dette er gapet § 1.5 punkt (iii) påpeker. Mønsteret er kjent fra havne</w:t>
      </w:r>
      <w:r>
        <w:rPr>
          <w:rFonts w:eastAsia="Times New Roman" w:cs="Times New Roman"/>
        </w:rPr>
        <w:softHyphen/>
        <w:t>effektivitets</w:t>
      </w:r>
      <w:r>
        <w:rPr>
          <w:rFonts w:eastAsia="Times New Roman" w:cs="Times New Roman"/>
        </w:rPr>
        <w:softHyphen/>
        <w:t xml:space="preserve">litteraturen (Jahangard et al., 2025). Tiltak: API krever nå </w:t>
      </w:r>
      <w:r>
        <w:rPr>
          <w:rStyle w:val="VerbatimChar"/>
          <w:rFonts w:ascii="Times New Roman" w:eastAsia="Times New Roman" w:hAnsi="Times New Roman" w:cs="Times New Roman"/>
          <w:sz w:val="24"/>
        </w:rPr>
        <w:t>pilot_cost</w:t>
      </w:r>
      <w:r>
        <w:rPr>
          <w:rFonts w:eastAsia="Times New Roman" w:cs="Times New Roman"/>
        </w:rPr>
        <w:t xml:space="preserve"> når </w:t>
      </w:r>
      <w:r>
        <w:rPr>
          <w:rStyle w:val="VerbatimChar"/>
          <w:rFonts w:ascii="Times New Roman" w:eastAsia="Times New Roman" w:hAnsi="Times New Roman" w:cs="Times New Roman"/>
          <w:sz w:val="24"/>
        </w:rPr>
        <w:t>loskrav = "Ja"</w:t>
      </w:r>
      <w:r>
        <w:rPr>
          <w:rFonts w:eastAsia="Times New Roman" w:cs="Times New Roman"/>
        </w:rPr>
        <w:t>. Riktig modellfix er størrelse-betingede sannsynligheter (videre arbeid punkt 8).</w:t>
      </w:r>
    </w:p>
    <w:p w14:paraId="21E30F64" w14:textId="77777777" w:rsidR="003C788D" w:rsidRDefault="00AA7D12">
      <w:pPr>
        <w:pStyle w:val="Overskrift4"/>
      </w:pPr>
      <w:bookmarkStart w:id="115" w:name="bunkersmodellen-ser-ikke-reisegeometri"/>
      <w:bookmarkEnd w:id="114"/>
      <w:r>
        <w:t>9.5.3 Bunkers</w:t>
      </w:r>
      <w:r>
        <w:softHyphen/>
        <w:t>modellen ser ikke reise</w:t>
      </w:r>
      <w:r>
        <w:softHyphen/>
        <w:t>geometri</w:t>
      </w:r>
    </w:p>
    <w:p w14:paraId="1ED23B4F" w14:textId="77777777" w:rsidR="003C788D" w:rsidRDefault="00AA7D12">
      <w:pPr>
        <w:pStyle w:val="FirstParagraph"/>
        <w:spacing w:line="360" w:lineRule="auto"/>
      </w:pPr>
      <w:r>
        <w:rPr>
          <w:rFonts w:eastAsia="Times New Roman" w:cs="Times New Roman"/>
        </w:rPr>
        <w:t>Drivstoffkostnaden er, som los, modellert som sannsynlighets</w:t>
      </w:r>
      <w:r>
        <w:rPr>
          <w:rFonts w:eastAsia="Times New Roman" w:cs="Times New Roman"/>
        </w:rPr>
        <w:softHyphen/>
        <w:t>vektet linje uten distanse eller fart. Lange overfarter under</w:t>
      </w:r>
      <w:r>
        <w:rPr>
          <w:rFonts w:eastAsia="Times New Roman" w:cs="Times New Roman"/>
        </w:rPr>
        <w:softHyphen/>
        <w:t xml:space="preserve">estimeres systematisk — samme funn som Su et al. (2024) for ro-ro-skip. Tiltak: API tar valgfri </w:t>
      </w:r>
      <w:r>
        <w:rPr>
          <w:rStyle w:val="VerbatimChar"/>
          <w:rFonts w:ascii="Times New Roman" w:eastAsia="Times New Roman" w:hAnsi="Times New Roman" w:cs="Times New Roman"/>
          <w:sz w:val="24"/>
        </w:rPr>
        <w:t>cruising_speed_kn</w:t>
      </w:r>
      <w:r>
        <w:rPr>
          <w:rFonts w:eastAsia="Times New Roman" w:cs="Times New Roman"/>
        </w:rPr>
        <w:t xml:space="preserve">, </w:t>
      </w:r>
      <w:r>
        <w:rPr>
          <w:rStyle w:val="VerbatimChar"/>
          <w:rFonts w:ascii="Times New Roman" w:eastAsia="Times New Roman" w:hAnsi="Times New Roman" w:cs="Times New Roman"/>
          <w:sz w:val="24"/>
        </w:rPr>
        <w:t>diesel_price_per_l</w:t>
      </w:r>
      <w:r>
        <w:rPr>
          <w:rFonts w:eastAsia="Times New Roman" w:cs="Times New Roman"/>
        </w:rPr>
        <w:t xml:space="preserve"> og per-stopp </w:t>
      </w:r>
      <w:r>
        <w:rPr>
          <w:rStyle w:val="VerbatimChar"/>
          <w:rFonts w:ascii="Times New Roman" w:eastAsia="Times New Roman" w:hAnsi="Times New Roman" w:cs="Times New Roman"/>
          <w:sz w:val="24"/>
        </w:rPr>
        <w:t>distance_nm</w:t>
      </w:r>
      <w:r>
        <w:rPr>
          <w:rFonts w:eastAsia="Times New Roman" w:cs="Times New Roman"/>
        </w:rPr>
        <w:t xml:space="preserve"> (eksponert for hvert stopp i frontend, commit </w:t>
      </w:r>
      <w:r>
        <w:rPr>
          <w:rStyle w:val="VerbatimChar"/>
          <w:rFonts w:ascii="Times New Roman" w:eastAsia="Times New Roman" w:hAnsi="Times New Roman" w:cs="Times New Roman"/>
          <w:sz w:val="24"/>
        </w:rPr>
        <w:t>e24655a</w:t>
      </w:r>
      <w:r>
        <w:rPr>
          <w:rFonts w:eastAsia="Times New Roman" w:cs="Times New Roman"/>
        </w:rPr>
        <w:t>). Når alle tre inputs er gitt, erstatter backend “Bunkering”-kategorien med en deterministisk beregning:</w:t>
      </w:r>
    </w:p>
    <w:p w14:paraId="023A0039" w14:textId="77777777" w:rsidR="003C788D" w:rsidRDefault="00AA7D12">
      <w:pPr>
        <w:pStyle w:val="Brdtekst"/>
        <w:spacing w:line="360" w:lineRule="auto"/>
      </w:pPr>
      <m:oMathPara>
        <m:oMathParaPr>
          <m:jc m:val="center"/>
        </m:oMathParaPr>
        <m:oMath>
          <m:r>
            <m:rPr>
              <m:nor/>
            </m:rPr>
            <m:t>Bunkers</m:t>
          </m:r>
          <m:r>
            <m:rPr>
              <m:sty m:val="p"/>
            </m:rPr>
            <w:rPr>
              <w:rFonts w:ascii="Cambria Math" w:hAnsi="Cambria Math"/>
            </w:rPr>
            <m:t>=</m:t>
          </m:r>
          <m:f>
            <m:fPr>
              <m:ctrlPr>
                <w:rPr>
                  <w:rFonts w:ascii="Cambria Math" w:hAnsi="Cambria Math"/>
                </w:rPr>
              </m:ctrlPr>
            </m:fPr>
            <m:num>
              <m:r>
                <m:rPr>
                  <m:sty m:val="p"/>
                </m:rPr>
                <w:rPr>
                  <w:rFonts w:ascii="Cambria Math" w:hAnsi="Cambria Math"/>
                </w:rPr>
                <m:t>∑</m:t>
              </m:r>
              <m:r>
                <m:rPr>
                  <m:nor/>
                </m:rPr>
                <m:t>distance_nm</m:t>
              </m:r>
            </m:num>
            <m:den>
              <m:r>
                <m:rPr>
                  <m:nor/>
                </m:rPr>
                <m:t>cruising_speed_kn</m:t>
              </m:r>
            </m:den>
          </m:f>
          <m:r>
            <m:rPr>
              <m:sty m:val="p"/>
            </m:rPr>
            <w:rPr>
              <w:rFonts w:ascii="Cambria Math" w:hAnsi="Cambria Math"/>
            </w:rPr>
            <m:t>⋅</m:t>
          </m:r>
          <m:r>
            <m:rPr>
              <m:nor/>
            </m:rPr>
            <m:t>fuel_lph</m:t>
          </m:r>
          <m:r>
            <m:rPr>
              <m:sty m:val="p"/>
            </m:rPr>
            <w:rPr>
              <w:rFonts w:ascii="Cambria Math" w:hAnsi="Cambria Math"/>
            </w:rPr>
            <m:t>⋅</m:t>
          </m:r>
          <m:r>
            <m:rPr>
              <m:nor/>
            </m:rPr>
            <m:t>diesel_price_per_l</m:t>
          </m:r>
        </m:oMath>
      </m:oMathPara>
    </w:p>
    <w:p w14:paraId="062738DE" w14:textId="77777777" w:rsidR="003C788D" w:rsidRDefault="00AA7D12">
      <w:pPr>
        <w:pStyle w:val="FirstParagraph"/>
        <w:spacing w:line="360" w:lineRule="auto"/>
      </w:pPr>
      <w:r>
        <w:rPr>
          <w:rFonts w:eastAsia="Times New Roman" w:cs="Times New Roman"/>
        </w:rPr>
        <w:t>Dette er en operasjonell mitigation, ikke en modell</w:t>
      </w:r>
      <w:r>
        <w:rPr>
          <w:rFonts w:eastAsia="Times New Roman" w:cs="Times New Roman"/>
        </w:rPr>
        <w:softHyphen/>
        <w:t xml:space="preserve">fix. Den korrekte løsningen er å inkludere </w:t>
      </w:r>
      <w:r>
        <w:rPr>
          <w:rStyle w:val="VerbatimChar"/>
          <w:rFonts w:ascii="Times New Roman" w:eastAsia="Times New Roman" w:hAnsi="Times New Roman" w:cs="Times New Roman"/>
          <w:sz w:val="24"/>
        </w:rPr>
        <w:t>distance_nm</w:t>
      </w:r>
      <w:r>
        <w:rPr>
          <w:rFonts w:eastAsia="Times New Roman" w:cs="Times New Roman"/>
        </w:rPr>
        <w:t xml:space="preserve"> (og marsjfart) som features i en re-trent modell — flagges som videre arbeid i § 10.</w:t>
      </w:r>
    </w:p>
    <w:p w14:paraId="29BD4BEF" w14:textId="77777777" w:rsidR="003C788D" w:rsidRDefault="00AA7D12">
      <w:pPr>
        <w:pStyle w:val="Overskrift4"/>
      </w:pPr>
      <w:bookmarkStart w:id="116" w:name="manglende-guest_experience-feature"/>
      <w:bookmarkEnd w:id="115"/>
      <w:r>
        <w:t xml:space="preserve">9.5.4 Manglende </w:t>
      </w:r>
      <w:r>
        <w:rPr>
          <w:rStyle w:val="VerbatimChar"/>
        </w:rPr>
        <w:t>guest_experience</w:t>
      </w:r>
      <w:r>
        <w:t>-feature</w:t>
      </w:r>
    </w:p>
    <w:p w14:paraId="5E16CB88" w14:textId="77777777" w:rsidR="003C788D" w:rsidRDefault="00AA7D12">
      <w:pPr>
        <w:pStyle w:val="FirstParagraph"/>
        <w:spacing w:line="360" w:lineRule="auto"/>
      </w:pPr>
      <w:r>
        <w:rPr>
          <w:rFonts w:eastAsia="Times New Roman" w:cs="Times New Roman"/>
        </w:rPr>
        <w:t>Provisions er kategorien der modellen avviker mest, og hovedfaktoren — gjeste</w:t>
      </w:r>
      <w:r>
        <w:rPr>
          <w:rFonts w:eastAsia="Times New Roman" w:cs="Times New Roman"/>
        </w:rPr>
        <w:softHyphen/>
        <w:t xml:space="preserve">profil — finnes ikke i datagrunnlaget (verken i de reelle 2025-fakturaene eller i 2020–2024-simuleringen, jf. § 5.2). Det er gjort et bevisst valg å </w:t>
      </w:r>
      <w:r>
        <w:rPr>
          <w:rFonts w:eastAsia="Times New Roman" w:cs="Times New Roman"/>
          <w:i/>
          <w:iCs/>
        </w:rPr>
        <w:t>ikke</w:t>
      </w:r>
      <w:r>
        <w:rPr>
          <w:rFonts w:eastAsia="Times New Roman" w:cs="Times New Roman"/>
        </w:rPr>
        <w:t xml:space="preserve"> fylle inn syntetiske </w:t>
      </w:r>
      <w:r>
        <w:rPr>
          <w:rStyle w:val="VerbatimChar"/>
          <w:rFonts w:ascii="Times New Roman" w:eastAsia="Times New Roman" w:hAnsi="Times New Roman" w:cs="Times New Roman"/>
          <w:sz w:val="24"/>
        </w:rPr>
        <w:t>guest_experience</w:t>
      </w:r>
      <w:r>
        <w:rPr>
          <w:rFonts w:eastAsia="Times New Roman" w:cs="Times New Roman"/>
        </w:rPr>
        <w:t xml:space="preserve">-verdier, men to tiltak er innført: (a) </w:t>
      </w:r>
      <w:r>
        <w:rPr>
          <w:rStyle w:val="VerbatimChar"/>
          <w:rFonts w:ascii="Times New Roman" w:eastAsia="Times New Roman" w:hAnsi="Times New Roman" w:cs="Times New Roman"/>
          <w:sz w:val="24"/>
        </w:rPr>
        <w:t>guest_experience</w:t>
      </w:r>
      <w:r>
        <w:rPr>
          <w:rFonts w:eastAsia="Times New Roman" w:cs="Times New Roman"/>
        </w:rPr>
        <w:t xml:space="preserve"> er nå et valgfritt API-felt og UI-velger (“not_demanding”/“neutral”/“demanding”) som lagres med registry-oppføringer for fremtidig re-trening; (b) en operasjonell rubrikk er foreslått i Vedlegg E, som må forfattes og signeres av SDK Shipping selv. Dette er det em</w:t>
      </w:r>
      <w:r>
        <w:rPr>
          <w:rFonts w:eastAsia="Times New Roman" w:cs="Times New Roman"/>
        </w:rPr>
        <w:t>piriske grunnlaget for § 1.5 punkt (ii) — CQR kompenserer ikke for en manglende feature.</w:t>
      </w:r>
    </w:p>
    <w:p w14:paraId="2B8B0872" w14:textId="77777777" w:rsidR="003C788D" w:rsidRDefault="00AA7D12">
      <w:pPr>
        <w:pStyle w:val="Overskrift4"/>
      </w:pPr>
      <w:bookmarkStart w:id="117" w:name="land-aggregater-i-modellen-er-poolet"/>
      <w:bookmarkEnd w:id="116"/>
      <w:r>
        <w:t>9.5.5 Land-aggregater i modellen er poolet</w:t>
      </w:r>
    </w:p>
    <w:p w14:paraId="0FCFCC18" w14:textId="77777777" w:rsidR="003C788D" w:rsidRDefault="00AA7D12">
      <w:pPr>
        <w:pStyle w:val="FirstParagraph"/>
        <w:spacing w:line="360" w:lineRule="auto"/>
      </w:pPr>
      <w:r>
        <w:rPr>
          <w:rStyle w:val="VerbatimChar"/>
          <w:rFonts w:ascii="Times New Roman" w:eastAsia="Times New Roman" w:hAnsi="Times New Roman" w:cs="Times New Roman"/>
          <w:sz w:val="24"/>
        </w:rPr>
        <w:t>port_stats</w:t>
      </w:r>
      <w:r>
        <w:rPr>
          <w:rFonts w:eastAsia="Times New Roman" w:cs="Times New Roman"/>
        </w:rPr>
        <w:t xml:space="preserve"> fanger land</w:t>
      </w:r>
      <w:r>
        <w:rPr>
          <w:rFonts w:eastAsia="Times New Roman" w:cs="Times New Roman"/>
        </w:rPr>
        <w:softHyphen/>
        <w:t xml:space="preserve">signal indirekte via </w:t>
      </w:r>
      <w:r>
        <w:rPr>
          <w:rStyle w:val="VerbatimChar"/>
          <w:rFonts w:ascii="Times New Roman" w:eastAsia="Times New Roman" w:hAnsi="Times New Roman" w:cs="Times New Roman"/>
          <w:sz w:val="24"/>
        </w:rPr>
        <w:t>arrival_port</w:t>
      </w:r>
      <w:r>
        <w:rPr>
          <w:rFonts w:eastAsia="Times New Roman" w:cs="Times New Roman"/>
        </w:rPr>
        <w:t xml:space="preserve">-kategoriene, men </w:t>
      </w:r>
      <w:r>
        <w:rPr>
          <w:rStyle w:val="VerbatimChar"/>
          <w:rFonts w:ascii="Times New Roman" w:eastAsia="Times New Roman" w:hAnsi="Times New Roman" w:cs="Times New Roman"/>
          <w:sz w:val="24"/>
        </w:rPr>
        <w:t>size_stats</w:t>
      </w:r>
      <w:r>
        <w:rPr>
          <w:rFonts w:eastAsia="Times New Roman" w:cs="Times New Roman"/>
        </w:rPr>
        <w:t xml:space="preserve"> og </w:t>
      </w:r>
      <w:r>
        <w:rPr>
          <w:rStyle w:val="VerbatimChar"/>
          <w:rFonts w:ascii="Times New Roman" w:eastAsia="Times New Roman" w:hAnsi="Times New Roman" w:cs="Times New Roman"/>
          <w:sz w:val="24"/>
        </w:rPr>
        <w:t>size_svc_stats</w:t>
      </w:r>
      <w:r>
        <w:rPr>
          <w:rFonts w:eastAsia="Times New Roman" w:cs="Times New Roman"/>
        </w:rPr>
        <w:t xml:space="preserve"> </w:t>
      </w:r>
      <w:r>
        <w:rPr>
          <w:rFonts w:eastAsia="Times New Roman" w:cs="Times New Roman"/>
        </w:rPr>
        <w:t>er joinet kun på størrelse og pooler dermed transaksjons</w:t>
      </w:r>
      <w:r>
        <w:rPr>
          <w:rFonts w:eastAsia="Times New Roman" w:cs="Times New Roman"/>
        </w:rPr>
        <w:softHyphen/>
        <w:t>data på tvers av NO/SE/DK. For størrelses</w:t>
      </w:r>
      <w:r>
        <w:rPr>
          <w:rFonts w:eastAsia="Times New Roman" w:cs="Times New Roman"/>
        </w:rPr>
        <w:softHyphen/>
        <w:t>baserte features går land</w:t>
      </w:r>
      <w:r>
        <w:rPr>
          <w:rFonts w:eastAsia="Times New Roman" w:cs="Times New Roman"/>
        </w:rPr>
        <w:softHyphen/>
        <w:t xml:space="preserve">signalet tapt — særlig synlig for København (høyt nivå) vs. norske havner. Riktig fix er </w:t>
      </w:r>
      <w:r>
        <w:rPr>
          <w:rStyle w:val="VerbatimChar"/>
          <w:rFonts w:ascii="Times New Roman" w:eastAsia="Times New Roman" w:hAnsi="Times New Roman" w:cs="Times New Roman"/>
          <w:sz w:val="24"/>
        </w:rPr>
        <w:t>country_size_*</w:t>
      </w:r>
      <w:r>
        <w:rPr>
          <w:rFonts w:eastAsia="Times New Roman" w:cs="Times New Roman"/>
        </w:rPr>
        <w:t xml:space="preserve">-aggregater og re-trening (videre arbeid punkt 5). Mellomtiltak: </w:t>
      </w:r>
      <w:r>
        <w:rPr>
          <w:rStyle w:val="VerbatimChar"/>
          <w:rFonts w:ascii="Times New Roman" w:eastAsia="Times New Roman" w:hAnsi="Times New Roman" w:cs="Times New Roman"/>
          <w:sz w:val="24"/>
        </w:rPr>
        <w:t>country</w:t>
      </w:r>
      <w:r>
        <w:rPr>
          <w:rFonts w:eastAsia="Times New Roman" w:cs="Times New Roman"/>
        </w:rPr>
        <w:t xml:space="preserve"> er nå synliggjort i API-respons og frontend.</w:t>
      </w:r>
    </w:p>
    <w:p w14:paraId="31D55D8E" w14:textId="77777777" w:rsidR="003C788D" w:rsidRDefault="00AA7D12">
      <w:pPr>
        <w:pStyle w:val="Overskrift4"/>
      </w:pPr>
      <w:bookmarkStart w:id="118" w:name="Xfb89bcd0f3196bce2464378960df46d55e2a129"/>
      <w:bookmarkEnd w:id="117"/>
      <w:r>
        <w:t>9.5.6 Per-yacht aggregering for skalerings</w:t>
      </w:r>
      <w:r>
        <w:softHyphen/>
        <w:t>spørsmålet</w:t>
      </w:r>
    </w:p>
    <w:p w14:paraId="6172EA33" w14:textId="77777777" w:rsidR="003C788D" w:rsidRDefault="00AA7D12">
      <w:pPr>
        <w:pStyle w:val="FirstParagraph"/>
        <w:spacing w:line="360" w:lineRule="auto"/>
      </w:pPr>
      <w:r>
        <w:rPr>
          <w:rFonts w:eastAsia="Times New Roman" w:cs="Times New Roman"/>
        </w:rPr>
        <w:t xml:space="preserve">Operations manager spurte: </w:t>
      </w:r>
      <w:r>
        <w:rPr>
          <w:rFonts w:eastAsia="Times New Roman" w:cs="Times New Roman"/>
          <w:i/>
          <w:iCs/>
        </w:rPr>
        <w:t>“hvis vi har 25 yachter i år og 4 M DKK i inntekt, hva blir det med 30 neste år?”</w:t>
      </w:r>
      <w:r>
        <w:rPr>
          <w:rFonts w:eastAsia="Times New Roman" w:cs="Times New Roman"/>
        </w:rPr>
        <w:t xml:space="preserve"> v0.2 hadde ingen per-yacht</w:t>
      </w:r>
      <w:r>
        <w:rPr>
          <w:rFonts w:eastAsia="Times New Roman" w:cs="Times New Roman"/>
        </w:rPr>
        <w:softHyphen/>
        <w:t xml:space="preserve">visning. Tiltak: </w:t>
      </w:r>
      <w:r>
        <w:rPr>
          <w:rStyle w:val="VerbatimChar"/>
          <w:rFonts w:ascii="Times New Roman" w:eastAsia="Times New Roman" w:hAnsi="Times New Roman" w:cs="Times New Roman"/>
          <w:sz w:val="24"/>
        </w:rPr>
        <w:t>/forecast</w:t>
      </w:r>
      <w:r>
        <w:rPr>
          <w:rFonts w:eastAsia="Times New Roman" w:cs="Times New Roman"/>
        </w:rPr>
        <w:t xml:space="preserve"> grupperer på </w:t>
      </w:r>
      <w:r>
        <w:rPr>
          <w:rStyle w:val="VerbatimChar"/>
          <w:rFonts w:ascii="Times New Roman" w:eastAsia="Times New Roman" w:hAnsi="Times New Roman" w:cs="Times New Roman"/>
          <w:sz w:val="24"/>
        </w:rPr>
        <w:t>yachtName</w:t>
      </w:r>
      <w:r>
        <w:rPr>
          <w:rFonts w:eastAsia="Times New Roman" w:cs="Times New Roman"/>
        </w:rPr>
        <w:t>, normaliserer til EUR, og viser flåte-snitt + naiv lineær skalerings</w:t>
      </w:r>
      <w:r>
        <w:rPr>
          <w:rFonts w:eastAsia="Times New Roman" w:cs="Times New Roman"/>
        </w:rPr>
        <w:softHyphen/>
        <w:t>projeksjon (</w:t>
      </w:r>
      <w:r>
        <w:rPr>
          <w:rStyle w:val="VerbatimChar"/>
          <w:rFonts w:ascii="Times New Roman" w:eastAsia="Times New Roman" w:hAnsi="Times New Roman" w:cs="Times New Roman"/>
          <w:sz w:val="24"/>
        </w:rPr>
        <w:t>avg_per_yacht × N</w:t>
      </w:r>
      <w:r>
        <w:rPr>
          <w:rFonts w:eastAsia="Times New Roman" w:cs="Times New Roman"/>
        </w:rPr>
        <w:t>) med eksplisitt note om at modellen ikke fanger kapasitets-, havne- eller sesong</w:t>
      </w:r>
      <w:r>
        <w:rPr>
          <w:rFonts w:eastAsia="Times New Roman" w:cs="Times New Roman"/>
        </w:rPr>
        <w:softHyphen/>
        <w:t>begrensninger.</w:t>
      </w:r>
    </w:p>
    <w:p w14:paraId="108F89A9" w14:textId="77777777" w:rsidR="003C788D" w:rsidRDefault="00AA7D12">
      <w:pPr>
        <w:pStyle w:val="Overskrift4"/>
      </w:pPr>
      <w:bookmarkStart w:id="119" w:name="X5dd4a93841416e0d3a6753e4a56351cf7060d37"/>
      <w:bookmarkEnd w:id="118"/>
      <w:r>
        <w:t>9.5.7 Provisions-override vurdert og avvist (v0.4)</w:t>
      </w:r>
    </w:p>
    <w:p w14:paraId="6DA0D7C8" w14:textId="77777777" w:rsidR="003C788D" w:rsidRDefault="00AA7D12">
      <w:pPr>
        <w:pStyle w:val="FirstParagraph"/>
        <w:spacing w:line="360" w:lineRule="auto"/>
      </w:pPr>
      <w:r>
        <w:rPr>
          <w:rFonts w:eastAsia="Times New Roman" w:cs="Times New Roman"/>
        </w:rPr>
        <w:t xml:space="preserve">v0.3 hadde valgfri </w:t>
      </w:r>
      <w:r>
        <w:rPr>
          <w:rStyle w:val="VerbatimChar"/>
          <w:rFonts w:ascii="Times New Roman" w:eastAsia="Times New Roman" w:hAnsi="Times New Roman" w:cs="Times New Roman"/>
          <w:sz w:val="24"/>
        </w:rPr>
        <w:t>provisioning_override</w:t>
      </w:r>
      <w:r>
        <w:rPr>
          <w:rFonts w:eastAsia="Times New Roman" w:cs="Times New Roman"/>
        </w:rPr>
        <w:t xml:space="preserve">; den ble fjernet i v0.4 (commit </w:t>
      </w:r>
      <w:r>
        <w:rPr>
          <w:rStyle w:val="VerbatimChar"/>
          <w:rFonts w:ascii="Times New Roman" w:eastAsia="Times New Roman" w:hAnsi="Times New Roman" w:cs="Times New Roman"/>
          <w:sz w:val="24"/>
        </w:rPr>
        <w:t>e24655a</w:t>
      </w:r>
      <w:r>
        <w:rPr>
          <w:rFonts w:eastAsia="Times New Roman" w:cs="Times New Roman"/>
        </w:rPr>
        <w:t>) på metodisk grunnlag — en override som erstatter prediksjonen med et magefølelses</w:t>
      </w:r>
      <w:r>
        <w:rPr>
          <w:rFonts w:eastAsia="Times New Roman" w:cs="Times New Roman"/>
        </w:rPr>
        <w:softHyphen/>
        <w:t xml:space="preserve">tall undergraver verktøyets formål. For bunkers er overriden forsvarlig fordi den substitueres med en </w:t>
      </w:r>
      <w:r>
        <w:rPr>
          <w:rFonts w:eastAsia="Times New Roman" w:cs="Times New Roman"/>
          <w:i/>
          <w:iCs/>
        </w:rPr>
        <w:t>deterministisk fysisk formel</w:t>
      </w:r>
      <w:r>
        <w:rPr>
          <w:rFonts w:eastAsia="Times New Roman" w:cs="Times New Roman"/>
        </w:rPr>
        <w:t>. Provisions-feilen skal lukkes via labels + re-trening, ikke maskeres via UI.</w:t>
      </w:r>
    </w:p>
    <w:p w14:paraId="4E83071F" w14:textId="77777777" w:rsidR="003C788D" w:rsidRDefault="00AA7D12">
      <w:pPr>
        <w:pStyle w:val="Overskrift3"/>
      </w:pPr>
      <w:bookmarkStart w:id="120" w:name="validitet-og-generaliserbarhet"/>
      <w:bookmarkStart w:id="121" w:name="_Toc230777818"/>
      <w:bookmarkEnd w:id="111"/>
      <w:bookmarkEnd w:id="119"/>
      <w:r>
        <w:t>9.6 Validitet og generaliserbarhet</w:t>
      </w:r>
      <w:bookmarkEnd w:id="121"/>
    </w:p>
    <w:p w14:paraId="13B506A8" w14:textId="77777777" w:rsidR="003C788D" w:rsidRDefault="00AA7D12">
      <w:pPr>
        <w:pStyle w:val="FirstParagraph"/>
        <w:spacing w:line="360" w:lineRule="auto"/>
      </w:pPr>
      <w:r>
        <w:rPr>
          <w:rFonts w:eastAsia="Times New Roman" w:cs="Times New Roman"/>
        </w:rPr>
        <w:t>En streng vurdering av forskningsdesignet krever at validitet adresseres eksplisitt. Tre typer validitet som er mest relevante for YO_Predcost drøftes: konstrukt</w:t>
      </w:r>
      <w:r>
        <w:rPr>
          <w:rFonts w:eastAsia="Times New Roman" w:cs="Times New Roman"/>
        </w:rPr>
        <w:softHyphen/>
        <w:t>validitet, intern validitet og ekstern validitet.</w:t>
      </w:r>
    </w:p>
    <w:p w14:paraId="22CD1F11" w14:textId="77777777" w:rsidR="003C788D" w:rsidRDefault="00AA7D12">
      <w:pPr>
        <w:pStyle w:val="Brdtekst"/>
        <w:spacing w:line="360" w:lineRule="auto"/>
      </w:pPr>
      <w:r>
        <w:rPr>
          <w:rFonts w:eastAsia="Times New Roman" w:cs="Times New Roman"/>
          <w:b/>
          <w:bCs/>
        </w:rPr>
        <w:t>Konstrukt</w:t>
      </w:r>
      <w:r>
        <w:rPr>
          <w:rFonts w:eastAsia="Times New Roman" w:cs="Times New Roman"/>
          <w:b/>
          <w:bCs/>
        </w:rPr>
        <w:softHyphen/>
        <w:t>validitet</w:t>
      </w:r>
      <w:r>
        <w:rPr>
          <w:rFonts w:eastAsia="Times New Roman" w:cs="Times New Roman"/>
        </w:rPr>
        <w:t xml:space="preserve"> stiller spørsmålet om </w:t>
      </w:r>
      <w:r>
        <w:rPr>
          <w:rStyle w:val="VerbatimChar"/>
          <w:rFonts w:ascii="Times New Roman" w:eastAsia="Times New Roman" w:hAnsi="Times New Roman" w:cs="Times New Roman"/>
          <w:sz w:val="24"/>
        </w:rPr>
        <w:t>final_charge</w:t>
      </w:r>
      <w:r>
        <w:rPr>
          <w:rFonts w:eastAsia="Times New Roman" w:cs="Times New Roman"/>
        </w:rPr>
        <w:t xml:space="preserve"> er en gyldig operasjonalisering av begrepet “totalkostnad for et havneanløp”. Variabelen er fakturabeløpet før moms slik det er registrert hos SDK Shipping, og fanger derfor agentens direkte tjeneste</w:t>
      </w:r>
      <w:r>
        <w:rPr>
          <w:rFonts w:eastAsia="Times New Roman" w:cs="Times New Roman"/>
        </w:rPr>
        <w:softHyphen/>
        <w:t>kostnad pluss innkjøpt under</w:t>
      </w:r>
      <w:r>
        <w:rPr>
          <w:rFonts w:eastAsia="Times New Roman" w:cs="Times New Roman"/>
        </w:rPr>
        <w:softHyphen/>
        <w:t>leverandør</w:t>
      </w:r>
      <w:r>
        <w:rPr>
          <w:rFonts w:eastAsia="Times New Roman" w:cs="Times New Roman"/>
        </w:rPr>
        <w:softHyphen/>
        <w:t xml:space="preserve">arbeid. Det den </w:t>
      </w:r>
      <w:r>
        <w:rPr>
          <w:rFonts w:eastAsia="Times New Roman" w:cs="Times New Roman"/>
          <w:i/>
          <w:iCs/>
        </w:rPr>
        <w:t>ikke</w:t>
      </w:r>
      <w:r>
        <w:rPr>
          <w:rFonts w:eastAsia="Times New Roman" w:cs="Times New Roman"/>
        </w:rPr>
        <w:t xml:space="preserve"> fanger er: (a) markedsmessige rabatter eller margin</w:t>
      </w:r>
      <w:r>
        <w:rPr>
          <w:rFonts w:eastAsia="Times New Roman" w:cs="Times New Roman"/>
        </w:rPr>
        <w:softHyphen/>
        <w:t>justeringer som agenten ikke har dokumentert som linje, (b) skjulte kostnader hos yachteier (egen besetnings</w:t>
      </w:r>
      <w:r>
        <w:rPr>
          <w:rFonts w:eastAsia="Times New Roman" w:cs="Times New Roman"/>
        </w:rPr>
        <w:softHyphen/>
        <w:t>lønn under anløpet, valutarisiko på betaling</w:t>
      </w:r>
      <w:r>
        <w:rPr>
          <w:rFonts w:eastAsia="Times New Roman" w:cs="Times New Roman"/>
        </w:rPr>
        <w:t>stidspunktet), og (c) opportunitets</w:t>
      </w:r>
      <w:r>
        <w:rPr>
          <w:rFonts w:eastAsia="Times New Roman" w:cs="Times New Roman"/>
        </w:rPr>
        <w:softHyphen/>
        <w:t>kostnad hvis anløpet forsinker neste reisesegment. Konstrukt</w:t>
      </w:r>
      <w:r>
        <w:rPr>
          <w:rFonts w:eastAsia="Times New Roman" w:cs="Times New Roman"/>
        </w:rPr>
        <w:softHyphen/>
        <w:t xml:space="preserve">validiteten er dermed </w:t>
      </w:r>
      <w:r>
        <w:rPr>
          <w:rFonts w:eastAsia="Times New Roman" w:cs="Times New Roman"/>
          <w:i/>
          <w:iCs/>
        </w:rPr>
        <w:t>delvis</w:t>
      </w:r>
      <w:r>
        <w:rPr>
          <w:rFonts w:eastAsia="Times New Roman" w:cs="Times New Roman"/>
        </w:rPr>
        <w:t>: målvariabelen er en valid proxy for agentens egen faktura</w:t>
      </w:r>
      <w:r>
        <w:rPr>
          <w:rFonts w:eastAsia="Times New Roman" w:cs="Times New Roman"/>
        </w:rPr>
        <w:softHyphen/>
        <w:t xml:space="preserve">sum, men en partiell proxy for det yachteieren faktisk betaler. Brukere som ønsker å estimere yachteierens </w:t>
      </w:r>
      <w:r>
        <w:rPr>
          <w:rFonts w:eastAsia="Times New Roman" w:cs="Times New Roman"/>
          <w:i/>
          <w:iCs/>
        </w:rPr>
        <w:t>totale</w:t>
      </w:r>
      <w:r>
        <w:rPr>
          <w:rFonts w:eastAsia="Times New Roman" w:cs="Times New Roman"/>
        </w:rPr>
        <w:t xml:space="preserve"> anløps</w:t>
      </w:r>
      <w:r>
        <w:rPr>
          <w:rFonts w:eastAsia="Times New Roman" w:cs="Times New Roman"/>
        </w:rPr>
        <w:softHyphen/>
        <w:t>kostnad må legge til egne kostnader på toppen.</w:t>
      </w:r>
    </w:p>
    <w:p w14:paraId="322DA652" w14:textId="77777777" w:rsidR="003C788D" w:rsidRDefault="00AA7D12">
      <w:pPr>
        <w:pStyle w:val="Brdtekst"/>
        <w:spacing w:line="360" w:lineRule="auto"/>
      </w:pPr>
      <w:r>
        <w:rPr>
          <w:rFonts w:eastAsia="Times New Roman" w:cs="Times New Roman"/>
          <w:b/>
          <w:bCs/>
        </w:rPr>
        <w:t>Intern validitet</w:t>
      </w:r>
      <w:r>
        <w:rPr>
          <w:rFonts w:eastAsia="Times New Roman" w:cs="Times New Roman"/>
        </w:rPr>
        <w:t xml:space="preserve"> dreier seg om hvorvidt observerte sammenhenger i datasettet faktisk reflekterer kostnads</w:t>
      </w:r>
      <w:r>
        <w:rPr>
          <w:rFonts w:eastAsia="Times New Roman" w:cs="Times New Roman"/>
        </w:rPr>
        <w:softHyphen/>
        <w:t xml:space="preserve">drivere snarere enn artefakter av prosessen. Tre trusler er sentrale: (i) </w:t>
      </w:r>
      <w:r>
        <w:rPr>
          <w:rFonts w:eastAsia="Times New Roman" w:cs="Times New Roman"/>
          <w:i/>
          <w:iCs/>
        </w:rPr>
        <w:t>seleksjons</w:t>
      </w:r>
      <w:r>
        <w:rPr>
          <w:rFonts w:eastAsia="Times New Roman" w:cs="Times New Roman"/>
          <w:i/>
          <w:iCs/>
        </w:rPr>
        <w:softHyphen/>
        <w:t>skjevhet</w:t>
      </w:r>
      <w:r>
        <w:rPr>
          <w:rFonts w:eastAsia="Times New Roman" w:cs="Times New Roman"/>
        </w:rPr>
        <w:t xml:space="preserve"> — alle 17 yachter er kunder hos én agentbedrift; (ii) </w:t>
      </w:r>
      <w:r>
        <w:rPr>
          <w:rFonts w:eastAsia="Times New Roman" w:cs="Times New Roman"/>
          <w:i/>
          <w:iCs/>
        </w:rPr>
        <w:t>historie</w:t>
      </w:r>
      <w:r>
        <w:rPr>
          <w:rFonts w:eastAsia="Times New Roman" w:cs="Times New Roman"/>
        </w:rPr>
        <w:t xml:space="preserve"> — tjeneste</w:t>
      </w:r>
      <w:r>
        <w:rPr>
          <w:rFonts w:eastAsia="Times New Roman" w:cs="Times New Roman"/>
        </w:rPr>
        <w:softHyphen/>
        <w:t>miks-endringer eller leverandør</w:t>
      </w:r>
      <w:r>
        <w:rPr>
          <w:rFonts w:eastAsia="Times New Roman" w:cs="Times New Roman"/>
        </w:rPr>
        <w:softHyphen/>
        <w:t>bytter kan ha generert tilsynelatende “tids</w:t>
      </w:r>
      <w:r>
        <w:rPr>
          <w:rFonts w:eastAsia="Times New Roman" w:cs="Times New Roman"/>
        </w:rPr>
        <w:softHyphen/>
        <w:t xml:space="preserve">effekter”; (iii) </w:t>
      </w:r>
      <w:r>
        <w:rPr>
          <w:rFonts w:eastAsia="Times New Roman" w:cs="Times New Roman"/>
          <w:i/>
          <w:iCs/>
        </w:rPr>
        <w:t>simulert trenings</w:t>
      </w:r>
      <w:r>
        <w:rPr>
          <w:rFonts w:eastAsia="Times New Roman" w:cs="Times New Roman"/>
          <w:i/>
          <w:iCs/>
        </w:rPr>
        <w:softHyphen/>
        <w:t>data</w:t>
      </w:r>
      <w:r>
        <w:rPr>
          <w:rFonts w:eastAsia="Times New Roman" w:cs="Times New Roman"/>
        </w:rPr>
        <w:t xml:space="preserve"> — 977 av 1 647 transaksjoner (≈ 59 %, 2020–2024) er simulert basert på case-strukturen (§ 5.2, § 9.4 S1). Trussel (i) adresseres ved ekspl</w:t>
      </w:r>
      <w:r>
        <w:rPr>
          <w:rFonts w:eastAsia="Times New Roman" w:cs="Times New Roman"/>
        </w:rPr>
        <w:t>isitt avgrensning (§ 1.3) og ved at modellen ikke hevdes ekstern</w:t>
      </w:r>
      <w:r>
        <w:rPr>
          <w:rFonts w:eastAsia="Times New Roman" w:cs="Times New Roman"/>
        </w:rPr>
        <w:softHyphen/>
        <w:t>validert. Trussel (ii) er delvis adressert ved tids</w:t>
      </w:r>
      <w:r>
        <w:rPr>
          <w:rFonts w:eastAsia="Times New Roman" w:cs="Times New Roman"/>
        </w:rPr>
        <w:softHyphen/>
        <w:t>basert split, men leverandør</w:t>
      </w:r>
      <w:r>
        <w:rPr>
          <w:rFonts w:eastAsia="Times New Roman" w:cs="Times New Roman"/>
        </w:rPr>
        <w:softHyphen/>
        <w:t>bytter er ikke dokumentert, så strukturell prisendring kan ikke utelukkes som del av val→test-driften. Trussel (iii) er den alvorligste: relasjonene modellen lærer i 2020–2024 reflekterer simulerings</w:t>
      </w:r>
      <w:r>
        <w:rPr>
          <w:rFonts w:eastAsia="Times New Roman" w:cs="Times New Roman"/>
        </w:rPr>
        <w:softHyphen/>
        <w:t>designet. Den reelle 2025-testen (wMAPE = 74,3 %) indikerer at simulerings</w:t>
      </w:r>
      <w:r>
        <w:rPr>
          <w:rFonts w:eastAsia="Times New Roman" w:cs="Times New Roman"/>
        </w:rPr>
        <w:softHyphen/>
        <w:t>ankrene er rimelige, men intern validitet på 2020–2024-perioden er strengt tatt ikke etable</w:t>
      </w:r>
      <w:r>
        <w:rPr>
          <w:rFonts w:eastAsia="Times New Roman" w:cs="Times New Roman"/>
        </w:rPr>
        <w:t>rt.</w:t>
      </w:r>
    </w:p>
    <w:p w14:paraId="1C5254C8" w14:textId="77777777" w:rsidR="003C788D" w:rsidRDefault="00AA7D12">
      <w:pPr>
        <w:pStyle w:val="Brdtekst"/>
        <w:spacing w:line="360" w:lineRule="auto"/>
      </w:pPr>
      <w:r>
        <w:rPr>
          <w:rFonts w:eastAsia="Times New Roman" w:cs="Times New Roman"/>
          <w:b/>
          <w:bCs/>
        </w:rPr>
        <w:t>Ekstern validitet</w:t>
      </w:r>
      <w:r>
        <w:rPr>
          <w:rFonts w:eastAsia="Times New Roman" w:cs="Times New Roman"/>
        </w:rPr>
        <w:t xml:space="preserve"> spør hvor godt resultatene overføres til (a) andre yachter, (b) andre operatører, og (c) andre tids</w:t>
      </w:r>
      <w:r>
        <w:rPr>
          <w:rFonts w:eastAsia="Times New Roman" w:cs="Times New Roman"/>
        </w:rPr>
        <w:softHyphen/>
        <w:t>perioder. Spesifikt:</w:t>
      </w:r>
    </w:p>
    <w:p w14:paraId="1D8B50F4" w14:textId="77777777" w:rsidR="003C788D" w:rsidRDefault="00AA7D12">
      <w:pPr>
        <w:pStyle w:val="Compact"/>
        <w:numPr>
          <w:ilvl w:val="0"/>
          <w:numId w:val="23"/>
        </w:numPr>
        <w:spacing w:line="360" w:lineRule="auto"/>
      </w:pPr>
      <w:r>
        <w:rPr>
          <w:rFonts w:eastAsia="Times New Roman" w:cs="Times New Roman"/>
          <w:b/>
          <w:bCs/>
        </w:rPr>
        <w:t>Til andre yachter:</w:t>
      </w:r>
      <w:r>
        <w:rPr>
          <w:rFonts w:eastAsia="Times New Roman" w:cs="Times New Roman"/>
        </w:rPr>
        <w:t xml:space="preserve"> Den 17-yacht-fløyte</w:t>
      </w:r>
      <w:r>
        <w:rPr>
          <w:rFonts w:eastAsia="Times New Roman" w:cs="Times New Roman"/>
        </w:rPr>
        <w:softHyphen/>
        <w:t>avgrensningen er en alvorlig begrensning. Yachter med spesifikasjoner langt utenfor utvalgs</w:t>
      </w:r>
      <w:r>
        <w:rPr>
          <w:rFonts w:eastAsia="Times New Roman" w:cs="Times New Roman"/>
        </w:rPr>
        <w:softHyphen/>
        <w:t>fordelingen (f.eks. eksplosjons</w:t>
      </w:r>
      <w:r>
        <w:rPr>
          <w:rFonts w:eastAsia="Times New Roman" w:cs="Times New Roman"/>
        </w:rPr>
        <w:softHyphen/>
        <w:t>motor vs. diesel-elektrisk, charter-yacht vs. privat) vil ha større prediksjons</w:t>
      </w:r>
      <w:r>
        <w:rPr>
          <w:rFonts w:eastAsia="Times New Roman" w:cs="Times New Roman"/>
        </w:rPr>
        <w:softHyphen/>
        <w:t>feil. Et bevis på dette: GT-områdene i datasettet er 51,9–2 407, og den eneste GT &lt; 50 yachten i 2025-testen genererer den største prosent</w:t>
      </w:r>
      <w:r>
        <w:rPr>
          <w:rFonts w:eastAsia="Times New Roman" w:cs="Times New Roman"/>
        </w:rPr>
        <w:softHyphen/>
        <w:t>feilen av alle test</w:t>
      </w:r>
      <w:r>
        <w:rPr>
          <w:rFonts w:eastAsia="Times New Roman" w:cs="Times New Roman"/>
        </w:rPr>
        <w:softHyphen/>
        <w:t>transaksjoner.</w:t>
      </w:r>
    </w:p>
    <w:p w14:paraId="04AD6162" w14:textId="77777777" w:rsidR="003C788D" w:rsidRDefault="00AA7D12">
      <w:pPr>
        <w:pStyle w:val="Compact"/>
        <w:numPr>
          <w:ilvl w:val="0"/>
          <w:numId w:val="23"/>
        </w:numPr>
        <w:spacing w:line="360" w:lineRule="auto"/>
      </w:pPr>
      <w:r>
        <w:rPr>
          <w:rFonts w:eastAsia="Times New Roman" w:cs="Times New Roman"/>
          <w:b/>
          <w:bCs/>
        </w:rPr>
        <w:t>Til andre operatører:</w:t>
      </w:r>
      <w:r>
        <w:rPr>
          <w:rFonts w:eastAsia="Times New Roman" w:cs="Times New Roman"/>
        </w:rPr>
        <w:t xml:space="preserve"> Modellen er trent kun på SDK Shipping sine fakturaer og fanger derfor denne agentens </w:t>
      </w:r>
      <w:r>
        <w:rPr>
          <w:rFonts w:eastAsia="Times New Roman" w:cs="Times New Roman"/>
          <w:i/>
          <w:iCs/>
        </w:rPr>
        <w:t>konkrete</w:t>
      </w:r>
      <w:r>
        <w:rPr>
          <w:rFonts w:eastAsia="Times New Roman" w:cs="Times New Roman"/>
        </w:rPr>
        <w:t xml:space="preserve"> prismodeller (f.eks. agent fee struktur, hospitality-leverandør</w:t>
      </w:r>
      <w:r>
        <w:rPr>
          <w:rFonts w:eastAsia="Times New Roman" w:cs="Times New Roman"/>
        </w:rPr>
        <w:softHyphen/>
        <w:t>valg). En annen agent ville hatt andre absolutt</w:t>
      </w:r>
      <w:r>
        <w:rPr>
          <w:rFonts w:eastAsia="Times New Roman" w:cs="Times New Roman"/>
        </w:rPr>
        <w:softHyphen/>
        <w:t>tall, selv for samme anløp. Ekstern validitet på operatør</w:t>
      </w:r>
      <w:r>
        <w:rPr>
          <w:rFonts w:eastAsia="Times New Roman" w:cs="Times New Roman"/>
        </w:rPr>
        <w:softHyphen/>
        <w:t>nivå er dermed ikke etablert, og verktøyet anbefales ikke brukt på en annen agents anløp uten re-trening.</w:t>
      </w:r>
    </w:p>
    <w:p w14:paraId="0A7D9DAF" w14:textId="77777777" w:rsidR="003C788D" w:rsidRDefault="00AA7D12">
      <w:pPr>
        <w:pStyle w:val="Compact"/>
        <w:numPr>
          <w:ilvl w:val="0"/>
          <w:numId w:val="23"/>
        </w:numPr>
        <w:spacing w:line="360" w:lineRule="auto"/>
      </w:pPr>
      <w:r>
        <w:rPr>
          <w:rFonts w:eastAsia="Times New Roman" w:cs="Times New Roman"/>
          <w:b/>
          <w:bCs/>
        </w:rPr>
        <w:t>Til andre tids</w:t>
      </w:r>
      <w:r>
        <w:rPr>
          <w:rFonts w:eastAsia="Times New Roman" w:cs="Times New Roman"/>
          <w:b/>
          <w:bCs/>
        </w:rPr>
        <w:softHyphen/>
        <w:t>perioder:</w:t>
      </w:r>
      <w:r>
        <w:rPr>
          <w:rFonts w:eastAsia="Times New Roman" w:cs="Times New Roman"/>
        </w:rPr>
        <w:t xml:space="preserve"> Test</w:t>
      </w:r>
      <w:r>
        <w:rPr>
          <w:rFonts w:eastAsia="Times New Roman" w:cs="Times New Roman"/>
        </w:rPr>
        <w:softHyphen/>
        <w:t>set-evalueringen viser at modellen generaliserer fra 2020–2023 til 2025 med 10 % MAE-degradering. For 2026–2027-bruk forventes tilsvarende eller noe høyere degradering, med mindre rullerende re-trening implementeres (§ 10 punkt 2).</w:t>
      </w:r>
    </w:p>
    <w:p w14:paraId="1016F514" w14:textId="77777777" w:rsidR="003C788D" w:rsidRDefault="00AA7D12">
      <w:pPr>
        <w:pStyle w:val="FirstParagraph"/>
        <w:spacing w:line="360" w:lineRule="auto"/>
      </w:pPr>
      <w:r>
        <w:rPr>
          <w:rFonts w:eastAsia="Times New Roman" w:cs="Times New Roman"/>
        </w:rPr>
        <w:t xml:space="preserve">Konklusjonen er at YO_Predcost har </w:t>
      </w:r>
      <w:r>
        <w:rPr>
          <w:rFonts w:eastAsia="Times New Roman" w:cs="Times New Roman"/>
          <w:b/>
          <w:bCs/>
        </w:rPr>
        <w:t>akseptabel intern validitet</w:t>
      </w:r>
      <w:r>
        <w:rPr>
          <w:rFonts w:eastAsia="Times New Roman" w:cs="Times New Roman"/>
        </w:rPr>
        <w:t xml:space="preserve"> for SDK Shipping sine egne fremtidige anløp innenfor 12–18 måneder, men </w:t>
      </w:r>
      <w:r>
        <w:rPr>
          <w:rFonts w:eastAsia="Times New Roman" w:cs="Times New Roman"/>
          <w:b/>
          <w:bCs/>
        </w:rPr>
        <w:t>begrenset ekstern validitet</w:t>
      </w:r>
      <w:r>
        <w:rPr>
          <w:rFonts w:eastAsia="Times New Roman" w:cs="Times New Roman"/>
        </w:rPr>
        <w:t xml:space="preserve"> utover dette. Dette er ikke et forsknings</w:t>
      </w:r>
      <w:r>
        <w:rPr>
          <w:rFonts w:eastAsia="Times New Roman" w:cs="Times New Roman"/>
        </w:rPr>
        <w:softHyphen/>
        <w:t>designsfeil; det er en konsekvens av at studien er case-spesifikk per design (§ 4 og kompendiet § B.4). Generaliserings</w:t>
      </w:r>
      <w:r>
        <w:rPr>
          <w:rFonts w:eastAsia="Times New Roman" w:cs="Times New Roman"/>
        </w:rPr>
        <w:softHyphen/>
        <w:t>funn er likevel et rimelig sekundærbidrag — særlig at gradient-boosting + hybrid persentil</w:t>
      </w:r>
      <w:r>
        <w:rPr>
          <w:rFonts w:eastAsia="Times New Roman" w:cs="Times New Roman"/>
        </w:rPr>
        <w:softHyphen/>
        <w:t>kalibrering fungerer i et regime med n ≈ 1 600 og 17 enheter, hvilket utvider den eksisterende litteraturens dekning ned i dataspar</w:t>
      </w:r>
      <w:r>
        <w:rPr>
          <w:rFonts w:eastAsia="Times New Roman" w:cs="Times New Roman"/>
        </w:rPr>
        <w:t>somme størrelses</w:t>
      </w:r>
      <w:r>
        <w:rPr>
          <w:rFonts w:eastAsia="Times New Roman" w:cs="Times New Roman"/>
        </w:rPr>
        <w:softHyphen/>
        <w:t>ordener.</w:t>
      </w:r>
    </w:p>
    <w:p w14:paraId="5BC4C413" w14:textId="77777777" w:rsidR="003C788D" w:rsidRDefault="00AA7D12">
      <w:pPr>
        <w:pStyle w:val="Overskrift3"/>
      </w:pPr>
      <w:bookmarkStart w:id="122" w:name="praktiske-implikasjoner"/>
      <w:bookmarkStart w:id="123" w:name="_Toc230777819"/>
      <w:bookmarkEnd w:id="120"/>
      <w:r>
        <w:t>9.7 Praktiske implikasjoner</w:t>
      </w:r>
      <w:bookmarkEnd w:id="123"/>
    </w:p>
    <w:p w14:paraId="26A2F581" w14:textId="77777777" w:rsidR="003C788D" w:rsidRDefault="00AA7D12">
      <w:pPr>
        <w:pStyle w:val="FirstParagraph"/>
        <w:spacing w:line="360" w:lineRule="auto"/>
      </w:pPr>
      <w:r>
        <w:rPr>
          <w:rFonts w:eastAsia="Times New Roman" w:cs="Times New Roman"/>
        </w:rPr>
        <w:t>For SDK Shipping betyr verktøyet at en agent</w:t>
      </w:r>
      <w:r>
        <w:rPr>
          <w:rFonts w:eastAsia="Times New Roman" w:cs="Times New Roman"/>
        </w:rPr>
        <w:softHyphen/>
        <w:t>koordinator på sekunder kan gi yachteier et estimat med tydelig kommunisert spenn i stedet for et magefølelses</w:t>
      </w:r>
      <w:r>
        <w:rPr>
          <w:rFonts w:eastAsia="Times New Roman" w:cs="Times New Roman"/>
        </w:rPr>
        <w:softHyphen/>
        <w:t>anslag. På lengre sikt kan loggføring av faktiske anløps</w:t>
      </w:r>
      <w:r>
        <w:rPr>
          <w:rFonts w:eastAsia="Times New Roman" w:cs="Times New Roman"/>
        </w:rPr>
        <w:softHyphen/>
        <w:t xml:space="preserve">kostnader mot estimater drive en automatisk re-treningsløkke, slik at modellen forbedres mot faktiske prestasjoner. På kort sikt — og spesielt før labels for </w:t>
      </w:r>
      <w:r>
        <w:rPr>
          <w:rStyle w:val="VerbatimChar"/>
          <w:rFonts w:ascii="Times New Roman" w:eastAsia="Times New Roman" w:hAnsi="Times New Roman" w:cs="Times New Roman"/>
          <w:sz w:val="24"/>
        </w:rPr>
        <w:t>guest_experience</w:t>
      </w:r>
      <w:r>
        <w:rPr>
          <w:rFonts w:eastAsia="Times New Roman" w:cs="Times New Roman"/>
        </w:rPr>
        <w:t xml:space="preserve"> </w:t>
      </w:r>
      <w:r>
        <w:rPr>
          <w:rFonts w:eastAsia="Times New Roman" w:cs="Times New Roman"/>
        </w:rPr>
        <w:t>er innhentet (jf. § 9.5.4 og Vedlegg E) — fungerer override-mekanismene for los, bunkers og provisions som en operasjonell sikkerhets</w:t>
      </w:r>
      <w:r>
        <w:rPr>
          <w:rFonts w:eastAsia="Times New Roman" w:cs="Times New Roman"/>
        </w:rPr>
        <w:softHyphen/>
        <w:t xml:space="preserve">ventil: koordinatoren har et estimat som </w:t>
      </w:r>
      <w:r>
        <w:rPr>
          <w:rFonts w:eastAsia="Times New Roman" w:cs="Times New Roman"/>
          <w:i/>
          <w:iCs/>
        </w:rPr>
        <w:t>kan</w:t>
      </w:r>
      <w:r>
        <w:rPr>
          <w:rFonts w:eastAsia="Times New Roman" w:cs="Times New Roman"/>
        </w:rPr>
        <w:t xml:space="preserve"> korrigeres for kjente begrensninger uten å vente på en re-trening.</w:t>
      </w:r>
    </w:p>
    <w:p w14:paraId="54B11F38" w14:textId="77777777" w:rsidR="003C788D" w:rsidRDefault="00AA7D12">
      <w:pPr>
        <w:pStyle w:val="Overskrift3"/>
      </w:pPr>
      <w:bookmarkStart w:id="124" w:name="etiske-og-personvernmessige-hensyn"/>
      <w:bookmarkStart w:id="125" w:name="_Toc230777820"/>
      <w:bookmarkEnd w:id="122"/>
      <w:r>
        <w:t>9.8 Etiske og personvernmessige hensyn</w:t>
      </w:r>
      <w:bookmarkEnd w:id="125"/>
    </w:p>
    <w:p w14:paraId="2A077A84" w14:textId="77777777" w:rsidR="003C788D" w:rsidRDefault="00AA7D12">
      <w:pPr>
        <w:pStyle w:val="FirstParagraph"/>
        <w:spacing w:line="360" w:lineRule="auto"/>
      </w:pPr>
      <w:r>
        <w:rPr>
          <w:rFonts w:eastAsia="Times New Roman" w:cs="Times New Roman"/>
        </w:rPr>
        <w:t>Faktura</w:t>
      </w:r>
      <w:r>
        <w:rPr>
          <w:rFonts w:eastAsia="Times New Roman" w:cs="Times New Roman"/>
        </w:rPr>
        <w:softHyphen/>
        <w:t>data inneholder yacht</w:t>
      </w:r>
      <w:r>
        <w:rPr>
          <w:rFonts w:eastAsia="Times New Roman" w:cs="Times New Roman"/>
        </w:rPr>
        <w:softHyphen/>
        <w:t>identifikatorer, men ingen direkte person</w:t>
      </w:r>
      <w:r>
        <w:rPr>
          <w:rFonts w:eastAsia="Times New Roman" w:cs="Times New Roman"/>
        </w:rPr>
        <w:softHyphen/>
        <w:t>data. Yacht-ID-er er allerede anonymisert i datasettet (</w:t>
      </w:r>
      <w:r>
        <w:rPr>
          <w:rStyle w:val="VerbatimChar"/>
          <w:rFonts w:ascii="Times New Roman" w:eastAsia="Times New Roman" w:hAnsi="Times New Roman" w:cs="Times New Roman"/>
          <w:sz w:val="24"/>
        </w:rPr>
        <w:t>yacht_1, yacht_2, …, yacht_19</w:t>
      </w:r>
      <w:r>
        <w:rPr>
          <w:rFonts w:eastAsia="Times New Roman" w:cs="Times New Roman"/>
        </w:rPr>
        <w:t>). Kontornavn (Bergen Office, Stockholm Office, Copenhagen Office) er beholdt fordi de identifiserer offentlig kjente lokasjoner og ikke representerer sensitive personopplysninger i seg selv. Fakturabeløp i rapporten er aggregert per persentil eller havn slik at enkelt</w:t>
      </w:r>
      <w:r>
        <w:rPr>
          <w:rFonts w:eastAsia="Times New Roman" w:cs="Times New Roman"/>
        </w:rPr>
        <w:softHyphen/>
        <w:t>transaksjoner ikke kan rekonstrueres.</w:t>
      </w:r>
    </w:p>
    <w:p w14:paraId="7BF3E541" w14:textId="77777777" w:rsidR="003C788D" w:rsidRDefault="00AA7D12">
      <w:pPr>
        <w:spacing w:line="360" w:lineRule="auto"/>
      </w:pPr>
      <w:r>
        <w:rPr>
          <w:rFonts w:eastAsia="Times New Roman" w:cs="Times New Roman"/>
        </w:rPr>
        <w:pict w14:anchorId="1483F5DE">
          <v:rect id="_x0000_i1036" style="width:0;height:1.5pt" o:hralign="center" o:hrstd="t" o:hr="t"/>
        </w:pict>
      </w:r>
    </w:p>
    <w:p w14:paraId="56AEDD82" w14:textId="77777777" w:rsidR="003C788D" w:rsidRDefault="00AA7D12">
      <w:pPr>
        <w:pStyle w:val="Overskrift2"/>
      </w:pPr>
      <w:bookmarkStart w:id="126" w:name="konklusjon"/>
      <w:bookmarkStart w:id="127" w:name="_Toc230777821"/>
      <w:bookmarkEnd w:id="101"/>
      <w:bookmarkEnd w:id="124"/>
      <w:r>
        <w:t>10. Konklusjon</w:t>
      </w:r>
      <w:bookmarkEnd w:id="127"/>
    </w:p>
    <w:p w14:paraId="0D74977A" w14:textId="77777777" w:rsidR="003C788D" w:rsidRDefault="00AA7D12">
      <w:pPr>
        <w:pStyle w:val="FirstParagraph"/>
        <w:spacing w:line="360" w:lineRule="auto"/>
      </w:pPr>
      <w:r>
        <w:rPr>
          <w:rFonts w:eastAsia="Times New Roman" w:cs="Times New Roman"/>
        </w:rPr>
        <w:t>Studien har utviklet en datadreven kostnads</w:t>
      </w:r>
      <w:r>
        <w:rPr>
          <w:rFonts w:eastAsia="Times New Roman" w:cs="Times New Roman"/>
        </w:rPr>
        <w:softHyphen/>
        <w:t>estimator for skandinaviske yacht</w:t>
      </w:r>
      <w:r>
        <w:rPr>
          <w:rFonts w:eastAsia="Times New Roman" w:cs="Times New Roman"/>
        </w:rPr>
        <w:softHyphen/>
        <w:t>anløp som kombinerer LightGBM + CatBoost-ensemble på transaksjons</w:t>
      </w:r>
      <w:r>
        <w:rPr>
          <w:rFonts w:eastAsia="Times New Roman" w:cs="Times New Roman"/>
        </w:rPr>
        <w:softHyphen/>
        <w:t>nivå med hybrid kalibrering mot empiriske persentiler på anløps</w:t>
      </w:r>
      <w:r>
        <w:rPr>
          <w:rFonts w:eastAsia="Times New Roman" w:cs="Times New Roman"/>
        </w:rPr>
        <w:softHyphen/>
        <w:t>nivå. 2020–2024-trening (n = 977) er simulert og ankret i SDK Shipping sine reelle 2025-fakturaer; testsettet (n = 649) er reelt. Simulert val=2024: MAE = 17 350 EUR (wMAPE 71,4 %) — 20 % bedre enn median</w:t>
      </w:r>
      <w:r>
        <w:rPr>
          <w:rFonts w:eastAsia="Times New Roman" w:cs="Times New Roman"/>
        </w:rPr>
        <w:softHyphen/>
        <w:t>baseline. Reell 2025-test: MAE = 19 051 EUR (wMAPE 74,3 %) — ≈ 10 % val→test-degradering med simulert→reell-overgang som en del. CQR-kalibrert</w:t>
      </w:r>
      <w:r>
        <w:rPr>
          <w:rFonts w:eastAsia="Times New Roman" w:cs="Times New Roman"/>
        </w:rPr>
        <w:t>e kvantil</w:t>
      </w:r>
      <w:r>
        <w:rPr>
          <w:rFonts w:eastAsia="Times New Roman" w:cs="Times New Roman"/>
        </w:rPr>
        <w:softHyphen/>
        <w:t>modeller gir 80,0 % empirisk dekning, og aggregerte anløps</w:t>
      </w:r>
      <w:r>
        <w:rPr>
          <w:rFonts w:eastAsia="Times New Roman" w:cs="Times New Roman"/>
        </w:rPr>
        <w:softHyphen/>
        <w:t>estimater plasserer seg innenfor P25–P75 i alle fem testede konfigurasjoner.</w:t>
      </w:r>
    </w:p>
    <w:p w14:paraId="4CE3CF3A" w14:textId="77777777" w:rsidR="003C788D" w:rsidRDefault="00AA7D12">
      <w:pPr>
        <w:pStyle w:val="Brdtekst"/>
        <w:spacing w:line="360" w:lineRule="auto"/>
      </w:pPr>
      <w:r>
        <w:rPr>
          <w:rFonts w:eastAsia="Times New Roman" w:cs="Times New Roman"/>
        </w:rPr>
        <w:t>Hvert delproblem er adressert: DP1 ved 26 features (§ 5.5), DP2 ved seks-modell-sammenligning på val og test (§ 8.1, § 8.1.1), DP3 ved hybrid persentil-kalibrering (§ 6.5), DP4 ved kvantil</w:t>
      </w:r>
      <w:r>
        <w:rPr>
          <w:rFonts w:eastAsia="Times New Roman" w:cs="Times New Roman"/>
        </w:rPr>
        <w:softHyphen/>
        <w:t>modeller med CQR (§ 6.4) og P25–P75-forankring (§ 8.3), og DP5 ved FastAPI + Next.js med svar</w:t>
      </w:r>
      <w:r>
        <w:rPr>
          <w:rFonts w:eastAsia="Times New Roman" w:cs="Times New Roman"/>
        </w:rPr>
        <w:softHyphen/>
        <w:t>tid &lt; 2 s (§ 8.4).</w:t>
      </w:r>
    </w:p>
    <w:p w14:paraId="5A91CED8" w14:textId="77777777" w:rsidR="003C788D" w:rsidRDefault="00AA7D12">
      <w:pPr>
        <w:pStyle w:val="Brdtekst"/>
        <w:spacing w:line="360" w:lineRule="auto"/>
      </w:pPr>
      <w:r>
        <w:rPr>
          <w:rFonts w:eastAsia="Times New Roman" w:cs="Times New Roman"/>
        </w:rPr>
        <w:t>Studien bidrar (§ 1.5) ved å demonstrere transaksjonsnivå-ensemble med hybrid persentil</w:t>
      </w:r>
      <w:r>
        <w:rPr>
          <w:rFonts w:eastAsia="Times New Roman" w:cs="Times New Roman"/>
        </w:rPr>
        <w:softHyphen/>
        <w:t>kalibrering i et lite, høyt</w:t>
      </w:r>
      <w:r>
        <w:rPr>
          <w:rFonts w:eastAsia="Times New Roman" w:cs="Times New Roman"/>
        </w:rPr>
        <w:softHyphen/>
        <w:t>skjevt regime (n ≈ 1 600, 17 enheter); modell</w:t>
      </w:r>
      <w:r>
        <w:rPr>
          <w:rFonts w:eastAsia="Times New Roman" w:cs="Times New Roman"/>
        </w:rPr>
        <w:softHyphen/>
        <w:t>valget er pensum</w:t>
      </w:r>
      <w:r>
        <w:rPr>
          <w:rFonts w:eastAsia="Times New Roman" w:cs="Times New Roman"/>
        </w:rPr>
        <w:softHyphen/>
        <w:t>forankret (Pettersen &amp; Rekdal, 2026); og konkrete gap mellom modell</w:t>
      </w:r>
      <w:r>
        <w:rPr>
          <w:rFonts w:eastAsia="Times New Roman" w:cs="Times New Roman"/>
        </w:rPr>
        <w:softHyphen/>
        <w:t>struktur og operasjonelle krav (§ 9.5) er dokumentert og peker mot oppnåelige retraining-mål.</w:t>
      </w:r>
    </w:p>
    <w:p w14:paraId="26B90817" w14:textId="77777777" w:rsidR="003C788D" w:rsidRDefault="00AA7D12">
      <w:pPr>
        <w:pStyle w:val="Brdtekst"/>
        <w:spacing w:line="360" w:lineRule="auto"/>
      </w:pPr>
      <w:r>
        <w:rPr>
          <w:rFonts w:eastAsia="Times New Roman" w:cs="Times New Roman"/>
          <w:b/>
          <w:bCs/>
        </w:rPr>
        <w:t>Begrensninger:</w:t>
      </w:r>
      <w:r>
        <w:rPr>
          <w:rFonts w:eastAsia="Times New Roman" w:cs="Times New Roman"/>
        </w:rPr>
        <w:t xml:space="preserve"> Den strukturelt største begrensningen er at ≈ 59 % av treningstransaksjonene (n = 977, 2020–2024) er simulert; reelle SDK Shipping-fakturaer forelå bare for 2025 (jf. § 5.2, § 9.4 S1 og § 9.6). Anløps</w:t>
      </w:r>
      <w:r>
        <w:rPr>
          <w:rFonts w:eastAsia="Times New Roman" w:cs="Times New Roman"/>
        </w:rPr>
        <w:softHyphen/>
        <w:t>estimatene er demonstrert på fem konfigurasjoner (§ 8.3); operasjonell validering over lengre tid gjenstår. Test</w:t>
      </w:r>
      <w:r>
        <w:rPr>
          <w:rFonts w:eastAsia="Times New Roman" w:cs="Times New Roman"/>
        </w:rPr>
        <w:softHyphen/>
        <w:t>set-metrikkene gjelder prefit-modellen som proxy for produksjons</w:t>
      </w:r>
      <w:r>
        <w:rPr>
          <w:rFonts w:eastAsia="Times New Roman" w:cs="Times New Roman"/>
        </w:rPr>
        <w:softHyphen/>
        <w:t xml:space="preserve">modellens generalisering. Ekstern validitet er begrenset til SDK Shipping. Provisions kan ikke lukkes uten </w:t>
      </w:r>
      <w:r>
        <w:rPr>
          <w:rStyle w:val="VerbatimChar"/>
          <w:rFonts w:ascii="Times New Roman" w:eastAsia="Times New Roman" w:hAnsi="Times New Roman" w:cs="Times New Roman"/>
          <w:sz w:val="24"/>
        </w:rPr>
        <w:t>guest_experience</w:t>
      </w:r>
      <w:r>
        <w:rPr>
          <w:rFonts w:eastAsia="Times New Roman" w:cs="Times New Roman"/>
        </w:rPr>
        <w:t>-labels (</w:t>
      </w:r>
      <w:r>
        <w:rPr>
          <w:rFonts w:eastAsia="Times New Roman" w:cs="Times New Roman"/>
        </w:rPr>
        <w:t>§ 9.5.4, Vedlegg E).</w:t>
      </w:r>
    </w:p>
    <w:p w14:paraId="2378291B" w14:textId="77777777" w:rsidR="003C788D" w:rsidRDefault="00AA7D12">
      <w:pPr>
        <w:pStyle w:val="Brdtekst"/>
        <w:spacing w:line="360" w:lineRule="auto"/>
      </w:pPr>
      <w:r>
        <w:rPr>
          <w:rFonts w:eastAsia="Times New Roman" w:cs="Times New Roman"/>
          <w:b/>
          <w:bCs/>
        </w:rPr>
        <w:t>Videre arbeid:</w:t>
      </w:r>
      <w:r>
        <w:rPr>
          <w:rFonts w:eastAsia="Times New Roman" w:cs="Times New Roman"/>
        </w:rPr>
        <w:t xml:space="preserve"> (1) Utvide flåten med flere yachter/operatører. (2) Online re-trening med rullerende vindu. (3) Multimodale pris</w:t>
      </w:r>
      <w:r>
        <w:rPr>
          <w:rFonts w:eastAsia="Times New Roman" w:cs="Times New Roman"/>
        </w:rPr>
        <w:softHyphen/>
        <w:t>drivere (drivstoffpris, valuta, vær). (4) AB-test av koordinator-effektivitet med vs. uten verktøy. (5) Land-bevisste aggregat-features og re-trening (§ 9.5.5). (6) Reise</w:t>
      </w:r>
      <w:r>
        <w:rPr>
          <w:rFonts w:eastAsia="Times New Roman" w:cs="Times New Roman"/>
        </w:rPr>
        <w:softHyphen/>
        <w:t xml:space="preserve">geometri som lært feature (§ 9.5.3). (7) </w:t>
      </w:r>
      <w:r>
        <w:rPr>
          <w:rStyle w:val="VerbatimChar"/>
          <w:rFonts w:ascii="Times New Roman" w:eastAsia="Times New Roman" w:hAnsi="Times New Roman" w:cs="Times New Roman"/>
          <w:sz w:val="24"/>
        </w:rPr>
        <w:t>guest_experience</w:t>
      </w:r>
      <w:r>
        <w:rPr>
          <w:rFonts w:eastAsia="Times New Roman" w:cs="Times New Roman"/>
        </w:rPr>
        <w:t xml:space="preserve"> labelling og re-trening (§ 9.5.4). (8) Størrelses-betinget pilot-sannsynlighet (§ 9.5.2). (9) Operasjonell validering over 3 måneder. (10) Rullerende test-evaluering når</w:t>
      </w:r>
      <w:r>
        <w:rPr>
          <w:rFonts w:eastAsia="Times New Roman" w:cs="Times New Roman"/>
        </w:rPr>
        <w:t xml:space="preserve"> 2026-data foreligger. (11) Diebold-Mariano-test mot bootstrap-KI. (12) Sensitivitets</w:t>
      </w:r>
      <w:r>
        <w:rPr>
          <w:rFonts w:eastAsia="Times New Roman" w:cs="Times New Roman"/>
        </w:rPr>
        <w:softHyphen/>
        <w:t>analyse på vekslingskurs.</w:t>
      </w:r>
    </w:p>
    <w:p w14:paraId="53CDC6FA" w14:textId="77777777" w:rsidR="003C788D" w:rsidRDefault="00AA7D12">
      <w:pPr>
        <w:spacing w:line="360" w:lineRule="auto"/>
      </w:pPr>
      <w:r>
        <w:rPr>
          <w:rFonts w:eastAsia="Times New Roman" w:cs="Times New Roman"/>
        </w:rPr>
        <w:br w:type="page"/>
      </w:r>
    </w:p>
    <w:p w14:paraId="18573A51" w14:textId="77777777" w:rsidR="003C788D" w:rsidRDefault="00AA7D12">
      <w:pPr>
        <w:pStyle w:val="Overskrift2"/>
      </w:pPr>
      <w:bookmarkStart w:id="128" w:name="bibliografi"/>
      <w:bookmarkStart w:id="129" w:name="_Toc230777822"/>
      <w:bookmarkEnd w:id="126"/>
      <w:r>
        <w:t>11. Bibliografi</w:t>
      </w:r>
      <w:bookmarkEnd w:id="129"/>
    </w:p>
    <w:p w14:paraId="6564F291" w14:textId="77777777" w:rsidR="003C788D" w:rsidRDefault="00AA7D12">
      <w:pPr>
        <w:pStyle w:val="FirstParagraph"/>
        <w:spacing w:line="360" w:lineRule="auto"/>
      </w:pPr>
      <w:r>
        <w:rPr>
          <w:rFonts w:eastAsia="Times New Roman" w:cs="Times New Roman"/>
        </w:rPr>
        <w:t xml:space="preserve">Friedman, J. H. (2001). Greedy function approximation: A gradient boosting machine. </w:t>
      </w:r>
      <w:r>
        <w:rPr>
          <w:rFonts w:eastAsia="Times New Roman" w:cs="Times New Roman"/>
          <w:i/>
          <w:iCs/>
        </w:rPr>
        <w:t>The Annals of Statistics</w:t>
      </w:r>
      <w:r>
        <w:rPr>
          <w:rFonts w:eastAsia="Times New Roman" w:cs="Times New Roman"/>
        </w:rPr>
        <w:t xml:space="preserve">, </w:t>
      </w:r>
      <w:r>
        <w:rPr>
          <w:rFonts w:eastAsia="Times New Roman" w:cs="Times New Roman"/>
          <w:i/>
          <w:iCs/>
        </w:rPr>
        <w:t>29</w:t>
      </w:r>
      <w:r>
        <w:rPr>
          <w:rFonts w:eastAsia="Times New Roman" w:cs="Times New Roman"/>
        </w:rPr>
        <w:t>(5), 1189–1232. https://doi.org/10.1214/aos/1013203451</w:t>
      </w:r>
    </w:p>
    <w:p w14:paraId="6CBA86E8" w14:textId="77777777" w:rsidR="003C788D" w:rsidRDefault="00AA7D12">
      <w:pPr>
        <w:pStyle w:val="Brdtekst"/>
        <w:spacing w:line="360" w:lineRule="auto"/>
      </w:pPr>
      <w:r>
        <w:rPr>
          <w:rFonts w:eastAsia="Times New Roman" w:cs="Times New Roman"/>
        </w:rPr>
        <w:t xml:space="preserve">Grinsztajn, L., Oyallon, E., &amp; Varoquaux, G. (2022). Why do tree-based models still outperform deep learning on typical tabular data? </w:t>
      </w:r>
      <w:r>
        <w:rPr>
          <w:rFonts w:eastAsia="Times New Roman" w:cs="Times New Roman"/>
          <w:i/>
          <w:iCs/>
        </w:rPr>
        <w:t>Advances in Neural Information Processing Systems, 35</w:t>
      </w:r>
      <w:r>
        <w:rPr>
          <w:rFonts w:eastAsia="Times New Roman" w:cs="Times New Roman"/>
        </w:rPr>
        <w:t>, 507–520.</w:t>
      </w:r>
    </w:p>
    <w:p w14:paraId="4AD65124" w14:textId="77777777" w:rsidR="003C788D" w:rsidRDefault="00AA7D12">
      <w:pPr>
        <w:pStyle w:val="Brdtekst"/>
        <w:spacing w:line="360" w:lineRule="auto"/>
      </w:pPr>
      <w:r>
        <w:rPr>
          <w:rFonts w:eastAsia="Times New Roman" w:cs="Times New Roman"/>
        </w:rPr>
        <w:t xml:space="preserve">Hastie, T., Tibshirani, R., &amp; Friedman, J. (2009). </w:t>
      </w:r>
      <w:r>
        <w:rPr>
          <w:rFonts w:eastAsia="Times New Roman" w:cs="Times New Roman"/>
          <w:i/>
          <w:iCs/>
        </w:rPr>
        <w:t>The Elements of Statistical Learning: Data Mining, Inference, and Prediction</w:t>
      </w:r>
      <w:r>
        <w:rPr>
          <w:rFonts w:eastAsia="Times New Roman" w:cs="Times New Roman"/>
        </w:rPr>
        <w:t xml:space="preserve"> (2nd ed.). Springer. https://doi.org/10.1007/978-0-387-84858-7</w:t>
      </w:r>
    </w:p>
    <w:p w14:paraId="1AF3AA6C" w14:textId="77777777" w:rsidR="003C788D" w:rsidRDefault="00AA7D12">
      <w:pPr>
        <w:pStyle w:val="Brdtekst"/>
        <w:spacing w:line="360" w:lineRule="auto"/>
      </w:pPr>
      <w:r>
        <w:rPr>
          <w:rFonts w:eastAsia="Times New Roman" w:cs="Times New Roman"/>
        </w:rPr>
        <w:t xml:space="preserve">Jahangard, M., Xie, Y., &amp; Feng, Y. (2025). Leveraging machine learning and optimization models for enhanced seaport efficiency. </w:t>
      </w:r>
      <w:r>
        <w:rPr>
          <w:rFonts w:eastAsia="Times New Roman" w:cs="Times New Roman"/>
          <w:i/>
          <w:iCs/>
        </w:rPr>
        <w:t>Maritime Economics &amp; Logistics</w:t>
      </w:r>
      <w:r>
        <w:rPr>
          <w:rFonts w:eastAsia="Times New Roman" w:cs="Times New Roman"/>
        </w:rPr>
        <w:t xml:space="preserve">, </w:t>
      </w:r>
      <w:r>
        <w:rPr>
          <w:rFonts w:eastAsia="Times New Roman" w:cs="Times New Roman"/>
          <w:i/>
          <w:iCs/>
        </w:rPr>
        <w:t>27</w:t>
      </w:r>
      <w:r>
        <w:rPr>
          <w:rFonts w:eastAsia="Times New Roman" w:cs="Times New Roman"/>
        </w:rPr>
        <w:t>(4), 710–751. https://doi.org/10.1057/s41278-024-00309-w</w:t>
      </w:r>
    </w:p>
    <w:p w14:paraId="10DDAAA2" w14:textId="77777777" w:rsidR="003C788D" w:rsidRDefault="00AA7D12">
      <w:pPr>
        <w:pStyle w:val="Brdtekst"/>
        <w:spacing w:line="360" w:lineRule="auto"/>
      </w:pPr>
      <w:r>
        <w:rPr>
          <w:rFonts w:eastAsia="Times New Roman" w:cs="Times New Roman"/>
        </w:rPr>
        <w:t xml:space="preserve">Jang, H.-S., Chang, T.-W., &amp; Kim, S.-H. (2023). Prediction of shipping cost on freight brokerage platform using machine learning. </w:t>
      </w:r>
      <w:r>
        <w:rPr>
          <w:rFonts w:eastAsia="Times New Roman" w:cs="Times New Roman"/>
          <w:i/>
          <w:iCs/>
        </w:rPr>
        <w:t>Sustainability</w:t>
      </w:r>
      <w:r>
        <w:rPr>
          <w:rFonts w:eastAsia="Times New Roman" w:cs="Times New Roman"/>
        </w:rPr>
        <w:t xml:space="preserve">, </w:t>
      </w:r>
      <w:r>
        <w:rPr>
          <w:rFonts w:eastAsia="Times New Roman" w:cs="Times New Roman"/>
          <w:i/>
          <w:iCs/>
        </w:rPr>
        <w:t>15</w:t>
      </w:r>
      <w:r>
        <w:rPr>
          <w:rFonts w:eastAsia="Times New Roman" w:cs="Times New Roman"/>
        </w:rPr>
        <w:t>(2), 1122. https://doi.org/10.3390/su15021122</w:t>
      </w:r>
    </w:p>
    <w:p w14:paraId="22E7C193" w14:textId="77777777" w:rsidR="003C788D" w:rsidRDefault="00AA7D12">
      <w:pPr>
        <w:pStyle w:val="Brdtekst"/>
        <w:spacing w:line="360" w:lineRule="auto"/>
      </w:pPr>
      <w:r>
        <w:rPr>
          <w:rFonts w:eastAsia="Times New Roman" w:cs="Times New Roman"/>
        </w:rPr>
        <w:t xml:space="preserve">Ke, G., Meng, Q., Finley, T., Wang, T., Chen, W., Ma, W., Ye, Q., &amp; Liu, T.-Y. (2017). LightGBM: A highly efficient gradient boosting decision tree. </w:t>
      </w:r>
      <w:r>
        <w:rPr>
          <w:rFonts w:eastAsia="Times New Roman" w:cs="Times New Roman"/>
          <w:i/>
          <w:iCs/>
        </w:rPr>
        <w:t>Advances in Neural Information Processing Systems, 30</w:t>
      </w:r>
      <w:r>
        <w:rPr>
          <w:rFonts w:eastAsia="Times New Roman" w:cs="Times New Roman"/>
        </w:rPr>
        <w:t>, 3146–3154.</w:t>
      </w:r>
    </w:p>
    <w:p w14:paraId="2FF9EB23" w14:textId="77777777" w:rsidR="003C788D" w:rsidRDefault="00AA7D12">
      <w:pPr>
        <w:pStyle w:val="Brdtekst"/>
        <w:spacing w:line="360" w:lineRule="auto"/>
      </w:pPr>
      <w:r>
        <w:rPr>
          <w:rFonts w:eastAsia="Times New Roman" w:cs="Times New Roman"/>
        </w:rPr>
        <w:t xml:space="preserve">Lundberg, S. M., Erion, G., Chen, H., DeGrave, A., Prutkin, J. M., Nair, B., Katz, R., Himmelfarb, J., Bansal, N., &amp; Lee, S.-I. (2020). From local explanations to global understanding with explainable AI for trees. </w:t>
      </w:r>
      <w:r>
        <w:rPr>
          <w:rFonts w:eastAsia="Times New Roman" w:cs="Times New Roman"/>
          <w:i/>
          <w:iCs/>
        </w:rPr>
        <w:t>Nature Machine Intelligence</w:t>
      </w:r>
      <w:r>
        <w:rPr>
          <w:rFonts w:eastAsia="Times New Roman" w:cs="Times New Roman"/>
        </w:rPr>
        <w:t xml:space="preserve">, </w:t>
      </w:r>
      <w:r>
        <w:rPr>
          <w:rFonts w:eastAsia="Times New Roman" w:cs="Times New Roman"/>
          <w:i/>
          <w:iCs/>
        </w:rPr>
        <w:t>2</w:t>
      </w:r>
      <w:r>
        <w:rPr>
          <w:rFonts w:eastAsia="Times New Roman" w:cs="Times New Roman"/>
        </w:rPr>
        <w:t>(1), 56–67. https://doi.org/10.1038/s42256-019-0138-9</w:t>
      </w:r>
    </w:p>
    <w:p w14:paraId="21BE632D" w14:textId="77777777" w:rsidR="003C788D" w:rsidRDefault="00AA7D12">
      <w:pPr>
        <w:pStyle w:val="Brdtekst"/>
        <w:spacing w:line="360" w:lineRule="auto"/>
      </w:pPr>
      <w:r>
        <w:rPr>
          <w:rFonts w:eastAsia="Times New Roman" w:cs="Times New Roman"/>
        </w:rPr>
        <w:t xml:space="preserve">Lundberg, S. M., &amp; Lee, S.-I. (2017). A unified approach to interpreting model predictions. </w:t>
      </w:r>
      <w:r>
        <w:rPr>
          <w:rFonts w:eastAsia="Times New Roman" w:cs="Times New Roman"/>
          <w:i/>
          <w:iCs/>
        </w:rPr>
        <w:t>Advances in Neural Information Processing Systems, 30</w:t>
      </w:r>
      <w:r>
        <w:rPr>
          <w:rFonts w:eastAsia="Times New Roman" w:cs="Times New Roman"/>
        </w:rPr>
        <w:t>, 4765–4774.</w:t>
      </w:r>
    </w:p>
    <w:p w14:paraId="1FEF7770" w14:textId="77777777" w:rsidR="003C788D" w:rsidRDefault="00AA7D12">
      <w:pPr>
        <w:pStyle w:val="Brdtekst"/>
        <w:spacing w:line="360" w:lineRule="auto"/>
      </w:pPr>
      <w:r>
        <w:rPr>
          <w:rFonts w:eastAsia="Times New Roman" w:cs="Times New Roman"/>
        </w:rPr>
        <w:t xml:space="preserve">Pettersen, B.-I., &amp; Rekdal, P. K. (2026). </w:t>
      </w:r>
      <w:r>
        <w:rPr>
          <w:rFonts w:eastAsia="Times New Roman" w:cs="Times New Roman"/>
          <w:i/>
          <w:iCs/>
        </w:rPr>
        <w:t>Kvantitative metoder i logistikk — implementert via KI</w:t>
      </w:r>
      <w:r>
        <w:rPr>
          <w:rFonts w:eastAsia="Times New Roman" w:cs="Times New Roman"/>
        </w:rPr>
        <w:t xml:space="preserve"> [Kompendium]. LOG650 Forskningsprosjekt: Logistikk og kunstig intelligens, Høgskolen i Molde.</w:t>
      </w:r>
    </w:p>
    <w:p w14:paraId="40C5BF1B" w14:textId="77777777" w:rsidR="003C788D" w:rsidRDefault="00AA7D12">
      <w:pPr>
        <w:pStyle w:val="Brdtekst"/>
        <w:spacing w:line="360" w:lineRule="auto"/>
      </w:pPr>
      <w:r>
        <w:rPr>
          <w:rFonts w:eastAsia="Times New Roman" w:cs="Times New Roman"/>
        </w:rPr>
        <w:t xml:space="preserve">Prokhorenkova, L., Gusev, G., Vorobev, A., Dorogush, A. V., &amp; Gulin, A. (2018). CatBoost: Unbiased boosting with categorical features. </w:t>
      </w:r>
      <w:r>
        <w:rPr>
          <w:rFonts w:eastAsia="Times New Roman" w:cs="Times New Roman"/>
          <w:i/>
          <w:iCs/>
        </w:rPr>
        <w:t>Advances in Neural Information Processing Systems, 31</w:t>
      </w:r>
      <w:r>
        <w:rPr>
          <w:rFonts w:eastAsia="Times New Roman" w:cs="Times New Roman"/>
        </w:rPr>
        <w:t>, 6638–6648.</w:t>
      </w:r>
    </w:p>
    <w:p w14:paraId="7D414A38" w14:textId="77777777" w:rsidR="003C788D" w:rsidRDefault="00AA7D12">
      <w:pPr>
        <w:pStyle w:val="Brdtekst"/>
        <w:spacing w:line="360" w:lineRule="auto"/>
      </w:pPr>
      <w:r>
        <w:rPr>
          <w:rFonts w:eastAsia="Times New Roman" w:cs="Times New Roman"/>
        </w:rPr>
        <w:t xml:space="preserve">Romano, Y., Patterson, E., &amp; Candès, E. (2019). Conformalized quantile regression. </w:t>
      </w:r>
      <w:r>
        <w:rPr>
          <w:rFonts w:eastAsia="Times New Roman" w:cs="Times New Roman"/>
          <w:i/>
          <w:iCs/>
        </w:rPr>
        <w:t>Advances in Neural Information Processing Systems, 32</w:t>
      </w:r>
      <w:r>
        <w:rPr>
          <w:rFonts w:eastAsia="Times New Roman" w:cs="Times New Roman"/>
        </w:rPr>
        <w:t>, 3543–3553.</w:t>
      </w:r>
    </w:p>
    <w:p w14:paraId="4CC93743" w14:textId="77777777" w:rsidR="003C788D" w:rsidRDefault="00AA7D12">
      <w:pPr>
        <w:pStyle w:val="Brdtekst"/>
        <w:spacing w:line="360" w:lineRule="auto"/>
      </w:pPr>
      <w:r>
        <w:rPr>
          <w:rFonts w:eastAsia="Times New Roman" w:cs="Times New Roman"/>
        </w:rPr>
        <w:t xml:space="preserve">Shafer, G., &amp; Vovk, V. (2008). A tutorial on conformal prediction. </w:t>
      </w:r>
      <w:r>
        <w:rPr>
          <w:rFonts w:eastAsia="Times New Roman" w:cs="Times New Roman"/>
          <w:i/>
          <w:iCs/>
        </w:rPr>
        <w:t>Journal of Machine Learning Research</w:t>
      </w:r>
      <w:r>
        <w:rPr>
          <w:rFonts w:eastAsia="Times New Roman" w:cs="Times New Roman"/>
        </w:rPr>
        <w:t xml:space="preserve">, </w:t>
      </w:r>
      <w:r>
        <w:rPr>
          <w:rFonts w:eastAsia="Times New Roman" w:cs="Times New Roman"/>
          <w:i/>
          <w:iCs/>
        </w:rPr>
        <w:t>9</w:t>
      </w:r>
      <w:r>
        <w:rPr>
          <w:rFonts w:eastAsia="Times New Roman" w:cs="Times New Roman"/>
        </w:rPr>
        <w:t>, 371–421. https://jmlr.csail.mit.edu/papers/volume9/shafer08a/shafer08a.pdf</w:t>
      </w:r>
    </w:p>
    <w:p w14:paraId="5E59D4FD" w14:textId="77777777" w:rsidR="003C788D" w:rsidRDefault="00AA7D12">
      <w:pPr>
        <w:pStyle w:val="Brdtekst"/>
        <w:spacing w:line="360" w:lineRule="auto"/>
      </w:pPr>
      <w:r>
        <w:rPr>
          <w:rFonts w:eastAsia="Times New Roman" w:cs="Times New Roman"/>
        </w:rPr>
        <w:t xml:space="preserve">Shwartz-Ziv, R., &amp; Armon, A. (2022). Tabular data: Deep learning is not all you need. </w:t>
      </w:r>
      <w:r>
        <w:rPr>
          <w:rFonts w:eastAsia="Times New Roman" w:cs="Times New Roman"/>
          <w:i/>
          <w:iCs/>
        </w:rPr>
        <w:t>Information Fusion</w:t>
      </w:r>
      <w:r>
        <w:rPr>
          <w:rFonts w:eastAsia="Times New Roman" w:cs="Times New Roman"/>
        </w:rPr>
        <w:t xml:space="preserve">, </w:t>
      </w:r>
      <w:r>
        <w:rPr>
          <w:rFonts w:eastAsia="Times New Roman" w:cs="Times New Roman"/>
          <w:i/>
          <w:iCs/>
        </w:rPr>
        <w:t>81</w:t>
      </w:r>
      <w:r>
        <w:rPr>
          <w:rFonts w:eastAsia="Times New Roman" w:cs="Times New Roman"/>
        </w:rPr>
        <w:t>, 84–90. https://doi.org/10.1016/j.inffus.2021.11.011</w:t>
      </w:r>
    </w:p>
    <w:p w14:paraId="374CCAF9" w14:textId="77777777" w:rsidR="003C788D" w:rsidRDefault="00AA7D12">
      <w:pPr>
        <w:pStyle w:val="Brdtekst"/>
        <w:spacing w:line="360" w:lineRule="auto"/>
      </w:pPr>
      <w:r>
        <w:rPr>
          <w:rFonts w:eastAsia="Times New Roman" w:cs="Times New Roman"/>
        </w:rPr>
        <w:t xml:space="preserve">Su, M., Lee, H. J., Wang, X., &amp; Bae, S.-H. (2024). Fuel consumption cost prediction model for ro-ro carriers: A machine learning-based application. </w:t>
      </w:r>
      <w:r>
        <w:rPr>
          <w:rFonts w:eastAsia="Times New Roman" w:cs="Times New Roman"/>
          <w:i/>
          <w:iCs/>
        </w:rPr>
        <w:t>Maritime Policy &amp; Management</w:t>
      </w:r>
      <w:r>
        <w:rPr>
          <w:rFonts w:eastAsia="Times New Roman" w:cs="Times New Roman"/>
        </w:rPr>
        <w:t xml:space="preserve">, </w:t>
      </w:r>
      <w:r>
        <w:rPr>
          <w:rFonts w:eastAsia="Times New Roman" w:cs="Times New Roman"/>
          <w:i/>
          <w:iCs/>
        </w:rPr>
        <w:t>52</w:t>
      </w:r>
      <w:r>
        <w:rPr>
          <w:rFonts w:eastAsia="Times New Roman" w:cs="Times New Roman"/>
        </w:rPr>
        <w:t>(2), 229–249. https://doi.org/10.1080/03088839.2024.2303120</w:t>
      </w:r>
    </w:p>
    <w:p w14:paraId="18137CDD" w14:textId="77777777" w:rsidR="003C788D" w:rsidRDefault="00AA7D12">
      <w:pPr>
        <w:spacing w:line="360" w:lineRule="auto"/>
      </w:pPr>
      <w:r>
        <w:rPr>
          <w:rFonts w:eastAsia="Times New Roman" w:cs="Times New Roman"/>
        </w:rPr>
        <w:pict w14:anchorId="257C01F8">
          <v:rect id="_x0000_i1037" style="width:0;height:1.5pt" o:hralign="center" o:hrstd="t" o:hr="t"/>
        </w:pict>
      </w:r>
    </w:p>
    <w:p w14:paraId="3EA9EBEC" w14:textId="77777777" w:rsidR="003C788D" w:rsidRDefault="00AA7D12">
      <w:pPr>
        <w:pStyle w:val="Overskrift2"/>
      </w:pPr>
      <w:bookmarkStart w:id="130" w:name="vedlegg"/>
      <w:bookmarkStart w:id="131" w:name="_Toc230777823"/>
      <w:bookmarkEnd w:id="128"/>
      <w:r>
        <w:t>Vedlegg</w:t>
      </w:r>
      <w:bookmarkEnd w:id="131"/>
    </w:p>
    <w:p w14:paraId="17CC9B12" w14:textId="77777777" w:rsidR="003C788D" w:rsidRDefault="00AA7D12">
      <w:pPr>
        <w:pStyle w:val="Compact"/>
        <w:numPr>
          <w:ilvl w:val="0"/>
          <w:numId w:val="24"/>
        </w:numPr>
        <w:spacing w:line="360" w:lineRule="auto"/>
      </w:pPr>
      <w:r>
        <w:rPr>
          <w:rFonts w:eastAsia="Times New Roman" w:cs="Times New Roman"/>
          <w:b/>
          <w:bCs/>
        </w:rPr>
        <w:t>A.</w:t>
      </w:r>
      <w:r>
        <w:rPr>
          <w:rFonts w:eastAsia="Times New Roman" w:cs="Times New Roman"/>
        </w:rPr>
        <w:t xml:space="preserve"> Featureliste og dtype-tabell — se </w:t>
      </w:r>
      <w:r>
        <w:rPr>
          <w:rStyle w:val="VerbatimChar"/>
          <w:rFonts w:ascii="Times New Roman" w:eastAsia="Times New Roman" w:hAnsi="Times New Roman" w:cs="Times New Roman"/>
          <w:sz w:val="24"/>
        </w:rPr>
        <w:t>modeling_nauticost.ipynb</w:t>
      </w:r>
      <w:r>
        <w:rPr>
          <w:rFonts w:eastAsia="Times New Roman" w:cs="Times New Roman"/>
        </w:rPr>
        <w:t>, seksjon 2 (26 features: 6 kategoriske + 20 numeriske).</w:t>
      </w:r>
    </w:p>
    <w:p w14:paraId="1F65CF51" w14:textId="77777777" w:rsidR="003C788D" w:rsidRDefault="00AA7D12">
      <w:pPr>
        <w:pStyle w:val="Compact"/>
        <w:numPr>
          <w:ilvl w:val="0"/>
          <w:numId w:val="24"/>
        </w:numPr>
        <w:spacing w:line="360" w:lineRule="auto"/>
      </w:pPr>
      <w:r>
        <w:rPr>
          <w:rFonts w:eastAsia="Times New Roman" w:cs="Times New Roman"/>
          <w:b/>
          <w:bCs/>
        </w:rPr>
        <w:t>B.</w:t>
      </w:r>
      <w:r>
        <w:rPr>
          <w:rFonts w:eastAsia="Times New Roman" w:cs="Times New Roman"/>
        </w:rPr>
        <w:t xml:space="preserve"> </w:t>
      </w:r>
      <w:r>
        <w:rPr>
          <w:rFonts w:eastAsia="Times New Roman" w:cs="Times New Roman"/>
        </w:rPr>
        <w:t xml:space="preserve">Hyperparametre fra Optuna-studie — se </w:t>
      </w:r>
      <w:r>
        <w:rPr>
          <w:rStyle w:val="VerbatimChar"/>
          <w:rFonts w:ascii="Times New Roman" w:eastAsia="Times New Roman" w:hAnsi="Times New Roman" w:cs="Times New Roman"/>
          <w:sz w:val="24"/>
        </w:rPr>
        <w:t>013 fase 3 - review/artifacts/model_meta_final.joblib</w:t>
      </w:r>
      <w:r>
        <w:rPr>
          <w:rFonts w:eastAsia="Times New Roman" w:cs="Times New Roman"/>
        </w:rPr>
        <w:t xml:space="preserve"> og </w:t>
      </w:r>
      <w:r>
        <w:rPr>
          <w:rStyle w:val="VerbatimChar"/>
          <w:rFonts w:ascii="Times New Roman" w:eastAsia="Times New Roman" w:hAnsi="Times New Roman" w:cs="Times New Roman"/>
          <w:sz w:val="24"/>
        </w:rPr>
        <w:t>modeling_nauticost.ipynb</w:t>
      </w:r>
      <w:r>
        <w:rPr>
          <w:rFonts w:eastAsia="Times New Roman" w:cs="Times New Roman"/>
        </w:rPr>
        <w:t>, seksjon 9.</w:t>
      </w:r>
    </w:p>
    <w:p w14:paraId="1FCF1EBC" w14:textId="77777777" w:rsidR="003C788D" w:rsidRDefault="00AA7D12">
      <w:pPr>
        <w:pStyle w:val="Compact"/>
        <w:numPr>
          <w:ilvl w:val="0"/>
          <w:numId w:val="24"/>
        </w:numPr>
        <w:spacing w:line="360" w:lineRule="auto"/>
      </w:pPr>
      <w:r>
        <w:rPr>
          <w:rFonts w:eastAsia="Times New Roman" w:cs="Times New Roman"/>
          <w:b/>
          <w:bCs/>
        </w:rPr>
        <w:t>C.</w:t>
      </w:r>
      <w:r>
        <w:rPr>
          <w:rFonts w:eastAsia="Times New Roman" w:cs="Times New Roman"/>
        </w:rPr>
        <w:t xml:space="preserve"> API-spesifikasjon (OpenAPI fra FastAPI) — se </w:t>
      </w:r>
      <w:r>
        <w:rPr>
          <w:rStyle w:val="VerbatimChar"/>
          <w:rFonts w:ascii="Times New Roman" w:eastAsia="Times New Roman" w:hAnsi="Times New Roman" w:cs="Times New Roman"/>
          <w:sz w:val="24"/>
        </w:rPr>
        <w:t>013 fase 3 - review/backend/</w:t>
      </w:r>
      <w:r>
        <w:rPr>
          <w:rFonts w:eastAsia="Times New Roman" w:cs="Times New Roman"/>
        </w:rPr>
        <w:t xml:space="preserve"> for endepunkt-definisjon (</w:t>
      </w:r>
      <w:r>
        <w:rPr>
          <w:rStyle w:val="VerbatimChar"/>
          <w:rFonts w:ascii="Times New Roman" w:eastAsia="Times New Roman" w:hAnsi="Times New Roman" w:cs="Times New Roman"/>
          <w:sz w:val="24"/>
        </w:rPr>
        <w:t>POST /api/predict</w:t>
      </w:r>
      <w:r>
        <w:rPr>
          <w:rFonts w:eastAsia="Times New Roman" w:cs="Times New Roman"/>
        </w:rPr>
        <w:t>).</w:t>
      </w:r>
    </w:p>
    <w:p w14:paraId="67DAD0A3" w14:textId="77777777" w:rsidR="003C788D" w:rsidRDefault="00AA7D12">
      <w:pPr>
        <w:pStyle w:val="Compact"/>
        <w:numPr>
          <w:ilvl w:val="0"/>
          <w:numId w:val="24"/>
        </w:numPr>
        <w:spacing w:line="360" w:lineRule="auto"/>
      </w:pPr>
      <w:r>
        <w:rPr>
          <w:rFonts w:eastAsia="Times New Roman" w:cs="Times New Roman"/>
          <w:b/>
          <w:bCs/>
        </w:rPr>
        <w:t>D.</w:t>
      </w:r>
      <w:r>
        <w:rPr>
          <w:rFonts w:eastAsia="Times New Roman" w:cs="Times New Roman"/>
        </w:rPr>
        <w:t xml:space="preserve"> Skjermbilder fra Next.js-frontend — se </w:t>
      </w:r>
      <w:r>
        <w:rPr>
          <w:rStyle w:val="VerbatimChar"/>
          <w:rFonts w:ascii="Times New Roman" w:eastAsia="Times New Roman" w:hAnsi="Times New Roman" w:cs="Times New Roman"/>
          <w:sz w:val="24"/>
        </w:rPr>
        <w:t>013 fase 3 - review/frontend/</w:t>
      </w:r>
      <w:r>
        <w:rPr>
          <w:rFonts w:eastAsia="Times New Roman" w:cs="Times New Roman"/>
        </w:rPr>
        <w:t xml:space="preserve"> for kildekoden til dashbordet.</w:t>
      </w:r>
    </w:p>
    <w:p w14:paraId="5082DBD9" w14:textId="77777777" w:rsidR="003C788D" w:rsidRDefault="00AA7D12">
      <w:pPr>
        <w:pStyle w:val="Compact"/>
        <w:numPr>
          <w:ilvl w:val="0"/>
          <w:numId w:val="24"/>
        </w:numPr>
        <w:spacing w:line="360" w:lineRule="auto"/>
      </w:pPr>
      <w:r>
        <w:rPr>
          <w:rFonts w:eastAsia="Times New Roman" w:cs="Times New Roman"/>
          <w:b/>
          <w:bCs/>
        </w:rPr>
        <w:t>E.</w:t>
      </w:r>
      <w:r>
        <w:rPr>
          <w:rFonts w:eastAsia="Times New Roman" w:cs="Times New Roman"/>
        </w:rPr>
        <w:t xml:space="preserve"> Foreslått rubrikk for </w:t>
      </w:r>
      <w:r>
        <w:rPr>
          <w:rStyle w:val="VerbatimChar"/>
          <w:rFonts w:ascii="Times New Roman" w:eastAsia="Times New Roman" w:hAnsi="Times New Roman" w:cs="Times New Roman"/>
          <w:sz w:val="24"/>
        </w:rPr>
        <w:t>guest_experience</w:t>
      </w:r>
      <w:r>
        <w:rPr>
          <w:rFonts w:eastAsia="Times New Roman" w:cs="Times New Roman"/>
        </w:rPr>
        <w:t xml:space="preserve"> — se egen seksjon nedenfor.</w:t>
      </w:r>
    </w:p>
    <w:p w14:paraId="4738FD7B" w14:textId="77777777" w:rsidR="003C788D" w:rsidRDefault="00AA7D12">
      <w:pPr>
        <w:pStyle w:val="Compact"/>
        <w:numPr>
          <w:ilvl w:val="0"/>
          <w:numId w:val="24"/>
        </w:numPr>
        <w:spacing w:line="360" w:lineRule="auto"/>
      </w:pPr>
      <w:r>
        <w:rPr>
          <w:rFonts w:eastAsia="Times New Roman" w:cs="Times New Roman"/>
          <w:b/>
          <w:bCs/>
        </w:rPr>
        <w:t>F.</w:t>
      </w:r>
      <w:r>
        <w:rPr>
          <w:rFonts w:eastAsia="Times New Roman" w:cs="Times New Roman"/>
        </w:rPr>
        <w:t xml:space="preserve"> Test-set-evalueringsskript — </w:t>
      </w:r>
      <w:r>
        <w:rPr>
          <w:rStyle w:val="VerbatimChar"/>
          <w:rFonts w:ascii="Times New Roman" w:eastAsia="Times New Roman" w:hAnsi="Times New Roman" w:cs="Times New Roman"/>
          <w:sz w:val="24"/>
        </w:rPr>
        <w:t>013 fase 3 - review/eval_test_2025.py</w:t>
      </w:r>
      <w:r>
        <w:rPr>
          <w:rFonts w:eastAsia="Times New Roman" w:cs="Times New Roman"/>
        </w:rPr>
        <w:t xml:space="preserve"> reproduserer tallene i tabell 8.2; resultatene er lagret i </w:t>
      </w:r>
      <w:r>
        <w:rPr>
          <w:rStyle w:val="VerbatimChar"/>
          <w:rFonts w:ascii="Times New Roman" w:eastAsia="Times New Roman" w:hAnsi="Times New Roman" w:cs="Times New Roman"/>
          <w:sz w:val="24"/>
        </w:rPr>
        <w:t>013 fase 3 - review/artifacts/metrics_test_2025.csv</w:t>
      </w:r>
      <w:r>
        <w:rPr>
          <w:rFonts w:eastAsia="Times New Roman" w:cs="Times New Roman"/>
        </w:rPr>
        <w:t>.</w:t>
      </w:r>
    </w:p>
    <w:p w14:paraId="706135DE" w14:textId="77777777" w:rsidR="003C788D" w:rsidRDefault="00AA7D12">
      <w:pPr>
        <w:pStyle w:val="Overskrift3"/>
      </w:pPr>
      <w:bookmarkStart w:id="132" w:name="Xe1f01a8cc6b3208ae7fb51104f9d9c075e3eeb5"/>
      <w:bookmarkStart w:id="133" w:name="_Toc230777824"/>
      <w:r>
        <w:t xml:space="preserve">Vedlegg E. Foreslått rubrikk for </w:t>
      </w:r>
      <w:r>
        <w:rPr>
          <w:rStyle w:val="VerbatimChar"/>
        </w:rPr>
        <w:t>guest_experience</w:t>
      </w:r>
      <w:bookmarkEnd w:id="133"/>
    </w:p>
    <w:p w14:paraId="5C5C6BD9" w14:textId="77777777" w:rsidR="003C788D" w:rsidRDefault="00AA7D12">
      <w:pPr>
        <w:pStyle w:val="FirstParagraph"/>
        <w:spacing w:line="360" w:lineRule="auto"/>
      </w:pPr>
      <w:r>
        <w:rPr>
          <w:rStyle w:val="VerbatimChar"/>
          <w:rFonts w:ascii="Times New Roman" w:eastAsia="Times New Roman" w:hAnsi="Times New Roman" w:cs="Times New Roman"/>
          <w:sz w:val="24"/>
        </w:rPr>
        <w:t>guest_experience</w:t>
      </w:r>
      <w:r>
        <w:rPr>
          <w:rFonts w:eastAsia="Times New Roman" w:cs="Times New Roman"/>
        </w:rPr>
        <w:t xml:space="preserve"> </w:t>
      </w:r>
      <w:r>
        <w:rPr>
          <w:rFonts w:eastAsia="Times New Roman" w:cs="Times New Roman"/>
        </w:rPr>
        <w:t>mangler i kildedataene (jf. § 9.5.4) og kan ikke simuleres. For at fremtidige labels skal være konsistente på tvers av koordinatorer foreslås en operasjonell rubrikk basert på pre-arrival-informasjon — fem dimensjoner som agent</w:t>
      </w:r>
      <w:r>
        <w:rPr>
          <w:rFonts w:eastAsia="Times New Roman" w:cs="Times New Roman"/>
        </w:rPr>
        <w:softHyphen/>
        <w:t>koordinator (eller yachtens purser) kan svare på ved booking:</w:t>
      </w:r>
    </w:p>
    <w:tbl>
      <w:tblPr>
        <w:tblStyle w:val="Table"/>
        <w:tblW w:w="5000" w:type="pct"/>
        <w:tblLayout w:type="fixed"/>
        <w:tblLook w:val="0020" w:firstRow="1" w:lastRow="0" w:firstColumn="0" w:lastColumn="0" w:noHBand="0" w:noVBand="0"/>
      </w:tblPr>
      <w:tblGrid>
        <w:gridCol w:w="2405"/>
        <w:gridCol w:w="2405"/>
        <w:gridCol w:w="2406"/>
        <w:gridCol w:w="2406"/>
      </w:tblGrid>
      <w:tr w:rsidR="003C788D" w14:paraId="02DF474B" w14:textId="77777777" w:rsidTr="003C788D">
        <w:trPr>
          <w:cnfStyle w:val="100000000000" w:firstRow="1" w:lastRow="0" w:firstColumn="0" w:lastColumn="0" w:oddVBand="0" w:evenVBand="0" w:oddHBand="0" w:evenHBand="0" w:firstRowFirstColumn="0" w:firstRowLastColumn="0" w:lastRowFirstColumn="0" w:lastRowLastColumn="0"/>
          <w:tblHeader/>
        </w:trPr>
        <w:tc>
          <w:tcPr>
            <w:tcW w:w="1980" w:type="dxa"/>
          </w:tcPr>
          <w:p w14:paraId="60A25ABE" w14:textId="77777777" w:rsidR="003C788D" w:rsidRDefault="00AA7D12">
            <w:pPr>
              <w:pStyle w:val="Compact"/>
              <w:spacing w:line="360" w:lineRule="auto"/>
            </w:pPr>
            <w:r>
              <w:rPr>
                <w:rFonts w:eastAsia="Times New Roman" w:cs="Times New Roman"/>
              </w:rPr>
              <w:t>Dimensjon</w:t>
            </w:r>
          </w:p>
        </w:tc>
        <w:tc>
          <w:tcPr>
            <w:tcW w:w="1980" w:type="dxa"/>
          </w:tcPr>
          <w:p w14:paraId="4F800EFA" w14:textId="77777777" w:rsidR="003C788D" w:rsidRDefault="00AA7D12">
            <w:pPr>
              <w:pStyle w:val="Compact"/>
              <w:spacing w:line="360" w:lineRule="auto"/>
            </w:pPr>
            <w:r>
              <w:rPr>
                <w:rFonts w:eastAsia="Times New Roman" w:cs="Times New Roman"/>
              </w:rPr>
              <w:t>Skår 0</w:t>
            </w:r>
          </w:p>
        </w:tc>
        <w:tc>
          <w:tcPr>
            <w:tcW w:w="1980" w:type="dxa"/>
          </w:tcPr>
          <w:p w14:paraId="7ECB727F" w14:textId="77777777" w:rsidR="003C788D" w:rsidRDefault="00AA7D12">
            <w:pPr>
              <w:pStyle w:val="Compact"/>
              <w:spacing w:line="360" w:lineRule="auto"/>
            </w:pPr>
            <w:r>
              <w:rPr>
                <w:rFonts w:eastAsia="Times New Roman" w:cs="Times New Roman"/>
              </w:rPr>
              <w:t>Skår 1</w:t>
            </w:r>
          </w:p>
        </w:tc>
        <w:tc>
          <w:tcPr>
            <w:tcW w:w="1980" w:type="dxa"/>
          </w:tcPr>
          <w:p w14:paraId="5DF45EA2" w14:textId="77777777" w:rsidR="003C788D" w:rsidRDefault="00AA7D12">
            <w:pPr>
              <w:pStyle w:val="Compact"/>
              <w:spacing w:line="360" w:lineRule="auto"/>
            </w:pPr>
            <w:r>
              <w:rPr>
                <w:rFonts w:eastAsia="Times New Roman" w:cs="Times New Roman"/>
              </w:rPr>
              <w:t>Skår 2</w:t>
            </w:r>
          </w:p>
        </w:tc>
      </w:tr>
      <w:tr w:rsidR="003C788D" w14:paraId="7CEB76B3" w14:textId="77777777">
        <w:tc>
          <w:tcPr>
            <w:tcW w:w="1980" w:type="dxa"/>
          </w:tcPr>
          <w:p w14:paraId="4ABEC4F0" w14:textId="77777777" w:rsidR="003C788D" w:rsidRDefault="00AA7D12">
            <w:pPr>
              <w:pStyle w:val="Compact"/>
              <w:spacing w:line="360" w:lineRule="auto"/>
            </w:pPr>
            <w:r>
              <w:rPr>
                <w:rFonts w:eastAsia="Times New Roman" w:cs="Times New Roman"/>
              </w:rPr>
              <w:t>Antall gjester ombord</w:t>
            </w:r>
          </w:p>
        </w:tc>
        <w:tc>
          <w:tcPr>
            <w:tcW w:w="1980" w:type="dxa"/>
          </w:tcPr>
          <w:p w14:paraId="139609FA" w14:textId="77777777" w:rsidR="003C788D" w:rsidRDefault="00AA7D12">
            <w:pPr>
              <w:pStyle w:val="Compact"/>
              <w:spacing w:line="360" w:lineRule="auto"/>
            </w:pPr>
            <w:r>
              <w:rPr>
                <w:rFonts w:eastAsia="Times New Roman" w:cs="Times New Roman"/>
              </w:rPr>
              <w:t>&lt; 4</w:t>
            </w:r>
          </w:p>
        </w:tc>
        <w:tc>
          <w:tcPr>
            <w:tcW w:w="1980" w:type="dxa"/>
          </w:tcPr>
          <w:p w14:paraId="7E097DAE" w14:textId="77777777" w:rsidR="003C788D" w:rsidRDefault="00AA7D12">
            <w:pPr>
              <w:pStyle w:val="Compact"/>
              <w:spacing w:line="360" w:lineRule="auto"/>
            </w:pPr>
            <w:r>
              <w:rPr>
                <w:rFonts w:eastAsia="Times New Roman" w:cs="Times New Roman"/>
              </w:rPr>
              <w:t>4–8</w:t>
            </w:r>
          </w:p>
        </w:tc>
        <w:tc>
          <w:tcPr>
            <w:tcW w:w="1980" w:type="dxa"/>
          </w:tcPr>
          <w:p w14:paraId="4D276F73" w14:textId="77777777" w:rsidR="003C788D" w:rsidRDefault="00AA7D12">
            <w:pPr>
              <w:pStyle w:val="Compact"/>
              <w:spacing w:line="360" w:lineRule="auto"/>
            </w:pPr>
            <w:r>
              <w:rPr>
                <w:rFonts w:eastAsia="Times New Roman" w:cs="Times New Roman"/>
              </w:rPr>
              <w:t>&gt; 8</w:t>
            </w:r>
          </w:p>
        </w:tc>
      </w:tr>
      <w:tr w:rsidR="003C788D" w14:paraId="3D7C03FC" w14:textId="77777777">
        <w:tc>
          <w:tcPr>
            <w:tcW w:w="1980" w:type="dxa"/>
          </w:tcPr>
          <w:p w14:paraId="7035AEC1" w14:textId="77777777" w:rsidR="003C788D" w:rsidRDefault="00AA7D12">
            <w:pPr>
              <w:pStyle w:val="Compact"/>
              <w:spacing w:line="360" w:lineRule="auto"/>
            </w:pPr>
            <w:r>
              <w:rPr>
                <w:rFonts w:eastAsia="Times New Roman" w:cs="Times New Roman"/>
              </w:rPr>
              <w:t>Antall planlagte hosted events under turen (galaer, hosted middager, mottakelser)</w:t>
            </w:r>
          </w:p>
        </w:tc>
        <w:tc>
          <w:tcPr>
            <w:tcW w:w="1980" w:type="dxa"/>
          </w:tcPr>
          <w:p w14:paraId="567E1A86" w14:textId="77777777" w:rsidR="003C788D" w:rsidRDefault="00AA7D12">
            <w:pPr>
              <w:pStyle w:val="Compact"/>
              <w:spacing w:line="360" w:lineRule="auto"/>
            </w:pPr>
            <w:r>
              <w:rPr>
                <w:rFonts w:eastAsia="Times New Roman" w:cs="Times New Roman"/>
              </w:rPr>
              <w:t>0</w:t>
            </w:r>
          </w:p>
        </w:tc>
        <w:tc>
          <w:tcPr>
            <w:tcW w:w="1980" w:type="dxa"/>
          </w:tcPr>
          <w:p w14:paraId="3ECC5C9F" w14:textId="77777777" w:rsidR="003C788D" w:rsidRDefault="00AA7D12">
            <w:pPr>
              <w:pStyle w:val="Compact"/>
              <w:spacing w:line="360" w:lineRule="auto"/>
            </w:pPr>
            <w:r>
              <w:rPr>
                <w:rFonts w:eastAsia="Times New Roman" w:cs="Times New Roman"/>
              </w:rPr>
              <w:t>1–2</w:t>
            </w:r>
          </w:p>
        </w:tc>
        <w:tc>
          <w:tcPr>
            <w:tcW w:w="1980" w:type="dxa"/>
          </w:tcPr>
          <w:p w14:paraId="410A26B7" w14:textId="77777777" w:rsidR="003C788D" w:rsidRDefault="00AA7D12">
            <w:pPr>
              <w:pStyle w:val="Compact"/>
              <w:spacing w:line="360" w:lineRule="auto"/>
            </w:pPr>
            <w:r>
              <w:rPr>
                <w:rFonts w:eastAsia="Times New Roman" w:cs="Times New Roman"/>
              </w:rPr>
              <w:t>≥ 3</w:t>
            </w:r>
          </w:p>
        </w:tc>
      </w:tr>
      <w:tr w:rsidR="003C788D" w14:paraId="62CE0350" w14:textId="77777777">
        <w:tc>
          <w:tcPr>
            <w:tcW w:w="1980" w:type="dxa"/>
          </w:tcPr>
          <w:p w14:paraId="59B1BBA7" w14:textId="77777777" w:rsidR="003C788D" w:rsidRDefault="00AA7D12">
            <w:pPr>
              <w:pStyle w:val="Compact"/>
              <w:spacing w:line="360" w:lineRule="auto"/>
            </w:pPr>
            <w:r>
              <w:rPr>
                <w:rFonts w:eastAsia="Times New Roman" w:cs="Times New Roman"/>
              </w:rPr>
              <w:t>Provisjons</w:t>
            </w:r>
            <w:r>
              <w:rPr>
                <w:rFonts w:eastAsia="Times New Roman" w:cs="Times New Roman"/>
              </w:rPr>
              <w:softHyphen/>
              <w:t>stil</w:t>
            </w:r>
          </w:p>
        </w:tc>
        <w:tc>
          <w:tcPr>
            <w:tcW w:w="1980" w:type="dxa"/>
          </w:tcPr>
          <w:p w14:paraId="1278DF18" w14:textId="77777777" w:rsidR="003C788D" w:rsidRDefault="00AA7D12">
            <w:pPr>
              <w:pStyle w:val="Compact"/>
              <w:spacing w:line="360" w:lineRule="auto"/>
            </w:pPr>
            <w:r>
              <w:rPr>
                <w:rFonts w:eastAsia="Times New Roman" w:cs="Times New Roman"/>
              </w:rPr>
              <w:t>Standard</w:t>
            </w:r>
          </w:p>
        </w:tc>
        <w:tc>
          <w:tcPr>
            <w:tcW w:w="1980" w:type="dxa"/>
          </w:tcPr>
          <w:p w14:paraId="42136500" w14:textId="77777777" w:rsidR="003C788D" w:rsidRDefault="00AA7D12">
            <w:pPr>
              <w:pStyle w:val="Compact"/>
              <w:spacing w:line="360" w:lineRule="auto"/>
            </w:pPr>
            <w:r>
              <w:rPr>
                <w:rFonts w:eastAsia="Times New Roman" w:cs="Times New Roman"/>
              </w:rPr>
              <w:t>Premium</w:t>
            </w:r>
          </w:p>
        </w:tc>
        <w:tc>
          <w:tcPr>
            <w:tcW w:w="1980" w:type="dxa"/>
          </w:tcPr>
          <w:p w14:paraId="7D167D33" w14:textId="77777777" w:rsidR="003C788D" w:rsidRDefault="00AA7D12">
            <w:pPr>
              <w:pStyle w:val="Compact"/>
              <w:spacing w:line="360" w:lineRule="auto"/>
            </w:pPr>
            <w:r>
              <w:rPr>
                <w:rFonts w:eastAsia="Times New Roman" w:cs="Times New Roman"/>
              </w:rPr>
              <w:t>Luksus / bespoke</w:t>
            </w:r>
          </w:p>
        </w:tc>
      </w:tr>
      <w:tr w:rsidR="003C788D" w14:paraId="28C7AB22" w14:textId="77777777">
        <w:tc>
          <w:tcPr>
            <w:tcW w:w="1980" w:type="dxa"/>
          </w:tcPr>
          <w:p w14:paraId="14620296" w14:textId="77777777" w:rsidR="003C788D" w:rsidRDefault="00AA7D12">
            <w:pPr>
              <w:pStyle w:val="Compact"/>
              <w:spacing w:line="360" w:lineRule="auto"/>
            </w:pPr>
            <w:r>
              <w:rPr>
                <w:rFonts w:eastAsia="Times New Roman" w:cs="Times New Roman"/>
              </w:rPr>
              <w:t>Antall transfers per uke (lufthavn, by, dagstur)</w:t>
            </w:r>
          </w:p>
        </w:tc>
        <w:tc>
          <w:tcPr>
            <w:tcW w:w="1980" w:type="dxa"/>
          </w:tcPr>
          <w:p w14:paraId="0F09E4E6" w14:textId="77777777" w:rsidR="003C788D" w:rsidRDefault="00AA7D12">
            <w:pPr>
              <w:pStyle w:val="Compact"/>
              <w:spacing w:line="360" w:lineRule="auto"/>
            </w:pPr>
            <w:r>
              <w:rPr>
                <w:rFonts w:eastAsia="Times New Roman" w:cs="Times New Roman"/>
              </w:rPr>
              <w:t>&lt; 3</w:t>
            </w:r>
          </w:p>
        </w:tc>
        <w:tc>
          <w:tcPr>
            <w:tcW w:w="1980" w:type="dxa"/>
          </w:tcPr>
          <w:p w14:paraId="099F0C12" w14:textId="77777777" w:rsidR="003C788D" w:rsidRDefault="00AA7D12">
            <w:pPr>
              <w:pStyle w:val="Compact"/>
              <w:spacing w:line="360" w:lineRule="auto"/>
            </w:pPr>
            <w:r>
              <w:rPr>
                <w:rFonts w:eastAsia="Times New Roman" w:cs="Times New Roman"/>
              </w:rPr>
              <w:t>3–7</w:t>
            </w:r>
          </w:p>
        </w:tc>
        <w:tc>
          <w:tcPr>
            <w:tcW w:w="1980" w:type="dxa"/>
          </w:tcPr>
          <w:p w14:paraId="359ED114" w14:textId="77777777" w:rsidR="003C788D" w:rsidRDefault="00AA7D12">
            <w:pPr>
              <w:pStyle w:val="Compact"/>
              <w:spacing w:line="360" w:lineRule="auto"/>
            </w:pPr>
            <w:r>
              <w:rPr>
                <w:rFonts w:eastAsia="Times New Roman" w:cs="Times New Roman"/>
              </w:rPr>
              <w:t>&gt; 7</w:t>
            </w:r>
          </w:p>
        </w:tc>
      </w:tr>
      <w:tr w:rsidR="003C788D" w14:paraId="055619B0" w14:textId="77777777">
        <w:tc>
          <w:tcPr>
            <w:tcW w:w="1980" w:type="dxa"/>
          </w:tcPr>
          <w:p w14:paraId="0EFCFA0B" w14:textId="77777777" w:rsidR="003C788D" w:rsidRDefault="00AA7D12">
            <w:pPr>
              <w:pStyle w:val="Compact"/>
              <w:spacing w:line="360" w:lineRule="auto"/>
            </w:pPr>
            <w:r>
              <w:rPr>
                <w:rFonts w:eastAsia="Times New Roman" w:cs="Times New Roman"/>
              </w:rPr>
              <w:t>Guide- eller excursion</w:t>
            </w:r>
            <w:r>
              <w:rPr>
                <w:rFonts w:eastAsia="Times New Roman" w:cs="Times New Roman"/>
              </w:rPr>
              <w:softHyphen/>
              <w:t>frekvens</w:t>
            </w:r>
          </w:p>
        </w:tc>
        <w:tc>
          <w:tcPr>
            <w:tcW w:w="1980" w:type="dxa"/>
          </w:tcPr>
          <w:p w14:paraId="1A111E70" w14:textId="77777777" w:rsidR="003C788D" w:rsidRDefault="00AA7D12">
            <w:pPr>
              <w:pStyle w:val="Compact"/>
              <w:spacing w:line="360" w:lineRule="auto"/>
            </w:pPr>
            <w:r>
              <w:rPr>
                <w:rFonts w:eastAsia="Times New Roman" w:cs="Times New Roman"/>
              </w:rPr>
              <w:t>Sjelden</w:t>
            </w:r>
          </w:p>
        </w:tc>
        <w:tc>
          <w:tcPr>
            <w:tcW w:w="1980" w:type="dxa"/>
          </w:tcPr>
          <w:p w14:paraId="1DC96922" w14:textId="77777777" w:rsidR="003C788D" w:rsidRDefault="00AA7D12">
            <w:pPr>
              <w:pStyle w:val="Compact"/>
              <w:spacing w:line="360" w:lineRule="auto"/>
            </w:pPr>
            <w:r>
              <w:rPr>
                <w:rFonts w:eastAsia="Times New Roman" w:cs="Times New Roman"/>
              </w:rPr>
              <w:t>Av og til</w:t>
            </w:r>
          </w:p>
        </w:tc>
        <w:tc>
          <w:tcPr>
            <w:tcW w:w="1980" w:type="dxa"/>
          </w:tcPr>
          <w:p w14:paraId="52D30AE7" w14:textId="77777777" w:rsidR="003C788D" w:rsidRDefault="00AA7D12">
            <w:pPr>
              <w:pStyle w:val="Compact"/>
              <w:spacing w:line="360" w:lineRule="auto"/>
            </w:pPr>
            <w:r>
              <w:rPr>
                <w:rFonts w:eastAsia="Times New Roman" w:cs="Times New Roman"/>
              </w:rPr>
              <w:t>Ofte</w:t>
            </w:r>
          </w:p>
        </w:tc>
      </w:tr>
    </w:tbl>
    <w:p w14:paraId="53241947" w14:textId="77777777" w:rsidR="003C788D" w:rsidRDefault="00AA7D12">
      <w:pPr>
        <w:pStyle w:val="Brdtekst"/>
        <w:spacing w:line="360" w:lineRule="auto"/>
      </w:pPr>
      <w:r>
        <w:rPr>
          <w:rFonts w:eastAsia="Times New Roman" w:cs="Times New Roman"/>
        </w:rPr>
        <w:t>Sum gir et tall mellom 0 og 10. Bucketing til de tre lovlige API-verdiene:</w:t>
      </w:r>
    </w:p>
    <w:p w14:paraId="2AEA964E" w14:textId="77777777" w:rsidR="003C788D" w:rsidRDefault="00AA7D12">
      <w:pPr>
        <w:pStyle w:val="Compact"/>
        <w:numPr>
          <w:ilvl w:val="0"/>
          <w:numId w:val="25"/>
        </w:numPr>
        <w:spacing w:line="360" w:lineRule="auto"/>
      </w:pPr>
      <w:r>
        <w:rPr>
          <w:rFonts w:eastAsia="Times New Roman" w:cs="Times New Roman"/>
          <w:b/>
          <w:bCs/>
        </w:rPr>
        <w:t xml:space="preserve">0–3 → </w:t>
      </w:r>
      <w:r>
        <w:rPr>
          <w:rStyle w:val="VerbatimChar"/>
          <w:rFonts w:ascii="Times New Roman" w:eastAsia="Times New Roman" w:hAnsi="Times New Roman" w:cs="Times New Roman"/>
          <w:b/>
          <w:bCs/>
          <w:sz w:val="24"/>
        </w:rPr>
        <w:t>not_demanding</w:t>
      </w:r>
    </w:p>
    <w:p w14:paraId="0494FC31" w14:textId="77777777" w:rsidR="003C788D" w:rsidRDefault="00AA7D12">
      <w:pPr>
        <w:pStyle w:val="Compact"/>
        <w:numPr>
          <w:ilvl w:val="0"/>
          <w:numId w:val="25"/>
        </w:numPr>
        <w:spacing w:line="360" w:lineRule="auto"/>
      </w:pPr>
      <w:r>
        <w:rPr>
          <w:rFonts w:eastAsia="Times New Roman" w:cs="Times New Roman"/>
          <w:b/>
          <w:bCs/>
        </w:rPr>
        <w:t xml:space="preserve">4–6 → </w:t>
      </w:r>
      <w:r>
        <w:rPr>
          <w:rStyle w:val="VerbatimChar"/>
          <w:rFonts w:ascii="Times New Roman" w:eastAsia="Times New Roman" w:hAnsi="Times New Roman" w:cs="Times New Roman"/>
          <w:b/>
          <w:bCs/>
          <w:sz w:val="24"/>
        </w:rPr>
        <w:t>neutral</w:t>
      </w:r>
    </w:p>
    <w:p w14:paraId="629B8CB6" w14:textId="77777777" w:rsidR="003C788D" w:rsidRDefault="00AA7D12">
      <w:pPr>
        <w:pStyle w:val="Compact"/>
        <w:numPr>
          <w:ilvl w:val="0"/>
          <w:numId w:val="25"/>
        </w:numPr>
        <w:spacing w:line="360" w:lineRule="auto"/>
      </w:pPr>
      <w:r>
        <w:rPr>
          <w:rFonts w:eastAsia="Times New Roman" w:cs="Times New Roman"/>
          <w:b/>
          <w:bCs/>
        </w:rPr>
        <w:t xml:space="preserve">7–10 → </w:t>
      </w:r>
      <w:r>
        <w:rPr>
          <w:rStyle w:val="VerbatimChar"/>
          <w:rFonts w:ascii="Times New Roman" w:eastAsia="Times New Roman" w:hAnsi="Times New Roman" w:cs="Times New Roman"/>
          <w:b/>
          <w:bCs/>
          <w:sz w:val="24"/>
        </w:rPr>
        <w:t>demanding</w:t>
      </w:r>
    </w:p>
    <w:p w14:paraId="047202B4" w14:textId="77777777" w:rsidR="003C788D" w:rsidRDefault="00AA7D12">
      <w:pPr>
        <w:pStyle w:val="FirstParagraph"/>
        <w:spacing w:line="360" w:lineRule="auto"/>
      </w:pPr>
      <w:r>
        <w:rPr>
          <w:rFonts w:eastAsia="Times New Roman" w:cs="Times New Roman"/>
          <w:b/>
          <w:bCs/>
        </w:rPr>
        <w:t>Viktig:</w:t>
      </w:r>
      <w:r>
        <w:rPr>
          <w:rFonts w:eastAsia="Times New Roman" w:cs="Times New Roman"/>
        </w:rPr>
        <w:t xml:space="preserve"> Dette er et </w:t>
      </w:r>
      <w:r>
        <w:rPr>
          <w:rFonts w:eastAsia="Times New Roman" w:cs="Times New Roman"/>
          <w:b/>
          <w:bCs/>
        </w:rPr>
        <w:t>forslag til startpunkt</w:t>
      </w:r>
      <w:r>
        <w:rPr>
          <w:rFonts w:eastAsia="Times New Roman" w:cs="Times New Roman"/>
        </w:rPr>
        <w:t xml:space="preserve">, ikke en validert rubrikk. Den må forfattes og signeres av SDK Shipping selv før den tas i bruk operasjonelt. Dimensjonene og terskelverdiene over er valgt for å være observerbare </w:t>
      </w:r>
      <w:r>
        <w:rPr>
          <w:rFonts w:eastAsia="Times New Roman" w:cs="Times New Roman"/>
          <w:i/>
          <w:iCs/>
        </w:rPr>
        <w:t>før</w:t>
      </w:r>
      <w:r>
        <w:rPr>
          <w:rFonts w:eastAsia="Times New Roman" w:cs="Times New Roman"/>
        </w:rPr>
        <w:t xml:space="preserve"> anløpet (slik at label kan settes før kostnadene er realisert), og for å være rimelig orto</w:t>
      </w:r>
      <w:r>
        <w:rPr>
          <w:rFonts w:eastAsia="Times New Roman" w:cs="Times New Roman"/>
        </w:rPr>
        <w:softHyphen/>
        <w:t>gonale (ingen dimensjon er en triviell funksjon av en annen). Anvendt på 1 626 historiske rader vil rubrikken kunne label</w:t>
      </w:r>
      <w:r>
        <w:rPr>
          <w:rFonts w:eastAsia="Times New Roman" w:cs="Times New Roman"/>
        </w:rPr>
        <w:softHyphen/>
        <w:t>e tilbake i tid bare delvis, fordi nodene over ikke er logget — men kombinasjon av faktura</w:t>
      </w:r>
      <w:r>
        <w:rPr>
          <w:rFonts w:eastAsia="Times New Roman" w:cs="Times New Roman"/>
        </w:rPr>
        <w:softHyphen/>
        <w:t>notater (</w:t>
      </w:r>
      <w:r>
        <w:rPr>
          <w:rStyle w:val="VerbatimChar"/>
          <w:rFonts w:ascii="Times New Roman" w:eastAsia="Times New Roman" w:hAnsi="Times New Roman" w:cs="Times New Roman"/>
          <w:sz w:val="24"/>
        </w:rPr>
        <w:t>invoice_commen</w:t>
      </w:r>
      <w:r>
        <w:rPr>
          <w:rStyle w:val="VerbatimChar"/>
          <w:rFonts w:ascii="Times New Roman" w:eastAsia="Times New Roman" w:hAnsi="Times New Roman" w:cs="Times New Roman"/>
          <w:sz w:val="24"/>
        </w:rPr>
        <w:t>ts</w:t>
      </w:r>
      <w:r>
        <w:rPr>
          <w:rFonts w:eastAsia="Times New Roman" w:cs="Times New Roman"/>
        </w:rPr>
        <w:t>) og koordinatorenes minne kan gi en startsetting for re-trening (jf. § 10 punkt 7).</w:t>
      </w:r>
    </w:p>
    <w:p w14:paraId="24DE6C0A" w14:textId="77777777" w:rsidR="003C788D" w:rsidRDefault="00AA7D12">
      <w:pPr>
        <w:pStyle w:val="Brdtekst"/>
        <w:spacing w:line="360" w:lineRule="auto"/>
      </w:pPr>
      <w:r>
        <w:rPr>
          <w:rFonts w:eastAsia="Times New Roman" w:cs="Times New Roman"/>
        </w:rPr>
        <w:t>Uten en operasjonelt validert rubrikk vil framtidige labels variere mellom koordinatorer og introdusere systematisk støy som modellen vil tolke som tilfeldig variasjon. Rubrikken er derfor et forutsetnings</w:t>
      </w:r>
      <w:r>
        <w:rPr>
          <w:rFonts w:eastAsia="Times New Roman" w:cs="Times New Roman"/>
        </w:rPr>
        <w:softHyphen/>
        <w:t>dokument for re-trening, ikke en ettertanke.</w:t>
      </w:r>
      <w:bookmarkEnd w:id="0"/>
      <w:bookmarkEnd w:id="130"/>
      <w:bookmarkEnd w:id="132"/>
    </w:p>
    <w:sectPr w:rsidR="003C788D">
      <w:footnotePr>
        <w:numRestart w:val="eachSect"/>
      </w:footnotePr>
      <w:pgSz w:w="12240" w:h="15840"/>
      <w:pgMar w:top="1417" w:right="1417" w:bottom="1417" w:left="1417" w:header="708" w:footer="708" w:gutter="0"/>
      <w:cols w:space="708"/>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9F364AE6"/>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8162EF06"/>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00A993"/>
    <w:multiLevelType w:val="multilevel"/>
    <w:tmpl w:val="6428BAB6"/>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3" w15:restartNumberingAfterBreak="0">
    <w:nsid w:val="00A99411"/>
    <w:multiLevelType w:val="multilevel"/>
    <w:tmpl w:val="0B341278"/>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814182550">
    <w:abstractNumId w:val="0"/>
  </w:num>
  <w:num w:numId="2" w16cid:durableId="29653250">
    <w:abstractNumId w:val="2"/>
  </w:num>
  <w:num w:numId="3" w16cid:durableId="2081319726">
    <w:abstractNumId w:val="2"/>
  </w:num>
  <w:num w:numId="4" w16cid:durableId="969092838">
    <w:abstractNumId w:val="2"/>
  </w:num>
  <w:num w:numId="5" w16cid:durableId="950817321">
    <w:abstractNumId w:val="2"/>
  </w:num>
  <w:num w:numId="6" w16cid:durableId="2144811030">
    <w:abstractNumId w:val="2"/>
  </w:num>
  <w:num w:numId="7" w16cid:durableId="258803583">
    <w:abstractNumId w:val="2"/>
  </w:num>
  <w:num w:numId="8" w16cid:durableId="975377007">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241864868">
    <w:abstractNumId w:val="1"/>
  </w:num>
  <w:num w:numId="10" w16cid:durableId="1094009838">
    <w:abstractNumId w:val="1"/>
  </w:num>
  <w:num w:numId="11" w16cid:durableId="1995520679">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429278601">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2118212642">
    <w:abstractNumId w:val="1"/>
  </w:num>
  <w:num w:numId="14" w16cid:durableId="211867796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199442590">
    <w:abstractNumId w:val="1"/>
  </w:num>
  <w:num w:numId="16" w16cid:durableId="2108114382">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353505377">
    <w:abstractNumId w:val="1"/>
  </w:num>
  <w:num w:numId="18" w16cid:durableId="244656477">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696590367">
    <w:abstractNumId w:val="1"/>
  </w:num>
  <w:num w:numId="20" w16cid:durableId="204062143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1714034315">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776487533">
    <w:abstractNumId w:val="1"/>
  </w:num>
  <w:num w:numId="23" w16cid:durableId="144247607">
    <w:abstractNumId w:val="1"/>
  </w:num>
  <w:num w:numId="24" w16cid:durableId="1578051657">
    <w:abstractNumId w:val="1"/>
  </w:num>
  <w:num w:numId="25" w16cid:durableId="171314291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3C788D"/>
    <w:rsid w:val="003C788D"/>
    <w:rsid w:val="003E755D"/>
    <w:rsid w:val="00563EF2"/>
    <w:rsid w:val="00AA7D1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E9D75D"/>
  <w15:docId w15:val="{D5B171E1-85A9-47F4-9D8E-B96BA025BA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toc 2" w:uiPriority="39"/>
    <w:lsdException w:name="toc 3"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rFonts w:ascii="Times New Roman" w:hAnsi="Times New Roman"/>
    </w:rPr>
  </w:style>
  <w:style w:type="paragraph" w:styleId="Overskrift1">
    <w:name w:val="heading 1"/>
    <w:basedOn w:val="Normal"/>
    <w:next w:val="Brdtekst"/>
    <w:link w:val="Overskrift1Tegn"/>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Overskrift2">
    <w:name w:val="heading 2"/>
    <w:basedOn w:val="Normal"/>
    <w:next w:val="Brdtekst"/>
    <w:link w:val="Overskrift2Tegn"/>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Overskrift3">
    <w:name w:val="heading 3"/>
    <w:basedOn w:val="Normal"/>
    <w:next w:val="Brdtekst"/>
    <w:link w:val="Overskrift3Tegn"/>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Overskrift4">
    <w:name w:val="heading 4"/>
    <w:basedOn w:val="Normal"/>
    <w:next w:val="Brdtekst"/>
    <w:link w:val="Overskrift4Tegn"/>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Overskrift5">
    <w:name w:val="heading 5"/>
    <w:basedOn w:val="Normal"/>
    <w:next w:val="Brdtekst"/>
    <w:link w:val="Overskrift5Tegn"/>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Overskrift6">
    <w:name w:val="heading 6"/>
    <w:basedOn w:val="Normal"/>
    <w:next w:val="Brdtekst"/>
    <w:link w:val="Overskrift6Tegn"/>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Overskrift7">
    <w:name w:val="heading 7"/>
    <w:basedOn w:val="Normal"/>
    <w:next w:val="Brdtekst"/>
    <w:link w:val="Overskrift7Tegn"/>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Overskrift8">
    <w:name w:val="heading 8"/>
    <w:basedOn w:val="Normal"/>
    <w:next w:val="Brdtekst"/>
    <w:link w:val="Overskrift8Tegn"/>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Overskrift9">
    <w:name w:val="heading 9"/>
    <w:basedOn w:val="Normal"/>
    <w:next w:val="Brdtekst"/>
    <w:link w:val="Overskrift9Tegn"/>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Standardskriftforavsnitt">
    <w:name w:val="Default Paragraph Font"/>
    <w:uiPriority w:val="1"/>
    <w:semiHidden/>
    <w:unhideWhenUsed/>
  </w:style>
  <w:style w:type="table" w:default="1" w:styleId="Vanligtabell">
    <w:name w:val="Normal Table"/>
    <w:uiPriority w:val="99"/>
    <w:semiHidden/>
    <w:unhideWhenUsed/>
    <w:tblPr>
      <w:tblInd w:w="0" w:type="dxa"/>
      <w:tblCellMar>
        <w:top w:w="0" w:type="dxa"/>
        <w:left w:w="108" w:type="dxa"/>
        <w:bottom w:w="0" w:type="dxa"/>
        <w:right w:w="108" w:type="dxa"/>
      </w:tblCellMar>
    </w:tblPr>
  </w:style>
  <w:style w:type="numbering" w:default="1" w:styleId="Ingenliste">
    <w:name w:val="No List"/>
    <w:uiPriority w:val="99"/>
    <w:semiHidden/>
    <w:unhideWhenUsed/>
  </w:style>
  <w:style w:type="paragraph" w:styleId="Brdtekst">
    <w:name w:val="Body Text"/>
    <w:basedOn w:val="Normal"/>
    <w:qFormat/>
    <w:pPr>
      <w:spacing w:before="180" w:after="180"/>
    </w:pPr>
  </w:style>
  <w:style w:type="paragraph" w:customStyle="1" w:styleId="FirstParagraph">
    <w:name w:val="First Paragraph"/>
    <w:basedOn w:val="Brdtekst"/>
    <w:next w:val="Brdtekst"/>
    <w:qFormat/>
  </w:style>
  <w:style w:type="paragraph" w:customStyle="1" w:styleId="Compact">
    <w:name w:val="Compact"/>
    <w:basedOn w:val="Brdtekst"/>
    <w:qFormat/>
    <w:pPr>
      <w:spacing w:before="36" w:after="36"/>
    </w:pPr>
  </w:style>
  <w:style w:type="paragraph" w:styleId="Tittel">
    <w:name w:val="Title"/>
    <w:basedOn w:val="Normal"/>
    <w:next w:val="Brdtekst"/>
    <w:link w:val="TittelTegn"/>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telTegn">
    <w:name w:val="Tittel Tegn"/>
    <w:basedOn w:val="Standardskriftforavsnitt"/>
    <w:link w:val="Tittel"/>
    <w:uiPriority w:val="10"/>
    <w:rsid w:val="00A10FD9"/>
    <w:rPr>
      <w:rFonts w:asciiTheme="majorHAnsi" w:eastAsiaTheme="majorEastAsia" w:hAnsiTheme="majorHAnsi" w:cstheme="majorBidi"/>
      <w:sz w:val="56"/>
      <w:szCs w:val="56"/>
    </w:rPr>
  </w:style>
  <w:style w:type="paragraph" w:styleId="Undertittel">
    <w:name w:val="Subtitle"/>
    <w:basedOn w:val="Tittel"/>
    <w:next w:val="Brdtekst"/>
    <w:link w:val="UndertittelTegn"/>
    <w:uiPriority w:val="11"/>
    <w:qFormat/>
    <w:rsid w:val="00A10FD9"/>
    <w:pPr>
      <w:numPr>
        <w:ilvl w:val="1"/>
      </w:numPr>
    </w:pPr>
    <w:rPr>
      <w:spacing w:val="15"/>
      <w:sz w:val="28"/>
      <w:szCs w:val="28"/>
    </w:rPr>
  </w:style>
  <w:style w:type="character" w:customStyle="1" w:styleId="UndertittelTegn">
    <w:name w:val="Undertittel Tegn"/>
    <w:basedOn w:val="Standardskriftforavsnitt"/>
    <w:link w:val="Undertittel"/>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tel"/>
    <w:next w:val="Brdtekst"/>
    <w:qFormat/>
    <w:pPr>
      <w:keepNext/>
      <w:keepLines/>
    </w:pPr>
    <w:rPr>
      <w:sz w:val="24"/>
      <w:szCs w:val="24"/>
    </w:rPr>
  </w:style>
  <w:style w:type="paragraph" w:styleId="Dato">
    <w:name w:val="Date"/>
    <w:basedOn w:val="Tittel"/>
    <w:next w:val="Brdteks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rdtekst"/>
    <w:qFormat/>
    <w:pPr>
      <w:keepNext/>
      <w:keepLines/>
      <w:spacing w:before="100" w:after="300"/>
    </w:pPr>
    <w:rPr>
      <w:sz w:val="20"/>
      <w:szCs w:val="20"/>
    </w:rPr>
  </w:style>
  <w:style w:type="paragraph" w:styleId="Bibliografi">
    <w:name w:val="Bibliography"/>
    <w:basedOn w:val="Normal"/>
    <w:qFormat/>
  </w:style>
  <w:style w:type="character" w:customStyle="1" w:styleId="Overskrift1Tegn">
    <w:name w:val="Overskrift 1 Tegn"/>
    <w:basedOn w:val="Standardskriftforavsnitt"/>
    <w:link w:val="Overskrift1"/>
    <w:uiPriority w:val="9"/>
    <w:rsid w:val="00A10FD9"/>
    <w:rPr>
      <w:rFonts w:asciiTheme="majorHAnsi" w:eastAsiaTheme="majorEastAsia" w:hAnsiTheme="majorHAnsi" w:cstheme="majorBidi"/>
      <w:color w:val="0F4761" w:themeColor="accent1" w:themeShade="BF"/>
      <w:sz w:val="40"/>
      <w:szCs w:val="40"/>
    </w:rPr>
  </w:style>
  <w:style w:type="character" w:customStyle="1" w:styleId="Overskrift2Tegn">
    <w:name w:val="Overskrift 2 Tegn"/>
    <w:basedOn w:val="Standardskriftforavsnitt"/>
    <w:link w:val="Overskrift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Overskrift3Tegn">
    <w:name w:val="Overskrift 3 Tegn"/>
    <w:basedOn w:val="Standardskriftforavsnitt"/>
    <w:link w:val="Overskrift3"/>
    <w:uiPriority w:val="9"/>
    <w:semiHidden/>
    <w:rsid w:val="00A10FD9"/>
    <w:rPr>
      <w:rFonts w:eastAsiaTheme="majorEastAsia" w:cstheme="majorBidi"/>
      <w:color w:val="0F4761" w:themeColor="accent1" w:themeShade="BF"/>
      <w:sz w:val="28"/>
      <w:szCs w:val="28"/>
    </w:rPr>
  </w:style>
  <w:style w:type="character" w:customStyle="1" w:styleId="Overskrift4Tegn">
    <w:name w:val="Overskrift 4 Tegn"/>
    <w:basedOn w:val="Standardskriftforavsnitt"/>
    <w:link w:val="Overskrift4"/>
    <w:uiPriority w:val="9"/>
    <w:semiHidden/>
    <w:rsid w:val="00A10FD9"/>
    <w:rPr>
      <w:rFonts w:eastAsiaTheme="majorEastAsia" w:cstheme="majorBidi"/>
      <w:i/>
      <w:iCs/>
      <w:color w:val="0F4761" w:themeColor="accent1" w:themeShade="BF"/>
    </w:rPr>
  </w:style>
  <w:style w:type="character" w:customStyle="1" w:styleId="Overskrift5Tegn">
    <w:name w:val="Overskrift 5 Tegn"/>
    <w:basedOn w:val="Standardskriftforavsnitt"/>
    <w:link w:val="Overskrift5"/>
    <w:uiPriority w:val="9"/>
    <w:semiHidden/>
    <w:rsid w:val="00A10FD9"/>
    <w:rPr>
      <w:rFonts w:eastAsiaTheme="majorEastAsia" w:cstheme="majorBidi"/>
      <w:color w:val="0F4761" w:themeColor="accent1" w:themeShade="BF"/>
    </w:rPr>
  </w:style>
  <w:style w:type="character" w:customStyle="1" w:styleId="Overskrift6Tegn">
    <w:name w:val="Overskrift 6 Tegn"/>
    <w:basedOn w:val="Standardskriftforavsnitt"/>
    <w:link w:val="Overskrift6"/>
    <w:uiPriority w:val="9"/>
    <w:semiHidden/>
    <w:rsid w:val="00A10FD9"/>
    <w:rPr>
      <w:rFonts w:eastAsiaTheme="majorEastAsia" w:cstheme="majorBidi"/>
      <w:i/>
      <w:iCs/>
      <w:color w:val="595959" w:themeColor="text1" w:themeTint="A6"/>
    </w:rPr>
  </w:style>
  <w:style w:type="character" w:customStyle="1" w:styleId="Overskrift7Tegn">
    <w:name w:val="Overskrift 7 Tegn"/>
    <w:basedOn w:val="Standardskriftforavsnitt"/>
    <w:link w:val="Overskrift7"/>
    <w:uiPriority w:val="9"/>
    <w:semiHidden/>
    <w:rsid w:val="00A10FD9"/>
    <w:rPr>
      <w:rFonts w:eastAsiaTheme="majorEastAsia" w:cstheme="majorBidi"/>
      <w:color w:val="595959" w:themeColor="text1" w:themeTint="A6"/>
    </w:rPr>
  </w:style>
  <w:style w:type="character" w:customStyle="1" w:styleId="Overskrift8Tegn">
    <w:name w:val="Overskrift 8 Tegn"/>
    <w:basedOn w:val="Standardskriftforavsnitt"/>
    <w:link w:val="Overskrift8"/>
    <w:uiPriority w:val="9"/>
    <w:semiHidden/>
    <w:rsid w:val="00A10FD9"/>
    <w:rPr>
      <w:rFonts w:eastAsiaTheme="majorEastAsia" w:cstheme="majorBidi"/>
      <w:i/>
      <w:iCs/>
      <w:color w:val="272727" w:themeColor="text1" w:themeTint="D8"/>
    </w:rPr>
  </w:style>
  <w:style w:type="character" w:customStyle="1" w:styleId="Overskrift9Tegn">
    <w:name w:val="Overskrift 9 Tegn"/>
    <w:basedOn w:val="Standardskriftforavsnitt"/>
    <w:link w:val="Overskrift9"/>
    <w:uiPriority w:val="9"/>
    <w:semiHidden/>
    <w:rsid w:val="00A10FD9"/>
    <w:rPr>
      <w:rFonts w:eastAsiaTheme="majorEastAsia" w:cstheme="majorBidi"/>
      <w:color w:val="272727" w:themeColor="text1" w:themeTint="D8"/>
    </w:rPr>
  </w:style>
  <w:style w:type="paragraph" w:styleId="Blokktekst">
    <w:name w:val="Block Text"/>
    <w:basedOn w:val="Brdtekst"/>
    <w:next w:val="Brdtekst"/>
    <w:uiPriority w:val="9"/>
    <w:unhideWhenUsed/>
    <w:qFormat/>
    <w:pPr>
      <w:spacing w:before="100" w:after="100"/>
      <w:ind w:left="480" w:right="480"/>
    </w:pPr>
  </w:style>
  <w:style w:type="paragraph" w:styleId="Fotnotetekst">
    <w:name w:val="footnote text"/>
    <w:basedOn w:val="Normal"/>
    <w:uiPriority w:val="9"/>
    <w:unhideWhenUsed/>
    <w:qFormat/>
  </w:style>
  <w:style w:type="paragraph" w:customStyle="1" w:styleId="FootnoteBlockText">
    <w:name w:val="Footnote Block Text"/>
    <w:basedOn w:val="Fotnotetekst"/>
    <w:next w:val="Fotnoteteks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Bildetekst">
    <w:name w:val="caption"/>
    <w:basedOn w:val="Normal"/>
    <w:link w:val="BildetekstTegn"/>
    <w:pPr>
      <w:spacing w:after="120"/>
    </w:pPr>
    <w:rPr>
      <w:i/>
    </w:rPr>
  </w:style>
  <w:style w:type="paragraph" w:customStyle="1" w:styleId="TableCaption">
    <w:name w:val="Table Caption"/>
    <w:basedOn w:val="Bildetekst"/>
    <w:pPr>
      <w:keepNext/>
    </w:pPr>
  </w:style>
  <w:style w:type="paragraph" w:customStyle="1" w:styleId="ImageCaption">
    <w:name w:val="Image Caption"/>
    <w:basedOn w:val="Bildetekst"/>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ildetekstTegn">
    <w:name w:val="Bildetekst Tegn"/>
    <w:basedOn w:val="Standardskriftforavsnitt"/>
    <w:link w:val="Bildetekst"/>
  </w:style>
  <w:style w:type="character" w:customStyle="1" w:styleId="VerbatimChar">
    <w:name w:val="Verbatim Char"/>
    <w:basedOn w:val="BildetekstTegn"/>
    <w:link w:val="SourceCode"/>
    <w:rPr>
      <w:rFonts w:ascii="Consolas" w:hAnsi="Consolas"/>
      <w:sz w:val="22"/>
    </w:rPr>
  </w:style>
  <w:style w:type="character" w:customStyle="1" w:styleId="SectionNumber">
    <w:name w:val="Section Number"/>
    <w:basedOn w:val="BildetekstTegn"/>
  </w:style>
  <w:style w:type="character" w:styleId="Fotnotereferanse">
    <w:name w:val="footnote reference"/>
    <w:basedOn w:val="BildetekstTegn"/>
    <w:rPr>
      <w:vertAlign w:val="superscript"/>
    </w:rPr>
  </w:style>
  <w:style w:type="character" w:styleId="Hyperkobling">
    <w:name w:val="Hyperlink"/>
    <w:basedOn w:val="BildetekstTegn"/>
    <w:uiPriority w:val="99"/>
    <w:rPr>
      <w:color w:val="156082" w:themeColor="accent1"/>
    </w:rPr>
  </w:style>
  <w:style w:type="paragraph" w:styleId="Overskriftforinnholdsfortegnelse">
    <w:name w:val="TOC Heading"/>
    <w:basedOn w:val="Overskrift1"/>
    <w:next w:val="Brdteks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INNH2">
    <w:name w:val="toc 2"/>
    <w:basedOn w:val="Normal"/>
    <w:next w:val="Normal"/>
    <w:autoRedefine/>
    <w:uiPriority w:val="39"/>
    <w:rsid w:val="003E755D"/>
    <w:pPr>
      <w:spacing w:after="100"/>
      <w:ind w:left="240"/>
    </w:pPr>
  </w:style>
  <w:style w:type="paragraph" w:styleId="INNH3">
    <w:name w:val="toc 3"/>
    <w:basedOn w:val="Normal"/>
    <w:next w:val="Normal"/>
    <w:autoRedefine/>
    <w:uiPriority w:val="39"/>
    <w:rsid w:val="003E755D"/>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theme" Target="theme/theme1.xm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6</TotalTime>
  <Pages>1</Pages>
  <Words>14724</Words>
  <Characters>78039</Characters>
  <Application>Microsoft Office Word</Application>
  <DocSecurity>0</DocSecurity>
  <Lines>650</Lines>
  <Paragraphs>185</Paragraphs>
  <ScaleCrop>false</ScaleCrop>
  <Company/>
  <LinksUpToDate>false</LinksUpToDate>
  <CharactersWithSpaces>92578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Jørgen Rene</cp:lastModifiedBy>
  <cp:revision>2</cp:revision>
  <dcterms:created xsi:type="dcterms:W3CDTF">2026-05-27T10:34:00Z</dcterms:created>
  <dcterms:modified xsi:type="dcterms:W3CDTF">2026-05-27T10:34:00Z</dcterms:modified>
</cp:coreProperties>
</file>