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Forsvarsforberedelse — NautiCost muntlig eksamen</w:t>
      </w:r>
    </w:p>
    <w:p>
      <w:pPr>
        <w:pStyle w:val="Subtitle"/>
      </w:pPr>
      <w:r>
        <w:t xml:space="preserve">LOG650 Forskningsprosjekt, juni 2026 — Gruppe 11, Jørgen Renè</w:t>
      </w:r>
    </w:p>
    <w:p>
      <w:pPr>
        <w:pStyle w:val="Author"/>
      </w:pPr>
      <w:r>
        <w:t xml:space="preserve">Forberedelse til muntlig eksamen</w:t>
      </w:r>
    </w:p>
    <w:p>
      <w:pPr>
        <w:pStyle w:val="Date"/>
      </w:pPr>
      <w:r>
        <w:t xml:space="preserve">2026-05-13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81612582703520c50a8531e87b4d6506ee28945"/>
    <w:p>
      <w:pPr>
        <w:pStyle w:val="Heading1"/>
      </w:pPr>
      <w:r>
        <w:t xml:space="preserve">Forsvarsforberedelse — NautiCost muntlig eksamen</w:t>
      </w:r>
    </w:p>
    <w:p>
      <w:pPr>
        <w:pStyle w:val="FirstParagraph"/>
      </w:pPr>
      <w:r>
        <w:rPr>
          <w:b/>
          <w:bCs/>
        </w:rPr>
        <w:t xml:space="preserve">Formål:</w:t>
      </w:r>
      <w:r>
        <w:t xml:space="preserve"> </w:t>
      </w:r>
      <w:r>
        <w:t xml:space="preserve">Forberede konsise, dekkende svar på de mest sannsynlige sensor-spørsmålene basert på rapportens svakheter, peer review og kompendiet. Hvert spørsmål har stikkord-svar (30–60 sekunder muntlig), en lengre faglig begrunnelse, og referanse til rapportseksjonen der dette er dokumentert.</w:t>
      </w:r>
    </w:p>
    <w:p>
      <w:r>
        <w:pict>
          <v:rect style="width:0;height:1.5pt" o:hralign="center" o:hrstd="t" o:hr="t"/>
        </w:pict>
      </w:r>
    </w:p>
    <w:bookmarkStart w:id="12" w:name="datagrunnlag-og-generaliserbarhet"/>
    <w:p>
      <w:pPr>
        <w:pStyle w:val="Heading2"/>
      </w:pPr>
      <w:r>
        <w:t xml:space="preserve">1. Datagrunnlag og generaliserbarhet</w:t>
      </w:r>
    </w:p>
    <w:bookmarkStart w:id="9" w:name="X212b8a7d3501290e823c277e5470c32daac3545"/>
    <w:p>
      <w:pPr>
        <w:pStyle w:val="Heading3"/>
      </w:pPr>
      <w:r>
        <w:t xml:space="preserve">Spørsmål 1.1 —</w:t>
      </w:r>
      <w:r>
        <w:t xml:space="preserve"> </w:t>
      </w:r>
      <w:r>
        <w:t xml:space="preserve">“Hvor representativ er en flåte på 17 yachter?”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Begrenset, og det er prosjektets viktigste enkeltsvakhet. Modellen kan ha lært yacht-spesifikke mønstre fremfor generaliserbare prinsipper. Vi har gjort tre ting for å håndtere dette: (a) eksplisitt avgrensning i § 1.3, (b) tids</w:t>
      </w:r>
      <w:r>
        <w:softHyphen/>
      </w:r>
      <w:r>
        <w:t xml:space="preserve">basert split som speiler reell prognose</w:t>
      </w:r>
      <w:r>
        <w:softHyphen/>
      </w:r>
      <w:r>
        <w:t xml:space="preserve">bruk, og (c) hybrid persentil-kalibrering som forankrer estimatene i empirisk virkelighet. Videre arbeid punkt 1 er å utvide flåten.</w:t>
      </w:r>
    </w:p>
    <w:p>
      <w:pPr>
        <w:pStyle w:val="BodyText"/>
      </w:pPr>
      <w:r>
        <w:rPr>
          <w:b/>
          <w:bCs/>
        </w:rPr>
        <w:t xml:space="preserve">Faglig begrunnelse:</w:t>
      </w:r>
      <w:r>
        <w:t xml:space="preserve"> </w:t>
      </w:r>
      <w:r>
        <w:t xml:space="preserve">Med n = 17 enheter har vi et rad-til-yacht-forhold på ca. 96 transaksjoner per yacht. Det er nok til å lære moderate kostnads</w:t>
      </w:r>
      <w:r>
        <w:softHyphen/>
      </w:r>
      <w:r>
        <w:t xml:space="preserve">drivere, men ikke til å validere at en 18. yacht — særlig med ny motor</w:t>
      </w:r>
      <w:r>
        <w:softHyphen/>
      </w:r>
      <w:r>
        <w:t xml:space="preserve">konfigurasjon eller bruks</w:t>
      </w:r>
      <w:r>
        <w:softHyphen/>
      </w:r>
      <w:r>
        <w:t xml:space="preserve">mønster — vil bli predikert nøyaktig. Ekstern validitet til andre yachter er den primære åpne kanten (§ 9.6).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1.3 avgrensninger, § 9.4 punkt 1, § 9.6 ekstern validitet, § 9.7.1 data</w:t>
      </w:r>
      <w:r>
        <w:softHyphen/>
      </w:r>
      <w:r>
        <w:t xml:space="preserve">utfordringer.</w:t>
      </w:r>
    </w:p>
    <w:bookmarkEnd w:id="9"/>
    <w:bookmarkStart w:id="10" w:name="X4ea1ca86ee06cf0b32886c2a23962ed7551caf3"/>
    <w:p>
      <w:pPr>
        <w:pStyle w:val="Heading3"/>
      </w:pPr>
      <w:r>
        <w:t xml:space="preserve">Spørsmål 1.2 —</w:t>
      </w:r>
      <w:r>
        <w:t xml:space="preserve"> </w:t>
      </w:r>
      <w:r>
        <w:t xml:space="preserve">“Hvorfor er datasettet i EUR når brukerne er i Norge?”</w:t>
      </w:r>
    </w:p>
    <w:p>
      <w:pPr>
        <w:pStyle w:val="FirstParagraph"/>
      </w:pPr>
      <w:r>
        <w:rPr>
          <w:b/>
          <w:bCs/>
        </w:rPr>
        <w:t xml:space="preserve">Stikkord-svar (30 sek):</w:t>
      </w:r>
      <w:r>
        <w:t xml:space="preserve"> </w:t>
      </w:r>
      <w:r>
        <w:t xml:space="preserve">Yachting Operations registrerer fakturaer i EUR — cockpit-rapportenes egne kolonneoverskrifter sier</w:t>
      </w:r>
      <w:r>
        <w:t xml:space="preserve"> </w:t>
      </w:r>
      <w:r>
        <w:t xml:space="preserve">“EUR”</w:t>
      </w:r>
      <w:r>
        <w:t xml:space="preserve">. Vi trener modellen i kildevaluta for å unngå dobbel valuta</w:t>
      </w:r>
      <w:r>
        <w:softHyphen/>
      </w:r>
      <w:r>
        <w:t xml:space="preserve">konvertering, og lar frontend gange opp med kurs ved API-grensa. En tidligere v0.2-feil hadde merket output NOK, noe brukertesten avdekket og v0.3 fikset.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1.3 valuta, § 9.5.1 enhetsfeil, § 9.4 punkt 6.</w:t>
      </w:r>
    </w:p>
    <w:bookmarkEnd w:id="10"/>
    <w:bookmarkStart w:id="11" w:name="X21fc17fbd7d7bf23e8b40e75034789ccb19db83"/>
    <w:p>
      <w:pPr>
        <w:pStyle w:val="Heading3"/>
      </w:pPr>
      <w:r>
        <w:t xml:space="preserve">Spørsmål 1.3 —</w:t>
      </w:r>
      <w:r>
        <w:t xml:space="preserve"> </w:t>
      </w:r>
      <w:r>
        <w:t xml:space="preserve">“Hva hvis en yacht har vesentlig andre spesifikasjoner enn de 17?”</w:t>
      </w:r>
    </w:p>
    <w:p>
      <w:pPr>
        <w:pStyle w:val="FirstParagraph"/>
      </w:pPr>
      <w:r>
        <w:rPr>
          <w:b/>
          <w:bCs/>
        </w:rPr>
        <w:t xml:space="preserve">Stikkord-svar (30 sek):</w:t>
      </w:r>
      <w:r>
        <w:t xml:space="preserve"> </w:t>
      </w:r>
      <w:r>
        <w:t xml:space="preserve">Modellen vil predikere, men med større feil. Tre</w:t>
      </w:r>
      <w:r>
        <w:softHyphen/>
      </w:r>
      <w:r>
        <w:t xml:space="preserve">ensemblet ekstrapolerer ikke lineært — det binder seg til den nærmeste partisjonen. For yachter langt utenfor GT-spennet 52–2 407 er prediksjonen ikke validert. Vi rapporterer P25–P75-spennet som usikkerhets</w:t>
      </w:r>
      <w:r>
        <w:softHyphen/>
      </w:r>
      <w:r>
        <w:t xml:space="preserve">indikator, slik at brukeren ser når estimatet er bredt og dermed usikkert.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9.4 punkt 1, § 9.6 ekstern validitet.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modellvalg-og-evaluering"/>
    <w:p>
      <w:pPr>
        <w:pStyle w:val="Heading2"/>
      </w:pPr>
      <w:r>
        <w:t xml:space="preserve">2. Modellvalg og evaluering</w:t>
      </w:r>
    </w:p>
    <w:bookmarkStart w:id="13" w:name="Xda815fddeb42c2431762a9b29d88dbf1d9cee17"/>
    <w:p>
      <w:pPr>
        <w:pStyle w:val="Heading3"/>
      </w:pPr>
      <w:r>
        <w:t xml:space="preserve">Spørsmål 2.1 —</w:t>
      </w:r>
      <w:r>
        <w:t xml:space="preserve"> </w:t>
      </w:r>
      <w:r>
        <w:t xml:space="preserve">“Hvorfor velger dere ensemble når LightGBM-base presterer bedre på testsettet?”</w:t>
      </w:r>
    </w:p>
    <w:p>
      <w:pPr>
        <w:pStyle w:val="FirstParagraph"/>
      </w:pPr>
      <w:r>
        <w:rPr>
          <w:b/>
          <w:bCs/>
        </w:rPr>
        <w:t xml:space="preserve">Stikkord-svar (60 sek):</w:t>
      </w:r>
      <w:r>
        <w:t xml:space="preserve"> </w:t>
      </w:r>
      <w:r>
        <w:t xml:space="preserve">Forskjellen er innenfor støy. Bootstrap-konfidensintervall på MAE-differansen er Δ = −33 ± 870 EUR — KI omslutter null, statistisk insignifikant. Vi velger ensemble på sekundære kriterier: (a) varians</w:t>
      </w:r>
      <w:r>
        <w:softHyphen/>
      </w:r>
      <w:r>
        <w:t xml:space="preserve">robusthet ved drift i underliggende data, (b) Catboosts ordered boosting gir uavhengig induktiv bias som dekorrelerer feilene med LightGBMs leaf-wise vekst. Det er en forsikrings</w:t>
      </w:r>
      <w:r>
        <w:softHyphen/>
      </w:r>
      <w:r>
        <w:t xml:space="preserve">begrunnelse, ikke en gevinst</w:t>
      </w:r>
      <w:r>
        <w:softHyphen/>
      </w:r>
      <w:r>
        <w:t xml:space="preserve">begrunnelse — vi er ærlige om det.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8.1 (bootstrap-KI), § 9.2, § 9.4 punkt 9.</w:t>
      </w:r>
    </w:p>
    <w:bookmarkEnd w:id="13"/>
    <w:bookmarkStart w:id="14" w:name="Xe92ddbbd1ffd9ee980d817d0713d183607f3fe6"/>
    <w:p>
      <w:pPr>
        <w:pStyle w:val="Heading3"/>
      </w:pPr>
      <w:r>
        <w:t xml:space="preserve">Spørsmål 2.2 —</w:t>
      </w:r>
      <w:r>
        <w:t xml:space="preserve"> </w:t>
      </w:r>
      <w:r>
        <w:t xml:space="preserve">“Hvorfor er Optuna-tunet modell dårligere enn base?”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Sannsynligvis overtilpasning til fold</w:t>
      </w:r>
      <w:r>
        <w:softHyphen/>
      </w:r>
      <w:r>
        <w:t xml:space="preserve">strukturen i 5-fold CV på et lite valideringssett (n = 490). Bayes</w:t>
      </w:r>
      <w:r>
        <w:softHyphen/>
      </w:r>
      <w:r>
        <w:t xml:space="preserve">optimering finner en hyperparameter-kombinasjon som er optimal for de spesifikke foldene, men ikke for et uavhengig testsett. Dette er et empirisk argument for å beholde base-modellen som fallback ved re-trening — noe vi rapporterer i § 9.2 og § 9.4 punkt 8.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8.1 (test-tall), § 9.2, § 9.4 punkt 8.</w:t>
      </w:r>
    </w:p>
    <w:bookmarkEnd w:id="14"/>
    <w:bookmarkStart w:id="15" w:name="X39dc42ec7a7d02a180bf1aff7a1fe1ee504bc7c"/>
    <w:p>
      <w:pPr>
        <w:pStyle w:val="Heading3"/>
      </w:pPr>
      <w:r>
        <w:t xml:space="preserve">Spørsmål 2.3 —</w:t>
      </w:r>
      <w:r>
        <w:t xml:space="preserve"> </w:t>
      </w:r>
      <w:r>
        <w:t xml:space="preserve">“MAE på 19 000 EUR er nesten det dobbelte av medianfakturaen. Er det akseptabelt?”</w:t>
      </w:r>
    </w:p>
    <w:p>
      <w:pPr>
        <w:pStyle w:val="FirstParagraph"/>
      </w:pPr>
      <w:r>
        <w:rPr>
          <w:b/>
          <w:bCs/>
        </w:rPr>
        <w:t xml:space="preserve">Stikkord-svar (60 sek):</w:t>
      </w:r>
      <w:r>
        <w:t xml:space="preserve"> </w:t>
      </w:r>
      <w:r>
        <w:t xml:space="preserve">Tre poenger. (a) MAE måles på transaksjons</w:t>
      </w:r>
      <w:r>
        <w:softHyphen/>
      </w:r>
      <w:r>
        <w:t xml:space="preserve">nivå der enkelt</w:t>
      </w:r>
      <w:r>
        <w:softHyphen/>
      </w:r>
      <w:r>
        <w:t xml:space="preserve">fakturaer varierer fra 2 000 til 91 000 EUR (P25–P95); en feil på 19 000 betyr at modellen treffer typiske store fakturaer godt, men bommer mer relativt på de små. (b) wMAPE = 74 % er volum</w:t>
      </w:r>
      <w:r>
        <w:softHyphen/>
      </w:r>
      <w:r>
        <w:t xml:space="preserve">vektet og mer rettferdig — der ligger vi i nedre ende av sammenlignbare studier (Jang et al. rapporterer 65–75 %, Çerçi et al. 60–80 %). (c) Anløpsnivå er den operasjonelle målestokken, og alle fem testede konfigurasjoner i § 8.3 ligger innenfor P25–P75.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8.3, § 9.1 kvantitativ litteratur</w:t>
      </w:r>
      <w:r>
        <w:softHyphen/>
      </w:r>
      <w:r>
        <w:t xml:space="preserve">sammenligning, § 9.4 punkt 16.</w:t>
      </w:r>
    </w:p>
    <w:bookmarkEnd w:id="15"/>
    <w:bookmarkStart w:id="16" w:name="X9a939852d8f93e172d7e36909a3c9cb2fd9886b"/>
    <w:p>
      <w:pPr>
        <w:pStyle w:val="Heading3"/>
      </w:pPr>
      <w:r>
        <w:t xml:space="preserve">Spørsmål 2.4 —</w:t>
      </w:r>
      <w:r>
        <w:t xml:space="preserve"> </w:t>
      </w:r>
      <w:r>
        <w:t xml:space="preserve">“Modellen overpredikerer 18 % i log-rom. Hvorfor?”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Mean residual = −0,20 i log-rom betyr at modellen i snitt estimerer høyere enn faktisk. Bias-en er konsentrert i lave faktura</w:t>
      </w:r>
      <w:r>
        <w:softHyphen/>
      </w:r>
      <w:r>
        <w:t xml:space="preserve">beløp (&lt; 1 000 EUR) — typisk små Agency Services-fakturaer der modellen mangler tilstrekkelig signal til å predikere ned i dette beløpsspennet. På anløpsnivå dempes effekten fordi mange transaksjoner aggregeres og den hybride persentil-kalibreringen forankrer mot empirisk median. Bias-en er ærlig dokumentert i § 7.4 i stedet for skjult.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7.4 Figur 7.8.</w:t>
      </w:r>
    </w:p>
    <w:bookmarkEnd w:id="16"/>
    <w:bookmarkStart w:id="17" w:name="X026cdc04b88c94da184cd4d20fc053bfbe0836e"/>
    <w:p>
      <w:pPr>
        <w:pStyle w:val="Heading3"/>
      </w:pPr>
      <w:r>
        <w:t xml:space="preserve">Spørsmål 2.5 —</w:t>
      </w:r>
      <w:r>
        <w:t xml:space="preserve"> </w:t>
      </w:r>
      <w:r>
        <w:t xml:space="preserve">“Hvordan vet dere modellen ikke er overtilpasset?”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Vi har et uavhengig testsett (2025, n = 649) som aldri ble brukt i seleksjon. Generaliseringen viser +10 % MAE på test mot val — det er konsistent med litteraturen for tilsvarende oppgaver (Jang et al. rapporterer 8–12 % degradering). En overtilpasset modell ville ha vist 30–50 % degradering, ikke 10 %. Vi rapporterer også at Ridge eksploderer på test (RMSE 6× høyere) som kontrast — den modellen er overtilpasset til trenings</w:t>
      </w:r>
      <w:r>
        <w:softHyphen/>
      </w:r>
      <w:r>
        <w:t xml:space="preserve">rangen.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8.1.1 Tabell 8.2.</w:t>
      </w:r>
    </w:p>
    <w:bookmarkEnd w:id="17"/>
    <w:bookmarkStart w:id="18" w:name="X04b8b15e5b88effa48382a01e6fe14ebed2666d"/>
    <w:p>
      <w:pPr>
        <w:pStyle w:val="Heading3"/>
      </w:pPr>
      <w:r>
        <w:t xml:space="preserve">Spørsmål 2.6 —</w:t>
      </w:r>
      <w:r>
        <w:t xml:space="preserve"> </w:t>
      </w:r>
      <w:r>
        <w:t xml:space="preserve">“Hvorfor ikke nevralt nett eller deep learning?”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Tre grunner. (a) Grinsztajn et al. (2022) og Shwartz-Ziv &amp; Armon (2022) viser i uavhengige benchmarks at tre</w:t>
      </w:r>
      <w:r>
        <w:softHyphen/>
      </w:r>
      <w:r>
        <w:t xml:space="preserve">ensembler dominerer nevrale nett på heterogene tabulære data i mellom</w:t>
      </w:r>
      <w:r>
        <w:softHyphen/>
      </w:r>
      <w:r>
        <w:t xml:space="preserve">størrelse. (b) Kompendiet (Pettersen &amp; Rekdal, 2026, tabell 1.1) foreskriver eksplisitt LightGBM/XGBoost for problemer med</w:t>
      </w:r>
      <w:r>
        <w:t xml:space="preserve"> </w:t>
      </w:r>
      <w:r>
        <w:t xml:space="preserve">“Mange forklaringsvariabler”</w:t>
      </w:r>
      <w:r>
        <w:t xml:space="preserve">. (c) Med n = 1 626 rader er datasettet for lite til at deep learning utnytter sin overlegne kapasitet — det er trebaserte modellers regime.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2.2, § 3.1, § 5.0.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usikkerhet-og-konformprediksjon"/>
    <w:p>
      <w:pPr>
        <w:pStyle w:val="Heading2"/>
      </w:pPr>
      <w:r>
        <w:t xml:space="preserve">3. Usikkerhet og konformprediksjon</w:t>
      </w:r>
    </w:p>
    <w:bookmarkStart w:id="20" w:name="X00b5d666f11ab6a747b7b607b4e74bd65eac6ff"/>
    <w:p>
      <w:pPr>
        <w:pStyle w:val="Heading3"/>
      </w:pPr>
      <w:r>
        <w:t xml:space="preserve">Spørsmål 3.1 —</w:t>
      </w:r>
      <w:r>
        <w:t xml:space="preserve"> </w:t>
      </w:r>
      <w:r>
        <w:t xml:space="preserve">“Hva betyr 80 % dekning egentlig?”</w:t>
      </w:r>
    </w:p>
    <w:p>
      <w:pPr>
        <w:pStyle w:val="FirstParagraph"/>
      </w:pPr>
      <w:r>
        <w:rPr>
          <w:b/>
          <w:bCs/>
        </w:rPr>
        <w:t xml:space="preserve">Stikkord-svar (60 sek):</w:t>
      </w:r>
      <w:r>
        <w:t xml:space="preserve"> </w:t>
      </w:r>
      <w:r>
        <w:t xml:space="preserve">Det er marginal dekning — over hele populasjonen vil 80 % av faktiske kostnader ligge innenfor P10–P90-båndet. Det betyr ikke at hver enkelt yacht har 80 % dekning. For Mellomstor-gruppen er reell dekning 74 % — der er båndet for smalt. Dette er CQR-teoriens forskjell mellom marginal og betinget dekning (Vovk et al., 2005; Romano et al., 2019), og en sentral begrensning vi løfter frem som ett av studiens bidragspunkter (§ 1.5 punkt ii).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6.4, § 8.2, § 9.2, § 9.4 punkt 15.</w:t>
      </w:r>
    </w:p>
    <w:bookmarkEnd w:id="20"/>
    <w:bookmarkStart w:id="21" w:name="X5449bbeffaea02a50e8db327f8e4f8d7840be73"/>
    <w:p>
      <w:pPr>
        <w:pStyle w:val="Heading3"/>
      </w:pPr>
      <w:r>
        <w:t xml:space="preserve">Spørsmål 3.2 —</w:t>
      </w:r>
      <w:r>
        <w:t xml:space="preserve"> </w:t>
      </w:r>
      <w:r>
        <w:t xml:space="preserve">“CQR-korreksjonen er bare 3 EUR. Er det riktig?”</w:t>
      </w:r>
    </w:p>
    <w:p>
      <w:pPr>
        <w:pStyle w:val="FirstParagraph"/>
      </w:pPr>
      <w:r>
        <w:rPr>
          <w:b/>
          <w:bCs/>
        </w:rPr>
        <w:t xml:space="preserve">Stikkord-svar (30 sek):</w:t>
      </w:r>
      <w:r>
        <w:t xml:space="preserve"> </w:t>
      </w:r>
      <w:r>
        <w:t xml:space="preserve">Ja, og det er ikke fordi vi har valgt en triviell metode. Lavt korreksjons</w:t>
      </w:r>
      <w:r>
        <w:softHyphen/>
      </w:r>
      <w:r>
        <w:t xml:space="preserve">behov betyr at de underliggende kvantil</w:t>
      </w:r>
      <w:r>
        <w:softHyphen/>
      </w:r>
      <w:r>
        <w:t xml:space="preserve">modellene allerede er godt kalibrert — empirisk dekning på 79,8 % rå mot nominelt 80 %. CQR-garantien er fortsatt verdifull fordi den er distribusjons</w:t>
      </w:r>
      <w:r>
        <w:softHyphen/>
      </w:r>
      <w:r>
        <w:t xml:space="preserve">fri og holder selv hvis fremtidige data drifter.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6.4, § 8.2.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kalibrering-og-operasjonalisering"/>
    <w:p>
      <w:pPr>
        <w:pStyle w:val="Heading2"/>
      </w:pPr>
      <w:r>
        <w:t xml:space="preserve">4. Kalibrering og operasjonalisering</w:t>
      </w:r>
    </w:p>
    <w:bookmarkStart w:id="23" w:name="X859bd9cfdcc0f89a225111e8f0ab69deb2ed4f1"/>
    <w:p>
      <w:pPr>
        <w:pStyle w:val="Heading3"/>
      </w:pPr>
      <w:r>
        <w:t xml:space="preserve">Spørsmål 4.1 —</w:t>
      </w:r>
      <w:r>
        <w:t xml:space="preserve"> </w:t>
      </w:r>
      <w:r>
        <w:t xml:space="preserve">“Hybrid kalibrering — er ikke det å snyte modellen?”</w:t>
      </w:r>
    </w:p>
    <w:p>
      <w:pPr>
        <w:pStyle w:val="FirstParagraph"/>
      </w:pPr>
      <w:r>
        <w:rPr>
          <w:b/>
          <w:bCs/>
        </w:rPr>
        <w:t xml:space="preserve">Stikkord-svar (60 sek):</w:t>
      </w:r>
      <w:r>
        <w:t xml:space="preserve"> </w:t>
      </w:r>
      <w:r>
        <w:t xml:space="preserve">Nei, det er å forankre modellen i empirisk virkelighet. Rene transaksjons</w:t>
      </w:r>
      <w:r>
        <w:softHyphen/>
      </w:r>
      <w:r>
        <w:t xml:space="preserve">summer kan produsere urealistisk lave totaler fordi få av P25-fakturaene følges av tilsvarende lave P25-er på andre transaksjoner. Vi ankrer mot empirisk medianpris per (havn, størrelse) og skalerer proporsjonalt med modellens forhold til en baseline-prediksjon. Dette gjør at totalen alltid har historisk basis. På anløpsnivå i § 8.3 plasserer alle fem eksempler seg innenfor P25–P75.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6.5 hybrid kalibrering, § 8.3 anløps-eksempler.</w:t>
      </w:r>
    </w:p>
    <w:bookmarkEnd w:id="23"/>
    <w:bookmarkStart w:id="24" w:name="Xc94b6b192a3c8b62616cbf5c8f15d3a1f7f187b"/>
    <w:p>
      <w:pPr>
        <w:pStyle w:val="Heading3"/>
      </w:pPr>
      <w:r>
        <w:t xml:space="preserve">Spørsmål 4.2 —</w:t>
      </w:r>
      <w:r>
        <w:t xml:space="preserve"> </w:t>
      </w:r>
      <w:r>
        <w:t xml:space="preserve">“Hvorfor er los modellert som sannsynlighet når det er obligatorisk for store yachter?”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Det er en strukturell modellfeil vi har erkjent.</w:t>
      </w:r>
      <w:r>
        <w:t xml:space="preserve"> </w:t>
      </w:r>
      <w:r>
        <w:rPr>
          <w:rStyle w:val="VerbatimChar"/>
        </w:rPr>
        <w:t xml:space="preserve">PORT_TEMPLATES</w:t>
      </w:r>
      <w:r>
        <w:t xml:space="preserve"> </w:t>
      </w:r>
      <w:r>
        <w:t xml:space="preserve">lærte historisk frekvens (17–73 % på tvers av havner) uten å betinge på LOA. Vi løste det operasjonelt ved å gjøre</w:t>
      </w:r>
      <w:r>
        <w:t xml:space="preserve"> </w:t>
      </w:r>
      <w:r>
        <w:rPr>
          <w:rStyle w:val="VerbatimChar"/>
        </w:rPr>
        <w:t xml:space="preserve">pilot_cost</w:t>
      </w:r>
      <w:r>
        <w:t xml:space="preserve"> </w:t>
      </w:r>
      <w:r>
        <w:t xml:space="preserve">til obligatorisk API-input når</w:t>
      </w:r>
      <w:r>
        <w:t xml:space="preserve"> </w:t>
      </w:r>
      <w:r>
        <w:rPr>
          <w:rStyle w:val="VerbatimChar"/>
        </w:rPr>
        <w:t xml:space="preserve">loskrav = "Ja"</w:t>
      </w:r>
      <w:r>
        <w:t xml:space="preserve">. Den fundamentale fixen — størrelse-betingede sannsynligheter — er flagget som videre arbeid punkt 8. Mønsteret er kjent fra havne</w:t>
      </w:r>
      <w:r>
        <w:softHyphen/>
      </w:r>
      <w:r>
        <w:t xml:space="preserve">effektivitets</w:t>
      </w:r>
      <w:r>
        <w:softHyphen/>
      </w:r>
      <w:r>
        <w:t xml:space="preserve">litteraturen (Garrido Albarracín et al., 2024) der regulatoriske inngrep krever eksplisitte features.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9.5.2, § 9.4 punkt 10.</w:t>
      </w:r>
    </w:p>
    <w:bookmarkEnd w:id="24"/>
    <w:bookmarkStart w:id="25" w:name="X5ef21f5438f711d05ac364e74478abd49a2a91c"/>
    <w:p>
      <w:pPr>
        <w:pStyle w:val="Heading3"/>
      </w:pPr>
      <w:r>
        <w:t xml:space="preserve">Spørsmål 4.3 —</w:t>
      </w:r>
      <w:r>
        <w:t xml:space="preserve"> </w:t>
      </w:r>
      <w:r>
        <w:t xml:space="preserve">“Hvorfor fjernet dere provisions-override?”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Metodisk konsistens. En override som</w:t>
      </w:r>
      <w:r>
        <w:t xml:space="preserve"> </w:t>
      </w:r>
      <w:r>
        <w:rPr>
          <w:i/>
          <w:iCs/>
        </w:rPr>
        <w:t xml:space="preserve">erstatter</w:t>
      </w:r>
      <w:r>
        <w:t xml:space="preserve"> </w:t>
      </w:r>
      <w:r>
        <w:t xml:space="preserve">modellens prediksjon med et magefølelses</w:t>
      </w:r>
      <w:r>
        <w:softHyphen/>
      </w:r>
      <w:r>
        <w:t xml:space="preserve">tall introduserer en parallel mental modell utenfor verktøyets formål. For bunkers er overriden forsvarlig fordi den substitueres med en</w:t>
      </w:r>
      <w:r>
        <w:t xml:space="preserve"> </w:t>
      </w:r>
      <w:r>
        <w:rPr>
          <w:i/>
          <w:iCs/>
        </w:rPr>
        <w:t xml:space="preserve">deterministisk fysisk formel</w:t>
      </w:r>
      <w:r>
        <w:t xml:space="preserve"> </w:t>
      </w:r>
      <w:r>
        <w:t xml:space="preserve">(distanse × forbruk × pris). For Provisions finnes ingen tilsvarende deterministisk substitutt før</w:t>
      </w:r>
      <w:r>
        <w:t xml:space="preserve"> </w:t>
      </w:r>
      <w:r>
        <w:rPr>
          <w:rStyle w:val="VerbatimChar"/>
        </w:rPr>
        <w:t xml:space="preserve">guest_experience</w:t>
      </w:r>
      <w:r>
        <w:t xml:space="preserve"> </w:t>
      </w:r>
      <w:r>
        <w:t xml:space="preserve">er observerbar. Provisions-feilen er en ærlig dokumentert begrensning som skal lukkes via labels + re-trening, ikke maskeres via UI.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9.5.7, § 9.5.4, Vedlegg 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validitet-og-forskningsdesign"/>
    <w:p>
      <w:pPr>
        <w:pStyle w:val="Heading2"/>
      </w:pPr>
      <w:r>
        <w:t xml:space="preserve">5. Validitet og forskningsdesign</w:t>
      </w:r>
    </w:p>
    <w:bookmarkStart w:id="27" w:name="Xa7253da56ad14835538dceddca7dda793afe19d"/>
    <w:p>
      <w:pPr>
        <w:pStyle w:val="Heading3"/>
      </w:pPr>
      <w:r>
        <w:t xml:space="preserve">Spørsmål 5.1 —</w:t>
      </w:r>
      <w:r>
        <w:t xml:space="preserve"> </w:t>
      </w:r>
      <w:r>
        <w:t xml:space="preserve">“Hva er den viktigste begrensningen i prosjektet?”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Dataen, ikke modellen. 17 yachter er strukturelt for få for sterk ekstern validitet, og</w:t>
      </w:r>
      <w:r>
        <w:t xml:space="preserve"> </w:t>
      </w:r>
      <w:r>
        <w:rPr>
          <w:rStyle w:val="VerbatimChar"/>
        </w:rPr>
        <w:t xml:space="preserve">guest_experience</w:t>
      </w:r>
      <w:r>
        <w:t xml:space="preserve"> </w:t>
      </w:r>
      <w:r>
        <w:t xml:space="preserve">mangler som sentral kostnads</w:t>
      </w:r>
      <w:r>
        <w:softHyphen/>
      </w:r>
      <w:r>
        <w:t xml:space="preserve">driver for Provisions. Modell</w:t>
      </w:r>
      <w:r>
        <w:softHyphen/>
      </w:r>
      <w:r>
        <w:t xml:space="preserve">arkitekturen kan ikke kompensere for noen av disse — videre arbeid må gå i datainnsamlings</w:t>
      </w:r>
      <w:r>
        <w:softHyphen/>
      </w:r>
      <w:r>
        <w:t xml:space="preserve">retning, ikke modell</w:t>
      </w:r>
      <w:r>
        <w:softHyphen/>
      </w:r>
      <w:r>
        <w:t xml:space="preserve">retning. Vi rapporterer det åpent i § 9.4 punkt 1 og § 9.4 punkt 4.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9.4, § 9.6, § 9.7.1.</w:t>
      </w:r>
    </w:p>
    <w:bookmarkEnd w:id="27"/>
    <w:bookmarkStart w:id="28" w:name="X5389ffe6e51126e81c18644f433368447acd4ce"/>
    <w:p>
      <w:pPr>
        <w:pStyle w:val="Heading3"/>
      </w:pPr>
      <w:r>
        <w:t xml:space="preserve">Spørsmål 5.2 —</w:t>
      </w:r>
      <w:r>
        <w:t xml:space="preserve"> </w:t>
      </w:r>
      <w:r>
        <w:t xml:space="preserve">“Generaliseres modellen til andre yacht-agenter?”</w:t>
      </w:r>
    </w:p>
    <w:p>
      <w:pPr>
        <w:pStyle w:val="FirstParagraph"/>
      </w:pPr>
      <w:r>
        <w:rPr>
          <w:b/>
          <w:bCs/>
        </w:rPr>
        <w:t xml:space="preserve">Stikkord-svar (30 sek):</w:t>
      </w:r>
      <w:r>
        <w:t xml:space="preserve"> </w:t>
      </w:r>
      <w:r>
        <w:t xml:space="preserve">Nei, ikke validert. Modellen er trent kun på Yachting Operations sine fakturaer og lærer denne agentens spesifikke pris</w:t>
      </w:r>
      <w:r>
        <w:softHyphen/>
      </w:r>
      <w:r>
        <w:t xml:space="preserve">modeller. Vi anbefaler ikke bruk hos en annen agent uten re-trening — § 9.6 ekstern validitet på operatør</w:t>
      </w:r>
      <w:r>
        <w:softHyphen/>
      </w:r>
      <w:r>
        <w:t xml:space="preserve">nivå.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9.6.</w:t>
      </w:r>
    </w:p>
    <w:bookmarkEnd w:id="28"/>
    <w:bookmarkStart w:id="29" w:name="X975158ecc65fbe02d12ffbfbd1c3988fb21e74f"/>
    <w:p>
      <w:pPr>
        <w:pStyle w:val="Heading3"/>
      </w:pPr>
      <w:r>
        <w:t xml:space="preserve">Spørsmål 5.3 —</w:t>
      </w:r>
      <w:r>
        <w:t xml:space="preserve"> </w:t>
      </w:r>
      <w:r>
        <w:t xml:space="preserve">“Hva med konstrukt</w:t>
      </w:r>
      <w:r>
        <w:softHyphen/>
      </w:r>
      <w:r>
        <w:t xml:space="preserve">validitet — er</w:t>
      </w:r>
      <w:r>
        <w:t xml:space="preserve"> </w:t>
      </w:r>
      <w:r>
        <w:rPr>
          <w:rStyle w:val="VerbatimChar"/>
        </w:rPr>
        <w:t xml:space="preserve">final_charge</w:t>
      </w:r>
      <w:r>
        <w:t xml:space="preserve"> </w:t>
      </w:r>
      <w:r>
        <w:t xml:space="preserve">egentlig</w:t>
      </w:r>
      <w:r>
        <w:t xml:space="preserve"> </w:t>
      </w:r>
      <w:r>
        <w:t xml:space="preserve">‘kostnad’</w:t>
      </w:r>
      <w:r>
        <w:t xml:space="preserve">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Bare delvis.</w:t>
      </w:r>
      <w:r>
        <w:t xml:space="preserve"> </w:t>
      </w:r>
      <w:r>
        <w:rPr>
          <w:rStyle w:val="VerbatimChar"/>
        </w:rPr>
        <w:t xml:space="preserve">final_charge</w:t>
      </w:r>
      <w:r>
        <w:t xml:space="preserve"> </w:t>
      </w:r>
      <w:r>
        <w:t xml:space="preserve">er agentens fakturasum før moms — fanger agentens direkte tjeneste</w:t>
      </w:r>
      <w:r>
        <w:softHyphen/>
      </w:r>
      <w:r>
        <w:t xml:space="preserve">kostnad + under</w:t>
      </w:r>
      <w:r>
        <w:softHyphen/>
      </w:r>
      <w:r>
        <w:t xml:space="preserve">leverandørene, men ikke (a) udokumenterte rabatter, (b) yachteierens skjulte kostnader (egen besetnings</w:t>
      </w:r>
      <w:r>
        <w:softHyphen/>
      </w:r>
      <w:r>
        <w:t xml:space="preserve">lønn, valutarisiko), eller (c) opportunitets</w:t>
      </w:r>
      <w:r>
        <w:softHyphen/>
      </w:r>
      <w:r>
        <w:t xml:space="preserve">kostnad. Konstrukt</w:t>
      </w:r>
      <w:r>
        <w:softHyphen/>
      </w:r>
      <w:r>
        <w:t xml:space="preserve">validiteten er en valid proxy for agentens fakturasum, men en partiell proxy for yachteierens totale anløps</w:t>
      </w:r>
      <w:r>
        <w:softHyphen/>
      </w:r>
      <w:r>
        <w:t xml:space="preserve">kostnad. Brukere må legge til egne kostnader på toppen.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9.6 konstrukt</w:t>
      </w:r>
      <w:r>
        <w:softHyphen/>
      </w:r>
      <w:r>
        <w:t xml:space="preserve">validitet.</w:t>
      </w:r>
    </w:p>
    <w:bookmarkEnd w:id="29"/>
    <w:bookmarkStart w:id="30" w:name="X57cc97212936718336aafdaec23833bfd96b780"/>
    <w:p>
      <w:pPr>
        <w:pStyle w:val="Heading3"/>
      </w:pPr>
      <w:r>
        <w:t xml:space="preserve">Spørsmål 5.4 —</w:t>
      </w:r>
      <w:r>
        <w:t xml:space="preserve"> </w:t>
      </w:r>
      <w:r>
        <w:t xml:space="preserve">“Produksjons</w:t>
      </w:r>
      <w:r>
        <w:softHyphen/>
      </w:r>
      <w:r>
        <w:t xml:space="preserve">modellen har ingen uavhengig holdout. Hvordan vet dere den fungerer?”</w:t>
      </w:r>
    </w:p>
    <w:p>
      <w:pPr>
        <w:pStyle w:val="FirstParagraph"/>
      </w:pPr>
      <w:r>
        <w:rPr>
          <w:b/>
          <w:bCs/>
        </w:rPr>
        <w:t xml:space="preserve">Stikkord-svar (60 sek):</w:t>
      </w:r>
      <w:r>
        <w:t xml:space="preserve"> </w:t>
      </w:r>
      <w:r>
        <w:t xml:space="preserve">Korrekt, og vi rapporterer det åpent. Vi har test-set-evaluering for</w:t>
      </w:r>
      <w:r>
        <w:t xml:space="preserve"> </w:t>
      </w:r>
      <w:r>
        <w:rPr>
          <w:i/>
          <w:iCs/>
        </w:rPr>
        <w:t xml:space="preserve">prefit-modellen</w:t>
      </w:r>
      <w:r>
        <w:t xml:space="preserve"> </w:t>
      </w:r>
      <w:r>
        <w:t xml:space="preserve">(trent på ≤ 2023) som proxy for model</w:t>
      </w:r>
      <w:r>
        <w:softHyphen/>
      </w:r>
      <w:r>
        <w:t xml:space="preserve">klassens generaliseringsevne. Produksjons</w:t>
      </w:r>
      <w:r>
        <w:softHyphen/>
      </w:r>
      <w:r>
        <w:t xml:space="preserve">modellen (refittet på 2020–2025 inkludert test) har mer trenings</w:t>
      </w:r>
      <w:r>
        <w:softHyphen/>
      </w:r>
      <w:r>
        <w:t xml:space="preserve">data, og forventes derfor å være minst like god, men ikke verifisert uavhengig. Dette er en strukturell konsekvens av tids</w:t>
      </w:r>
      <w:r>
        <w:softHyphen/>
      </w:r>
      <w:r>
        <w:t xml:space="preserve">basert split kombinert med ønske om å deploye på all tilgjengelig data (Hastie, Tibshirani &amp; Friedman, 2009, § 7.10). Lukkes når 2026-data er tilstrekkelig — videre arbeid punkt 10.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8.1.1, § 9.7.6.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ensum-justering"/>
    <w:p>
      <w:pPr>
        <w:pStyle w:val="Heading2"/>
      </w:pPr>
      <w:r>
        <w:t xml:space="preserve">6. Pensum-justering</w:t>
      </w:r>
    </w:p>
    <w:bookmarkStart w:id="32" w:name="Xa49cd219056aab53b6f5c6b1c486109de51f473"/>
    <w:p>
      <w:pPr>
        <w:pStyle w:val="Heading3"/>
      </w:pPr>
      <w:r>
        <w:t xml:space="preserve">Spørsmål 6.1 —</w:t>
      </w:r>
      <w:r>
        <w:t xml:space="preserve"> </w:t>
      </w:r>
      <w:r>
        <w:t xml:space="preserve">“Hvordan er prosjektet forankret i kompendiet?”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Kompendiet (Pettersen &amp; Rekdal, 2026, tabell 1.1) klassifiserer problemer med</w:t>
      </w:r>
      <w:r>
        <w:t xml:space="preserve"> </w:t>
      </w:r>
      <w:r>
        <w:t xml:space="preserve">“Mange forklaringsvariabler”</w:t>
      </w:r>
      <w:r>
        <w:t xml:space="preserve"> </w:t>
      </w:r>
      <w:r>
        <w:t xml:space="preserve">under metodefamilien Random Forest / XGBoost /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med metodene gradient boosting, kryssvalidering, SHAP og hyperparameter</w:t>
      </w:r>
      <w:r>
        <w:softHyphen/>
      </w:r>
      <w:r>
        <w:t xml:space="preserve">tuning. Vårt metodevalg — LightGBM + CatBoost ensemble, 5-fold CV ved Optuna, TreeSHAP, hyperparameter</w:t>
      </w:r>
      <w:r>
        <w:softHyphen/>
      </w:r>
      <w:r>
        <w:t xml:space="preserve">tuning — er nøyaktig denne kombinasjonen. Vi følger også kompendiets femtrinns prosess (§ i.4) som er kallet ut eksplisitt i § 5.0.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2.2, § 5.0.</w:t>
      </w:r>
    </w:p>
    <w:bookmarkEnd w:id="32"/>
    <w:bookmarkStart w:id="33" w:name="X7e4aa85c33b699d68f120a7a6b2f21d7a6566f3"/>
    <w:p>
      <w:pPr>
        <w:pStyle w:val="Heading3"/>
      </w:pPr>
      <w:r>
        <w:t xml:space="preserve">Spørsmål 6.2 —</w:t>
      </w:r>
      <w:r>
        <w:t xml:space="preserve"> </w:t>
      </w:r>
      <w:r>
        <w:t xml:space="preserve">“Hvilke av kompendiets prosess</w:t>
      </w:r>
      <w:r>
        <w:softHyphen/>
      </w:r>
      <w:r>
        <w:t xml:space="preserve">steg adresserer dere?”</w:t>
      </w:r>
    </w:p>
    <w:p>
      <w:pPr>
        <w:pStyle w:val="FirstParagraph"/>
      </w:pPr>
      <w:r>
        <w:rPr>
          <w:b/>
          <w:bCs/>
        </w:rPr>
        <w:t xml:space="preserve">Stikkord-svar (30 sek):</w:t>
      </w:r>
      <w:r>
        <w:t xml:space="preserve"> </w:t>
      </w:r>
      <w:r>
        <w:t xml:space="preserve">Alle fem. § 5.2–5.3 er steg 1 (datainnsamling), § 5.7 + § 7.4 er steg 2 (antakelses</w:t>
      </w:r>
      <w:r>
        <w:softHyphen/>
      </w:r>
      <w:r>
        <w:t xml:space="preserve">sjekk), § 6.3–6.5 er steg 3 (løsning), § 8 er steg 4 (sjekk av løsning med val og test), og § 6.5 + § 8.4 + § 9.5 er steg 5 (anvendelse). Mappingen er tabellert i § 5.0.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5.0.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eer-review-og-prosess"/>
    <w:p>
      <w:pPr>
        <w:pStyle w:val="Heading2"/>
      </w:pPr>
      <w:r>
        <w:t xml:space="preserve">7. Peer review og prosess</w:t>
      </w:r>
    </w:p>
    <w:bookmarkStart w:id="35" w:name="X1f6c53e40e1ed3b422bc2f93c4017d1d05e4f2d"/>
    <w:p>
      <w:pPr>
        <w:pStyle w:val="Heading3"/>
      </w:pPr>
      <w:r>
        <w:t xml:space="preserve">Spørsmål 7.1 —</w:t>
      </w:r>
      <w:r>
        <w:t xml:space="preserve"> </w:t>
      </w:r>
      <w:r>
        <w:t xml:space="preserve">“Hvordan reagerte dere på peer review?”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G10/Julie ga 2026-05-07 syv konkrete forbedrings</w:t>
      </w:r>
      <w:r>
        <w:softHyphen/>
      </w:r>
      <w:r>
        <w:t xml:space="preserve">punkter. Alle ble adressert i v0.4, og noen ble forsterket i v1.0. Eksempler: akademisk bidrag i § 1.5 omskrevet med tre eksplisitte hull; figurer henvist til notebooks ble eksportert som PNG og embedet; endelig testsett-evaluering (etterlyst som mangel) ble gjennomført med eget skript</w:t>
      </w:r>
      <w:r>
        <w:t xml:space="preserve"> </w:t>
      </w:r>
      <w:r>
        <w:rPr>
          <w:rStyle w:val="VerbatimChar"/>
        </w:rPr>
        <w:t xml:space="preserve">eval_test_2025.py</w:t>
      </w:r>
      <w:r>
        <w:t xml:space="preserve">. Hele responsen er tabellert i § 9.7.5.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9.7.5.</w:t>
      </w:r>
    </w:p>
    <w:bookmarkEnd w:id="35"/>
    <w:bookmarkStart w:id="36" w:name="Xa35637dd6cb39a2c360933d2770e63425e30fec"/>
    <w:p>
      <w:pPr>
        <w:pStyle w:val="Heading3"/>
      </w:pPr>
      <w:r>
        <w:t xml:space="preserve">Spørsmål 7.2 —</w:t>
      </w:r>
      <w:r>
        <w:t xml:space="preserve"> </w:t>
      </w:r>
      <w:r>
        <w:t xml:space="preserve">“Hva har AI bidratt med, og hva har dere gjort selv?”</w:t>
      </w:r>
    </w:p>
    <w:p>
      <w:pPr>
        <w:pStyle w:val="FirstParagraph"/>
      </w:pPr>
      <w:r>
        <w:rPr>
          <w:b/>
          <w:bCs/>
        </w:rPr>
        <w:t xml:space="preserve">Stikkord-svar (60 sek):</w:t>
      </w:r>
      <w:r>
        <w:t xml:space="preserve"> </w:t>
      </w:r>
      <w:r>
        <w:t xml:space="preserve">AI har bidratt med kode</w:t>
      </w:r>
      <w:r>
        <w:softHyphen/>
      </w:r>
      <w:r>
        <w:t xml:space="preserve">generering, draft-skriving av prosa-avsnitt, litteratur</w:t>
      </w:r>
      <w:r>
        <w:softHyphen/>
      </w:r>
      <w:r>
        <w:t xml:space="preserve">søk, og figur</w:t>
      </w:r>
      <w:r>
        <w:softHyphen/>
      </w:r>
      <w:r>
        <w:t xml:space="preserve">produksjon. Vi har gjort: valg av problemstilling, vurdert hvilke metoder som er pensum</w:t>
      </w:r>
      <w:r>
        <w:softHyphen/>
      </w:r>
      <w:r>
        <w:t xml:space="preserve">forankret, sparret iterativt om struktur, kritisk vurdert AI-genererte forslag (f.eks. avvist provisions-override og forkastet uvalidert Shadish, Cook &amp; Campbell-referanse), kvalitetssikret hver referanse mot Google Scholar, og foretatt alle metodiske avveininger (CQR vs. standard konform, hybrid kalibrering vs. rene transaksjons</w:t>
      </w:r>
      <w:r>
        <w:softHyphen/>
      </w:r>
      <w:r>
        <w:t xml:space="preserve">summer, ensemble</w:t>
      </w:r>
      <w:r>
        <w:softHyphen/>
      </w:r>
      <w:r>
        <w:t xml:space="preserve">valg). AI gjorde grovarbeidet; vi gjorde de faglige vurderingene. Dette samsvarer med kompendiets rollefordeling (§ iii.1).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tiske-og-praktiske-spørsmål"/>
    <w:p>
      <w:pPr>
        <w:pStyle w:val="Heading2"/>
      </w:pPr>
      <w:r>
        <w:t xml:space="preserve">8. Etiske og praktiske spørsmål</w:t>
      </w:r>
    </w:p>
    <w:bookmarkStart w:id="38" w:name="spørsmål-8.1-hva-med-personvern"/>
    <w:p>
      <w:pPr>
        <w:pStyle w:val="Heading3"/>
      </w:pPr>
      <w:r>
        <w:t xml:space="preserve">Spørsmål 8.1 —</w:t>
      </w:r>
      <w:r>
        <w:t xml:space="preserve"> </w:t>
      </w:r>
      <w:r>
        <w:t xml:space="preserve">“Hva med personvern?”</w:t>
      </w:r>
    </w:p>
    <w:p>
      <w:pPr>
        <w:pStyle w:val="FirstParagraph"/>
      </w:pPr>
      <w:r>
        <w:rPr>
          <w:b/>
          <w:bCs/>
        </w:rPr>
        <w:t xml:space="preserve">Stikkord-svar (30 sek):</w:t>
      </w:r>
      <w:r>
        <w:t xml:space="preserve"> </w:t>
      </w:r>
      <w:r>
        <w:t xml:space="preserve">Ingen direkte personopplysninger i datasettet. Yacht-ID-er er anonymisert (</w:t>
      </w:r>
      <w:r>
        <w:rPr>
          <w:rStyle w:val="VerbatimChar"/>
        </w:rPr>
        <w:t xml:space="preserve">yacht_1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yacht_19</w:t>
      </w:r>
      <w:r>
        <w:t xml:space="preserve">). Kontornavn beholdt fordi de er offentlig kjente lokasjoner. Fakturabeløp i rapporten er aggregert per persentil eller havn.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9.9 etiske hensyn.</w:t>
      </w:r>
    </w:p>
    <w:bookmarkEnd w:id="38"/>
    <w:bookmarkStart w:id="39" w:name="X9d8b4579c2413e84a764403cc984da889f2813c"/>
    <w:p>
      <w:pPr>
        <w:pStyle w:val="Heading3"/>
      </w:pPr>
      <w:r>
        <w:t xml:space="preserve">Spørsmål 8.2 —</w:t>
      </w:r>
      <w:r>
        <w:t xml:space="preserve"> </w:t>
      </w:r>
      <w:r>
        <w:t xml:space="preserve">“Hva er nettoverdien for Yachting Operations?”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Verktøyet gjør at en agent</w:t>
      </w:r>
      <w:r>
        <w:softHyphen/>
      </w:r>
      <w:r>
        <w:t xml:space="preserve">koordinator kan gi yachteier et estimat på sekunder med kommunisert spenn — i stedet for et magefølelses</w:t>
      </w:r>
      <w:r>
        <w:softHyphen/>
      </w:r>
      <w:r>
        <w:t xml:space="preserve">anslag som tar minutter og er inkonsistent mellom koordinatorer. På sikt kan logging av faktura mot estimat drive automatisk re-trening. Forecast-funksjonen svarer på forretningsspørsmål som</w:t>
      </w:r>
      <w:r>
        <w:t xml:space="preserve"> </w:t>
      </w:r>
      <w:r>
        <w:t xml:space="preserve">“30 yachter neste år, hvilken inntekt?”</w:t>
      </w:r>
      <w:r>
        <w:t xml:space="preserve">. Krav er at brukeren forstår at det er estimater, ikke pristilbud.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9.8.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konklusjon-spørsmål"/>
    <w:p>
      <w:pPr>
        <w:pStyle w:val="Heading2"/>
      </w:pPr>
      <w:r>
        <w:t xml:space="preserve">9. Konklusjon-spørsmål</w:t>
      </w:r>
    </w:p>
    <w:bookmarkStart w:id="41" w:name="X1d971eb9c08be74b02e8856b15dd4d33c6d514b"/>
    <w:p>
      <w:pPr>
        <w:pStyle w:val="Heading3"/>
      </w:pPr>
      <w:r>
        <w:t xml:space="preserve">Spørsmål 9.1 —</w:t>
      </w:r>
      <w:r>
        <w:t xml:space="preserve"> </w:t>
      </w:r>
      <w:r>
        <w:t xml:space="preserve">“Hva er studiens viktigste bidrag?”</w:t>
      </w:r>
    </w:p>
    <w:p>
      <w:pPr>
        <w:pStyle w:val="FirstParagraph"/>
      </w:pPr>
      <w:r>
        <w:rPr>
          <w:b/>
          <w:bCs/>
        </w:rPr>
        <w:t xml:space="preserve">Stikkord-svar (45 sek):</w:t>
      </w:r>
      <w:r>
        <w:t xml:space="preserve"> </w:t>
      </w:r>
      <w:r>
        <w:t xml:space="preserve">Tre bidrag (jf. § 1.5). (a) En</w:t>
      </w:r>
      <w:r>
        <w:t xml:space="preserve"> </w:t>
      </w:r>
      <w:r>
        <w:rPr>
          <w:b/>
          <w:bCs/>
        </w:rPr>
        <w:t xml:space="preserve">transaksjonsnivå-ensemble</w:t>
      </w:r>
      <w:r>
        <w:rPr>
          <w:b/>
          <w:bCs/>
        </w:rPr>
        <w:softHyphen/>
      </w:r>
      <w:r>
        <w:rPr>
          <w:b/>
          <w:bCs/>
        </w:rPr>
        <w:t xml:space="preserve">modell med trafikkvektet aggregering og hybrid persentil</w:t>
      </w:r>
      <w:r>
        <w:rPr>
          <w:b/>
          <w:bCs/>
        </w:rPr>
        <w:softHyphen/>
      </w:r>
      <w:r>
        <w:rPr>
          <w:b/>
          <w:bCs/>
        </w:rPr>
        <w:t xml:space="preserve">kalibrering</w:t>
      </w:r>
      <w:r>
        <w:t xml:space="preserve"> </w:t>
      </w:r>
      <w:r>
        <w:t xml:space="preserve">som fungerer i et lite, høyt</w:t>
      </w:r>
      <w:r>
        <w:softHyphen/>
      </w:r>
      <w:r>
        <w:t xml:space="preserve">skjevt regime (n ≈ 1 600, 17 enheter) — utvider litteraturen ned i datasparsomme størrelses</w:t>
      </w:r>
      <w:r>
        <w:softHyphen/>
      </w:r>
      <w:r>
        <w:t xml:space="preserve">ordener. (b) En</w:t>
      </w:r>
      <w:r>
        <w:t xml:space="preserve"> </w:t>
      </w:r>
      <w:r>
        <w:rPr>
          <w:b/>
          <w:bCs/>
        </w:rPr>
        <w:t xml:space="preserve">empirisk dokumentasjon av forskjellen mellom marginal og betinget CQR-dekning</w:t>
      </w:r>
      <w:r>
        <w:t xml:space="preserve"> </w:t>
      </w:r>
      <w:r>
        <w:t xml:space="preserve">når en sentral kostnads</w:t>
      </w:r>
      <w:r>
        <w:softHyphen/>
      </w:r>
      <w:r>
        <w:t xml:space="preserve">driver er u</w:t>
      </w:r>
      <w:r>
        <w:softHyphen/>
      </w:r>
      <w:r>
        <w:t xml:space="preserve">observert. (c) Et</w:t>
      </w:r>
      <w:r>
        <w:t xml:space="preserve"> </w:t>
      </w:r>
      <w:r>
        <w:rPr>
          <w:b/>
          <w:bCs/>
        </w:rPr>
        <w:t xml:space="preserve">metodisk mønster</w:t>
      </w:r>
      <w:r>
        <w:t xml:space="preserve"> </w:t>
      </w:r>
      <w:r>
        <w:t xml:space="preserve">for hvordan tabulære ML-modeller møter operasjonell virkelighet i regulerte bransjer (kombinasjon av lærte features, obligatoriske brukerinputs, og deterministiske formler).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1.5, § 9.7.7, § 10.</w:t>
      </w:r>
    </w:p>
    <w:bookmarkEnd w:id="41"/>
    <w:bookmarkStart w:id="42" w:name="X640c5eeb83b192d15e5a795fcfaf0bf07060994"/>
    <w:p>
      <w:pPr>
        <w:pStyle w:val="Heading3"/>
      </w:pPr>
      <w:r>
        <w:t xml:space="preserve">Spørsmål 9.2 —</w:t>
      </w:r>
      <w:r>
        <w:t xml:space="preserve"> </w:t>
      </w:r>
      <w:r>
        <w:t xml:space="preserve">“Hvis dere skulle starte på nytt, hva ville dere gjort annerledes?”</w:t>
      </w:r>
    </w:p>
    <w:p>
      <w:pPr>
        <w:pStyle w:val="FirstParagraph"/>
      </w:pPr>
      <w:r>
        <w:rPr>
          <w:b/>
          <w:bCs/>
        </w:rPr>
        <w:t xml:space="preserve">Stikkord-svar (60 sek):</w:t>
      </w:r>
      <w:r>
        <w:t xml:space="preserve"> </w:t>
      </w:r>
      <w:r>
        <w:t xml:space="preserve">Tre ting. (a)</w:t>
      </w:r>
      <w:r>
        <w:t xml:space="preserve"> </w:t>
      </w:r>
      <w:r>
        <w:rPr>
          <w:b/>
          <w:bCs/>
        </w:rPr>
        <w:t xml:space="preserve">Starte 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guest_experience</w:t>
      </w:r>
      <w:r>
        <w:rPr>
          <w:b/>
          <w:bCs/>
        </w:rPr>
        <w:t xml:space="preserve">-rubrikken</w:t>
      </w:r>
      <w:r>
        <w:t xml:space="preserve">, ikke vente til brukertesten avdekket gapet. (b)</w:t>
      </w:r>
      <w:r>
        <w:t xml:space="preserve"> </w:t>
      </w:r>
      <w:r>
        <w:rPr>
          <w:b/>
          <w:bCs/>
        </w:rPr>
        <w:t xml:space="preserve">Logge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distance_nm</w:t>
      </w:r>
      <w:r>
        <w:rPr>
          <w:b/>
          <w:bCs/>
        </w:rPr>
        <w:t xml:space="preserve"> </w:t>
      </w:r>
      <w:r>
        <w:rPr>
          <w:b/>
          <w:bCs/>
        </w:rPr>
        <w:t xml:space="preserve">per leg</w:t>
      </w:r>
      <w:r>
        <w:t xml:space="preserve"> </w:t>
      </w:r>
      <w:r>
        <w:t xml:space="preserve">fra dag én, slik at bunkers kunne vært feature i stedet for override-formel. (c)</w:t>
      </w:r>
      <w:r>
        <w:t xml:space="preserve"> </w:t>
      </w:r>
      <w:r>
        <w:rPr>
          <w:b/>
          <w:bCs/>
        </w:rPr>
        <w:t xml:space="preserve">Skille mellom Norge/Sverige/Danmark i aggregat-features</w:t>
      </w:r>
      <w:r>
        <w:t xml:space="preserve"> </w:t>
      </w:r>
      <w:r>
        <w:t xml:space="preserve">fra start (jf. § 9.5.5), slik at land</w:t>
      </w:r>
      <w:r>
        <w:softHyphen/>
      </w:r>
      <w:r>
        <w:t xml:space="preserve">signalet ikke gikk tapt i</w:t>
      </w:r>
      <w:r>
        <w:t xml:space="preserve"> </w:t>
      </w:r>
      <w:r>
        <w:rPr>
          <w:rStyle w:val="VerbatimChar"/>
        </w:rPr>
        <w:t xml:space="preserve">size_svc_*</w:t>
      </w:r>
      <w:r>
        <w:t xml:space="preserve">-statistikkene. Tilstanden er nå at vi har et fungerende verktøy med ærlig dokumenterte begrensninger — fremtidig arbeid vet nøyaktig hvor de skal grave.</w:t>
      </w:r>
    </w:p>
    <w:p>
      <w:pPr>
        <w:pStyle w:val="BodyText"/>
      </w:pPr>
      <w:r>
        <w:rPr>
          <w:b/>
          <w:bCs/>
        </w:rPr>
        <w:t xml:space="preserve">Rapport-ref:</w:t>
      </w:r>
      <w:r>
        <w:t xml:space="preserve"> </w:t>
      </w:r>
      <w:r>
        <w:t xml:space="preserve">§ 9.5, § 9.7.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tikkord-arsenal-for-åpne-diskusjoner"/>
    <w:p>
      <w:pPr>
        <w:pStyle w:val="Heading2"/>
      </w:pPr>
      <w:r>
        <w:t xml:space="preserve">10. Stikkord-arsenal for åpne diskusjoner</w:t>
      </w:r>
    </w:p>
    <w:p>
      <w:pPr>
        <w:pStyle w:val="FirstParagraph"/>
      </w:pPr>
      <w:r>
        <w:t xml:space="preserve">Forsvarspunkter du sannsynligvis vil trekke fram uansett spørsmål: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Pensum-forankret:</w:t>
      </w:r>
      <w:r>
        <w:t xml:space="preserve"> </w:t>
      </w:r>
      <w:r>
        <w:t xml:space="preserve">Pettersen &amp; Rekdal (2026) tabell 1.1 foreskriver eksplisitt LightGBM + gradient boosting + CV + SHAP + tuning. Vi følger dette nøyaktig.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Ærlighet om svakheter:</w:t>
      </w:r>
      <w:r>
        <w:t xml:space="preserve"> </w:t>
      </w:r>
      <w:r>
        <w:t xml:space="preserve">16-punkts § 9.4 og § 9.7-refleksjon viser kritisk modenhet. Sjeldent at master</w:t>
      </w:r>
      <w:r>
        <w:softHyphen/>
      </w:r>
      <w:r>
        <w:t xml:space="preserve">rapporter er så åpne om hva som</w:t>
      </w:r>
      <w:r>
        <w:t xml:space="preserve"> </w:t>
      </w:r>
      <w:r>
        <w:rPr>
          <w:i/>
          <w:iCs/>
        </w:rPr>
        <w:t xml:space="preserve">ikke</w:t>
      </w:r>
      <w:r>
        <w:t xml:space="preserve"> </w:t>
      </w:r>
      <w:r>
        <w:t xml:space="preserve">ble løst.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Operasjonelt verifisert:</w:t>
      </w:r>
      <w:r>
        <w:t xml:space="preserve"> </w:t>
      </w:r>
      <w:r>
        <w:t xml:space="preserve">§ 8.4 — backend &lt; 200 ms kald, &lt; 50 ms varm; dashboard &lt; 2 sek.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Test-sett-verifisert:</w:t>
      </w:r>
      <w:r>
        <w:t xml:space="preserve"> </w:t>
      </w:r>
      <w:r>
        <w:t xml:space="preserve">Endelig generalisering på 649 transaksjoner fra 2025 viser +10 % MAE (forventet etter modell</w:t>
      </w:r>
      <w:r>
        <w:softHyphen/>
      </w:r>
      <w:r>
        <w:t xml:space="preserve">seleksjon), ikke katastrofalt fall.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 review-respons:</w:t>
      </w:r>
      <w:r>
        <w:t xml:space="preserve"> </w:t>
      </w:r>
      <w:r>
        <w:t xml:space="preserve">Alle syv punkter fra G10/Julie er adressert.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Reproduserbarhet:</w:t>
      </w:r>
      <w:r>
        <w:t xml:space="preserve"> </w:t>
      </w:r>
      <w:r>
        <w:rPr>
          <w:rStyle w:val="VerbatimChar"/>
        </w:rPr>
        <w:t xml:space="preserve">eval_test_2025.py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convert_to_word.py</w:t>
      </w:r>
      <w:r>
        <w:t xml:space="preserve"> </w:t>
      </w:r>
      <w:r>
        <w:t xml:space="preserve">gjør rapportens tall og figurer reproduserbare fra git.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Litteratur-sammenligning:</w:t>
      </w:r>
      <w:r>
        <w:t xml:space="preserve"> </w:t>
      </w:r>
      <w:r>
        <w:t xml:space="preserve">Våre wMAPE-tall (71–74 %) ligger i nedre ende av Jang et al. (2023) og Çerçi et al. (2024).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Versjon: 2026-05-13. Skrevet som forberedelse til muntlig eksamen juni 2026.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Forsvarsforberedelse — NautiCost muntlig eksamen</dc:title>
  <dc:creator>Forberedelse til muntlig eksamen</dc:creator>
  <cp:keywords/>
  <dcterms:created xsi:type="dcterms:W3CDTF">2026-05-12T22:07:43Z</dcterms:created>
  <dcterms:modified xsi:type="dcterms:W3CDTF">2026-05-12T22:07:43Z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  <property fmtid="{D5CDD505-2E9C-101B-9397-08002B2CF9AE}" pid="3" name="subtitle">
    <vt:lpwstr>LOG650 Forskningsprosjekt, juni 2026 — Gruppe 11, Jørgen Renè</vt:lpwstr>
  </property>
</Properties>
</file>