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NautiCost — Datadreven kostnadsestimering for yachthavneanløp i Skandinavia</w:t>
      </w:r>
    </w:p>
    <w:p>
      <w:pPr>
        <w:pStyle w:val="Subtitle"/>
      </w:pPr>
      <w:r>
        <w:t xml:space="preserve">LOG650 Forskningsprosjekt, vår 2026 — Gruppe 11, Jørgen Renè (individuell)</w:t>
      </w:r>
    </w:p>
    <w:p>
      <w:pPr>
        <w:pStyle w:val="Author"/>
      </w:pPr>
      <w:r>
        <w:t xml:space="preserve">Jørgen Renè</w:t>
      </w:r>
    </w:p>
    <w:p>
      <w:pPr>
        <w:pStyle w:val="Date"/>
      </w:pPr>
      <w:r>
        <w:t xml:space="preserve">2026-05-12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Status:</w:t>
      </w:r>
      <w:r>
        <w:t xml:space="preserve"> </w:t>
      </w:r>
      <w:r>
        <w:t xml:space="preserve">Endelig versjon (v1.0 — 2026-05-12). Tall er verifisert mot</w:t>
      </w:r>
      <w:r>
        <w:t xml:space="preserve"> </w:t>
      </w:r>
      <w:r>
        <w:rPr>
          <w:rStyle w:val="VerbatimChar"/>
        </w:rPr>
        <w:t xml:space="preserve">metrics.csv</w:t>
      </w:r>
      <w:r>
        <w:t xml:space="preserve">,</w:t>
      </w:r>
      <w:r>
        <w:t xml:space="preserve"> </w:t>
      </w:r>
      <w:r>
        <w:rPr>
          <w:rStyle w:val="VerbatimChar"/>
        </w:rPr>
        <w:t xml:space="preserve">metrics_test_2025.csv</w:t>
      </w:r>
      <w:r>
        <w:t xml:space="preserve"> </w:t>
      </w:r>
      <w:r>
        <w:t xml:space="preserve">og</w:t>
      </w:r>
      <w:r>
        <w:t xml:space="preserve"> </w:t>
      </w:r>
      <w:r>
        <w:rPr>
          <w:rStyle w:val="VerbatimChar"/>
        </w:rPr>
        <w:t xml:space="preserve">model_meta_final.joblib</w:t>
      </w:r>
      <w:r>
        <w:t xml:space="preserve">. Endringer fra v0.4 (intern sluttgjennomgang før innlevering):</w:t>
      </w:r>
    </w:p>
    <w:p>
      <w:pPr>
        <w:pStyle w:val="Compact"/>
        <w:numPr>
          <w:ilvl w:val="0"/>
          <w:numId w:val="1001"/>
        </w:numPr>
      </w:pPr>
      <w:r>
        <w:rPr>
          <w:b/>
          <w:bCs/>
        </w:rPr>
        <w:t xml:space="preserve">§2.2</w:t>
      </w:r>
      <w:r>
        <w:t xml:space="preserve"> </w:t>
      </w:r>
      <w:r>
        <w:t xml:space="preserve">har nå en eksplisitt kobling til pensum</w:t>
      </w:r>
      <w:r>
        <w:softHyphen/>
      </w:r>
      <w:r>
        <w:t xml:space="preserve">kompendiet (Pettersen &amp; Rekdal, 2026): NautiCost faller under metodefamilien</w:t>
      </w:r>
      <w:r>
        <w:t xml:space="preserve"> </w:t>
      </w:r>
      <w:r>
        <w:t xml:space="preserve">“Mange forklaringsvariabler”</w:t>
      </w:r>
      <w:r>
        <w:t xml:space="preserve"> </w:t>
      </w:r>
      <w:r>
        <w:t xml:space="preserve">→ gradient boosting + kryssvalidering + SHAP + hyperparametertuning.</w:t>
      </w:r>
    </w:p>
    <w:p>
      <w:pPr>
        <w:pStyle w:val="Compact"/>
        <w:numPr>
          <w:ilvl w:val="0"/>
          <w:numId w:val="1001"/>
        </w:numPr>
      </w:pPr>
      <w:r>
        <w:rPr>
          <w:b/>
          <w:bCs/>
        </w:rPr>
        <w:t xml:space="preserve">§5.0</w:t>
      </w:r>
      <w:r>
        <w:t xml:space="preserve"> </w:t>
      </w:r>
      <w:r>
        <w:t xml:space="preserve">er ny: prosess</w:t>
      </w:r>
      <w:r>
        <w:softHyphen/>
      </w:r>
      <w:r>
        <w:t xml:space="preserve">stegene fra kompendiet (datainnsamling → sjekk antakelser → løsning → sjekk løsning → anvendelse) mappes eksplisitt til rapport</w:t>
      </w:r>
      <w:r>
        <w:softHyphen/>
      </w:r>
      <w:r>
        <w:t xml:space="preserve">kapitlene.</w:t>
      </w:r>
    </w:p>
    <w:p>
      <w:pPr>
        <w:pStyle w:val="Compact"/>
        <w:numPr>
          <w:ilvl w:val="0"/>
          <w:numId w:val="1001"/>
        </w:numPr>
      </w:pPr>
      <w:r>
        <w:rPr>
          <w:b/>
          <w:bCs/>
        </w:rPr>
        <w:t xml:space="preserve">§5.7</w:t>
      </w:r>
      <w:r>
        <w:t xml:space="preserve"> </w:t>
      </w:r>
      <w:r>
        <w:t xml:space="preserve">er ny: antakelses</w:t>
      </w:r>
      <w:r>
        <w:softHyphen/>
      </w:r>
      <w:r>
        <w:t xml:space="preserve">sjekk med residual</w:t>
      </w:r>
      <w:r>
        <w:softHyphen/>
      </w:r>
      <w:r>
        <w:t xml:space="preserve">diagnostikk (heteroskedastisitet, multikollinearitet, normal</w:t>
      </w:r>
      <w:r>
        <w:softHyphen/>
      </w:r>
      <w:r>
        <w:t xml:space="preserve">antakelse) — kompendiet steg 2.</w:t>
      </w:r>
    </w:p>
    <w:p>
      <w:pPr>
        <w:pStyle w:val="Compact"/>
        <w:numPr>
          <w:ilvl w:val="0"/>
          <w:numId w:val="1001"/>
        </w:numPr>
      </w:pPr>
      <w:r>
        <w:rPr>
          <w:b/>
          <w:bCs/>
        </w:rPr>
        <w:t xml:space="preserve">§7.4 Tabell 7.1</w:t>
      </w:r>
      <w:r>
        <w:t xml:space="preserve"> </w:t>
      </w:r>
      <w:r>
        <w:t xml:space="preserve">har avklart MAPE-enhet: verdier er forholds</w:t>
      </w:r>
      <w:r>
        <w:softHyphen/>
      </w:r>
      <w:r>
        <w:t xml:space="preserve">tall (4,07 ≈ 407 % gjennomsnittlig avvik per transaksjon), og tolkningen er omskrevet.</w:t>
      </w:r>
    </w:p>
    <w:p>
      <w:pPr>
        <w:pStyle w:val="Compact"/>
        <w:numPr>
          <w:ilvl w:val="0"/>
          <w:numId w:val="1001"/>
        </w:numPr>
      </w:pPr>
      <w:r>
        <w:rPr>
          <w:b/>
          <w:bCs/>
        </w:rPr>
        <w:t xml:space="preserve">§8.1</w:t>
      </w:r>
      <w:r>
        <w:t xml:space="preserve"> </w:t>
      </w:r>
      <w:r>
        <w:t xml:space="preserve">har eksplisitt tabell</w:t>
      </w:r>
      <w:r>
        <w:softHyphen/>
      </w:r>
      <w:r>
        <w:t xml:space="preserve">nummerering</w:t>
      </w:r>
      <w:r>
        <w:t xml:space="preserve"> </w:t>
      </w:r>
      <w:r>
        <w:t xml:space="preserve">“</w:t>
      </w:r>
      <w:r>
        <w:rPr>
          <w:b/>
          <w:bCs/>
        </w:rPr>
        <w:t xml:space="preserve">Tabell 8.1.</w:t>
      </w:r>
      <w:r>
        <w:t xml:space="preserve">”</w:t>
      </w:r>
      <w:r>
        <w:t xml:space="preserve">. Første tabell i § 8.3 har fått korrekt nummer 8.3a (de andre er nå 8.3b–e).</w:t>
      </w:r>
    </w:p>
    <w:p>
      <w:pPr>
        <w:pStyle w:val="Compact"/>
        <w:numPr>
          <w:ilvl w:val="0"/>
          <w:numId w:val="1001"/>
        </w:numPr>
      </w:pPr>
      <w:r>
        <w:rPr>
          <w:b/>
          <w:bCs/>
        </w:rPr>
        <w:t xml:space="preserve">§8.1</w:t>
      </w:r>
      <w:r>
        <w:t xml:space="preserve"> </w:t>
      </w:r>
      <w:r>
        <w:t xml:space="preserve">har avsluttende paragraf med bootstrap</w:t>
      </w:r>
      <w:r>
        <w:softHyphen/>
      </w:r>
      <w:r>
        <w:t xml:space="preserve">basert konfidens</w:t>
      </w:r>
      <w:r>
        <w:softHyphen/>
      </w:r>
      <w:r>
        <w:t xml:space="preserve">intervall for MAE-differansen mellom ensemble og LightGBM-base.</w:t>
      </w:r>
    </w:p>
    <w:p>
      <w:pPr>
        <w:pStyle w:val="Compact"/>
        <w:numPr>
          <w:ilvl w:val="0"/>
          <w:numId w:val="1001"/>
        </w:numPr>
      </w:pPr>
      <w:r>
        <w:rPr>
          <w:b/>
          <w:bCs/>
        </w:rPr>
        <w:t xml:space="preserve">§8.1.1 Endelig evaluering på testsettet (2025)</w:t>
      </w:r>
      <w:r>
        <w:t xml:space="preserve"> </w:t>
      </w:r>
      <w:r>
        <w:t xml:space="preserve">er nå fylt med faktiske test-sett-tall fra</w:t>
      </w:r>
      <w:r>
        <w:t xml:space="preserve"> </w:t>
      </w:r>
      <w:r>
        <w:rPr>
          <w:rStyle w:val="VerbatimChar"/>
        </w:rPr>
        <w:t xml:space="preserve">metrics_test_2025.csv</w:t>
      </w:r>
      <w:r>
        <w:t xml:space="preserve">: Ensemble MAE = 19 051 EUR, RMSE = 61 032 EUR, wMAPE = 74,3 %. Sammenligning val→test viser ≈ 10 % degradering, som er forventet etter modell</w:t>
      </w:r>
      <w:r>
        <w:softHyphen/>
      </w:r>
      <w:r>
        <w:t xml:space="preserve">seleksjon på val=2024.</w:t>
      </w:r>
    </w:p>
    <w:p>
      <w:pPr>
        <w:pStyle w:val="Compact"/>
        <w:numPr>
          <w:ilvl w:val="0"/>
          <w:numId w:val="1001"/>
        </w:numPr>
      </w:pPr>
      <w:r>
        <w:rPr>
          <w:b/>
          <w:bCs/>
        </w:rPr>
        <w:t xml:space="preserve">§9.1</w:t>
      </w:r>
      <w:r>
        <w:t xml:space="preserve"> </w:t>
      </w:r>
      <w:r>
        <w:t xml:space="preserve">har ny kvantitativ litteratur</w:t>
      </w:r>
      <w:r>
        <w:softHyphen/>
      </w:r>
      <w:r>
        <w:t xml:space="preserve">sammenligning: våre wMAPE-tall settes opp mot rapporterte tall fra Jang et al. (2023) og Çerçi et al. (2024).</w:t>
      </w:r>
    </w:p>
    <w:p>
      <w:pPr>
        <w:pStyle w:val="Compact"/>
        <w:numPr>
          <w:ilvl w:val="0"/>
          <w:numId w:val="1001"/>
        </w:numPr>
      </w:pPr>
      <w:r>
        <w:rPr>
          <w:b/>
          <w:bCs/>
        </w:rPr>
        <w:t xml:space="preserve">§9.4</w:t>
      </w:r>
      <w:r>
        <w:t xml:space="preserve"> </w:t>
      </w:r>
      <w:r>
        <w:t xml:space="preserve">er omskrevet fra fem kulepunkter til en utvidet kritisk drøfting av prediksjons</w:t>
      </w:r>
      <w:r>
        <w:softHyphen/>
      </w:r>
      <w:r>
        <w:t xml:space="preserve">svakheter (16 punkter), strukturert etter data, modell, antakelser og operasjonalisering.</w:t>
      </w:r>
    </w:p>
    <w:p>
      <w:pPr>
        <w:pStyle w:val="Compact"/>
        <w:numPr>
          <w:ilvl w:val="0"/>
          <w:numId w:val="1001"/>
        </w:numPr>
      </w:pPr>
      <w:r>
        <w:rPr>
          <w:b/>
          <w:bCs/>
        </w:rPr>
        <w:t xml:space="preserve">§9.6</w:t>
      </w:r>
      <w:r>
        <w:t xml:space="preserve"> </w:t>
      </w:r>
      <w:r>
        <w:t xml:space="preserve">er ny: eksplisitt drøfting av ekstern og konstrukt</w:t>
      </w:r>
      <w:r>
        <w:softHyphen/>
      </w:r>
      <w:r>
        <w:t xml:space="preserve">validitet — generaliserbarhet utover de 17 yachtene og om</w:t>
      </w:r>
      <w:r>
        <w:t xml:space="preserve"> </w:t>
      </w:r>
      <w:r>
        <w:rPr>
          <w:rStyle w:val="VerbatimChar"/>
        </w:rPr>
        <w:t xml:space="preserve">final_charge</w:t>
      </w:r>
      <w:r>
        <w:t xml:space="preserve"> </w:t>
      </w:r>
      <w:r>
        <w:t xml:space="preserve">er en gyldig proxy for total</w:t>
      </w:r>
      <w:r>
        <w:softHyphen/>
      </w:r>
      <w:r>
        <w:t xml:space="preserve">kostnad.</w:t>
      </w:r>
    </w:p>
    <w:p>
      <w:pPr>
        <w:pStyle w:val="Compact"/>
        <w:numPr>
          <w:ilvl w:val="0"/>
          <w:numId w:val="1001"/>
        </w:numPr>
      </w:pPr>
      <w:r>
        <w:rPr>
          <w:b/>
          <w:bCs/>
        </w:rPr>
        <w:t xml:space="preserve">§9.7</w:t>
      </w:r>
      <w:r>
        <w:t xml:space="preserve"> </w:t>
      </w:r>
      <w:r>
        <w:t xml:space="preserve">er ny: refleksjon over utfordringer underveis i fem klynger (data, modell, brukertest, prosess, rapportskriving) med ærlig vurdering av hvilke som ble løst, delvis løst eller forblir åpne. Tidligere §9.7 og §9.8 er flyttet til §9.8 og §9.9.</w:t>
      </w:r>
    </w:p>
    <w:p>
      <w:pPr>
        <w:pStyle w:val="Compact"/>
        <w:numPr>
          <w:ilvl w:val="0"/>
          <w:numId w:val="1001"/>
        </w:numPr>
      </w:pPr>
      <w:r>
        <w:rPr>
          <w:b/>
          <w:bCs/>
        </w:rPr>
        <w:t xml:space="preserve">Sammendrag</w:t>
      </w:r>
      <w:r>
        <w:t xml:space="preserve"> </w:t>
      </w:r>
      <w:r>
        <w:t xml:space="preserve">er oppdatert med test-sett-resultatet og pensum</w:t>
      </w:r>
      <w:r>
        <w:softHyphen/>
      </w:r>
      <w:r>
        <w:t xml:space="preserve">koblings</w:t>
      </w:r>
      <w:r>
        <w:softHyphen/>
      </w:r>
      <w:r>
        <w:t xml:space="preserve">setning.</w:t>
      </w:r>
    </w:p>
    <w:p>
      <w:pPr>
        <w:pStyle w:val="BlockText"/>
      </w:pPr>
      <w:r>
        <w:t xml:space="preserve">Endringer i v0.4 (referanse for kontekst): peer-review-respons til G10/Julie (akademisk bidrag, lit/teori-blanding, val/test-skille, figur</w:t>
      </w:r>
      <w:r>
        <w:softHyphen/>
      </w:r>
      <w:r>
        <w:t xml:space="preserve">tekster med nøkkeltall, teori</w:t>
      </w:r>
      <w:r>
        <w:softHyphen/>
      </w:r>
      <w:r>
        <w:t xml:space="preserve">kobling i diskusjon, APA 7). Endringer i v0.3: valuta</w:t>
      </w:r>
      <w:r>
        <w:softHyphen/>
      </w:r>
      <w:r>
        <w:t xml:space="preserve">korreksjon EUR vs. NOK (§1.3), § 9.5 brukertest mai 2026, Vedlegg E rubrikk for</w:t>
      </w:r>
      <w:r>
        <w:t xml:space="preserve"> </w:t>
      </w:r>
      <w:r>
        <w:rPr>
          <w:rStyle w:val="VerbatimChar"/>
        </w:rPr>
        <w:t xml:space="preserve">guest_experience</w:t>
      </w:r>
      <w:r>
        <w:t xml:space="preserve">.</w:t>
      </w:r>
    </w:p>
    <w:p>
      <w:r>
        <w:pict>
          <v:rect style="width:0;height:1.5pt" o:hralign="center" o:hrstd="t" o:hr="t"/>
        </w:pict>
      </w:r>
    </w:p>
    <w:bookmarkStart w:id="9" w:name="sammendrag"/>
    <w:p>
      <w:pPr>
        <w:pStyle w:val="Heading2"/>
      </w:pPr>
      <w:r>
        <w:rPr>
          <w:rStyle w:val="SectionNumber"/>
        </w:rPr>
        <w:t xml:space="preserve">1</w:t>
      </w:r>
      <w:r>
        <w:tab/>
      </w:r>
      <w:r>
        <w:t xml:space="preserve">Sammendrag</w:t>
      </w:r>
    </w:p>
    <w:p>
      <w:pPr>
        <w:pStyle w:val="FirstParagraph"/>
      </w:pPr>
      <w:r>
        <w:t xml:space="preserve">NautiCost er et beslutningsstøtteverktøy som estimerer totalkostnaden for et superyachthavneanløp i Norge, Sverige eller Danmark før yachten ankommer. Verktøyet baserer seg på 1 647 historiske tjenestetransaksjoner i perioden 2020–2025 fra agentbedriften Yachting Operations, koblet mot 17 yachters tekniske spesifikasjoner, og plasserer seg metodisk i pensum</w:t>
      </w:r>
      <w:r>
        <w:softHyphen/>
      </w:r>
      <w:r>
        <w:t xml:space="preserve">kompendiets kategori</w:t>
      </w:r>
      <w:r>
        <w:t xml:space="preserve"> </w:t>
      </w:r>
      <w:r>
        <w:t xml:space="preserve">“Mange forklaringsvariabler”</w:t>
      </w:r>
      <w:r>
        <w:t xml:space="preserve"> </w:t>
      </w:r>
      <w:r>
        <w:t xml:space="preserve">(Pettersen &amp; Rekdal, 2026, tabell 1.1) — det vil si gradient boosting + kryssvalidering + SHAP + hyperparametertuning. Kostnaden modelleres på transaksjonsnivå med en log-transformert mål</w:t>
      </w:r>
      <w:r>
        <w:softHyphen/>
      </w:r>
      <w:r>
        <w:t xml:space="preserve">variabel og en ensemble</w:t>
      </w:r>
      <w:r>
        <w:softHyphen/>
      </w:r>
      <w:r>
        <w:t xml:space="preserve">modell bestående av LightGBM og CatBoost. Predikerte transaksjonskostnader aggregeres til havn- og land</w:t>
      </w:r>
      <w:r>
        <w:softHyphen/>
      </w:r>
      <w:r>
        <w:t xml:space="preserve">nivå via portmaler og trafikkvekter, og kalibreres mot empiriske kostnadspersentiler (P25/P50/P75) per (havn, størrelseskategori). Kildedata fra Yachting Operations er denominert i EUR (kostnadsrapportenes egne kolonneoverskrifter); modellen er derfor trent og evalueres i EUR, og frontend konverterer til NOK eller DKK ved API-grensa via en konstant vekslingskurs (jf. § 1.3 og § 9.5). På</w:t>
      </w:r>
      <w:r>
        <w:t xml:space="preserve"> </w:t>
      </w:r>
      <w:r>
        <w:rPr>
          <w:b/>
          <w:bCs/>
        </w:rPr>
        <w:t xml:space="preserve">valideringssettet</w:t>
      </w:r>
      <w:r>
        <w:t xml:space="preserve"> </w:t>
      </w:r>
      <w:r>
        <w:t xml:space="preserve">(2024, 490 transaksjoner — brukt til modell</w:t>
      </w:r>
      <w:r>
        <w:softHyphen/>
      </w:r>
      <w:r>
        <w:t xml:space="preserve">seleksjon) oppnår ensemblet MAE = 17 350 EUR og RMSE = 55 490 EUR, og slår både median</w:t>
      </w:r>
      <w:r>
        <w:softHyphen/>
      </w:r>
      <w:r>
        <w:t xml:space="preserve">baseline (MAE = 21 800 EUR) og ridge</w:t>
      </w:r>
      <w:r>
        <w:softHyphen/>
      </w:r>
      <w:r>
        <w:t xml:space="preserve">regresjon (MAE = 18 251 EUR). På det</w:t>
      </w:r>
      <w:r>
        <w:t xml:space="preserve"> </w:t>
      </w:r>
      <w:r>
        <w:rPr>
          <w:b/>
          <w:bCs/>
        </w:rPr>
        <w:t xml:space="preserve">uavhengige testsettet</w:t>
      </w:r>
      <w:r>
        <w:t xml:space="preserve"> </w:t>
      </w:r>
      <w:r>
        <w:t xml:space="preserve">(2025, 649 transaksjoner — aldri brukt i seleksjon) oppnår samme ensemble</w:t>
      </w:r>
      <w:r>
        <w:softHyphen/>
      </w:r>
      <w:r>
        <w:t xml:space="preserve">modell MAE = 19 051 EUR, RMSE = 61 032 EUR og wMAPE = 74,3 % — om lag 10 % høyere MAE enn på valideringssettet, hvilket er forventet etter modell</w:t>
      </w:r>
      <w:r>
        <w:softHyphen/>
      </w:r>
      <w:r>
        <w:t xml:space="preserve">seleksjon og bekrefter at modellen generaliserer til ny tidsperiode uten katastrofalt fall. Modellen er pakket som et FastAPI-endepunkt og en Next.js-frontend som lar agentkoordinatorer hente et estimat med tilhørende usikkerhets</w:t>
      </w:r>
      <w:r>
        <w:softHyphen/>
      </w:r>
      <w:r>
        <w:t xml:space="preserve">bånd på under to sekunder.</w:t>
      </w:r>
    </w:p>
    <w:p>
      <w:r>
        <w:pict>
          <v:rect style="width:0;height:1.5pt" o:hralign="center" o:hrstd="t" o:hr="t"/>
        </w:pict>
      </w:r>
    </w:p>
    <w:bookmarkEnd w:id="9"/>
    <w:bookmarkStart w:id="15" w:name="innledning"/>
    <w:p>
      <w:pPr>
        <w:pStyle w:val="Heading2"/>
      </w:pPr>
      <w:r>
        <w:rPr>
          <w:rStyle w:val="SectionNumber"/>
        </w:rPr>
        <w:t xml:space="preserve">2</w:t>
      </w:r>
      <w:r>
        <w:tab/>
      </w:r>
      <w:r>
        <w:t xml:space="preserve">1. Innledning</w:t>
      </w:r>
    </w:p>
    <w:p>
      <w:pPr>
        <w:pStyle w:val="FirstParagraph"/>
      </w:pPr>
      <w:r>
        <w:t xml:space="preserve">Internasjonale superyachter genererer betydelige tjeneste</w:t>
      </w:r>
      <w:r>
        <w:softHyphen/>
      </w:r>
      <w:r>
        <w:t xml:space="preserve">inntekter for skandinaviske havneagenter, men kostnadsbildet ved et havneanløp er komplekst: ett anløp består typisk av 5–40 separate transaksjoner fordelt på havneavgift, los, hospitality, proviant, agenttjenester og bunkers. I dag estimeres totalkost</w:t>
      </w:r>
      <w:r>
        <w:softHyphen/>
      </w:r>
      <w:r>
        <w:t xml:space="preserve">naden manuelt av agent</w:t>
      </w:r>
      <w:r>
        <w:softHyphen/>
      </w:r>
      <w:r>
        <w:t xml:space="preserve">koordinator basert på erfaring og oppslag i tidligere fakturaer, hvilket er tidkrevende og inkonsistent. Resultatet er at yachteiere ofte mottar grove anslag som senere må justeres.</w:t>
      </w:r>
    </w:p>
    <w:p>
      <w:pPr>
        <w:pStyle w:val="BodyText"/>
      </w:pPr>
      <w:r>
        <w:t xml:space="preserve">Dette prosjektet utvikler et datadrevet estimerings</w:t>
      </w:r>
      <w:r>
        <w:softHyphen/>
      </w:r>
      <w:r>
        <w:t xml:space="preserve">verktøy —</w:t>
      </w:r>
      <w:r>
        <w:t xml:space="preserve"> </w:t>
      </w:r>
      <w:r>
        <w:rPr>
          <w:i/>
          <w:iCs/>
        </w:rPr>
        <w:t xml:space="preserve">NautiCost</w:t>
      </w:r>
      <w:r>
        <w:t xml:space="preserve"> </w:t>
      </w:r>
      <w:r>
        <w:t xml:space="preserve">— som tar inn en yachts spesifikasjoner og en tenkt reise (land, måned, oppholdslengde, drivstoff</w:t>
      </w:r>
      <w:r>
        <w:softHyphen/>
      </w:r>
      <w:r>
        <w:t xml:space="preserve">nivå) og returnerer en totalpris fordelt på tjeneste</w:t>
      </w:r>
      <w:r>
        <w:softHyphen/>
      </w:r>
      <w:r>
        <w:t xml:space="preserve">kategori, sammen med et historisk kostnadsspenn (P25–P75) for konteksten anløpet hører til.</w:t>
      </w:r>
    </w:p>
    <w:bookmarkStart w:id="10" w:name="problemstilling"/>
    <w:p>
      <w:pPr>
        <w:pStyle w:val="Heading3"/>
      </w:pPr>
      <w:r>
        <w:rPr>
          <w:rStyle w:val="SectionNumber"/>
        </w:rPr>
        <w:t xml:space="preserve">2.1</w:t>
      </w:r>
      <w:r>
        <w:tab/>
      </w:r>
      <w:r>
        <w:t xml:space="preserve">1.1 Problemstilling</w:t>
      </w:r>
    </w:p>
    <w:p>
      <w:pPr>
        <w:pStyle w:val="BlockText"/>
      </w:pPr>
      <w:r>
        <w:rPr>
          <w:b/>
          <w:bCs/>
        </w:rPr>
        <w:t xml:space="preserve">Hovedspørsmål:</w:t>
      </w:r>
      <w:r>
        <w:t xml:space="preserve"> </w:t>
      </w:r>
      <w:r>
        <w:t xml:space="preserve">Hvor presist og forklarbart kan total</w:t>
      </w:r>
      <w:r>
        <w:softHyphen/>
      </w:r>
      <w:r>
        <w:t xml:space="preserve">kostnaden for et superyachthavne</w:t>
      </w:r>
      <w:r>
        <w:softHyphen/>
      </w:r>
      <w:r>
        <w:t xml:space="preserve">anløp i Skandinavia estimeres ut fra yacht</w:t>
      </w:r>
      <w:r>
        <w:softHyphen/>
      </w:r>
      <w:r>
        <w:t xml:space="preserve">spesifikasjoner, destinasjon og sesong, basert på historiske transaksjons</w:t>
      </w:r>
      <w:r>
        <w:softHyphen/>
      </w:r>
      <w:r>
        <w:t xml:space="preserve">data?</w:t>
      </w:r>
    </w:p>
    <w:bookmarkEnd w:id="10"/>
    <w:bookmarkStart w:id="11" w:name="delproblemer"/>
    <w:p>
      <w:pPr>
        <w:pStyle w:val="Heading3"/>
      </w:pPr>
      <w:r>
        <w:rPr>
          <w:rStyle w:val="SectionNumber"/>
        </w:rPr>
        <w:t xml:space="preserve">2.2</w:t>
      </w:r>
      <w:r>
        <w:tab/>
      </w:r>
      <w:r>
        <w:t xml:space="preserve">1.2 Delproblemer</w:t>
      </w:r>
    </w:p>
    <w:p>
      <w:pPr>
        <w:pStyle w:val="Compact"/>
        <w:numPr>
          <w:ilvl w:val="0"/>
          <w:numId w:val="1002"/>
        </w:numPr>
      </w:pPr>
      <w:r>
        <w:rPr>
          <w:b/>
          <w:bCs/>
        </w:rPr>
        <w:t xml:space="preserve">DP1 — Datagrunnlag.</w:t>
      </w:r>
      <w:r>
        <w:t xml:space="preserve"> </w:t>
      </w:r>
      <w:r>
        <w:t xml:space="preserve">Hvilke variabler i Yachting Operations sine fakturaer og kjøpsord</w:t>
      </w:r>
      <w:r>
        <w:softHyphen/>
      </w:r>
      <w:r>
        <w:t xml:space="preserve">re</w:t>
      </w:r>
      <w:r>
        <w:softHyphen/>
      </w:r>
      <w:r>
        <w:t xml:space="preserve">data har størst forklarings</w:t>
      </w:r>
      <w:r>
        <w:softHyphen/>
      </w:r>
      <w:r>
        <w:t xml:space="preserve">kraft for kostnaden per transaksjon?</w:t>
      </w:r>
    </w:p>
    <w:p>
      <w:pPr>
        <w:pStyle w:val="Compact"/>
        <w:numPr>
          <w:ilvl w:val="0"/>
          <w:numId w:val="1002"/>
        </w:numPr>
      </w:pPr>
      <w:r>
        <w:rPr>
          <w:b/>
          <w:bCs/>
        </w:rPr>
        <w:t xml:space="preserve">DP2 — Modell.</w:t>
      </w:r>
      <w:r>
        <w:t xml:space="preserve"> </w:t>
      </w:r>
      <w:r>
        <w:t xml:space="preserve">Hvilken læringsmodell gir lavest prognosefeil (MAE/RMSE) på et tids</w:t>
      </w:r>
      <w:r>
        <w:softHyphen/>
      </w:r>
      <w:r>
        <w:t xml:space="preserve">basert testsett, gitt en sterkt høyreskjev kostnadsfordeling?</w:t>
      </w:r>
    </w:p>
    <w:p>
      <w:pPr>
        <w:pStyle w:val="Compact"/>
        <w:numPr>
          <w:ilvl w:val="0"/>
          <w:numId w:val="1002"/>
        </w:numPr>
      </w:pPr>
      <w:r>
        <w:rPr>
          <w:b/>
          <w:bCs/>
        </w:rPr>
        <w:t xml:space="preserve">DP3 — Kalibrering.</w:t>
      </w:r>
      <w:r>
        <w:t xml:space="preserve"> </w:t>
      </w:r>
      <w:r>
        <w:t xml:space="preserve">Hvordan kan en transaksjons</w:t>
      </w:r>
      <w:r>
        <w:softHyphen/>
      </w:r>
      <w:r>
        <w:t xml:space="preserve">modell aggregeres til realistiske totalkost</w:t>
      </w:r>
      <w:r>
        <w:softHyphen/>
      </w:r>
      <w:r>
        <w:t xml:space="preserve">nader per havneanløp, og kalibreres mot historiske persentiler slik at estimatene blir konservative?</w:t>
      </w:r>
    </w:p>
    <w:p>
      <w:pPr>
        <w:pStyle w:val="Compact"/>
        <w:numPr>
          <w:ilvl w:val="0"/>
          <w:numId w:val="1002"/>
        </w:numPr>
      </w:pPr>
      <w:r>
        <w:rPr>
          <w:b/>
          <w:bCs/>
        </w:rPr>
        <w:t xml:space="preserve">DP4 — Usikkerhet.</w:t>
      </w:r>
      <w:r>
        <w:t xml:space="preserve"> </w:t>
      </w:r>
      <w:r>
        <w:t xml:space="preserve">Hvordan kan estimatets usikkerhet kommuniseres til agent</w:t>
      </w:r>
      <w:r>
        <w:softHyphen/>
      </w:r>
      <w:r>
        <w:t xml:space="preserve">koordinator, slik at sluttkunden får et realistisk spenn og ikke et villedende punkt</w:t>
      </w:r>
      <w:r>
        <w:softHyphen/>
      </w:r>
      <w:r>
        <w:t xml:space="preserve">estimat?</w:t>
      </w:r>
    </w:p>
    <w:p>
      <w:pPr>
        <w:pStyle w:val="Compact"/>
        <w:numPr>
          <w:ilvl w:val="0"/>
          <w:numId w:val="1002"/>
        </w:numPr>
      </w:pPr>
      <w:r>
        <w:rPr>
          <w:b/>
          <w:bCs/>
        </w:rPr>
        <w:t xml:space="preserve">DP5 — Operasjonalisering.</w:t>
      </w:r>
      <w:r>
        <w:t xml:space="preserve"> </w:t>
      </w:r>
      <w:r>
        <w:t xml:space="preserve">Hvordan kan modellen pakkes inn i en lett til</w:t>
      </w:r>
      <w:r>
        <w:softHyphen/>
      </w:r>
      <w:r>
        <w:t xml:space="preserve">gjengelig web-tjeneste som svarer innen to sekunder?</w:t>
      </w:r>
    </w:p>
    <w:bookmarkEnd w:id="11"/>
    <w:bookmarkStart w:id="12" w:name="avgrensninger"/>
    <w:p>
      <w:pPr>
        <w:pStyle w:val="Heading3"/>
      </w:pPr>
      <w:r>
        <w:rPr>
          <w:rStyle w:val="SectionNumber"/>
        </w:rPr>
        <w:t xml:space="preserve">2.3</w:t>
      </w:r>
      <w:r>
        <w:tab/>
      </w:r>
      <w:r>
        <w:t xml:space="preserve">1.3 Avgrensninger</w:t>
      </w:r>
    </w:p>
    <w:p>
      <w:pPr>
        <w:pStyle w:val="Compact"/>
        <w:numPr>
          <w:ilvl w:val="0"/>
          <w:numId w:val="1003"/>
        </w:numPr>
      </w:pPr>
      <w:r>
        <w:rPr>
          <w:b/>
          <w:bCs/>
        </w:rPr>
        <w:t xml:space="preserve">Geografi:</w:t>
      </w:r>
      <w:r>
        <w:t xml:space="preserve"> </w:t>
      </w:r>
      <w:r>
        <w:t xml:space="preserve">Kun Norge, Sverige og Danmark. 12 havner totalt: Bergen, Tromsø, Svolvær, Ålesund, Kristiansand, Stavanger (NO); Stockholm, Göteborg, Malmö (SE); København, Esbjerg, Fredericia (DK).</w:t>
      </w:r>
    </w:p>
    <w:p>
      <w:pPr>
        <w:pStyle w:val="Compact"/>
        <w:numPr>
          <w:ilvl w:val="0"/>
          <w:numId w:val="1003"/>
        </w:numPr>
      </w:pPr>
      <w:r>
        <w:rPr>
          <w:b/>
          <w:bCs/>
        </w:rPr>
        <w:t xml:space="preserve">Periode:</w:t>
      </w:r>
      <w:r>
        <w:t xml:space="preserve"> </w:t>
      </w:r>
      <w:r>
        <w:t xml:space="preserve">Treningsdata fra perioden 2020–2025. Eldre data er utelatt grunnet endrede tjeneste</w:t>
      </w:r>
      <w:r>
        <w:softHyphen/>
      </w:r>
      <w:r>
        <w:t xml:space="preserve">kategorier og prisnivå.</w:t>
      </w:r>
    </w:p>
    <w:p>
      <w:pPr>
        <w:pStyle w:val="Compact"/>
        <w:numPr>
          <w:ilvl w:val="0"/>
          <w:numId w:val="1003"/>
        </w:numPr>
      </w:pPr>
      <w:r>
        <w:rPr>
          <w:b/>
          <w:bCs/>
        </w:rPr>
        <w:t xml:space="preserve">Yachtklasse:</w:t>
      </w:r>
      <w:r>
        <w:t xml:space="preserve"> </w:t>
      </w:r>
      <w:r>
        <w:t xml:space="preserve">Modellen er trent på 17 superyachter med GT i intervallet 51,9–2 407 (median 152 GT, LOA 18,9–79,2 m). Ekstrapolering til langt mindre eller langt større fartøy er ikke validert.</w:t>
      </w:r>
    </w:p>
    <w:p>
      <w:pPr>
        <w:pStyle w:val="Compact"/>
        <w:numPr>
          <w:ilvl w:val="0"/>
          <w:numId w:val="1003"/>
        </w:numPr>
      </w:pPr>
      <w:r>
        <w:rPr>
          <w:b/>
          <w:bCs/>
        </w:rPr>
        <w:t xml:space="preserve">Valuta:</w:t>
      </w:r>
      <w:r>
        <w:t xml:space="preserve"> </w:t>
      </w:r>
      <w:r>
        <w:t xml:space="preserve">Kildedata fra Yachting Operations er denominert i</w:t>
      </w:r>
      <w:r>
        <w:t xml:space="preserve"> </w:t>
      </w:r>
      <w:r>
        <w:rPr>
          <w:b/>
          <w:bCs/>
        </w:rPr>
        <w:t xml:space="preserve">EUR</w:t>
      </w:r>
      <w:r>
        <w:t xml:space="preserve"> </w:t>
      </w:r>
      <w:r>
        <w:t xml:space="preserve">— cockpit-rapportene (</w:t>
      </w:r>
      <w:r>
        <w:rPr>
          <w:rStyle w:val="VerbatimChar"/>
        </w:rPr>
        <w:t xml:space="preserve">004 data/cockpit_2020.csv</w:t>
      </w:r>
      <w:r>
        <w:t xml:space="preserve"> </w:t>
      </w:r>
      <w:r>
        <w:t xml:space="preserve">til</w:t>
      </w:r>
      <w:r>
        <w:t xml:space="preserve"> </w:t>
      </w:r>
      <w:r>
        <w:rPr>
          <w:rStyle w:val="VerbatimChar"/>
        </w:rPr>
        <w:t xml:space="preserve">cockpit_2025.csv</w:t>
      </w:r>
      <w:r>
        <w:t xml:space="preserve">) har eksplisitte EUR-kolonneoverskrifter, og fakturabeløpene i</w:t>
      </w:r>
      <w:r>
        <w:t xml:space="preserve"> </w:t>
      </w:r>
      <w:r>
        <w:rPr>
          <w:rStyle w:val="VerbatimChar"/>
        </w:rPr>
        <w:t xml:space="preserve">costs_clean.csv</w:t>
      </w:r>
      <w:r>
        <w:t xml:space="preserve"> </w:t>
      </w:r>
      <w:r>
        <w:t xml:space="preserve">(</w:t>
      </w:r>
      <w:r>
        <w:rPr>
          <w:rStyle w:val="VerbatimChar"/>
        </w:rPr>
        <w:t xml:space="preserve">final_charge</w:t>
      </w:r>
      <w:r>
        <w:t xml:space="preserve">) ligger i EUR-størrelses</w:t>
      </w:r>
      <w:r>
        <w:softHyphen/>
      </w:r>
      <w:r>
        <w:t xml:space="preserve">orden (typisk 1 000–10 000 EUR per transaksjon for et superyacht-anløp). Modellen er derfor trent og rapporteres i EUR. Frontend konverterer til NOK eller DKK ved API-grensa via konstantene i</w:t>
      </w:r>
      <w:r>
        <w:t xml:space="preserve"> </w:t>
      </w:r>
      <w:r>
        <w:rPr>
          <w:rStyle w:val="VerbatimChar"/>
        </w:rPr>
        <w:t xml:space="preserve">EXCHANGE_RATES_FROM_EUR</w:t>
      </w:r>
      <w:r>
        <w:t xml:space="preserve"> </w:t>
      </w:r>
      <w:r>
        <w:t xml:space="preserve">(kurs mai 2026: EUR/NOK ≈ 11,50, EUR/DKK = 7,46 — DKK er fastlåst mot EUR via ERM II). Konstantene oppdateres mot ECBs referansekurs ved behov og introduserer en ekstra usikkerhets</w:t>
      </w:r>
      <w:r>
        <w:softHyphen/>
      </w:r>
      <w:r>
        <w:t xml:space="preserve">kilde for NOK-rapporterte tall (jf. § 9.5). Inflasjonsjustering er ikke gjennomført.</w:t>
      </w:r>
    </w:p>
    <w:p>
      <w:pPr>
        <w:pStyle w:val="Compact"/>
        <w:numPr>
          <w:ilvl w:val="0"/>
          <w:numId w:val="1003"/>
        </w:numPr>
      </w:pPr>
      <w:r>
        <w:rPr>
          <w:b/>
          <w:bCs/>
        </w:rPr>
        <w:t xml:space="preserve">Forretningsmål:</w:t>
      </w:r>
      <w:r>
        <w:t xml:space="preserve"> </w:t>
      </w:r>
      <w:r>
        <w:t xml:space="preserve">Verktøyet gir kostnads</w:t>
      </w:r>
      <w:r>
        <w:softHyphen/>
      </w:r>
      <w:r>
        <w:t xml:space="preserve">estimater og ikke pristilbud. Marginer, valutarisiko og kontrakts</w:t>
      </w:r>
      <w:r>
        <w:softHyphen/>
      </w:r>
      <w:r>
        <w:t xml:space="preserve">vilkår er ikke en del av leveransen.</w:t>
      </w:r>
    </w:p>
    <w:bookmarkEnd w:id="12"/>
    <w:bookmarkStart w:id="13" w:name="antakelser"/>
    <w:p>
      <w:pPr>
        <w:pStyle w:val="Heading3"/>
      </w:pPr>
      <w:r>
        <w:rPr>
          <w:rStyle w:val="SectionNumber"/>
        </w:rPr>
        <w:t xml:space="preserve">2.4</w:t>
      </w:r>
      <w:r>
        <w:tab/>
      </w:r>
      <w:r>
        <w:t xml:space="preserve">1.4 Antakelser</w:t>
      </w:r>
    </w:p>
    <w:p>
      <w:pPr>
        <w:pStyle w:val="Compact"/>
        <w:numPr>
          <w:ilvl w:val="0"/>
          <w:numId w:val="1004"/>
        </w:numPr>
      </w:pPr>
      <w:r>
        <w:rPr>
          <w:b/>
          <w:bCs/>
        </w:rPr>
        <w:t xml:space="preserve">A1.</w:t>
      </w:r>
      <w:r>
        <w:t xml:space="preserve"> </w:t>
      </w:r>
      <w:r>
        <w:t xml:space="preserve">Historisk tjenestesammensetning per havn (fanget i</w:t>
      </w:r>
      <w:r>
        <w:t xml:space="preserve"> </w:t>
      </w:r>
      <w:r>
        <w:rPr>
          <w:rStyle w:val="VerbatimChar"/>
        </w:rPr>
        <w:t xml:space="preserve">PORT_TEMPLATES</w:t>
      </w:r>
      <w:r>
        <w:t xml:space="preserve">) er stabil i prediksjons</w:t>
      </w:r>
      <w:r>
        <w:softHyphen/>
      </w:r>
      <w:r>
        <w:t xml:space="preserve">horisonten 0–12 måneder.</w:t>
      </w:r>
    </w:p>
    <w:p>
      <w:pPr>
        <w:pStyle w:val="Compact"/>
        <w:numPr>
          <w:ilvl w:val="0"/>
          <w:numId w:val="1004"/>
        </w:numPr>
      </w:pPr>
      <w:r>
        <w:rPr>
          <w:b/>
          <w:bCs/>
        </w:rPr>
        <w:t xml:space="preserve">A2.</w:t>
      </w:r>
      <w:r>
        <w:t xml:space="preserve"> </w:t>
      </w:r>
      <w:r>
        <w:t xml:space="preserve">Trafikkvektene per havn (antall historiske anløp) er en rimelig proxy for fordeling av framtidige anløp i samme land.</w:t>
      </w:r>
    </w:p>
    <w:p>
      <w:pPr>
        <w:pStyle w:val="Compact"/>
        <w:numPr>
          <w:ilvl w:val="0"/>
          <w:numId w:val="1004"/>
        </w:numPr>
      </w:pPr>
      <w:r>
        <w:rPr>
          <w:b/>
          <w:bCs/>
        </w:rPr>
        <w:t xml:space="preserve">A3.</w:t>
      </w:r>
      <w:r>
        <w:t xml:space="preserve"> </w:t>
      </w:r>
      <w:r>
        <w:t xml:space="preserve">Faktura</w:t>
      </w:r>
      <w:r>
        <w:softHyphen/>
      </w:r>
      <w:r>
        <w:t xml:space="preserve">beløp i datasettet er korrekt registrert i</w:t>
      </w:r>
      <w:r>
        <w:t xml:space="preserve"> </w:t>
      </w:r>
      <w:r>
        <w:rPr>
          <w:rStyle w:val="VerbatimChar"/>
        </w:rPr>
        <w:t xml:space="preserve">final_charge</w:t>
      </w:r>
      <w:r>
        <w:t xml:space="preserve">-feltet, og rader uten gyldig pris (</w:t>
      </w:r>
      <w:r>
        <w:rPr>
          <w:rStyle w:val="VerbatimChar"/>
        </w:rPr>
        <w:t xml:space="preserve">final_charge ≤ 0</w:t>
      </w:r>
      <w:r>
        <w:t xml:space="preserve"> </w:t>
      </w:r>
      <w:r>
        <w:t xml:space="preserve">eller manglende) er feil</w:t>
      </w:r>
      <w:r>
        <w:softHyphen/>
      </w:r>
      <w:r>
        <w:t xml:space="preserve">registreringer som kan fjernes uten å skape skjevhet.</w:t>
      </w:r>
    </w:p>
    <w:p>
      <w:pPr>
        <w:pStyle w:val="Compact"/>
        <w:numPr>
          <w:ilvl w:val="0"/>
          <w:numId w:val="1004"/>
        </w:numPr>
      </w:pPr>
      <w:r>
        <w:rPr>
          <w:b/>
          <w:bCs/>
        </w:rPr>
        <w:t xml:space="preserve">A4.</w:t>
      </w:r>
      <w:r>
        <w:t xml:space="preserve"> </w:t>
      </w:r>
      <w:r>
        <w:t xml:space="preserve">En log-transformasjon på kostnaden gir en tilstrekkelig symmetrisk feilfordeling til at MAE/RMSE-baserte modeller fungerer godt.</w:t>
      </w:r>
    </w:p>
    <w:bookmarkEnd w:id="13"/>
    <w:bookmarkStart w:id="14" w:name="akademisk-bidrag"/>
    <w:p>
      <w:pPr>
        <w:pStyle w:val="Heading3"/>
      </w:pPr>
      <w:r>
        <w:rPr>
          <w:rStyle w:val="SectionNumber"/>
        </w:rPr>
        <w:t xml:space="preserve">2.5</w:t>
      </w:r>
      <w:r>
        <w:tab/>
      </w:r>
      <w:r>
        <w:t xml:space="preserve">1.5 Akademisk bidrag</w:t>
      </w:r>
    </w:p>
    <w:p>
      <w:pPr>
        <w:pStyle w:val="FirstParagraph"/>
      </w:pPr>
      <w:r>
        <w:t xml:space="preserve">Studien plasserer seg i skjæringspunktet mellom maritim logistikk, prediktiv analyse og operasjonell beslutningsstøtte, og adresserer tre identifiserte huller i den eksisterende forskningslitteraturen (jf. § 2.4):</w:t>
      </w:r>
    </w:p>
    <w:p>
      <w:pPr>
        <w:pStyle w:val="Compact"/>
        <w:numPr>
          <w:ilvl w:val="0"/>
          <w:numId w:val="1005"/>
        </w:numPr>
      </w:pPr>
      <w:r>
        <w:rPr>
          <w:b/>
          <w:bCs/>
        </w:rPr>
        <w:t xml:space="preserve">Transaksjonsnivå-aggregering med empirisk persentil</w:t>
      </w:r>
      <w:r>
        <w:rPr>
          <w:b/>
          <w:bCs/>
        </w:rPr>
        <w:softHyphen/>
      </w:r>
      <w:r>
        <w:rPr>
          <w:b/>
          <w:bCs/>
        </w:rPr>
        <w:t xml:space="preserve">kalibrering.</w:t>
      </w:r>
      <w:r>
        <w:t xml:space="preserve"> </w:t>
      </w:r>
      <w:r>
        <w:t xml:space="preserve">Eksisterende studier av kostnads- og rateprediksjon i transport (Jang et al., 2023; Çerçi et al., 2024) modellerer typisk én totalkostnad per reise, mens havne</w:t>
      </w:r>
      <w:r>
        <w:softHyphen/>
      </w:r>
      <w:r>
        <w:t xml:space="preserve">effektivitets</w:t>
      </w:r>
      <w:r>
        <w:softHyphen/>
      </w:r>
      <w:r>
        <w:t xml:space="preserve">studier (Garrido Albarracín et al., 2024) modellerer aggregat på havne</w:t>
      </w:r>
      <w:r>
        <w:softHyphen/>
      </w:r>
      <w:r>
        <w:t xml:space="preserve">nivå. Ingen av disse fanger den sammensatte tjeneste</w:t>
      </w:r>
      <w:r>
        <w:softHyphen/>
      </w:r>
      <w:r>
        <w:t xml:space="preserve">miksen per yacht-anløp (5–40 transaksjoner fordelt på syv kategorier). Bidraget er en transaksjonsnivå-ensemble</w:t>
      </w:r>
      <w:r>
        <w:softHyphen/>
      </w:r>
      <w:r>
        <w:t xml:space="preserve">modell etterfulgt av trafikkvektet aggregering og hybrid kalibrering mot empiriske</w:t>
      </w:r>
      <w:r>
        <w:t xml:space="preserve"> </w:t>
      </w:r>
      <w:r>
        <w:rPr>
          <w:rStyle w:val="VerbatimChar"/>
        </w:rPr>
        <w:t xml:space="preserve">(havn, størrelse)</w:t>
      </w:r>
      <w:r>
        <w:t xml:space="preserve">-persentiler, som gir realistiske totalanslag i et lite (n ≈ 1 600) og høyt</w:t>
      </w:r>
      <w:r>
        <w:softHyphen/>
      </w:r>
      <w:r>
        <w:t xml:space="preserve">skjevt regime — uten å forutsette stabile per-tjeneste-priser. Dette utvider den prediktive analysens verktøykasse for maritim logistikk fra</w:t>
      </w:r>
      <w:r>
        <w:t xml:space="preserve"> </w:t>
      </w:r>
      <w:r>
        <w:t xml:space="preserve">“én pris per reise”</w:t>
      </w:r>
      <w:r>
        <w:t xml:space="preserve"> </w:t>
      </w:r>
      <w:r>
        <w:t xml:space="preserve">til</w:t>
      </w:r>
      <w:r>
        <w:t xml:space="preserve"> </w:t>
      </w:r>
      <w:r>
        <w:t xml:space="preserve">“tjeneste</w:t>
      </w:r>
      <w:r>
        <w:softHyphen/>
      </w:r>
      <w:r>
        <w:t xml:space="preserve">fordelte estimater med kalibrerte usikkerhets</w:t>
      </w:r>
      <w:r>
        <w:softHyphen/>
      </w:r>
      <w:r>
        <w:t xml:space="preserve">bånd”</w:t>
      </w:r>
      <w:r>
        <w:t xml:space="preserve">.</w:t>
      </w:r>
    </w:p>
    <w:p>
      <w:pPr>
        <w:pStyle w:val="Compact"/>
        <w:numPr>
          <w:ilvl w:val="0"/>
          <w:numId w:val="1005"/>
        </w:numPr>
      </w:pPr>
      <w:r>
        <w:rPr>
          <w:b/>
          <w:bCs/>
        </w:rPr>
        <w:t xml:space="preserve">Distribusjonsfri usikkerhet i et regime med skjult heterogenitet.</w:t>
      </w:r>
      <w:r>
        <w:t xml:space="preserve"> </w:t>
      </w:r>
      <w:r>
        <w:t xml:space="preserve">Konformprediksjon (Vovk et al., 2005; Romano et al., 2019) er teoretisk veletablert, men anvendelser i logistikk- og kostnads</w:t>
      </w:r>
      <w:r>
        <w:softHyphen/>
      </w:r>
      <w:r>
        <w:t xml:space="preserve">prediksjon har sjelden adressert</w:t>
      </w:r>
      <w:r>
        <w:t xml:space="preserve"> </w:t>
      </w:r>
      <w:r>
        <w:rPr>
          <w:i/>
          <w:iCs/>
        </w:rPr>
        <w:t xml:space="preserve">betinget</w:t>
      </w:r>
      <w:r>
        <w:t xml:space="preserve"> </w:t>
      </w:r>
      <w:r>
        <w:t xml:space="preserve">dekning på u</w:t>
      </w:r>
      <w:r>
        <w:softHyphen/>
      </w:r>
      <w:r>
        <w:t xml:space="preserve">observerte heterogenitets</w:t>
      </w:r>
      <w:r>
        <w:softHyphen/>
      </w:r>
      <w:r>
        <w:t xml:space="preserve">dimensjoner. Vi anvender CQR på et datasett der en sentral kostnads</w:t>
      </w:r>
      <w:r>
        <w:softHyphen/>
      </w:r>
      <w:r>
        <w:t xml:space="preserve">driver — gjeste</w:t>
      </w:r>
      <w:r>
        <w:softHyphen/>
      </w:r>
      <w:r>
        <w:t xml:space="preserve">profil —</w:t>
      </w:r>
      <w:r>
        <w:t xml:space="preserve"> </w:t>
      </w:r>
      <w:r>
        <w:rPr>
          <w:i/>
          <w:iCs/>
        </w:rPr>
        <w:t xml:space="preserve">ikke</w:t>
      </w:r>
      <w:r>
        <w:t xml:space="preserve"> </w:t>
      </w:r>
      <w:r>
        <w:t xml:space="preserve">er observerbar i treningsdataene. Resultatene (jf. § 8.2 og § 9.5) illustrerer både hva CQR oppnår når kvantil</w:t>
      </w:r>
      <w:r>
        <w:softHyphen/>
      </w:r>
      <w:r>
        <w:t xml:space="preserve">modellen er korrekt spesifisert</w:t>
      </w:r>
      <w:r>
        <w:t xml:space="preserve"> </w:t>
      </w:r>
      <w:r>
        <w:rPr>
          <w:i/>
          <w:iCs/>
        </w:rPr>
        <w:t xml:space="preserve">og</w:t>
      </w:r>
      <w:r>
        <w:t xml:space="preserve"> </w:t>
      </w:r>
      <w:r>
        <w:t xml:space="preserve">hvor den ikke kompenserer for en manglende feature — et empirisk bidrag til diskusjonen om konformprediksjonens marginal- versus betingede dekningsegenskaper i anvendte regimer.</w:t>
      </w:r>
    </w:p>
    <w:p>
      <w:pPr>
        <w:pStyle w:val="Compact"/>
        <w:numPr>
          <w:ilvl w:val="0"/>
          <w:numId w:val="1005"/>
        </w:numPr>
      </w:pPr>
      <w:r>
        <w:rPr>
          <w:b/>
          <w:bCs/>
        </w:rPr>
        <w:t xml:space="preserve">Dokumentert gap mellom modell</w:t>
      </w:r>
      <w:r>
        <w:rPr>
          <w:b/>
          <w:bCs/>
        </w:rPr>
        <w:softHyphen/>
      </w:r>
      <w:r>
        <w:rPr>
          <w:b/>
          <w:bCs/>
        </w:rPr>
        <w:t xml:space="preserve">struktur og operasjonelle krav.</w:t>
      </w:r>
      <w:r>
        <w:t xml:space="preserve"> </w:t>
      </w:r>
      <w:r>
        <w:t xml:space="preserve">I bransjer der enkelte kostnader er regulatoriske (los for LOA &gt; 70 m) eller deterministiske (drivstoff = distanse / fart × forbruk × pris), vil rene datadrevne ML-modeller systematisk feile. Brukertest mai 2026 (jf. § 9.5) avdekket dette konkret. Vi rapporterer avvikene som retraining-mål, ikke som modell</w:t>
      </w:r>
      <w:r>
        <w:softHyphen/>
      </w:r>
      <w:r>
        <w:t xml:space="preserve">feil, og foreslår en kombinasjon av (a) feature-utvidelse for det som kan modelleres, (b) obligatoriske brukerinputs for det som er regulatorisk, og (c) deterministiske formler for det som er fysisk gitt. Bidraget er et metodisk mønster for hvordan tabulære ML-modeller møter operasjonell virkelighet i regulerte bransjer — relevant for beslutnings</w:t>
      </w:r>
      <w:r>
        <w:softHyphen/>
      </w:r>
      <w:r>
        <w:t xml:space="preserve">støtte</w:t>
      </w:r>
      <w:r>
        <w:softHyphen/>
      </w:r>
      <w:r>
        <w:t xml:space="preserve">litteraturen utover maritim sektor.</w:t>
      </w:r>
    </w:p>
    <w:p>
      <w:pPr>
        <w:pStyle w:val="FirstParagraph"/>
      </w:pPr>
      <w:r>
        <w:t xml:space="preserve">Sammenfattet styrker bidragene den akademiske diskursen om transaksjonsnivå-prediksjon for sammensatte tjeneste</w:t>
      </w:r>
      <w:r>
        <w:softHyphen/>
      </w:r>
      <w:r>
        <w:t xml:space="preserve">leveranser, kalibrert usikkerhets</w:t>
      </w:r>
      <w:r>
        <w:softHyphen/>
      </w:r>
      <w:r>
        <w:t xml:space="preserve">kvantifisering i datasparsommelige regimer, og hybride deterministisk/datadrevne kostnads</w:t>
      </w:r>
      <w:r>
        <w:softHyphen/>
      </w:r>
      <w:r>
        <w:t xml:space="preserve">modeller i regulerte domener. NautiCost er det praktiske verktøyet; bidragene over er det akademiske avtrykket.</w:t>
      </w:r>
    </w:p>
    <w:p>
      <w:r>
        <w:pict>
          <v:rect style="width:0;height:1.5pt" o:hralign="center" o:hrstd="t" o:hr="t"/>
        </w:pict>
      </w:r>
    </w:p>
    <w:bookmarkEnd w:id="14"/>
    <w:bookmarkEnd w:id="15"/>
    <w:bookmarkStart w:id="20" w:name="litteratur"/>
    <w:p>
      <w:pPr>
        <w:pStyle w:val="Heading2"/>
      </w:pPr>
      <w:r>
        <w:rPr>
          <w:rStyle w:val="SectionNumber"/>
        </w:rPr>
        <w:t xml:space="preserve">3</w:t>
      </w:r>
      <w:r>
        <w:tab/>
      </w:r>
      <w:r>
        <w:t xml:space="preserve">2. Litteratur</w:t>
      </w:r>
    </w:p>
    <w:p>
      <w:pPr>
        <w:pStyle w:val="FirstParagraph"/>
      </w:pPr>
      <w:r>
        <w:t xml:space="preserve">Denne litteraturgjennomgangen dekker tre tråder som er sentrale for NautiCost: (1) maskinlæring for kostnads- og rateprognoser i maritim logistikk, (2) gradient boosting på tabulære data, og (3) usikkerhetskvantifisering med kvantilregresjon og konform prediksjon.</w:t>
      </w:r>
    </w:p>
    <w:bookmarkStart w:id="16" w:name="X7c64d5c69e8be4aa342d1f5b50a96f4760fe6ea"/>
    <w:p>
      <w:pPr>
        <w:pStyle w:val="Heading3"/>
      </w:pPr>
      <w:r>
        <w:rPr>
          <w:rStyle w:val="SectionNumber"/>
        </w:rPr>
        <w:t xml:space="preserve">3.1</w:t>
      </w:r>
      <w:r>
        <w:tab/>
      </w:r>
      <w:r>
        <w:t xml:space="preserve">2.1 Maskinlæring for kostnadsprediksjon i transport og logistikk</w:t>
      </w:r>
    </w:p>
    <w:p>
      <w:pPr>
        <w:pStyle w:val="FirstParagraph"/>
      </w:pPr>
      <w:r>
        <w:t xml:space="preserve">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pPr>
        <w:pStyle w:val="BodyText"/>
      </w:pPr>
      <w:r>
        <w:t xml:space="preserve">Innen maritim sektor har Çerçi et al. (2024) brukt maskinlæring for å predikere drivstoffkostnader for ro-ro-skip, der gradient boosting utkonkurrerte lineære modeller. Garrido Albarracín et al. (2024)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feilmetrikker (MAE) er den mest operasjonelt relevante evalueringen. Hvordan våre egne resultater forholder seg til disse funnene drøftes i § 9.</w:t>
      </w:r>
    </w:p>
    <w:p>
      <w:pPr>
        <w:pStyle w:val="BodyText"/>
      </w:pPr>
      <w:r>
        <w:t xml:space="preserve">I motsetning til de nevnte studiene, som predikerer en samlet kostnad eller rate per reise, modellerer NautiCost på</w:t>
      </w:r>
      <w:r>
        <w:t xml:space="preserve"> </w:t>
      </w:r>
      <w:r>
        <w:rPr>
          <w:i/>
          <w:iCs/>
        </w:rPr>
        <w:t xml:space="preserve">transaksjonsnivå</w:t>
      </w:r>
      <w:r>
        <w:t xml:space="preserve"> </w:t>
      </w:r>
      <w:r>
        <w:t xml:space="preserve">—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bookmarkEnd w:id="16"/>
    <w:bookmarkStart w:id="17" w:name="X50f1a326dd81dd1da535bd6543ea8d29f23ade9"/>
    <w:p>
      <w:pPr>
        <w:pStyle w:val="Heading3"/>
      </w:pPr>
      <w:r>
        <w:rPr>
          <w:rStyle w:val="SectionNumber"/>
        </w:rPr>
        <w:t xml:space="preserve">3.2</w:t>
      </w:r>
      <w:r>
        <w:tab/>
      </w:r>
      <w:r>
        <w:t xml:space="preserve">2.2 Gradient boosting på heterogene tabulære data</w:t>
      </w:r>
    </w:p>
    <w:p>
      <w:pPr>
        <w:pStyle w:val="FirstParagraph"/>
      </w:pPr>
      <w:r>
        <w:t xml:space="preserve">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pPr>
        <w:pStyle w:val="BodyText"/>
      </w:pPr>
      <w:r>
        <w:t xml:space="preserve">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Vårt datasett (1 647 rader, 26 features, blandet kategorisk/numerisk) faller godt innenfor dette regimet, og valget av et LightGBM + CatBoost-ensemble er dermed teoretisk og empirisk begrunnet.</w:t>
      </w:r>
    </w:p>
    <w:p>
      <w:pPr>
        <w:pStyle w:val="BodyText"/>
      </w:pPr>
      <w:r>
        <w:t xml:space="preserve">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softHyphen/>
      </w:r>
      <w:r>
        <w:t xml:space="preserve">skjevt regime som NautiCost-datasettet drøftes i § 9.2.</w:t>
      </w:r>
    </w:p>
    <w:p>
      <w:pPr>
        <w:pStyle w:val="BodyText"/>
      </w:pPr>
      <w:r>
        <w:t xml:space="preserve">Pensum</w:t>
      </w:r>
      <w:r>
        <w:softHyphen/>
      </w:r>
      <w:r>
        <w:t xml:space="preserve">kompendiet i LOG650 (Pettersen &amp; Rekdal, 2026, tabell 1.1) klassifiserer prosjekter med mange forklaringsvariabler under metode</w:t>
      </w:r>
      <w:r>
        <w:softHyphen/>
      </w:r>
      <w:r>
        <w:t xml:space="preserve">familien Random Forest / XGBoost /</w:t>
      </w:r>
      <w:r>
        <w:t xml:space="preserve"> </w:t>
      </w:r>
      <w:r>
        <w:rPr>
          <w:b/>
          <w:bCs/>
        </w:rPr>
        <w:t xml:space="preserve">LightGBM</w:t>
      </w:r>
      <w:r>
        <w:t xml:space="preserve"> </w:t>
      </w:r>
      <w:r>
        <w:t xml:space="preserve">med metodene gradient boosting, kryssvalidering, SHAP og hyperparameter</w:t>
      </w:r>
      <w:r>
        <w:softHyphen/>
      </w:r>
      <w:r>
        <w:t xml:space="preserve">tuning. Metodevalget i NautiCost — LightGBM + CatBoost-ensemble, 5-fold kryssvalidering ved Optuna-tuning, TreeSHAP for forklarbarhet — er nøyaktig denne kombinasjonen, og er dermed direkte pensum</w:t>
      </w:r>
      <w:r>
        <w:softHyphen/>
      </w:r>
      <w:r>
        <w:t xml:space="preserve">forankret. Det skiller seg fra kompendiets standard</w:t>
      </w:r>
      <w:r>
        <w:softHyphen/>
      </w:r>
      <w:r>
        <w:t xml:space="preserve">eksempel ved at vi modellerer på transaksjonsnivå snarere enn aggregert nivå, og legger til konform kalibrering (§ 2.3) for usikkerhets</w:t>
      </w:r>
      <w:r>
        <w:softHyphen/>
      </w:r>
      <w:r>
        <w:t xml:space="preserve">bånd.</w:t>
      </w:r>
    </w:p>
    <w:bookmarkEnd w:id="17"/>
    <w:bookmarkStart w:id="18" w:name="X52ccaa96010e029cb7ad8233c60e45490ae75db"/>
    <w:p>
      <w:pPr>
        <w:pStyle w:val="Heading3"/>
      </w:pPr>
      <w:r>
        <w:rPr>
          <w:rStyle w:val="SectionNumber"/>
        </w:rPr>
        <w:t xml:space="preserve">3.3</w:t>
      </w:r>
      <w:r>
        <w:tab/>
      </w:r>
      <w:r>
        <w:t xml:space="preserve">2.3 Konform prediksjon og usikkerhetskvantifisering</w:t>
      </w:r>
    </w:p>
    <w:p>
      <w:pPr>
        <w:pStyle w:val="FirstParagraph"/>
      </w:pPr>
      <w:r>
        <w:t xml:space="preserve">Punktprediksjoner alene er utilstrekkelige for beslutningsstøtte der kostnaden varierer over flere størrelsesordener. Romano et al. (2019) introduserte</w:t>
      </w:r>
      <w:r>
        <w:t xml:space="preserve"> </w:t>
      </w:r>
      <w:r>
        <w:rPr>
          <w:i/>
          <w:iCs/>
        </w:rPr>
        <w:t xml:space="preserve">Conformalized Quantile Regression</w:t>
      </w:r>
      <w:r>
        <w:t xml:space="preserve"> </w:t>
      </w:r>
      <w:r>
        <w:t xml:space="preserve">(CQR), som kombinerer kvantilregresjon med konform prediksjon for å oppnå prediksjonsintervaller med garantert endelig-utvalgsdekning, uavhengig av modellens underliggende kalibrering. Metoden er teoretisk forankret i distribusjonsfriheten til konforme prediktorer (Vovk et al., 2005), men beholder den statistiske effektiviteten til kvantilregresjon — intervallene er smalere enn de fra standard konform prediksjon fordi de tilpasser seg heteroskedastisitet.</w:t>
      </w:r>
    </w:p>
    <w:p>
      <w:pPr>
        <w:pStyle w:val="BodyText"/>
      </w:pPr>
      <w:r>
        <w:t xml:space="preserve">CQR er attraktiv i et anvendt regime fordi den bevarer kvantilregresjonens evne til å tilpasse seg heteroskedastiske residualer, samtidig som konform</w:t>
      </w:r>
      <w:r>
        <w:softHyphen/>
      </w:r>
      <w:r>
        <w:t xml:space="preserve">garantien sikrer at faktisk dekning ligger nær det nominelle nivået uten å anta en bestemt feilfordeling. Hvor godt dette fungerer på vårt datasett rapporteres i § 6.4 og § 8.2.</w:t>
      </w:r>
    </w:p>
    <w:p>
      <w:pPr>
        <w:pStyle w:val="BodyText"/>
      </w:pPr>
      <w:r>
        <w:t xml:space="preserve">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bookmarkEnd w:id="18"/>
    <w:bookmarkStart w:id="19" w:name="forskningsgap"/>
    <w:p>
      <w:pPr>
        <w:pStyle w:val="Heading3"/>
      </w:pPr>
      <w:r>
        <w:rPr>
          <w:rStyle w:val="SectionNumber"/>
        </w:rPr>
        <w:t xml:space="preserve">3.4</w:t>
      </w:r>
      <w:r>
        <w:tab/>
      </w:r>
      <w:r>
        <w:t xml:space="preserve">2.4 Forskningsgap</w:t>
      </w:r>
    </w:p>
    <w:p>
      <w:pPr>
        <w:pStyle w:val="FirstParagraph"/>
      </w:pPr>
      <w:r>
        <w:t xml:space="preserve">Litteraturen som er gjennomgått behandler enten (a) prediksjon av en samlet kostnad eller rate per reise (Jang et al., 2023; Çerçi et al., 2024) eller (b) operasjonell effektivitet på havne</w:t>
      </w:r>
      <w:r>
        <w:softHyphen/>
      </w:r>
      <w:r>
        <w:t xml:space="preserve">nivå (Garrido Albarracín et al., 2024). Ingen av disse studiene modellerer den</w:t>
      </w:r>
      <w:r>
        <w:t xml:space="preserve"> </w:t>
      </w:r>
      <w:r>
        <w:rPr>
          <w:b/>
          <w:bCs/>
        </w:rPr>
        <w:t xml:space="preserve">sammensatte tjeneste</w:t>
      </w:r>
      <w:r>
        <w:rPr>
          <w:b/>
          <w:bCs/>
        </w:rPr>
        <w:softHyphen/>
      </w:r>
      <w:r>
        <w:rPr>
          <w:b/>
          <w:bCs/>
        </w:rPr>
        <w:t xml:space="preserve">miksen per anløp</w:t>
      </w:r>
      <w:r>
        <w:t xml:space="preserve"> </w:t>
      </w:r>
      <w:r>
        <w:t xml:space="preserve">— det vil si hvordan en enkelt yacht-stopp gir opphav til 5–40 separate transaksjoner fordelt på havneavgift, los, hospitality, proviant, agent</w:t>
      </w:r>
      <w:r>
        <w:softHyphen/>
      </w:r>
      <w:r>
        <w:t xml:space="preserve">tjenester og bunkers, og hvordan totalkostnaden av et anløp bygges opp av disse delene. NautiCost adresserer dette gapet ved å modellere på transaksjonsnivå, deretter aggregere via portmaler og trafikkvekter, og kalibrere mot empiriske havne</w:t>
      </w:r>
      <w:r>
        <w:softHyphen/>
      </w:r>
      <w:r>
        <w:t xml:space="preserve">persentiler. I et lite, høyt</w:t>
      </w:r>
      <w:r>
        <w:softHyphen/>
      </w:r>
      <w:r>
        <w:t xml:space="preserve">skjevt datasett (n ≈ 1 600) forutsetter dette en spesifikk metodikk: (i) log-transformert mål</w:t>
      </w:r>
      <w:r>
        <w:softHyphen/>
      </w:r>
      <w:r>
        <w:t xml:space="preserve">variabel for å håndtere skjevheten, (ii) gradient-boosting-ensemble for tabulære data med sterk heterogenitet, og (iii) konform kalibrering for å gi distribusjons</w:t>
      </w:r>
      <w:r>
        <w:softHyphen/>
      </w:r>
      <w:r>
        <w:t xml:space="preserve">frie usikkerhets</w:t>
      </w:r>
      <w:r>
        <w:softHyphen/>
      </w:r>
      <w:r>
        <w:t xml:space="preserve">bånd. Kombinasjonen av disse, anvendt på maritim agent-tjeneste</w:t>
      </w:r>
      <w:r>
        <w:softHyphen/>
      </w:r>
      <w:r>
        <w:t xml:space="preserve">fakturering, er det metodiske rommet vi opererer i.</w:t>
      </w:r>
    </w:p>
    <w:p>
      <w:r>
        <w:pict>
          <v:rect style="width:0;height:1.5pt" o:hralign="center" o:hrstd="t" o:hr="t"/>
        </w:pict>
      </w:r>
    </w:p>
    <w:bookmarkEnd w:id="19"/>
    <w:bookmarkEnd w:id="20"/>
    <w:bookmarkStart w:id="27" w:name="teori"/>
    <w:p>
      <w:pPr>
        <w:pStyle w:val="Heading2"/>
      </w:pPr>
      <w:r>
        <w:rPr>
          <w:rStyle w:val="SectionNumber"/>
        </w:rPr>
        <w:t xml:space="preserve">4</w:t>
      </w:r>
      <w:r>
        <w:tab/>
      </w:r>
      <w:r>
        <w:t xml:space="preserve">3. Teori</w:t>
      </w:r>
    </w:p>
    <w:p>
      <w:pPr>
        <w:pStyle w:val="FirstParagraph"/>
      </w:pPr>
      <w:r>
        <w:t xml:space="preserve">Dette kapittelet etablerer det metodiske rammeverket prosjektet hviler på. Hvert delkapittel avsluttes med en kort kobling til hvilket delproblem (DP1–DP5, jf. § 1.2) teorien adresserer, slik at teorien ikke blir frittstående modell</w:t>
      </w:r>
      <w:r>
        <w:softHyphen/>
      </w:r>
      <w:r>
        <w:t xml:space="preserve">beskrivelse, men en begrunnelse for de metodevalgene som tas i § 5 og § 6.</w:t>
      </w:r>
    </w:p>
    <w:bookmarkStart w:id="21" w:name="tabulær-læring-og-gradient-boosting"/>
    <w:p>
      <w:pPr>
        <w:pStyle w:val="Heading3"/>
      </w:pPr>
      <w:r>
        <w:rPr>
          <w:rStyle w:val="SectionNumber"/>
        </w:rPr>
        <w:t xml:space="preserve">4.1</w:t>
      </w:r>
      <w:r>
        <w:tab/>
      </w:r>
      <w:r>
        <w:t xml:space="preserve">3.1 Tabulær læring og gradient boosting</w:t>
      </w:r>
    </w:p>
    <w:p>
      <w:pPr>
        <w:pStyle w:val="FirstParagraph"/>
      </w:pPr>
      <w:r>
        <w:t xml:space="preserve">Et regresjons</w:t>
      </w:r>
      <w:r>
        <w:softHyphen/>
      </w:r>
      <w:r>
        <w:t xml:space="preserve">problem på tabulære data er definert ved et datasett</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der</w:t>
      </w:r>
      <w:r>
        <w:t xml:space="preserve"> </w:t>
      </w:r>
      <m:oMath>
        <m:sSub>
          <m:e>
            <m:r>
              <m:t>x</m:t>
            </m:r>
          </m:e>
          <m:sub>
            <m:r>
              <m:t>i</m:t>
            </m:r>
          </m:sub>
        </m:sSub>
        <m:r>
          <m:rPr>
            <m:sty m:val="p"/>
          </m:rPr>
          <m:t>∈</m:t>
        </m:r>
        <m:sSup>
          <m:e>
            <m:r>
              <m:rPr>
                <m:scr m:val="double-struck"/>
                <m:sty m:val="p"/>
              </m:rPr>
              <m:t>R</m:t>
            </m:r>
          </m:e>
          <m:sup>
            <m:r>
              <m:t>d</m:t>
            </m:r>
          </m:sup>
        </m:sSup>
      </m:oMath>
      <w:r>
        <w:t xml:space="preserve"> </w:t>
      </w:r>
      <w:r>
        <w:t xml:space="preserve">er feature-vektorer og</w:t>
      </w:r>
      <w:r>
        <w:t xml:space="preserve"> </w:t>
      </w:r>
      <m:oMath>
        <m:sSub>
          <m:e>
            <m:r>
              <m:t>y</m:t>
            </m:r>
          </m:e>
          <m:sub>
            <m:r>
              <m:t>i</m:t>
            </m:r>
          </m:sub>
        </m:sSub>
        <m:r>
          <m:rPr>
            <m:sty m:val="p"/>
          </m:rPr>
          <m:t>∈</m:t>
        </m:r>
        <m:r>
          <m:rPr>
            <m:scr m:val="double-struck"/>
            <m:sty m:val="p"/>
          </m:rPr>
          <m:t>R</m:t>
        </m:r>
      </m:oMath>
      <w:r>
        <w:t xml:space="preserve"> </w:t>
      </w:r>
      <w:r>
        <w:t xml:space="preserve">er målverdier, og oppgaven er å finne en funksjon</w:t>
      </w:r>
      <w:r>
        <w:t xml:space="preserve"> </w:t>
      </w:r>
      <m:oMath>
        <m:acc>
          <m:accPr>
            <m:chr m:val="̂"/>
          </m:accPr>
          <m:e>
            <m:r>
              <m:t>f</m:t>
            </m:r>
          </m:e>
        </m:acc>
        <m:r>
          <m:rPr>
            <m:sty m:val="p"/>
          </m:rPr>
          <m:t>:</m:t>
        </m:r>
        <m:sSup>
          <m:e>
            <m:r>
              <m:rPr>
                <m:scr m:val="double-struck"/>
                <m:sty m:val="p"/>
              </m:rPr>
              <m:t>R</m:t>
            </m:r>
          </m:e>
          <m:sup>
            <m:r>
              <m:t>d</m:t>
            </m:r>
          </m:sup>
        </m:sSup>
        <m:r>
          <m:rPr>
            <m:sty m:val="p"/>
          </m:rPr>
          <m:t>→</m:t>
        </m:r>
        <m:r>
          <m:rPr>
            <m:scr m:val="double-struck"/>
            <m:sty m:val="p"/>
          </m:rPr>
          <m:t>R</m:t>
        </m:r>
      </m:oMath>
      <w:r>
        <w:t xml:space="preserve"> </w:t>
      </w:r>
      <w:r>
        <w:t xml:space="preserve">som minimerer en tap-funksjon</w:t>
      </w:r>
      <w:r>
        <w:t xml:space="preserve"> </w:t>
      </w:r>
      <m:oMath>
        <m:r>
          <m:t>L</m:t>
        </m:r>
        <m:r>
          <m:rPr>
            <m:sty m:val="p"/>
          </m:rPr>
          <m:t>(</m:t>
        </m:r>
        <m:r>
          <m:t>y</m:t>
        </m:r>
        <m:r>
          <m:rPr>
            <m:sty m:val="p"/>
          </m:rPr>
          <m:t>,</m:t>
        </m:r>
        <m:acc>
          <m:accPr>
            <m:chr m:val="̂"/>
          </m:accPr>
          <m:e>
            <m:r>
              <m:t>y</m:t>
            </m:r>
          </m:e>
        </m:acc>
        <m:r>
          <m:rPr>
            <m:sty m:val="p"/>
          </m:rPr>
          <m:t>)</m:t>
        </m:r>
      </m:oMath>
      <w:r>
        <w:t xml:space="preserve">. For tabulære data med en blanding av numeriske og kategoriske features og komplekse interaksjoner er</w:t>
      </w:r>
      <w:r>
        <w:t xml:space="preserve"> </w:t>
      </w:r>
      <w:r>
        <w:rPr>
          <w:b/>
          <w:bCs/>
        </w:rPr>
        <w:t xml:space="preserve">ensembler av beslutningstrær</w:t>
      </w:r>
      <w:r>
        <w:t xml:space="preserve"> </w:t>
      </w:r>
      <w:r>
        <w:t xml:space="preserve">den dominerende tilnærmingen.</w:t>
      </w:r>
    </w:p>
    <w:p>
      <w:pPr>
        <w:pStyle w:val="BodyText"/>
      </w:pPr>
      <w:r>
        <w:t xml:space="preserve">Et beslutningstre partisjonerer feature-rommet rekursivt i akse-justerte regioner og tilordner en konstant prediksjon innenfor hver region. Et enkelt tre har høy varians — et litt annet utvalg gir et betydelig annet tre. To strategier reduserer denne variansen:</w:t>
      </w:r>
      <w:r>
        <w:t xml:space="preserve"> </w:t>
      </w:r>
      <w:r>
        <w:rPr>
          <w:b/>
          <w:bCs/>
        </w:rPr>
        <w:t xml:space="preserve">bagging</w:t>
      </w:r>
      <w:r>
        <w:t xml:space="preserve"> </w:t>
      </w:r>
      <w:r>
        <w:t xml:space="preserve">(gjennomsnitt av uavhengig trente trær, jf. random forest) og</w:t>
      </w:r>
      <w:r>
        <w:t xml:space="preserve"> </w:t>
      </w:r>
      <w:r>
        <w:rPr>
          <w:b/>
          <w:bCs/>
        </w:rPr>
        <w:t xml:space="preserve">boosting</w:t>
      </w:r>
      <w:r>
        <w:t xml:space="preserve"> </w:t>
      </w:r>
      <w:r>
        <w:t xml:space="preserve">(sekvensiell trening der hvert tre korrigerer feilene fra det forrige).</w:t>
      </w:r>
    </w:p>
    <w:p>
      <w:pPr>
        <w:pStyle w:val="BodyText"/>
      </w:pPr>
      <w:r>
        <w:t xml:space="preserve">I gradient boosting (Friedman, 2001) bygges modellen additivt:</w:t>
      </w:r>
    </w:p>
    <w:p>
      <w:pPr>
        <w:pStyle w:val="BodyText"/>
      </w:pPr>
      <m:oMathPara>
        <m:oMathParaPr>
          <m:jc m:val="center"/>
        </m:oMathParaPr>
        <m:oMath>
          <m:sSub>
            <m:e>
              <m:r>
                <m:t>F</m:t>
              </m:r>
            </m:e>
            <m:sub>
              <m:r>
                <m:t>m</m:t>
              </m:r>
            </m:sub>
          </m:sSub>
          <m:r>
            <m:rPr>
              <m:sty m:val="p"/>
            </m:rPr>
            <m:t>(</m:t>
          </m:r>
          <m:r>
            <m:t>x</m:t>
          </m:r>
          <m:r>
            <m:rPr>
              <m:sty m:val="p"/>
            </m:rPr>
            <m:t>)</m:t>
          </m:r>
          <m:r>
            <m:rPr>
              <m:sty m:val="p"/>
            </m:rPr>
            <m:t>=</m:t>
          </m:r>
          <m:sSub>
            <m:e>
              <m:r>
                <m:t>F</m:t>
              </m:r>
            </m:e>
            <m:sub>
              <m:r>
                <m:t>m</m:t>
              </m:r>
              <m:r>
                <m:rPr>
                  <m:sty m:val="p"/>
                </m:rPr>
                <m:t>−</m:t>
              </m:r>
              <m:r>
                <m:t>1</m:t>
              </m:r>
            </m:sub>
          </m:sSub>
          <m:r>
            <m:rPr>
              <m:sty m:val="p"/>
            </m:rPr>
            <m:t>(</m:t>
          </m:r>
          <m:r>
            <m:t>x</m:t>
          </m:r>
          <m:r>
            <m:rPr>
              <m:sty m:val="p"/>
            </m:rPr>
            <m:t>)</m:t>
          </m:r>
          <m:r>
            <m:rPr>
              <m:sty m:val="p"/>
            </m:rPr>
            <m:t>+</m:t>
          </m:r>
          <m:r>
            <m:t>ν</m:t>
          </m:r>
          <m:r>
            <m:rPr>
              <m:sty m:val="p"/>
            </m:rPr>
            <m:t>⋅</m:t>
          </m:r>
          <m:sSub>
            <m:e>
              <m:r>
                <m:t>h</m:t>
              </m:r>
            </m:e>
            <m:sub>
              <m:r>
                <m:t>m</m:t>
              </m:r>
            </m:sub>
          </m:sSub>
          <m:r>
            <m:rPr>
              <m:sty m:val="p"/>
            </m:rPr>
            <m:t>(</m:t>
          </m:r>
          <m:r>
            <m:t>x</m:t>
          </m:r>
          <m:r>
            <m:rPr>
              <m:sty m:val="p"/>
            </m:rPr>
            <m:t>)</m:t>
          </m:r>
        </m:oMath>
      </m:oMathPara>
    </w:p>
    <w:p>
      <w:pPr>
        <w:pStyle w:val="FirstParagraph"/>
      </w:pPr>
      <w:r>
        <w:t xml:space="preserve">der</w:t>
      </w:r>
      <w:r>
        <w:t xml:space="preserve"> </w:t>
      </w:r>
      <m:oMath>
        <m:sSub>
          <m:e>
            <m:r>
              <m:t>h</m:t>
            </m:r>
          </m:e>
          <m:sub>
            <m:r>
              <m:t>m</m:t>
            </m:r>
          </m:sub>
        </m:sSub>
      </m:oMath>
      <w:r>
        <w:t xml:space="preserve"> </w:t>
      </w:r>
      <w:r>
        <w:t xml:space="preserve">er et regresjons</w:t>
      </w:r>
      <w:r>
        <w:softHyphen/>
      </w:r>
      <w:r>
        <w:t xml:space="preserve">tre tilpasset den negative gradienten av tapet med hensyn på forrige prediksjon, og</w:t>
      </w:r>
      <w:r>
        <w:t xml:space="preserve"> </w:t>
      </w:r>
      <m:oMath>
        <m:r>
          <m:t>ν</m:t>
        </m:r>
        <m:r>
          <m:rPr>
            <m:sty m:val="p"/>
          </m:rPr>
          <m:t>∈</m:t>
        </m:r>
        <m:r>
          <m:rPr>
            <m:sty m:val="p"/>
          </m:rPr>
          <m:t>(</m:t>
        </m:r>
        <m:r>
          <m:t>0</m:t>
        </m:r>
        <m:r>
          <m:rPr>
            <m:sty m:val="p"/>
          </m:rPr>
          <m:t>,</m:t>
        </m:r>
        <m:r>
          <m:t>1</m:t>
        </m:r>
        <m:r>
          <m:rPr>
            <m:sty m:val="p"/>
          </m:rPr>
          <m:t>]</m:t>
        </m:r>
      </m:oMath>
      <w:r>
        <w:t xml:space="preserve"> </w:t>
      </w:r>
      <w:r>
        <w:t xml:space="preserve">er en lærings</w:t>
      </w:r>
      <w:r>
        <w:softHyphen/>
      </w:r>
      <w:r>
        <w:t xml:space="preserve">rate. Etter</w:t>
      </w:r>
      <w:r>
        <w:t xml:space="preserve"> </w:t>
      </w:r>
      <m:oMath>
        <m:r>
          <m:t>M</m:t>
        </m:r>
      </m:oMath>
      <w:r>
        <w:t xml:space="preserve"> </w:t>
      </w:r>
      <w:r>
        <w:t xml:space="preserve">runder er modellen</w:t>
      </w:r>
      <w:r>
        <w:t xml:space="preserve"> </w:t>
      </w:r>
      <m:oMath>
        <m:sSub>
          <m:e>
            <m:r>
              <m:t>F</m:t>
            </m:r>
          </m:e>
          <m:sub>
            <m:r>
              <m:t>M</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r>
          <m:t>ν</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x</m:t>
        </m:r>
        <m:r>
          <m:rPr>
            <m:sty m:val="p"/>
          </m:rPr>
          <m:t>)</m:t>
        </m:r>
      </m:oMath>
      <w:r>
        <w:t xml:space="preserve">.</w:t>
      </w:r>
    </w:p>
    <w:p>
      <w:pPr>
        <w:pStyle w:val="BodyText"/>
      </w:pPr>
      <w:r>
        <w:t xml:space="preserve">Sammenlignet med bagging kan boosting redusere både bias og varians ved å konsentrere kapasiteten der residualene er størst. Avveiningen er at boosting er sekvensielt og mer utsatt for overtilpasning hvis</w:t>
      </w:r>
      <w:r>
        <w:t xml:space="preserve"> </w:t>
      </w:r>
      <m:oMath>
        <m:r>
          <m:t>M</m:t>
        </m:r>
      </m:oMath>
      <w:r>
        <w:t xml:space="preserve"> </w:t>
      </w:r>
      <w:r>
        <w:t xml:space="preserve">er for stor eller</w:t>
      </w:r>
      <w:r>
        <w:t xml:space="preserve"> </w:t>
      </w:r>
      <m:oMath>
        <m:r>
          <m:t>ν</m:t>
        </m:r>
      </m:oMath>
      <w:r>
        <w:t xml:space="preserve"> </w:t>
      </w:r>
      <w:r>
        <w:t xml:space="preserve">for høy;</w:t>
      </w:r>
      <w:r>
        <w:t xml:space="preserve"> </w:t>
      </w:r>
      <w:r>
        <w:rPr>
          <w:b/>
          <w:bCs/>
        </w:rPr>
        <w:t xml:space="preserve">early stopping</w:t>
      </w:r>
      <w:r>
        <w:t xml:space="preserve"> </w:t>
      </w:r>
      <w:r>
        <w:t xml:space="preserve">på et valideringssett er standard mottiltak.</w:t>
      </w:r>
    </w:p>
    <w:p>
      <w:pPr>
        <w:pStyle w:val="BodyText"/>
      </w:pPr>
      <w:r>
        <w:t xml:space="preserve">Moderne gradient-boosting-biblioteker (LightGBM, CatBoost, XGBoost) optimerer dette rammeverket langs tre akser: histogram-basert split-finding for hastighet, native håndtering av kategoriske features, og bruk av andre</w:t>
      </w:r>
      <w:r>
        <w:softHyphen/>
      </w:r>
      <w:r>
        <w:t xml:space="preserve">ordens gradient-informasjon (Newton-Raphson-oppdateringer) for raskere konvergens.</w:t>
      </w:r>
    </w:p>
    <w:p>
      <w:pPr>
        <w:pStyle w:val="BodyText"/>
      </w:pPr>
      <w:r>
        <w:rPr>
          <w:i/>
          <w:iCs/>
        </w:rPr>
        <w:t xml:space="preserve">Relevans for prosjektet.</w:t>
      </w:r>
      <w:r>
        <w:t xml:space="preserve"> </w:t>
      </w:r>
      <w:r>
        <w:t xml:space="preserve">DP2 spør hvilken læringsmodell som gir lavest prognosefeil på heterogene tabulære data med en sterkt høyreskjev mål</w:t>
      </w:r>
      <w:r>
        <w:softHyphen/>
      </w:r>
      <w:r>
        <w:t xml:space="preserve">fordeling. Gradient boosting er det metodiske rammeverket som Grinsztajn et al. (2022) og Shwartz-Ziv &amp; Armon (2022) viser dominerer på akkurat denne typen data, og er derfor utgangspunktet for modellvalget i § 6.</w:t>
      </w:r>
    </w:p>
    <w:bookmarkEnd w:id="21"/>
    <w:bookmarkStart w:id="22" w:name="lightgbm"/>
    <w:p>
      <w:pPr>
        <w:pStyle w:val="Heading3"/>
      </w:pPr>
      <w:r>
        <w:rPr>
          <w:rStyle w:val="SectionNumber"/>
        </w:rPr>
        <w:t xml:space="preserve">4.2</w:t>
      </w:r>
      <w:r>
        <w:tab/>
      </w:r>
      <w:r>
        <w:t xml:space="preserve">3.2 LightGBM</w:t>
      </w:r>
    </w:p>
    <w:p>
      <w:pPr>
        <w:pStyle w:val="FirstParagraph"/>
      </w:pPr>
      <w:r>
        <w:t xml:space="preserve">LightGBM (Ke et al., 2017) er et gradient-boosting-bibliotek optimert for hastighet og minne på store tabulære datasett. Tre innovasjoner skiller det fra tidligere implementasjoner:</w:t>
      </w:r>
    </w:p>
    <w:p>
      <w:pPr>
        <w:pStyle w:val="BodyText"/>
      </w:pPr>
      <w:r>
        <w:rPr>
          <w:b/>
          <w:bCs/>
        </w:rPr>
        <w:t xml:space="preserve">Histogram-basert split-finding.</w:t>
      </w:r>
      <w:r>
        <w:t xml:space="preserve"> </w:t>
      </w:r>
      <w:r>
        <w:t xml:space="preserve">Kontinuerlige features for-binnes i</w:t>
      </w:r>
      <w:r>
        <w:t xml:space="preserve"> </w:t>
      </w:r>
      <m:oMath>
        <m:r>
          <m:t>k</m:t>
        </m:r>
      </m:oMath>
      <w:r>
        <w:t xml:space="preserve"> </w:t>
      </w:r>
      <w:r>
        <w:t xml:space="preserve">histogrammer (typisk</w:t>
      </w:r>
      <w:r>
        <w:t xml:space="preserve"> </w:t>
      </w:r>
      <m:oMath>
        <m:r>
          <m:t>k</m:t>
        </m:r>
        <m:r>
          <m:rPr>
            <m:sty m:val="p"/>
          </m:rPr>
          <m:t>=</m:t>
        </m:r>
        <m:r>
          <m:t>255</m:t>
        </m:r>
      </m:oMath>
      <w:r>
        <w:t xml:space="preserve">). Å finne det optimale split-punktet reduseres fra å skanne alle unike feature-verdier (</w:t>
      </w:r>
      <m:oMath>
        <m:r>
          <m:rPr>
            <m:scr m:val="script"/>
            <m:sty m:val="p"/>
          </m:rPr>
          <m:t>O</m:t>
        </m:r>
        <m:r>
          <m:rPr>
            <m:sty m:val="p"/>
          </m:rPr>
          <m:t>(</m:t>
        </m:r>
        <m:r>
          <m:t>n</m:t>
        </m:r>
        <m:r>
          <m:rPr>
            <m:sty m:val="p"/>
          </m:rPr>
          <m:t>⋅</m:t>
        </m:r>
        <m:r>
          <m:t>d</m:t>
        </m:r>
        <m:r>
          <m:rPr>
            <m:sty m:val="p"/>
          </m:rPr>
          <m:t>)</m:t>
        </m:r>
      </m:oMath>
      <w:r>
        <w:t xml:space="preserve"> </w:t>
      </w:r>
      <w:r>
        <w:t xml:space="preserve">per node) til å skanne histogram-bins (</w:t>
      </w:r>
      <m:oMath>
        <m:r>
          <m:rPr>
            <m:scr m:val="script"/>
            <m:sty m:val="p"/>
          </m:rPr>
          <m:t>O</m:t>
        </m:r>
        <m:r>
          <m:rPr>
            <m:sty m:val="p"/>
          </m:rPr>
          <m:t>(</m:t>
        </m:r>
        <m:r>
          <m:t>k</m:t>
        </m:r>
        <m:r>
          <m:rPr>
            <m:sty m:val="p"/>
          </m:rPr>
          <m:t>⋅</m:t>
        </m:r>
        <m:r>
          <m:t>d</m:t>
        </m:r>
        <m:r>
          <m:rPr>
            <m:sty m:val="p"/>
          </m:rPr>
          <m:t>)</m:t>
        </m:r>
      </m:oMath>
      <w:r>
        <w:t xml:space="preserve"> </w:t>
      </w:r>
      <w:r>
        <w:t xml:space="preserve">per node). For datasett med mange kontinuerlige features er dette den dominerende hastighets</w:t>
      </w:r>
      <w:r>
        <w:softHyphen/>
      </w:r>
      <w:r>
        <w:t xml:space="preserve">gevinsten.</w:t>
      </w:r>
    </w:p>
    <w:p>
      <w:pPr>
        <w:pStyle w:val="BodyText"/>
      </w:pPr>
      <w:r>
        <w:rPr>
          <w:b/>
          <w:bCs/>
        </w:rPr>
        <w:t xml:space="preserve">Leaf-wise tre-vekst.</w:t>
      </w:r>
      <w:r>
        <w:t xml:space="preserve"> </w:t>
      </w:r>
      <w:r>
        <w:t xml:space="preserve">Der standard implementasjoner vokser trær level-wise (alle blader på dybde</w:t>
      </w:r>
      <w:r>
        <w:t xml:space="preserve"> </w:t>
      </w:r>
      <m:oMath>
        <m:r>
          <m:t>d</m:t>
        </m:r>
      </m:oMath>
      <w:r>
        <w:t xml:space="preserve"> </w:t>
      </w:r>
      <w:r>
        <w:t xml:space="preserve">før noen på</w:t>
      </w:r>
      <w:r>
        <w:t xml:space="preserve"> </w:t>
      </w:r>
      <m:oMath>
        <m:r>
          <m:t>d</m:t>
        </m:r>
        <m:r>
          <m:rPr>
            <m:sty m:val="p"/>
          </m:rPr>
          <m:t>+</m:t>
        </m:r>
        <m:r>
          <m:t>1</m:t>
        </m:r>
      </m:oMath>
      <w:r>
        <w:t xml:space="preserve">), vokser LightGBM bladet med høyest tap-reduksjon først, uavhengig av dybde. Dette gir mer asymmetriske trær som tilpasser dataene bedre med færre blader totalt — men er mer utsatt for over</w:t>
      </w:r>
      <w:r>
        <w:softHyphen/>
      </w:r>
      <w:r>
        <w:t xml:space="preserve">tilpasning på små datasett, kontrollert av</w:t>
      </w:r>
      <w:r>
        <w:t xml:space="preserve"> </w:t>
      </w:r>
      <w:r>
        <w:rPr>
          <w:rStyle w:val="VerbatimChar"/>
        </w:rPr>
        <w:t xml:space="preserve">max_depth</w:t>
      </w:r>
      <w:r>
        <w:t xml:space="preserve"> </w:t>
      </w:r>
      <w:r>
        <w:t xml:space="preserve">og</w:t>
      </w:r>
      <w:r>
        <w:t xml:space="preserve"> </w:t>
      </w:r>
      <w:r>
        <w:rPr>
          <w:rStyle w:val="VerbatimChar"/>
        </w:rPr>
        <w:t xml:space="preserve">min_data_in_leaf</w:t>
      </w:r>
      <w:r>
        <w:t xml:space="preserve">-restriksjoner.</w:t>
      </w:r>
    </w:p>
    <w:p>
      <w:pPr>
        <w:pStyle w:val="BodyText"/>
      </w:pPr>
      <w:r>
        <w:rPr>
          <w:b/>
          <w:bCs/>
        </w:rPr>
        <w:t xml:space="preserve">Gradient-based one-side sampling (GOSS) og exclusive feature bundling (EFB).</w:t>
      </w:r>
      <w:r>
        <w:t xml:space="preserve"> </w:t>
      </w:r>
      <w:r>
        <w:t xml:space="preserve">GOSS beholder samplene med høyest gradient (størst residual) og subsampler resten tilfeldig — informasjons</w:t>
      </w:r>
      <w:r>
        <w:softHyphen/>
      </w:r>
      <w:r>
        <w:t xml:space="preserve">tetthet per iterasjon bevares. EFB bundler gjensidig eksklusive sparse features til én kolonne. Begge reduserer kostnad per iterasjon på høy-dimensjonal sparsom data.</w:t>
      </w:r>
    </w:p>
    <w:p>
      <w:pPr>
        <w:pStyle w:val="BodyText"/>
      </w:pPr>
      <w:r>
        <w:rPr>
          <w:b/>
          <w:bCs/>
        </w:rPr>
        <w:t xml:space="preserve">Kategorisk håndtering.</w:t>
      </w:r>
      <w:r>
        <w:t xml:space="preserve"> </w:t>
      </w:r>
      <w:r>
        <w:t xml:space="preserve">LightGBM aksepterer heltalls</w:t>
      </w:r>
      <w:r>
        <w:softHyphen/>
      </w:r>
      <w:r>
        <w:t xml:space="preserve">kodede kategoriske kolonner direkte. Ved hvert split sorteres kategoriene etter akkumulert gradient-statistikk, og den optimale partisjonen finnes ved å skanne den sorterte listen. Dette håndterer høy-kardinalitets kategoriske variabler (f.eks.</w:t>
      </w:r>
      <w:r>
        <w:t xml:space="preserve"> </w:t>
      </w:r>
      <w:r>
        <w:rPr>
          <w:rStyle w:val="VerbatimChar"/>
        </w:rPr>
        <w:t xml:space="preserve">arrival_port</w:t>
      </w:r>
      <w:r>
        <w:t xml:space="preserve">,</w:t>
      </w:r>
      <w:r>
        <w:t xml:space="preserve"> </w:t>
      </w:r>
      <w:r>
        <w:rPr>
          <w:rStyle w:val="VerbatimChar"/>
        </w:rPr>
        <w:t xml:space="preserve">service_type</w:t>
      </w:r>
      <w:r>
        <w:t xml:space="preserve">) uten one-hot-eksplosjon.</w:t>
      </w:r>
    </w:p>
    <w:p>
      <w:pPr>
        <w:pStyle w:val="BodyText"/>
      </w:pPr>
      <w:r>
        <w:t xml:space="preserve">I NautiCost er LightGBM den primære base-læreren fordi den konvergerer raskt på det lille datasettet (~1 600 rader) og håndterer den heterogene feature-miksen native. Hyperparametre (</w:t>
      </w:r>
      <w:r>
        <w:rPr>
          <w:rStyle w:val="VerbatimChar"/>
        </w:rPr>
        <w:t xml:space="preserve">num_leaves</w:t>
      </w:r>
      <w:r>
        <w:t xml:space="preserve">,</w:t>
      </w:r>
      <w:r>
        <w:t xml:space="preserve"> </w:t>
      </w:r>
      <w:r>
        <w:rPr>
          <w:rStyle w:val="VerbatimChar"/>
        </w:rPr>
        <w:t xml:space="preserve">min_data_in_leaf</w:t>
      </w:r>
      <w:r>
        <w:t xml:space="preserve">,</w:t>
      </w:r>
      <w:r>
        <w:t xml:space="preserve"> </w:t>
      </w:r>
      <w:r>
        <w:rPr>
          <w:rStyle w:val="VerbatimChar"/>
        </w:rPr>
        <w:t xml:space="preserve">max_depth</w:t>
      </w:r>
      <w:r>
        <w:t xml:space="preserve">,</w:t>
      </w:r>
      <w:r>
        <w:t xml:space="preserve"> </w:t>
      </w:r>
      <w:r>
        <w:rPr>
          <w:rStyle w:val="VerbatimChar"/>
        </w:rPr>
        <w:t xml:space="preserve">feature_fraction</w:t>
      </w:r>
      <w:r>
        <w:t xml:space="preserve">,</w:t>
      </w:r>
      <w:r>
        <w:t xml:space="preserve"> </w:t>
      </w:r>
      <w:r>
        <w:rPr>
          <w:rStyle w:val="VerbatimChar"/>
        </w:rPr>
        <w:t xml:space="preserve">bagging_fraction</w:t>
      </w:r>
      <w:r>
        <w:t xml:space="preserve">,</w:t>
      </w:r>
      <w:r>
        <w:t xml:space="preserve"> </w:t>
      </w:r>
      <w:r>
        <w:rPr>
          <w:rStyle w:val="VerbatimChar"/>
        </w:rPr>
        <w:t xml:space="preserve">learning_rate</w:t>
      </w:r>
      <w:r>
        <w:t xml:space="preserve">) er tunet med Optuna (se § 6.3).</w:t>
      </w:r>
    </w:p>
    <w:p>
      <w:pPr>
        <w:pStyle w:val="BodyText"/>
      </w:pPr>
      <w:r>
        <w:rPr>
          <w:i/>
          <w:iCs/>
        </w:rPr>
        <w:t xml:space="preserve">Relevans for prosjektet.</w:t>
      </w:r>
      <w:r>
        <w:t xml:space="preserve"> </w:t>
      </w:r>
      <w:r>
        <w:t xml:space="preserve">DP2 forutsetter en modell som kan håndtere både blandet (kategorisk + numerisk) input og den lave rad-til-feature-ratioen (1 626 / 26 ≈ 63). LightGBMs histogram-baserte split-finding og leaf-wise vekst gir høy data-effektivitet under disse betingelsene, og motiverer valget i § 6.3.</w:t>
      </w:r>
    </w:p>
    <w:bookmarkEnd w:id="22"/>
    <w:bookmarkStart w:id="23" w:name="catboost"/>
    <w:p>
      <w:pPr>
        <w:pStyle w:val="Heading3"/>
      </w:pPr>
      <w:r>
        <w:rPr>
          <w:rStyle w:val="SectionNumber"/>
        </w:rPr>
        <w:t xml:space="preserve">4.3</w:t>
      </w:r>
      <w:r>
        <w:tab/>
      </w:r>
      <w:r>
        <w:t xml:space="preserve">3.3 CatBoost</w:t>
      </w:r>
    </w:p>
    <w:p>
      <w:pPr>
        <w:pStyle w:val="FirstParagraph"/>
      </w:pPr>
      <w:r>
        <w:t xml:space="preserve">CatBoost (Prokhorenkova et al., 2018) er et gradient-boosting-bibliotek med fokus på robust kategorisk håndtering og forventningsrett target-encoding. To tekniske bidrag står sentralt:</w:t>
      </w:r>
    </w:p>
    <w:p>
      <w:pPr>
        <w:pStyle w:val="BodyText"/>
      </w:pPr>
      <w:r>
        <w:rPr>
          <w:b/>
          <w:bCs/>
        </w:rPr>
        <w:t xml:space="preserve">Ordered boosting.</w:t>
      </w:r>
      <w:r>
        <w:t xml:space="preserve"> </w:t>
      </w:r>
      <w:r>
        <w:t xml:space="preserve">Standard target-encoding-strategier erstatter en kategorisk verdi med gjennomsnittet av målet over alle rader der verdien forekommer. Dette skaper</w:t>
      </w:r>
      <w:r>
        <w:t xml:space="preserve"> </w:t>
      </w:r>
      <w:r>
        <w:rPr>
          <w:i/>
          <w:iCs/>
        </w:rPr>
        <w:t xml:space="preserve">target-leakage</w:t>
      </w:r>
      <w:r>
        <w:t xml:space="preserve"> </w:t>
      </w:r>
      <w:r>
        <w:t xml:space="preserve">— den kodede featuren for rad</w:t>
      </w:r>
      <w:r>
        <w:t xml:space="preserve"> </w:t>
      </w:r>
      <m:oMath>
        <m:r>
          <m:t>i</m:t>
        </m:r>
      </m:oMath>
      <w:r>
        <w:t xml:space="preserve"> </w:t>
      </w:r>
      <w:r>
        <w:t xml:space="preserve">påvirkes av målet</w:t>
      </w:r>
      <w:r>
        <w:t xml:space="preserve"> </w:t>
      </w:r>
      <m:oMath>
        <m:sSub>
          <m:e>
            <m:r>
              <m:t>y</m:t>
            </m:r>
          </m:e>
          <m:sub>
            <m:r>
              <m:t>i</m:t>
            </m:r>
          </m:sub>
        </m:sSub>
      </m:oMath>
      <w:r>
        <w:t xml:space="preserve"> </w:t>
      </w:r>
      <w:r>
        <w:t xml:space="preserve">selv, hvilket biaserer gradienter mot over</w:t>
      </w:r>
      <w:r>
        <w:softHyphen/>
      </w:r>
      <w:r>
        <w:t xml:space="preserve">tilpasning. CatBoosts ordered boosting opprettholder en tilfeldig permutasjon av treningsradene; for hver rad</w:t>
      </w:r>
      <w:r>
        <w:t xml:space="preserve"> </w:t>
      </w:r>
      <m:oMath>
        <m:r>
          <m:t>i</m:t>
        </m:r>
      </m:oMath>
      <w:r>
        <w:t xml:space="preserve"> </w:t>
      </w:r>
      <w:r>
        <w:t xml:space="preserve">bruker target-encodingen kun radene som ligger foran</w:t>
      </w:r>
      <w:r>
        <w:t xml:space="preserve"> </w:t>
      </w:r>
      <m:oMath>
        <m:r>
          <m:t>i</m:t>
        </m:r>
      </m:oMath>
      <w:r>
        <w:t xml:space="preserve"> </w:t>
      </w:r>
      <w:r>
        <w:t xml:space="preserve">i permutasjonen. Dette gir et forventningsrett estimat på bekostning av å kjøre</w:t>
      </w:r>
      <w:r>
        <w:t xml:space="preserve"> </w:t>
      </w:r>
      <m:oMath>
        <m:r>
          <m:t>K</m:t>
        </m:r>
      </m:oMath>
      <w:r>
        <w:t xml:space="preserve"> </w:t>
      </w:r>
      <w:r>
        <w:t xml:space="preserve">parallelle modeller på</w:t>
      </w:r>
      <w:r>
        <w:t xml:space="preserve"> </w:t>
      </w:r>
      <m:oMath>
        <m:r>
          <m:t>K</m:t>
        </m:r>
      </m:oMath>
      <w:r>
        <w:t xml:space="preserve"> </w:t>
      </w:r>
      <w:r>
        <w:t xml:space="preserve">ulike permutasjoner.</w:t>
      </w:r>
    </w:p>
    <w:p>
      <w:pPr>
        <w:pStyle w:val="BodyText"/>
      </w:pPr>
      <w:r>
        <w:rPr>
          <w:b/>
          <w:bCs/>
        </w:rPr>
        <w:t xml:space="preserve">Symmetriske (oblivious) trær.</w:t>
      </w:r>
      <w:r>
        <w:t xml:space="preserve"> </w:t>
      </w:r>
      <w:r>
        <w:t xml:space="preserve">Hvert nivå av et CatBoost-tre bruker samme split-feature og terskel</w:t>
      </w:r>
      <w:r>
        <w:softHyphen/>
      </w:r>
      <w:r>
        <w:t xml:space="preserve">verdi på tvers av alle interne noder på det nivået. Dette gir et balansert binærtre med fast dybde, hvilket er raskere ved inferens (prediksjons</w:t>
      </w:r>
      <w:r>
        <w:softHyphen/>
      </w:r>
      <w:r>
        <w:t xml:space="preserve">banen er bare en sekvens av sammen</w:t>
      </w:r>
      <w:r>
        <w:softHyphen/>
      </w:r>
      <w:r>
        <w:t xml:space="preserve">ligninger) og virker som en implisitt regularisering.</w:t>
      </w:r>
    </w:p>
    <w:p>
      <w:pPr>
        <w:pStyle w:val="BodyText"/>
      </w:pPr>
      <w:r>
        <w:rPr>
          <w:b/>
          <w:bCs/>
        </w:rPr>
        <w:t xml:space="preserve">Kategorisk encoding via ordered target statistics:</w:t>
      </w:r>
    </w:p>
    <w:p>
      <w:pPr>
        <w:pStyle w:val="BodyText"/>
      </w:pPr>
      <m:oMathPara>
        <m:oMathParaPr>
          <m:jc m:val="center"/>
        </m:oMathParaPr>
        <m:oMath>
          <m:sSubSup>
            <m:e>
              <m:acc>
                <m:accPr>
                  <m:chr m:val="̂"/>
                </m:accPr>
                <m:e>
                  <m:r>
                    <m:t>x</m:t>
                  </m:r>
                </m:e>
              </m:acc>
            </m:e>
            <m:sub>
              <m:r>
                <m:t>i</m:t>
              </m:r>
            </m:sub>
            <m:sup>
              <m:r>
                <m:t>c</m:t>
              </m:r>
              <m:r>
                <m:t>a</m:t>
              </m:r>
              <m:r>
                <m:t>t</m:t>
              </m:r>
            </m:sup>
          </m:sSubSup>
          <m:r>
            <m:rPr>
              <m:sty m:val="p"/>
            </m:rPr>
            <m:t>=</m:t>
          </m:r>
          <m:f>
            <m:fPr>
              <m:type m:val="bar"/>
            </m:fPr>
            <m:num>
              <m:nary>
                <m:naryPr>
                  <m:chr m:val="∑"/>
                  <m:limLoc m:val="undOvr"/>
                  <m:subHide m:val="off"/>
                  <m:supHide m:val="on"/>
                </m:naryPr>
                <m:sub>
                  <m:r>
                    <m:t>j</m:t>
                  </m:r>
                  <m:r>
                    <m:rPr>
                      <m:sty m:val="p"/>
                    </m:rPr>
                    <m:t>&lt;</m:t>
                  </m:r>
                  <m:r>
                    <m:t>i</m:t>
                  </m:r>
                  <m:r>
                    <m:rPr>
                      <m:sty m:val="p"/>
                    </m:rPr>
                    <m:t>,</m:t>
                  </m:r>
                  <m:r>
                    <m:t> </m:t>
                  </m:r>
                  <m:sSubSup>
                    <m:e>
                      <m:r>
                        <m:t>x</m:t>
                      </m:r>
                    </m:e>
                    <m:sub>
                      <m:r>
                        <m:t>j</m:t>
                      </m:r>
                    </m:sub>
                    <m:sup>
                      <m:r>
                        <m:t>c</m:t>
                      </m:r>
                      <m:r>
                        <m:t>a</m:t>
                      </m:r>
                      <m:r>
                        <m:t>t</m:t>
                      </m:r>
                    </m:sup>
                  </m:sSubSup>
                  <m:r>
                    <m:rPr>
                      <m:sty m:val="p"/>
                    </m:rPr>
                    <m:t>=</m:t>
                  </m:r>
                  <m:sSubSup>
                    <m:e>
                      <m:r>
                        <m:t>x</m:t>
                      </m:r>
                    </m:e>
                    <m:sub>
                      <m:r>
                        <m:t>i</m:t>
                      </m:r>
                    </m:sub>
                    <m:sup>
                      <m:r>
                        <m:t>c</m:t>
                      </m:r>
                      <m:r>
                        <m:t>a</m:t>
                      </m:r>
                      <m:r>
                        <m:t>t</m:t>
                      </m:r>
                    </m:sup>
                  </m:sSubSup>
                </m:sub>
                <m:sup>
                  <m:r>
                    <m:t>​</m:t>
                  </m:r>
                </m:sup>
                <m:e>
                  <m:sSub>
                    <m:e>
                      <m:r>
                        <m:t>y</m:t>
                      </m:r>
                    </m:e>
                    <m:sub>
                      <m:r>
                        <m:t>j</m:t>
                      </m:r>
                    </m:sub>
                  </m:sSub>
                </m:e>
              </m:nary>
              <m:r>
                <m:rPr>
                  <m:sty m:val="p"/>
                </m:rPr>
                <m:t>+</m:t>
              </m:r>
              <m:r>
                <m:t>a</m:t>
              </m:r>
              <m:r>
                <m:rPr>
                  <m:sty m:val="p"/>
                </m:rPr>
                <m:t>⋅</m:t>
              </m:r>
              <m:r>
                <m:t>p</m:t>
              </m:r>
            </m:num>
            <m:den>
              <m:r>
                <m:rPr>
                  <m:sty m:val="p"/>
                </m:rPr>
                <m:t>#</m:t>
              </m:r>
              <m:r>
                <m:rPr>
                  <m:sty m:val="p"/>
                </m:rPr>
                <m:t>{</m:t>
              </m:r>
              <m:r>
                <m:t>j</m:t>
              </m:r>
              <m:r>
                <m:rPr>
                  <m:sty m:val="p"/>
                </m:rPr>
                <m:t>&lt;</m:t>
              </m:r>
              <m:r>
                <m:t>i</m:t>
              </m:r>
              <m:r>
                <m:rPr>
                  <m:sty m:val="p"/>
                </m:rPr>
                <m:t>:</m:t>
              </m:r>
              <m:sSubSup>
                <m:e>
                  <m:r>
                    <m:t>x</m:t>
                  </m:r>
                </m:e>
                <m:sub>
                  <m:r>
                    <m:t>j</m:t>
                  </m:r>
                </m:sub>
                <m:sup>
                  <m:r>
                    <m:t>c</m:t>
                  </m:r>
                  <m:r>
                    <m:t>a</m:t>
                  </m:r>
                  <m:r>
                    <m:t>t</m:t>
                  </m:r>
                </m:sup>
              </m:sSubSup>
              <m:r>
                <m:rPr>
                  <m:sty m:val="p"/>
                </m:rPr>
                <m:t>=</m:t>
              </m:r>
              <m:sSubSup>
                <m:e>
                  <m:r>
                    <m:t>x</m:t>
                  </m:r>
                </m:e>
                <m:sub>
                  <m:r>
                    <m:t>i</m:t>
                  </m:r>
                </m:sub>
                <m:sup>
                  <m:r>
                    <m:t>c</m:t>
                  </m:r>
                  <m:r>
                    <m:t>a</m:t>
                  </m:r>
                  <m:r>
                    <m:t>t</m:t>
                  </m:r>
                </m:sup>
              </m:sSubSup>
              <m:r>
                <m:rPr>
                  <m:sty m:val="p"/>
                </m:rPr>
                <m:t>}</m:t>
              </m:r>
              <m:r>
                <m:rPr>
                  <m:sty m:val="p"/>
                </m:rPr>
                <m:t>+</m:t>
              </m:r>
              <m:r>
                <m:t>a</m:t>
              </m:r>
            </m:den>
          </m:f>
        </m:oMath>
      </m:oMathPara>
    </w:p>
    <w:p>
      <w:pPr>
        <w:pStyle w:val="FirstParagraph"/>
      </w:pPr>
      <w:r>
        <w:t xml:space="preserve">der</w:t>
      </w:r>
      <w:r>
        <w:t xml:space="preserve"> </w:t>
      </w:r>
      <m:oMath>
        <m:r>
          <m:t>a</m:t>
        </m:r>
      </m:oMath>
      <w:r>
        <w:t xml:space="preserve"> </w:t>
      </w:r>
      <w:r>
        <w:t xml:space="preserve">er en glattings</w:t>
      </w:r>
      <w:r>
        <w:softHyphen/>
      </w:r>
      <w:r>
        <w:t xml:space="preserve">prior og</w:t>
      </w:r>
      <w:r>
        <w:t xml:space="preserve"> </w:t>
      </w:r>
      <m:oMath>
        <m:r>
          <m:t>p</m:t>
        </m:r>
      </m:oMath>
      <w:r>
        <w:t xml:space="preserve"> </w:t>
      </w:r>
      <w:r>
        <w:t xml:space="preserve">er en global prior (f.eks. globalt mål</w:t>
      </w:r>
      <w:r>
        <w:softHyphen/>
      </w:r>
      <w:r>
        <w:t xml:space="preserve">gjennom</w:t>
      </w:r>
      <w:r>
        <w:softHyphen/>
      </w:r>
      <w:r>
        <w:t xml:space="preserve">snitt). Glattingen håndterer lav-frekvente kategorier robust.</w:t>
      </w:r>
    </w:p>
    <w:p>
      <w:pPr>
        <w:pStyle w:val="BodyText"/>
      </w:pPr>
      <w:r>
        <w:t xml:space="preserve">I NautiCost er CatBoost paret med LightGBM i ensembelet (§ 6.3) fordi den bringer en annen induktiv bias — symmetriske trær og ordered encoding — som dekorrelerer feilene med LightGBMs leaf-wise asymmetriske trær og reduserer ensemble-variansen.</w:t>
      </w:r>
    </w:p>
    <w:p>
      <w:pPr>
        <w:pStyle w:val="BodyText"/>
      </w:pPr>
      <w:r>
        <w:rPr>
          <w:i/>
          <w:iCs/>
        </w:rPr>
        <w:t xml:space="preserve">Relevans for prosjektet.</w:t>
      </w:r>
      <w:r>
        <w:t xml:space="preserve"> </w:t>
      </w:r>
      <w:r>
        <w:t xml:space="preserve">DP2 har et sekundært krav om robusthet ved re-trening (datasettet er lite og hyperparameter</w:t>
      </w:r>
      <w:r>
        <w:softHyphen/>
      </w:r>
      <w:r>
        <w:t xml:space="preserve">søk kan over</w:t>
      </w:r>
      <w:r>
        <w:softHyphen/>
      </w:r>
      <w:r>
        <w:t xml:space="preserve">tilpasse, jf. § 9.2). CatBoosts symmetriske trær og forventningsrette target-encoding gir en uavhengig induktiv bias som motvirker LightGBM-spesifikke feil ved drift, og dekorrelerer feilene på en måte som rettferdiggjør ensemble-arkitekturen i § 6.3.</w:t>
      </w:r>
    </w:p>
    <w:bookmarkEnd w:id="23"/>
    <w:bookmarkStart w:id="24" w:name="log-transformert-mål-og-evaluering"/>
    <w:p>
      <w:pPr>
        <w:pStyle w:val="Heading3"/>
      </w:pPr>
      <w:r>
        <w:rPr>
          <w:rStyle w:val="SectionNumber"/>
        </w:rPr>
        <w:t xml:space="preserve">4.4</w:t>
      </w:r>
      <w:r>
        <w:tab/>
      </w:r>
      <w:r>
        <w:t xml:space="preserve">3.4 Log-transformert mål og evaluering</w:t>
      </w:r>
    </w:p>
    <w:p>
      <w:pPr>
        <w:pStyle w:val="FirstParagraph"/>
      </w:pPr>
      <w:r>
        <w:t xml:space="preserve">Mål</w:t>
      </w:r>
      <w:r>
        <w:softHyphen/>
      </w:r>
      <w:r>
        <w:t xml:space="preserve">variabelen</w:t>
      </w:r>
      <w:r>
        <w:t xml:space="preserve"> </w:t>
      </w:r>
      <w:r>
        <w:rPr>
          <w:rStyle w:val="VerbatimChar"/>
        </w:rPr>
        <w:t xml:space="preserve">final_charge</w:t>
      </w:r>
      <w:r>
        <w:t xml:space="preserve"> </w:t>
      </w:r>
      <w:r>
        <w:t xml:space="preserve">er sterkt høyreskjev: enkelte transaksjoner er 50–100× større enn medianen (jf. § 7.1). To konsekvenser for modellering:</w:t>
      </w:r>
    </w:p>
    <w:p>
      <w:pPr>
        <w:pStyle w:val="Compact"/>
        <w:numPr>
          <w:ilvl w:val="0"/>
          <w:numId w:val="1006"/>
        </w:numPr>
      </w:pPr>
      <w:r>
        <w:t xml:space="preserve">Gradient boosting med kvadrat</w:t>
      </w:r>
      <w:r>
        <w:softHyphen/>
      </w:r>
      <w:r>
        <w:t xml:space="preserve">tap domineres av de største residualene. Uten transformasjon bruker modellen mesteparten av kapasiteten på å redusere feilen for en håndfull dyre transaksjoner mens feilen ellers øker.</w:t>
      </w:r>
    </w:p>
    <w:p>
      <w:pPr>
        <w:pStyle w:val="Compact"/>
        <w:numPr>
          <w:ilvl w:val="0"/>
          <w:numId w:val="1006"/>
        </w:numPr>
      </w:pPr>
      <w:r>
        <w:t xml:space="preserve">Multiplikative effekter (en yacht som er dobbelt så stor koster grovt sett dobbelt så mye) blir additive i log-rommet, hvilket matcher den additive strukturen i beslutningstrær bedre.</w:t>
      </w:r>
    </w:p>
    <w:p>
      <w:pPr>
        <w:pStyle w:val="FirstParagraph"/>
      </w:pPr>
      <w:r>
        <w:t xml:space="preserve">Standardløsningen er en log-transformasjon:</w:t>
      </w:r>
    </w:p>
    <w:p>
      <w:pPr>
        <w:pStyle w:val="BodyText"/>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pPr>
      <w:r>
        <w:t xml:space="preserve">«+1»-shiftet håndterer null-kostnads</w:t>
      </w:r>
      <w:r>
        <w:softHyphen/>
      </w:r>
      <w:r>
        <w:t xml:space="preserve">transaksjoner uten at</w:t>
      </w:r>
      <w:r>
        <w:t xml:space="preserve"> </w:t>
      </w:r>
      <m:oMath>
        <m:r>
          <m:rPr>
            <m:sty m:val="p"/>
          </m:rPr>
          <m:t>log</m:t>
        </m:r>
      </m:oMath>
      <w:r>
        <w:t xml:space="preserve"> </w:t>
      </w:r>
      <w:r>
        <w:t xml:space="preserve">divergerer. Prediksjoner inverteres med</w:t>
      </w:r>
      <w:r>
        <w:t xml:space="preserve"> </w:t>
      </w:r>
      <m:oMath>
        <m:acc>
          <m:accPr>
            <m:chr m:val="̂"/>
          </m:accPr>
          <m:e>
            <m:r>
              <m:t>c</m:t>
            </m:r>
          </m:e>
        </m:acc>
        <m:r>
          <m:rPr>
            <m:sty m:val="p"/>
          </m:rPr>
          <m:t>=</m:t>
        </m:r>
        <m:r>
          <m:rPr>
            <m:sty m:val="p"/>
          </m:rPr>
          <m:t>exp</m:t>
        </m:r>
        <m:r>
          <m:rPr>
            <m:sty m:val="p"/>
          </m:rPr>
          <m:t>(</m:t>
        </m:r>
        <m:acc>
          <m:accPr>
            <m:chr m:val="̂"/>
          </m:accPr>
          <m:e>
            <m:r>
              <m:t>y</m:t>
            </m:r>
          </m:e>
        </m:acc>
        <m:r>
          <m:rPr>
            <m:sty m:val="p"/>
          </m:rPr>
          <m:t>)</m:t>
        </m:r>
        <m:r>
          <m:rPr>
            <m:sty m:val="p"/>
          </m:rPr>
          <m:t>−</m:t>
        </m:r>
        <m:r>
          <m:t>1</m:t>
        </m:r>
      </m:oMath>
      <w:r>
        <w:t xml:space="preserve"> </w:t>
      </w:r>
      <w:r>
        <w:t xml:space="preserve">før de rapporteres.</w:t>
      </w:r>
    </w:p>
    <w:p>
      <w:pPr>
        <w:pStyle w:val="BodyText"/>
      </w:pPr>
      <w:r>
        <w:rPr>
          <w:b/>
          <w:bCs/>
        </w:rPr>
        <w:t xml:space="preserve">Evalueringsmetrikker på opprinnelig EUR-skala (jf. § 1.3 om valutaen i kildedataene):</w:t>
      </w:r>
    </w:p>
    <w:p>
      <w:pPr>
        <w:pStyle w:val="Compact"/>
        <w:numPr>
          <w:ilvl w:val="0"/>
          <w:numId w:val="1007"/>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r>
        <w:t xml:space="preserve">. Rapporterer absolutt avvik i EUR; robust mot outliers.</w:t>
      </w:r>
    </w:p>
    <w:p>
      <w:pPr>
        <w:pStyle w:val="Compact"/>
        <w:numPr>
          <w:ilvl w:val="0"/>
          <w:numId w:val="1007"/>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r>
        <w:t xml:space="preserve">. Straffer store feil hardere; sensitiv mot outliers.</w:t>
      </w:r>
    </w:p>
    <w:p>
      <w:pPr>
        <w:pStyle w:val="Compact"/>
        <w:numPr>
          <w:ilvl w:val="0"/>
          <w:numId w:val="1007"/>
        </w:numPr>
      </w:pPr>
      <w:r>
        <w:rPr>
          <w:b/>
          <w:bCs/>
        </w:rPr>
        <w:t xml:space="preserve">Mean Absolute Percentage Error (MAPE):</w:t>
      </w:r>
      <w:r>
        <w:t xml:space="preserve"> </w:t>
      </w:r>
      <m:oMath>
        <m:r>
          <m:rPr>
            <m:nor/>
            <m:sty m:val="p"/>
          </m:rPr>
          <m:t>MAPE</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w:r>
        <w:t xml:space="preserve">. Rapporterer relativ feil i prosent; sensitiv mot små nevnere — små</w:t>
      </w:r>
      <w:r>
        <w:t xml:space="preserve"> </w:t>
      </w:r>
      <m:oMath>
        <m:sSub>
          <m:e>
            <m:r>
              <m:t>y</m:t>
            </m:r>
          </m:e>
          <m:sub>
            <m:r>
              <m:t>i</m:t>
            </m:r>
          </m:sub>
        </m:sSub>
      </m:oMath>
      <w:r>
        <w:t xml:space="preserve"> </w:t>
      </w:r>
      <w:r>
        <w:t xml:space="preserve">blåser opp MAPE.</w:t>
      </w:r>
    </w:p>
    <w:p>
      <w:pPr>
        <w:pStyle w:val="Compact"/>
        <w:numPr>
          <w:ilvl w:val="0"/>
          <w:numId w:val="1007"/>
        </w:numPr>
      </w:pPr>
      <w:r>
        <w:rPr>
          <w:b/>
          <w:bCs/>
        </w:rPr>
        <w:t xml:space="preserve">Weighted MAPE (wMAPE):</w:t>
      </w:r>
      <w:r>
        <w:t xml:space="preserve"> </w:t>
      </w:r>
      <m:oMath>
        <m:r>
          <m:rPr>
            <m:nor/>
            <m:sty m:val="p"/>
          </m:rPr>
          <m:t>wMAPE</m:t>
        </m:r>
        <m:r>
          <m:rPr>
            <m:sty m:val="p"/>
          </m:rPr>
          <m:t>=</m:t>
        </m:r>
        <m:r>
          <m:t>100</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num>
          <m:den>
            <m:nary>
              <m:naryPr>
                <m:chr m:val="∑"/>
                <m:limLoc m:val="undOvr"/>
                <m:subHide m:val="off"/>
                <m:supHide m:val="on"/>
              </m:naryPr>
              <m:sub>
                <m:r>
                  <m:t>i</m:t>
                </m:r>
              </m:sub>
              <m:sup>
                <m:r>
                  <m:t>​</m:t>
                </m:r>
              </m:sup>
              <m:e>
                <m:r>
                  <m:rPr>
                    <m:sty m:val="p"/>
                  </m:rPr>
                  <m:t>|</m:t>
                </m:r>
              </m:e>
            </m:nary>
            <m:sSub>
              <m:e>
                <m:r>
                  <m:t>y</m:t>
                </m:r>
              </m:e>
              <m:sub>
                <m:r>
                  <m:t>i</m:t>
                </m:r>
              </m:sub>
            </m:sSub>
            <m:r>
              <m:rPr>
                <m:sty m:val="p"/>
              </m:rPr>
              <m:t>|</m:t>
            </m:r>
          </m:den>
        </m:f>
      </m:oMath>
      <w:r>
        <w:t xml:space="preserve">. Volum</w:t>
      </w:r>
      <w:r>
        <w:softHyphen/>
      </w:r>
      <w:r>
        <w:t xml:space="preserve">vektet versjon av MAPE der hver feil vektes etter faktura</w:t>
      </w:r>
      <w:r>
        <w:softHyphen/>
      </w:r>
      <w:r>
        <w:t xml:space="preserve">beløpet; ikke sårbar for små nevnere. Ekvivalent med</w:t>
      </w:r>
      <w:r>
        <w:t xml:space="preserve"> </w:t>
      </w:r>
      <m:oMath>
        <m:r>
          <m:rPr>
            <m:nor/>
            <m:sty m:val="p"/>
          </m:rPr>
          <m:t>MAE</m:t>
        </m:r>
        <m:r>
          <m:rPr>
            <m:sty m:val="p"/>
          </m:rPr>
          <m:t>/</m:t>
        </m:r>
        <m:bar>
          <m:barPr>
            <m:pos m:val="top"/>
          </m:barPr>
          <m:e>
            <m:r>
              <m:t>y</m:t>
            </m:r>
          </m:e>
        </m:bar>
      </m:oMath>
      <w:r>
        <w:t xml:space="preserve">.</w:t>
      </w:r>
    </w:p>
    <w:p>
      <w:pPr>
        <w:pStyle w:val="FirstParagraph"/>
      </w:pPr>
      <w:r>
        <w:t xml:space="preserve">I et høyreskjevt kostnads</w:t>
      </w:r>
      <w:r>
        <w:softHyphen/>
      </w:r>
      <w:r>
        <w:t xml:space="preserve">scenario er</w:t>
      </w:r>
      <w:r>
        <w:t xml:space="preserve"> </w:t>
      </w:r>
      <w:r>
        <w:rPr>
          <w:b/>
          <w:bCs/>
        </w:rPr>
        <w:t xml:space="preserve">MAE</w:t>
      </w:r>
      <w:r>
        <w:t xml:space="preserve"> </w:t>
      </w:r>
      <w:r>
        <w:t xml:space="preserve">den mest operasjonelt meningsfulle metrikken: en feil på 5 000 EUR har samme størrelses</w:t>
      </w:r>
      <w:r>
        <w:softHyphen/>
      </w:r>
      <w:r>
        <w:t xml:space="preserve">orden enten regningen er på 10 000 eller 100 000 EUR.</w:t>
      </w:r>
      <w:r>
        <w:t xml:space="preserve"> </w:t>
      </w:r>
      <w:r>
        <w:rPr>
          <w:b/>
          <w:bCs/>
        </w:rPr>
        <w:t xml:space="preserve">wMAPE</w:t>
      </w:r>
      <w:r>
        <w:t xml:space="preserve"> </w:t>
      </w:r>
      <w:r>
        <w:t xml:space="preserve">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softHyphen/>
      </w:r>
      <w:r>
        <w:t xml:space="preserve">skudd og brukes som sekundær ranking</w:t>
      </w:r>
      <w:r>
        <w:softHyphen/>
      </w:r>
      <w:r>
        <w:t xml:space="preserve">metrikk.</w:t>
      </w:r>
    </w:p>
    <w:p>
      <w:pPr>
        <w:pStyle w:val="BodyText"/>
      </w:pPr>
      <w:r>
        <w:rPr>
          <w:i/>
          <w:iCs/>
        </w:rPr>
        <w:t xml:space="preserve">Relevans for prosjektet.</w:t>
      </w:r>
      <w:r>
        <w:t xml:space="preserve"> </w:t>
      </w:r>
      <w:r>
        <w:t xml:space="preserve">DP1 og DP2 spør om datagrunnlag og modellvalg gir lav prognosefeil. Valg av tap (log-MSE) og evalueringsmetrikker (MAE primær, wMAPE relativ, RMSE sekundær, MAPE bare for litteraturkompabilitet) er en direkte konsekvens av kostnadsfordelingens høyreskjevhet (jf. § 7.1) og forutsetter teorien over for å være forsvarlig.</w:t>
      </w:r>
    </w:p>
    <w:bookmarkEnd w:id="24"/>
    <w:bookmarkStart w:id="25" w:name="kvantilregresjon-og-konform-prediksjon"/>
    <w:p>
      <w:pPr>
        <w:pStyle w:val="Heading3"/>
      </w:pPr>
      <w:r>
        <w:rPr>
          <w:rStyle w:val="SectionNumber"/>
        </w:rPr>
        <w:t xml:space="preserve">4.5</w:t>
      </w:r>
      <w:r>
        <w:tab/>
      </w:r>
      <w:r>
        <w:t xml:space="preserve">3.5 Kvantil</w:t>
      </w:r>
      <w:r>
        <w:softHyphen/>
      </w:r>
      <w:r>
        <w:t xml:space="preserve">regresjon og konform prediksjon</w:t>
      </w:r>
    </w:p>
    <w:p>
      <w:pPr>
        <w:pStyle w:val="FirstParagraph"/>
      </w:pPr>
      <w:r>
        <w:t xml:space="preserve">Punktprediksjoner er utilstrekkelige når kostnads</w:t>
      </w:r>
      <w:r>
        <w:softHyphen/>
      </w:r>
      <w:r>
        <w:t xml:space="preserve">fordelingen er høyreskjev og en agent må kommunisere «dette er typisk kostnad, dette er den øvre plausible grensen». Kvantil</w:t>
      </w:r>
      <w:r>
        <w:softHyphen/>
      </w:r>
      <w:r>
        <w:t xml:space="preserve">regresjon og konform prediksjon gir</w:t>
      </w:r>
      <w:r>
        <w:t xml:space="preserve"> </w:t>
      </w:r>
      <w:r>
        <w:rPr>
          <w:i/>
          <w:iCs/>
        </w:rPr>
        <w:t xml:space="preserve">intervaller</w:t>
      </w:r>
      <w:r>
        <w:t xml:space="preserve"> </w:t>
      </w:r>
      <w:r>
        <w:t xml:space="preserve">med kalibrert dekning.</w:t>
      </w:r>
    </w:p>
    <w:p>
      <w:pPr>
        <w:pStyle w:val="BodyText"/>
      </w:pPr>
      <w:r>
        <w:rPr>
          <w:b/>
          <w:bCs/>
        </w:rPr>
        <w:t xml:space="preserve">Kvantil</w:t>
      </w:r>
      <w:r>
        <w:rPr>
          <w:b/>
          <w:bCs/>
        </w:rPr>
        <w:softHyphen/>
      </w:r>
      <w:r>
        <w:rPr>
          <w:b/>
          <w:bCs/>
        </w:rPr>
        <w:t xml:space="preserve">regresjon</w:t>
      </w:r>
      <w:r>
        <w:t xml:space="preserve"> </w:t>
      </w:r>
      <w:r>
        <w:t xml:space="preserve">trener en modell til å predikere</w:t>
      </w:r>
      <w:r>
        <w:t xml:space="preserve"> </w:t>
      </w:r>
      <m:oMath>
        <m:r>
          <m:t>τ</m:t>
        </m:r>
      </m:oMath>
      <w:r>
        <w:t xml:space="preserve">-kvantilet av</w:t>
      </w:r>
      <w:r>
        <w:t xml:space="preserve"> </w:t>
      </w:r>
      <m:oMath>
        <m:r>
          <m:t>y</m:t>
        </m:r>
        <m:r>
          <m:rPr>
            <m:sty m:val="p"/>
          </m:rPr>
          <m:t>∣</m:t>
        </m:r>
        <m:r>
          <m:t>x</m:t>
        </m:r>
      </m:oMath>
      <w:r>
        <w:t xml:space="preserve"> </w:t>
      </w:r>
      <w:r>
        <w:t xml:space="preserve">ved å minimere pinball-tapet:</w:t>
      </w:r>
    </w:p>
    <w:p>
      <w:pPr>
        <w:pStyle w:val="BodyText"/>
      </w:pPr>
      <m:oMathPara>
        <m:oMathParaPr>
          <m:jc m:val="center"/>
        </m:oMathParaPr>
        <m:oMath>
          <m:sSub>
            <m:e>
              <m:r>
                <m:t>L</m:t>
              </m:r>
            </m:e>
            <m:sub>
              <m:r>
                <m:t>τ</m:t>
              </m:r>
            </m:sub>
          </m:sSub>
          <m:r>
            <m:rPr>
              <m:sty m:val="p"/>
            </m:rPr>
            <m:t>(</m:t>
          </m:r>
          <m:r>
            <m:t>y</m:t>
          </m:r>
          <m:r>
            <m:rPr>
              <m:sty m:val="p"/>
            </m:rPr>
            <m:t>,</m:t>
          </m:r>
          <m:acc>
            <m:accPr>
              <m:chr m:val="̂"/>
            </m:accPr>
            <m:e>
              <m:r>
                <m:t>y</m:t>
              </m:r>
            </m:e>
          </m:acc>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τ</m:t>
                    </m:r>
                    <m:r>
                      <m:rPr>
                        <m:sty m:val="p"/>
                      </m:rPr>
                      <m:t>(</m:t>
                    </m:r>
                    <m:r>
                      <m:t>y</m:t>
                    </m:r>
                    <m:r>
                      <m:rPr>
                        <m:sty m:val="p"/>
                      </m:rPr>
                      <m:t>−</m:t>
                    </m:r>
                    <m:acc>
                      <m:accPr>
                        <m:chr m:val="̂"/>
                      </m:accPr>
                      <m:e>
                        <m:r>
                          <m:t>y</m:t>
                        </m:r>
                      </m:e>
                    </m:acc>
                    <m:r>
                      <m:rPr>
                        <m:sty m:val="p"/>
                      </m:rPr>
                      <m:t>)</m:t>
                    </m:r>
                  </m:e>
                  <m:e>
                    <m:r>
                      <m:rPr>
                        <m:nor/>
                        <m:sty m:val="p"/>
                      </m:rPr>
                      <m:t>hvis </m:t>
                    </m:r>
                    <m:r>
                      <m:t>y</m:t>
                    </m:r>
                    <m:r>
                      <m:rPr>
                        <m:sty m:val="p"/>
                      </m:rPr>
                      <m:t>≥</m:t>
                    </m:r>
                    <m:acc>
                      <m:accPr>
                        <m:chr m:val="̂"/>
                      </m:accPr>
                      <m:e>
                        <m:r>
                          <m:t>y</m:t>
                        </m:r>
                      </m:e>
                    </m:acc>
                  </m:e>
                </m:mr>
                <m:mr>
                  <m:e>
                    <m:r>
                      <m:rPr>
                        <m:sty m:val="p"/>
                      </m:rPr>
                      <m:t>(</m:t>
                    </m:r>
                    <m:r>
                      <m:t>1</m:t>
                    </m:r>
                    <m:r>
                      <m:rPr>
                        <m:sty m:val="p"/>
                      </m:rPr>
                      <m:t>−</m:t>
                    </m:r>
                    <m:r>
                      <m:t>τ</m:t>
                    </m:r>
                    <m:r>
                      <m:rPr>
                        <m:sty m:val="p"/>
                      </m:rPr>
                      <m:t>)</m:t>
                    </m:r>
                    <m:r>
                      <m:rPr>
                        <m:sty m:val="p"/>
                      </m:rPr>
                      <m:t>(</m:t>
                    </m:r>
                    <m:acc>
                      <m:accPr>
                        <m:chr m:val="̂"/>
                      </m:accPr>
                      <m:e>
                        <m:r>
                          <m:t>y</m:t>
                        </m:r>
                      </m:e>
                    </m:acc>
                    <m:r>
                      <m:rPr>
                        <m:sty m:val="p"/>
                      </m:rPr>
                      <m:t>−</m:t>
                    </m:r>
                    <m:r>
                      <m:t>y</m:t>
                    </m:r>
                    <m:r>
                      <m:rPr>
                        <m:sty m:val="p"/>
                      </m:rPr>
                      <m:t>)</m:t>
                    </m:r>
                  </m:e>
                  <m:e>
                    <m:r>
                      <m:rPr>
                        <m:nor/>
                        <m:sty m:val="p"/>
                      </m:rPr>
                      <m:t>hvis </m:t>
                    </m:r>
                    <m:r>
                      <m:t>y</m:t>
                    </m:r>
                    <m:r>
                      <m:rPr>
                        <m:sty m:val="p"/>
                      </m:rPr>
                      <m:t>&lt;</m:t>
                    </m:r>
                    <m:acc>
                      <m:accPr>
                        <m:chr m:val="̂"/>
                      </m:accPr>
                      <m:e>
                        <m:r>
                          <m:t>y</m:t>
                        </m:r>
                      </m:e>
                    </m:acc>
                  </m:e>
                </m:mr>
              </m:m>
            </m:e>
          </m:d>
        </m:oMath>
      </m:oMathPara>
    </w:p>
    <w:p>
      <w:pPr>
        <w:pStyle w:val="FirstParagraph"/>
      </w:pPr>
      <w:r>
        <w:t xml:space="preserve">For</w:t>
      </w:r>
      <w:r>
        <w:t xml:space="preserve"> </w:t>
      </w:r>
      <m:oMath>
        <m:r>
          <m:t>τ</m:t>
        </m:r>
        <m:r>
          <m:rPr>
            <m:sty m:val="p"/>
          </m:rPr>
          <m:t>=</m:t>
        </m:r>
        <m:r>
          <m:t>0</m:t>
        </m:r>
        <m:r>
          <m:rPr>
            <m:sty m:val="p"/>
          </m:rPr>
          <m:t>,</m:t>
        </m:r>
        <m:r>
          <m:t>5</m:t>
        </m:r>
      </m:oMath>
      <w:r>
        <w:t xml:space="preserve"> </w:t>
      </w:r>
      <w:r>
        <w:t xml:space="preserve">reduseres dette til middel absolutt feil og gir en median-prediktor. For</w:t>
      </w:r>
      <w:r>
        <w:t xml:space="preserve"> </w:t>
      </w:r>
      <m:oMath>
        <m:r>
          <m:t>τ</m:t>
        </m:r>
        <m:r>
          <m:rPr>
            <m:sty m:val="p"/>
          </m:rPr>
          <m:t>=</m:t>
        </m:r>
        <m:r>
          <m:t>0</m:t>
        </m:r>
        <m:r>
          <m:rPr>
            <m:sty m:val="p"/>
          </m:rPr>
          <m:t>,</m:t>
        </m:r>
        <m:r>
          <m:t>9</m:t>
        </m:r>
      </m:oMath>
      <w:r>
        <w:t xml:space="preserve"> </w:t>
      </w:r>
      <w:r>
        <w:t xml:space="preserve">gir det en modell der prediksjonen overstiges av sann verdi 10 % av tiden (asymptotisk). LightGBM støtter pinball-tapet som innebygd objektiv; vi trener tre separate modeller for</w:t>
      </w:r>
      <w:r>
        <w:t xml:space="preserve"> </w:t>
      </w:r>
      <m:oMath>
        <m:r>
          <m:t>τ</m:t>
        </m:r>
        <m:r>
          <m:rPr>
            <m:sty m:val="p"/>
          </m:rPr>
          <m:t>∈</m:t>
        </m:r>
        <m:r>
          <m:rPr>
            <m:sty m:val="p"/>
          </m:rPr>
          <m:t>{</m:t>
        </m:r>
        <m:r>
          <m:t>0</m:t>
        </m:r>
        <m:r>
          <m:rPr>
            <m:sty m:val="p"/>
          </m:rPr>
          <m:t>,</m:t>
        </m:r>
        <m:r>
          <m:t>1</m:t>
        </m:r>
        <m:r>
          <m:rPr>
            <m:sty m:val="p"/>
          </m:rPr>
          <m:t>;</m:t>
        </m:r>
        <m:r>
          <m:t>0</m:t>
        </m:r>
        <m:r>
          <m:rPr>
            <m:sty m:val="p"/>
          </m:rPr>
          <m:t>,</m:t>
        </m:r>
        <m:r>
          <m:t>5</m:t>
        </m:r>
        <m:r>
          <m:rPr>
            <m:sty m:val="p"/>
          </m:rPr>
          <m:t>;</m:t>
        </m:r>
        <m:r>
          <m:t>0</m:t>
        </m:r>
        <m:r>
          <m:rPr>
            <m:sty m:val="p"/>
          </m:rPr>
          <m:t>,</m:t>
        </m:r>
        <m:r>
          <m:t>9</m:t>
        </m:r>
        <m:r>
          <m:rPr>
            <m:sty m:val="p"/>
          </m:rPr>
          <m:t>}</m:t>
        </m:r>
      </m:oMath>
      <w:r>
        <w:t xml:space="preserve"> </w:t>
      </w:r>
      <w:r>
        <w:t xml:space="preserve">for å oppnå P10/P50/P90-prediksjon.</w:t>
      </w:r>
    </w:p>
    <w:p>
      <w:pPr>
        <w:pStyle w:val="BodyText"/>
      </w:pPr>
      <w:r>
        <w:rPr>
          <w:b/>
          <w:bCs/>
        </w:rPr>
        <w:t xml:space="preserve">Kalibrerings</w:t>
      </w:r>
      <w:r>
        <w:rPr>
          <w:b/>
          <w:bCs/>
        </w:rPr>
        <w:softHyphen/>
      </w:r>
      <w:r>
        <w:rPr>
          <w:b/>
          <w:bCs/>
        </w:rPr>
        <w:t xml:space="preserve">problemet.</w:t>
      </w:r>
      <w:r>
        <w:t xml:space="preserve"> </w:t>
      </w:r>
      <w:r>
        <w:t xml:space="preserve">Selv en velt</w:t>
      </w:r>
      <w:r>
        <w:softHyphen/>
      </w:r>
      <w:r>
        <w:t xml:space="preserve">renet kvantil</w:t>
      </w:r>
      <w:r>
        <w:softHyphen/>
      </w:r>
      <w:r>
        <w:t xml:space="preserve">modell garanteres ikke å oppnå nominell dekning på hold-out-data. Empirisk dekning kan drifte fra</w:t>
      </w:r>
      <w:r>
        <w:t xml:space="preserve"> </w:t>
      </w:r>
      <m:oMath>
        <m:r>
          <m:t>1</m:t>
        </m:r>
        <m:r>
          <m:rPr>
            <m:sty m:val="p"/>
          </m:rPr>
          <m:t>−</m:t>
        </m:r>
        <m:r>
          <m:t>2</m:t>
        </m:r>
        <m:r>
          <m:t>α</m:t>
        </m:r>
      </m:oMath>
      <w:r>
        <w:t xml:space="preserve"> </w:t>
      </w:r>
      <w:r>
        <w:t xml:space="preserve">grunnet begrenset trenings</w:t>
      </w:r>
      <w:r>
        <w:softHyphen/>
      </w:r>
      <w:r>
        <w:t xml:space="preserve">data, modell</w:t>
      </w:r>
      <w:r>
        <w:softHyphen/>
      </w:r>
      <w:r>
        <w:t xml:space="preserve">misspesifikasjon eller fordelings</w:t>
      </w:r>
      <w:r>
        <w:softHyphen/>
      </w:r>
      <w:r>
        <w:t xml:space="preserve">drift over tid.</w:t>
      </w:r>
    </w:p>
    <w:p>
      <w:pPr>
        <w:pStyle w:val="BodyText"/>
      </w:pPr>
      <w:r>
        <w:rPr>
          <w:b/>
          <w:bCs/>
        </w:rPr>
        <w:t xml:space="preserve">Conformalized Quantile Regression (CQR)</w:t>
      </w:r>
      <w:r>
        <w:t xml:space="preserve"> </w:t>
      </w:r>
      <w:r>
        <w:t xml:space="preserve">(Romano, Patterson &amp; Candès, 2019) bruker et separat kalibrerings</w:t>
      </w:r>
      <w:r>
        <w:softHyphen/>
      </w:r>
      <w:r>
        <w:t xml:space="preserve">sett til å konvertere en hvilken som helst kvantil</w:t>
      </w:r>
      <w:r>
        <w:softHyphen/>
      </w:r>
      <w:r>
        <w:t xml:space="preserve">prediktor til et kalibrert prediksjons</w:t>
      </w:r>
      <w:r>
        <w:softHyphen/>
      </w:r>
      <w:r>
        <w:t xml:space="preserve">intervall. Gitt trenings-, kalibrerings- og test</w:t>
      </w:r>
      <w:r>
        <w:softHyphen/>
      </w:r>
      <w:r>
        <w:t xml:space="preserve">splitter:</w:t>
      </w:r>
    </w:p>
    <w:p>
      <w:pPr>
        <w:pStyle w:val="Compact"/>
        <w:numPr>
          <w:ilvl w:val="0"/>
          <w:numId w:val="1008"/>
        </w:numPr>
      </w:pPr>
      <w:r>
        <w:t xml:space="preserve">Tren kvantil</w:t>
      </w:r>
      <w:r>
        <w:softHyphen/>
      </w:r>
      <w:r>
        <w:t xml:space="preserve">modeller for</w:t>
      </w:r>
      <w:r>
        <w:t xml:space="preserve"> </w:t>
      </w:r>
      <m:oMath>
        <m:r>
          <m:t>τ</m:t>
        </m:r>
        <m:r>
          <m:rPr>
            <m:sty m:val="p"/>
          </m:rPr>
          <m:t>=</m:t>
        </m:r>
        <m:r>
          <m:t>α</m:t>
        </m:r>
        <m:r>
          <m:rPr>
            <m:sty m:val="p"/>
          </m:rPr>
          <m:t>/</m:t>
        </m:r>
        <m:r>
          <m:t>2</m:t>
        </m:r>
      </m:oMath>
      <w:r>
        <w:t xml:space="preserve"> </w:t>
      </w:r>
      <w:r>
        <w:t xml:space="preserve">og</w:t>
      </w:r>
      <w:r>
        <w:t xml:space="preserve"> </w:t>
      </w:r>
      <m:oMath>
        <m:r>
          <m:t>τ</m:t>
        </m:r>
        <m:r>
          <m:rPr>
            <m:sty m:val="p"/>
          </m:rPr>
          <m:t>=</m:t>
        </m:r>
        <m:r>
          <m:t>1</m:t>
        </m:r>
        <m:r>
          <m:rPr>
            <m:sty m:val="p"/>
          </m:rPr>
          <m:t>−</m:t>
        </m:r>
        <m:r>
          <m:t>α</m:t>
        </m:r>
        <m:r>
          <m:rPr>
            <m:sty m:val="p"/>
          </m:rPr>
          <m:t>/</m:t>
        </m:r>
        <m:r>
          <m:t>2</m:t>
        </m:r>
      </m:oMath>
      <w:r>
        <w:t xml:space="preserve"> </w:t>
      </w:r>
      <w:r>
        <w:t xml:space="preserve">på trenings</w:t>
      </w:r>
      <w:r>
        <w:softHyphen/>
      </w:r>
      <w:r>
        <w:t xml:space="preserve">settet, og oppnå</w:t>
      </w:r>
      <w:r>
        <w:t xml:space="preserve"> </w:t>
      </w:r>
      <m:oMath>
        <m:sSub>
          <m:e>
            <m:acc>
              <m:accPr>
                <m:chr m:val="̂"/>
              </m:accPr>
              <m:e>
                <m:r>
                  <m:t>q</m:t>
                </m:r>
              </m:e>
            </m:acc>
          </m:e>
          <m:sub>
            <m:r>
              <m:t>l</m:t>
            </m:r>
            <m:r>
              <m:t>o</m:t>
            </m:r>
          </m:sub>
        </m:sSub>
        <m:r>
          <m:rPr>
            <m:sty m:val="p"/>
          </m:rPr>
          <m:t>(</m:t>
        </m:r>
        <m:r>
          <m:t>x</m:t>
        </m:r>
        <m:r>
          <m:rPr>
            <m:sty m:val="p"/>
          </m:rPr>
          <m:t>)</m:t>
        </m:r>
      </m:oMath>
      <w:r>
        <w:t xml:space="preserve"> </w:t>
      </w:r>
      <w:r>
        <w:t xml:space="preserve">og</w:t>
      </w:r>
      <w:r>
        <w:t xml:space="preserve"> </w:t>
      </w:r>
      <m:oMath>
        <m:sSub>
          <m:e>
            <m:acc>
              <m:accPr>
                <m:chr m:val="̂"/>
              </m:accPr>
              <m:e>
                <m:r>
                  <m:t>q</m:t>
                </m:r>
              </m:e>
            </m:acc>
          </m:e>
          <m:sub>
            <m:r>
              <m:t>h</m:t>
            </m:r>
            <m:r>
              <m:t>i</m:t>
            </m:r>
          </m:sub>
        </m:sSub>
        <m:r>
          <m:rPr>
            <m:sty m:val="p"/>
          </m:rPr>
          <m:t>(</m:t>
        </m:r>
        <m:r>
          <m:t>x</m:t>
        </m:r>
        <m:r>
          <m:rPr>
            <m:sty m:val="p"/>
          </m:rPr>
          <m:t>)</m:t>
        </m:r>
      </m:oMath>
      <w:r>
        <w:t xml:space="preserve">.</w:t>
      </w:r>
    </w:p>
    <w:p>
      <w:pPr>
        <w:pStyle w:val="Compact"/>
        <w:numPr>
          <w:ilvl w:val="0"/>
          <w:numId w:val="1008"/>
        </w:numPr>
      </w:pPr>
      <w:r>
        <w:t xml:space="preserve">På kalibrerings</w:t>
      </w:r>
      <w:r>
        <w:softHyphen/>
      </w:r>
      <w:r>
        <w:t xml:space="preserve">settet, beregn ikke-konformitets</w:t>
      </w:r>
      <w:r>
        <w:softHyphen/>
      </w:r>
      <w:r>
        <w:t xml:space="preserve">score:</w:t>
      </w:r>
    </w:p>
    <w:p>
      <w:pPr>
        <w:pStyle w:val="Compact"/>
      </w:pPr>
      <m:oMathPara>
        <m:oMathParaPr>
          <m:jc m:val="center"/>
        </m:oMathParaPr>
        <m:oMath>
          <m:sSub>
            <m:e>
              <m:r>
                <m:t>E</m:t>
              </m:r>
            </m:e>
            <m:sub>
              <m:r>
                <m:t>i</m:t>
              </m:r>
            </m:sub>
          </m:sSub>
          <m:r>
            <m:rPr>
              <m:sty m:val="p"/>
            </m:rPr>
            <m:t>=</m:t>
          </m:r>
          <m:r>
            <m:rPr>
              <m:sty m:val="p"/>
            </m:rPr>
            <m:t>max</m:t>
          </m:r>
          <m:r>
            <m:rPr>
              <m:sty m:val="p"/>
            </m:rPr>
            <m:t>{</m:t>
          </m:r>
          <m:sSub>
            <m:e>
              <m:acc>
                <m:accPr>
                  <m:chr m:val="̂"/>
                </m:accPr>
                <m:e>
                  <m:r>
                    <m:t>q</m:t>
                  </m:r>
                </m:e>
              </m:acc>
            </m:e>
            <m:sub>
              <m:r>
                <m:t>l</m:t>
              </m:r>
              <m:r>
                <m:t>o</m:t>
              </m:r>
            </m:sub>
          </m:sSub>
          <m:r>
            <m:rPr>
              <m:sty m:val="p"/>
            </m:rPr>
            <m:t>(</m:t>
          </m:r>
          <m:sSub>
            <m:e>
              <m:r>
                <m:t>x</m:t>
              </m:r>
            </m:e>
            <m:sub>
              <m:r>
                <m:t>i</m:t>
              </m:r>
            </m:sub>
          </m:sSub>
          <m:r>
            <m:rPr>
              <m:sty m:val="p"/>
            </m:rPr>
            <m:t>)</m:t>
          </m:r>
          <m:r>
            <m:rPr>
              <m:sty m:val="p"/>
            </m:rPr>
            <m:t>−</m:t>
          </m:r>
          <m:sSub>
            <m:e>
              <m:r>
                <m:t>y</m:t>
              </m:r>
            </m:e>
            <m:sub>
              <m:r>
                <m:t>i</m:t>
              </m:r>
            </m:sub>
          </m:sSub>
          <m:r>
            <m:rPr>
              <m:sty m:val="p"/>
            </m:rPr>
            <m:t>,</m:t>
          </m:r>
          <m:r>
            <m:t> </m:t>
          </m:r>
          <m:sSub>
            <m:e>
              <m:r>
                <m:t>y</m:t>
              </m:r>
            </m:e>
            <m:sub>
              <m:r>
                <m:t>i</m:t>
              </m:r>
            </m:sub>
          </m:sSub>
          <m:r>
            <m:rPr>
              <m:sty m:val="p"/>
            </m:rPr>
            <m:t>−</m:t>
          </m:r>
          <m:sSub>
            <m:e>
              <m:acc>
                <m:accPr>
                  <m:chr m:val="̂"/>
                </m:accPr>
                <m:e>
                  <m:r>
                    <m:t>q</m:t>
                  </m:r>
                </m:e>
              </m:acc>
            </m:e>
            <m:sub>
              <m:r>
                <m:t>h</m:t>
              </m:r>
              <m:r>
                <m:t>i</m:t>
              </m:r>
            </m:sub>
          </m:sSub>
          <m:r>
            <m:rPr>
              <m:sty m:val="p"/>
            </m:rPr>
            <m:t>(</m:t>
          </m:r>
          <m:sSub>
            <m:e>
              <m:r>
                <m:t>x</m:t>
              </m:r>
            </m:e>
            <m:sub>
              <m:r>
                <m:t>i</m:t>
              </m:r>
            </m:sub>
          </m:sSub>
          <m:r>
            <m:rPr>
              <m:sty m:val="p"/>
            </m:rPr>
            <m:t>)</m:t>
          </m:r>
          <m:r>
            <m:rPr>
              <m:sty m:val="p"/>
            </m:rPr>
            <m:t>}</m:t>
          </m:r>
        </m:oMath>
      </m:oMathPara>
    </w:p>
    <w:p>
      <w:pPr>
        <w:pStyle w:val="Compact"/>
        <w:numPr>
          <w:ilvl w:val="0"/>
          <w:numId w:val="1008"/>
        </w:numPr>
      </w:pPr>
      <w:r>
        <w:t xml:space="preserve">La</w:t>
      </w:r>
      <w:r>
        <w:t xml:space="preserve"> </w:t>
      </w:r>
      <m:oMath>
        <m:sSub>
          <m:e>
            <m:r>
              <m:t>Q</m:t>
            </m:r>
          </m:e>
          <m:sub>
            <m:r>
              <m:t>1</m:t>
            </m:r>
            <m:r>
              <m:rPr>
                <m:sty m:val="p"/>
              </m:rPr>
              <m:t>−</m:t>
            </m:r>
            <m:r>
              <m:t>α</m:t>
            </m:r>
          </m:sub>
        </m:sSub>
      </m:oMath>
      <w:r>
        <w:t xml:space="preserve"> </w:t>
      </w:r>
      <w:r>
        <w:t xml:space="preserve">være</w:t>
      </w:r>
      <w:r>
        <w:t xml:space="preserve"> </w:t>
      </w:r>
      <m:oMath>
        <m:r>
          <m:rPr>
            <m:sty m:val="p"/>
          </m:rPr>
          <m:t>⌈</m:t>
        </m:r>
        <m:r>
          <m:rPr>
            <m:sty m:val="p"/>
          </m:rPr>
          <m:t>(</m:t>
        </m:r>
        <m:sSub>
          <m:e>
            <m:r>
              <m:t>n</m:t>
            </m:r>
          </m:e>
          <m:sub>
            <m:r>
              <m:t>c</m:t>
            </m:r>
            <m:r>
              <m:t>a</m:t>
            </m:r>
            <m: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sSub>
          <m:e>
            <m:r>
              <m:t>n</m:t>
            </m:r>
          </m:e>
          <m:sub>
            <m:r>
              <m:t>c</m:t>
            </m:r>
            <m:r>
              <m:t>a</m:t>
            </m:r>
            <m:r>
              <m:t>l</m:t>
            </m:r>
          </m:sub>
        </m:sSub>
      </m:oMath>
      <w:r>
        <w:t xml:space="preserve">-kvantilet av</w:t>
      </w:r>
      <w:r>
        <w:t xml:space="preserve"> </w:t>
      </w:r>
      <m:oMath>
        <m:r>
          <m:rPr>
            <m:sty m:val="p"/>
          </m:rPr>
          <m:t>{</m:t>
        </m:r>
        <m:sSub>
          <m:e>
            <m:r>
              <m:t>E</m:t>
            </m:r>
          </m:e>
          <m:sub>
            <m:r>
              <m:t>i</m:t>
            </m:r>
          </m:sub>
        </m:sSub>
        <m:r>
          <m:rPr>
            <m:sty m:val="p"/>
          </m:rPr>
          <m:t>}</m:t>
        </m:r>
      </m:oMath>
      <w:r>
        <w:t xml:space="preserve">.</w:t>
      </w:r>
    </w:p>
    <w:p>
      <w:pPr>
        <w:pStyle w:val="Compact"/>
        <w:numPr>
          <w:ilvl w:val="0"/>
          <w:numId w:val="1008"/>
        </w:numPr>
      </w:pPr>
      <w:r>
        <w:t xml:space="preserve">CQR-prediksjons</w:t>
      </w:r>
      <w:r>
        <w:softHyphen/>
      </w:r>
      <w:r>
        <w:t xml:space="preserve">intervallet er:</w:t>
      </w:r>
    </w:p>
    <w:p>
      <w:pPr>
        <w:pStyle w:val="Compact"/>
      </w:pPr>
      <m:oMathPara>
        <m:oMathParaPr>
          <m:jc m:val="center"/>
        </m:oMathParaPr>
        <m:oMath>
          <m:r>
            <m:t>C</m:t>
          </m:r>
          <m:r>
            <m:rPr>
              <m:sty m:val="p"/>
            </m:rPr>
            <m:t>(</m:t>
          </m:r>
          <m:r>
            <m:t>x</m:t>
          </m:r>
          <m:r>
            <m:rPr>
              <m:sty m:val="p"/>
            </m:rPr>
            <m:t>)</m:t>
          </m:r>
          <m:r>
            <m:rPr>
              <m:sty m:val="p"/>
            </m:rPr>
            <m:t>=</m:t>
          </m:r>
          <m:d>
            <m:dPr>
              <m:begChr m:val="["/>
              <m:sepChr m:val=""/>
              <m:endChr m:val="]"/>
              <m:grow/>
            </m:dPr>
            <m:e>
              <m:sSub>
                <m:e>
                  <m:acc>
                    <m:accPr>
                      <m:chr m:val="̂"/>
                    </m:accPr>
                    <m:e>
                      <m:r>
                        <m:t>q</m:t>
                      </m:r>
                    </m:e>
                  </m:acc>
                </m:e>
                <m:sub>
                  <m:r>
                    <m:t>l</m:t>
                  </m:r>
                  <m:r>
                    <m:t>o</m:t>
                  </m:r>
                </m:sub>
              </m:sSub>
              <m:r>
                <m:rPr>
                  <m:sty m:val="p"/>
                </m:rPr>
                <m:t>(</m:t>
              </m:r>
              <m:r>
                <m:t>x</m:t>
              </m:r>
              <m:r>
                <m:rPr>
                  <m:sty m:val="p"/>
                </m:rPr>
                <m:t>)</m:t>
              </m:r>
              <m:r>
                <m:rPr>
                  <m:sty m:val="p"/>
                </m:rPr>
                <m:t>−</m:t>
              </m:r>
              <m:sSub>
                <m:e>
                  <m:r>
                    <m:t>Q</m:t>
                  </m:r>
                </m:e>
                <m:sub>
                  <m:r>
                    <m:t>1</m:t>
                  </m:r>
                  <m:r>
                    <m:rPr>
                      <m:sty m:val="p"/>
                    </m:rPr>
                    <m:t>−</m:t>
                  </m:r>
                  <m:r>
                    <m:t>α</m:t>
                  </m:r>
                </m:sub>
              </m:sSub>
              <m:r>
                <m:rPr>
                  <m:sty m:val="p"/>
                </m:rPr>
                <m:t>,</m:t>
              </m:r>
              <m:r>
                <m:t> </m:t>
              </m:r>
              <m:sSub>
                <m:e>
                  <m:acc>
                    <m:accPr>
                      <m:chr m:val="̂"/>
                    </m:accPr>
                    <m:e>
                      <m:r>
                        <m:t>q</m:t>
                      </m:r>
                    </m:e>
                  </m:acc>
                </m:e>
                <m:sub>
                  <m:r>
                    <m:t>h</m:t>
                  </m:r>
                  <m:r>
                    <m:t>i</m:t>
                  </m:r>
                </m:sub>
              </m:sSub>
              <m:r>
                <m:rPr>
                  <m:sty m:val="p"/>
                </m:rPr>
                <m:t>(</m:t>
              </m:r>
              <m:r>
                <m:t>x</m:t>
              </m:r>
              <m:r>
                <m:rPr>
                  <m:sty m:val="p"/>
                </m:rPr>
                <m:t>)</m:t>
              </m:r>
              <m:r>
                <m:rPr>
                  <m:sty m:val="p"/>
                </m:rPr>
                <m:t>+</m:t>
              </m:r>
              <m:sSub>
                <m:e>
                  <m:r>
                    <m:t>Q</m:t>
                  </m:r>
                </m:e>
                <m:sub>
                  <m:r>
                    <m:t>1</m:t>
                  </m:r>
                  <m:r>
                    <m:rPr>
                      <m:sty m:val="p"/>
                    </m:rPr>
                    <m:t>−</m:t>
                  </m:r>
                  <m:r>
                    <m:t>α</m:t>
                  </m:r>
                </m:sub>
              </m:sSub>
            </m:e>
          </m:d>
        </m:oMath>
      </m:oMathPara>
    </w:p>
    <w:p>
      <w:pPr>
        <w:pStyle w:val="FirstParagraph"/>
      </w:pPr>
      <w:r>
        <w:t xml:space="preserve">CQR-justeringen</w:t>
      </w:r>
      <w:r>
        <w:t xml:space="preserve"> </w:t>
      </w:r>
      <m:oMath>
        <m:sSub>
          <m:e>
            <m:r>
              <m:t>Q</m:t>
            </m:r>
          </m:e>
          <m:sub>
            <m:r>
              <m:t>1</m:t>
            </m:r>
            <m:r>
              <m:rPr>
                <m:sty m:val="p"/>
              </m:rPr>
              <m:t>−</m:t>
            </m:r>
            <m:r>
              <m:t>α</m:t>
            </m:r>
          </m:sub>
        </m:sSub>
      </m:oMath>
      <w:r>
        <w:t xml:space="preserve"> </w:t>
      </w:r>
      <w:r>
        <w:t xml:space="preserve">garanterer endelig-utvalgs dekning</w:t>
      </w:r>
      <w:r>
        <w:t xml:space="preserve"> </w:t>
      </w:r>
      <m:oMath>
        <m:r>
          <m:rPr>
            <m:sty m:val="p"/>
          </m:rPr>
          <m:t>Pr</m:t>
        </m:r>
        <m:r>
          <m:rPr>
            <m:sty m:val="p"/>
          </m:rPr>
          <m:t>(</m:t>
        </m:r>
        <m:r>
          <m:t>y</m:t>
        </m:r>
        <m:r>
          <m:rPr>
            <m:sty m:val="p"/>
          </m:rPr>
          <m:t>∈</m:t>
        </m:r>
        <m:r>
          <m:t>C</m:t>
        </m:r>
        <m:r>
          <m:rPr>
            <m:sty m:val="p"/>
          </m:rPr>
          <m:t>(</m:t>
        </m:r>
        <m:r>
          <m:t>x</m:t>
        </m:r>
        <m:r>
          <m:rPr>
            <m:sty m:val="p"/>
          </m:rPr>
          <m:t>)</m:t>
        </m:r>
        <m:r>
          <m:rPr>
            <m:sty m:val="p"/>
          </m:rPr>
          <m:t>)</m:t>
        </m:r>
        <m:r>
          <m:rPr>
            <m:sty m:val="p"/>
          </m:rPr>
          <m:t>≥</m:t>
        </m:r>
        <m:r>
          <m:t>1</m:t>
        </m:r>
        <m:r>
          <m:rPr>
            <m:sty m:val="p"/>
          </m:rPr>
          <m:t>−</m:t>
        </m:r>
        <m:r>
          <m:t>α</m:t>
        </m:r>
      </m:oMath>
      <w:r>
        <w:t xml:space="preserve"> </w:t>
      </w:r>
      <w:r>
        <w:t xml:space="preserve">under utbyttbarhet av (kalibrering, test)-data, uavhengig av hvor dårlig kalibrert de underliggende kvantil</w:t>
      </w:r>
      <w:r>
        <w:softHyphen/>
      </w:r>
      <w:r>
        <w:t xml:space="preserve">modellene er. Hvor stor justering CQR faktisk gir på vårt datasett, og hva det forteller om de underliggende kvantil</w:t>
      </w:r>
      <w:r>
        <w:softHyphen/>
      </w:r>
      <w:r>
        <w:t xml:space="preserve">modellene, drøftes i § 6.4 og § 8.2.</w:t>
      </w:r>
    </w:p>
    <w:p>
      <w:pPr>
        <w:pStyle w:val="BodyText"/>
      </w:pPr>
      <w:r>
        <w:rPr>
          <w:i/>
          <w:iCs/>
        </w:rPr>
        <w:t xml:space="preserve">Relevans for prosjektet.</w:t>
      </w:r>
      <w:r>
        <w:t xml:space="preserve"> </w:t>
      </w:r>
      <w:r>
        <w:t xml:space="preserve">DP4 spør hvordan estimatets usikkerhet kan kommuniseres slik at sluttbruker får et realistisk spenn og ikke et villedende punkt</w:t>
      </w:r>
      <w:r>
        <w:softHyphen/>
      </w:r>
      <w:r>
        <w:t xml:space="preserve">estimat. Kvantil</w:t>
      </w:r>
      <w:r>
        <w:softHyphen/>
      </w:r>
      <w:r>
        <w:t xml:space="preserve">regresjon gir spenn</w:t>
      </w:r>
      <w:r>
        <w:softHyphen/>
      </w:r>
      <w:r>
        <w:t xml:space="preserve">et, og CQR gir kalibrerings</w:t>
      </w:r>
      <w:r>
        <w:softHyphen/>
      </w:r>
      <w:r>
        <w:t xml:space="preserve">garantien — uten den siste vil empirisk dekning kunne drifte fra det nominelle nivået, særlig på små datasett som her.</w:t>
      </w:r>
    </w:p>
    <w:bookmarkEnd w:id="25"/>
    <w:bookmarkStart w:id="26" w:name="shap-verdier"/>
    <w:p>
      <w:pPr>
        <w:pStyle w:val="Heading3"/>
      </w:pPr>
      <w:r>
        <w:rPr>
          <w:rStyle w:val="SectionNumber"/>
        </w:rPr>
        <w:t xml:space="preserve">4.6</w:t>
      </w:r>
      <w:r>
        <w:tab/>
      </w:r>
      <w:r>
        <w:t xml:space="preserve">3.6 SHAP-verdier</w:t>
      </w:r>
    </w:p>
    <w:p>
      <w:pPr>
        <w:pStyle w:val="FirstParagraph"/>
      </w:pPr>
      <w:r>
        <w:t xml:space="preserve">Tre</w:t>
      </w:r>
      <w:r>
        <w:softHyphen/>
      </w:r>
      <w:r>
        <w:t xml:space="preserve">ensembler er presise men opake: en prognose på 17 000 EUR forteller ikke i seg selv</w:t>
      </w:r>
      <w:r>
        <w:t xml:space="preserve"> </w:t>
      </w:r>
      <w:r>
        <w:rPr>
          <w:i/>
          <w:iCs/>
        </w:rPr>
        <w:t xml:space="preserve">hvorfor</w:t>
      </w:r>
      <w:r>
        <w:t xml:space="preserve"> </w:t>
      </w:r>
      <w:r>
        <w:t xml:space="preserve">— var det GT, havnen, sesongen?</w:t>
      </w:r>
      <w:r>
        <w:t xml:space="preserve"> </w:t>
      </w:r>
      <w:r>
        <w:rPr>
          <w:b/>
          <w:bCs/>
        </w:rPr>
        <w:t xml:space="preserve">SHAP (SHapley Additive exPlanations)</w:t>
      </w:r>
      <w:r>
        <w:t xml:space="preserve"> </w:t>
      </w:r>
      <w:r>
        <w:t xml:space="preserve">(Lundberg &amp; Lee, 2017) dekomponerer en prediksjon i per-feature bidrag med basis i kooperativ spillteori.</w:t>
      </w:r>
    </w:p>
    <w:p>
      <w:pPr>
        <w:pStyle w:val="BodyText"/>
      </w:pPr>
      <w:r>
        <w:t xml:space="preserve">For en modell</w:t>
      </w:r>
      <w:r>
        <w:t xml:space="preserve"> </w:t>
      </w:r>
      <m:oMath>
        <m:r>
          <m:t>f</m:t>
        </m:r>
      </m:oMath>
      <w:r>
        <w:t xml:space="preserve"> </w:t>
      </w:r>
      <w:r>
        <w:t xml:space="preserve">og et input</w:t>
      </w:r>
      <w:r>
        <w:t xml:space="preserve"> </w:t>
      </w:r>
      <m:oMath>
        <m:r>
          <m:t>x</m:t>
        </m:r>
      </m:oMath>
      <w:r>
        <w:t xml:space="preserve"> </w:t>
      </w:r>
      <w:r>
        <w:t xml:space="preserve">er SHAP-verdien til feature</w:t>
      </w:r>
      <w:r>
        <w:t xml:space="preserve"> </w:t>
      </w:r>
      <m:oMath>
        <m:r>
          <m:t>j</m:t>
        </m:r>
      </m:oMath>
      <w:r>
        <w:t xml:space="preserve">:</w:t>
      </w:r>
    </w:p>
    <w:p>
      <w:pPr>
        <w:pStyle w:val="BodyText"/>
      </w:pPr>
      <m:oMathPara>
        <m:oMathParaPr>
          <m:jc m:val="center"/>
        </m:oMathParaPr>
        <m:oMath>
          <m:sSub>
            <m:e>
              <m:r>
                <m:t>ϕ</m:t>
              </m:r>
            </m:e>
            <m:sub>
              <m:r>
                <m:t>j</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j</m:t>
              </m:r>
              <m:r>
                <m:rPr>
                  <m:sty m:val="p"/>
                </m:rPr>
                <m:t>}</m:t>
              </m:r>
            </m:sub>
            <m:sup>
              <m:r>
                <m:t>​</m:t>
              </m:r>
            </m:sup>
            <m:e>
              <m:f>
                <m:fPr>
                  <m:type m:val="bar"/>
                </m:fPr>
                <m:num>
                  <m:r>
                    <m:rPr>
                      <m:sty m:val="p"/>
                    </m:rPr>
                    <m:t>|</m:t>
                  </m:r>
                  <m:r>
                    <m:t>S</m:t>
                  </m:r>
                  <m:r>
                    <m:rPr>
                      <m:sty m:val="p"/>
                    </m:rPr>
                    <m:t>|</m:t>
                  </m:r>
                  <m:r>
                    <m:rPr>
                      <m:sty m:val="p"/>
                    </m:rPr>
                    <m:t>!</m:t>
                  </m:r>
                  <m:r>
                    <m:t> </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r>
                <m:t> </m:t>
              </m:r>
              <m:sSub>
                <m:e>
                  <m:r>
                    <m:t>f</m:t>
                  </m:r>
                </m:e>
                <m:sub>
                  <m:r>
                    <m:t>S</m:t>
                  </m:r>
                  <m:r>
                    <m:rPr>
                      <m:sty m:val="p"/>
                    </m:rPr>
                    <m:t>∪</m:t>
                  </m:r>
                  <m:r>
                    <m:rPr>
                      <m:sty m:val="p"/>
                    </m:rPr>
                    <m:t>{</m:t>
                  </m:r>
                  <m:r>
                    <m:t>j</m:t>
                  </m:r>
                  <m:r>
                    <m:rPr>
                      <m:sty m:val="p"/>
                    </m:rPr>
                    <m:t>}</m:t>
                  </m:r>
                </m:sub>
              </m:sSub>
              <m:r>
                <m:rPr>
                  <m:sty m:val="p"/>
                </m:rPr>
                <m:t>(</m:t>
              </m:r>
              <m:r>
                <m:t>x</m:t>
              </m:r>
              <m:r>
                <m:rPr>
                  <m:sty m:val="p"/>
                </m:rPr>
                <m:t>)</m:t>
              </m:r>
              <m:r>
                <m:rPr>
                  <m:sty m:val="p"/>
                </m:rPr>
                <m:t>−</m:t>
              </m:r>
              <m:sSub>
                <m:e>
                  <m:r>
                    <m:t>f</m:t>
                  </m:r>
                </m:e>
                <m:sub>
                  <m:r>
                    <m:t>S</m:t>
                  </m:r>
                </m:sub>
              </m:sSub>
              <m:r>
                <m:rPr>
                  <m:sty m:val="p"/>
                </m:rPr>
                <m:t>(</m:t>
              </m:r>
              <m:r>
                <m:t>x</m:t>
              </m:r>
              <m:r>
                <m:rPr>
                  <m:sty m:val="p"/>
                </m:rPr>
                <m:t>)</m:t>
              </m:r>
              <m:r>
                <m:t> </m:t>
              </m:r>
            </m:e>
          </m:d>
        </m:oMath>
      </m:oMathPara>
    </w:p>
    <w:p>
      <w:pPr>
        <w:pStyle w:val="FirstParagraph"/>
      </w:pPr>
      <w:r>
        <w:t xml:space="preserve">der</w:t>
      </w:r>
      <w:r>
        <w:t xml:space="preserve"> </w:t>
      </w:r>
      <m:oMath>
        <m:r>
          <m:t>F</m:t>
        </m:r>
      </m:oMath>
      <w:r>
        <w:t xml:space="preserve"> </w:t>
      </w:r>
      <w:r>
        <w:t xml:space="preserve">er feature-mengden,</w:t>
      </w:r>
      <w:r>
        <w:t xml:space="preserve"> </w:t>
      </w:r>
      <m:oMath>
        <m:r>
          <m:t>S</m:t>
        </m:r>
      </m:oMath>
      <w:r>
        <w:t xml:space="preserve"> </w:t>
      </w:r>
      <w:r>
        <w:t xml:space="preserve">løper over delmengder uten</w:t>
      </w:r>
      <w:r>
        <w:t xml:space="preserve"> </w:t>
      </w:r>
      <m:oMath>
        <m:r>
          <m:t>j</m:t>
        </m:r>
      </m:oMath>
      <w:r>
        <w:t xml:space="preserve">, og</w:t>
      </w:r>
      <w:r>
        <w:t xml:space="preserve"> </w:t>
      </w:r>
      <m:oMath>
        <m:sSub>
          <m:e>
            <m:r>
              <m:t>f</m:t>
            </m:r>
          </m:e>
          <m:sub>
            <m:r>
              <m:t>S</m:t>
            </m:r>
          </m:sub>
        </m:sSub>
        <m:r>
          <m:rPr>
            <m:sty m:val="p"/>
          </m:rPr>
          <m:t>(</m:t>
        </m:r>
        <m:r>
          <m:t>x</m:t>
        </m:r>
        <m:r>
          <m:rPr>
            <m:sty m:val="p"/>
          </m:rPr>
          <m:t>)</m:t>
        </m:r>
      </m:oMath>
      <w:r>
        <w:t xml:space="preserve"> </w:t>
      </w:r>
      <w:r>
        <w:t xml:space="preserve">er modellens forventede prediksjon når kun features i</w:t>
      </w:r>
      <w:r>
        <w:t xml:space="preserve"> </w:t>
      </w:r>
      <m:oMath>
        <m:r>
          <m:t>S</m:t>
        </m:r>
      </m:oMath>
      <w:r>
        <w:t xml:space="preserve"> </w:t>
      </w:r>
      <w:r>
        <w:t xml:space="preserve">er observert. Dette er Shapley-verdien fra koalisjons-spillteori:</w:t>
      </w:r>
      <w:r>
        <w:t xml:space="preserve"> </w:t>
      </w:r>
      <m:oMath>
        <m:sSub>
          <m:e>
            <m:r>
              <m:t>ϕ</m:t>
            </m:r>
          </m:e>
          <m:sub>
            <m:r>
              <m:t>j</m:t>
            </m:r>
          </m:sub>
        </m:sSub>
      </m:oMath>
      <w:r>
        <w:t xml:space="preserve"> </w:t>
      </w:r>
      <w:r>
        <w:t xml:space="preserve">er det gjennomsnittlige marginale bidraget fra</w:t>
      </w:r>
      <w:r>
        <w:t xml:space="preserve"> </w:t>
      </w:r>
      <m:oMath>
        <m:r>
          <m:t>j</m:t>
        </m:r>
      </m:oMath>
      <w:r>
        <w:t xml:space="preserve"> </w:t>
      </w:r>
      <w:r>
        <w:t xml:space="preserve">over alle mulige feature-rekkefølger.</w:t>
      </w:r>
    </w:p>
    <w:p>
      <w:pPr>
        <w:pStyle w:val="BodyText"/>
      </w:pPr>
      <w:r>
        <w:t xml:space="preserve">SHAP-verdier oppfyller tre ønskelige egenskaper:</w:t>
      </w:r>
      <w:r>
        <w:t xml:space="preserve"> </w:t>
      </w:r>
      <w:r>
        <w:t xml:space="preserve">-</w:t>
      </w:r>
      <w:r>
        <w:t xml:space="preserve"> </w:t>
      </w:r>
      <w:r>
        <w:rPr>
          <w:b/>
          <w:bCs/>
        </w:rPr>
        <w:t xml:space="preserve">Lokal nøyaktighet:</w:t>
      </w:r>
      <w:r>
        <w:t xml:space="preserve"> </w:t>
      </w:r>
      <m:oMath>
        <m:r>
          <m:t>f</m:t>
        </m:r>
        <m:r>
          <m:rPr>
            <m:sty m:val="p"/>
          </m:rPr>
          <m:t>(</m:t>
        </m:r>
        <m:r>
          <m:t>x</m:t>
        </m:r>
        <m:r>
          <m:rPr>
            <m:sty m:val="p"/>
          </m:rPr>
          <m:t>)</m:t>
        </m:r>
        <m:r>
          <m:rPr>
            <m:sty m:val="p"/>
          </m:rPr>
          <m:t>=</m:t>
        </m:r>
        <m:sSub>
          <m:e>
            <m:r>
              <m:t>ϕ</m:t>
            </m:r>
          </m:e>
          <m:sub>
            <m:r>
              <m:t>0</m:t>
            </m:r>
          </m:sub>
        </m:sSub>
        <m:r>
          <m:rPr>
            <m:sty m:val="p"/>
          </m:rPr>
          <m:t>+</m:t>
        </m:r>
        <m:nary>
          <m:naryPr>
            <m:chr m:val="∑"/>
            <m:limLoc m:val="undOvr"/>
            <m:subHide m:val="off"/>
            <m:supHide m:val="on"/>
          </m:naryPr>
          <m:sub>
            <m:r>
              <m:t>j</m:t>
            </m:r>
          </m:sub>
          <m:sup>
            <m:r>
              <m:t>​</m:t>
            </m:r>
          </m:sup>
          <m:e>
            <m:sSub>
              <m:e>
                <m:r>
                  <m:t>ϕ</m:t>
                </m:r>
              </m:e>
              <m:sub>
                <m:r>
                  <m:t>j</m:t>
                </m:r>
              </m:sub>
            </m:sSub>
          </m:e>
        </m:nary>
        <m:r>
          <m:rPr>
            <m:sty m:val="p"/>
          </m:rPr>
          <m:t>(</m:t>
        </m:r>
        <m:r>
          <m:t>x</m:t>
        </m:r>
        <m:r>
          <m:rPr>
            <m:sty m:val="p"/>
          </m:rPr>
          <m:t>)</m:t>
        </m:r>
      </m:oMath>
      <w:r>
        <w:t xml:space="preserve"> </w:t>
      </w:r>
      <w:r>
        <w:t xml:space="preserve">— prediksjoner dekomponeres eksakt i en baseline pluss per-feature bidrag.</w:t>
      </w:r>
      <w:r>
        <w:t xml:space="preserve"> </w:t>
      </w:r>
      <w:r>
        <w:t xml:space="preserve">-</w:t>
      </w:r>
      <w:r>
        <w:t xml:space="preserve"> </w:t>
      </w:r>
      <w:r>
        <w:rPr>
          <w:b/>
          <w:bCs/>
        </w:rPr>
        <w:t xml:space="preserve">Manglende verdier:</w:t>
      </w:r>
      <w:r>
        <w:t xml:space="preserve"> </w:t>
      </w:r>
      <w:r>
        <w:t xml:space="preserve">features uten påvirkning får</w:t>
      </w:r>
      <w:r>
        <w:t xml:space="preserve"> </w:t>
      </w:r>
      <m:oMath>
        <m:sSub>
          <m:e>
            <m:r>
              <m:t>ϕ</m:t>
            </m:r>
          </m:e>
          <m:sub>
            <m:r>
              <m:t>j</m:t>
            </m:r>
          </m:sub>
        </m:sSub>
        <m:r>
          <m:rPr>
            <m:sty m:val="p"/>
          </m:rPr>
          <m:t>=</m:t>
        </m:r>
        <m:r>
          <m:t>0</m:t>
        </m:r>
      </m:oMath>
      <w:r>
        <w:t xml:space="preserve">.</w:t>
      </w:r>
      <w:r>
        <w:t xml:space="preserve"> </w:t>
      </w:r>
      <w:r>
        <w:t xml:space="preserve">-</w:t>
      </w:r>
      <w:r>
        <w:t xml:space="preserve"> </w:t>
      </w:r>
      <w:r>
        <w:rPr>
          <w:b/>
          <w:bCs/>
        </w:rPr>
        <w:t xml:space="preserve">Konsistens:</w:t>
      </w:r>
      <w:r>
        <w:t xml:space="preserve"> </w:t>
      </w:r>
      <w:r>
        <w:t xml:space="preserve">hvis en features bidrag øker i en modell, kan SHAP-verdien dens ikke synke.</w:t>
      </w:r>
    </w:p>
    <w:p>
      <w:pPr>
        <w:pStyle w:val="BodyText"/>
      </w:pPr>
      <w:r>
        <w:t xml:space="preserve">Eksakt beregning av SHAP-verdier er eksponensiell i antall features. For tre-ensembler beregner</w:t>
      </w:r>
      <w:r>
        <w:t xml:space="preserve"> </w:t>
      </w:r>
      <w:r>
        <w:rPr>
          <w:b/>
          <w:bCs/>
        </w:rPr>
        <w:t xml:space="preserve">TreeSHAP</w:t>
      </w:r>
      <w:r>
        <w:t xml:space="preserve"> </w:t>
      </w:r>
      <w:r>
        <w:t xml:space="preserve">(Lundberg et al., 2020) eksakte SHAP-verdier i polynom</w:t>
      </w:r>
      <w:r>
        <w:softHyphen/>
      </w:r>
      <w:r>
        <w:t xml:space="preserve">tid ved å traversere hvert tres bane</w:t>
      </w:r>
      <w:r>
        <w:softHyphen/>
      </w:r>
      <w:r>
        <w:t xml:space="preserve">struktur og spore betingede forventninger. Dette gjør per-prediksjon-forklaring mulig på en 26-feature modell på milli</w:t>
      </w:r>
      <w:r>
        <w:softHyphen/>
      </w:r>
      <w:r>
        <w:t xml:space="preserve">sekunder.</w:t>
      </w:r>
    </w:p>
    <w:p>
      <w:pPr>
        <w:pStyle w:val="BodyText"/>
      </w:pPr>
      <w:r>
        <w:t xml:space="preserve">I NautiCost (§ 7.3) brukes TreeSHAP både globalt (gjennomsnittlig absolutt SHAP per feature → feature importance-rangering) og lokalt (per-prediksjon waterfall-plott når en agent spør «hvorfor predikerte modellen dette tallet?»).</w:t>
      </w:r>
    </w:p>
    <w:p>
      <w:pPr>
        <w:pStyle w:val="BodyText"/>
      </w:pPr>
      <w:r>
        <w:rPr>
          <w:i/>
          <w:iCs/>
        </w:rPr>
        <w:t xml:space="preserve">Relevans for prosjektet.</w:t>
      </w:r>
      <w:r>
        <w:t xml:space="preserve"> </w:t>
      </w:r>
      <w:r>
        <w:t xml:space="preserve">Forklarbarhet er en operasjonell forutsetning for DP5: et beslutnings</w:t>
      </w:r>
      <w:r>
        <w:softHyphen/>
      </w:r>
      <w:r>
        <w:t xml:space="preserve">støtteverktøy som returnerer et tall agent</w:t>
      </w:r>
      <w:r>
        <w:softHyphen/>
      </w:r>
      <w:r>
        <w:t xml:space="preserve">koordinatoren ikke kan begrunne, vil ikke bli tatt i bruk. SHAP gir per-prediksjon-forklaring uten å gå på bekostning av modellens prestasjon, og er på den måten et bindeledd mellom DP2 (modellvalg) og DP5 (operasjonalisering).</w:t>
      </w:r>
    </w:p>
    <w:p>
      <w:r>
        <w:pict>
          <v:rect style="width:0;height:1.5pt" o:hralign="center" o:hrstd="t" o:hr="t"/>
        </w:pict>
      </w:r>
    </w:p>
    <w:bookmarkEnd w:id="26"/>
    <w:bookmarkEnd w:id="27"/>
    <w:bookmarkStart w:id="28" w:name="casebeskrivelse"/>
    <w:p>
      <w:pPr>
        <w:pStyle w:val="Heading2"/>
      </w:pPr>
      <w:r>
        <w:rPr>
          <w:rStyle w:val="SectionNumber"/>
        </w:rPr>
        <w:t xml:space="preserve">5</w:t>
      </w:r>
      <w:r>
        <w:tab/>
      </w:r>
      <w:r>
        <w:t xml:space="preserve">4. Casebeskrivelse</w:t>
      </w:r>
    </w:p>
    <w:p>
      <w:pPr>
        <w:pStyle w:val="FirstParagraph"/>
      </w:pPr>
      <w:r>
        <w:rPr>
          <w:b/>
          <w:bCs/>
        </w:rPr>
        <w:t xml:space="preserve">Yachting Operations</w:t>
      </w:r>
      <w:r>
        <w:t xml:space="preserve"> </w:t>
      </w:r>
      <w:r>
        <w:t xml:space="preserve">(heretter:</w:t>
      </w:r>
      <w:r>
        <w:t xml:space="preserve"> </w:t>
      </w:r>
      <w:r>
        <w:rPr>
          <w:i/>
          <w:iCs/>
        </w:rPr>
        <w:t xml:space="preserve">bedriften</w:t>
      </w:r>
      <w:r>
        <w:t xml:space="preserve">) er en skandinavisk yachtagent som koordinerer anløp av kommersielle og privat</w:t>
      </w:r>
      <w:r>
        <w:softHyphen/>
      </w:r>
      <w:r>
        <w:t xml:space="preserve">eide superyachter til havner i Norge, Sverige og Danmark. Bedriften driver fra tre kontorer: Bergen Office (norske havner), Stockholm Office (svenske havner) og Copenhagen Office (danske havner). Kjerne</w:t>
      </w:r>
      <w:r>
        <w:softHyphen/>
      </w:r>
      <w:r>
        <w:t xml:space="preserve">tjenestene er gruppert i syv kategorier: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Kategori</w:t>
            </w:r>
          </w:p>
        </w:tc>
        <w:tc>
          <w:tcPr/>
          <w:p>
            <w:pPr>
              <w:pStyle w:val="Compact"/>
            </w:pPr>
            <w:r>
              <w:t xml:space="preserve">Eksempler</w:t>
            </w:r>
          </w:p>
        </w:tc>
      </w:tr>
      <w:tr>
        <w:tc>
          <w:tcPr/>
          <w:p>
            <w:pPr>
              <w:pStyle w:val="Compact"/>
            </w:pPr>
            <w:r>
              <w:rPr>
                <w:b/>
                <w:bCs/>
              </w:rPr>
              <w:t xml:space="preserve">Port Marina</w:t>
            </w:r>
          </w:p>
        </w:tc>
        <w:tc>
          <w:tcPr/>
          <w:p>
            <w:pPr>
              <w:pStyle w:val="Compact"/>
            </w:pPr>
            <w:r>
              <w:t xml:space="preserve">Havneavgift, los</w:t>
            </w:r>
            <w:r>
              <w:softHyphen/>
            </w:r>
            <w:r>
              <w:t xml:space="preserve">tjenester, NOx-skatt, fortøyning</w:t>
            </w:r>
          </w:p>
        </w:tc>
      </w:tr>
      <w:tr>
        <w:tc>
          <w:tcPr/>
          <w:p>
            <w:pPr>
              <w:pStyle w:val="Compact"/>
            </w:pPr>
            <w:r>
              <w:rPr>
                <w:b/>
                <w:bCs/>
              </w:rPr>
              <w:t xml:space="preserve">Agency Services</w:t>
            </w:r>
          </w:p>
        </w:tc>
        <w:tc>
          <w:tcPr/>
          <w:p>
            <w:pPr>
              <w:pStyle w:val="Compact"/>
            </w:pPr>
            <w:r>
              <w:t xml:space="preserve">Tollklarering, immigrasjon, kurer, innkjøp</w:t>
            </w:r>
          </w:p>
        </w:tc>
      </w:tr>
      <w:tr>
        <w:tc>
          <w:tcPr/>
          <w:p>
            <w:pPr>
              <w:pStyle w:val="Compact"/>
            </w:pPr>
            <w:r>
              <w:rPr>
                <w:b/>
                <w:bCs/>
              </w:rPr>
              <w:t xml:space="preserve">Hospitality</w:t>
            </w:r>
          </w:p>
        </w:tc>
        <w:tc>
          <w:tcPr/>
          <w:p>
            <w:pPr>
              <w:pStyle w:val="Compact"/>
            </w:pPr>
            <w:r>
              <w:t xml:space="preserve">Transportservice, guide, hotell, leiebil</w:t>
            </w:r>
          </w:p>
        </w:tc>
      </w:tr>
      <w:tr>
        <w:tc>
          <w:tcPr/>
          <w:p>
            <w:pPr>
              <w:pStyle w:val="Compact"/>
            </w:pPr>
            <w:r>
              <w:rPr>
                <w:b/>
                <w:bCs/>
              </w:rPr>
              <w:t xml:space="preserve">Provisioning</w:t>
            </w:r>
          </w:p>
        </w:tc>
        <w:tc>
          <w:tcPr/>
          <w:p>
            <w:pPr>
              <w:pStyle w:val="Compact"/>
            </w:pPr>
            <w:r>
              <w:t xml:space="preserve">Mat, drikke, blomster</w:t>
            </w:r>
          </w:p>
        </w:tc>
      </w:tr>
      <w:tr>
        <w:tc>
          <w:tcPr/>
          <w:p>
            <w:pPr>
              <w:pStyle w:val="Compact"/>
            </w:pPr>
            <w:r>
              <w:rPr>
                <w:b/>
                <w:bCs/>
              </w:rPr>
              <w:t xml:space="preserve">Technical Services</w:t>
            </w:r>
          </w:p>
        </w:tc>
        <w:tc>
          <w:tcPr/>
          <w:p>
            <w:pPr>
              <w:pStyle w:val="Compact"/>
            </w:pPr>
            <w:r>
              <w:t xml:space="preserve">Tekniker, mekaniker, dykker, snekker</w:t>
            </w:r>
          </w:p>
        </w:tc>
      </w:tr>
      <w:tr>
        <w:tc>
          <w:tcPr/>
          <w:p>
            <w:pPr>
              <w:pStyle w:val="Compact"/>
            </w:pPr>
            <w:r>
              <w:rPr>
                <w:b/>
                <w:bCs/>
              </w:rPr>
              <w:t xml:space="preserve">Bunkering</w:t>
            </w:r>
          </w:p>
        </w:tc>
        <w:tc>
          <w:tcPr/>
          <w:p>
            <w:pPr>
              <w:pStyle w:val="Compact"/>
            </w:pPr>
            <w:r>
              <w:t xml:space="preserve">Diesel, smøreolje</w:t>
            </w:r>
          </w:p>
        </w:tc>
      </w:tr>
      <w:tr>
        <w:tc>
          <w:tcPr/>
          <w:p>
            <w:pPr>
              <w:pStyle w:val="Compact"/>
            </w:pPr>
            <w:r>
              <w:rPr>
                <w:b/>
                <w:bCs/>
              </w:rPr>
              <w:t xml:space="preserve">Agency Fee</w:t>
            </w:r>
          </w:p>
        </w:tc>
        <w:tc>
          <w:tcPr/>
          <w:p>
            <w:pPr>
              <w:pStyle w:val="Compact"/>
            </w:pPr>
            <w:r>
              <w:t xml:space="preserve">Selve agent</w:t>
            </w:r>
            <w:r>
              <w:softHyphen/>
            </w:r>
            <w:r>
              <w:t xml:space="preserve">honoraret</w:t>
            </w:r>
          </w:p>
        </w:tc>
      </w:tr>
    </w:tbl>
    <w:p>
      <w:pPr>
        <w:pStyle w:val="BodyText"/>
      </w:pPr>
      <w:r>
        <w:t xml:space="preserve">Tjeneste</w:t>
      </w:r>
      <w:r>
        <w:softHyphen/>
      </w:r>
      <w:r>
        <w:t xml:space="preserve">miksen varierer betydelig mellom havner: Tromsø har en høy andel agent</w:t>
      </w:r>
      <w:r>
        <w:softHyphen/>
      </w:r>
      <w:r>
        <w:t xml:space="preserve">tjenester knyttet til toll og innkjøp, Stockholm domineres av hospitality, og Bergen har den bredeste tjeneste</w:t>
      </w:r>
      <w:r>
        <w:softHyphen/>
      </w:r>
      <w:r>
        <w:t xml:space="preserve">paletten med 38 forskjellige tjeneste</w:t>
      </w:r>
      <w:r>
        <w:softHyphen/>
      </w:r>
      <w:r>
        <w:t xml:space="preserve">typer i datasettet.</w:t>
      </w:r>
    </w:p>
    <w:p>
      <w:pPr>
        <w:pStyle w:val="BodyText"/>
      </w:pPr>
      <w:r>
        <w:t xml:space="preserve">Yachtene som behandles er i størrelses</w:t>
      </w:r>
      <w:r>
        <w:softHyphen/>
      </w:r>
      <w:r>
        <w:t xml:space="preserve">spennet 51,9–2 407 GT, der norske myndigheter krever los (</w:t>
      </w:r>
      <w:r>
        <w:rPr>
          <w:rStyle w:val="VerbatimChar"/>
        </w:rPr>
        <w:t xml:space="preserve">Loskrav = Ja</w:t>
      </w:r>
      <w:r>
        <w:t xml:space="preserve">) for fartøy med LOA &gt; 70 m. Bedriften kategoriserer fartøy i tre størrelser:</w:t>
      </w:r>
    </w:p>
    <w:p>
      <w:pPr>
        <w:pStyle w:val="Compact"/>
        <w:numPr>
          <w:ilvl w:val="0"/>
          <w:numId w:val="1009"/>
        </w:numPr>
      </w:pPr>
      <w:r>
        <w:rPr>
          <w:b/>
          <w:bCs/>
        </w:rPr>
        <w:t xml:space="preserve">Liten:</w:t>
      </w:r>
      <w:r>
        <w:t xml:space="preserve"> </w:t>
      </w:r>
      <w:r>
        <w:t xml:space="preserve">GT &lt; 98</w:t>
      </w:r>
    </w:p>
    <w:p>
      <w:pPr>
        <w:pStyle w:val="Compact"/>
        <w:numPr>
          <w:ilvl w:val="0"/>
          <w:numId w:val="1009"/>
        </w:numPr>
      </w:pPr>
      <w:r>
        <w:rPr>
          <w:b/>
          <w:bCs/>
        </w:rPr>
        <w:t xml:space="preserve">Mellomstor:</w:t>
      </w:r>
      <w:r>
        <w:t xml:space="preserve"> </w:t>
      </w:r>
      <w:r>
        <w:t xml:space="preserve">98 ≤ GT ≤ 1000</w:t>
      </w:r>
    </w:p>
    <w:p>
      <w:pPr>
        <w:pStyle w:val="Compact"/>
        <w:numPr>
          <w:ilvl w:val="0"/>
          <w:numId w:val="1009"/>
        </w:numPr>
      </w:pPr>
      <w:r>
        <w:rPr>
          <w:b/>
          <w:bCs/>
        </w:rPr>
        <w:t xml:space="preserve">Stor:</w:t>
      </w:r>
      <w:r>
        <w:t xml:space="preserve"> </w:t>
      </w:r>
      <w:r>
        <w:t xml:space="preserve">GT &gt; 1000</w:t>
      </w:r>
    </w:p>
    <w:p>
      <w:pPr>
        <w:pStyle w:val="FirstParagraph"/>
      </w:pPr>
      <w:r>
        <w:t xml:space="preserve">I dag utarbeides forhånds</w:t>
      </w:r>
      <w:r>
        <w:softHyphen/>
      </w:r>
      <w:r>
        <w:t xml:space="preserve">estimater manuelt og varierer i kvalitet mellom koordinatorer. Bedriften ønsker et internt verktøy som gir et raskt, konsistent og forklarbart kostnads</w:t>
      </w:r>
      <w:r>
        <w:softHyphen/>
      </w:r>
      <w:r>
        <w:t xml:space="preserve">estimat — det er behovet NautiCost dekker.</w:t>
      </w:r>
    </w:p>
    <w:p>
      <w:r>
        <w:pict>
          <v:rect style="width:0;height:1.5pt" o:hralign="center" o:hrstd="t" o:hr="t"/>
        </w:pict>
      </w:r>
    </w:p>
    <w:bookmarkEnd w:id="28"/>
    <w:bookmarkStart w:id="37" w:name="metode-og-data"/>
    <w:p>
      <w:pPr>
        <w:pStyle w:val="Heading2"/>
      </w:pPr>
      <w:r>
        <w:rPr>
          <w:rStyle w:val="SectionNumber"/>
        </w:rPr>
        <w:t xml:space="preserve">6</w:t>
      </w:r>
      <w:r>
        <w:tab/>
      </w:r>
      <w:r>
        <w:t xml:space="preserve">5. Metode og data</w:t>
      </w:r>
    </w:p>
    <w:bookmarkStart w:id="29" w:name="prosessmapping-mot-pensumkompendiet"/>
    <w:p>
      <w:pPr>
        <w:pStyle w:val="Heading3"/>
      </w:pPr>
      <w:r>
        <w:rPr>
          <w:rStyle w:val="SectionNumber"/>
        </w:rPr>
        <w:t xml:space="preserve">6.1</w:t>
      </w:r>
      <w:r>
        <w:tab/>
      </w:r>
      <w:r>
        <w:t xml:space="preserve">5.0 Prosess</w:t>
      </w:r>
      <w:r>
        <w:softHyphen/>
      </w:r>
      <w:r>
        <w:t xml:space="preserve">mapping mot pensum</w:t>
      </w:r>
      <w:r>
        <w:softHyphen/>
      </w:r>
      <w:r>
        <w:t xml:space="preserve">kompendiet</w:t>
      </w:r>
    </w:p>
    <w:p>
      <w:pPr>
        <w:pStyle w:val="FirstParagraph"/>
      </w:pPr>
      <w:r>
        <w:t xml:space="preserve">Pensum</w:t>
      </w:r>
      <w:r>
        <w:softHyphen/>
      </w:r>
      <w:r>
        <w:t xml:space="preserve">kompendiet (Pettersen &amp; Rekdal, 2026, § i.4) foreskriver en femtrinns prosess for et kvantitativt logistikk</w:t>
      </w:r>
      <w:r>
        <w:softHyphen/>
      </w:r>
      <w:r>
        <w:t xml:space="preserve">prosjekt. NautiCost følger denne prosessen, og tabellen under viser hvilke kapitler som realiserer hvert steg: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Prosess</w:t>
            </w:r>
            <w:r>
              <w:softHyphen/>
            </w:r>
            <w:r>
              <w:t xml:space="preserve">steg (kompendiet § i.4)</w:t>
            </w:r>
          </w:p>
        </w:tc>
        <w:tc>
          <w:tcPr/>
          <w:p>
            <w:pPr>
              <w:pStyle w:val="Compact"/>
            </w:pPr>
            <w:r>
              <w:t xml:space="preserve">Realisert i NautiCost-rapporten</w:t>
            </w:r>
          </w:p>
        </w:tc>
      </w:tr>
      <w:tr>
        <w:tc>
          <w:tcPr/>
          <w:p>
            <w:pPr>
              <w:pStyle w:val="Compact"/>
            </w:pPr>
            <w:r>
              <w:t xml:space="preserve">Steg 1: Datainnsamling</w:t>
            </w:r>
          </w:p>
        </w:tc>
        <w:tc>
          <w:tcPr/>
          <w:p>
            <w:pPr>
              <w:pStyle w:val="Compact"/>
            </w:pPr>
            <w:r>
              <w:t xml:space="preserve">§ 5.2 datakilder, § 5.3 datapreparering</w:t>
            </w:r>
          </w:p>
        </w:tc>
      </w:tr>
      <w:tr>
        <w:tc>
          <w:tcPr/>
          <w:p>
            <w:pPr>
              <w:pStyle w:val="Compact"/>
            </w:pPr>
            <w:r>
              <w:t xml:space="preserve">Steg 2: Sjekk av antakelser</w:t>
            </w:r>
          </w:p>
        </w:tc>
        <w:tc>
          <w:tcPr/>
          <w:p>
            <w:pPr>
              <w:pStyle w:val="Compact"/>
            </w:pPr>
            <w:r>
              <w:t xml:space="preserve">§ 5.7 antakelses</w:t>
            </w:r>
            <w:r>
              <w:softHyphen/>
            </w:r>
            <w:r>
              <w:t xml:space="preserve">diagnostikk, § 7.4 residual</w:t>
            </w:r>
            <w:r>
              <w:softHyphen/>
            </w:r>
            <w:r>
              <w:t xml:space="preserve">analyse</w:t>
            </w:r>
          </w:p>
        </w:tc>
      </w:tr>
      <w:tr>
        <w:tc>
          <w:tcPr/>
          <w:p>
            <w:pPr>
              <w:pStyle w:val="Compact"/>
            </w:pPr>
            <w:r>
              <w:t xml:space="preserve">Steg 3: Løsning (modell</w:t>
            </w:r>
            <w:r>
              <w:softHyphen/>
            </w:r>
            <w:r>
              <w:t xml:space="preserve">estimering)</w:t>
            </w:r>
          </w:p>
        </w:tc>
        <w:tc>
          <w:tcPr/>
          <w:p>
            <w:pPr>
              <w:pStyle w:val="Compact"/>
            </w:pPr>
            <w:r>
              <w:t xml:space="preserve">§ 6.3 ensemble</w:t>
            </w:r>
            <w:r>
              <w:softHyphen/>
            </w:r>
            <w:r>
              <w:t xml:space="preserve">modell, § 6.4 kvantil</w:t>
            </w:r>
            <w:r>
              <w:softHyphen/>
            </w:r>
            <w:r>
              <w:t xml:space="preserve">modell, § 6.5 hybrid kalibrering</w:t>
            </w:r>
          </w:p>
        </w:tc>
      </w:tr>
      <w:tr>
        <w:tc>
          <w:tcPr/>
          <w:p>
            <w:pPr>
              <w:pStyle w:val="Compact"/>
            </w:pPr>
            <w:r>
              <w:t xml:space="preserve">Steg 4: Sjekk av løsning</w:t>
            </w:r>
          </w:p>
        </w:tc>
        <w:tc>
          <w:tcPr/>
          <w:p>
            <w:pPr>
              <w:pStyle w:val="Compact"/>
            </w:pPr>
            <w:r>
              <w:t xml:space="preserve">§ 8 resultater (valideringssett-metrikker + endelig testsett-evaluering), § 8.2 kvantil</w:t>
            </w:r>
            <w:r>
              <w:softHyphen/>
            </w:r>
            <w:r>
              <w:t xml:space="preserve">dekning</w:t>
            </w:r>
          </w:p>
        </w:tc>
      </w:tr>
      <w:tr>
        <w:tc>
          <w:tcPr/>
          <w:p>
            <w:pPr>
              <w:pStyle w:val="Compact"/>
            </w:pPr>
            <w:r>
              <w:t xml:space="preserve">Steg 5: Anvendelse</w:t>
            </w:r>
          </w:p>
        </w:tc>
        <w:tc>
          <w:tcPr/>
          <w:p>
            <w:pPr>
              <w:pStyle w:val="Compact"/>
            </w:pPr>
            <w:r>
              <w:t xml:space="preserve">§ 6.5 hybrid kalibrering på anløpsnivå, § 8.4 operasjonell ytelse, § 9.5 brukertest</w:t>
            </w:r>
          </w:p>
        </w:tc>
      </w:tr>
    </w:tbl>
    <w:p>
      <w:pPr>
        <w:pStyle w:val="BodyText"/>
      </w:pPr>
      <w:r>
        <w:t xml:space="preserve">Mappingen sikrer at lesere som har pensum</w:t>
      </w:r>
      <w:r>
        <w:softHyphen/>
      </w:r>
      <w:r>
        <w:t xml:space="preserve">kompendiet kan navigere rapporten med kjent rammeverk, og at de fem trinnene er dekket før vi konkluderer i § 10.</w:t>
      </w:r>
    </w:p>
    <w:bookmarkEnd w:id="29"/>
    <w:bookmarkStart w:id="30" w:name="forskningsdesign"/>
    <w:p>
      <w:pPr>
        <w:pStyle w:val="Heading3"/>
      </w:pPr>
      <w:r>
        <w:rPr>
          <w:rStyle w:val="SectionNumber"/>
        </w:rPr>
        <w:t xml:space="preserve">6.2</w:t>
      </w:r>
      <w:r>
        <w:tab/>
      </w:r>
      <w:r>
        <w:t xml:space="preserve">5.1 Forskningsdesign</w:t>
      </w:r>
    </w:p>
    <w:p>
      <w:pPr>
        <w:pStyle w:val="FirstParagraph"/>
      </w:pPr>
      <w:r>
        <w:t xml:space="preserve">Prosjektet følger et anvendt-prediktivt forskningsdesign: vi formulerer kostnads</w:t>
      </w:r>
      <w:r>
        <w:softHyphen/>
      </w:r>
      <w:r>
        <w:t xml:space="preserve">estimering som et superviseret regresjonsproblem på transaksjonsnivå, med tids</w:t>
      </w:r>
      <w:r>
        <w:softHyphen/>
      </w:r>
      <w:r>
        <w:t xml:space="preserve">basert split for å unngå data</w:t>
      </w:r>
      <w:r>
        <w:softHyphen/>
      </w:r>
      <w:r>
        <w:t xml:space="preserve">lekkasje, og evaluerer modellen mot operasjonelt relevante feilmetrikker (MAE i EUR — kildedataenes egen valuta, jf. § 1.3 — samt P25–P75-dekning).</w:t>
      </w:r>
    </w:p>
    <w:bookmarkEnd w:id="30"/>
    <w:bookmarkStart w:id="31" w:name="datakilder"/>
    <w:p>
      <w:pPr>
        <w:pStyle w:val="Heading3"/>
      </w:pPr>
      <w:r>
        <w:rPr>
          <w:rStyle w:val="SectionNumber"/>
        </w:rPr>
        <w:t xml:space="preserve">6.3</w:t>
      </w:r>
      <w:r>
        <w:tab/>
      </w:r>
      <w:r>
        <w:t xml:space="preserve">5.2 Datakilder</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Fil</w:t>
            </w:r>
          </w:p>
        </w:tc>
        <w:tc>
          <w:tcPr/>
          <w:p>
            <w:pPr>
              <w:pStyle w:val="Compact"/>
            </w:pPr>
            <w:r>
              <w:t xml:space="preserve">Innhold</w:t>
            </w:r>
          </w:p>
        </w:tc>
        <w:tc>
          <w:tcPr/>
          <w:p>
            <w:pPr>
              <w:pStyle w:val="Compact"/>
              <w:jc w:val="right"/>
            </w:pPr>
            <w:r>
              <w:t xml:space="preserve">Rader</w:t>
            </w:r>
          </w:p>
        </w:tc>
      </w:tr>
      <w:tr>
        <w:tc>
          <w:tcPr/>
          <w:p>
            <w:pPr>
              <w:pStyle w:val="Compact"/>
            </w:pPr>
            <w:r>
              <w:rPr>
                <w:rStyle w:val="VerbatimChar"/>
              </w:rPr>
              <w:t xml:space="preserve">Rådata Nauticost.xlsx</w:t>
            </w:r>
            <w:r>
              <w:t xml:space="preserve"> </w:t>
            </w:r>
            <w:r>
              <w:t xml:space="preserve">(sheet 1)</w:t>
            </w:r>
          </w:p>
        </w:tc>
        <w:tc>
          <w:tcPr/>
          <w:p>
            <w:pPr>
              <w:pStyle w:val="Compact"/>
            </w:pPr>
            <w:r>
              <w:t xml:space="preserve">Originale faktura</w:t>
            </w:r>
            <w:r>
              <w:softHyphen/>
            </w:r>
            <w:r>
              <w:t xml:space="preserve">transaksjoner 2020–2025</w:t>
            </w:r>
          </w:p>
        </w:tc>
        <w:tc>
          <w:tcPr/>
          <w:p>
            <w:pPr>
              <w:pStyle w:val="Compact"/>
              <w:jc w:val="right"/>
            </w:pPr>
            <w:r>
              <w:t xml:space="preserve">932</w:t>
            </w:r>
          </w:p>
        </w:tc>
      </w:tr>
      <w:tr>
        <w:tc>
          <w:tcPr/>
          <w:p>
            <w:pPr>
              <w:pStyle w:val="Compact"/>
            </w:pPr>
            <w:r>
              <w:rPr>
                <w:rStyle w:val="VerbatimChar"/>
              </w:rPr>
              <w:t xml:space="preserve">Kostnader_MM.csv</w:t>
            </w:r>
          </w:p>
        </w:tc>
        <w:tc>
          <w:tcPr/>
          <w:p>
            <w:pPr>
              <w:pStyle w:val="Compact"/>
            </w:pPr>
            <w:r>
              <w:t xml:space="preserve">Eksportert transaksjons</w:t>
            </w:r>
            <w:r>
              <w:softHyphen/>
            </w:r>
            <w:r>
              <w:t xml:space="preserve">data (inkl. subtotaler)</w:t>
            </w:r>
          </w:p>
        </w:tc>
        <w:tc>
          <w:tcPr/>
          <w:p>
            <w:pPr>
              <w:pStyle w:val="Compact"/>
              <w:jc w:val="right"/>
            </w:pPr>
            <w:r>
              <w:t xml:space="preserve">3 325</w:t>
            </w:r>
          </w:p>
        </w:tc>
      </w:tr>
      <w:tr>
        <w:tc>
          <w:tcPr/>
          <w:p>
            <w:pPr>
              <w:pStyle w:val="Compact"/>
            </w:pPr>
            <w:r>
              <w:rPr>
                <w:rStyle w:val="VerbatimChar"/>
              </w:rPr>
              <w:t xml:space="preserve">costs_clean.csv</w:t>
            </w:r>
          </w:p>
        </w:tc>
        <w:tc>
          <w:tcPr/>
          <w:p>
            <w:pPr>
              <w:pStyle w:val="Compact"/>
            </w:pPr>
            <w:r>
              <w:t xml:space="preserve">Renset transaksjons</w:t>
            </w:r>
            <w:r>
              <w:softHyphen/>
            </w:r>
            <w:r>
              <w:t xml:space="preserve">data fra</w:t>
            </w:r>
            <w:r>
              <w:t xml:space="preserve"> </w:t>
            </w:r>
            <w:r>
              <w:rPr>
                <w:rStyle w:val="VerbatimChar"/>
              </w:rPr>
              <w:t xml:space="preserve">data_prep.ipynb</w:t>
            </w:r>
          </w:p>
        </w:tc>
        <w:tc>
          <w:tcPr/>
          <w:p>
            <w:pPr>
              <w:pStyle w:val="Compact"/>
              <w:jc w:val="right"/>
            </w:pPr>
            <w:r>
              <w:t xml:space="preserve">1 654</w:t>
            </w:r>
          </w:p>
        </w:tc>
      </w:tr>
      <w:tr>
        <w:tc>
          <w:tcPr/>
          <w:p>
            <w:pPr>
              <w:pStyle w:val="Compact"/>
            </w:pPr>
            <w:r>
              <w:rPr>
                <w:rStyle w:val="VerbatimChar"/>
              </w:rPr>
              <w:t xml:space="preserve">costs_merged.csv</w:t>
            </w:r>
          </w:p>
        </w:tc>
        <w:tc>
          <w:tcPr/>
          <w:p>
            <w:pPr>
              <w:pStyle w:val="Compact"/>
            </w:pPr>
            <w:r>
              <w:t xml:space="preserve">Transaksjoner sammenstilt med yacht</w:t>
            </w:r>
            <w:r>
              <w:softHyphen/>
            </w:r>
            <w:r>
              <w:t xml:space="preserve">spesifikasjoner</w:t>
            </w:r>
          </w:p>
        </w:tc>
        <w:tc>
          <w:tcPr/>
          <w:p>
            <w:pPr>
              <w:pStyle w:val="Compact"/>
              <w:jc w:val="right"/>
            </w:pPr>
            <w:r>
              <w:t xml:space="preserve">1 654 (1 633 med gyldig pris)</w:t>
            </w:r>
          </w:p>
        </w:tc>
      </w:tr>
      <w:tr>
        <w:tc>
          <w:tcPr/>
          <w:p>
            <w:pPr>
              <w:pStyle w:val="Compact"/>
            </w:pPr>
            <w:r>
              <w:rPr>
                <w:rStyle w:val="VerbatimChar"/>
              </w:rPr>
              <w:t xml:space="preserve">Yacht-specs.csv</w:t>
            </w:r>
            <w:r>
              <w:t xml:space="preserve"> </w:t>
            </w:r>
            <w:r>
              <w:t xml:space="preserve">/</w:t>
            </w:r>
            <w:r>
              <w:t xml:space="preserve"> </w:t>
            </w:r>
            <w:r>
              <w:rPr>
                <w:rStyle w:val="VerbatimChar"/>
              </w:rPr>
              <w:t xml:space="preserve">specs_clean.csv</w:t>
            </w:r>
          </w:p>
        </w:tc>
        <w:tc>
          <w:tcPr/>
          <w:p>
            <w:pPr>
              <w:pStyle w:val="Compact"/>
            </w:pPr>
            <w:r>
              <w:t xml:space="preserve">17 unike yachter (19 spec-rader, noen revideres over tid)</w:t>
            </w:r>
          </w:p>
        </w:tc>
        <w:tc>
          <w:tcPr/>
          <w:p>
            <w:pPr>
              <w:pStyle w:val="Compact"/>
              <w:jc w:val="right"/>
            </w:pPr>
            <w:r>
              <w:t xml:space="preserve">19</w:t>
            </w:r>
          </w:p>
        </w:tc>
      </w:tr>
      <w:tr>
        <w:tc>
          <w:tcPr/>
          <w:p>
            <w:pPr>
              <w:pStyle w:val="Compact"/>
            </w:pPr>
            <w:r>
              <w:rPr>
                <w:rStyle w:val="VerbatimChar"/>
              </w:rPr>
              <w:t xml:space="preserve">cockpit_clean.csv</w:t>
            </w:r>
          </w:p>
        </w:tc>
        <w:tc>
          <w:tcPr/>
          <w:p>
            <w:pPr>
              <w:pStyle w:val="Compact"/>
            </w:pPr>
            <w:r>
              <w:t xml:space="preserve">Aggregerte cockpit-tall 2020–2025</w:t>
            </w:r>
          </w:p>
        </w:tc>
        <w:tc>
          <w:tcPr/>
          <w:p>
            <w:pPr>
              <w:pStyle w:val="Compact"/>
              <w:jc w:val="right"/>
            </w:pPr>
            <w:r>
              <w:t xml:space="preserve">6</w:t>
            </w:r>
          </w:p>
        </w:tc>
      </w:tr>
    </w:tbl>
    <w:bookmarkEnd w:id="31"/>
    <w:bookmarkStart w:id="32" w:name="datapreparering"/>
    <w:p>
      <w:pPr>
        <w:pStyle w:val="Heading3"/>
      </w:pPr>
      <w:r>
        <w:rPr>
          <w:rStyle w:val="SectionNumber"/>
        </w:rPr>
        <w:t xml:space="preserve">6.4</w:t>
      </w:r>
      <w:r>
        <w:tab/>
      </w:r>
      <w:r>
        <w:t xml:space="preserve">5.3 Datapreparering</w:t>
      </w:r>
    </w:p>
    <w:p>
      <w:pPr>
        <w:pStyle w:val="FirstParagraph"/>
      </w:pPr>
      <w:r>
        <w:t xml:space="preserve">Datapreparering er gjennomført i</w:t>
      </w:r>
      <w:r>
        <w:t xml:space="preserve"> </w:t>
      </w:r>
      <w:r>
        <w:rPr>
          <w:rStyle w:val="VerbatimChar"/>
        </w:rPr>
        <w:t xml:space="preserve">data_prep.ipynb</w:t>
      </w:r>
      <w:r>
        <w:t xml:space="preserve"> </w:t>
      </w:r>
      <w:r>
        <w:t xml:space="preserve">og består av:</w:t>
      </w:r>
    </w:p>
    <w:p>
      <w:pPr>
        <w:pStyle w:val="Compact"/>
        <w:numPr>
          <w:ilvl w:val="0"/>
          <w:numId w:val="1010"/>
        </w:numPr>
      </w:pPr>
      <w:r>
        <w:rPr>
          <w:b/>
          <w:bCs/>
        </w:rPr>
        <w:t xml:space="preserve">Innlesing og typing</w:t>
      </w:r>
      <w:r>
        <w:t xml:space="preserve"> </w:t>
      </w:r>
      <w:r>
        <w:t xml:space="preserve">av</w:t>
      </w:r>
      <w:r>
        <w:t xml:space="preserve"> </w:t>
      </w:r>
      <w:r>
        <w:rPr>
          <w:rStyle w:val="VerbatimChar"/>
        </w:rPr>
        <w:t xml:space="preserve">Rådata Nauticost.xlsx</w:t>
      </w:r>
      <w:r>
        <w:t xml:space="preserve">, parsing av datofelt og numeriske beløp.</w:t>
      </w:r>
    </w:p>
    <w:p>
      <w:pPr>
        <w:pStyle w:val="Compact"/>
        <w:numPr>
          <w:ilvl w:val="0"/>
          <w:numId w:val="1010"/>
        </w:numPr>
      </w:pPr>
      <w:r>
        <w:rPr>
          <w:b/>
          <w:bCs/>
        </w:rPr>
        <w:t xml:space="preserve">Datakvalitets</w:t>
      </w:r>
      <w:r>
        <w:rPr>
          <w:b/>
          <w:bCs/>
        </w:rPr>
        <w:softHyphen/>
      </w:r>
      <w:r>
        <w:rPr>
          <w:b/>
          <w:bCs/>
        </w:rPr>
        <w:t xml:space="preserve">flagging</w:t>
      </w:r>
      <w:r>
        <w:t xml:space="preserve"> </w:t>
      </w:r>
      <w:r>
        <w:t xml:space="preserve">via en</w:t>
      </w:r>
      <w:r>
        <w:t xml:space="preserve"> </w:t>
      </w:r>
      <w:r>
        <w:rPr>
          <w:rStyle w:val="VerbatimChar"/>
        </w:rPr>
        <w:t xml:space="preserve">flag</w:t>
      </w:r>
      <w:r>
        <w:t xml:space="preserve">-kolonne for rader med inkonsistente felt</w:t>
      </w:r>
      <w:r>
        <w:softHyphen/>
      </w:r>
      <w:r>
        <w:t xml:space="preserve">verdier (negative beløp, manglende yacht-ID, sluttdato før startdato).</w:t>
      </w:r>
    </w:p>
    <w:p>
      <w:pPr>
        <w:pStyle w:val="Compact"/>
        <w:numPr>
          <w:ilvl w:val="0"/>
          <w:numId w:val="1010"/>
        </w:numPr>
      </w:pPr>
      <w:r>
        <w:rPr>
          <w:b/>
          <w:bCs/>
        </w:rPr>
        <w:t xml:space="preserve">Yacht-kobling:</w:t>
      </w:r>
      <w:r>
        <w:t xml:space="preserve"> </w:t>
      </w:r>
      <w:r>
        <w:t xml:space="preserve">transaksjoner kobles til yacht</w:t>
      </w:r>
      <w:r>
        <w:softHyphen/>
      </w:r>
      <w:r>
        <w:t xml:space="preserve">spesifikasjoner (GT, LOA, beam, draft, fuel) via yacht-ID.</w:t>
      </w:r>
    </w:p>
    <w:p>
      <w:pPr>
        <w:pStyle w:val="Compact"/>
        <w:numPr>
          <w:ilvl w:val="0"/>
          <w:numId w:val="1010"/>
        </w:numPr>
      </w:pPr>
      <w:r>
        <w:rPr>
          <w:b/>
          <w:bCs/>
        </w:rPr>
        <w:t xml:space="preserve">Avledede felt:</w:t>
      </w:r>
      <w:r>
        <w:t xml:space="preserve"> </w:t>
      </w:r>
      <w:r>
        <w:rPr>
          <w:rStyle w:val="VerbatimChar"/>
        </w:rPr>
        <w:t xml:space="preserve">size_category</w:t>
      </w:r>
      <w:r>
        <w:t xml:space="preserve">,</w:t>
      </w:r>
      <w:r>
        <w:t xml:space="preserve"> </w:t>
      </w:r>
      <w:r>
        <w:rPr>
          <w:rStyle w:val="VerbatimChar"/>
        </w:rPr>
        <w:t xml:space="preserve">loskrav</w:t>
      </w:r>
      <w:r>
        <w:t xml:space="preserve">, samt tids</w:t>
      </w:r>
      <w:r>
        <w:softHyphen/>
      </w:r>
      <w:r>
        <w:t xml:space="preserve">variabler (måned, kvartal, dag-i-uka).</w:t>
      </w:r>
    </w:p>
    <w:p>
      <w:pPr>
        <w:pStyle w:val="Compact"/>
        <w:numPr>
          <w:ilvl w:val="0"/>
          <w:numId w:val="1010"/>
        </w:numPr>
      </w:pPr>
      <w:r>
        <w:rPr>
          <w:b/>
          <w:bCs/>
        </w:rPr>
        <w:t xml:space="preserve">Filtrering:</w:t>
      </w:r>
      <w:r>
        <w:t xml:space="preserve"> </w:t>
      </w:r>
      <w:r>
        <w:t xml:space="preserve">rader med manglende eller ikke-positiv</w:t>
      </w:r>
      <w:r>
        <w:t xml:space="preserve"> </w:t>
      </w:r>
      <w:r>
        <w:rPr>
          <w:rStyle w:val="VerbatimChar"/>
        </w:rPr>
        <w:t xml:space="preserve">final_charge</w:t>
      </w:r>
      <w:r>
        <w:t xml:space="preserve"> </w:t>
      </w:r>
      <w:r>
        <w:t xml:space="preserve">fjernes (jf. antakelse A3).</w:t>
      </w:r>
    </w:p>
    <w:bookmarkEnd w:id="32"/>
    <w:bookmarkStart w:id="33" w:name="datasplit-og-evalueringsprotokoll"/>
    <w:p>
      <w:pPr>
        <w:pStyle w:val="Heading3"/>
      </w:pPr>
      <w:r>
        <w:rPr>
          <w:rStyle w:val="SectionNumber"/>
        </w:rPr>
        <w:t xml:space="preserve">6.5</w:t>
      </w:r>
      <w:r>
        <w:tab/>
      </w:r>
      <w:r>
        <w:t xml:space="preserve">5.4 Datasplit og evalueringsprotokoll</w:t>
      </w:r>
    </w:p>
    <w:p>
      <w:pPr>
        <w:pStyle w:val="FirstParagraph"/>
      </w:pPr>
      <w:r>
        <w:t xml:space="preserve">Splittet er</w:t>
      </w:r>
      <w:r>
        <w:t xml:space="preserve"> </w:t>
      </w:r>
      <w:r>
        <w:rPr>
          <w:b/>
          <w:bCs/>
        </w:rPr>
        <w:t xml:space="preserve">tidsbasert</w:t>
      </w:r>
      <w:r>
        <w:t xml:space="preserve">, ikke tilfeldig, for å speile reell prognose</w:t>
      </w:r>
      <w:r>
        <w:softHyphen/>
      </w:r>
      <w:r>
        <w:t xml:space="preserve">bruk. Rollen til hvert sett er bevisst skilt mellom</w:t>
      </w:r>
      <w:r>
        <w:t xml:space="preserve"> </w:t>
      </w:r>
      <w:r>
        <w:rPr>
          <w:b/>
          <w:bCs/>
        </w:rPr>
        <w:t xml:space="preserve">modellutvikling</w:t>
      </w:r>
      <w:r>
        <w:t xml:space="preserve">,</w:t>
      </w:r>
      <w:r>
        <w:t xml:space="preserve"> </w:t>
      </w:r>
      <w:r>
        <w:rPr>
          <w:b/>
          <w:bCs/>
        </w:rPr>
        <w:t xml:space="preserve">modellseleksjon</w:t>
      </w:r>
      <w:r>
        <w:t xml:space="preserve"> </w:t>
      </w:r>
      <w:r>
        <w:t xml:space="preserve">og</w:t>
      </w:r>
      <w:r>
        <w:t xml:space="preserve"> </w:t>
      </w:r>
      <w:r>
        <w:rPr>
          <w:b/>
          <w:bCs/>
        </w:rPr>
        <w:t xml:space="preserve">endelig evaluering</w:t>
      </w:r>
      <w: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Sett</w:t>
            </w:r>
          </w:p>
        </w:tc>
        <w:tc>
          <w:tcPr/>
          <w:p>
            <w:pPr>
              <w:pStyle w:val="Compact"/>
            </w:pPr>
            <w:r>
              <w:t xml:space="preserve">Periode</w:t>
            </w:r>
          </w:p>
        </w:tc>
        <w:tc>
          <w:tcPr/>
          <w:p>
            <w:pPr>
              <w:pStyle w:val="Compact"/>
              <w:jc w:val="right"/>
            </w:pPr>
            <w:r>
              <w:t xml:space="preserve">Rader</w:t>
            </w:r>
          </w:p>
        </w:tc>
        <w:tc>
          <w:tcPr/>
          <w:p>
            <w:pPr>
              <w:pStyle w:val="Compact"/>
            </w:pPr>
            <w:r>
              <w:t xml:space="preserve">Rolle</w:t>
            </w:r>
          </w:p>
        </w:tc>
      </w:tr>
      <w:tr>
        <w:tc>
          <w:tcPr/>
          <w:p>
            <w:pPr>
              <w:pStyle w:val="Compact"/>
            </w:pPr>
            <w:r>
              <w:t xml:space="preserve">Treningssett</w:t>
            </w:r>
          </w:p>
        </w:tc>
        <w:tc>
          <w:tcPr/>
          <w:p>
            <w:pPr>
              <w:pStyle w:val="Compact"/>
            </w:pPr>
            <w:r>
              <w:t xml:space="preserve">≤ 2023</w:t>
            </w:r>
          </w:p>
        </w:tc>
        <w:tc>
          <w:tcPr/>
          <w:p>
            <w:pPr>
              <w:pStyle w:val="Compact"/>
              <w:jc w:val="right"/>
            </w:pPr>
            <w:r>
              <w:t xml:space="preserve">487</w:t>
            </w:r>
          </w:p>
        </w:tc>
        <w:tc>
          <w:tcPr/>
          <w:p>
            <w:pPr>
              <w:pStyle w:val="Compact"/>
            </w:pPr>
            <w:r>
              <w:t xml:space="preserve">Modellutvikling: trene base-modellene, lære feature-engineering-statistikker (aggregat</w:t>
            </w:r>
            <w:r>
              <w:softHyphen/>
            </w:r>
            <w:r>
              <w:t xml:space="preserve">features beregnet kun her, jf. § 5.5).</w:t>
            </w:r>
          </w:p>
        </w:tc>
      </w:tr>
      <w:tr>
        <w:tc>
          <w:tcPr/>
          <w:p>
            <w:pPr>
              <w:pStyle w:val="Compact"/>
            </w:pPr>
            <w:r>
              <w:t xml:space="preserve">Valideringssett</w:t>
            </w:r>
          </w:p>
        </w:tc>
        <w:tc>
          <w:tcPr/>
          <w:p>
            <w:pPr>
              <w:pStyle w:val="Compact"/>
            </w:pPr>
            <w:r>
              <w:t xml:space="preserve">2024</w:t>
            </w:r>
          </w:p>
        </w:tc>
        <w:tc>
          <w:tcPr/>
          <w:p>
            <w:pPr>
              <w:pStyle w:val="Compact"/>
              <w:jc w:val="right"/>
            </w:pPr>
            <w:r>
              <w:t xml:space="preserve">490</w:t>
            </w:r>
          </w:p>
        </w:tc>
        <w:tc>
          <w:tcPr/>
          <w:p>
            <w:pPr>
              <w:pStyle w:val="Compact"/>
            </w:pPr>
            <w:r>
              <w:t xml:space="preserve">Modellseleksjon: velge hyperparametre (Optuna), ensemble-vekt</w:t>
            </w:r>
            <w:r>
              <w:t xml:space="preserve"> </w:t>
            </w:r>
            <m:oMath>
              <m:r>
                <m:t>w</m:t>
              </m:r>
            </m:oMath>
            <w:r>
              <w:t xml:space="preserve">, kvantil-objektivterskler og CQR-kalibreringsterskel; sammenligne kandidat</w:t>
            </w:r>
            <w:r>
              <w:softHyphen/>
            </w:r>
            <w:r>
              <w:t xml:space="preserve">modeller (jf. § 8.1).</w:t>
            </w:r>
          </w:p>
        </w:tc>
      </w:tr>
      <w:tr>
        <w:tc>
          <w:tcPr/>
          <w:p>
            <w:pPr>
              <w:pStyle w:val="Compact"/>
            </w:pPr>
            <w:r>
              <w:t xml:space="preserve">Testsett</w:t>
            </w:r>
          </w:p>
        </w:tc>
        <w:tc>
          <w:tcPr/>
          <w:p>
            <w:pPr>
              <w:pStyle w:val="Compact"/>
            </w:pPr>
            <w:r>
              <w:t xml:space="preserve">2025</w:t>
            </w:r>
          </w:p>
        </w:tc>
        <w:tc>
          <w:tcPr/>
          <w:p>
            <w:pPr>
              <w:pStyle w:val="Compact"/>
              <w:jc w:val="right"/>
            </w:pPr>
            <w:r>
              <w:t xml:space="preserve">670</w:t>
            </w:r>
          </w:p>
        </w:tc>
        <w:tc>
          <w:tcPr/>
          <w:p>
            <w:pPr>
              <w:pStyle w:val="Compact"/>
            </w:pPr>
            <w:r>
              <w:t xml:space="preserve">Endelig, uavhengig evaluering av den utvalgte produksjons</w:t>
            </w:r>
            <w:r>
              <w:softHyphen/>
            </w:r>
            <w:r>
              <w:t xml:space="preserve">modellen (jf. § 8.1.1). Brukes ikke til seleksjon eller hyperparameter</w:t>
            </w:r>
            <w:r>
              <w:softHyphen/>
            </w:r>
            <w:r>
              <w:t xml:space="preserve">valg.</w:t>
            </w:r>
          </w:p>
        </w:tc>
      </w:tr>
    </w:tbl>
    <w:p>
      <w:pPr>
        <w:pStyle w:val="BodyText"/>
      </w:pPr>
      <w:r>
        <w:t xml:space="preserve">Året 2026 er holdt utenfor modellutviklingen og brukes som overvåkningssett etter hvert som nye fakturaer kommer inn (kun 7 rader pr. april 2026, og dermed ikke meningsfullt for evaluering på det tidspunktet).</w:t>
      </w:r>
    </w:p>
    <w:p>
      <w:pPr>
        <w:pStyle w:val="BodyText"/>
      </w:pPr>
      <w:r>
        <w:rPr>
          <w:b/>
          <w:bCs/>
        </w:rPr>
        <w:t xml:space="preserve">Refit av produksjons</w:t>
      </w:r>
      <w:r>
        <w:rPr>
          <w:b/>
          <w:bCs/>
        </w:rPr>
        <w:softHyphen/>
      </w:r>
      <w:r>
        <w:rPr>
          <w:b/>
          <w:bCs/>
        </w:rPr>
        <w:t xml:space="preserve">modellen.</w:t>
      </w:r>
      <w:r>
        <w:t xml:space="preserve"> </w:t>
      </w:r>
      <w:r>
        <w:t xml:space="preserve">Etter at modellseleksjonen er fullført, refittes den endelige produksjons</w:t>
      </w:r>
      <w:r>
        <w:softHyphen/>
      </w:r>
      <w:r>
        <w:t xml:space="preserve">modellen i</w:t>
      </w:r>
      <w:r>
        <w:t xml:space="preserve"> </w:t>
      </w:r>
      <w:r>
        <w:rPr>
          <w:rStyle w:val="VerbatimChar"/>
        </w:rPr>
        <w:t xml:space="preserve">model_meta_final.joblib</w:t>
      </w:r>
      <w:r>
        <w:t xml:space="preserve"> </w:t>
      </w:r>
      <w:r>
        <w:t xml:space="preserve">på</w:t>
      </w:r>
      <w:r>
        <w:t xml:space="preserve"> </w:t>
      </w:r>
      <w:r>
        <w:rPr>
          <w:i/>
          <w:iCs/>
        </w:rPr>
        <w:t xml:space="preserve">hele</w:t>
      </w:r>
      <w:r>
        <w:t xml:space="preserve"> </w:t>
      </w:r>
      <w:r>
        <w:t xml:space="preserve">perioden 2020–2025 — altså treningssett, valideringssett og testsett samlet (1 626 rader, 21 færre enn split-summen 1 647 fordi rader med manglende avledede aggregat</w:t>
      </w:r>
      <w:r>
        <w:softHyphen/>
      </w:r>
      <w:r>
        <w:t xml:space="preserve">features faller bort i feature engineering-steget). Begrunnelsen for å trekke testsettet inn i treningen er at modellen deployes i produksjon</w:t>
      </w:r>
      <w:r>
        <w:t xml:space="preserve"> </w:t>
      </w:r>
      <w:r>
        <w:rPr>
          <w:i/>
          <w:iCs/>
        </w:rPr>
        <w:t xml:space="preserve">etter</w:t>
      </w:r>
      <w:r>
        <w:t xml:space="preserve"> </w:t>
      </w:r>
      <w:r>
        <w:t xml:space="preserve">at seleksjonen er konkludert, og at maksimering av treningsdata på det tidspunktet gir lavest forventet generaliserings</w:t>
      </w:r>
      <w:r>
        <w:softHyphen/>
      </w:r>
      <w:r>
        <w:t xml:space="preserve">feil ved deploy. Dette er en standard praksis (jf. Hastie, Tibshirani &amp; Friedman, 2009), men har en konkret konsekvens:</w:t>
      </w:r>
      <w:r>
        <w:t xml:space="preserve"> </w:t>
      </w:r>
      <w:r>
        <w:rPr>
          <w:b/>
          <w:bCs/>
        </w:rPr>
        <w:t xml:space="preserve">rapporterte testsett-tall i § 8.1.1 gjelder den prefit’ede modellen (ensemble trent på ≤ 2024), ikke den refit’ede produksjons</w:t>
      </w:r>
      <w:r>
        <w:rPr>
          <w:b/>
          <w:bCs/>
        </w:rPr>
        <w:softHyphen/>
      </w:r>
      <w:r>
        <w:rPr>
          <w:b/>
          <w:bCs/>
        </w:rPr>
        <w:t xml:space="preserve">modellen.</w:t>
      </w:r>
      <w:r>
        <w:t xml:space="preserve"> </w:t>
      </w:r>
      <w:r>
        <w:t xml:space="preserve">Produksjons</w:t>
      </w:r>
      <w:r>
        <w:softHyphen/>
      </w:r>
      <w:r>
        <w:t xml:space="preserve">modellen har dermed ingen uavhengig holdout-måling før neste tids</w:t>
      </w:r>
      <w:r>
        <w:softHyphen/>
      </w:r>
      <w:r>
        <w:t xml:space="preserve">vindu (2026+) gir tilstrekkelig data. Dette diskuteres som begrensning i § 10.</w:t>
      </w:r>
    </w:p>
    <w:bookmarkEnd w:id="33"/>
    <w:bookmarkStart w:id="34" w:name="feature-engineering"/>
    <w:p>
      <w:pPr>
        <w:pStyle w:val="Heading3"/>
      </w:pPr>
      <w:r>
        <w:rPr>
          <w:rStyle w:val="SectionNumber"/>
        </w:rPr>
        <w:t xml:space="preserve">6.6</w:t>
      </w:r>
      <w:r>
        <w:tab/>
      </w:r>
      <w:r>
        <w:t xml:space="preserve">5.5 Feature engineering</w:t>
      </w:r>
    </w:p>
    <w:p>
      <w:pPr>
        <w:pStyle w:val="FirstParagraph"/>
      </w:pPr>
      <w:r>
        <w:t xml:space="preserve">Totalt</w:t>
      </w:r>
      <w:r>
        <w:t xml:space="preserve"> </w:t>
      </w:r>
      <w:r>
        <w:rPr>
          <w:b/>
          <w:bCs/>
        </w:rPr>
        <w:t xml:space="preserve">26 prediktor</w:t>
      </w:r>
      <w:r>
        <w:rPr>
          <w:b/>
          <w:bCs/>
        </w:rPr>
        <w:softHyphen/>
      </w:r>
      <w:r>
        <w:rPr>
          <w:b/>
          <w:bCs/>
        </w:rPr>
        <w:t xml:space="preserve">variabler</w:t>
      </w:r>
      <w:r>
        <w:t xml:space="preserve"> </w:t>
      </w:r>
      <w:r>
        <w:t xml:space="preserve">er konstruert (jf.</w:t>
      </w:r>
      <w:r>
        <w:t xml:space="preserve"> </w:t>
      </w:r>
      <w:r>
        <w:rPr>
          <w:rStyle w:val="VerbatimChar"/>
        </w:rPr>
        <w:t xml:space="preserve">build_features</w:t>
      </w:r>
      <w:r>
        <w:t xml:space="preserve"> </w:t>
      </w:r>
      <w:r>
        <w:t xml:space="preserve">i</w:t>
      </w:r>
      <w:r>
        <w:t xml:space="preserve"> </w:t>
      </w:r>
      <w:r>
        <w:rPr>
          <w:rStyle w:val="VerbatimChar"/>
        </w:rPr>
        <w:t xml:space="preserve">predict_voyage.py</w:t>
      </w:r>
      <w:r>
        <w:t xml:space="preserve">):</w:t>
      </w:r>
    </w:p>
    <w:p>
      <w:pPr>
        <w:pStyle w:val="Compact"/>
        <w:numPr>
          <w:ilvl w:val="0"/>
          <w:numId w:val="1011"/>
        </w:numPr>
      </w:pPr>
      <w:r>
        <w:rPr>
          <w:b/>
          <w:bCs/>
        </w:rPr>
        <w:t xml:space="preserve">Yacht</w:t>
      </w:r>
      <w:r>
        <w:rPr>
          <w:b/>
          <w:bCs/>
        </w:rPr>
        <w:softHyphen/>
      </w:r>
      <w:r>
        <w:rPr>
          <w:b/>
          <w:bCs/>
        </w:rPr>
        <w:t xml:space="preserve">spesifikasjoner:</w:t>
      </w:r>
      <w:r>
        <w:t xml:space="preserve"> </w:t>
      </w:r>
      <w:r>
        <w:rPr>
          <w:rStyle w:val="VerbatimChar"/>
        </w:rPr>
        <w:t xml:space="preserve">gt</w:t>
      </w:r>
      <w:r>
        <w:t xml:space="preserve">,</w:t>
      </w:r>
      <w:r>
        <w:t xml:space="preserve"> </w:t>
      </w:r>
      <w:r>
        <w:rPr>
          <w:rStyle w:val="VerbatimChar"/>
        </w:rPr>
        <w:t xml:space="preserve">loa_m</w:t>
      </w:r>
      <w:r>
        <w:t xml:space="preserve">,</w:t>
      </w:r>
      <w:r>
        <w:t xml:space="preserve"> </w:t>
      </w:r>
      <w:r>
        <w:rPr>
          <w:rStyle w:val="VerbatimChar"/>
        </w:rPr>
        <w:t xml:space="preserve">beam_m</w:t>
      </w:r>
      <w:r>
        <w:t xml:space="preserve">,</w:t>
      </w:r>
      <w:r>
        <w:t xml:space="preserve"> </w:t>
      </w:r>
      <w:r>
        <w:rPr>
          <w:rStyle w:val="VerbatimChar"/>
        </w:rPr>
        <w:t xml:space="preserve">draft_m</w:t>
      </w:r>
      <w:r>
        <w:t xml:space="preserve">.</w:t>
      </w:r>
    </w:p>
    <w:p>
      <w:pPr>
        <w:pStyle w:val="Compact"/>
        <w:numPr>
          <w:ilvl w:val="0"/>
          <w:numId w:val="1011"/>
        </w:numPr>
      </w:pPr>
      <w:r>
        <w:rPr>
          <w:b/>
          <w:bCs/>
        </w:rPr>
        <w:t xml:space="preserve">Avledede yacht</w:t>
      </w:r>
      <w:r>
        <w:rPr>
          <w:b/>
          <w:bCs/>
        </w:rPr>
        <w:softHyphen/>
      </w:r>
      <w:r>
        <w:rPr>
          <w:b/>
          <w:bCs/>
        </w:rPr>
        <w:t xml:space="preserve">felt:</w:t>
      </w:r>
      <w:r>
        <w:t xml:space="preserve"> </w:t>
      </w:r>
      <w:r>
        <w:rPr>
          <w:rStyle w:val="VerbatimChar"/>
        </w:rPr>
        <w:t xml:space="preserve">size_category</w:t>
      </w:r>
      <w:r>
        <w:t xml:space="preserve">,</w:t>
      </w:r>
      <w:r>
        <w:t xml:space="preserve"> </w:t>
      </w:r>
      <w:r>
        <w:rPr>
          <w:rStyle w:val="VerbatimChar"/>
        </w:rPr>
        <w:t xml:space="preserve">loskrav</w:t>
      </w:r>
      <w:r>
        <w:t xml:space="preserve">.</w:t>
      </w:r>
    </w:p>
    <w:p>
      <w:pPr>
        <w:pStyle w:val="Compact"/>
        <w:numPr>
          <w:ilvl w:val="0"/>
          <w:numId w:val="1011"/>
        </w:numPr>
      </w:pPr>
      <w:r>
        <w:rPr>
          <w:b/>
          <w:bCs/>
        </w:rPr>
        <w:t xml:space="preserve">Reise</w:t>
      </w:r>
      <w:r>
        <w:rPr>
          <w:b/>
          <w:bCs/>
        </w:rPr>
        <w:softHyphen/>
      </w:r>
      <w:r>
        <w:rPr>
          <w:b/>
          <w:bCs/>
        </w:rPr>
        <w:t xml:space="preserve">parametere:</w:t>
      </w:r>
      <w:r>
        <w:t xml:space="preserve"> </w:t>
      </w:r>
      <w:r>
        <w:rPr>
          <w:rStyle w:val="VerbatimChar"/>
        </w:rPr>
        <w:t xml:space="preserve">arrival_port</w:t>
      </w:r>
      <w:r>
        <w:t xml:space="preserve">,</w:t>
      </w:r>
      <w:r>
        <w:t xml:space="preserve"> </w:t>
      </w:r>
      <w:r>
        <w:rPr>
          <w:rStyle w:val="VerbatimChar"/>
        </w:rPr>
        <w:t xml:space="preserve">office</w:t>
      </w:r>
      <w:r>
        <w:t xml:space="preserve">,</w:t>
      </w:r>
      <w:r>
        <w:t xml:space="preserve"> </w:t>
      </w:r>
      <w:r>
        <w:rPr>
          <w:rStyle w:val="VerbatimChar"/>
        </w:rPr>
        <w:t xml:space="preserve">month</w:t>
      </w:r>
      <w:r>
        <w:t xml:space="preserve">,</w:t>
      </w:r>
      <w:r>
        <w:t xml:space="preserve"> </w:t>
      </w:r>
      <w:r>
        <w:rPr>
          <w:rStyle w:val="VerbatimChar"/>
        </w:rPr>
        <w:t xml:space="preserve">stay_days</w:t>
      </w:r>
      <w:r>
        <w:t xml:space="preserve">.</w:t>
      </w:r>
    </w:p>
    <w:p>
      <w:pPr>
        <w:pStyle w:val="Compact"/>
        <w:numPr>
          <w:ilvl w:val="0"/>
          <w:numId w:val="1011"/>
        </w:numPr>
      </w:pPr>
      <w:r>
        <w:rPr>
          <w:b/>
          <w:bCs/>
        </w:rPr>
        <w:t xml:space="preserve">Tjeneste</w:t>
      </w:r>
      <w:r>
        <w:rPr>
          <w:b/>
          <w:bCs/>
        </w:rPr>
        <w:softHyphen/>
      </w:r>
      <w:r>
        <w:rPr>
          <w:b/>
          <w:bCs/>
        </w:rPr>
        <w:t xml:space="preserve">kontekst:</w:t>
      </w:r>
      <w:r>
        <w:t xml:space="preserve"> </w:t>
      </w:r>
      <w:r>
        <w:rPr>
          <w:rStyle w:val="VerbatimChar"/>
        </w:rPr>
        <w:t xml:space="preserve">service_type</w:t>
      </w:r>
      <w:r>
        <w:t xml:space="preserve">,</w:t>
      </w:r>
      <w:r>
        <w:t xml:space="preserve"> </w:t>
      </w:r>
      <w:r>
        <w:rPr>
          <w:rStyle w:val="VerbatimChar"/>
        </w:rPr>
        <w:t xml:space="preserve">service_category</w:t>
      </w:r>
      <w:r>
        <w:t xml:space="preserve">.</w:t>
      </w:r>
    </w:p>
    <w:p>
      <w:pPr>
        <w:pStyle w:val="Compact"/>
        <w:numPr>
          <w:ilvl w:val="0"/>
          <w:numId w:val="1011"/>
        </w:numPr>
      </w:pPr>
      <w:r>
        <w:rPr>
          <w:b/>
          <w:bCs/>
        </w:rPr>
        <w:t xml:space="preserve">Tids</w:t>
      </w:r>
      <w:r>
        <w:rPr>
          <w:b/>
          <w:bCs/>
        </w:rPr>
        <w:softHyphen/>
      </w:r>
      <w:r>
        <w:rPr>
          <w:b/>
          <w:bCs/>
        </w:rPr>
        <w:t xml:space="preserve">features:</w:t>
      </w:r>
      <w:r>
        <w:t xml:space="preserve"> </w:t>
      </w:r>
      <w:r>
        <w:rPr>
          <w:rStyle w:val="VerbatimChar"/>
        </w:rPr>
        <w:t xml:space="preserve">quarter</w:t>
      </w:r>
      <w:r>
        <w:t xml:space="preserve">,</w:t>
      </w:r>
      <w:r>
        <w:t xml:space="preserve"> </w:t>
      </w:r>
      <w:r>
        <w:rPr>
          <w:rStyle w:val="VerbatimChar"/>
        </w:rPr>
        <w:t xml:space="preserve">is_summer</w:t>
      </w:r>
      <w:r>
        <w:t xml:space="preserve">,</w:t>
      </w:r>
      <w:r>
        <w:t xml:space="preserve"> </w:t>
      </w:r>
      <w:r>
        <w:rPr>
          <w:rStyle w:val="VerbatimChar"/>
        </w:rPr>
        <w:t xml:space="preserve">is_shoulder</w:t>
      </w:r>
      <w:r>
        <w:t xml:space="preserve">,</w:t>
      </w:r>
      <w:r>
        <w:t xml:space="preserve"> </w:t>
      </w:r>
      <w:r>
        <w:rPr>
          <w:rStyle w:val="VerbatimChar"/>
        </w:rPr>
        <w:t xml:space="preserve">day_of_week</w:t>
      </w:r>
      <w:r>
        <w:t xml:space="preserve">,</w:t>
      </w:r>
      <w:r>
        <w:t xml:space="preserve"> </w:t>
      </w:r>
      <w:r>
        <w:rPr>
          <w:rStyle w:val="VerbatimChar"/>
        </w:rPr>
        <w:t xml:space="preserve">week_of_year</w:t>
      </w:r>
      <w:r>
        <w:t xml:space="preserve">.</w:t>
      </w:r>
    </w:p>
    <w:p>
      <w:pPr>
        <w:pStyle w:val="Compact"/>
        <w:numPr>
          <w:ilvl w:val="0"/>
          <w:numId w:val="1011"/>
        </w:numPr>
      </w:pPr>
      <w:r>
        <w:rPr>
          <w:b/>
          <w:bCs/>
        </w:rPr>
        <w:t xml:space="preserve">Interaksjoner:</w:t>
      </w:r>
      <w:r>
        <w:t xml:space="preserve"> </w:t>
      </w:r>
      <w:r>
        <w:rPr>
          <w:rStyle w:val="VerbatimChar"/>
        </w:rPr>
        <w:t xml:space="preserve">gt × stay_days</w:t>
      </w:r>
      <w:r>
        <w:t xml:space="preserve">,</w:t>
      </w:r>
      <w:r>
        <w:t xml:space="preserve"> </w:t>
      </w:r>
      <w:r>
        <w:rPr>
          <w:rStyle w:val="VerbatimChar"/>
        </w:rPr>
        <w:t xml:space="preserve">loa_m × stay_days</w:t>
      </w:r>
      <w:r>
        <w:t xml:space="preserve">,</w:t>
      </w:r>
      <w:r>
        <w:t xml:space="preserve"> </w:t>
      </w:r>
      <w:r>
        <w:rPr>
          <w:rStyle w:val="VerbatimChar"/>
        </w:rPr>
        <w:t xml:space="preserve">fuel_lph × stay_days</w:t>
      </w:r>
      <w:r>
        <w:t xml:space="preserve">.</w:t>
      </w:r>
    </w:p>
    <w:p>
      <w:pPr>
        <w:pStyle w:val="Compact"/>
        <w:numPr>
          <w:ilvl w:val="0"/>
          <w:numId w:val="1011"/>
        </w:numPr>
      </w:pPr>
      <w:r>
        <w:rPr>
          <w:b/>
          <w:bCs/>
        </w:rPr>
        <w:t xml:space="preserve">Aggregat</w:t>
      </w:r>
      <w:r>
        <w:rPr>
          <w:b/>
          <w:bCs/>
        </w:rPr>
        <w:softHyphen/>
      </w:r>
      <w:r>
        <w:rPr>
          <w:b/>
          <w:bCs/>
        </w:rPr>
        <w:t xml:space="preserve">statistikk:</w:t>
      </w:r>
      <w:r>
        <w:t xml:space="preserve"> </w:t>
      </w:r>
      <w:r>
        <w:rPr>
          <w:rStyle w:val="VerbatimChar"/>
        </w:rPr>
        <w:t xml:space="preserve">size_svc_mean_charge</w:t>
      </w:r>
      <w:r>
        <w:t xml:space="preserve">,</w:t>
      </w:r>
      <w:r>
        <w:t xml:space="preserve"> </w:t>
      </w:r>
      <w:r>
        <w:rPr>
          <w:rStyle w:val="VerbatimChar"/>
        </w:rPr>
        <w:t xml:space="preserve">size_svc_median_charge</w:t>
      </w:r>
      <w:r>
        <w:t xml:space="preserve">,</w:t>
      </w:r>
      <w:r>
        <w:t xml:space="preserve"> </w:t>
      </w:r>
      <w:r>
        <w:rPr>
          <w:rStyle w:val="VerbatimChar"/>
        </w:rPr>
        <w:t xml:space="preserve">size_svc_count</w:t>
      </w:r>
      <w:r>
        <w:t xml:space="preserve">,</w:t>
      </w:r>
      <w:r>
        <w:t xml:space="preserve"> </w:t>
      </w:r>
      <w:r>
        <w:rPr>
          <w:rStyle w:val="VerbatimChar"/>
        </w:rPr>
        <w:t xml:space="preserve">port_mean_charge</w:t>
      </w:r>
      <w:r>
        <w:t xml:space="preserve">,</w:t>
      </w:r>
      <w:r>
        <w:t xml:space="preserve"> </w:t>
      </w:r>
      <w:r>
        <w:rPr>
          <w:rStyle w:val="VerbatimChar"/>
        </w:rPr>
        <w:t xml:space="preserve">port_median_charge</w:t>
      </w:r>
      <w:r>
        <w:t xml:space="preserve"> </w:t>
      </w:r>
      <w:r>
        <w:t xml:space="preserve">— alle i EUR, og beregnet</w:t>
      </w:r>
      <w:r>
        <w:t xml:space="preserve"> </w:t>
      </w:r>
      <w:r>
        <w:rPr>
          <w:b/>
          <w:bCs/>
        </w:rPr>
        <w:t xml:space="preserve">kun på trenings</w:t>
      </w:r>
      <w:r>
        <w:rPr>
          <w:b/>
          <w:bCs/>
        </w:rPr>
        <w:softHyphen/>
      </w:r>
      <w:r>
        <w:rPr>
          <w:b/>
          <w:bCs/>
        </w:rPr>
        <w:t xml:space="preserve">settet</w:t>
      </w:r>
      <w:r>
        <w:t xml:space="preserve"> </w:t>
      </w:r>
      <w:r>
        <w:t xml:space="preserve">for å unngå target leakage. Merk at</w:t>
      </w:r>
      <w:r>
        <w:t xml:space="preserve"> </w:t>
      </w:r>
      <w:r>
        <w:rPr>
          <w:rStyle w:val="VerbatimChar"/>
        </w:rPr>
        <w:t xml:space="preserve">size_*</w:t>
      </w:r>
      <w:r>
        <w:t xml:space="preserve">-aggregatene er poolet på tvers av Norge, Sverige og Danmark — en avgrensning vi kommer tilbake til i § 9.5.</w:t>
      </w:r>
    </w:p>
    <w:p>
      <w:pPr>
        <w:pStyle w:val="Compact"/>
        <w:numPr>
          <w:ilvl w:val="0"/>
          <w:numId w:val="1011"/>
        </w:numPr>
      </w:pPr>
      <w:r>
        <w:rPr>
          <w:b/>
          <w:bCs/>
        </w:rPr>
        <w:t xml:space="preserve">Tekstmål:</w:t>
      </w:r>
      <w:r>
        <w:t xml:space="preserve"> </w:t>
      </w:r>
      <w:r>
        <w:t xml:space="preserve">lengde av faktura</w:t>
      </w:r>
      <w:r>
        <w:softHyphen/>
      </w:r>
      <w:r>
        <w:t xml:space="preserve">kommentar (</w:t>
      </w:r>
      <w:r>
        <w:rPr>
          <w:rStyle w:val="VerbatimChar"/>
        </w:rPr>
        <w:t xml:space="preserve">cmt_len</w:t>
      </w:r>
      <w:r>
        <w:t xml:space="preserve">).</w:t>
      </w:r>
    </w:p>
    <w:bookmarkEnd w:id="34"/>
    <w:bookmarkStart w:id="35" w:name="verktøy-og-reproduserbarhet"/>
    <w:p>
      <w:pPr>
        <w:pStyle w:val="Heading3"/>
      </w:pPr>
      <w:r>
        <w:rPr>
          <w:rStyle w:val="SectionNumber"/>
        </w:rPr>
        <w:t xml:space="preserve">6.7</w:t>
      </w:r>
      <w:r>
        <w:tab/>
      </w:r>
      <w:r>
        <w:t xml:space="preserve">5.6 Verktøy og reproduserbarhet</w:t>
      </w:r>
    </w:p>
    <w:p>
      <w:pPr>
        <w:pStyle w:val="FirstParagraph"/>
      </w:pPr>
      <w:r>
        <w:t xml:space="preserve">Pipeline er implementert i Python 3.11 med pandas, scikit-learn, LightGBM 4.x, CatBoost 1.2, og Optuna for hyper</w:t>
      </w:r>
      <w:r>
        <w:softHyphen/>
      </w:r>
      <w:r>
        <w:t xml:space="preserve">parameter</w:t>
      </w:r>
      <w:r>
        <w:softHyphen/>
      </w:r>
      <w:r>
        <w:t xml:space="preserve">søk. Alle modell</w:t>
      </w:r>
      <w:r>
        <w:softHyphen/>
      </w:r>
      <w:r>
        <w:t xml:space="preserve">artefakter er lagret i</w:t>
      </w:r>
      <w:r>
        <w:t xml:space="preserve"> </w:t>
      </w:r>
      <w:r>
        <w:rPr>
          <w:rStyle w:val="VerbatimChar"/>
        </w:rPr>
        <w:t xml:space="preserve">013 fase 3 - review/artifacts/</w:t>
      </w:r>
      <w:r>
        <w:t xml:space="preserve">. Backend</w:t>
      </w:r>
      <w:r>
        <w:softHyphen/>
      </w:r>
      <w:r>
        <w:t xml:space="preserve">tjenesten er bygget med FastAPI og frontend med Next.js 14. Hele arbeidsflyten — inkludert AI-bistand i Claude Code — er versjons</w:t>
      </w:r>
      <w:r>
        <w:softHyphen/>
      </w:r>
      <w:r>
        <w:t xml:space="preserve">kontrollert på GitHub i samsvar med god vitenskapelig praksis.</w:t>
      </w:r>
    </w:p>
    <w:bookmarkEnd w:id="35"/>
    <w:bookmarkStart w:id="36" w:name="antakelsessjekk-kompendiet-steg-2"/>
    <w:p>
      <w:pPr>
        <w:pStyle w:val="Heading3"/>
      </w:pPr>
      <w:r>
        <w:rPr>
          <w:rStyle w:val="SectionNumber"/>
        </w:rPr>
        <w:t xml:space="preserve">6.8</w:t>
      </w:r>
      <w:r>
        <w:tab/>
      </w:r>
      <w:r>
        <w:t xml:space="preserve">5.7 Antakelses</w:t>
      </w:r>
      <w:r>
        <w:softHyphen/>
      </w:r>
      <w:r>
        <w:t xml:space="preserve">sjekk (kompendiet steg 2)</w:t>
      </w:r>
    </w:p>
    <w:p>
      <w:pPr>
        <w:pStyle w:val="FirstParagraph"/>
      </w:pPr>
      <w:r>
        <w:t xml:space="preserve">Selv om tre</w:t>
      </w:r>
      <w:r>
        <w:softHyphen/>
      </w:r>
      <w:r>
        <w:t xml:space="preserve">ensembler er robuste mot mange klassiske brudd på regresjons</w:t>
      </w:r>
      <w:r>
        <w:softHyphen/>
      </w:r>
      <w:r>
        <w:t xml:space="preserve">antakelser (linearitet, normalitet, homoskedastisitet), foreskriver pensum</w:t>
      </w:r>
      <w:r>
        <w:softHyphen/>
      </w:r>
      <w:r>
        <w:t xml:space="preserve">kompendiet (§ i.4.2) at antakelsene skal verifiseres eksplisitt før modellen brukes. Vi rapporterer tre sjekker, alle utført på trenings</w:t>
      </w:r>
      <w:r>
        <w:softHyphen/>
      </w:r>
      <w:r>
        <w:t xml:space="preserve">settet (≤ 2023):</w:t>
      </w:r>
    </w:p>
    <w:p>
      <w:pPr>
        <w:numPr>
          <w:ilvl w:val="0"/>
          <w:numId w:val="1012"/>
        </w:numPr>
      </w:pPr>
      <w:r>
        <w:rPr>
          <w:b/>
          <w:bCs/>
        </w:rPr>
        <w:t xml:space="preserve">Skjevhet i mål</w:t>
      </w:r>
      <w:r>
        <w:rPr>
          <w:b/>
          <w:bCs/>
        </w:rPr>
        <w:softHyphen/>
      </w:r>
      <w:r>
        <w:rPr>
          <w:b/>
          <w:bCs/>
        </w:rPr>
        <w:t xml:space="preserve">variabelen.</w:t>
      </w:r>
      <w:r>
        <w:t xml:space="preserve"> </w:t>
      </w:r>
      <w:r>
        <w:t xml:space="preserve">Som rapportert i § 7.1 er</w:t>
      </w:r>
      <w:r>
        <w:t xml:space="preserve"> </w:t>
      </w:r>
      <w:r>
        <w:rPr>
          <w:rStyle w:val="VerbatimChar"/>
        </w:rPr>
        <w:t xml:space="preserve">final_charge</w:t>
      </w:r>
      <w:r>
        <w:t xml:space="preserve"> </w:t>
      </w:r>
      <w:r>
        <w:t xml:space="preserve">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softHyphen/>
      </w:r>
      <w:r>
        <w:t xml:space="preserve">plottet i § 7.4).</w:t>
      </w:r>
    </w:p>
    <w:p>
      <w:pPr>
        <w:numPr>
          <w:ilvl w:val="0"/>
          <w:numId w:val="1012"/>
        </w:numPr>
      </w:pPr>
      <w:r>
        <w:rPr>
          <w:b/>
          <w:bCs/>
        </w:rPr>
        <w:t xml:space="preserve">Heteroskedastisitet.</w:t>
      </w:r>
      <w:r>
        <w:t xml:space="preserve"> </w:t>
      </w:r>
      <w:r>
        <w:t xml:space="preserve">Bruschagan-test (uformelt: residualer vs. predikert verdi i log-rom) viser at residual</w:t>
      </w:r>
      <w:r>
        <w:softHyphen/>
      </w:r>
      <w:r>
        <w:t xml:space="preserve">variansen ikke er konstant over hele predikert-spennet — store predikerte verdier (Provisioning og Port Marina for Stor-yachter) har større absolutte residualer enn små predikerte verdier. Dette er en av grunnene til at kvantil</w:t>
      </w:r>
      <w:r>
        <w:softHyphen/>
      </w:r>
      <w:r>
        <w:t xml:space="preserve">regresjon og CQR-kalibrering (§ 6.4) er valgt: konstante prediksjons</w:t>
      </w:r>
      <w:r>
        <w:softHyphen/>
      </w:r>
      <w:r>
        <w:t xml:space="preserve">bånd ville vært feil, og kvantil</w:t>
      </w:r>
      <w:r>
        <w:softHyphen/>
      </w:r>
      <w:r>
        <w:t xml:space="preserve">modellene tilpasser seg heteroskedastisiteten.</w:t>
      </w:r>
    </w:p>
    <w:p>
      <w:pPr>
        <w:numPr>
          <w:ilvl w:val="0"/>
          <w:numId w:val="1012"/>
        </w:numPr>
      </w:pPr>
      <w:r>
        <w:rPr>
          <w:b/>
          <w:bCs/>
        </w:rPr>
        <w:t xml:space="preserve">Multikollinearitet.</w:t>
      </w:r>
      <w:r>
        <w:t xml:space="preserve"> </w:t>
      </w:r>
      <w:r>
        <w:t xml:space="preserve">Variance Inflation Factor (VIF) for de numeriske featurene viser at</w:t>
      </w:r>
      <w:r>
        <w:t xml:space="preserve"> </w:t>
      </w:r>
      <w:r>
        <w:rPr>
          <w:rStyle w:val="VerbatimChar"/>
        </w:rPr>
        <w:t xml:space="preserve">gt</w:t>
      </w:r>
      <w:r>
        <w:t xml:space="preserve">,</w:t>
      </w:r>
      <w:r>
        <w:t xml:space="preserve"> </w:t>
      </w:r>
      <w:r>
        <w:rPr>
          <w:rStyle w:val="VerbatimChar"/>
        </w:rPr>
        <w:t xml:space="preserve">loa_m</w:t>
      </w:r>
      <w:r>
        <w:t xml:space="preserve"> </w:t>
      </w:r>
      <w:r>
        <w:t xml:space="preserve">og</w:t>
      </w:r>
      <w:r>
        <w:t xml:space="preserve"> </w:t>
      </w:r>
      <w:r>
        <w:rPr>
          <w:rStyle w:val="VerbatimChar"/>
        </w:rPr>
        <w:t xml:space="preserve">fuel_lph</w:t>
      </w:r>
      <w:r>
        <w:t xml:space="preserve"> </w:t>
      </w:r>
      <w:r>
        <w:t xml:space="preserve">er sterkt korrelerte (alle VIF &gt; 10, par-Pearson &gt; 0,9). Notebook-cellen som dropper</w:t>
      </w:r>
      <w:r>
        <w:t xml:space="preserve"> </w:t>
      </w:r>
      <w:r>
        <w:rPr>
          <w:rStyle w:val="VerbatimChar"/>
        </w:rPr>
        <w:t xml:space="preserve">log_gt</w:t>
      </w:r>
      <w:r>
        <w:t xml:space="preserve"> </w:t>
      </w:r>
      <w:r>
        <w:t xml:space="preserve">(r = 0,94 med</w:t>
      </w:r>
      <w:r>
        <w:t xml:space="preserve"> </w:t>
      </w:r>
      <w:r>
        <w:rPr>
          <w:rStyle w:val="VerbatimChar"/>
        </w:rPr>
        <w:t xml:space="preserve">gt</w:t>
      </w:r>
      <w:r>
        <w:t xml:space="preserve">),</w:t>
      </w:r>
      <w:r>
        <w:t xml:space="preserve"> </w:t>
      </w:r>
      <w:r>
        <w:rPr>
          <w:rStyle w:val="VerbatimChar"/>
        </w:rPr>
        <w:t xml:space="preserve">fuel_lph</w:t>
      </w:r>
      <w:r>
        <w:t xml:space="preserve"> </w:t>
      </w:r>
      <w:r>
        <w:t xml:space="preserve">(r = 0,999 med</w:t>
      </w:r>
      <w:r>
        <w:t xml:space="preserve"> </w:t>
      </w:r>
      <w:r>
        <w:rPr>
          <w:rStyle w:val="VerbatimChar"/>
        </w:rPr>
        <w:t xml:space="preserve">gt</w:t>
      </w:r>
      <w:r>
        <w:t xml:space="preserve">) og noen redundante aggregat</w:t>
      </w:r>
      <w:r>
        <w:softHyphen/>
      </w:r>
      <w:r>
        <w:t xml:space="preserve">features eliminerer de mest ekstreme tilfellene. Resterende moderate multikollinearitet (VIF ≈ 3–5 for</w:t>
      </w:r>
      <w:r>
        <w:t xml:space="preserve"> </w:t>
      </w:r>
      <w:r>
        <w:rPr>
          <w:rStyle w:val="VerbatimChar"/>
        </w:rPr>
        <w:t xml:space="preserve">loa_m × stay_days</w:t>
      </w:r>
      <w:r>
        <w:t xml:space="preserve"> </w:t>
      </w:r>
      <w:r>
        <w:t xml:space="preserve">og lignende interaksjons</w:t>
      </w:r>
      <w:r>
        <w:softHyphen/>
      </w:r>
      <w:r>
        <w:t xml:space="preserve">features) er akseptert fordi tre</w:t>
      </w:r>
      <w:r>
        <w:softHyphen/>
      </w:r>
      <w:r>
        <w:t xml:space="preserve">ensembler ikke er sensitive for kollineære features på samme måte som lineær regresjon — en feature med VIF = 5 i et tre vil bare bli valgt sjeldnere ved split, ikke gi numerisk ustabilitet.</w:t>
      </w:r>
    </w:p>
    <w:p>
      <w:pPr>
        <w:pStyle w:val="FirstParagraph"/>
      </w:pPr>
      <w:r>
        <w:t xml:space="preserve">Konklusjonen er at antakelses</w:t>
      </w:r>
      <w:r>
        <w:softHyphen/>
      </w:r>
      <w:r>
        <w:t xml:space="preserve">bruddet som ville vært mest skadelig — sterk skjevhet i mål</w:t>
      </w:r>
      <w:r>
        <w:softHyphen/>
      </w:r>
      <w:r>
        <w:t xml:space="preserve">variabelen — er adressert via log-transformasjon, og at heteroskedastisitet er håndtert via kvantil</w:t>
      </w:r>
      <w:r>
        <w:softHyphen/>
      </w:r>
      <w:r>
        <w:t xml:space="preserve">modellering snarere enn ignorert. Antakelsene er dermed</w:t>
      </w:r>
      <w:r>
        <w:t xml:space="preserve"> </w:t>
      </w:r>
      <w:r>
        <w:t xml:space="preserve">“tilstrekkelig oppfylt”</w:t>
      </w:r>
      <w:r>
        <w:t xml:space="preserve"> </w:t>
      </w:r>
      <w:r>
        <w:t xml:space="preserve">i kompendiets forstand (§ i.4.2), og resultatene i § 8 skal leses i lys av denne sjekken.</w:t>
      </w:r>
    </w:p>
    <w:p>
      <w:r>
        <w:pict>
          <v:rect style="width:0;height:1.5pt" o:hralign="center" o:hrstd="t" o:hr="t"/>
        </w:pict>
      </w:r>
    </w:p>
    <w:bookmarkEnd w:id="36"/>
    <w:bookmarkEnd w:id="37"/>
    <w:bookmarkStart w:id="43" w:name="modell"/>
    <w:p>
      <w:pPr>
        <w:pStyle w:val="Heading2"/>
      </w:pPr>
      <w:r>
        <w:rPr>
          <w:rStyle w:val="SectionNumber"/>
        </w:rPr>
        <w:t xml:space="preserve">7</w:t>
      </w:r>
      <w:r>
        <w:tab/>
      </w:r>
      <w:r>
        <w:t xml:space="preserve">6. Modell</w:t>
      </w:r>
    </w:p>
    <w:bookmarkStart w:id="38" w:name="målvariabel-og-tap"/>
    <w:p>
      <w:pPr>
        <w:pStyle w:val="Heading3"/>
      </w:pPr>
      <w:r>
        <w:rPr>
          <w:rStyle w:val="SectionNumber"/>
        </w:rPr>
        <w:t xml:space="preserve">7.1</w:t>
      </w:r>
      <w:r>
        <w:tab/>
      </w:r>
      <w:r>
        <w:t xml:space="preserve">6.1 Mål</w:t>
      </w:r>
      <w:r>
        <w:softHyphen/>
      </w:r>
      <w:r>
        <w:t xml:space="preserve">variabel og tap</w:t>
      </w:r>
    </w:p>
    <w:p>
      <w:pPr>
        <w:pStyle w:val="FirstParagraph"/>
      </w:pPr>
      <w:r>
        <w:t xml:space="preserve">Mål</w:t>
      </w:r>
      <w:r>
        <w:softHyphen/>
      </w:r>
      <w:r>
        <w:t xml:space="preserve">variabelen er kostnaden per transaksjon,</w:t>
      </w:r>
      <w:r>
        <w:t xml:space="preserve"> </w:t>
      </w:r>
      <w:r>
        <w:rPr>
          <w:rStyle w:val="VerbatimChar"/>
        </w:rPr>
        <w:t xml:space="preserve">final_charge</w:t>
      </w:r>
      <w:r>
        <w:t xml:space="preserve">, log-transformert:</w:t>
      </w:r>
    </w:p>
    <w:p>
      <w:pPr>
        <w:pStyle w:val="BodyText"/>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pPr>
      <w:r>
        <w:t xml:space="preserve">Modellene optimerer L2-tap i log-rommet; predikerte verdier inverteres med</w:t>
      </w:r>
      <w:r>
        <w:t xml:space="preserve"> </w:t>
      </w:r>
      <w:r>
        <w:rPr>
          <w:rStyle w:val="VerbatimChar"/>
        </w:rPr>
        <w:t xml:space="preserve">expm1</w:t>
      </w:r>
      <w:r>
        <w:t xml:space="preserve"> </w:t>
      </w:r>
      <w:r>
        <w:t xml:space="preserve">ved evaluering.</w:t>
      </w:r>
    </w:p>
    <w:bookmarkEnd w:id="38"/>
    <w:bookmarkStart w:id="39" w:name="baselinemodeller"/>
    <w:p>
      <w:pPr>
        <w:pStyle w:val="Heading3"/>
      </w:pPr>
      <w:r>
        <w:rPr>
          <w:rStyle w:val="SectionNumber"/>
        </w:rPr>
        <w:t xml:space="preserve">7.2</w:t>
      </w:r>
      <w:r>
        <w:tab/>
      </w:r>
      <w:r>
        <w:t xml:space="preserve">6.2 Baseline</w:t>
      </w:r>
      <w:r>
        <w:softHyphen/>
      </w:r>
      <w:r>
        <w:t xml:space="preserve">modeller</w:t>
      </w:r>
    </w:p>
    <w:p>
      <w:pPr>
        <w:pStyle w:val="FirstParagraph"/>
      </w:pPr>
      <w:r>
        <w:t xml:space="preserve">To baselines etableres for å kalibrere forventningene:</w:t>
      </w:r>
    </w:p>
    <w:p>
      <w:pPr>
        <w:pStyle w:val="Compact"/>
        <w:numPr>
          <w:ilvl w:val="0"/>
          <w:numId w:val="1013"/>
        </w:numPr>
      </w:pPr>
      <w:r>
        <w:rPr>
          <w:b/>
          <w:bCs/>
        </w:rPr>
        <w:t xml:space="preserve">Median</w:t>
      </w:r>
      <w:r>
        <w:rPr>
          <w:b/>
          <w:bCs/>
        </w:rPr>
        <w:softHyphen/>
      </w:r>
      <w:r>
        <w:rPr>
          <w:b/>
          <w:bCs/>
        </w:rPr>
        <w:t xml:space="preserve">baseline:</w:t>
      </w:r>
      <w:r>
        <w:t xml:space="preserve"> </w:t>
      </w:r>
      <w:r>
        <w:t xml:space="preserve">prediker median av</w:t>
      </w:r>
      <w:r>
        <w:t xml:space="preserve"> </w:t>
      </w:r>
      <w:r>
        <w:rPr>
          <w:rStyle w:val="VerbatimChar"/>
        </w:rPr>
        <w:t xml:space="preserve">y</w:t>
      </w:r>
      <w:r>
        <w:t xml:space="preserve"> </w:t>
      </w:r>
      <w:r>
        <w:t xml:space="preserve">per</w:t>
      </w:r>
      <w:r>
        <w:t xml:space="preserve"> </w:t>
      </w:r>
      <w:r>
        <w:rPr>
          <w:rStyle w:val="VerbatimChar"/>
        </w:rPr>
        <w:t xml:space="preserve">(size_category, service_category)</w:t>
      </w:r>
      <w:r>
        <w:t xml:space="preserve"> </w:t>
      </w:r>
      <w:r>
        <w:t xml:space="preserve">på treningssettet.</w:t>
      </w:r>
    </w:p>
    <w:p>
      <w:pPr>
        <w:pStyle w:val="Compact"/>
        <w:numPr>
          <w:ilvl w:val="0"/>
          <w:numId w:val="1013"/>
        </w:numPr>
      </w:pPr>
      <w:r>
        <w:rPr>
          <w:b/>
          <w:bCs/>
        </w:rPr>
        <w:t xml:space="preserve">Ridge</w:t>
      </w:r>
      <w:r>
        <w:rPr>
          <w:b/>
          <w:bCs/>
        </w:rPr>
        <w:softHyphen/>
      </w:r>
      <w:r>
        <w:rPr>
          <w:b/>
          <w:bCs/>
        </w:rPr>
        <w:t xml:space="preserve">regresjon:</w:t>
      </w:r>
      <w:r>
        <w:t xml:space="preserve"> </w:t>
      </w:r>
      <w:r>
        <w:t xml:space="preserve">lineær modell med one-hot-kodede kategorier og standardiserte numeriske features.</w:t>
      </w:r>
    </w:p>
    <w:bookmarkEnd w:id="39"/>
    <w:bookmarkStart w:id="40" w:name="hovedmodell-lightgbm-catboost-ensemble"/>
    <w:p>
      <w:pPr>
        <w:pStyle w:val="Heading3"/>
      </w:pPr>
      <w:r>
        <w:rPr>
          <w:rStyle w:val="SectionNumber"/>
        </w:rPr>
        <w:t xml:space="preserve">7.3</w:t>
      </w:r>
      <w:r>
        <w:tab/>
      </w:r>
      <w:r>
        <w:t xml:space="preserve">6.3 Hovedmodell — LightGBM + CatBoost ensemble</w:t>
      </w:r>
    </w:p>
    <w:p>
      <w:pPr>
        <w:pStyle w:val="FirstParagraph"/>
      </w:pPr>
      <w:r>
        <w:t xml:space="preserve">Den endelige modellen er et veid gjennomsnitt i log-rommet av to gradient-boosting-modeller:</w:t>
      </w:r>
    </w:p>
    <w:p>
      <w:pPr>
        <w:pStyle w:val="BodyText"/>
      </w:pPr>
      <m:oMathPara>
        <m:oMathParaPr>
          <m:jc m:val="center"/>
        </m:oMathParaPr>
        <m:oMath>
          <m:sSub>
            <m:e>
              <m:acc>
                <m:accPr>
                  <m:chr m:val="̂"/>
                </m:accPr>
                <m:e>
                  <m:r>
                    <m:t>y</m:t>
                  </m:r>
                </m:e>
              </m:acc>
            </m:e>
            <m:sub>
              <m:r>
                <m:rPr>
                  <m:nor/>
                  <m:sty m:val="p"/>
                </m:rPr>
                <m:t>ens</m:t>
              </m:r>
            </m:sub>
          </m:sSub>
          <m:r>
            <m:rPr>
              <m:sty m:val="p"/>
            </m:rPr>
            <m:t>=</m:t>
          </m:r>
          <m:r>
            <m:t>w</m:t>
          </m:r>
          <m:r>
            <m:rPr>
              <m:sty m:val="p"/>
            </m:rPr>
            <m:t>⋅</m:t>
          </m:r>
          <m:sSub>
            <m:e>
              <m:acc>
                <m:accPr>
                  <m:chr m:val="̂"/>
                </m:accPr>
                <m:e>
                  <m:r>
                    <m:t>y</m:t>
                  </m:r>
                </m:e>
              </m:acc>
            </m:e>
            <m:sub>
              <m:r>
                <m:rPr>
                  <m:nor/>
                  <m:sty m:val="p"/>
                </m:rPr>
                <m:t>LGB</m:t>
              </m:r>
            </m:sub>
          </m:sSub>
          <m:r>
            <m:rPr>
              <m:sty m:val="p"/>
            </m:rPr>
            <m:t>+</m:t>
          </m:r>
          <m:r>
            <m:rPr>
              <m:sty m:val="p"/>
            </m:rPr>
            <m:t>(</m:t>
          </m:r>
          <m:r>
            <m:t>1</m:t>
          </m:r>
          <m:r>
            <m:rPr>
              <m:sty m:val="p"/>
            </m:rPr>
            <m:t>−</m:t>
          </m:r>
          <m:r>
            <m:t>w</m:t>
          </m:r>
          <m:r>
            <m:rPr>
              <m:sty m:val="p"/>
            </m:rPr>
            <m:t>)</m:t>
          </m:r>
          <m:r>
            <m:rPr>
              <m:sty m:val="p"/>
            </m:rPr>
            <m:t>⋅</m:t>
          </m:r>
          <m:sSub>
            <m:e>
              <m:acc>
                <m:accPr>
                  <m:chr m:val="̂"/>
                </m:accPr>
                <m:e>
                  <m:r>
                    <m:t>y</m:t>
                  </m:r>
                </m:e>
              </m:acc>
            </m:e>
            <m:sub>
              <m:r>
                <m:rPr>
                  <m:nor/>
                  <m:sty m:val="p"/>
                </m:rPr>
                <m:t>CB</m:t>
              </m:r>
            </m:sub>
          </m:sSub>
          <m:r>
            <m:rPr>
              <m:sty m:val="p"/>
            </m:rPr>
            <m:t>,</m:t>
          </m:r>
          <m:r>
            <m:t> </m:t>
          </m:r>
          <m:r>
            <m:t>w</m:t>
          </m:r>
          <m:r>
            <m:rPr>
              <m:sty m:val="p"/>
            </m:rPr>
            <m:t>∈</m:t>
          </m:r>
          <m:r>
            <m:rPr>
              <m:sty m:val="p"/>
            </m:rPr>
            <m:t>[</m:t>
          </m:r>
          <m:r>
            <m:t>0</m:t>
          </m:r>
          <m:r>
            <m:rPr>
              <m:sty m:val="p"/>
            </m:rPr>
            <m:t>,</m:t>
          </m:r>
          <m:r>
            <m:t>1</m:t>
          </m:r>
          <m:r>
            <m:rPr>
              <m:sty m:val="p"/>
            </m:rPr>
            <m:t>]</m:t>
          </m:r>
        </m:oMath>
      </m:oMathPara>
    </w:p>
    <w:p>
      <w:pPr>
        <w:pStyle w:val="FirstParagraph"/>
      </w:pPr>
      <w:r>
        <w:t xml:space="preserve">der vekten</w:t>
      </w:r>
      <w:r>
        <w:t xml:space="preserve"> </w:t>
      </w:r>
      <m:oMath>
        <m:r>
          <m:t>w</m:t>
        </m:r>
      </m:oMath>
      <w:r>
        <w:t xml:space="preserve"> </w:t>
      </w:r>
      <w:r>
        <w:t xml:space="preserve">velges ved gridsøk på valideringssettet og er lagret i</w:t>
      </w:r>
      <w:r>
        <w:t xml:space="preserve"> </w:t>
      </w:r>
      <w:r>
        <w:rPr>
          <w:rStyle w:val="VerbatimChar"/>
        </w:rPr>
        <w:t xml:space="preserve">model_meta_final.joblib</w:t>
      </w:r>
      <w:r>
        <w:t xml:space="preserve"> </w:t>
      </w:r>
      <w:r>
        <w:t xml:space="preserve">(</w:t>
      </w:r>
      <w:r>
        <w:rPr>
          <w:rStyle w:val="VerbatimChar"/>
        </w:rPr>
        <w:t xml:space="preserve">ensemble_weight = 0.30</w:t>
      </w:r>
      <w:r>
        <w:t xml:space="preserve">, dvs. 30 % LightGBM + 70 % CatBoost).</w:t>
      </w:r>
    </w:p>
    <w:p>
      <w:pPr>
        <w:pStyle w:val="BodyText"/>
      </w:pPr>
      <w:r>
        <w:t xml:space="preserve">Hyperparametre for LightGBM er funnet med Optuna (80 trials, 5-fold kryssvalidering på trening + validering) og lagret i</w:t>
      </w:r>
      <w:r>
        <w:t xml:space="preserve"> </w:t>
      </w:r>
      <w:r>
        <w:rPr>
          <w:rStyle w:val="VerbatimChar"/>
        </w:rPr>
        <w:t xml:space="preserve">best_params</w:t>
      </w:r>
      <w:r>
        <w:t xml:space="preserve">:</w:t>
      </w:r>
      <w:r>
        <w:t xml:space="preserve"> </w:t>
      </w:r>
      <w:r>
        <w:rPr>
          <w:rStyle w:val="VerbatimChar"/>
        </w:rPr>
        <w:t xml:space="preserve">alpha = 3.35, learning_rate = 0.032, num_leaves = 32, min_data_in_leaf = 47, max_depth = 6, feature_fraction = 0.85, bagging_fraction = 0.83</w:t>
      </w:r>
      <w:r>
        <w:t xml:space="preserve">. CatBoost trenes med native håndtering av kategoriske kolonner. Begge modellene bruker</w:t>
      </w:r>
      <w:r>
        <w:t xml:space="preserve"> </w:t>
      </w:r>
      <w:r>
        <w:rPr>
          <w:rStyle w:val="VerbatimChar"/>
        </w:rPr>
        <w:t xml:space="preserve">early_stopping</w:t>
      </w:r>
      <w:r>
        <w:t xml:space="preserve"> </w:t>
      </w:r>
      <w:r>
        <w:t xml:space="preserve">på valideringssettet i avstemmings</w:t>
      </w:r>
      <w:r>
        <w:softHyphen/>
      </w:r>
      <w:r>
        <w:t xml:space="preserve">fasen, og refittes deretter på hele datasettet (2020–2025) med</w:t>
      </w:r>
      <w:r>
        <w:t xml:space="preserve"> </w:t>
      </w:r>
      <w:r>
        <w:rPr>
          <w:rStyle w:val="VerbatimChar"/>
        </w:rPr>
        <w:t xml:space="preserve">best_iteration = 390</w:t>
      </w:r>
      <w:r>
        <w:t xml:space="preserve"> </w:t>
      </w:r>
      <w:r>
        <w:t xml:space="preserve">før produksjon.</w:t>
      </w:r>
    </w:p>
    <w:bookmarkEnd w:id="40"/>
    <w:bookmarkStart w:id="41" w:name="kvantilmodell-og-konform-kalibrering"/>
    <w:p>
      <w:pPr>
        <w:pStyle w:val="Heading3"/>
      </w:pPr>
      <w:r>
        <w:rPr>
          <w:rStyle w:val="SectionNumber"/>
        </w:rPr>
        <w:t xml:space="preserve">7.4</w:t>
      </w:r>
      <w:r>
        <w:tab/>
      </w:r>
      <w:r>
        <w:t xml:space="preserve">6.4 Kvantil</w:t>
      </w:r>
      <w:r>
        <w:softHyphen/>
      </w:r>
      <w:r>
        <w:t xml:space="preserve">modell og konform kalibrering</w:t>
      </w:r>
    </w:p>
    <w:p>
      <w:pPr>
        <w:pStyle w:val="FirstParagraph"/>
      </w:pPr>
      <w:r>
        <w:t xml:space="preserve">For å gi P10/P50/P90-prediksjoner trenes tre LightGBM-modeller separat med kvantil</w:t>
      </w:r>
      <w:r>
        <w:softHyphen/>
      </w:r>
      <w:r>
        <w:t xml:space="preserve">objektivet (pinball loss). Disse kalibreres deretter med</w:t>
      </w:r>
      <w:r>
        <w:t xml:space="preserve"> </w:t>
      </w:r>
      <w:r>
        <w:rPr>
          <w:b/>
          <w:bCs/>
        </w:rPr>
        <w:t xml:space="preserve">Conformalized Quantile Regression (CQR)</w:t>
      </w:r>
      <w:r>
        <w:t xml:space="preserve"> </w:t>
      </w:r>
      <w:r>
        <w:t xml:space="preserve">(Romano et al., 2019) på et hold-out kalibreringssett. Empirisk dekning på valideringssettet er</w:t>
      </w:r>
      <w:r>
        <w:t xml:space="preserve"> </w:t>
      </w:r>
      <w:r>
        <w:rPr>
          <w:b/>
          <w:bCs/>
        </w:rPr>
        <w:t xml:space="preserve">80,0 %</w:t>
      </w:r>
      <w:r>
        <w:t xml:space="preserve"> </w:t>
      </w:r>
      <w:r>
        <w:t xml:space="preserve">etter CQR-justering (mot nominelt 80 %), og avviker fra rå dekning på 79,8 % med kun en CQR-korreksjon på 3 EUR — kvantil</w:t>
      </w:r>
      <w:r>
        <w:softHyphen/>
      </w:r>
      <w:r>
        <w:t xml:space="preserve">modellene er altså godt kalibrert allerede før justering. Forbeholdene rundt betinget dekning når en sentral kostnads</w:t>
      </w:r>
      <w:r>
        <w:softHyphen/>
      </w:r>
      <w:r>
        <w:t xml:space="preserve">driver er u</w:t>
      </w:r>
      <w:r>
        <w:softHyphen/>
      </w:r>
      <w:r>
        <w:t xml:space="preserve">observert drøftes i § 9.2.</w:t>
      </w:r>
    </w:p>
    <w:bookmarkEnd w:id="41"/>
    <w:bookmarkStart w:id="42" w:name="hybrid-kalibrering-på-anløpsnivå"/>
    <w:p>
      <w:pPr>
        <w:pStyle w:val="Heading3"/>
      </w:pPr>
      <w:r>
        <w:rPr>
          <w:rStyle w:val="SectionNumber"/>
        </w:rPr>
        <w:t xml:space="preserve">7.5</w:t>
      </w:r>
      <w:r>
        <w:tab/>
      </w:r>
      <w:r>
        <w:t xml:space="preserve">6.5 Hybrid kalibrering på anløpsnivå</w:t>
      </w:r>
    </w:p>
    <w:p>
      <w:pPr>
        <w:pStyle w:val="FirstParagraph"/>
      </w:pPr>
      <w:r>
        <w:t xml:space="preserve">Transaksjons</w:t>
      </w:r>
      <w:r>
        <w:softHyphen/>
      </w:r>
      <w:r>
        <w:t xml:space="preserve">modellen produserer urealistisk lave totaler hvis predikerte transaksjons</w:t>
      </w:r>
      <w:r>
        <w:softHyphen/>
      </w:r>
      <w:r>
        <w:t xml:space="preserve">beløp summeres direkte. For å unngå dette brukes en hybrid kalibrerings</w:t>
      </w:r>
      <w:r>
        <w:softHyphen/>
      </w:r>
      <w:r>
        <w:t xml:space="preserve">strategi (jf.</w:t>
      </w:r>
      <w:r>
        <w:t xml:space="preserve"> </w:t>
      </w:r>
      <w:r>
        <w:rPr>
          <w:rStyle w:val="VerbatimChar"/>
        </w:rPr>
        <w:t xml:space="preserve">predict_port</w:t>
      </w:r>
      <w:r>
        <w:t xml:space="preserve"> </w:t>
      </w:r>
      <w:r>
        <w:t xml:space="preserve">i</w:t>
      </w:r>
      <w:r>
        <w:t xml:space="preserve"> </w:t>
      </w:r>
      <w:r>
        <w:rPr>
          <w:rStyle w:val="VerbatimChar"/>
        </w:rPr>
        <w:t xml:space="preserve">predict_voyage.py</w:t>
      </w:r>
      <w:r>
        <w:t xml:space="preserve">):</w:t>
      </w:r>
    </w:p>
    <w:p>
      <w:pPr>
        <w:numPr>
          <w:ilvl w:val="0"/>
          <w:numId w:val="1014"/>
        </w:numPr>
      </w:pPr>
      <w:r>
        <w:t xml:space="preserve">Generer transaksjonsrader fra</w:t>
      </w:r>
      <w:r>
        <w:t xml:space="preserve"> </w:t>
      </w:r>
      <w:r>
        <w:rPr>
          <w:rStyle w:val="VerbatimChar"/>
        </w:rPr>
        <w:t xml:space="preserve">PORT_TEMPLATES</w:t>
      </w:r>
      <w:r>
        <w:t xml:space="preserve"> </w:t>
      </w:r>
      <w:r>
        <w:t xml:space="preserve">for valgt havn.</w:t>
      </w:r>
    </w:p>
    <w:p>
      <w:pPr>
        <w:numPr>
          <w:ilvl w:val="0"/>
          <w:numId w:val="1014"/>
        </w:numPr>
      </w:pPr>
      <w:r>
        <w:t xml:space="preserve">Beregn predikert beløp per rad og vekt med forventet antall transaksjoner.</w:t>
      </w:r>
    </w:p>
    <w:p>
      <w:pPr>
        <w:numPr>
          <w:ilvl w:val="0"/>
          <w:numId w:val="1014"/>
        </w:numPr>
      </w:pPr>
      <w:r>
        <w:t xml:space="preserve">Sammenlign med et havn-størrelse-spesifikt</w:t>
      </w:r>
      <w:r>
        <w:t xml:space="preserve"> </w:t>
      </w:r>
      <w:r>
        <w:rPr>
          <w:b/>
          <w:bCs/>
        </w:rPr>
        <w:t xml:space="preserve">baseline-prediksjon</w:t>
      </w:r>
      <w:r>
        <w:t xml:space="preserve"> </w:t>
      </w:r>
      <w:r>
        <w:t xml:space="preserve">(lagret i</w:t>
      </w:r>
      <w:r>
        <w:t xml:space="preserve"> </w:t>
      </w:r>
      <w:r>
        <w:rPr>
          <w:rStyle w:val="VerbatimChar"/>
        </w:rPr>
        <w:t xml:space="preserve">baseline_predictions.joblib</w:t>
      </w:r>
      <w:r>
        <w:t xml:space="preserve">).</w:t>
      </w:r>
    </w:p>
    <w:p>
      <w:pPr>
        <w:numPr>
          <w:ilvl w:val="0"/>
          <w:numId w:val="1014"/>
        </w:numPr>
      </w:pPr>
      <w:r>
        <w:rPr>
          <w:b/>
          <w:bCs/>
        </w:rPr>
        <w:t xml:space="preserve">Anker estimatet</w:t>
      </w:r>
      <w:r>
        <w:t xml:space="preserve"> </w:t>
      </w:r>
      <w:r>
        <w:t xml:space="preserve">til empirisk medianpris (P50) per</w:t>
      </w:r>
      <w:r>
        <w:t xml:space="preserve"> </w:t>
      </w:r>
      <w:r>
        <w:rPr>
          <w:rStyle w:val="VerbatimChar"/>
        </w:rPr>
        <w:t xml:space="preserve">(havn, size_category)</w:t>
      </w:r>
      <w:r>
        <w:t xml:space="preserve"> </w:t>
      </w:r>
      <w:r>
        <w:t xml:space="preserve">fra</w:t>
      </w:r>
      <w:r>
        <w:t xml:space="preserve"> </w:t>
      </w:r>
      <w:r>
        <w:rPr>
          <w:rStyle w:val="VerbatimChar"/>
        </w:rPr>
        <w:t xml:space="preserve">HISTORICAL_RANGES</w:t>
      </w:r>
      <w:r>
        <w:t xml:space="preserve">, og skaler proporsjonalt med modell-til-baseline-forholdet:</w:t>
      </w:r>
    </w:p>
    <w:p>
      <w:pPr>
        <w:pStyle w:val="BodyText"/>
      </w:pPr>
      <m:oMathPara>
        <m:oMathParaPr>
          <m:jc m:val="center"/>
        </m:oMathParaPr>
        <m:oMath>
          <m:acc>
            <m:accPr>
              <m:chr m:val="̂"/>
            </m:accPr>
            <m:e>
              <m:r>
                <m:rPr>
                  <m:nor/>
                  <m:sty m:val="p"/>
                </m:rPr>
                <m:t>Total</m:t>
              </m:r>
            </m:e>
          </m:acc>
          <m:r>
            <m:rPr>
              <m:sty m:val="p"/>
            </m:rPr>
            <m:t>=</m:t>
          </m:r>
          <m:sSub>
            <m:e>
              <m:r>
                <m:rPr>
                  <m:nor/>
                  <m:sty m:val="p"/>
                </m:rPr>
                <m:t>P50</m:t>
              </m:r>
            </m:e>
            <m:sub>
              <m:r>
                <m:rPr>
                  <m:nor/>
                  <m:sty m:val="p"/>
                </m:rPr>
                <m:t>historisk</m:t>
              </m:r>
            </m:sub>
          </m:sSub>
          <m:r>
            <m:rPr>
              <m:sty m:val="p"/>
            </m:rPr>
            <m:t>⋅</m:t>
          </m:r>
          <m:f>
            <m:fPr>
              <m:type m:val="bar"/>
            </m:fPr>
            <m:num>
              <m:sSub>
                <m:e>
                  <m:acc>
                    <m:accPr>
                      <m:chr m:val="̂"/>
                    </m:accPr>
                    <m:e>
                      <m:r>
                        <m:rPr>
                          <m:nor/>
                          <m:sty m:val="p"/>
                        </m:rPr>
                        <m:t>Total</m:t>
                      </m:r>
                    </m:e>
                  </m:acc>
                </m:e>
                <m:sub>
                  <m:r>
                    <m:rPr>
                      <m:nor/>
                      <m:sty m:val="p"/>
                    </m:rPr>
                    <m:t>modell</m:t>
                  </m:r>
                </m:sub>
              </m:sSub>
            </m:num>
            <m:den>
              <m:sSub>
                <m:e>
                  <m:r>
                    <m:rPr>
                      <m:nor/>
                      <m:sty m:val="p"/>
                    </m:rPr>
                    <m:t>Baseline</m:t>
                  </m:r>
                </m:e>
                <m:sub>
                  <m:r>
                    <m:rPr>
                      <m:nor/>
                      <m:sty m:val="p"/>
                    </m:rPr>
                    <m:t>modell</m:t>
                  </m:r>
                </m:sub>
              </m:sSub>
            </m:den>
          </m:f>
        </m:oMath>
      </m:oMathPara>
    </w:p>
    <w:p>
      <w:pPr>
        <w:pStyle w:val="FirstParagraph"/>
      </w:pPr>
      <w:r>
        <w:t xml:space="preserve">På landsnivå tas et trafikk</w:t>
      </w:r>
      <w:r>
        <w:softHyphen/>
      </w:r>
      <w:r>
        <w:t xml:space="preserve">vektet gjennomsnitt over alle havner i landet.</w:t>
      </w:r>
    </w:p>
    <w:p>
      <w:r>
        <w:pict>
          <v:rect style="width:0;height:1.5pt" o:hralign="center" o:hrstd="t" o:hr="t"/>
        </w:pict>
      </w:r>
    </w:p>
    <w:bookmarkEnd w:id="42"/>
    <w:bookmarkEnd w:id="43"/>
    <w:bookmarkStart w:id="72" w:name="analyse"/>
    <w:p>
      <w:pPr>
        <w:pStyle w:val="Heading2"/>
      </w:pPr>
      <w:r>
        <w:rPr>
          <w:rStyle w:val="SectionNumber"/>
        </w:rPr>
        <w:t xml:space="preserve">8</w:t>
      </w:r>
      <w:r>
        <w:tab/>
      </w:r>
      <w:r>
        <w:t xml:space="preserve">7. Analyse</w:t>
      </w:r>
    </w:p>
    <w:p>
      <w:pPr>
        <w:pStyle w:val="FirstParagraph"/>
      </w:pPr>
      <w:r>
        <w:t xml:space="preserve">Analysen i dette kapittelet er basert på 1 626 transaksjoner i</w:t>
      </w:r>
      <w:r>
        <w:t xml:space="preserve"> </w:t>
      </w:r>
      <w:r>
        <w:rPr>
          <w:rStyle w:val="VerbatimChar"/>
        </w:rPr>
        <w:t xml:space="preserve">costs_merged.csv</w:t>
      </w:r>
      <w:r>
        <w:t xml:space="preserve"> </w:t>
      </w:r>
      <w:r>
        <w:t xml:space="preserve">etter feature engineering (§ 5.5). Figurer er produsert i</w:t>
      </w:r>
      <w:r>
        <w:t xml:space="preserve"> </w:t>
      </w:r>
      <w:r>
        <w:rPr>
          <w:rStyle w:val="VerbatimChar"/>
        </w:rPr>
        <w:t xml:space="preserve">eda_nauticost.ipynb</w:t>
      </w:r>
      <w:r>
        <w:t xml:space="preserve"> </w:t>
      </w:r>
      <w:r>
        <w:t xml:space="preserve">og</w:t>
      </w:r>
      <w:r>
        <w:t xml:space="preserve"> </w:t>
      </w:r>
      <w:r>
        <w:rPr>
          <w:rStyle w:val="VerbatimChar"/>
        </w:rPr>
        <w:t xml:space="preserve">modeling_nauticost.ipynb</w:t>
      </w:r>
      <w:r>
        <w:t xml:space="preserve"> </w:t>
      </w:r>
      <w:r>
        <w:t xml:space="preserve">og er reproduserbare gjennom å kjøre notebookene mot artefaktene i</w:t>
      </w:r>
      <w:r>
        <w:t xml:space="preserve"> </w:t>
      </w:r>
      <w:r>
        <w:rPr>
          <w:rStyle w:val="VerbatimChar"/>
        </w:rPr>
        <w:t xml:space="preserve">013 fase 3 - review/artifacts/</w:t>
      </w:r>
      <w:r>
        <w:t xml:space="preserve">. Figurtekstene under er bevisst skrevet stand-alone — alle nøkkeltall som diskusjonen senere bygger på, gjengis i teksten her, slik at rapporten kan leses uten å åpne notebookene.</w:t>
      </w:r>
    </w:p>
    <w:bookmarkStart w:id="53" w:name="beskrivende-statistikk"/>
    <w:p>
      <w:pPr>
        <w:pStyle w:val="Heading3"/>
      </w:pPr>
      <w:r>
        <w:rPr>
          <w:rStyle w:val="SectionNumber"/>
        </w:rPr>
        <w:t xml:space="preserve">8.1</w:t>
      </w:r>
      <w:r>
        <w:tab/>
      </w:r>
      <w:r>
        <w:t xml:space="preserve">7.1 Beskrivende statistikk</w:t>
      </w:r>
    </w:p>
    <w:p>
      <w:pPr>
        <w:pStyle w:val="CaptionedFigure"/>
      </w:pPr>
      <w:r>
        <w:drawing>
          <wp:inline>
            <wp:extent cx="5334000" cy="3288699"/>
            <wp:effectExtent b="0" l="0" r="0" t="0"/>
            <wp:docPr descr="Figur 7.1" title="" id="45" name="Picture"/>
            <a:graphic>
              <a:graphicData uri="http://schemas.openxmlformats.org/drawingml/2006/picture">
                <pic:pic>
                  <pic:nvPicPr>
                    <pic:cNvPr descr="figures/figur_7_1_kostnadsfordeling.png" id="46" name="Picture"/>
                    <pic:cNvPicPr>
                      <a:picLocks noChangeArrowheads="1" noChangeAspect="1"/>
                    </pic:cNvPicPr>
                  </pic:nvPicPr>
                  <pic:blipFill>
                    <a:blip r:embed="rId44"/>
                    <a:stretch>
                      <a:fillRect/>
                    </a:stretch>
                  </pic:blipFill>
                  <pic:spPr bwMode="auto">
                    <a:xfrm>
                      <a:off x="0" y="0"/>
                      <a:ext cx="5334000" cy="3288699"/>
                    </a:xfrm>
                    <a:prstGeom prst="rect">
                      <a:avLst/>
                    </a:prstGeom>
                    <a:noFill/>
                    <a:ln w="9525">
                      <a:noFill/>
                      <a:headEnd/>
                      <a:tailEnd/>
                    </a:ln>
                  </pic:spPr>
                </pic:pic>
              </a:graphicData>
            </a:graphic>
          </wp:inline>
        </w:drawing>
      </w:r>
    </w:p>
    <w:p>
      <w:pPr>
        <w:pStyle w:val="ImageCaption"/>
      </w:pPr>
      <w:r>
        <w:t xml:space="preserve">Figur 7.1</w:t>
      </w:r>
    </w:p>
    <w:p>
      <w:pPr>
        <w:pStyle w:val="BodyText"/>
      </w:pPr>
      <w:r>
        <w:rPr>
          <w:b/>
          <w:bCs/>
        </w:rPr>
        <w:t xml:space="preserve">Figur 7.1.</w:t>
      </w:r>
      <w:r>
        <w:t xml:space="preserve"> </w:t>
      </w:r>
      <w:r>
        <w:t xml:space="preserve">Distribusjon av</w:t>
      </w:r>
      <w:r>
        <w:t xml:space="preserve"> </w:t>
      </w:r>
      <w:r>
        <w:rPr>
          <w:rStyle w:val="VerbatimChar"/>
        </w:rPr>
        <w:t xml:space="preserve">final_charge</w:t>
      </w:r>
      <w:r>
        <w:t xml:space="preserve"> </w:t>
      </w:r>
      <w:r>
        <w:t xml:space="preserve">(log-skala)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w:t>
      </w:r>
      <w:r>
        <w:t xml:space="preserve"> </w:t>
      </w:r>
      <w:r>
        <w:rPr>
          <w:i/>
          <w:iCs/>
        </w:rPr>
        <w:t xml:space="preserve">(Plott i</w:t>
      </w:r>
      <w:r>
        <w:rPr>
          <w:i/>
          <w:iCs/>
        </w:rPr>
        <w:t xml:space="preserve"> </w:t>
      </w:r>
      <w:r>
        <w:rPr>
          <w:rStyle w:val="VerbatimChar"/>
          <w:i/>
          <w:iCs/>
        </w:rPr>
        <w:t xml:space="preserve">eda_nauticost.ipynb</w:t>
      </w:r>
      <w:r>
        <w:rPr>
          <w:i/>
          <w:iCs/>
        </w:rPr>
        <w:t xml:space="preserve">, seksjon 3.2; rådata i</w:t>
      </w:r>
      <w:r>
        <w:rPr>
          <w:i/>
          <w:iCs/>
        </w:rPr>
        <w:t xml:space="preserve"> </w:t>
      </w:r>
      <w:r>
        <w:rPr>
          <w:rStyle w:val="VerbatimChar"/>
          <w:i/>
          <w:iCs/>
        </w:rPr>
        <w:t xml:space="preserve">costs_clean.csv</w:t>
      </w:r>
      <w:r>
        <w:rPr>
          <w:i/>
          <w:iCs/>
        </w:rPr>
        <w:t xml:space="preserve">; reprodusert i</w:t>
      </w:r>
      <w:r>
        <w:rPr>
          <w:i/>
          <w:iCs/>
        </w:rPr>
        <w:t xml:space="preserve"> </w:t>
      </w:r>
      <w:r>
        <w:rPr>
          <w:rStyle w:val="VerbatimChar"/>
          <w:i/>
          <w:iCs/>
        </w:rPr>
        <w:t xml:space="preserve">013 fase 3 - review/generate_figures.py</w:t>
      </w:r>
      <w:r>
        <w:rPr>
          <w:i/>
          <w:iCs/>
        </w:rPr>
        <w:t xml:space="preserve">.)</w:t>
      </w:r>
    </w:p>
    <w:p>
      <w:pPr>
        <w:pStyle w:val="CaptionedFigure"/>
      </w:pPr>
      <w:r>
        <w:drawing>
          <wp:inline>
            <wp:extent cx="5334000" cy="2389866"/>
            <wp:effectExtent b="0" l="0" r="0" t="0"/>
            <wp:docPr descr="Figur 7.2" title="" id="48" name="Picture"/>
            <a:graphic>
              <a:graphicData uri="http://schemas.openxmlformats.org/drawingml/2006/picture">
                <pic:pic>
                  <pic:nvPicPr>
                    <pic:cNvPr descr="figures/figur_7_2_havn_per_aar.png" id="49" name="Picture"/>
                    <pic:cNvPicPr>
                      <a:picLocks noChangeArrowheads="1" noChangeAspect="1"/>
                    </pic:cNvPicPr>
                  </pic:nvPicPr>
                  <pic:blipFill>
                    <a:blip r:embed="rId47"/>
                    <a:stretch>
                      <a:fillRect/>
                    </a:stretch>
                  </pic:blipFill>
                  <pic:spPr bwMode="auto">
                    <a:xfrm>
                      <a:off x="0" y="0"/>
                      <a:ext cx="5334000" cy="2389866"/>
                    </a:xfrm>
                    <a:prstGeom prst="rect">
                      <a:avLst/>
                    </a:prstGeom>
                    <a:noFill/>
                    <a:ln w="9525">
                      <a:noFill/>
                      <a:headEnd/>
                      <a:tailEnd/>
                    </a:ln>
                  </pic:spPr>
                </pic:pic>
              </a:graphicData>
            </a:graphic>
          </wp:inline>
        </w:drawing>
      </w:r>
    </w:p>
    <w:p>
      <w:pPr>
        <w:pStyle w:val="ImageCaption"/>
      </w:pPr>
      <w:r>
        <w:t xml:space="preserve">Figur 7.2</w:t>
      </w:r>
    </w:p>
    <w:p>
      <w:pPr>
        <w:pStyle w:val="BodyText"/>
      </w:pPr>
      <w:r>
        <w:rPr>
          <w:b/>
          <w:bCs/>
        </w:rPr>
        <w:t xml:space="preserve">Figur 7.2.</w:t>
      </w:r>
      <w:r>
        <w:t xml:space="preserve"> </w:t>
      </w:r>
      <w:r>
        <w:t xml:space="preserve">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w:t>
      </w:r>
      <w:r>
        <w:t xml:space="preserve"> </w:t>
      </w:r>
      <w:r>
        <w:rPr>
          <w:rStyle w:val="VerbatimChar"/>
        </w:rPr>
        <w:t xml:space="preserve">HISTORICAL_RANGES</w:t>
      </w:r>
      <w:r>
        <w:t xml:space="preserve">-tabellen i</w:t>
      </w:r>
      <w:r>
        <w:t xml:space="preserve"> </w:t>
      </w:r>
      <w:r>
        <w:rPr>
          <w:rStyle w:val="VerbatimChar"/>
        </w:rPr>
        <w:t xml:space="preserve">model.py</w:t>
      </w:r>
      <w:r>
        <w:t xml:space="preserve">).</w:t>
      </w:r>
      <w:r>
        <w:t xml:space="preserve"> </w:t>
      </w:r>
      <w:r>
        <w:rPr>
          <w:i/>
          <w:iCs/>
        </w:rPr>
        <w:t xml:space="preserve">(Plott i</w:t>
      </w:r>
      <w:r>
        <w:rPr>
          <w:i/>
          <w:iCs/>
        </w:rPr>
        <w:t xml:space="preserve"> </w:t>
      </w:r>
      <w:r>
        <w:rPr>
          <w:rStyle w:val="VerbatimChar"/>
          <w:i/>
          <w:iCs/>
        </w:rPr>
        <w:t xml:space="preserve">eda_nauticost.ipynb</w:t>
      </w:r>
      <w:r>
        <w:rPr>
          <w:i/>
          <w:iCs/>
        </w:rPr>
        <w:t xml:space="preserve">, seksjon 3.2.)</w:t>
      </w:r>
    </w:p>
    <w:p>
      <w:pPr>
        <w:pStyle w:val="CaptionedFigure"/>
      </w:pPr>
      <w:r>
        <w:drawing>
          <wp:inline>
            <wp:extent cx="5334000" cy="2634650"/>
            <wp:effectExtent b="0" l="0" r="0" t="0"/>
            <wp:docPr descr="Figur 7.3" title="" id="51" name="Picture"/>
            <a:graphic>
              <a:graphicData uri="http://schemas.openxmlformats.org/drawingml/2006/picture">
                <pic:pic>
                  <pic:nvPicPr>
                    <pic:cNvPr descr="figures/figur_7_3_tjeneste_x_storrelse.png" id="52" name="Picture"/>
                    <pic:cNvPicPr>
                      <a:picLocks noChangeArrowheads="1" noChangeAspect="1"/>
                    </pic:cNvPicPr>
                  </pic:nvPicPr>
                  <pic:blipFill>
                    <a:blip r:embed="rId50"/>
                    <a:stretch>
                      <a:fillRect/>
                    </a:stretch>
                  </pic:blipFill>
                  <pic:spPr bwMode="auto">
                    <a:xfrm>
                      <a:off x="0" y="0"/>
                      <a:ext cx="5334000" cy="2634650"/>
                    </a:xfrm>
                    <a:prstGeom prst="rect">
                      <a:avLst/>
                    </a:prstGeom>
                    <a:noFill/>
                    <a:ln w="9525">
                      <a:noFill/>
                      <a:headEnd/>
                      <a:tailEnd/>
                    </a:ln>
                  </pic:spPr>
                </pic:pic>
              </a:graphicData>
            </a:graphic>
          </wp:inline>
        </w:drawing>
      </w:r>
    </w:p>
    <w:p>
      <w:pPr>
        <w:pStyle w:val="ImageCaption"/>
      </w:pPr>
      <w:r>
        <w:t xml:space="preserve">Figur 7.3</w:t>
      </w:r>
    </w:p>
    <w:p>
      <w:pPr>
        <w:pStyle w:val="BodyText"/>
      </w:pPr>
      <w:r>
        <w:rPr>
          <w:b/>
          <w:bCs/>
        </w:rPr>
        <w:t xml:space="preserve">Figur 7.3.</w:t>
      </w:r>
      <w:r>
        <w:t xml:space="preserve"> </w:t>
      </w:r>
      <w:r>
        <w:t xml:space="preserve">Kostnad per tjeneste</w:t>
      </w:r>
      <w:r>
        <w:softHyphen/>
      </w:r>
      <w:r>
        <w:t xml:space="preserve">kategori, fordelt på størrelses</w:t>
      </w:r>
      <w:r>
        <w:softHyphen/>
      </w:r>
      <w:r>
        <w:t xml:space="preserve">kategori. Provisioning og Port Marina dominerer total</w:t>
      </w:r>
      <w:r>
        <w:softHyphen/>
      </w:r>
      <w:r>
        <w:t xml:space="preserve">kostnaden for Stor-yachter (typisk 30–40 % hver), Hospitality er hovedkategori for mellomstore, og Liten-kategorien har en flatere fordeling med Agency Services som største enkeltkategori.</w:t>
      </w:r>
      <w:r>
        <w:t xml:space="preserve"> </w:t>
      </w:r>
      <w:r>
        <w:rPr>
          <w:i/>
          <w:iCs/>
        </w:rPr>
        <w:t xml:space="preserve">(Plott i</w:t>
      </w:r>
      <w:r>
        <w:rPr>
          <w:i/>
          <w:iCs/>
        </w:rPr>
        <w:t xml:space="preserve"> </w:t>
      </w:r>
      <w:r>
        <w:rPr>
          <w:rStyle w:val="VerbatimChar"/>
          <w:i/>
          <w:iCs/>
        </w:rPr>
        <w:t xml:space="preserve">eda_nauticost.ipynb</w:t>
      </w:r>
      <w:r>
        <w:rPr>
          <w:i/>
          <w:iCs/>
        </w:rPr>
        <w:t xml:space="preserve">, seksjon 3.3.)</w:t>
      </w:r>
    </w:p>
    <w:bookmarkEnd w:id="53"/>
    <w:bookmarkStart w:id="60" w:name="korrelasjoner-og-feature-importance"/>
    <w:p>
      <w:pPr>
        <w:pStyle w:val="Heading3"/>
      </w:pPr>
      <w:r>
        <w:rPr>
          <w:rStyle w:val="SectionNumber"/>
        </w:rPr>
        <w:t xml:space="preserve">8.2</w:t>
      </w:r>
      <w:r>
        <w:tab/>
      </w:r>
      <w:r>
        <w:t xml:space="preserve">7.2 Korrelasjoner og feature importance</w:t>
      </w:r>
    </w:p>
    <w:p>
      <w:pPr>
        <w:pStyle w:val="CaptionedFigure"/>
      </w:pPr>
      <w:r>
        <w:drawing>
          <wp:inline>
            <wp:extent cx="5334000" cy="3294926"/>
            <wp:effectExtent b="0" l="0" r="0" t="0"/>
            <wp:docPr descr="Figur 7.4" title="" id="55" name="Picture"/>
            <a:graphic>
              <a:graphicData uri="http://schemas.openxmlformats.org/drawingml/2006/picture">
                <pic:pic>
                  <pic:nvPicPr>
                    <pic:cNvPr descr="figures/figur_7_4_spearman.png" id="56" name="Picture"/>
                    <pic:cNvPicPr>
                      <a:picLocks noChangeArrowheads="1" noChangeAspect="1"/>
                    </pic:cNvPicPr>
                  </pic:nvPicPr>
                  <pic:blipFill>
                    <a:blip r:embed="rId54"/>
                    <a:stretch>
                      <a:fillRect/>
                    </a:stretch>
                  </pic:blipFill>
                  <pic:spPr bwMode="auto">
                    <a:xfrm>
                      <a:off x="0" y="0"/>
                      <a:ext cx="5334000" cy="3294926"/>
                    </a:xfrm>
                    <a:prstGeom prst="rect">
                      <a:avLst/>
                    </a:prstGeom>
                    <a:noFill/>
                    <a:ln w="9525">
                      <a:noFill/>
                      <a:headEnd/>
                      <a:tailEnd/>
                    </a:ln>
                  </pic:spPr>
                </pic:pic>
              </a:graphicData>
            </a:graphic>
          </wp:inline>
        </w:drawing>
      </w:r>
    </w:p>
    <w:p>
      <w:pPr>
        <w:pStyle w:val="ImageCaption"/>
      </w:pPr>
      <w:r>
        <w:t xml:space="preserve">Figur 7.4</w:t>
      </w:r>
    </w:p>
    <w:p>
      <w:pPr>
        <w:pStyle w:val="BodyText"/>
      </w:pPr>
      <w:r>
        <w:rPr>
          <w:b/>
          <w:bCs/>
        </w:rPr>
        <w:t xml:space="preserve">Figur 7.4.</w:t>
      </w:r>
      <w:r>
        <w:t xml:space="preserve"> </w:t>
      </w:r>
      <w:r>
        <w:t xml:space="preserve">Spearman-korrelasjon mellom numeriske features og log-kostnad. GT (ρ = 0,38), LOA (ρ = 0,35) og fuel</w:t>
      </w:r>
      <w:r>
        <w:softHyphen/>
      </w:r>
      <w:r>
        <w:t xml:space="preserve">konsum (ρ = 0,31) er positivt korrelert med kostnad; korrelasjonene er moderate fordi yacht-størrelse alene ikke determinerer kostnaden (tjeneste</w:t>
      </w:r>
      <w:r>
        <w:softHyphen/>
      </w:r>
      <w:r>
        <w:t xml:space="preserve">miks og sesong påvirker minst like sterkt).</w:t>
      </w:r>
      <w:r>
        <w:t xml:space="preserve"> </w:t>
      </w:r>
      <w:r>
        <w:rPr>
          <w:i/>
          <w:iCs/>
        </w:rPr>
        <w:t xml:space="preserve">(Plott i</w:t>
      </w:r>
      <w:r>
        <w:rPr>
          <w:i/>
          <w:iCs/>
        </w:rPr>
        <w:t xml:space="preserve"> </w:t>
      </w:r>
      <w:r>
        <w:rPr>
          <w:rStyle w:val="VerbatimChar"/>
          <w:i/>
          <w:iCs/>
        </w:rPr>
        <w:t xml:space="preserve">eda_nauticost.ipynb</w:t>
      </w:r>
      <w:r>
        <w:rPr>
          <w:i/>
          <w:iCs/>
        </w:rPr>
        <w:t xml:space="preserve">, seksjon 4.)</w:t>
      </w:r>
    </w:p>
    <w:p>
      <w:pPr>
        <w:pStyle w:val="CaptionedFigure"/>
      </w:pPr>
      <w:r>
        <w:drawing>
          <wp:inline>
            <wp:extent cx="5334000" cy="3528031"/>
            <wp:effectExtent b="0" l="0" r="0" t="0"/>
            <wp:docPr descr="Figur 7.5" title="" id="58" name="Picture"/>
            <a:graphic>
              <a:graphicData uri="http://schemas.openxmlformats.org/drawingml/2006/picture">
                <pic:pic>
                  <pic:nvPicPr>
                    <pic:cNvPr descr="figures/figur_7_5_feature_importance.png" id="59" name="Picture"/>
                    <pic:cNvPicPr>
                      <a:picLocks noChangeArrowheads="1" noChangeAspect="1"/>
                    </pic:cNvPicPr>
                  </pic:nvPicPr>
                  <pic:blipFill>
                    <a:blip r:embed="rId57"/>
                    <a:stretch>
                      <a:fillRect/>
                    </a:stretch>
                  </pic:blipFill>
                  <pic:spPr bwMode="auto">
                    <a:xfrm>
                      <a:off x="0" y="0"/>
                      <a:ext cx="5334000" cy="3528031"/>
                    </a:xfrm>
                    <a:prstGeom prst="rect">
                      <a:avLst/>
                    </a:prstGeom>
                    <a:noFill/>
                    <a:ln w="9525">
                      <a:noFill/>
                      <a:headEnd/>
                      <a:tailEnd/>
                    </a:ln>
                  </pic:spPr>
                </pic:pic>
              </a:graphicData>
            </a:graphic>
          </wp:inline>
        </w:drawing>
      </w:r>
    </w:p>
    <w:p>
      <w:pPr>
        <w:pStyle w:val="ImageCaption"/>
      </w:pPr>
      <w:r>
        <w:t xml:space="preserve">Figur 7.5</w:t>
      </w:r>
    </w:p>
    <w:p>
      <w:pPr>
        <w:pStyle w:val="BodyText"/>
      </w:pPr>
      <w:r>
        <w:rPr>
          <w:b/>
          <w:bCs/>
        </w:rPr>
        <w:t xml:space="preserve">Figur 7.5.</w:t>
      </w:r>
      <w:r>
        <w:t xml:space="preserve"> </w:t>
      </w:r>
      <w:r>
        <w:t xml:space="preserve">Top-15 feature importance fra LightGBM (gain). De fem viktigste featurene er</w:t>
      </w:r>
      <w:r>
        <w:t xml:space="preserve"> </w:t>
      </w:r>
      <w:r>
        <w:rPr>
          <w:rStyle w:val="VerbatimChar"/>
        </w:rPr>
        <w:t xml:space="preserve">service_type</w:t>
      </w:r>
      <w:r>
        <w:t xml:space="preserve"> </w:t>
      </w:r>
      <w:r>
        <w:t xml:space="preserve">(gain-andel ≈ 32 %),</w:t>
      </w:r>
      <w:r>
        <w:t xml:space="preserve"> </w:t>
      </w:r>
      <w:r>
        <w:rPr>
          <w:rStyle w:val="VerbatimChar"/>
        </w:rPr>
        <w:t xml:space="preserve">size_svc_median_charge</w:t>
      </w:r>
      <w:r>
        <w:t xml:space="preserve"> </w:t>
      </w:r>
      <w:r>
        <w:t xml:space="preserve">(≈ 18 %),</w:t>
      </w:r>
      <w:r>
        <w:t xml:space="preserve"> </w:t>
      </w:r>
      <w:r>
        <w:rPr>
          <w:rStyle w:val="VerbatimChar"/>
        </w:rPr>
        <w:t xml:space="preserve">size_svc_mean_charge</w:t>
      </w:r>
      <w:r>
        <w:t xml:space="preserve"> </w:t>
      </w:r>
      <w:r>
        <w:t xml:space="preserve">(≈ 11 %),</w:t>
      </w:r>
      <w:r>
        <w:t xml:space="preserve"> </w:t>
      </w:r>
      <w:r>
        <w:rPr>
          <w:rStyle w:val="VerbatimChar"/>
        </w:rPr>
        <w:t xml:space="preserve">cmt_len</w:t>
      </w:r>
      <w:r>
        <w:t xml:space="preserve"> </w:t>
      </w:r>
      <w:r>
        <w:t xml:space="preserve">(≈ 6 %) og</w:t>
      </w:r>
      <w:r>
        <w:t xml:space="preserve"> </w:t>
      </w:r>
      <w:r>
        <w:rPr>
          <w:rStyle w:val="VerbatimChar"/>
        </w:rPr>
        <w:t xml:space="preserve">week_of_year</w:t>
      </w:r>
      <w:r>
        <w:t xml:space="preserve"> </w:t>
      </w:r>
      <w:r>
        <w:t xml:space="preserve">(≈ 5 %). At aggregat-statistikkene rangerer høyt bekrefter at feature engineering-steget i § 5.5 tilfører reell signal, og at modellen i praksis lærer et hierarki: tjenestetype velger et baseline-prisnivå, og yacht- og tids</w:t>
      </w:r>
      <w:r>
        <w:softHyphen/>
      </w:r>
      <w:r>
        <w:t xml:space="preserve">features modulerer det baselinet.</w:t>
      </w:r>
      <w:r>
        <w:t xml:space="preserve"> </w:t>
      </w:r>
      <w:r>
        <w:rPr>
          <w:i/>
          <w:iCs/>
        </w:rPr>
        <w:t xml:space="preserve">(Plott i</w:t>
      </w:r>
      <w:r>
        <w:rPr>
          <w:i/>
          <w:iCs/>
        </w:rPr>
        <w:t xml:space="preserve"> </w:t>
      </w:r>
      <w:r>
        <w:rPr>
          <w:rStyle w:val="VerbatimChar"/>
          <w:i/>
          <w:iCs/>
        </w:rPr>
        <w:t xml:space="preserve">modeling_nauticost.ipynb</w:t>
      </w:r>
      <w:r>
        <w:rPr>
          <w:i/>
          <w:iCs/>
        </w:rPr>
        <w:t xml:space="preserve">, seksjon 6; reprodusert i</w:t>
      </w:r>
      <w:r>
        <w:rPr>
          <w:i/>
          <w:iCs/>
        </w:rPr>
        <w:t xml:space="preserve"> </w:t>
      </w:r>
      <w:r>
        <w:rPr>
          <w:rStyle w:val="VerbatimChar"/>
          <w:i/>
          <w:iCs/>
        </w:rPr>
        <w:t xml:space="preserve">generate_figures.py</w:t>
      </w:r>
      <w:r>
        <w:rPr>
          <w:i/>
          <w:iCs/>
        </w:rPr>
        <w:t xml:space="preserve">.)</w:t>
      </w:r>
    </w:p>
    <w:bookmarkEnd w:id="60"/>
    <w:bookmarkStart w:id="67" w:name="shap-analyse"/>
    <w:p>
      <w:pPr>
        <w:pStyle w:val="Heading3"/>
      </w:pPr>
      <w:r>
        <w:rPr>
          <w:rStyle w:val="SectionNumber"/>
        </w:rPr>
        <w:t xml:space="preserve">8.3</w:t>
      </w:r>
      <w:r>
        <w:tab/>
      </w:r>
      <w:r>
        <w:t xml:space="preserve">7.3 SHAP-analyse</w:t>
      </w:r>
    </w:p>
    <w:p>
      <w:pPr>
        <w:pStyle w:val="CaptionedFigure"/>
      </w:pPr>
      <w:r>
        <w:drawing>
          <wp:inline>
            <wp:extent cx="5334000" cy="3530676"/>
            <wp:effectExtent b="0" l="0" r="0" t="0"/>
            <wp:docPr descr="Figur 7.6" title="" id="62" name="Picture"/>
            <a:graphic>
              <a:graphicData uri="http://schemas.openxmlformats.org/drawingml/2006/picture">
                <pic:pic>
                  <pic:nvPicPr>
                    <pic:cNvPr descr="figures/figur_7_6_shap_summary.png" id="63" name="Picture"/>
                    <pic:cNvPicPr>
                      <a:picLocks noChangeArrowheads="1" noChangeAspect="1"/>
                    </pic:cNvPicPr>
                  </pic:nvPicPr>
                  <pic:blipFill>
                    <a:blip r:embed="rId61"/>
                    <a:stretch>
                      <a:fillRect/>
                    </a:stretch>
                  </pic:blipFill>
                  <pic:spPr bwMode="auto">
                    <a:xfrm>
                      <a:off x="0" y="0"/>
                      <a:ext cx="5334000" cy="3530676"/>
                    </a:xfrm>
                    <a:prstGeom prst="rect">
                      <a:avLst/>
                    </a:prstGeom>
                    <a:noFill/>
                    <a:ln w="9525">
                      <a:noFill/>
                      <a:headEnd/>
                      <a:tailEnd/>
                    </a:ln>
                  </pic:spPr>
                </pic:pic>
              </a:graphicData>
            </a:graphic>
          </wp:inline>
        </w:drawing>
      </w:r>
    </w:p>
    <w:p>
      <w:pPr>
        <w:pStyle w:val="ImageCaption"/>
      </w:pPr>
      <w:r>
        <w:t xml:space="preserve">Figur 7.6</w:t>
      </w:r>
    </w:p>
    <w:p>
      <w:pPr>
        <w:pStyle w:val="BodyText"/>
      </w:pPr>
      <w:r>
        <w:rPr>
          <w:b/>
          <w:bCs/>
        </w:rPr>
        <w:t xml:space="preserve">Figur 7.6.</w:t>
      </w:r>
      <w:r>
        <w:t xml:space="preserve"> </w:t>
      </w:r>
      <w:r>
        <w:t xml:space="preserve">SHAP summary plot — viser effekt</w:t>
      </w:r>
      <w:r>
        <w:softHyphen/>
      </w:r>
      <w:r>
        <w:t xml:space="preserve">retning og styrke per feature.</w:t>
      </w:r>
      <w:r>
        <w:t xml:space="preserve"> </w:t>
      </w:r>
      <w:r>
        <w:rPr>
          <w:rStyle w:val="VerbatimChar"/>
        </w:rPr>
        <w:t xml:space="preserve">service_type</w:t>
      </w:r>
      <w:r>
        <w:t xml:space="preserve"> </w:t>
      </w:r>
      <w:r>
        <w:t xml:space="preserve">og aggregat</w:t>
      </w:r>
      <w:r>
        <w:softHyphen/>
      </w:r>
      <w:r>
        <w:t xml:space="preserve">statistikkene (</w:t>
      </w:r>
      <w:r>
        <w:rPr>
          <w:rStyle w:val="VerbatimChar"/>
        </w:rPr>
        <w:t xml:space="preserve">size_svc_median_charge</w:t>
      </w:r>
      <w:r>
        <w:t xml:space="preserve">,</w:t>
      </w:r>
      <w:r>
        <w:t xml:space="preserve"> </w:t>
      </w:r>
      <w:r>
        <w:rPr>
          <w:rStyle w:val="VerbatimChar"/>
        </w:rPr>
        <w:t xml:space="preserve">size_svc_mean_charge</w:t>
      </w:r>
      <w:r>
        <w:t xml:space="preserve">) dominerer, med</w:t>
      </w:r>
      <w:r>
        <w:t xml:space="preserve"> </w:t>
      </w:r>
      <w:r>
        <w:rPr>
          <w:rStyle w:val="VerbatimChar"/>
        </w:rPr>
        <w:t xml:space="preserve">gt</w:t>
      </w:r>
      <w:r>
        <w:t xml:space="preserve"> </w:t>
      </w:r>
      <w:r>
        <w:t xml:space="preserve">og</w:t>
      </w:r>
      <w:r>
        <w:t xml:space="preserve"> </w:t>
      </w:r>
      <w:r>
        <w:rPr>
          <w:rStyle w:val="VerbatimChar"/>
        </w:rPr>
        <w:t xml:space="preserve">stay_days</w:t>
      </w:r>
      <w:r>
        <w:t xml:space="preserve"> </w:t>
      </w:r>
      <w:r>
        <w:t xml:space="preserve">som viktige sekundære drivere. Retnings</w:t>
      </w:r>
      <w:r>
        <w:softHyphen/>
      </w:r>
      <w:r>
        <w:t xml:space="preserve">strukturen er som forventet: høyere GT, lengre opphold og dyre</w:t>
      </w:r>
      <w:r>
        <w:softHyphen/>
      </w:r>
      <w:r>
        <w:t xml:space="preserve"> tjenestetyper (Provisioning, Port Marina) gir høyere predikert kostnad.</w:t>
      </w:r>
      <w:r>
        <w:t xml:space="preserve"> </w:t>
      </w:r>
      <w:r>
        <w:rPr>
          <w:i/>
          <w:iCs/>
        </w:rPr>
        <w:t xml:space="preserve">(Plott i</w:t>
      </w:r>
      <w:r>
        <w:rPr>
          <w:i/>
          <w:iCs/>
        </w:rPr>
        <w:t xml:space="preserve"> </w:t>
      </w:r>
      <w:r>
        <w:rPr>
          <w:rStyle w:val="VerbatimChar"/>
          <w:i/>
          <w:iCs/>
        </w:rPr>
        <w:t xml:space="preserve">modeling_nauticost.ipynb</w:t>
      </w:r>
      <w:r>
        <w:rPr>
          <w:i/>
          <w:iCs/>
        </w:rPr>
        <w:t xml:space="preserve">, seksjon 10.)</w:t>
      </w:r>
    </w:p>
    <w:p>
      <w:pPr>
        <w:pStyle w:val="CaptionedFigure"/>
      </w:pPr>
      <w:r>
        <w:drawing>
          <wp:inline>
            <wp:extent cx="5334000" cy="1660156"/>
            <wp:effectExtent b="0" l="0" r="0" t="0"/>
            <wp:docPr descr="Figur 7.7" title="" id="65" name="Picture"/>
            <a:graphic>
              <a:graphicData uri="http://schemas.openxmlformats.org/drawingml/2006/picture">
                <pic:pic>
                  <pic:nvPicPr>
                    <pic:cNvPr descr="figures/figur_7_7_dependence.png" id="66" name="Picture"/>
                    <pic:cNvPicPr>
                      <a:picLocks noChangeArrowheads="1" noChangeAspect="1"/>
                    </pic:cNvPicPr>
                  </pic:nvPicPr>
                  <pic:blipFill>
                    <a:blip r:embed="rId64"/>
                    <a:stretch>
                      <a:fillRect/>
                    </a:stretch>
                  </pic:blipFill>
                  <pic:spPr bwMode="auto">
                    <a:xfrm>
                      <a:off x="0" y="0"/>
                      <a:ext cx="5334000" cy="1660156"/>
                    </a:xfrm>
                    <a:prstGeom prst="rect">
                      <a:avLst/>
                    </a:prstGeom>
                    <a:noFill/>
                    <a:ln w="9525">
                      <a:noFill/>
                      <a:headEnd/>
                      <a:tailEnd/>
                    </a:ln>
                  </pic:spPr>
                </pic:pic>
              </a:graphicData>
            </a:graphic>
          </wp:inline>
        </w:drawing>
      </w:r>
    </w:p>
    <w:p>
      <w:pPr>
        <w:pStyle w:val="ImageCaption"/>
      </w:pPr>
      <w:r>
        <w:t xml:space="preserve">Figur 7.7</w:t>
      </w:r>
    </w:p>
    <w:p>
      <w:pPr>
        <w:pStyle w:val="BodyText"/>
      </w:pPr>
      <w:r>
        <w:rPr>
          <w:b/>
          <w:bCs/>
        </w:rPr>
        <w:t xml:space="preserve">Figur 7.7.</w:t>
      </w:r>
      <w:r>
        <w:t xml:space="preserve"> </w:t>
      </w:r>
      <w:r>
        <w:t xml:space="preserve">Predikerte kostnader fordelt på sentrale features på valideringssettet: (a) predikert kostnad vs. GT (log-skala), (b) median prediksjon per</w:t>
      </w:r>
      <w:r>
        <w:t xml:space="preserve"> </w:t>
      </w:r>
      <w:r>
        <w:rPr>
          <w:rStyle w:val="VerbatimChar"/>
        </w:rPr>
        <w:t xml:space="preserve">service_category</w:t>
      </w:r>
      <w:r>
        <w:t xml:space="preserve">, (c) median prediksjon per</w:t>
      </w:r>
      <w:r>
        <w:t xml:space="preserve"> </w:t>
      </w:r>
      <w:r>
        <w:rPr>
          <w:rStyle w:val="VerbatimChar"/>
        </w:rPr>
        <w:t xml:space="preserve">arrival_port</w:t>
      </w:r>
      <w:r>
        <w:t xml:space="preserve">. GT-effekten er monoton men ikke-lineær. Havne</w:t>
      </w:r>
      <w:r>
        <w:softHyphen/>
      </w:r>
      <w:r>
        <w:t xml:space="preserve">effekten viser at København og Stockholm gir høyere prediksjoner enn norske havner ved samme yacht</w:t>
      </w:r>
      <w:r>
        <w:softHyphen/>
      </w:r>
      <w:r>
        <w:t xml:space="preserve">størrelse, hvilket er konsistent med havne</w:t>
      </w:r>
      <w:r>
        <w:softHyphen/>
      </w:r>
      <w:r>
        <w:t xml:space="preserve">avgifts</w:t>
      </w:r>
      <w:r>
        <w:softHyphen/>
      </w:r>
      <w:r>
        <w:t xml:space="preserve">nivåene i datasettet og motiverer land</w:t>
      </w:r>
      <w:r>
        <w:softHyphen/>
      </w:r>
      <w:r>
        <w:t xml:space="preserve">bevisst aggregering som videre arbeid (§ 9.5.5).</w:t>
      </w:r>
      <w:r>
        <w:t xml:space="preserve"> </w:t>
      </w:r>
      <w:r>
        <w:rPr>
          <w:i/>
          <w:iCs/>
        </w:rPr>
        <w:t xml:space="preserve">(Plott i</w:t>
      </w:r>
      <w:r>
        <w:rPr>
          <w:i/>
          <w:iCs/>
        </w:rPr>
        <w:t xml:space="preserve"> </w:t>
      </w:r>
      <w:r>
        <w:rPr>
          <w:rStyle w:val="VerbatimChar"/>
          <w:i/>
          <w:iCs/>
        </w:rPr>
        <w:t xml:space="preserve">modeling_nauticost.ipynb</w:t>
      </w:r>
      <w:r>
        <w:rPr>
          <w:i/>
          <w:iCs/>
        </w:rPr>
        <w:t xml:space="preserve">, seksjon 10; reprodusert i</w:t>
      </w:r>
      <w:r>
        <w:rPr>
          <w:i/>
          <w:iCs/>
        </w:rPr>
        <w:t xml:space="preserve"> </w:t>
      </w:r>
      <w:r>
        <w:rPr>
          <w:rStyle w:val="VerbatimChar"/>
          <w:i/>
          <w:iCs/>
        </w:rPr>
        <w:t xml:space="preserve">generate_figures.py</w:t>
      </w:r>
      <w:r>
        <w:rPr>
          <w:i/>
          <w:iCs/>
        </w:rPr>
        <w:t xml:space="preserve">.)</w:t>
      </w:r>
    </w:p>
    <w:bookmarkEnd w:id="67"/>
    <w:bookmarkStart w:id="71" w:name="residualdiagnostikk"/>
    <w:p>
      <w:pPr>
        <w:pStyle w:val="Heading3"/>
      </w:pPr>
      <w:r>
        <w:rPr>
          <w:rStyle w:val="SectionNumber"/>
        </w:rPr>
        <w:t xml:space="preserve">8.4</w:t>
      </w:r>
      <w:r>
        <w:tab/>
      </w:r>
      <w:r>
        <w:t xml:space="preserve">7.4 Residual</w:t>
      </w:r>
      <w:r>
        <w:softHyphen/>
      </w:r>
      <w:r>
        <w:t xml:space="preserve">diagnostikk</w:t>
      </w:r>
    </w:p>
    <w:p>
      <w:pPr>
        <w:pStyle w:val="CaptionedFigure"/>
      </w:pPr>
      <w:r>
        <w:drawing>
          <wp:inline>
            <wp:extent cx="5334000" cy="2126429"/>
            <wp:effectExtent b="0" l="0" r="0" t="0"/>
            <wp:docPr descr="Figur 7.8" title="" id="69" name="Picture"/>
            <a:graphic>
              <a:graphicData uri="http://schemas.openxmlformats.org/drawingml/2006/picture">
                <pic:pic>
                  <pic:nvPicPr>
                    <pic:cNvPr descr="figures/figur_7_8_residuals.png" id="70" name="Picture"/>
                    <pic:cNvPicPr>
                      <a:picLocks noChangeArrowheads="1" noChangeAspect="1"/>
                    </pic:cNvPicPr>
                  </pic:nvPicPr>
                  <pic:blipFill>
                    <a:blip r:embed="rId68"/>
                    <a:stretch>
                      <a:fillRect/>
                    </a:stretch>
                  </pic:blipFill>
                  <pic:spPr bwMode="auto">
                    <a:xfrm>
                      <a:off x="0" y="0"/>
                      <a:ext cx="5334000" cy="2126429"/>
                    </a:xfrm>
                    <a:prstGeom prst="rect">
                      <a:avLst/>
                    </a:prstGeom>
                    <a:noFill/>
                    <a:ln w="9525">
                      <a:noFill/>
                      <a:headEnd/>
                      <a:tailEnd/>
                    </a:ln>
                  </pic:spPr>
                </pic:pic>
              </a:graphicData>
            </a:graphic>
          </wp:inline>
        </w:drawing>
      </w:r>
    </w:p>
    <w:p>
      <w:pPr>
        <w:pStyle w:val="ImageCaption"/>
      </w:pPr>
      <w:r>
        <w:t xml:space="preserve">Figur 7.8</w:t>
      </w:r>
    </w:p>
    <w:p>
      <w:pPr>
        <w:pStyle w:val="BodyText"/>
      </w:pPr>
      <w:r>
        <w:rPr>
          <w:b/>
          <w:bCs/>
        </w:rPr>
        <w:t xml:space="preserve">Figur 7.8.</w:t>
      </w:r>
      <w:r>
        <w:t xml:space="preserve"> </w:t>
      </w:r>
      <w:r>
        <w:t xml:space="preserve">Residual</w:t>
      </w:r>
      <w:r>
        <w:softHyphen/>
      </w:r>
      <w:r>
        <w:t xml:space="preserve">plott (predikert vs. faktisk i log-rom) på valideringssettet (n = 490, 2024) for den tunede LightGBM-modellen. Gjennomsnittlig residual er</w:t>
      </w:r>
      <w:r>
        <w:t xml:space="preserve"> </w:t>
      </w:r>
      <w:r>
        <w:rPr>
          <w:b/>
          <w:bCs/>
        </w:rPr>
        <w:t xml:space="preserve">−0,20 i log-rom</w:t>
      </w:r>
      <w:r>
        <w:t xml:space="preserve"> </w:t>
      </w:r>
      <w:r>
        <w:t xml:space="preserve">(tilsvarende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softHyphen/>
      </w:r>
      <w:r>
        <w:t xml:space="preserve">spesifikasjoner — dette samsvarer med funnet i § 9.5.4 om manglende</w:t>
      </w:r>
      <w:r>
        <w:t xml:space="preserve"> </w:t>
      </w:r>
      <w:r>
        <w:rPr>
          <w:rStyle w:val="VerbatimChar"/>
        </w:rPr>
        <w:t xml:space="preserve">guest_experience</w:t>
      </w:r>
      <w:r>
        <w:t xml:space="preserve">-feature for Provisioning.</w:t>
      </w:r>
      <w:r>
        <w:t xml:space="preserve"> </w:t>
      </w:r>
      <w:r>
        <w:rPr>
          <w:i/>
          <w:iCs/>
        </w:rPr>
        <w:t xml:space="preserve">(Plott i</w:t>
      </w:r>
      <w:r>
        <w:rPr>
          <w:i/>
          <w:iCs/>
        </w:rPr>
        <w:t xml:space="preserve"> </w:t>
      </w:r>
      <w:r>
        <w:rPr>
          <w:rStyle w:val="VerbatimChar"/>
          <w:i/>
          <w:iCs/>
        </w:rPr>
        <w:t xml:space="preserve">modeling_nauticost.ipynb</w:t>
      </w:r>
      <w:r>
        <w:rPr>
          <w:i/>
          <w:iCs/>
        </w:rPr>
        <w:t xml:space="preserve">, seksjon 11, og reprodusert i</w:t>
      </w:r>
      <w:r>
        <w:rPr>
          <w:i/>
          <w:iCs/>
        </w:rPr>
        <w:t xml:space="preserve"> </w:t>
      </w:r>
      <w:r>
        <w:rPr>
          <w:rStyle w:val="VerbatimChar"/>
          <w:i/>
          <w:iCs/>
        </w:rPr>
        <w:t xml:space="preserve">013 fase 3 - review/generate_figures.py</w:t>
      </w:r>
      <w:r>
        <w:rPr>
          <w:i/>
          <w:iCs/>
        </w:rPr>
        <w:t xml:space="preserve">.)</w:t>
      </w:r>
    </w:p>
    <w:p>
      <w:pPr>
        <w:pStyle w:val="BodyText"/>
      </w:pPr>
      <w:r>
        <w:rPr>
          <w:b/>
          <w:bCs/>
        </w:rPr>
        <w:t xml:space="preserve">Tabell 7.1.</w:t>
      </w:r>
      <w:r>
        <w:t xml:space="preserve"> </w:t>
      </w:r>
      <w:r>
        <w:t xml:space="preserve">Validerings</w:t>
      </w:r>
      <w:r>
        <w:softHyphen/>
      </w:r>
      <w:r>
        <w:t xml:space="preserve">residualer per størrelseskategori (n = 490, år 2024). MAPE er rapportert som</w:t>
      </w:r>
      <w:r>
        <w:t xml:space="preserve"> </w:t>
      </w:r>
      <w:r>
        <w:rPr>
          <w:b/>
          <w:bCs/>
        </w:rPr>
        <w:t xml:space="preserve">forholdstall</w:t>
      </w:r>
      <w:r>
        <w:t xml:space="preserve"> </w:t>
      </w:r>
      <w:r>
        <w:t xml:space="preserve">(gjennomsnittlig |feil| / faktisk verdi); 0,89 betyr 89 % gjennomsnittlig avvik, 4,07 betyr 407 %. De høye forholds</w:t>
      </w:r>
      <w:r>
        <w:softHyphen/>
      </w:r>
      <w:r>
        <w:t xml:space="preserve">tallene drives av mange små transaksjoner (jf. drøftingen av MAPE-sensitivitet i § 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size_category</w:t>
            </w:r>
          </w:p>
        </w:tc>
        <w:tc>
          <w:tcPr/>
          <w:p>
            <w:pPr>
              <w:pStyle w:val="Compact"/>
              <w:jc w:val="right"/>
            </w:pPr>
            <w:r>
              <w:t xml:space="preserve">n</w:t>
            </w:r>
          </w:p>
        </w:tc>
        <w:tc>
          <w:tcPr/>
          <w:p>
            <w:pPr>
              <w:pStyle w:val="Compact"/>
              <w:jc w:val="right"/>
            </w:pPr>
            <w:r>
              <w:t xml:space="preserve">MAE (EUR)</w:t>
            </w:r>
          </w:p>
        </w:tc>
        <w:tc>
          <w:tcPr/>
          <w:p>
            <w:pPr>
              <w:pStyle w:val="Compact"/>
              <w:jc w:val="right"/>
            </w:pPr>
            <w:r>
              <w:t xml:space="preserve">MAPE (forholds</w:t>
            </w:r>
            <w:r>
              <w:softHyphen/>
            </w:r>
            <w:r>
              <w:t xml:space="preserve">tall)</w:t>
            </w:r>
          </w:p>
        </w:tc>
      </w:tr>
      <w:tr>
        <w:tc>
          <w:tcPr/>
          <w:p>
            <w:pPr>
              <w:pStyle w:val="Compact"/>
            </w:pPr>
            <w:r>
              <w:t xml:space="preserve">Liten</w:t>
            </w:r>
          </w:p>
        </w:tc>
        <w:tc>
          <w:tcPr/>
          <w:p>
            <w:pPr>
              <w:pStyle w:val="Compact"/>
              <w:jc w:val="right"/>
            </w:pPr>
            <w:r>
              <w:t xml:space="preserve">159</w:t>
            </w:r>
          </w:p>
        </w:tc>
        <w:tc>
          <w:tcPr/>
          <w:p>
            <w:pPr>
              <w:pStyle w:val="Compact"/>
              <w:jc w:val="right"/>
            </w:pPr>
            <w:r>
              <w:t xml:space="preserve">9 277</w:t>
            </w:r>
          </w:p>
        </w:tc>
        <w:tc>
          <w:tcPr/>
          <w:p>
            <w:pPr>
              <w:pStyle w:val="Compact"/>
              <w:jc w:val="right"/>
            </w:pPr>
            <w:r>
              <w:t xml:space="preserve">0,89</w:t>
            </w:r>
          </w:p>
        </w:tc>
      </w:tr>
      <w:tr>
        <w:tc>
          <w:tcPr/>
          <w:p>
            <w:pPr>
              <w:pStyle w:val="Compact"/>
            </w:pPr>
            <w:r>
              <w:t xml:space="preserve">Mellomstor</w:t>
            </w:r>
          </w:p>
        </w:tc>
        <w:tc>
          <w:tcPr/>
          <w:p>
            <w:pPr>
              <w:pStyle w:val="Compact"/>
              <w:jc w:val="right"/>
            </w:pPr>
            <w:r>
              <w:t xml:space="preserve">113</w:t>
            </w:r>
          </w:p>
        </w:tc>
        <w:tc>
          <w:tcPr/>
          <w:p>
            <w:pPr>
              <w:pStyle w:val="Compact"/>
              <w:jc w:val="right"/>
            </w:pPr>
            <w:r>
              <w:t xml:space="preserve">9 192</w:t>
            </w:r>
          </w:p>
        </w:tc>
        <w:tc>
          <w:tcPr/>
          <w:p>
            <w:pPr>
              <w:pStyle w:val="Compact"/>
              <w:jc w:val="right"/>
            </w:pPr>
            <w:r>
              <w:t xml:space="preserve">2,13</w:t>
            </w:r>
          </w:p>
        </w:tc>
      </w:tr>
      <w:tr>
        <w:tc>
          <w:tcPr/>
          <w:p>
            <w:pPr>
              <w:pStyle w:val="Compact"/>
            </w:pPr>
            <w:r>
              <w:t xml:space="preserve">Stor</w:t>
            </w:r>
          </w:p>
        </w:tc>
        <w:tc>
          <w:tcPr/>
          <w:p>
            <w:pPr>
              <w:pStyle w:val="Compact"/>
              <w:jc w:val="right"/>
            </w:pPr>
            <w:r>
              <w:t xml:space="preserve">218</w:t>
            </w:r>
          </w:p>
        </w:tc>
        <w:tc>
          <w:tcPr/>
          <w:p>
            <w:pPr>
              <w:pStyle w:val="Compact"/>
              <w:jc w:val="right"/>
            </w:pPr>
            <w:r>
              <w:t xml:space="preserve">28 562</w:t>
            </w:r>
          </w:p>
        </w:tc>
        <w:tc>
          <w:tcPr/>
          <w:p>
            <w:pPr>
              <w:pStyle w:val="Compact"/>
              <w:jc w:val="right"/>
            </w:pPr>
            <w:r>
              <w:t xml:space="preserve">4,07</w:t>
            </w:r>
          </w:p>
        </w:tc>
      </w:tr>
    </w:tbl>
    <w:p>
      <w:pPr>
        <w:pStyle w:val="BodyText"/>
      </w:pPr>
      <w:r>
        <w:t xml:space="preserve">Stor-kategorien har en MAE som er ca. 3× høyere enn de to andre, hvilket reflekterer at store yachter har større variasjons</w:t>
      </w:r>
      <w:r>
        <w:softHyphen/>
      </w:r>
      <w:r>
        <w:t xml:space="preserve">spenn i absolutte kostnader (P95-fakturaer for Stor-yachter er over 100 000 EUR; for Liten typisk under 15 000 EUR). MAPE-tallene må tolkes forsiktig: 4,07 for Stor betyr</w:t>
      </w:r>
      <w:r>
        <w:t xml:space="preserve"> </w:t>
      </w:r>
      <w:r>
        <w:rPr>
          <w:i/>
          <w:iCs/>
        </w:rPr>
        <w:t xml:space="preserve">ikke</w:t>
      </w:r>
      <w:r>
        <w:t xml:space="preserve"> </w:t>
      </w:r>
      <w:r>
        <w:t xml:space="preserve">at modellen bommer med 407 % på typiske Stor-yacht-fakturaer, men at det er noen små Stor-fakturaer (f.eks. en enkelt forsyning på 200 EUR der modellen predikerer 1 000 EUR) som blåser opp prosent</w:t>
      </w:r>
      <w:r>
        <w:softHyphen/>
      </w:r>
      <w:r>
        <w:t xml:space="preserve">avviket. wMAPE-tallet for hele settet (71,4 %, jf. tabell 8.1) gir et mer rettferdig bilde av relativ feil. Det vesentlige funnet i tabellen er at</w:t>
      </w:r>
      <w:r>
        <w:t xml:space="preserve"> </w:t>
      </w:r>
      <w:r>
        <w:rPr>
          <w:i/>
          <w:iCs/>
        </w:rPr>
        <w:t xml:space="preserve">absolutt</w:t>
      </w:r>
      <w:r>
        <w:t xml:space="preserve"> </w:t>
      </w:r>
      <w:r>
        <w:t xml:space="preserve">feil skaleres med fordelingens skala, ikke med systematisk bias mot Stor.</w:t>
      </w:r>
    </w:p>
    <w:p>
      <w:r>
        <w:pict>
          <v:rect style="width:0;height:1.5pt" o:hralign="center" o:hrstd="t" o:hr="t"/>
        </w:pict>
      </w:r>
    </w:p>
    <w:bookmarkEnd w:id="71"/>
    <w:bookmarkEnd w:id="72"/>
    <w:bookmarkStart w:id="78" w:name="resultat"/>
    <w:p>
      <w:pPr>
        <w:pStyle w:val="Heading2"/>
      </w:pPr>
      <w:r>
        <w:rPr>
          <w:rStyle w:val="SectionNumber"/>
        </w:rPr>
        <w:t xml:space="preserve">9</w:t>
      </w:r>
      <w:r>
        <w:tab/>
      </w:r>
      <w:r>
        <w:t xml:space="preserve">8. Resultat</w:t>
      </w:r>
    </w:p>
    <w:bookmarkStart w:id="73" w:name="X9e63db4d73416036d6c4aff3da2d7ddb8b5d91f"/>
    <w:p>
      <w:pPr>
        <w:pStyle w:val="Heading3"/>
      </w:pPr>
      <w:r>
        <w:rPr>
          <w:rStyle w:val="SectionNumber"/>
        </w:rPr>
        <w:t xml:space="preserve">9.1</w:t>
      </w:r>
      <w:r>
        <w:tab/>
      </w:r>
      <w:r>
        <w:t xml:space="preserve">8.1 Sammenligning av modeller på valideringssettet</w:t>
      </w:r>
    </w:p>
    <w:p>
      <w:pPr>
        <w:pStyle w:val="FirstParagraph"/>
      </w:pPr>
      <w:r>
        <w:rPr>
          <w:b/>
          <w:bCs/>
        </w:rPr>
        <w:t xml:space="preserve">Tabell 8.1.</w:t>
      </w:r>
      <w:r>
        <w:t xml:space="preserve"> </w:t>
      </w:r>
      <w:r>
        <w:t xml:space="preserve">viser feil</w:t>
      </w:r>
      <w:r>
        <w:softHyphen/>
      </w:r>
      <w:r>
        <w:t xml:space="preserve">metrikker for alle modeller på</w:t>
      </w:r>
      <w:r>
        <w:t xml:space="preserve"> </w:t>
      </w:r>
      <w:r>
        <w:rPr>
          <w:b/>
          <w:bCs/>
        </w:rPr>
        <w:t xml:space="preserve">valideringssettet</w:t>
      </w:r>
      <w:r>
        <w:t xml:space="preserve"> </w:t>
      </w:r>
      <w:r>
        <w:t xml:space="preserve">(2024, 490 transaksjoner), sortert etter MAE. Dette er settet vi bruker for</w:t>
      </w:r>
      <w:r>
        <w:t xml:space="preserve"> </w:t>
      </w:r>
      <w:r>
        <w:rPr>
          <w:b/>
          <w:bCs/>
        </w:rPr>
        <w:t xml:space="preserve">modellseleksjon</w:t>
      </w:r>
      <w:r>
        <w:t xml:space="preserve">. Endelig evaluering på det reserverte testsettet (2025) drøftes i § 8.1.1.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w:t>
            </w:r>
          </w:p>
        </w:tc>
        <w:tc>
          <w:tcPr/>
          <w:p>
            <w:pPr>
              <w:pStyle w:val="Compact"/>
              <w:jc w:val="right"/>
            </w:pPr>
            <w:r>
              <w:t xml:space="preserve">MAE (EUR)</w:t>
            </w:r>
          </w:p>
        </w:tc>
        <w:tc>
          <w:tcPr/>
          <w:p>
            <w:pPr>
              <w:pStyle w:val="Compact"/>
              <w:jc w:val="right"/>
            </w:pPr>
            <w:r>
              <w:t xml:space="preserve">RMSE (EUR)</w:t>
            </w:r>
          </w:p>
        </w:tc>
        <w:tc>
          <w:tcPr/>
          <w:p>
            <w:pPr>
              <w:pStyle w:val="Compact"/>
              <w:jc w:val="right"/>
            </w:pPr>
            <w:r>
              <w:t xml:space="preserve">MAPE (%)</w:t>
            </w:r>
          </w:p>
        </w:tc>
        <w:tc>
          <w:tcPr/>
          <w:p>
            <w:pPr>
              <w:pStyle w:val="Compact"/>
              <w:jc w:val="right"/>
            </w:pPr>
            <w:r>
              <w:t xml:space="preserve">wMAPE (%)</w:t>
            </w:r>
          </w:p>
        </w:tc>
      </w:tr>
      <w:tr>
        <w:tc>
          <w:tcPr/>
          <w:p>
            <w:pPr>
              <w:pStyle w:val="Compact"/>
            </w:pPr>
            <w:r>
              <w:t xml:space="preserve">LightGBM (base)</w:t>
            </w:r>
          </w:p>
        </w:tc>
        <w:tc>
          <w:tcPr/>
          <w:p>
            <w:pPr>
              <w:pStyle w:val="Compact"/>
              <w:jc w:val="right"/>
            </w:pPr>
            <w:r>
              <w:rPr>
                <w:b/>
                <w:bCs/>
              </w:rPr>
              <w:t xml:space="preserve">17 317</w:t>
            </w:r>
          </w:p>
        </w:tc>
        <w:tc>
          <w:tcPr/>
          <w:p>
            <w:pPr>
              <w:pStyle w:val="Compact"/>
              <w:jc w:val="right"/>
            </w:pPr>
            <w:r>
              <w:t xml:space="preserve">54 476</w:t>
            </w:r>
          </w:p>
        </w:tc>
        <w:tc>
          <w:tcPr/>
          <w:p>
            <w:pPr>
              <w:pStyle w:val="Compact"/>
              <w:jc w:val="right"/>
            </w:pPr>
            <w:r>
              <w:t xml:space="preserve">180,2</w:t>
            </w:r>
          </w:p>
        </w:tc>
        <w:tc>
          <w:tcPr/>
          <w:p>
            <w:pPr>
              <w:pStyle w:val="Compact"/>
              <w:jc w:val="right"/>
            </w:pPr>
            <w:r>
              <w:t xml:space="preserve">71,3</w:t>
            </w:r>
          </w:p>
        </w:tc>
      </w:tr>
      <w:tr>
        <w:tc>
          <w:tcPr/>
          <w:p>
            <w:pPr>
              <w:pStyle w:val="Compact"/>
            </w:pPr>
            <w:r>
              <w:rPr>
                <w:b/>
                <w:bCs/>
              </w:rPr>
              <w:t xml:space="preserve">Ensemble (LGB + CB)</w:t>
            </w:r>
          </w:p>
        </w:tc>
        <w:tc>
          <w:tcPr/>
          <w:p>
            <w:pPr>
              <w:pStyle w:val="Compact"/>
              <w:jc w:val="right"/>
            </w:pPr>
            <w:r>
              <w:t xml:space="preserve">17 350</w:t>
            </w:r>
          </w:p>
        </w:tc>
        <w:tc>
          <w:tcPr/>
          <w:p>
            <w:pPr>
              <w:pStyle w:val="Compact"/>
              <w:jc w:val="right"/>
            </w:pPr>
            <w:r>
              <w:t xml:space="preserve">55 490</w:t>
            </w:r>
          </w:p>
        </w:tc>
        <w:tc>
          <w:tcPr/>
          <w:p>
            <w:pPr>
              <w:pStyle w:val="Compact"/>
              <w:jc w:val="right"/>
            </w:pPr>
            <w:r>
              <w:t xml:space="preserve">168,3</w:t>
            </w:r>
          </w:p>
        </w:tc>
        <w:tc>
          <w:tcPr/>
          <w:p>
            <w:pPr>
              <w:pStyle w:val="Compact"/>
              <w:jc w:val="right"/>
            </w:pPr>
            <w:r>
              <w:rPr>
                <w:b/>
                <w:bCs/>
              </w:rPr>
              <w:t xml:space="preserve">71,4</w:t>
            </w:r>
          </w:p>
        </w:tc>
      </w:tr>
      <w:tr>
        <w:tc>
          <w:tcPr/>
          <w:p>
            <w:pPr>
              <w:pStyle w:val="Compact"/>
            </w:pPr>
            <w:r>
              <w:t xml:space="preserve">CatBoost</w:t>
            </w:r>
          </w:p>
        </w:tc>
        <w:tc>
          <w:tcPr/>
          <w:p>
            <w:pPr>
              <w:pStyle w:val="Compact"/>
              <w:jc w:val="right"/>
            </w:pPr>
            <w:r>
              <w:t xml:space="preserve">17 404</w:t>
            </w:r>
          </w:p>
        </w:tc>
        <w:tc>
          <w:tcPr/>
          <w:p>
            <w:pPr>
              <w:pStyle w:val="Compact"/>
              <w:jc w:val="right"/>
            </w:pPr>
            <w:r>
              <w:t xml:space="preserve">55 672</w:t>
            </w:r>
          </w:p>
        </w:tc>
        <w:tc>
          <w:tcPr/>
          <w:p>
            <w:pPr>
              <w:pStyle w:val="Compact"/>
              <w:jc w:val="right"/>
            </w:pPr>
            <w:r>
              <w:t xml:space="preserve">174,1</w:t>
            </w:r>
          </w:p>
        </w:tc>
        <w:tc>
          <w:tcPr/>
          <w:p>
            <w:pPr>
              <w:pStyle w:val="Compact"/>
              <w:jc w:val="right"/>
            </w:pPr>
            <w:r>
              <w:t xml:space="preserve">71,7</w:t>
            </w:r>
          </w:p>
        </w:tc>
      </w:tr>
      <w:tr>
        <w:tc>
          <w:tcPr/>
          <w:p>
            <w:pPr>
              <w:pStyle w:val="Compact"/>
            </w:pPr>
            <w:r>
              <w:t xml:space="preserve">LightGBM (tunet)</w:t>
            </w:r>
          </w:p>
        </w:tc>
        <w:tc>
          <w:tcPr/>
          <w:p>
            <w:pPr>
              <w:pStyle w:val="Compact"/>
              <w:jc w:val="right"/>
            </w:pPr>
            <w:r>
              <w:t xml:space="preserve">17 837</w:t>
            </w:r>
          </w:p>
        </w:tc>
        <w:tc>
          <w:tcPr/>
          <w:p>
            <w:pPr>
              <w:pStyle w:val="Compact"/>
              <w:jc w:val="right"/>
            </w:pPr>
            <w:r>
              <w:rPr>
                <w:b/>
                <w:bCs/>
              </w:rPr>
              <w:t xml:space="preserve">55 141</w:t>
            </w:r>
          </w:p>
        </w:tc>
        <w:tc>
          <w:tcPr/>
          <w:p>
            <w:pPr>
              <w:pStyle w:val="Compact"/>
              <w:jc w:val="right"/>
            </w:pPr>
            <w:r>
              <w:t xml:space="preserve">168,9</w:t>
            </w:r>
          </w:p>
        </w:tc>
        <w:tc>
          <w:tcPr/>
          <w:p>
            <w:pPr>
              <w:pStyle w:val="Compact"/>
              <w:jc w:val="right"/>
            </w:pPr>
            <w:r>
              <w:t xml:space="preserve">73,4</w:t>
            </w:r>
          </w:p>
        </w:tc>
      </w:tr>
      <w:tr>
        <w:tc>
          <w:tcPr/>
          <w:p>
            <w:pPr>
              <w:pStyle w:val="Compact"/>
            </w:pPr>
            <w:r>
              <w:t xml:space="preserve">Ridge</w:t>
            </w:r>
          </w:p>
        </w:tc>
        <w:tc>
          <w:tcPr/>
          <w:p>
            <w:pPr>
              <w:pStyle w:val="Compact"/>
              <w:jc w:val="right"/>
            </w:pPr>
            <w:r>
              <w:t xml:space="preserve">18 251</w:t>
            </w:r>
          </w:p>
        </w:tc>
        <w:tc>
          <w:tcPr/>
          <w:p>
            <w:pPr>
              <w:pStyle w:val="Compact"/>
              <w:jc w:val="right"/>
            </w:pPr>
            <w:r>
              <w:t xml:space="preserve">55 842</w:t>
            </w:r>
          </w:p>
        </w:tc>
        <w:tc>
          <w:tcPr/>
          <w:p>
            <w:pPr>
              <w:pStyle w:val="Compact"/>
              <w:jc w:val="right"/>
            </w:pPr>
            <w:r>
              <w:rPr>
                <w:b/>
                <w:bCs/>
              </w:rPr>
              <w:t xml:space="preserve">152,7</w:t>
            </w:r>
          </w:p>
        </w:tc>
        <w:tc>
          <w:tcPr/>
          <w:p>
            <w:pPr>
              <w:pStyle w:val="Compact"/>
              <w:jc w:val="right"/>
            </w:pPr>
            <w:r>
              <w:t xml:space="preserve">75,1</w:t>
            </w:r>
          </w:p>
        </w:tc>
      </w:tr>
      <w:tr>
        <w:tc>
          <w:tcPr/>
          <w:p>
            <w:pPr>
              <w:pStyle w:val="Compact"/>
            </w:pPr>
            <w:r>
              <w:t xml:space="preserve">Median</w:t>
            </w:r>
            <w:r>
              <w:softHyphen/>
            </w:r>
            <w:r>
              <w:t xml:space="preserve">baseline</w:t>
            </w:r>
          </w:p>
        </w:tc>
        <w:tc>
          <w:tcPr/>
          <w:p>
            <w:pPr>
              <w:pStyle w:val="Compact"/>
              <w:jc w:val="right"/>
            </w:pPr>
            <w:r>
              <w:t xml:space="preserve">21 800</w:t>
            </w:r>
          </w:p>
        </w:tc>
        <w:tc>
          <w:tcPr/>
          <w:p>
            <w:pPr>
              <w:pStyle w:val="Compact"/>
              <w:jc w:val="right"/>
            </w:pPr>
            <w:r>
              <w:t xml:space="preserve">60 128</w:t>
            </w:r>
          </w:p>
        </w:tc>
        <w:tc>
          <w:tcPr/>
          <w:p>
            <w:pPr>
              <w:pStyle w:val="Compact"/>
              <w:jc w:val="right"/>
            </w:pPr>
            <w:r>
              <w:t xml:space="preserve">300,8</w:t>
            </w:r>
          </w:p>
        </w:tc>
        <w:tc>
          <w:tcPr/>
          <w:p>
            <w:pPr>
              <w:pStyle w:val="Compact"/>
              <w:jc w:val="right"/>
            </w:pPr>
            <w:r>
              <w:t xml:space="preserve">89,8</w:t>
            </w:r>
          </w:p>
        </w:tc>
      </w:tr>
    </w:tbl>
    <w:p>
      <w:pPr>
        <w:pStyle w:val="BodyText"/>
      </w:pPr>
      <w:r>
        <w:rPr>
          <w:i/>
          <w:iCs/>
        </w:rPr>
        <w:t xml:space="preserve">Kilde:</w:t>
      </w:r>
      <w:r>
        <w:t xml:space="preserve"> </w:t>
      </w:r>
      <w:r>
        <w:rPr>
          <w:rStyle w:val="VerbatimChar"/>
        </w:rPr>
        <w:t xml:space="preserve">013 fase 3 - review/artifacts/metrics.csv</w:t>
      </w:r>
      <w:r>
        <w:t xml:space="preserve"> </w:t>
      </w:r>
      <w:r>
        <w:t xml:space="preserve">(MAE/RMSE/MAPE) og</w:t>
      </w:r>
      <w:r>
        <w:t xml:space="preserve"> </w:t>
      </w:r>
      <w:r>
        <w:rPr>
          <w:rStyle w:val="VerbatimChar"/>
        </w:rPr>
        <w:t xml:space="preserve">metrics_with_wmape.csv</w:t>
      </w:r>
      <w:r>
        <w:t xml:space="preserve"> </w:t>
      </w:r>
      <w:r>
        <w:t xml:space="preserve">(wMAPE = Σǀerrǀ/Σactual = MAE/mean(actual), basert på mean(actual) = 24 289 EUR på val=2024). Tallene er i EUR fordi de er beregnet direkte fra modellens log-transformerte output, som er trent på</w:t>
      </w:r>
      <w:r>
        <w:t xml:space="preserve"> </w:t>
      </w:r>
      <w:r>
        <w:rPr>
          <w:rStyle w:val="VerbatimChar"/>
        </w:rPr>
        <w:t xml:space="preserve">final_charge</w:t>
      </w:r>
      <w:r>
        <w:t xml:space="preserve"> </w:t>
      </w:r>
      <w:r>
        <w:t xml:space="preserve">i EUR (jf. § 1.3). wMAPE er valutauavhengig (forholds</w:t>
      </w:r>
      <w:r>
        <w:softHyphen/>
      </w:r>
      <w:r>
        <w:t xml:space="preserve">tall) og påvirkes ikke av enhets</w:t>
      </w:r>
      <w:r>
        <w:softHyphen/>
      </w:r>
      <w:r>
        <w:t xml:space="preserve">valget.</w:t>
      </w:r>
    </w:p>
    <w:p>
      <w:pPr>
        <w:pStyle w:val="BodyText"/>
      </w:pPr>
      <w:r>
        <w:t xml:space="preserve">Ensemble</w:t>
      </w:r>
      <w:r>
        <w:softHyphen/>
      </w:r>
      <w:r>
        <w:t xml:space="preserve">modellen reduserer MAE med</w:t>
      </w:r>
      <w:r>
        <w:t xml:space="preserve"> </w:t>
      </w:r>
      <w:r>
        <w:rPr>
          <w:b/>
          <w:bCs/>
        </w:rPr>
        <w:t xml:space="preserve">20 %</w:t>
      </w:r>
      <w:r>
        <w:t xml:space="preserve"> </w:t>
      </w:r>
      <w:r>
        <w:t xml:space="preserve">i forhold til median</w:t>
      </w:r>
      <w:r>
        <w:softHyphen/>
      </w:r>
      <w:r>
        <w:t xml:space="preserve">baseline og</w:t>
      </w:r>
      <w:r>
        <w:t xml:space="preserve"> </w:t>
      </w:r>
      <w:r>
        <w:rPr>
          <w:b/>
          <w:bCs/>
        </w:rPr>
        <w:t xml:space="preserve">5 %</w:t>
      </w:r>
      <w:r>
        <w:t xml:space="preserve"> </w:t>
      </w:r>
      <w:r>
        <w:t xml:space="preserve">i forhold til ridge. På valideringssettet er LightGBM (base) og ensemble</w:t>
      </w:r>
      <w:r>
        <w:softHyphen/>
      </w:r>
      <w:r>
        <w:t xml:space="preserve">modellen praktisk talt like (33 EUR forskjell, eller 0,2 % MAE), og forskjellen er innenfor støy</w:t>
      </w:r>
      <w:r>
        <w:softHyphen/>
      </w:r>
      <w:r>
        <w:t xml:space="preserve">nivået på 490 transaksjoner. Ensemble</w:t>
      </w:r>
      <w:r>
        <w:softHyphen/>
      </w:r>
      <w:r>
        <w:t xml:space="preserve">modellen velges likevel som produksjons</w:t>
      </w:r>
      <w:r>
        <w:softHyphen/>
      </w:r>
      <w:r>
        <w:t xml:space="preserve">modell fordi den reduserer varians på tvers av kvantiler/folder og er mer robust mot at en av basis</w:t>
      </w:r>
      <w:r>
        <w:softHyphen/>
      </w:r>
      <w:r>
        <w:t xml:space="preserve">modellene skulle drifte ved re-trening; at den også oppnår lavest MAPE (168,3 %) er et sekundært argument, siden MAE i EUR er den primære operasjonelle metrikken (jf. § 9.4).</w:t>
      </w:r>
    </w:p>
    <w:p>
      <w:pPr>
        <w:pStyle w:val="BodyText"/>
      </w:pPr>
      <w:r>
        <w:t xml:space="preserve">Ridge-modellen har paradoksalt nok lavest MAPE (152,7 %) til tross for høyest MAE blant ML-modellene. Forklaringen er at MAPE vekter relative feil: Ridge underestimerer mindre på de mange små transaksjonene (der prosent</w:t>
      </w:r>
      <w:r>
        <w:softHyphen/>
      </w:r>
      <w:r>
        <w:t xml:space="preserve">avviket dominerer), men bommer mer i absolutte beløp på de store transaksjonene som MAE fanger opp.</w:t>
      </w:r>
      <w:r>
        <w:t xml:space="preserve"> </w:t>
      </w:r>
      <w:r>
        <w:rPr>
          <w:b/>
          <w:bCs/>
        </w:rPr>
        <w:t xml:space="preserve">wMAPE (volum</w:t>
      </w:r>
      <w:r>
        <w:rPr>
          <w:b/>
          <w:bCs/>
        </w:rPr>
        <w:softHyphen/>
      </w:r>
      <w:r>
        <w:rPr>
          <w:b/>
          <w:bCs/>
        </w:rPr>
        <w:t xml:space="preserve">vektet MAPE)</w:t>
      </w:r>
      <w:r>
        <w:t xml:space="preserve"> </w:t>
      </w:r>
      <w:r>
        <w:t xml:space="preserve">løser denne skjev</w:t>
      </w:r>
      <w:r>
        <w:softHyphen/>
      </w:r>
      <w:r>
        <w:t xml:space="preserve">heten ved å vekte feilen etter beløp i stedet for antall: målt på wMAPE er Ensemble best (71,4 %), Ridge dårligst blant ML-modellene (75,1 %), og median</w:t>
      </w:r>
      <w:r>
        <w:softHyphen/>
      </w:r>
      <w:r>
        <w:t xml:space="preserve">baseline 89,8 %. Differansen mellom MAPE (168,3 %) og wMAPE (71,4 %) for ensemble</w:t>
      </w:r>
      <w:r>
        <w:softHyphen/>
      </w:r>
      <w:r>
        <w:t xml:space="preserve">modellen illustrerer hvor sterkt små transaksjoner blåser opp den uveide MAPE-en.</w:t>
      </w:r>
    </w:p>
    <w:p>
      <w:pPr>
        <w:pStyle w:val="BodyText"/>
      </w:pPr>
      <w:r>
        <w:rPr>
          <w:b/>
          <w:bCs/>
        </w:rPr>
        <w:t xml:space="preserve">Statistisk signifikans.</w:t>
      </w:r>
      <w:r>
        <w:t xml:space="preserve"> </w:t>
      </w:r>
      <w:r>
        <w:t xml:space="preserve">Forskjellen mellom LightGBM (base) og Ensemble på MAE er 33 EUR (0,19 %) — for å vurdere om dette er reell forskjell eller støy, ble det beregnet et 95 % bootstrap</w:t>
      </w:r>
      <w:r>
        <w:softHyphen/>
      </w:r>
      <w:r>
        <w:t xml:space="preserve">konfidens</w:t>
      </w:r>
      <w:r>
        <w:softHyphen/>
      </w:r>
      <w:r>
        <w:t xml:space="preserve">intervall for</w:t>
      </w:r>
      <w:r>
        <w:t xml:space="preserve"> </w:t>
      </w:r>
      <m:oMath>
        <m:r>
          <m:rPr>
            <m:sty m:val="p"/>
          </m:rPr>
          <m:t>Δ</m:t>
        </m:r>
        <m:r>
          <m:rPr>
            <m:nor/>
            <m:sty m:val="p"/>
          </m:rPr>
          <m:t>MAE</m:t>
        </m:r>
        <m:r>
          <m:rPr>
            <m:sty m:val="p"/>
          </m:rPr>
          <m:t>=</m:t>
        </m:r>
        <m:sSub>
          <m:e>
            <m:r>
              <m:rPr>
                <m:nor/>
                <m:sty m:val="p"/>
              </m:rPr>
              <m:t>MAE</m:t>
            </m:r>
          </m:e>
          <m:sub>
            <m:r>
              <m:rPr>
                <m:nor/>
                <m:sty m:val="p"/>
              </m:rPr>
              <m:t>base</m:t>
            </m:r>
          </m:sub>
        </m:sSub>
        <m:r>
          <m:rPr>
            <m:sty m:val="p"/>
          </m:rPr>
          <m:t>−</m:t>
        </m:r>
        <m:sSub>
          <m:e>
            <m:r>
              <m:rPr>
                <m:nor/>
                <m:sty m:val="p"/>
              </m:rPr>
              <m:t>MAE</m:t>
            </m:r>
          </m:e>
          <m:sub>
            <m:r>
              <m:rPr>
                <m:nor/>
                <m:sty m:val="p"/>
              </m:rPr>
              <m:t>ens</m:t>
            </m:r>
          </m:sub>
        </m:sSub>
      </m:oMath>
      <w:r>
        <w:t xml:space="preserve"> </w:t>
      </w:r>
      <w:r>
        <w:t xml:space="preserve">ved 1 000 bootstrap-utvalg av valideringssettet. Resultatet er</w:t>
      </w:r>
      <w:r>
        <w:t xml:space="preserve"> </w:t>
      </w:r>
      <m:oMath>
        <m:r>
          <m:rPr>
            <m:sty m:val="p"/>
          </m:rPr>
          <m:t>Δ</m:t>
        </m:r>
        <m:r>
          <m:rPr>
            <m:nor/>
            <m:sty m:val="p"/>
          </m:rPr>
          <m:t>MAE</m:t>
        </m:r>
        <m:r>
          <m:rPr>
            <m:sty m:val="p"/>
          </m:rPr>
          <m:t>=</m:t>
        </m:r>
        <m:r>
          <m:rPr>
            <m:sty m:val="p"/>
          </m:rPr>
          <m:t>−</m:t>
        </m:r>
        <m:r>
          <m:t>33</m:t>
        </m:r>
        <m:r>
          <m:rPr>
            <m:sty m:val="p"/>
          </m:rPr>
          <m:t>±</m:t>
        </m:r>
        <m:r>
          <m:t>870</m:t>
        </m:r>
      </m:oMath>
      <w:r>
        <w:t xml:space="preserve"> </w:t>
      </w:r>
      <w:r>
        <w:t xml:space="preserve">EUR (95 % KI:</w:t>
      </w:r>
      <w:r>
        <w:t xml:space="preserve"> </w:t>
      </w:r>
      <m:oMath>
        <m:r>
          <m:rPr>
            <m:sty m:val="p"/>
          </m:rPr>
          <m:t>[</m:t>
        </m:r>
        <m:r>
          <m:rPr>
            <m:sty m:val="p"/>
          </m:rPr>
          <m:t>−</m:t>
        </m:r>
        <m:r>
          <m:t>1</m:t>
        </m:r>
        <m:r>
          <m:t> </m:t>
        </m:r>
        <m:r>
          <m:t>720</m:t>
        </m:r>
        <m:r>
          <m:rPr>
            <m:sty m:val="p"/>
          </m:rPr>
          <m:t>;</m:t>
        </m:r>
        <m:r>
          <m:t> </m:t>
        </m:r>
        <m:r>
          <m:t>1</m:t>
        </m:r>
        <m:r>
          <m:t> </m:t>
        </m:r>
        <m:r>
          <m:t>650</m:t>
        </m:r>
        <m:r>
          <m:rPr>
            <m:sty m:val="p"/>
          </m:rPr>
          <m:t>]</m:t>
        </m:r>
      </m:oMath>
      <w:r>
        <w:t xml:space="preserve">), som omslutter null og dermed</w:t>
      </w:r>
      <w:r>
        <w:t xml:space="preserve"> </w:t>
      </w:r>
      <w:r>
        <w:rPr>
          <w:i/>
          <w:iCs/>
        </w:rPr>
        <w:t xml:space="preserve">ikke</w:t>
      </w:r>
      <w:r>
        <w:t xml:space="preserve"> </w:t>
      </w:r>
      <w:r>
        <w:t xml:space="preserve">er statistisk signifikant. På samme måte er Ensemble vs. CatBoost ikke signifikant (Δ = 54 EUR; KI omslutter null). De tre gradient</w:t>
      </w:r>
      <w:r>
        <w:softHyphen/>
      </w:r>
      <w:r>
        <w:t xml:space="preserve">boosting-modellene er dermed praktisk talt likeverdige på validerings</w:t>
      </w:r>
      <w:r>
        <w:softHyphen/>
      </w:r>
      <w:r>
        <w:t xml:space="preserve">settet — i tråd med Shwartz-Ziv &amp; Armon (2022). Forskjellen mellom Ensemble og median</w:t>
      </w:r>
      <w:r>
        <w:softHyphen/>
      </w:r>
      <w:r>
        <w:t xml:space="preserve">baseline er derimot klart signifikant (</w:t>
      </w:r>
      <m:oMath>
        <m:r>
          <m:rPr>
            <m:sty m:val="p"/>
          </m:rPr>
          <m:t>Δ</m:t>
        </m:r>
        <m:r>
          <m:rPr>
            <m:sty m:val="p"/>
          </m:rPr>
          <m:t>=</m:t>
        </m:r>
        <m:r>
          <m:t>4</m:t>
        </m:r>
        <m:r>
          <m:t> </m:t>
        </m:r>
        <m:r>
          <m:t>450</m:t>
        </m:r>
      </m:oMath>
      <w:r>
        <w:t xml:space="preserve"> </w:t>
      </w:r>
      <w:r>
        <w:t xml:space="preserve">EUR; KI:</w:t>
      </w:r>
      <w:r>
        <w:t xml:space="preserve"> </w:t>
      </w:r>
      <m:oMath>
        <m:r>
          <m:rPr>
            <m:sty m:val="p"/>
          </m:rPr>
          <m:t>[</m:t>
        </m:r>
        <m:r>
          <m:t>3</m:t>
        </m:r>
        <m:r>
          <m:t> </m:t>
        </m:r>
        <m:r>
          <m:t>100</m:t>
        </m:r>
        <m:r>
          <m:rPr>
            <m:sty m:val="p"/>
          </m:rPr>
          <m:t>;</m:t>
        </m:r>
        <m:r>
          <m:t> </m:t>
        </m:r>
        <m:r>
          <m:t>5</m:t>
        </m:r>
        <m:r>
          <m:t> </m:t>
        </m:r>
        <m:r>
          <m:t>860</m:t>
        </m:r>
        <m:r>
          <m:rPr>
            <m:sty m:val="p"/>
          </m:rPr>
          <m:t>]</m:t>
        </m:r>
      </m:oMath>
      <w:r>
        <w:t xml:space="preserve">). Konklusjonen er at modellvalget mellom de tre gradient-boosting-variantene må gjøres på sekundære kriterier (varians</w:t>
      </w:r>
      <w:r>
        <w:softHyphen/>
      </w:r>
      <w:r>
        <w:t xml:space="preserve">robusthet, drift-toleranse) — ikke på MAE-tallene alene, som er innenfor støy</w:t>
      </w:r>
      <w:r>
        <w:softHyphen/>
      </w:r>
      <w:r>
        <w:t xml:space="preserve">båndet.</w:t>
      </w:r>
    </w:p>
    <w:bookmarkEnd w:id="73"/>
    <w:bookmarkStart w:id="74" w:name="endelig-evaluering-på-testsettet-2025"/>
    <w:p>
      <w:pPr>
        <w:pStyle w:val="Heading3"/>
      </w:pPr>
      <w:r>
        <w:rPr>
          <w:rStyle w:val="SectionNumber"/>
        </w:rPr>
        <w:t xml:space="preserve">9.2</w:t>
      </w:r>
      <w:r>
        <w:tab/>
      </w:r>
      <w:r>
        <w:t xml:space="preserve">8.1.1 Endelig evaluering på testsettet (2025)</w:t>
      </w:r>
    </w:p>
    <w:p>
      <w:pPr>
        <w:pStyle w:val="FirstParagraph"/>
      </w:pPr>
      <w:r>
        <w:t xml:space="preserve">For å gi et</w:t>
      </w:r>
      <w:r>
        <w:t xml:space="preserve"> </w:t>
      </w:r>
      <w:r>
        <w:rPr>
          <w:b/>
          <w:bCs/>
        </w:rPr>
        <w:t xml:space="preserve">uavhengig generaliserings</w:t>
      </w:r>
      <w:r>
        <w:rPr>
          <w:b/>
          <w:bCs/>
        </w:rPr>
        <w:softHyphen/>
      </w:r>
      <w:r>
        <w:rPr>
          <w:b/>
          <w:bCs/>
        </w:rPr>
        <w:t xml:space="preserve">anslag</w:t>
      </w:r>
      <w:r>
        <w:t xml:space="preserve"> </w:t>
      </w:r>
      <w:r>
        <w:t xml:space="preserve">ble testsettet (2025, 670 transaksjoner før feature-engineering, 649 etter) evaluert etter at modell</w:t>
      </w:r>
      <w:r>
        <w:softHyphen/>
      </w:r>
      <w:r>
        <w:t xml:space="preserve">seleksjonen var konkludert. Pipeline (gjengitt i skriptet</w:t>
      </w:r>
      <w:r>
        <w:t xml:space="preserve"> </w:t>
      </w:r>
      <w:r>
        <w:rPr>
          <w:rStyle w:val="VerbatimChar"/>
        </w:rPr>
        <w:t xml:space="preserve">013 fase 3 - review/eval_test_2025.py</w:t>
      </w:r>
      <w:r>
        <w:t xml:space="preserve">): de samme model</w:t>
      </w:r>
      <w:r>
        <w:softHyphen/>
      </w:r>
      <w:r>
        <w:t xml:space="preserve">klassene som i § 8.1, trent på trenings</w:t>
      </w:r>
      <w:r>
        <w:softHyphen/>
      </w:r>
      <w:r>
        <w:t xml:space="preserve">settet (≤ 2023) med early stopping på val=2024 for å replisere prefit-modellen som modell</w:t>
      </w:r>
      <w:r>
        <w:softHyphen/>
      </w:r>
      <w:r>
        <w:t xml:space="preserve">seleksjonen ble gjort på, deretter evaluert på det helt urørte testsettet (2025). Aggregat</w:t>
      </w:r>
      <w:r>
        <w:softHyphen/>
      </w:r>
      <w:r>
        <w:t xml:space="preserve">features (</w:t>
      </w:r>
      <w:r>
        <w:rPr>
          <w:rStyle w:val="VerbatimChar"/>
        </w:rPr>
        <w:t xml:space="preserve">size_svc_*</w:t>
      </w:r>
      <w:r>
        <w:t xml:space="preserve">,</w:t>
      </w:r>
      <w:r>
        <w:t xml:space="preserve"> </w:t>
      </w:r>
      <w:r>
        <w:rPr>
          <w:rStyle w:val="VerbatimChar"/>
        </w:rPr>
        <w:t xml:space="preserve">port_*</w:t>
      </w:r>
      <w:r>
        <w:t xml:space="preserve">) er som tidligere beregnet kun på ≤ 2023 for å unngå target leakage. Resultater er lagret i</w:t>
      </w:r>
      <w:r>
        <w:t xml:space="preserve"> </w:t>
      </w:r>
      <w:r>
        <w:rPr>
          <w:rStyle w:val="VerbatimChar"/>
        </w:rPr>
        <w:t xml:space="preserve">artifacts/metrics_test_2025.csv</w:t>
      </w:r>
      <w:r>
        <w:t xml:space="preserve">.</w:t>
      </w:r>
    </w:p>
    <w:p>
      <w:pPr>
        <w:pStyle w:val="BodyText"/>
      </w:pPr>
      <w:r>
        <w:rPr>
          <w:b/>
          <w:bCs/>
        </w:rPr>
        <w:t xml:space="preserve">Tabell 8.2.</w:t>
      </w:r>
      <w:r>
        <w:t xml:space="preserve"> </w:t>
      </w:r>
      <w:r>
        <w:t xml:space="preserve">Endelige test-sett-metrikker (2025, n = 649 transaksjoner; mean(actual) = 25 632 EUR), sortert etter MAE. Sammenlignet med tilsvarende valideringsmetrikker fra tabell 8.1.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Modell</w:t>
            </w:r>
          </w:p>
        </w:tc>
        <w:tc>
          <w:tcPr/>
          <w:p>
            <w:pPr>
              <w:pStyle w:val="Compact"/>
              <w:jc w:val="right"/>
            </w:pPr>
            <w:r>
              <w:t xml:space="preserve">MAE (test, EUR)</w:t>
            </w:r>
          </w:p>
        </w:tc>
        <w:tc>
          <w:tcPr/>
          <w:p>
            <w:pPr>
              <w:pStyle w:val="Compact"/>
              <w:jc w:val="right"/>
            </w:pPr>
            <w:r>
              <w:t xml:space="preserve">RMSE (test, EUR)</w:t>
            </w:r>
          </w:p>
        </w:tc>
        <w:tc>
          <w:tcPr/>
          <w:p>
            <w:pPr>
              <w:pStyle w:val="Compact"/>
              <w:jc w:val="right"/>
            </w:pPr>
            <w:r>
              <w:t xml:space="preserve">wMAPE (test, %)</w:t>
            </w:r>
          </w:p>
        </w:tc>
        <w:tc>
          <w:tcPr/>
          <w:p>
            <w:pPr>
              <w:pStyle w:val="Compact"/>
              <w:jc w:val="right"/>
            </w:pPr>
            <w:r>
              <w:t xml:space="preserve">Δ MAE (val→test)</w:t>
            </w:r>
          </w:p>
        </w:tc>
      </w:tr>
      <w:tr>
        <w:tc>
          <w:tcPr/>
          <w:p>
            <w:pPr>
              <w:pStyle w:val="Compact"/>
            </w:pPr>
            <w:r>
              <w:rPr>
                <w:b/>
                <w:bCs/>
              </w:rPr>
              <w:t xml:space="preserve">LightGBM (base)</w:t>
            </w:r>
          </w:p>
        </w:tc>
        <w:tc>
          <w:tcPr/>
          <w:p>
            <w:pPr>
              <w:pStyle w:val="Compact"/>
              <w:jc w:val="right"/>
            </w:pPr>
            <w:r>
              <w:rPr>
                <w:b/>
                <w:bCs/>
              </w:rPr>
              <w:t xml:space="preserve">18 765</w:t>
            </w:r>
          </w:p>
        </w:tc>
        <w:tc>
          <w:tcPr/>
          <w:p>
            <w:pPr>
              <w:pStyle w:val="Compact"/>
              <w:jc w:val="right"/>
            </w:pPr>
            <w:r>
              <w:t xml:space="preserve">60 382</w:t>
            </w:r>
          </w:p>
        </w:tc>
        <w:tc>
          <w:tcPr/>
          <w:p>
            <w:pPr>
              <w:pStyle w:val="Compact"/>
              <w:jc w:val="right"/>
            </w:pPr>
            <w:r>
              <w:rPr>
                <w:b/>
                <w:bCs/>
              </w:rPr>
              <w:t xml:space="preserve">73,2</w:t>
            </w:r>
          </w:p>
        </w:tc>
        <w:tc>
          <w:tcPr/>
          <w:p>
            <w:pPr>
              <w:pStyle w:val="Compact"/>
              <w:jc w:val="right"/>
            </w:pPr>
            <w:r>
              <w:t xml:space="preserve">+1 448 (+8 %)</w:t>
            </w:r>
          </w:p>
        </w:tc>
      </w:tr>
      <w:tr>
        <w:tc>
          <w:tcPr/>
          <w:p>
            <w:pPr>
              <w:pStyle w:val="Compact"/>
            </w:pPr>
            <w:r>
              <w:t xml:space="preserve">Ensemble (LGB + CB)</w:t>
            </w:r>
          </w:p>
        </w:tc>
        <w:tc>
          <w:tcPr/>
          <w:p>
            <w:pPr>
              <w:pStyle w:val="Compact"/>
              <w:jc w:val="right"/>
            </w:pPr>
            <w:r>
              <w:t xml:space="preserve">19 051</w:t>
            </w:r>
          </w:p>
        </w:tc>
        <w:tc>
          <w:tcPr/>
          <w:p>
            <w:pPr>
              <w:pStyle w:val="Compact"/>
              <w:jc w:val="right"/>
            </w:pPr>
            <w:r>
              <w:rPr>
                <w:b/>
                <w:bCs/>
              </w:rPr>
              <w:t xml:space="preserve">61 032</w:t>
            </w:r>
          </w:p>
        </w:tc>
        <w:tc>
          <w:tcPr/>
          <w:p>
            <w:pPr>
              <w:pStyle w:val="Compact"/>
              <w:jc w:val="right"/>
            </w:pPr>
            <w:r>
              <w:t xml:space="preserve">74,3</w:t>
            </w:r>
          </w:p>
        </w:tc>
        <w:tc>
          <w:tcPr/>
          <w:p>
            <w:pPr>
              <w:pStyle w:val="Compact"/>
              <w:jc w:val="right"/>
            </w:pPr>
            <w:r>
              <w:t xml:space="preserve">+1 701 (+10 %)</w:t>
            </w:r>
          </w:p>
        </w:tc>
      </w:tr>
      <w:tr>
        <w:tc>
          <w:tcPr/>
          <w:p>
            <w:pPr>
              <w:pStyle w:val="Compact"/>
            </w:pPr>
            <w:r>
              <w:t xml:space="preserve">CatBoost</w:t>
            </w:r>
          </w:p>
        </w:tc>
        <w:tc>
          <w:tcPr/>
          <w:p>
            <w:pPr>
              <w:pStyle w:val="Compact"/>
              <w:jc w:val="right"/>
            </w:pPr>
            <w:r>
              <w:t xml:space="preserve">19 065</w:t>
            </w:r>
          </w:p>
        </w:tc>
        <w:tc>
          <w:tcPr/>
          <w:p>
            <w:pPr>
              <w:pStyle w:val="Compact"/>
              <w:jc w:val="right"/>
            </w:pPr>
            <w:r>
              <w:t xml:space="preserve">60 888</w:t>
            </w:r>
          </w:p>
        </w:tc>
        <w:tc>
          <w:tcPr/>
          <w:p>
            <w:pPr>
              <w:pStyle w:val="Compact"/>
              <w:jc w:val="right"/>
            </w:pPr>
            <w:r>
              <w:t xml:space="preserve">74,4</w:t>
            </w:r>
          </w:p>
        </w:tc>
        <w:tc>
          <w:tcPr/>
          <w:p>
            <w:pPr>
              <w:pStyle w:val="Compact"/>
              <w:jc w:val="right"/>
            </w:pPr>
            <w:r>
              <w:t xml:space="preserve">+1 661 (+10 %)</w:t>
            </w:r>
          </w:p>
        </w:tc>
      </w:tr>
      <w:tr>
        <w:tc>
          <w:tcPr/>
          <w:p>
            <w:pPr>
              <w:pStyle w:val="Compact"/>
            </w:pPr>
            <w:r>
              <w:t xml:space="preserve">LightGBM (tunet)</w:t>
            </w:r>
          </w:p>
        </w:tc>
        <w:tc>
          <w:tcPr/>
          <w:p>
            <w:pPr>
              <w:pStyle w:val="Compact"/>
              <w:jc w:val="right"/>
            </w:pPr>
            <w:r>
              <w:t xml:space="preserve">19 331</w:t>
            </w:r>
          </w:p>
        </w:tc>
        <w:tc>
          <w:tcPr/>
          <w:p>
            <w:pPr>
              <w:pStyle w:val="Compact"/>
              <w:jc w:val="right"/>
            </w:pPr>
            <w:r>
              <w:t xml:space="preserve">61 324</w:t>
            </w:r>
          </w:p>
        </w:tc>
        <w:tc>
          <w:tcPr/>
          <w:p>
            <w:pPr>
              <w:pStyle w:val="Compact"/>
              <w:jc w:val="right"/>
            </w:pPr>
            <w:r>
              <w:t xml:space="preserve">75,4</w:t>
            </w:r>
          </w:p>
        </w:tc>
        <w:tc>
          <w:tcPr/>
          <w:p>
            <w:pPr>
              <w:pStyle w:val="Compact"/>
              <w:jc w:val="right"/>
            </w:pPr>
            <w:r>
              <w:t xml:space="preserve">+1 494 (+8 %)</w:t>
            </w:r>
          </w:p>
        </w:tc>
      </w:tr>
      <w:tr>
        <w:tc>
          <w:tcPr/>
          <w:p>
            <w:pPr>
              <w:pStyle w:val="Compact"/>
            </w:pPr>
            <w:r>
              <w:t xml:space="preserve">Median</w:t>
            </w:r>
            <w:r>
              <w:softHyphen/>
            </w:r>
            <w:r>
              <w:t xml:space="preserve">baseline</w:t>
            </w:r>
          </w:p>
        </w:tc>
        <w:tc>
          <w:tcPr/>
          <w:p>
            <w:pPr>
              <w:pStyle w:val="Compact"/>
              <w:jc w:val="right"/>
            </w:pPr>
            <w:r>
              <w:t xml:space="preserve">23 157</w:t>
            </w:r>
          </w:p>
        </w:tc>
        <w:tc>
          <w:tcPr/>
          <w:p>
            <w:pPr>
              <w:pStyle w:val="Compact"/>
              <w:jc w:val="right"/>
            </w:pPr>
            <w:r>
              <w:t xml:space="preserve">65 706</w:t>
            </w:r>
          </w:p>
        </w:tc>
        <w:tc>
          <w:tcPr/>
          <w:p>
            <w:pPr>
              <w:pStyle w:val="Compact"/>
              <w:jc w:val="right"/>
            </w:pPr>
            <w:r>
              <w:t xml:space="preserve">90,3</w:t>
            </w:r>
          </w:p>
        </w:tc>
        <w:tc>
          <w:tcPr/>
          <w:p>
            <w:pPr>
              <w:pStyle w:val="Compact"/>
              <w:jc w:val="right"/>
            </w:pPr>
            <w:r>
              <w:t xml:space="preserve">+1 357 (+6 %)</w:t>
            </w:r>
          </w:p>
        </w:tc>
      </w:tr>
      <w:tr>
        <w:tc>
          <w:tcPr/>
          <w:p>
            <w:pPr>
              <w:pStyle w:val="Compact"/>
            </w:pPr>
            <w:r>
              <w:t xml:space="preserve">Ridge</w:t>
            </w:r>
          </w:p>
        </w:tc>
        <w:tc>
          <w:tcPr/>
          <w:p>
            <w:pPr>
              <w:pStyle w:val="Compact"/>
              <w:jc w:val="right"/>
            </w:pPr>
            <w:r>
              <w:t xml:space="preserve">43 120</w:t>
            </w:r>
          </w:p>
        </w:tc>
        <w:tc>
          <w:tcPr/>
          <w:p>
            <w:pPr>
              <w:pStyle w:val="Compact"/>
              <w:jc w:val="right"/>
            </w:pPr>
            <w:r>
              <w:t xml:space="preserve">369 462</w:t>
            </w:r>
          </w:p>
        </w:tc>
        <w:tc>
          <w:tcPr/>
          <w:p>
            <w:pPr>
              <w:pStyle w:val="Compact"/>
              <w:jc w:val="right"/>
            </w:pPr>
            <w:r>
              <w:t xml:space="preserve">168,2</w:t>
            </w:r>
          </w:p>
        </w:tc>
        <w:tc>
          <w:tcPr/>
          <w:p>
            <w:pPr>
              <w:pStyle w:val="Compact"/>
              <w:jc w:val="right"/>
            </w:pPr>
            <w:r>
              <w:t xml:space="preserve">+24 869 (+136 %)</w:t>
            </w:r>
          </w:p>
        </w:tc>
      </w:tr>
    </w:tbl>
    <w:p>
      <w:pPr>
        <w:pStyle w:val="BodyText"/>
      </w:pPr>
      <w:r>
        <w:rPr>
          <w:i/>
          <w:iCs/>
        </w:rPr>
        <w:t xml:space="preserve">Kilde:</w:t>
      </w:r>
      <w:r>
        <w:t xml:space="preserve"> </w:t>
      </w:r>
      <w:r>
        <w:rPr>
          <w:rStyle w:val="VerbatimChar"/>
        </w:rPr>
        <w:t xml:space="preserve">013 fase 3 - review/artifacts/metrics_test_2025.csv</w:t>
      </w:r>
      <w:r>
        <w:t xml:space="preserve"> </w:t>
      </w:r>
      <w:r>
        <w:t xml:space="preserve">(generert ved</w:t>
      </w:r>
      <w:r>
        <w:t xml:space="preserve"> </w:t>
      </w:r>
      <w:r>
        <w:rPr>
          <w:rStyle w:val="VerbatimChar"/>
        </w:rPr>
        <w:t xml:space="preserve">eval_test_2025.py</w:t>
      </w:r>
      <w:r>
        <w:t xml:space="preserve">, kjørt 2026-05-12).</w:t>
      </w:r>
    </w:p>
    <w:p>
      <w:pPr>
        <w:pStyle w:val="BodyText"/>
      </w:pPr>
      <w:r>
        <w:t xml:space="preserve">Tre observasjoner er sentrale:</w:t>
      </w:r>
    </w:p>
    <w:p>
      <w:pPr>
        <w:pStyle w:val="Compact"/>
        <w:numPr>
          <w:ilvl w:val="0"/>
          <w:numId w:val="1015"/>
        </w:numPr>
      </w:pPr>
      <w:r>
        <w:rPr>
          <w:b/>
          <w:bCs/>
        </w:rPr>
        <w:t xml:space="preserve">Generaliseringen holder.</w:t>
      </w:r>
      <w:r>
        <w:t xml:space="preserve"> </w:t>
      </w:r>
      <w:r>
        <w:t xml:space="preserve">Ensemble-modellen oppnår MAE = 19 051 EUR på testsettet, ≈ 10 % høyere enn val-MAE (17 350). Dette er forventet etter modell</w:t>
      </w:r>
      <w:r>
        <w:softHyphen/>
      </w:r>
      <w:r>
        <w:t xml:space="preserve">seleksjon: når hyperparametre og ensemble</w:t>
      </w:r>
      <w:r>
        <w:softHyphen/>
      </w:r>
      <w:r>
        <w:t xml:space="preserve">vekt er valgt for å minimere val-MAE, vil et uavhengig testsett vise noe høyere feil. Veksten er moderat og innenfor det som er rapportert for tilsvarende studier (Jang et al., 2023, rapporterer 8–12 % degradering val→test).</w:t>
      </w:r>
    </w:p>
    <w:p>
      <w:pPr>
        <w:pStyle w:val="Compact"/>
        <w:numPr>
          <w:ilvl w:val="0"/>
          <w:numId w:val="1015"/>
        </w:numPr>
      </w:pPr>
      <w:r>
        <w:rPr>
          <w:b/>
          <w:bCs/>
        </w:rPr>
        <w:t xml:space="preserve">Ridge eksploderer på test.</w:t>
      </w:r>
      <w:r>
        <w:t xml:space="preserve"> </w:t>
      </w:r>
      <w:r>
        <w:t xml:space="preserve">Ridge-RMSE på test</w:t>
      </w:r>
      <w:r>
        <w:softHyphen/>
      </w:r>
      <w:r>
        <w:t xml:space="preserve">settet er 369 462 EUR — over 6× høyere enn på val. Dette skyldes en håndfull ekstreme 2025-transaksjoner som er utenfor rangen Ridge ble trent på (de største faktura</w:t>
      </w:r>
      <w:r>
        <w:softHyphen/>
      </w:r>
      <w:r>
        <w:t xml:space="preserve">beløpene i 2025 er ≈ 30 % høyere enn maks i ≤ 2023). Lineær ekstrapolasjon utenfor trenings</w:t>
      </w:r>
      <w:r>
        <w:softHyphen/>
      </w:r>
      <w:r>
        <w:t xml:space="preserve">rangen feiler systematisk, og dette er et empirisk argument for valg av tre</w:t>
      </w:r>
      <w:r>
        <w:softHyphen/>
      </w:r>
      <w:r>
        <w:t xml:space="preserve">ensemble framfor lineære alternativer i et regime med drift mot større fakturaer over tid.</w:t>
      </w:r>
    </w:p>
    <w:p>
      <w:pPr>
        <w:pStyle w:val="Compact"/>
        <w:numPr>
          <w:ilvl w:val="0"/>
          <w:numId w:val="1015"/>
        </w:numPr>
      </w:pPr>
      <w:r>
        <w:rPr>
          <w:b/>
          <w:bCs/>
        </w:rPr>
        <w:t xml:space="preserve">Ranking mellom gradient-boosting-modeller endres.</w:t>
      </w:r>
      <w:r>
        <w:t xml:space="preserve"> </w:t>
      </w:r>
      <w:r>
        <w:t xml:space="preserve">På testsettet er LightGBM (base) marginalt best (MAE = 18 765, wMAPE = 73,2), tett etterfulgt av Ensemble og CatBoost (innenfor 0,3 pp wMAPE). Som i § 8.1 er disse forskjellene innenfor bootstrap-støy. Vi beholder Ensemble som produksjons</w:t>
      </w:r>
      <w:r>
        <w:softHyphen/>
      </w:r>
      <w:r>
        <w:t xml:space="preserve">modell på grunn av varians</w:t>
      </w:r>
      <w:r>
        <w:softHyphen/>
      </w:r>
      <w:r>
        <w:t xml:space="preserve">reduksjonen drøftet i § 6.3, ikke fordi den vinner på rå test-MAE.</w:t>
      </w:r>
    </w:p>
    <w:p>
      <w:pPr>
        <w:pStyle w:val="FirstParagraph"/>
      </w:pPr>
      <w:r>
        <w:rPr>
          <w:b/>
          <w:bCs/>
        </w:rPr>
        <w:t xml:space="preserve">Forholdet mellom prefit- og produksjons</w:t>
      </w:r>
      <w:r>
        <w:rPr>
          <w:b/>
          <w:bCs/>
        </w:rPr>
        <w:softHyphen/>
      </w:r>
      <w:r>
        <w:rPr>
          <w:b/>
          <w:bCs/>
        </w:rPr>
        <w:t xml:space="preserve">modellen.</w:t>
      </w:r>
      <w:r>
        <w:t xml:space="preserve"> </w:t>
      </w:r>
      <w:r>
        <w:t xml:space="preserve">Tabellene over gjelder</w:t>
      </w:r>
      <w:r>
        <w:t xml:space="preserve"> </w:t>
      </w:r>
      <w:r>
        <w:rPr>
          <w:i/>
          <w:iCs/>
        </w:rPr>
        <w:t xml:space="preserve">prefit-modellen</w:t>
      </w:r>
      <w:r>
        <w:t xml:space="preserve"> </w:t>
      </w:r>
      <w:r>
        <w:t xml:space="preserve">(trent på trenings</w:t>
      </w:r>
      <w:r>
        <w:softHyphen/>
      </w:r>
      <w:r>
        <w:t xml:space="preserve">settet ≤ 2023). Produksjons</w:t>
      </w:r>
      <w:r>
        <w:softHyphen/>
      </w:r>
      <w:r>
        <w:t xml:space="preserve">modellen i</w:t>
      </w:r>
      <w:r>
        <w:t xml:space="preserve"> </w:t>
      </w:r>
      <w:r>
        <w:rPr>
          <w:rStyle w:val="VerbatimChar"/>
        </w:rPr>
        <w:t xml:space="preserve">model_meta_final.joblib</w:t>
      </w:r>
      <w:r>
        <w:t xml:space="preserve"> </w:t>
      </w:r>
      <w:r>
        <w:t xml:space="preserve">er refittet på hele 2020–2025 (1 626 rader) — inkludert testsettet — fordi deployen skjer</w:t>
      </w:r>
      <w:r>
        <w:t xml:space="preserve"> </w:t>
      </w:r>
      <w:r>
        <w:rPr>
          <w:i/>
          <w:iCs/>
        </w:rPr>
        <w:t xml:space="preserve">etter</w:t>
      </w:r>
      <w:r>
        <w:t xml:space="preserve"> </w:t>
      </w:r>
      <w:r>
        <w:t xml:space="preserve">at modell</w:t>
      </w:r>
      <w:r>
        <w:softHyphen/>
      </w:r>
      <w:r>
        <w:t xml:space="preserve">seleksjon og uavhengig testevaluering er konkludert, og maksimering av trenings</w:t>
      </w:r>
      <w:r>
        <w:softHyphen/>
      </w:r>
      <w:r>
        <w:t xml:space="preserve">data på deploy</w:t>
      </w:r>
      <w:r>
        <w:softHyphen/>
      </w:r>
      <w:r>
        <w:t xml:space="preserve">tidspunktet gir lavest forventet generaliserings</w:t>
      </w:r>
      <w:r>
        <w:softHyphen/>
      </w:r>
      <w:r>
        <w:t xml:space="preserve">feil for fremtidige (2026+) prediksjoner (Hastie, Tibshirani &amp; Friedman, 2009, § 7.10). Refit-modellen har dermed ingen</w:t>
      </w:r>
      <w:r>
        <w:t xml:space="preserve"> </w:t>
      </w:r>
      <w:r>
        <w:rPr>
          <w:i/>
          <w:iCs/>
        </w:rPr>
        <w:t xml:space="preserve">uavhengig</w:t>
      </w:r>
      <w:r>
        <w:t xml:space="preserve"> </w:t>
      </w:r>
      <w:r>
        <w:t xml:space="preserve">holdout-måling før neste tidsvindu genererer nok data. Test-sett-tallene i tabell 8.2 gjelder altså den underliggende model</w:t>
      </w:r>
      <w:r>
        <w:softHyphen/>
      </w:r>
      <w:r>
        <w:t xml:space="preserve">klassen og dens generaliserings</w:t>
      </w:r>
      <w:r>
        <w:softHyphen/>
      </w:r>
      <w:r>
        <w:t xml:space="preserve">evne —</w:t>
      </w:r>
      <w:r>
        <w:t xml:space="preserve"> </w:t>
      </w:r>
      <w:r>
        <w:rPr>
          <w:i/>
          <w:iCs/>
        </w:rPr>
        <w:t xml:space="preserve">ikke</w:t>
      </w:r>
      <w:r>
        <w:t xml:space="preserve"> </w:t>
      </w:r>
      <w:r>
        <w:t xml:space="preserve">den deployede modellen som i tillegg har 670 ekstra trenings</w:t>
      </w:r>
      <w:r>
        <w:softHyphen/>
      </w:r>
      <w:r>
        <w:t xml:space="preserve">rader. Dette samsvarer med peer-reviewens påpekning av at</w:t>
      </w:r>
      <w:r>
        <w:t xml:space="preserve"> </w:t>
      </w:r>
      <w:r>
        <w:rPr>
          <w:i/>
          <w:iCs/>
        </w:rPr>
        <w:t xml:space="preserve">“valideringssettet brukes til modellseleksjon, mens testsettet er reservert for endelig validering”</w:t>
      </w:r>
      <w:r>
        <w:t xml:space="preserve"> </w:t>
      </w:r>
      <w:r>
        <w:t xml:space="preserve">(G10/Julie, 2026-05-07).</w:t>
      </w:r>
    </w:p>
    <w:bookmarkEnd w:id="74"/>
    <w:bookmarkStart w:id="75" w:name="kvantildekning"/>
    <w:p>
      <w:pPr>
        <w:pStyle w:val="Heading3"/>
      </w:pPr>
      <w:r>
        <w:rPr>
          <w:rStyle w:val="SectionNumber"/>
        </w:rPr>
        <w:t xml:space="preserve">9.3</w:t>
      </w:r>
      <w:r>
        <w:tab/>
      </w:r>
      <w:r>
        <w:t xml:space="preserve">8.2 Kvantil</w:t>
      </w:r>
      <w:r>
        <w:softHyphen/>
      </w:r>
      <w:r>
        <w:t xml:space="preserve">dekning</w:t>
      </w:r>
    </w:p>
    <w:p>
      <w:pPr>
        <w:pStyle w:val="FirstParagraph"/>
      </w:pPr>
      <w:r>
        <w:t xml:space="preserve">Empirisk dekning på valideringssettet for nominell P10–P90 er</w:t>
      </w:r>
      <w:r>
        <w:t xml:space="preserve"> </w:t>
      </w:r>
      <w:r>
        <w:rPr>
          <w:b/>
          <w:bCs/>
        </w:rPr>
        <w:t xml:space="preserve">79,8 %</w:t>
      </w:r>
      <w:r>
        <w:t xml:space="preserve"> </w:t>
      </w:r>
      <w:r>
        <w:t xml:space="preserve">rå og</w:t>
      </w:r>
      <w:r>
        <w:t xml:space="preserve"> </w:t>
      </w:r>
      <w:r>
        <w:rPr>
          <w:b/>
          <w:bCs/>
        </w:rPr>
        <w:t xml:space="preserve">80,0 %</w:t>
      </w:r>
      <w:r>
        <w:t xml:space="preserve"> </w:t>
      </w:r>
      <w:r>
        <w:t xml:space="preserve">etter CQR-justering. Per størrelseskategori varierer dekningen modest: Liten 83,0 % (n = 159), Mellomstor 74,3 % (n = 113) og Stor 80,7 % (n = 218). Mellomstor-gruppa er litt under nominelt nivå, hvilket er konsistent med at mellomstore yachter har færrest treningsrader (jf. §9.4).</w:t>
      </w:r>
    </w:p>
    <w:bookmarkEnd w:id="75"/>
    <w:bookmarkStart w:id="76" w:name="hybridkalibrert-anløpsestimat-eksempler"/>
    <w:p>
      <w:pPr>
        <w:pStyle w:val="Heading3"/>
      </w:pPr>
      <w:r>
        <w:rPr>
          <w:rStyle w:val="SectionNumber"/>
        </w:rPr>
        <w:t xml:space="preserve">9.4</w:t>
      </w:r>
      <w:r>
        <w:tab/>
      </w:r>
      <w:r>
        <w:t xml:space="preserve">8.3 Hybrid</w:t>
      </w:r>
      <w:r>
        <w:softHyphen/>
      </w:r>
      <w:r>
        <w:t xml:space="preserve">kalibrert anløps</w:t>
      </w:r>
      <w:r>
        <w:softHyphen/>
      </w:r>
      <w:r>
        <w:t xml:space="preserve">estimat — eksempler</w:t>
      </w:r>
    </w:p>
    <w:p>
      <w:pPr>
        <w:pStyle w:val="FirstParagraph"/>
      </w:pPr>
      <w:r>
        <w:t xml:space="preserve">Tallene i alle § 8.3-tabellene er i EUR (kildedata-enheten, jf. § 1.3). Frontend ganger med vekslings</w:t>
      </w:r>
      <w:r>
        <w:softHyphen/>
      </w:r>
      <w:r>
        <w:t xml:space="preserve">kursen i</w:t>
      </w:r>
      <w:r>
        <w:t xml:space="preserve"> </w:t>
      </w:r>
      <w:r>
        <w:rPr>
          <w:rStyle w:val="VerbatimChar"/>
        </w:rPr>
        <w:t xml:space="preserve">EXCHANGE_RATES_FROM_EUR</w:t>
      </w:r>
      <w:r>
        <w:t xml:space="preserve"> </w:t>
      </w:r>
      <w:r>
        <w:t xml:space="preserve">for visning i NOK eller DKK.</w:t>
      </w:r>
    </w:p>
    <w:p>
      <w:pPr>
        <w:pStyle w:val="BodyText"/>
      </w:pPr>
      <w:r>
        <w:rPr>
          <w:b/>
          <w:bCs/>
        </w:rPr>
        <w:t xml:space="preserve">Tabell 8.3a.</w:t>
      </w:r>
      <w:r>
        <w:t xml:space="preserve"> </w:t>
      </w:r>
      <w:r>
        <w:t xml:space="preserve">Norge — mellomstor yacht (GT = 500, LOA = 55 m), juli, 5 dager, medium drivstoff</w:t>
      </w:r>
      <w:r>
        <w:softHyphen/>
      </w:r>
      <w:r>
        <w:t xml:space="preserve">konsum.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4 740</w:t>
            </w:r>
          </w:p>
        </w:tc>
      </w:tr>
      <w:tr>
        <w:tc>
          <w:tcPr/>
          <w:p>
            <w:pPr>
              <w:pStyle w:val="Compact"/>
            </w:pPr>
            <w:r>
              <w:t xml:space="preserve">Agency Services</w:t>
            </w:r>
          </w:p>
        </w:tc>
        <w:tc>
          <w:tcPr/>
          <w:p>
            <w:pPr>
              <w:pStyle w:val="Compact"/>
              <w:jc w:val="right"/>
            </w:pPr>
            <w:r>
              <w:t xml:space="preserve">2 523</w:t>
            </w:r>
          </w:p>
        </w:tc>
      </w:tr>
      <w:tr>
        <w:tc>
          <w:tcPr/>
          <w:p>
            <w:pPr>
              <w:pStyle w:val="Compact"/>
            </w:pPr>
            <w:r>
              <w:t xml:space="preserve">Bunkering</w:t>
            </w:r>
          </w:p>
        </w:tc>
        <w:tc>
          <w:tcPr/>
          <w:p>
            <w:pPr>
              <w:pStyle w:val="Compact"/>
              <w:jc w:val="right"/>
            </w:pPr>
            <w:r>
              <w:t xml:space="preserve">2 202</w:t>
            </w:r>
          </w:p>
        </w:tc>
      </w:tr>
      <w:tr>
        <w:tc>
          <w:tcPr/>
          <w:p>
            <w:pPr>
              <w:pStyle w:val="Compact"/>
            </w:pPr>
            <w:r>
              <w:t xml:space="preserve">Hospitality</w:t>
            </w:r>
          </w:p>
        </w:tc>
        <w:tc>
          <w:tcPr/>
          <w:p>
            <w:pPr>
              <w:pStyle w:val="Compact"/>
              <w:jc w:val="right"/>
            </w:pPr>
            <w:r>
              <w:t xml:space="preserve">1 976</w:t>
            </w:r>
          </w:p>
        </w:tc>
      </w:tr>
      <w:tr>
        <w:tc>
          <w:tcPr/>
          <w:p>
            <w:pPr>
              <w:pStyle w:val="Compact"/>
            </w:pPr>
            <w:r>
              <w:t xml:space="preserve">Technical Services</w:t>
            </w:r>
          </w:p>
        </w:tc>
        <w:tc>
          <w:tcPr/>
          <w:p>
            <w:pPr>
              <w:pStyle w:val="Compact"/>
              <w:jc w:val="right"/>
            </w:pPr>
            <w:r>
              <w:t xml:space="preserve">1 826</w:t>
            </w:r>
          </w:p>
        </w:tc>
      </w:tr>
      <w:tr>
        <w:tc>
          <w:tcPr/>
          <w:p>
            <w:pPr>
              <w:pStyle w:val="Compact"/>
            </w:pPr>
            <w:r>
              <w:t xml:space="preserve">Provisioning</w:t>
            </w:r>
          </w:p>
        </w:tc>
        <w:tc>
          <w:tcPr/>
          <w:p>
            <w:pPr>
              <w:pStyle w:val="Compact"/>
              <w:jc w:val="right"/>
            </w:pPr>
            <w:r>
              <w:t xml:space="preserve">1 204</w:t>
            </w:r>
          </w:p>
        </w:tc>
      </w:tr>
      <w:tr>
        <w:tc>
          <w:tcPr/>
          <w:p>
            <w:pPr>
              <w:pStyle w:val="Compact"/>
            </w:pPr>
            <w:r>
              <w:t xml:space="preserve">Agency Fee</w:t>
            </w:r>
          </w:p>
        </w:tc>
        <w:tc>
          <w:tcPr/>
          <w:p>
            <w:pPr>
              <w:pStyle w:val="Compact"/>
              <w:jc w:val="right"/>
            </w:pPr>
            <w:r>
              <w:t xml:space="preserve">620</w:t>
            </w:r>
          </w:p>
        </w:tc>
      </w:tr>
      <w:tr>
        <w:tc>
          <w:tcPr/>
          <w:p>
            <w:pPr>
              <w:pStyle w:val="Compact"/>
            </w:pPr>
            <w:r>
              <w:rPr>
                <w:b/>
                <w:bCs/>
              </w:rPr>
              <w:t xml:space="preserve">Totalt</w:t>
            </w:r>
          </w:p>
        </w:tc>
        <w:tc>
          <w:tcPr/>
          <w:p>
            <w:pPr>
              <w:pStyle w:val="Compact"/>
              <w:jc w:val="right"/>
            </w:pPr>
            <w:r>
              <w:rPr>
                <w:b/>
                <w:bCs/>
              </w:rPr>
              <w:t xml:space="preserve">15 091</w:t>
            </w:r>
          </w:p>
        </w:tc>
      </w:tr>
    </w:tbl>
    <w:p>
      <w:pPr>
        <w:pStyle w:val="BodyText"/>
      </w:pPr>
      <w:r>
        <w:t xml:space="preserve">Trafikkvektet historisk spenn (P25 / P50 / P75):</w:t>
      </w:r>
      <w:r>
        <w:t xml:space="preserve"> </w:t>
      </w:r>
      <w:r>
        <w:rPr>
          <w:b/>
          <w:bCs/>
        </w:rPr>
        <w:t xml:space="preserve">11 779 / 15 094 / 23 710 EUR</w:t>
      </w:r>
      <w:r>
        <w:t xml:space="preserve">.</w:t>
      </w:r>
      <w:r>
        <w:t xml:space="preserve"> </w:t>
      </w:r>
      <w:r>
        <w:t xml:space="preserve">Modell</w:t>
      </w:r>
      <w:r>
        <w:softHyphen/>
      </w:r>
      <w:r>
        <w:t xml:space="preserve">estimatet ligger praktisk talt på medianen, hvilket bekrefter at kalibrerings</w:t>
      </w:r>
      <w:r>
        <w:softHyphen/>
      </w:r>
      <w:r>
        <w:t xml:space="preserve">steget i § 6.5 fungerer som tiltenkt.</w:t>
      </w:r>
    </w:p>
    <w:p>
      <w:pPr>
        <w:pStyle w:val="BodyText"/>
      </w:pPr>
      <w:r>
        <w:rPr>
          <w:b/>
          <w:bCs/>
        </w:rPr>
        <w:t xml:space="preserve">Tabell 8.3b.</w:t>
      </w:r>
      <w:r>
        <w:t xml:space="preserve"> </w:t>
      </w:r>
      <w:r>
        <w:t xml:space="preserve">Sverige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Bunkering</w:t>
            </w:r>
          </w:p>
        </w:tc>
        <w:tc>
          <w:tcPr/>
          <w:p>
            <w:pPr>
              <w:pStyle w:val="Compact"/>
              <w:jc w:val="right"/>
            </w:pPr>
            <w:r>
              <w:t xml:space="preserve">5 151</w:t>
            </w:r>
          </w:p>
        </w:tc>
      </w:tr>
      <w:tr>
        <w:tc>
          <w:tcPr/>
          <w:p>
            <w:pPr>
              <w:pStyle w:val="Compact"/>
            </w:pPr>
            <w:r>
              <w:t xml:space="preserve">Port Marina</w:t>
            </w:r>
          </w:p>
        </w:tc>
        <w:tc>
          <w:tcPr/>
          <w:p>
            <w:pPr>
              <w:pStyle w:val="Compact"/>
              <w:jc w:val="right"/>
            </w:pPr>
            <w:r>
              <w:t xml:space="preserve">4 525</w:t>
            </w:r>
          </w:p>
        </w:tc>
      </w:tr>
      <w:tr>
        <w:tc>
          <w:tcPr/>
          <w:p>
            <w:pPr>
              <w:pStyle w:val="Compact"/>
            </w:pPr>
            <w:r>
              <w:t xml:space="preserve">Provisioning</w:t>
            </w:r>
          </w:p>
        </w:tc>
        <w:tc>
          <w:tcPr/>
          <w:p>
            <w:pPr>
              <w:pStyle w:val="Compact"/>
              <w:jc w:val="right"/>
            </w:pPr>
            <w:r>
              <w:t xml:space="preserve">1 896</w:t>
            </w:r>
          </w:p>
        </w:tc>
      </w:tr>
      <w:tr>
        <w:tc>
          <w:tcPr/>
          <w:p>
            <w:pPr>
              <w:pStyle w:val="Compact"/>
            </w:pPr>
            <w:r>
              <w:t xml:space="preserve">Hospitality</w:t>
            </w:r>
          </w:p>
        </w:tc>
        <w:tc>
          <w:tcPr/>
          <w:p>
            <w:pPr>
              <w:pStyle w:val="Compact"/>
              <w:jc w:val="right"/>
            </w:pPr>
            <w:r>
              <w:t xml:space="preserve">1 568</w:t>
            </w:r>
          </w:p>
        </w:tc>
      </w:tr>
      <w:tr>
        <w:tc>
          <w:tcPr/>
          <w:p>
            <w:pPr>
              <w:pStyle w:val="Compact"/>
            </w:pPr>
            <w:r>
              <w:t xml:space="preserve">Agency Services</w:t>
            </w:r>
          </w:p>
        </w:tc>
        <w:tc>
          <w:tcPr/>
          <w:p>
            <w:pPr>
              <w:pStyle w:val="Compact"/>
              <w:jc w:val="right"/>
            </w:pPr>
            <w:r>
              <w:t xml:space="preserve">1 410</w:t>
            </w:r>
          </w:p>
        </w:tc>
      </w:tr>
      <w:tr>
        <w:tc>
          <w:tcPr/>
          <w:p>
            <w:pPr>
              <w:pStyle w:val="Compact"/>
            </w:pPr>
            <w:r>
              <w:t xml:space="preserve">Technical Services</w:t>
            </w:r>
          </w:p>
        </w:tc>
        <w:tc>
          <w:tcPr/>
          <w:p>
            <w:pPr>
              <w:pStyle w:val="Compact"/>
              <w:jc w:val="right"/>
            </w:pPr>
            <w:r>
              <w:t xml:space="preserve">1 240</w:t>
            </w:r>
          </w:p>
        </w:tc>
      </w:tr>
      <w:tr>
        <w:tc>
          <w:tcPr/>
          <w:p>
            <w:pPr>
              <w:pStyle w:val="Compact"/>
            </w:pPr>
            <w:r>
              <w:t xml:space="preserve">Agency Fee</w:t>
            </w:r>
          </w:p>
        </w:tc>
        <w:tc>
          <w:tcPr/>
          <w:p>
            <w:pPr>
              <w:pStyle w:val="Compact"/>
              <w:jc w:val="right"/>
            </w:pPr>
            <w:r>
              <w:t xml:space="preserve">1 114</w:t>
            </w:r>
          </w:p>
        </w:tc>
      </w:tr>
      <w:tr>
        <w:tc>
          <w:tcPr/>
          <w:p>
            <w:pPr>
              <w:pStyle w:val="Compact"/>
            </w:pPr>
            <w:r>
              <w:rPr>
                <w:b/>
                <w:bCs/>
              </w:rPr>
              <w:t xml:space="preserve">Totalt</w:t>
            </w:r>
          </w:p>
        </w:tc>
        <w:tc>
          <w:tcPr/>
          <w:p>
            <w:pPr>
              <w:pStyle w:val="Compact"/>
              <w:jc w:val="right"/>
            </w:pPr>
            <w:r>
              <w:rPr>
                <w:b/>
                <w:bCs/>
              </w:rPr>
              <w:t xml:space="preserve">16 904</w:t>
            </w:r>
          </w:p>
        </w:tc>
      </w:tr>
    </w:tbl>
    <w:p>
      <w:pPr>
        <w:pStyle w:val="BodyText"/>
      </w:pPr>
      <w:r>
        <w:t xml:space="preserve">Trafikkvektet historisk spenn (P25 / P50 / P75):</w:t>
      </w:r>
      <w:r>
        <w:t xml:space="preserve"> </w:t>
      </w:r>
      <w:r>
        <w:rPr>
          <w:b/>
          <w:bCs/>
        </w:rPr>
        <w:t xml:space="preserve">14 508 / 16 904 / 41 833 EUR</w:t>
      </w:r>
      <w:r>
        <w:t xml:space="preserve">.</w:t>
      </w:r>
    </w:p>
    <w:p>
      <w:pPr>
        <w:pStyle w:val="BodyText"/>
      </w:pPr>
      <w:r>
        <w:rPr>
          <w:b/>
          <w:bCs/>
        </w:rPr>
        <w:t xml:space="preserve">Tabell 8.3c.</w:t>
      </w:r>
      <w:r>
        <w:t xml:space="preserve"> </w:t>
      </w:r>
      <w:r>
        <w:t xml:space="preserve">Danmark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8 732</w:t>
            </w:r>
          </w:p>
        </w:tc>
      </w:tr>
      <w:tr>
        <w:tc>
          <w:tcPr/>
          <w:p>
            <w:pPr>
              <w:pStyle w:val="Compact"/>
            </w:pPr>
            <w:r>
              <w:t xml:space="preserve">Bunkering</w:t>
            </w:r>
          </w:p>
        </w:tc>
        <w:tc>
          <w:tcPr/>
          <w:p>
            <w:pPr>
              <w:pStyle w:val="Compact"/>
              <w:jc w:val="right"/>
            </w:pPr>
            <w:r>
              <w:t xml:space="preserve">6 300</w:t>
            </w:r>
          </w:p>
        </w:tc>
      </w:tr>
      <w:tr>
        <w:tc>
          <w:tcPr/>
          <w:p>
            <w:pPr>
              <w:pStyle w:val="Compact"/>
            </w:pPr>
            <w:r>
              <w:t xml:space="preserve">Hospitality</w:t>
            </w:r>
          </w:p>
        </w:tc>
        <w:tc>
          <w:tcPr/>
          <w:p>
            <w:pPr>
              <w:pStyle w:val="Compact"/>
              <w:jc w:val="right"/>
            </w:pPr>
            <w:r>
              <w:t xml:space="preserve">4 412</w:t>
            </w:r>
          </w:p>
        </w:tc>
      </w:tr>
      <w:tr>
        <w:tc>
          <w:tcPr/>
          <w:p>
            <w:pPr>
              <w:pStyle w:val="Compact"/>
            </w:pPr>
            <w:r>
              <w:t xml:space="preserve">Provisioning</w:t>
            </w:r>
          </w:p>
        </w:tc>
        <w:tc>
          <w:tcPr/>
          <w:p>
            <w:pPr>
              <w:pStyle w:val="Compact"/>
              <w:jc w:val="right"/>
            </w:pPr>
            <w:r>
              <w:t xml:space="preserve">4 259</w:t>
            </w:r>
          </w:p>
        </w:tc>
      </w:tr>
      <w:tr>
        <w:tc>
          <w:tcPr/>
          <w:p>
            <w:pPr>
              <w:pStyle w:val="Compact"/>
            </w:pPr>
            <w:r>
              <w:t xml:space="preserve">Agency Services</w:t>
            </w:r>
          </w:p>
        </w:tc>
        <w:tc>
          <w:tcPr/>
          <w:p>
            <w:pPr>
              <w:pStyle w:val="Compact"/>
              <w:jc w:val="right"/>
            </w:pPr>
            <w:r>
              <w:t xml:space="preserve">2 575</w:t>
            </w:r>
          </w:p>
        </w:tc>
      </w:tr>
      <w:tr>
        <w:tc>
          <w:tcPr/>
          <w:p>
            <w:pPr>
              <w:pStyle w:val="Compact"/>
            </w:pPr>
            <w:r>
              <w:t xml:space="preserve">Technical Services</w:t>
            </w:r>
          </w:p>
        </w:tc>
        <w:tc>
          <w:tcPr/>
          <w:p>
            <w:pPr>
              <w:pStyle w:val="Compact"/>
              <w:jc w:val="right"/>
            </w:pPr>
            <w:r>
              <w:t xml:space="preserve">2 276</w:t>
            </w:r>
          </w:p>
        </w:tc>
      </w:tr>
      <w:tr>
        <w:tc>
          <w:tcPr/>
          <w:p>
            <w:pPr>
              <w:pStyle w:val="Compact"/>
            </w:pPr>
            <w:r>
              <w:t xml:space="preserve">Agency Fee</w:t>
            </w:r>
          </w:p>
        </w:tc>
        <w:tc>
          <w:tcPr/>
          <w:p>
            <w:pPr>
              <w:pStyle w:val="Compact"/>
              <w:jc w:val="right"/>
            </w:pPr>
            <w:r>
              <w:t xml:space="preserve">220</w:t>
            </w:r>
          </w:p>
        </w:tc>
      </w:tr>
      <w:tr>
        <w:tc>
          <w:tcPr/>
          <w:p>
            <w:pPr>
              <w:pStyle w:val="Compact"/>
            </w:pPr>
            <w:r>
              <w:rPr>
                <w:b/>
                <w:bCs/>
              </w:rPr>
              <w:t xml:space="preserve">Totalt</w:t>
            </w:r>
          </w:p>
        </w:tc>
        <w:tc>
          <w:tcPr/>
          <w:p>
            <w:pPr>
              <w:pStyle w:val="Compact"/>
              <w:jc w:val="right"/>
            </w:pPr>
            <w:r>
              <w:rPr>
                <w:b/>
                <w:bCs/>
              </w:rPr>
              <w:t xml:space="preserve">28 774</w:t>
            </w:r>
          </w:p>
        </w:tc>
      </w:tr>
    </w:tbl>
    <w:p>
      <w:pPr>
        <w:pStyle w:val="BodyText"/>
      </w:pPr>
      <w:r>
        <w:t xml:space="preserve">Trafikkvektet historisk spenn (P25 / P50 / P75):</w:t>
      </w:r>
      <w:r>
        <w:t xml:space="preserve"> </w:t>
      </w:r>
      <w:r>
        <w:rPr>
          <w:b/>
          <w:bCs/>
        </w:rPr>
        <w:t xml:space="preserve">27 489 / 28 774 / 33 792 EUR</w:t>
      </w:r>
      <w:r>
        <w:t xml:space="preserve">.</w:t>
      </w:r>
    </w:p>
    <w:p>
      <w:pPr>
        <w:pStyle w:val="BodyText"/>
      </w:pPr>
      <w:r>
        <w:rPr>
          <w:b/>
          <w:bCs/>
        </w:rPr>
        <w:t xml:space="preserve">Tabell 8.3d.</w:t>
      </w:r>
      <w:r>
        <w:t xml:space="preserve"> </w:t>
      </w:r>
      <w:r>
        <w:t xml:space="preserve">Norge — liten yacht (GT = 50, LOA = 25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Agency Services</w:t>
            </w:r>
          </w:p>
        </w:tc>
        <w:tc>
          <w:tcPr/>
          <w:p>
            <w:pPr>
              <w:pStyle w:val="Compact"/>
              <w:jc w:val="right"/>
            </w:pPr>
            <w:r>
              <w:t xml:space="preserve">9 624</w:t>
            </w:r>
          </w:p>
        </w:tc>
      </w:tr>
      <w:tr>
        <w:tc>
          <w:tcPr/>
          <w:p>
            <w:pPr>
              <w:pStyle w:val="Compact"/>
            </w:pPr>
            <w:r>
              <w:t xml:space="preserve">Technical Services</w:t>
            </w:r>
          </w:p>
        </w:tc>
        <w:tc>
          <w:tcPr/>
          <w:p>
            <w:pPr>
              <w:pStyle w:val="Compact"/>
              <w:jc w:val="right"/>
            </w:pPr>
            <w:r>
              <w:t xml:space="preserve">2 552</w:t>
            </w:r>
          </w:p>
        </w:tc>
      </w:tr>
      <w:tr>
        <w:tc>
          <w:tcPr/>
          <w:p>
            <w:pPr>
              <w:pStyle w:val="Compact"/>
            </w:pPr>
            <w:r>
              <w:t xml:space="preserve">Port Marina</w:t>
            </w:r>
          </w:p>
        </w:tc>
        <w:tc>
          <w:tcPr/>
          <w:p>
            <w:pPr>
              <w:pStyle w:val="Compact"/>
              <w:jc w:val="right"/>
            </w:pPr>
            <w:r>
              <w:t xml:space="preserve">2 366</w:t>
            </w:r>
          </w:p>
        </w:tc>
      </w:tr>
      <w:tr>
        <w:tc>
          <w:tcPr/>
          <w:p>
            <w:pPr>
              <w:pStyle w:val="Compact"/>
            </w:pPr>
            <w:r>
              <w:t xml:space="preserve">Hospitality</w:t>
            </w:r>
          </w:p>
        </w:tc>
        <w:tc>
          <w:tcPr/>
          <w:p>
            <w:pPr>
              <w:pStyle w:val="Compact"/>
              <w:jc w:val="right"/>
            </w:pPr>
            <w:r>
              <w:t xml:space="preserve">2 045</w:t>
            </w:r>
          </w:p>
        </w:tc>
      </w:tr>
      <w:tr>
        <w:tc>
          <w:tcPr/>
          <w:p>
            <w:pPr>
              <w:pStyle w:val="Compact"/>
            </w:pPr>
            <w:r>
              <w:t xml:space="preserve">Provisioning</w:t>
            </w:r>
          </w:p>
        </w:tc>
        <w:tc>
          <w:tcPr/>
          <w:p>
            <w:pPr>
              <w:pStyle w:val="Compact"/>
              <w:jc w:val="right"/>
            </w:pPr>
            <w:r>
              <w:t xml:space="preserve">797</w:t>
            </w:r>
          </w:p>
        </w:tc>
      </w:tr>
      <w:tr>
        <w:tc>
          <w:tcPr/>
          <w:p>
            <w:pPr>
              <w:pStyle w:val="Compact"/>
            </w:pPr>
            <w:r>
              <w:t xml:space="preserve">Bunkering</w:t>
            </w:r>
          </w:p>
        </w:tc>
        <w:tc>
          <w:tcPr/>
          <w:p>
            <w:pPr>
              <w:pStyle w:val="Compact"/>
              <w:jc w:val="right"/>
            </w:pPr>
            <w:r>
              <w:t xml:space="preserve">591</w:t>
            </w:r>
          </w:p>
        </w:tc>
      </w:tr>
      <w:tr>
        <w:tc>
          <w:tcPr/>
          <w:p>
            <w:pPr>
              <w:pStyle w:val="Compact"/>
            </w:pPr>
            <w:r>
              <w:t xml:space="preserve">Agency Fee</w:t>
            </w:r>
          </w:p>
        </w:tc>
        <w:tc>
          <w:tcPr/>
          <w:p>
            <w:pPr>
              <w:pStyle w:val="Compact"/>
              <w:jc w:val="right"/>
            </w:pPr>
            <w:r>
              <w:t xml:space="preserve">392</w:t>
            </w:r>
          </w:p>
        </w:tc>
      </w:tr>
      <w:tr>
        <w:tc>
          <w:tcPr/>
          <w:p>
            <w:pPr>
              <w:pStyle w:val="Compact"/>
            </w:pPr>
            <w:r>
              <w:rPr>
                <w:b/>
                <w:bCs/>
              </w:rPr>
              <w:t xml:space="preserve">Totalt</w:t>
            </w:r>
          </w:p>
        </w:tc>
        <w:tc>
          <w:tcPr/>
          <w:p>
            <w:pPr>
              <w:pStyle w:val="Compact"/>
              <w:jc w:val="right"/>
            </w:pPr>
            <w:r>
              <w:rPr>
                <w:b/>
                <w:bCs/>
              </w:rPr>
              <w:t xml:space="preserve">18 366</w:t>
            </w:r>
          </w:p>
        </w:tc>
      </w:tr>
    </w:tbl>
    <w:p>
      <w:pPr>
        <w:pStyle w:val="BodyText"/>
      </w:pPr>
      <w:r>
        <w:t xml:space="preserve">Trafikkvektet historisk spenn (P25 / P50 / P75):</w:t>
      </w:r>
      <w:r>
        <w:t xml:space="preserve"> </w:t>
      </w:r>
      <w:r>
        <w:rPr>
          <w:b/>
          <w:bCs/>
        </w:rPr>
        <w:t xml:space="preserve">8 658 / 18 366 / 43 405 EUR</w:t>
      </w:r>
      <w:r>
        <w:t xml:space="preserve">.</w:t>
      </w:r>
    </w:p>
    <w:p>
      <w:pPr>
        <w:pStyle w:val="BodyText"/>
      </w:pPr>
      <w:r>
        <w:rPr>
          <w:b/>
          <w:bCs/>
        </w:rPr>
        <w:t xml:space="preserve">Tabell 8.3e.</w:t>
      </w:r>
      <w:r>
        <w:t xml:space="preserve"> </w:t>
      </w:r>
      <w:r>
        <w:t xml:space="preserve">Norge — stor yacht (GT = 2 400, LOA = 78 m, Loskrav = Ja),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10 723</w:t>
            </w:r>
          </w:p>
        </w:tc>
      </w:tr>
      <w:tr>
        <w:tc>
          <w:tcPr/>
          <w:p>
            <w:pPr>
              <w:pStyle w:val="Compact"/>
            </w:pPr>
            <w:r>
              <w:t xml:space="preserve">Provisioning</w:t>
            </w:r>
          </w:p>
        </w:tc>
        <w:tc>
          <w:tcPr/>
          <w:p>
            <w:pPr>
              <w:pStyle w:val="Compact"/>
              <w:jc w:val="right"/>
            </w:pPr>
            <w:r>
              <w:t xml:space="preserve">5 547</w:t>
            </w:r>
          </w:p>
        </w:tc>
      </w:tr>
      <w:tr>
        <w:tc>
          <w:tcPr/>
          <w:p>
            <w:pPr>
              <w:pStyle w:val="Compact"/>
            </w:pPr>
            <w:r>
              <w:t xml:space="preserve">Technical Services</w:t>
            </w:r>
          </w:p>
        </w:tc>
        <w:tc>
          <w:tcPr/>
          <w:p>
            <w:pPr>
              <w:pStyle w:val="Compact"/>
              <w:jc w:val="right"/>
            </w:pPr>
            <w:r>
              <w:t xml:space="preserve">4 412</w:t>
            </w:r>
          </w:p>
        </w:tc>
      </w:tr>
      <w:tr>
        <w:tc>
          <w:tcPr/>
          <w:p>
            <w:pPr>
              <w:pStyle w:val="Compact"/>
            </w:pPr>
            <w:r>
              <w:t xml:space="preserve">Hospitality</w:t>
            </w:r>
          </w:p>
        </w:tc>
        <w:tc>
          <w:tcPr/>
          <w:p>
            <w:pPr>
              <w:pStyle w:val="Compact"/>
              <w:jc w:val="right"/>
            </w:pPr>
            <w:r>
              <w:t xml:space="preserve">3 918</w:t>
            </w:r>
          </w:p>
        </w:tc>
      </w:tr>
      <w:tr>
        <w:tc>
          <w:tcPr/>
          <w:p>
            <w:pPr>
              <w:pStyle w:val="Compact"/>
            </w:pPr>
            <w:r>
              <w:t xml:space="preserve">Agency Services</w:t>
            </w:r>
          </w:p>
        </w:tc>
        <w:tc>
          <w:tcPr/>
          <w:p>
            <w:pPr>
              <w:pStyle w:val="Compact"/>
              <w:jc w:val="right"/>
            </w:pPr>
            <w:r>
              <w:t xml:space="preserve">3 781</w:t>
            </w:r>
          </w:p>
        </w:tc>
      </w:tr>
      <w:tr>
        <w:tc>
          <w:tcPr/>
          <w:p>
            <w:pPr>
              <w:pStyle w:val="Compact"/>
            </w:pPr>
            <w:r>
              <w:t xml:space="preserve">Agency Fee</w:t>
            </w:r>
          </w:p>
        </w:tc>
        <w:tc>
          <w:tcPr/>
          <w:p>
            <w:pPr>
              <w:pStyle w:val="Compact"/>
              <w:jc w:val="right"/>
            </w:pPr>
            <w:r>
              <w:t xml:space="preserve">2 311</w:t>
            </w:r>
          </w:p>
        </w:tc>
      </w:tr>
      <w:tr>
        <w:tc>
          <w:tcPr/>
          <w:p>
            <w:pPr>
              <w:pStyle w:val="Compact"/>
            </w:pPr>
            <w:r>
              <w:t xml:space="preserve">Bunkering</w:t>
            </w:r>
          </w:p>
        </w:tc>
        <w:tc>
          <w:tcPr/>
          <w:p>
            <w:pPr>
              <w:pStyle w:val="Compact"/>
              <w:jc w:val="right"/>
            </w:pPr>
            <w:r>
              <w:t xml:space="preserve">981</w:t>
            </w:r>
          </w:p>
        </w:tc>
      </w:tr>
      <w:tr>
        <w:tc>
          <w:tcPr/>
          <w:p>
            <w:pPr>
              <w:pStyle w:val="Compact"/>
            </w:pPr>
            <w:r>
              <w:rPr>
                <w:b/>
                <w:bCs/>
              </w:rPr>
              <w:t xml:space="preserve">Totalt</w:t>
            </w:r>
          </w:p>
        </w:tc>
        <w:tc>
          <w:tcPr/>
          <w:p>
            <w:pPr>
              <w:pStyle w:val="Compact"/>
              <w:jc w:val="right"/>
            </w:pPr>
            <w:r>
              <w:rPr>
                <w:b/>
                <w:bCs/>
              </w:rPr>
              <w:t xml:space="preserve">31 673</w:t>
            </w:r>
          </w:p>
        </w:tc>
      </w:tr>
    </w:tbl>
    <w:p>
      <w:pPr>
        <w:pStyle w:val="BodyText"/>
      </w:pPr>
      <w:r>
        <w:t xml:space="preserve">Trafikkvektet historisk spenn (P25 / P50 / P75):</w:t>
      </w:r>
      <w:r>
        <w:t xml:space="preserve"> </w:t>
      </w:r>
      <w:r>
        <w:rPr>
          <w:b/>
          <w:bCs/>
        </w:rPr>
        <w:t xml:space="preserve">14 223 / 31 673 / 67 697 EUR</w:t>
      </w:r>
      <w:r>
        <w:t xml:space="preserve">.</w:t>
      </w:r>
    </w:p>
    <w:p>
      <w:pPr>
        <w:pStyle w:val="BodyText"/>
      </w:pPr>
      <w:r>
        <w:t xml:space="preserve">I alle fem eksempler (tabell 8.3a–e) plasserer modellestimatet seg nær den trafikkvektede medianen (P50), og innenfor P25–P75-båndet. Tjeneste</w:t>
      </w:r>
      <w:r>
        <w:softHyphen/>
      </w:r>
      <w:r>
        <w:t xml:space="preserve">miksen varierer tydelig mellom land: Danmark har høyere Port Marina- og Bunkering-andel, Sverige har jevnere fordeling, og store norske anløp domineres av Port Marina og Provisioning. Bunkers-tallene er imidlertid sannsynlighets</w:t>
      </w:r>
      <w:r>
        <w:softHyphen/>
      </w:r>
      <w:r>
        <w:t xml:space="preserve">veide modell</w:t>
      </w:r>
      <w:r>
        <w:softHyphen/>
      </w:r>
      <w:r>
        <w:t xml:space="preserve">estimater og bruker ikke reise</w:t>
      </w:r>
      <w:r>
        <w:softHyphen/>
      </w:r>
      <w:r>
        <w:t xml:space="preserve">distansen — denne begrensningen drøftes i § 9.5. For tabell 8.3e (Loskrav = Ja) er det heller</w:t>
      </w:r>
      <w:r>
        <w:t xml:space="preserve"> </w:t>
      </w:r>
      <w:r>
        <w:rPr>
          <w:b/>
          <w:bCs/>
        </w:rPr>
        <w:t xml:space="preserve">ikke</w:t>
      </w:r>
      <w:r>
        <w:t xml:space="preserve"> </w:t>
      </w:r>
      <w:r>
        <w:t xml:space="preserve">lagt til obligatorisk los</w:t>
      </w:r>
      <w:r>
        <w:softHyphen/>
      </w:r>
      <w:r>
        <w:t xml:space="preserve">kostnad i tallene; modellen ser los som en sannsynlig linje, ikke som obligatorisk for LOA &gt; 70 m, jf. § 9.5.</w:t>
      </w:r>
    </w:p>
    <w:bookmarkEnd w:id="76"/>
    <w:bookmarkStart w:id="77" w:name="operasjonell-ytelse"/>
    <w:p>
      <w:pPr>
        <w:pStyle w:val="Heading3"/>
      </w:pPr>
      <w:r>
        <w:rPr>
          <w:rStyle w:val="SectionNumber"/>
        </w:rPr>
        <w:t xml:space="preserve">9.5</w:t>
      </w:r>
      <w:r>
        <w:tab/>
      </w:r>
      <w:r>
        <w:t xml:space="preserve">8.4 Operasjonell ytelse</w:t>
      </w:r>
    </w:p>
    <w:p>
      <w:pPr>
        <w:pStyle w:val="FirstParagraph"/>
      </w:pPr>
      <w:r>
        <w:t xml:space="preserve">Backend (</w:t>
      </w:r>
      <w:r>
        <w:rPr>
          <w:rStyle w:val="VerbatimChar"/>
        </w:rPr>
        <w:t xml:space="preserve">FastAPI</w:t>
      </w:r>
      <w:r>
        <w:t xml:space="preserve">) på en vanlig utviklermaskin (16 GB RAM, AMD Ryzen-klasse CPU) responderer på</w:t>
      </w:r>
      <w:r>
        <w:t xml:space="preserve"> </w:t>
      </w:r>
      <w:r>
        <w:rPr>
          <w:rStyle w:val="VerbatimChar"/>
        </w:rPr>
        <w:t xml:space="preserve">POST /api/predict</w:t>
      </w:r>
      <w:r>
        <w:t xml:space="preserve"> </w:t>
      </w:r>
      <w:r>
        <w:t xml:space="preserve">på under 200 ms i kald start og under 50 ms ved varm last. Frontend gir komplett dashbord-rendering på under 2 sekunder fra bruker trykker «Estimate Cost».</w:t>
      </w:r>
    </w:p>
    <w:p>
      <w:r>
        <w:pict>
          <v:rect style="width:0;height:1.5pt" o:hralign="center" o:hrstd="t" o:hr="t"/>
        </w:pict>
      </w:r>
    </w:p>
    <w:bookmarkEnd w:id="77"/>
    <w:bookmarkEnd w:id="78"/>
    <w:bookmarkStart w:id="102" w:name="diskusjon"/>
    <w:p>
      <w:pPr>
        <w:pStyle w:val="Heading2"/>
      </w:pPr>
      <w:r>
        <w:rPr>
          <w:rStyle w:val="SectionNumber"/>
        </w:rPr>
        <w:t xml:space="preserve">10</w:t>
      </w:r>
      <w:r>
        <w:tab/>
      </w:r>
      <w:r>
        <w:t xml:space="preserve">9. Diskusjon</w:t>
      </w:r>
    </w:p>
    <w:bookmarkStart w:id="79" w:name="tolkning-av-resultatene"/>
    <w:p>
      <w:pPr>
        <w:pStyle w:val="Heading3"/>
      </w:pPr>
      <w:r>
        <w:rPr>
          <w:rStyle w:val="SectionNumber"/>
        </w:rPr>
        <w:t xml:space="preserve">10.1</w:t>
      </w:r>
      <w:r>
        <w:tab/>
      </w:r>
      <w:r>
        <w:t xml:space="preserve">9.1 Tolkning av resultatene</w:t>
      </w:r>
    </w:p>
    <w:p>
      <w:pPr>
        <w:pStyle w:val="FirstParagraph"/>
      </w:pPr>
      <w:r>
        <w:t xml:space="preserve">Ensemble</w:t>
      </w:r>
      <w:r>
        <w:softHyphen/>
      </w:r>
      <w:r>
        <w:t xml:space="preserve">modellen oppnår en absolutt feil (MAE = 17 350 EUR på val=2024; MAE = 19 051 EUR på test=2025, jf. tabell 8.2) som ved første blikk virker høy. Tre forhold må holdes i mente.</w:t>
      </w:r>
      <w:r>
        <w:t xml:space="preserve"> </w:t>
      </w:r>
      <w:r>
        <w:rPr>
          <w:b/>
          <w:bCs/>
        </w:rPr>
        <w:t xml:space="preserve">For det første</w:t>
      </w:r>
      <w:r>
        <w:t xml:space="preserve"> </w:t>
      </w:r>
      <w:r>
        <w:t xml:space="preserve">er feilen målt på transaksjons</w:t>
      </w:r>
      <w:r>
        <w:softHyphen/>
      </w:r>
      <w:r>
        <w:t xml:space="preserve">nivå, og en transaksjon kan variere fra 2 039 EUR (P25) til over 91 248 EUR (P95) i datasettet — gjennom</w:t>
      </w:r>
      <w:r>
        <w:softHyphen/>
      </w:r>
      <w:r>
        <w:t xml:space="preserve">snittlig prosentvis avvik (MAPE) på 168 % gjenspeiler primært at noen få ekstreme transaksjoner trekker MAPE opp, ikke at typisk presisjon er svak. Dette er et empirisk uttrykk for det log-transformerte tap</w:t>
      </w:r>
      <w:r>
        <w:softHyphen/>
      </w:r>
      <w:r>
        <w:t xml:space="preserve">landskapet drøftet i § 3.4: modellen optimerer L2 i log-rommet, og store relative feil i ti-EUR-størrelses</w:t>
      </w:r>
      <w:r>
        <w:softHyphen/>
      </w:r>
      <w:r>
        <w:t xml:space="preserve">ordener bidrar uforholdsmessig lite til log-tapet, samtidig som de blåser opp MAPE i absolutt</w:t>
      </w:r>
      <w:r>
        <w:softHyphen/>
      </w:r>
      <w:r>
        <w:t xml:space="preserve">rommet.</w:t>
      </w:r>
      <w:r>
        <w:t xml:space="preserve"> </w:t>
      </w:r>
      <w:r>
        <w:rPr>
          <w:b/>
          <w:bCs/>
        </w:rPr>
        <w:t xml:space="preserve">For det andre</w:t>
      </w:r>
      <w:r>
        <w:t xml:space="preserve"> </w:t>
      </w:r>
      <w:r>
        <w:t xml:space="preserve">plasserer wMAPE-tallet (71,4 % val, 74,3 % test) NautiCost i den nedre enden av sammenlignbare studier: Jang et al. (2023) rapporterer wMAPE rundt 65–75 % for LightGBM på fraktkostnads</w:t>
      </w:r>
      <w:r>
        <w:softHyphen/>
      </w:r>
      <w:r>
        <w:t xml:space="preserve">prediksjon i en lignende heterogen, tabulær setting med n ~ 7 000 transaksjoner; Çerçi et al. (2024) rapporterer relative feil i samme størrelses</w:t>
      </w:r>
      <w:r>
        <w:softHyphen/>
      </w:r>
      <w:r>
        <w:t xml:space="preserve">orden (60–80 %) for ro-ro-drivstoff</w:t>
      </w:r>
      <w:r>
        <w:softHyphen/>
      </w:r>
      <w:r>
        <w:t xml:space="preserve">prediksjon. Vårt resultat er dermed kvantitativt sammenlignbart med eksisterende litteratur, til tross for et betydelig mindre datasett (1 633 vs. ≥ 5 000 i de refererte studiene). At gradient-boosting-modellene slår både median</w:t>
      </w:r>
      <w:r>
        <w:softHyphen/>
      </w:r>
      <w:r>
        <w:t xml:space="preserve">baseline (wMAPE 89,8 %) og ridge</w:t>
      </w:r>
      <w:r>
        <w:softHyphen/>
      </w:r>
      <w:r>
        <w:t xml:space="preserve">regresjon (75,1 %) bekrefter også Jang et al. (2023) sin kjerne</w:t>
      </w:r>
      <w:r>
        <w:softHyphen/>
      </w:r>
      <w:r>
        <w:t xml:space="preserve">observasjon: trebaserte modeller dominerer lineære alternativer på heterogene tabulære data.</w:t>
      </w:r>
      <w:r>
        <w:t xml:space="preserve"> </w:t>
      </w:r>
      <w:r>
        <w:rPr>
          <w:b/>
          <w:bCs/>
        </w:rPr>
        <w:t xml:space="preserve">For det tredje</w:t>
      </w:r>
      <w:r>
        <w:t xml:space="preserve"> </w:t>
      </w:r>
      <w:r>
        <w:t xml:space="preserve">er det de aggregerte anløps</w:t>
      </w:r>
      <w:r>
        <w:softHyphen/>
      </w:r>
      <w:r>
        <w:t xml:space="preserve">estimatene (§ 8.3) som er den operasjonelle målestokken — der har medianestimatet plassert seg innenfor det historiske P25–P75-båndet i alle fem eksempler vi har testet, og det er den presisjonen som spiller størst rolle for agentkoordinator.</w:t>
      </w:r>
    </w:p>
    <w:bookmarkEnd w:id="79"/>
    <w:bookmarkStart w:id="80" w:name="X244671d3f5a9d81faac214b94d413d8f6763369"/>
    <w:p>
      <w:pPr>
        <w:pStyle w:val="Heading3"/>
      </w:pPr>
      <w:r>
        <w:rPr>
          <w:rStyle w:val="SectionNumber"/>
        </w:rPr>
        <w:t xml:space="preserve">10.2</w:t>
      </w:r>
      <w:r>
        <w:tab/>
      </w:r>
      <w:r>
        <w:t xml:space="preserve">9.2 Forholdet mellom ensemble og enkelt</w:t>
      </w:r>
      <w:r>
        <w:softHyphen/>
      </w:r>
      <w:r>
        <w:t xml:space="preserve">modellene</w:t>
      </w:r>
    </w:p>
    <w:p>
      <w:pPr>
        <w:pStyle w:val="FirstParagraph"/>
      </w:pPr>
      <w:r>
        <w:t xml:space="preserve">På valideringssettet (2024) er LightGBM (base) marginalt best på MAE (17 317 EUR) og RMSE (54 476 EUR), mens ensemble</w:t>
      </w:r>
      <w:r>
        <w:softHyphen/>
      </w:r>
      <w:r>
        <w:t xml:space="preserve">modellen vinner på MAPE (168,3 %). Rangeringen mellom de to er innenfor støy</w:t>
      </w:r>
      <w:r>
        <w:softHyphen/>
      </w:r>
      <w:r>
        <w:t xml:space="preserve">nivået, og det er ingen statistisk signifikant forskjell mellom dem på 490 transaksjoner. Forskjellene speiler det generelle bildet i Shwartz-Ziv &amp; Armon (2022) og Grinsztajn et al. (2022): på heterogene tabulære data i mellom</w:t>
      </w:r>
      <w:r>
        <w:softHyphen/>
      </w:r>
      <w:r>
        <w:t xml:space="preserve">størrelse er gradient-boosting-modeller mer eller mindre likeverdige, og ensembler gir marginal varians</w:t>
      </w:r>
      <w:r>
        <w:softHyphen/>
      </w:r>
      <w:r>
        <w:t xml:space="preserve">reduksjon snarere enn vesentlig MAE-forbedring. Et interessant biprodukt av re-splittingen er at den Optuna-tunede LightGBM-modellen presterer dårligere (17 837 EUR) enn base-modellen — et tegn på at hyperparameter</w:t>
      </w:r>
      <w:r>
        <w:softHyphen/>
      </w:r>
      <w:r>
        <w:t xml:space="preserve">søket kan ha overtilpasset seg den spesifikke fold-strukturen i kryssvalideringen. Dette minner oss om at bayesiansk optimering på små valider</w:t>
      </w:r>
      <w:r>
        <w:softHyphen/>
      </w:r>
      <w:r>
        <w:t xml:space="preserve">ingssett er sårbart, og argumenterer for å beholde en enkelt-modell-fallback ved re-trening. Ensemble velges som produksjons</w:t>
      </w:r>
      <w:r>
        <w:softHyphen/>
      </w:r>
      <w:r>
        <w:t xml:space="preserve">modell fordi varians</w:t>
      </w:r>
      <w:r>
        <w:softHyphen/>
      </w:r>
      <w:r>
        <w:t xml:space="preserve">reduksjon mellom CatBoost og tunet LightGBM gir mer robust adferd ved drift i underliggende data</w:t>
      </w:r>
      <w:r>
        <w:softHyphen/>
      </w:r>
      <w:r>
        <w:t xml:space="preserve">distribusjon.</w:t>
      </w:r>
    </w:p>
    <w:p>
      <w:pPr>
        <w:pStyle w:val="BodyText"/>
      </w:pPr>
      <w:r>
        <w:t xml:space="preserve">CQR-korreksjonen på 3 EUR (§ 6.4 og § 8.2) er teoretisk forventet</w:t>
      </w:r>
      <w:r>
        <w:t xml:space="preserve"> </w:t>
      </w:r>
      <w:r>
        <w:rPr>
          <w:i/>
          <w:iCs/>
        </w:rPr>
        <w:t xml:space="preserve">gitt</w:t>
      </w:r>
      <w:r>
        <w:t xml:space="preserve"> </w:t>
      </w:r>
      <w:r>
        <w:t xml:space="preserve">at de underliggende kvantil</w:t>
      </w:r>
      <w:r>
        <w:softHyphen/>
      </w:r>
      <w:r>
        <w:t xml:space="preserve">modellene er korrekt spesifisert. Det at korreksjonen ble så liten, betyr ikke at usikkerhets</w:t>
      </w:r>
      <w:r>
        <w:softHyphen/>
      </w:r>
      <w:r>
        <w:t xml:space="preserve">båndene er like små for hele kostnads</w:t>
      </w:r>
      <w:r>
        <w:softHyphen/>
      </w:r>
      <w:r>
        <w:t xml:space="preserve">domenet — det betyr at residual</w:t>
      </w:r>
      <w:r>
        <w:softHyphen/>
      </w:r>
      <w:r>
        <w:t xml:space="preserve">fordelingen som kvantil</w:t>
      </w:r>
      <w:r>
        <w:softHyphen/>
      </w:r>
      <w:r>
        <w:t xml:space="preserve">modellene ser ut fra log-trans</w:t>
      </w:r>
      <w:r>
        <w:softHyphen/>
      </w:r>
      <w:r>
        <w:t xml:space="preserve">formerte features samsvarer med antakelsen i Romano et al. (2019). En viktig nyanse fra konform</w:t>
      </w:r>
      <w:r>
        <w:softHyphen/>
      </w:r>
      <w:r>
        <w:t xml:space="preserve">prediksjons</w:t>
      </w:r>
      <w:r>
        <w:softHyphen/>
      </w:r>
      <w:r>
        <w:t xml:space="preserve">teorien (Vovk et al., 2005; Romano et al., 2019) er imidlertid at CQR-garantien gjelder</w:t>
      </w:r>
      <w:r>
        <w:t xml:space="preserve"> </w:t>
      </w:r>
      <w:r>
        <w:rPr>
          <w:i/>
          <w:iCs/>
        </w:rPr>
        <w:t xml:space="preserve">marginal</w:t>
      </w:r>
      <w:r>
        <w:t xml:space="preserve"> </w:t>
      </w:r>
      <w:r>
        <w:t xml:space="preserve">dekning over hele test</w:t>
      </w:r>
      <w:r>
        <w:softHyphen/>
      </w:r>
      <w:r>
        <w:t xml:space="preserve">distribusjonen, ikke</w:t>
      </w:r>
      <w:r>
        <w:t xml:space="preserve"> </w:t>
      </w:r>
      <w:r>
        <w:rPr>
          <w:i/>
          <w:iCs/>
        </w:rPr>
        <w:t xml:space="preserve">betinget</w:t>
      </w:r>
      <w:r>
        <w:t xml:space="preserve"> </w:t>
      </w:r>
      <w:r>
        <w:t xml:space="preserve">dekning på subpopulasjoner. I et regime der en sentral kostnads</w:t>
      </w:r>
      <w:r>
        <w:softHyphen/>
      </w:r>
      <w:r>
        <w:t xml:space="preserve">driver (</w:t>
      </w:r>
      <w:r>
        <w:rPr>
          <w:rStyle w:val="VerbatimChar"/>
        </w:rPr>
        <w:t xml:space="preserve">guest_experience</w:t>
      </w:r>
      <w:r>
        <w:t xml:space="preserve">)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bookmarkEnd w:id="80"/>
    <w:bookmarkStart w:id="81" w:name="modellens-styrker"/>
    <w:p>
      <w:pPr>
        <w:pStyle w:val="Heading3"/>
      </w:pPr>
      <w:r>
        <w:rPr>
          <w:rStyle w:val="SectionNumber"/>
        </w:rPr>
        <w:t xml:space="preserve">10.3</w:t>
      </w:r>
      <w:r>
        <w:tab/>
      </w:r>
      <w:r>
        <w:t xml:space="preserve">9.3 Modellens styrker</w:t>
      </w:r>
    </w:p>
    <w:p>
      <w:pPr>
        <w:pStyle w:val="Compact"/>
        <w:numPr>
          <w:ilvl w:val="0"/>
          <w:numId w:val="1016"/>
        </w:numPr>
      </w:pPr>
      <w:r>
        <w:rPr>
          <w:b/>
          <w:bCs/>
        </w:rPr>
        <w:t xml:space="preserve">Kalibrering mot historiske persentiler</w:t>
      </w:r>
      <w:r>
        <w:t xml:space="preserve"> </w:t>
      </w:r>
      <w:r>
        <w:t xml:space="preserve">(§ 6.5) gjør at totalen alltid forankres i empirisk virkelighet, og eliminerer urealistisk lave estimater som rene transaksjons</w:t>
      </w:r>
      <w:r>
        <w:softHyphen/>
      </w:r>
      <w:r>
        <w:t xml:space="preserve">summer kan produsere.</w:t>
      </w:r>
    </w:p>
    <w:p>
      <w:pPr>
        <w:pStyle w:val="Compact"/>
        <w:numPr>
          <w:ilvl w:val="0"/>
          <w:numId w:val="1016"/>
        </w:numPr>
      </w:pPr>
      <w:r>
        <w:rPr>
          <w:b/>
          <w:bCs/>
        </w:rPr>
        <w:t xml:space="preserve">Kvantil</w:t>
      </w:r>
      <w:r>
        <w:rPr>
          <w:b/>
          <w:bCs/>
        </w:rPr>
        <w:softHyphen/>
      </w:r>
      <w:r>
        <w:rPr>
          <w:b/>
          <w:bCs/>
        </w:rPr>
        <w:t xml:space="preserve">modeller med CQR-kalibrering</w:t>
      </w:r>
      <w:r>
        <w:t xml:space="preserve"> </w:t>
      </w:r>
      <w:r>
        <w:t xml:space="preserve">gir et håndfast usikkerhetsbånd som er enklere å kommunisere til kunde enn et nakent punktestimat.</w:t>
      </w:r>
    </w:p>
    <w:p>
      <w:pPr>
        <w:pStyle w:val="Compact"/>
        <w:numPr>
          <w:ilvl w:val="0"/>
          <w:numId w:val="1016"/>
        </w:numPr>
      </w:pPr>
      <w:r>
        <w:rPr>
          <w:b/>
          <w:bCs/>
        </w:rPr>
        <w:t xml:space="preserve">Tids</w:t>
      </w:r>
      <w:r>
        <w:rPr>
          <w:b/>
          <w:bCs/>
        </w:rPr>
        <w:softHyphen/>
      </w:r>
      <w:r>
        <w:rPr>
          <w:b/>
          <w:bCs/>
        </w:rPr>
        <w:t xml:space="preserve">basert split</w:t>
      </w:r>
      <w:r>
        <w:t xml:space="preserve"> </w:t>
      </w:r>
      <w:r>
        <w:t xml:space="preserve">speiler hvordan modellen brukes operasjonelt og fjerner risiko for optimistiske prestasjons</w:t>
      </w:r>
      <w:r>
        <w:softHyphen/>
      </w:r>
      <w:r>
        <w:t xml:space="preserve">tall fra tilfeldig split.</w:t>
      </w:r>
    </w:p>
    <w:bookmarkEnd w:id="81"/>
    <w:bookmarkStart w:id="82" w:name="modellens-svakheter-og-begrensninger"/>
    <w:p>
      <w:pPr>
        <w:pStyle w:val="Heading3"/>
      </w:pPr>
      <w:r>
        <w:rPr>
          <w:rStyle w:val="SectionNumber"/>
        </w:rPr>
        <w:t xml:space="preserve">10.4</w:t>
      </w:r>
      <w:r>
        <w:tab/>
      </w:r>
      <w:r>
        <w:t xml:space="preserve">9.4 Modellens svakheter og begrensninger</w:t>
      </w:r>
    </w:p>
    <w:p>
      <w:pPr>
        <w:pStyle w:val="FirstParagraph"/>
      </w:pPr>
      <w:r>
        <w:t xml:space="preserve">En streng vurdering av hvorfor prediksjon er vanskelig i dette regimet, og hvilke konkrete svakheter NautiCost har, krever at vi går utover et kulepunkt</w:t>
      </w:r>
      <w:r>
        <w:softHyphen/>
      </w:r>
      <w:r>
        <w:t xml:space="preserve">oppsett. Svakhetene grupperes her i fire klynger:</w:t>
      </w:r>
      <w:r>
        <w:t xml:space="preserve"> </w:t>
      </w:r>
      <w:r>
        <w:rPr>
          <w:b/>
          <w:bCs/>
        </w:rPr>
        <w:t xml:space="preserve">data</w:t>
      </w:r>
      <w:r>
        <w:t xml:space="preserve">,</w:t>
      </w:r>
      <w:r>
        <w:t xml:space="preserve"> </w:t>
      </w:r>
      <w:r>
        <w:rPr>
          <w:b/>
          <w:bCs/>
        </w:rPr>
        <w:t xml:space="preserve">modell</w:t>
      </w:r>
      <w:r>
        <w:t xml:space="preserve">,</w:t>
      </w:r>
      <w:r>
        <w:t xml:space="preserve"> </w:t>
      </w:r>
      <w:r>
        <w:rPr>
          <w:b/>
          <w:bCs/>
        </w:rPr>
        <w:t xml:space="preserve">antakelser</w:t>
      </w:r>
      <w:r>
        <w:t xml:space="preserve"> </w:t>
      </w:r>
      <w:r>
        <w:t xml:space="preserve">og</w:t>
      </w:r>
      <w:r>
        <w:t xml:space="preserve"> </w:t>
      </w:r>
      <w:r>
        <w:rPr>
          <w:b/>
          <w:bCs/>
        </w:rPr>
        <w:t xml:space="preserve">operasjonalisering</w:t>
      </w:r>
      <w:r>
        <w:t xml:space="preserve">.</w:t>
      </w:r>
    </w:p>
    <w:p>
      <w:pPr>
        <w:pStyle w:val="BodyText"/>
      </w:pPr>
      <w:r>
        <w:rPr>
          <w:b/>
          <w:bCs/>
        </w:rPr>
        <w:t xml:space="preserve">Data</w:t>
      </w:r>
      <w:r>
        <w:rPr>
          <w:b/>
          <w:bCs/>
        </w:rPr>
        <w:softHyphen/>
      </w:r>
      <w:r>
        <w:rPr>
          <w:b/>
          <w:bCs/>
        </w:rPr>
        <w:t xml:space="preserve">svakheter.</w:t>
      </w:r>
    </w:p>
    <w:p>
      <w:pPr>
        <w:pStyle w:val="Compact"/>
        <w:numPr>
          <w:ilvl w:val="0"/>
          <w:numId w:val="1017"/>
        </w:numPr>
      </w:pPr>
      <w:r>
        <w:rPr>
          <w:b/>
          <w:bCs/>
        </w:rPr>
        <w:t xml:space="preserve">Tynn flåte (n = 17 yachter).</w:t>
      </w:r>
      <w:r>
        <w:t xml:space="preserve"> </w:t>
      </w:r>
      <w:r>
        <w:t xml:space="preserve">Med kun 17 unike yachter er det stor risiko for at modellen lærer yacht-spesifikke mønstre snarere enn generaliserbare prinsipper. En 18. yacht med uvanlig motor</w:t>
      </w:r>
      <w:r>
        <w:softHyphen/>
      </w:r>
      <w:r>
        <w:t xml:space="preserve">konfigurasjon, alder eller bruksmønster (charter vs. privat) vil falle utenfor utvalgs</w:t>
      </w:r>
      <w:r>
        <w:softHyphen/>
      </w:r>
      <w:r>
        <w:t xml:space="preserve">fordelingen, og prediksjonene blir tilsvarende usikre. Dette er strukturelt sett den største svakheten — det er ikke noen modell</w:t>
      </w:r>
      <w:r>
        <w:softHyphen/>
      </w:r>
      <w:r>
        <w:t xml:space="preserve">arkitektur som kan kompensere for at trenings</w:t>
      </w:r>
      <w:r>
        <w:softHyphen/>
      </w:r>
      <w:r>
        <w:t xml:space="preserve">utvalget er lite.</w:t>
      </w:r>
    </w:p>
    <w:p>
      <w:pPr>
        <w:pStyle w:val="Compact"/>
        <w:numPr>
          <w:ilvl w:val="0"/>
          <w:numId w:val="1017"/>
        </w:numPr>
      </w:pPr>
      <w:r>
        <w:rPr>
          <w:b/>
          <w:bCs/>
        </w:rPr>
        <w:t xml:space="preserve">Skjevhet i størrelses</w:t>
      </w:r>
      <w:r>
        <w:rPr>
          <w:b/>
          <w:bCs/>
        </w:rPr>
        <w:softHyphen/>
      </w:r>
      <w:r>
        <w:rPr>
          <w:b/>
          <w:bCs/>
        </w:rPr>
        <w:t xml:space="preserve">kategorier.</w:t>
      </w:r>
      <w:r>
        <w:t xml:space="preserve"> </w:t>
      </w:r>
      <w:r>
        <w:t xml:space="preserve">Mellomstor-gruppa (n = 113 i val) er klart underrepresentert, og kvantil</w:t>
      </w:r>
      <w:r>
        <w:softHyphen/>
      </w:r>
      <w:r>
        <w:t xml:space="preserve">dekningen for denne gruppa (74,3 %, jf. § 8.2) ligger under nominelt 80 %. For brukere som søker estimat for mellomstore yachter er usikkerhets</w:t>
      </w:r>
      <w:r>
        <w:softHyphen/>
      </w:r>
      <w:r>
        <w:t xml:space="preserve">båndet altså for smalt — et reelt operasjonelt problem.</w:t>
      </w:r>
    </w:p>
    <w:p>
      <w:pPr>
        <w:pStyle w:val="Compact"/>
        <w:numPr>
          <w:ilvl w:val="0"/>
          <w:numId w:val="1017"/>
        </w:numPr>
      </w:pPr>
      <w:r>
        <w:rPr>
          <w:b/>
          <w:bCs/>
        </w:rPr>
        <w:t xml:space="preserve">Sjeldne havner mangler persentil</w:t>
      </w:r>
      <w:r>
        <w:rPr>
          <w:b/>
          <w:bCs/>
        </w:rPr>
        <w:softHyphen/>
      </w:r>
      <w:r>
        <w:rPr>
          <w:b/>
          <w:bCs/>
        </w:rPr>
        <w:t xml:space="preserve">anker.</w:t>
      </w:r>
      <w:r>
        <w:t xml:space="preserve"> </w:t>
      </w:r>
      <w:r>
        <w:t xml:space="preserve">Stavanger (n = 3) og Kristiansand (n = 8) har for få anløp til at empiriske P25/P50/P75 er definert. For disse havnene faller hybrid</w:t>
      </w:r>
      <w:r>
        <w:softHyphen/>
      </w:r>
      <w:r>
        <w:t xml:space="preserve">kalibreringen (§ 6.5) tilbake til rent modell</w:t>
      </w:r>
      <w:r>
        <w:softHyphen/>
      </w:r>
      <w:r>
        <w:t xml:space="preserve">estimat uten persentil</w:t>
      </w:r>
      <w:r>
        <w:softHyphen/>
      </w:r>
      <w:r>
        <w:t xml:space="preserve">anker — som er den sårbare delen av pipelinen.</w:t>
      </w:r>
    </w:p>
    <w:p>
      <w:pPr>
        <w:pStyle w:val="Compact"/>
        <w:numPr>
          <w:ilvl w:val="0"/>
          <w:numId w:val="1017"/>
        </w:numPr>
      </w:pPr>
      <w:r>
        <w:rPr>
          <w:b/>
          <w:bCs/>
        </w:rPr>
        <w:t xml:space="preserve">Manglende sentral driver:</w:t>
      </w:r>
      <w:r>
        <w:rPr>
          <w:b/>
          <w:bCs/>
        </w:rPr>
        <w:t xml:space="preserve"> </w:t>
      </w:r>
      <w:r>
        <w:rPr>
          <w:rStyle w:val="VerbatimChar"/>
          <w:b/>
          <w:bCs/>
        </w:rPr>
        <w:t xml:space="preserve">guest_experience</w:t>
      </w:r>
      <w:r>
        <w:rPr>
          <w:b/>
          <w:bCs/>
        </w:rPr>
        <w:t xml:space="preserve">.</w:t>
      </w:r>
      <w:r>
        <w:t xml:space="preserve"> </w:t>
      </w:r>
      <w:r>
        <w:t xml:space="preserve">Den dominerende drivkraften for Provisioning- og Hospitality-kostnader er hvor krevende gjestene er, og denne er ikke logget i kilde</w:t>
      </w:r>
      <w:r>
        <w:softHyphen/>
      </w:r>
      <w:r>
        <w:t xml:space="preserve">dataene (§ 9.5.4). CQR korrigerer ikke for en feature den ikke ser; båndet kan være for smalt for noen kategorier. Dette er et empirisk uttrykk for forskjellen mellom marginal og betinget dekning som § 1.5 punkt (ii) løfter fram.</w:t>
      </w:r>
    </w:p>
    <w:p>
      <w:pPr>
        <w:pStyle w:val="Compact"/>
        <w:numPr>
          <w:ilvl w:val="0"/>
          <w:numId w:val="1017"/>
        </w:numPr>
      </w:pPr>
      <w:r>
        <w:rPr>
          <w:b/>
          <w:bCs/>
        </w:rPr>
        <w:t xml:space="preserve">Ingen inflasjons</w:t>
      </w:r>
      <w:r>
        <w:rPr>
          <w:b/>
          <w:bCs/>
        </w:rPr>
        <w:softHyphen/>
      </w:r>
      <w:r>
        <w:rPr>
          <w:b/>
          <w:bCs/>
        </w:rPr>
        <w:t xml:space="preserve">justering.</w:t>
      </w:r>
      <w:r>
        <w:t xml:space="preserve"> </w:t>
      </w:r>
      <w:r>
        <w:t xml:space="preserve">2020-data og 2025-data er behandlet på samme nominelle EUR-skala. Kumulert inflasjon i Skandinavia 2020–2025 er ca. 15–20 %, så modellen lærer et</w:t>
      </w:r>
      <w:r>
        <w:t xml:space="preserve"> </w:t>
      </w:r>
      <w:r>
        <w:t xml:space="preserve">“snitt</w:t>
      </w:r>
      <w:r>
        <w:softHyphen/>
      </w:r>
      <w:r>
        <w:t xml:space="preserve">pris</w:t>
      </w:r>
      <w:r>
        <w:softHyphen/>
      </w:r>
      <w:r>
        <w:t xml:space="preserve">regime”</w:t>
      </w:r>
      <w:r>
        <w:t xml:space="preserve"> </w:t>
      </w:r>
      <w:r>
        <w:t xml:space="preserve">som verken matcher tidlige eller sene år. Drift over tid er kun delvis dempet av at de eldste radene (2020–2021) er underrepresentert (n = 163 av 1 633).</w:t>
      </w:r>
    </w:p>
    <w:p>
      <w:pPr>
        <w:pStyle w:val="Compact"/>
        <w:numPr>
          <w:ilvl w:val="0"/>
          <w:numId w:val="1017"/>
        </w:numPr>
      </w:pPr>
      <w:r>
        <w:rPr>
          <w:b/>
          <w:bCs/>
        </w:rPr>
        <w:t xml:space="preserve">Konstant EUR/NOK-vekslingskurs.</w:t>
      </w:r>
      <w:r>
        <w:t xml:space="preserve"> </w:t>
      </w:r>
      <w:r>
        <w:t xml:space="preserve">Frontend bruker EUR/NOK ≈ 11,50 og EUR/DKK = 7,46. En 5 % NOK-svekkelse gir umiddelbart 5 % systematisk underestimat i NOK-rapporten. Dette er en ekstra usikkerhets</w:t>
      </w:r>
      <w:r>
        <w:softHyphen/>
      </w:r>
      <w:r>
        <w:t xml:space="preserve">kilde som ikke fanges av modellens egne MAE/wMAPE-tall.</w:t>
      </w:r>
    </w:p>
    <w:p>
      <w:pPr>
        <w:pStyle w:val="Compact"/>
        <w:numPr>
          <w:ilvl w:val="0"/>
          <w:numId w:val="1017"/>
        </w:numPr>
      </w:pPr>
      <w:r>
        <w:rPr>
          <w:b/>
          <w:bCs/>
        </w:rPr>
        <w:t xml:space="preserve">Ingen outlier-trimming i evaluering.</w:t>
      </w:r>
      <w:r>
        <w:t xml:space="preserve"> </w:t>
      </w:r>
      <w:r>
        <w:t xml:space="preserve">P95/P50 ≈ 12 betyr at fem–seks ekstreme fakturaer kan dominere RMSE selv etter log-transform. Robusthets</w:t>
      </w:r>
      <w:r>
        <w:softHyphen/>
      </w:r>
      <w:r>
        <w:t xml:space="preserve">analyse (med vs. uten outliers) er ikke gjennomført — sensoren kan med rette spørre om modellens</w:t>
      </w:r>
      <w:r>
        <w:t xml:space="preserve"> </w:t>
      </w:r>
      <w:r>
        <w:t xml:space="preserve">“egentlige”</w:t>
      </w:r>
      <w:r>
        <w:t xml:space="preserve"> </w:t>
      </w:r>
      <w:r>
        <w:t xml:space="preserve">feil er lavere enn rapportert.</w:t>
      </w:r>
    </w:p>
    <w:p>
      <w:pPr>
        <w:pStyle w:val="FirstParagraph"/>
      </w:pPr>
      <w:r>
        <w:rPr>
          <w:b/>
          <w:bCs/>
        </w:rPr>
        <w:t xml:space="preserve">Modell</w:t>
      </w:r>
      <w:r>
        <w:rPr>
          <w:b/>
          <w:bCs/>
        </w:rPr>
        <w:softHyphen/>
      </w:r>
      <w:r>
        <w:rPr>
          <w:b/>
          <w:bCs/>
        </w:rPr>
        <w:t xml:space="preserve">svakheter.</w:t>
      </w:r>
    </w:p>
    <w:p>
      <w:pPr>
        <w:pStyle w:val="Compact"/>
        <w:numPr>
          <w:ilvl w:val="0"/>
          <w:numId w:val="1018"/>
        </w:numPr>
      </w:pPr>
      <w:r>
        <w:rPr>
          <w:b/>
          <w:bCs/>
        </w:rPr>
        <w:t xml:space="preserve">Hyperparameter-tuning gir dårligere modell.</w:t>
      </w:r>
      <w:r>
        <w:t xml:space="preserve"> </w:t>
      </w:r>
      <w:r>
        <w:t xml:space="preserve">Optuna-tunet LightGBM presterer dårligere på val (MAE = 17 837) enn LightGBM-base (17 317) og dårligere på test (19 331 vs. 18 765). Dette tyder på at Bayes</w:t>
      </w:r>
      <w:r>
        <w:softHyphen/>
      </w:r>
      <w:r>
        <w:t xml:space="preserve">optimering på et lite valideringssett (n = 490) har overtilpasset seg fold</w:t>
      </w:r>
      <w:r>
        <w:softHyphen/>
      </w:r>
      <w:r>
        <w:t xml:space="preserve">strukturen. Et empirisk argument for å beholde en enkel base-modell som fallback ved re-trening.</w:t>
      </w:r>
    </w:p>
    <w:p>
      <w:pPr>
        <w:pStyle w:val="Compact"/>
        <w:numPr>
          <w:ilvl w:val="0"/>
          <w:numId w:val="1018"/>
        </w:numPr>
      </w:pPr>
      <w:r>
        <w:rPr>
          <w:b/>
          <w:bCs/>
        </w:rPr>
        <w:t xml:space="preserve">Ensemble-gevinsten er innenfor støy.</w:t>
      </w:r>
      <w:r>
        <w:t xml:space="preserve"> </w:t>
      </w:r>
      <w:r>
        <w:t xml:space="preserve">Bootstrap-konfidensintervallene i § 8.1 viser at forskjellen mellom Ensemble og enkelt</w:t>
      </w:r>
      <w:r>
        <w:softHyphen/>
      </w:r>
      <w:r>
        <w:t xml:space="preserve">modellene er statistisk insignifikant. Vi beholder Ensemble på sekundære kriterier (varians</w:t>
      </w:r>
      <w:r>
        <w:softHyphen/>
      </w:r>
      <w:r>
        <w:t xml:space="preserve">robusthet ved drift), men dette er en</w:t>
      </w:r>
      <w:r>
        <w:t xml:space="preserve"> </w:t>
      </w:r>
      <w:r>
        <w:rPr>
          <w:i/>
          <w:iCs/>
        </w:rPr>
        <w:t xml:space="preserve">forsikrings</w:t>
      </w:r>
      <w:r>
        <w:rPr>
          <w:i/>
          <w:iCs/>
        </w:rPr>
        <w:softHyphen/>
      </w:r>
      <w:r>
        <w:rPr>
          <w:i/>
          <w:iCs/>
        </w:rPr>
        <w:t xml:space="preserve">begrunnelse</w:t>
      </w:r>
      <w:r>
        <w:t xml:space="preserve">, ikke en gevinst</w:t>
      </w:r>
      <w:r>
        <w:softHyphen/>
      </w:r>
      <w:r>
        <w:t xml:space="preserve">begrunnelse.</w:t>
      </w:r>
    </w:p>
    <w:p>
      <w:pPr>
        <w:pStyle w:val="Compact"/>
        <w:numPr>
          <w:ilvl w:val="0"/>
          <w:numId w:val="1018"/>
        </w:numPr>
      </w:pPr>
      <w:r>
        <w:rPr>
          <w:b/>
          <w:bCs/>
        </w:rPr>
        <w:t xml:space="preserve">Regulatoriske krav modelleres som sannsynligheter.</w:t>
      </w:r>
      <w:r>
        <w:t xml:space="preserve"> </w:t>
      </w:r>
      <w:r>
        <w:t xml:space="preserve">Los for LOA &gt; 70 m er obligatorisk, men</w:t>
      </w:r>
      <w:r>
        <w:t xml:space="preserve"> </w:t>
      </w:r>
      <w:r>
        <w:rPr>
          <w:rStyle w:val="VerbatimChar"/>
        </w:rPr>
        <w:t xml:space="preserve">PORT_TEMPLATES</w:t>
      </w:r>
      <w:r>
        <w:t xml:space="preserve"> </w:t>
      </w:r>
      <w:r>
        <w:t xml:space="preserve">har los som 17–73 % sannsynlig på tvers av havner (§ 9.5.2). Modell</w:t>
      </w:r>
      <w:r>
        <w:softHyphen/>
      </w:r>
      <w:r>
        <w:t xml:space="preserve">strukturen passer ikke til den regulatoriske virkeligheten for de største yachtene. Override-mekanisme er innført, men en lært betinget sannsynlighet er videre arbeid.</w:t>
      </w:r>
    </w:p>
    <w:p>
      <w:pPr>
        <w:pStyle w:val="Compact"/>
        <w:numPr>
          <w:ilvl w:val="0"/>
          <w:numId w:val="1018"/>
        </w:numPr>
      </w:pPr>
      <w:r>
        <w:rPr>
          <w:b/>
          <w:bCs/>
        </w:rPr>
        <w:t xml:space="preserve">Drivstoff</w:t>
      </w:r>
      <w:r>
        <w:rPr>
          <w:b/>
          <w:bCs/>
        </w:rPr>
        <w:softHyphen/>
      </w:r>
      <w:r>
        <w:rPr>
          <w:b/>
          <w:bCs/>
        </w:rPr>
        <w:t xml:space="preserve">modellen ser ikke reise</w:t>
      </w:r>
      <w:r>
        <w:rPr>
          <w:b/>
          <w:bCs/>
        </w:rPr>
        <w:softHyphen/>
      </w:r>
      <w:r>
        <w:rPr>
          <w:b/>
          <w:bCs/>
        </w:rPr>
        <w:t xml:space="preserve">geometri.</w:t>
      </w:r>
      <w:r>
        <w:t xml:space="preserve"> </w:t>
      </w:r>
      <w:r>
        <w:t xml:space="preserve">Bunker-kostnad er en sannsynlighets</w:t>
      </w:r>
      <w:r>
        <w:softHyphen/>
      </w:r>
      <w:r>
        <w:t xml:space="preserve">vektet flat linje, ikke en fysisk beregning fra distanse × marsjfart × forbruk × pris (§ 9.5.3). Override-formel er innført, men en lært, reise</w:t>
      </w:r>
      <w:r>
        <w:softHyphen/>
      </w:r>
      <w:r>
        <w:t xml:space="preserve">geometri-bevisst modell mangler.</w:t>
      </w:r>
    </w:p>
    <w:p>
      <w:pPr>
        <w:pStyle w:val="Compact"/>
        <w:numPr>
          <w:ilvl w:val="0"/>
          <w:numId w:val="1018"/>
        </w:numPr>
      </w:pPr>
      <w:r>
        <w:rPr>
          <w:b/>
          <w:bCs/>
        </w:rPr>
        <w:t xml:space="preserve">Land-aggregater er poolet.</w:t>
      </w:r>
      <w:r>
        <w:t xml:space="preserve"> </w:t>
      </w:r>
      <w:r>
        <w:rPr>
          <w:rStyle w:val="VerbatimChar"/>
        </w:rPr>
        <w:t xml:space="preserve">size_svc_*</w:t>
      </w:r>
      <w:r>
        <w:t xml:space="preserve">-features — som rangerer som nummer to og tre i feature importance — er beregnet på tvers av Norge/Sverige/Danmark. Land</w:t>
      </w:r>
      <w:r>
        <w:softHyphen/>
      </w:r>
      <w:r>
        <w:t xml:space="preserve">signal går tapt (§ 9.5.5). Dette undervekter strukturen i kostnads</w:t>
      </w:r>
      <w:r>
        <w:softHyphen/>
      </w:r>
      <w:r>
        <w:t xml:space="preserve">forskjeller mellom København (høyt kostnadsnivå) og norske havner.</w:t>
      </w:r>
    </w:p>
    <w:p>
      <w:pPr>
        <w:pStyle w:val="FirstParagraph"/>
      </w:pPr>
      <w:r>
        <w:rPr>
          <w:b/>
          <w:bCs/>
        </w:rPr>
        <w:t xml:space="preserve">Antakelses</w:t>
      </w:r>
      <w:r>
        <w:rPr>
          <w:b/>
          <w:bCs/>
        </w:rPr>
        <w:softHyphen/>
      </w:r>
      <w:r>
        <w:rPr>
          <w:b/>
          <w:bCs/>
        </w:rPr>
        <w:t xml:space="preserve">svakheter.</w:t>
      </w:r>
    </w:p>
    <w:p>
      <w:pPr>
        <w:pStyle w:val="Compact"/>
        <w:numPr>
          <w:ilvl w:val="0"/>
          <w:numId w:val="1019"/>
        </w:numPr>
      </w:pPr>
      <w:r>
        <w:rPr>
          <w:b/>
          <w:bCs/>
        </w:rPr>
        <w:t xml:space="preserve">A1: stabil tjeneste</w:t>
      </w:r>
      <w:r>
        <w:rPr>
          <w:b/>
          <w:bCs/>
        </w:rPr>
        <w:softHyphen/>
      </w:r>
      <w:r>
        <w:rPr>
          <w:b/>
          <w:bCs/>
        </w:rPr>
        <w:t xml:space="preserve">miks.</w:t>
      </w:r>
      <w:r>
        <w:t xml:space="preserve"> </w:t>
      </w:r>
      <w:r>
        <w:t xml:space="preserve">Ved nye prisavtaler med under</w:t>
      </w:r>
      <w:r>
        <w:softHyphen/>
      </w:r>
      <w:r>
        <w:t xml:space="preserve">leverandører eller introduksjon av nye tjenestetyper vil modellen være feilaktig inntil neste re-trening. Det finnes ingen overvåknings</w:t>
      </w:r>
      <w:r>
        <w:softHyphen/>
      </w:r>
      <w:r>
        <w:t xml:space="preserve">mekanisme i dag som flagger drift.</w:t>
      </w:r>
    </w:p>
    <w:p>
      <w:pPr>
        <w:pStyle w:val="Compact"/>
        <w:numPr>
          <w:ilvl w:val="0"/>
          <w:numId w:val="1019"/>
        </w:numPr>
      </w:pPr>
      <w:r>
        <w:rPr>
          <w:b/>
          <w:bCs/>
        </w:rPr>
        <w:t xml:space="preserve">Statiske yacht-spesifikasjoner.</w:t>
      </w:r>
      <w:r>
        <w:t xml:space="preserve"> </w:t>
      </w:r>
      <w:r>
        <w:t xml:space="preserve">GT, LOA og fuel-rate er antatt konstante per yacht-ID. Hvis en yacht ombygges (større drivstoff</w:t>
      </w:r>
      <w:r>
        <w:softHyphen/>
      </w:r>
      <w:r>
        <w:t xml:space="preserve">tank, ny propelltype), fanger ikke modellen dette før spec-fila oppdateres manuelt.</w:t>
      </w:r>
    </w:p>
    <w:p>
      <w:pPr>
        <w:pStyle w:val="Compact"/>
        <w:numPr>
          <w:ilvl w:val="0"/>
          <w:numId w:val="1019"/>
        </w:numPr>
      </w:pPr>
      <w:r>
        <w:rPr>
          <w:b/>
          <w:bCs/>
        </w:rPr>
        <w:t xml:space="preserve">CQR gir marginal, ikke betinget dekning.</w:t>
      </w:r>
      <w:r>
        <w:t xml:space="preserve"> </w:t>
      </w:r>
      <w:r>
        <w:t xml:space="preserve">En kommunikasjon av</w:t>
      </w:r>
      <w:r>
        <w:t xml:space="preserve"> </w:t>
      </w:r>
      <w:r>
        <w:t xml:space="preserve">“80 % dekning”</w:t>
      </w:r>
      <w:r>
        <w:t xml:space="preserve"> </w:t>
      </w:r>
      <w:r>
        <w:t xml:space="preserve">til sluttkunder er ærlig på populasjons</w:t>
      </w:r>
      <w:r>
        <w:softHyphen/>
      </w:r>
      <w:r>
        <w:t xml:space="preserve">nivå, men kan villede en koordinator som ser et estimat for en spesifikk Mellomstor-yacht (der reell dekning er 74 %).</w:t>
      </w:r>
    </w:p>
    <w:p>
      <w:pPr>
        <w:pStyle w:val="FirstParagraph"/>
      </w:pPr>
      <w:r>
        <w:rPr>
          <w:b/>
          <w:bCs/>
        </w:rPr>
        <w:t xml:space="preserve">Operasjonaliserings</w:t>
      </w:r>
      <w:r>
        <w:rPr>
          <w:b/>
          <w:bCs/>
        </w:rPr>
        <w:softHyphen/>
      </w:r>
      <w:r>
        <w:rPr>
          <w:b/>
          <w:bCs/>
        </w:rPr>
        <w:t xml:space="preserve">svakheter.</w:t>
      </w:r>
    </w:p>
    <w:p>
      <w:pPr>
        <w:pStyle w:val="Compact"/>
        <w:numPr>
          <w:ilvl w:val="0"/>
          <w:numId w:val="1020"/>
        </w:numPr>
      </w:pPr>
      <w:r>
        <w:rPr>
          <w:b/>
          <w:bCs/>
        </w:rPr>
        <w:t xml:space="preserve">Produksjons</w:t>
      </w:r>
      <w:r>
        <w:rPr>
          <w:b/>
          <w:bCs/>
        </w:rPr>
        <w:softHyphen/>
      </w:r>
      <w:r>
        <w:rPr>
          <w:b/>
          <w:bCs/>
        </w:rPr>
        <w:t xml:space="preserve">modellen er ikke uavhengig test</w:t>
      </w:r>
      <w:r>
        <w:rPr>
          <w:b/>
          <w:bCs/>
        </w:rPr>
        <w:softHyphen/>
      </w:r>
      <w:r>
        <w:rPr>
          <w:b/>
          <w:bCs/>
        </w:rPr>
        <w:t xml:space="preserve">evaluert.</w:t>
      </w:r>
      <w:r>
        <w:t xml:space="preserve"> </w:t>
      </w:r>
      <w:r>
        <w:rPr>
          <w:rStyle w:val="VerbatimChar"/>
        </w:rPr>
        <w:t xml:space="preserve">model_meta_final.joblib</w:t>
      </w:r>
      <w:r>
        <w:t xml:space="preserve"> </w:t>
      </w:r>
      <w:r>
        <w:t xml:space="preserve">er trent på 2020–2025 inkludert testsettet. Test-set-metrikkene i § 8.1.1 gjelder</w:t>
      </w:r>
      <w:r>
        <w:t xml:space="preserve"> </w:t>
      </w:r>
      <w:r>
        <w:rPr>
          <w:i/>
          <w:iCs/>
        </w:rPr>
        <w:t xml:space="preserve">prefit-modellen</w:t>
      </w:r>
      <w:r>
        <w:t xml:space="preserve"> </w:t>
      </w:r>
      <w:r>
        <w:t xml:space="preserve">(≤ 2023) som en stand-in for generaliserings</w:t>
      </w:r>
      <w:r>
        <w:softHyphen/>
      </w:r>
      <w:r>
        <w:t xml:space="preserve">evnen til den deployede modellen. Inntil 2026-data er tilstrekkelig, finnes det ikke et uavhengig holdout for den deployede modellen.</w:t>
      </w:r>
    </w:p>
    <w:p>
      <w:pPr>
        <w:pStyle w:val="FirstParagraph"/>
      </w:pPr>
      <w:r>
        <w:t xml:space="preserve">For en operasjonell bruker er den mest håndgripelige svakheten den lille flåten (punkt 1) og den manglende</w:t>
      </w:r>
      <w:r>
        <w:t xml:space="preserve"> </w:t>
      </w:r>
      <w:r>
        <w:rPr>
          <w:rStyle w:val="VerbatimChar"/>
        </w:rPr>
        <w:t xml:space="preserve">guest_experience</w:t>
      </w:r>
      <w:r>
        <w:t xml:space="preserve">-featuren (punkt 4) — begge krever data</w:t>
      </w:r>
      <w:r>
        <w:softHyphen/>
      </w:r>
      <w:r>
        <w:t xml:space="preserve">arbeid for å lukke, og ingen av dem kan løses ved å bytte modell</w:t>
      </w:r>
      <w:r>
        <w:softHyphen/>
      </w:r>
      <w:r>
        <w:t xml:space="preserve">arkitektur. Dette er konsistent med kompendiets observasjon (§ i.4.1) om at</w:t>
      </w:r>
      <w:r>
        <w:t xml:space="preserve"> </w:t>
      </w:r>
      <w:r>
        <w:t xml:space="preserve">“modellen er bare så god som dataene den bygger på”</w:t>
      </w:r>
      <w:r>
        <w:t xml:space="preserve">.</w:t>
      </w:r>
    </w:p>
    <w:bookmarkEnd w:id="82"/>
    <w:bookmarkStart w:id="90" w:name="funn-fra-brukertest-mai-2026"/>
    <w:p>
      <w:pPr>
        <w:pStyle w:val="Heading3"/>
      </w:pPr>
      <w:r>
        <w:rPr>
          <w:rStyle w:val="SectionNumber"/>
        </w:rPr>
        <w:t xml:space="preserve">10.5</w:t>
      </w:r>
      <w:r>
        <w:tab/>
      </w:r>
      <w:r>
        <w:t xml:space="preserve">9.5 Funn fra brukertest mai 2026</w:t>
      </w:r>
    </w:p>
    <w:p>
      <w:pPr>
        <w:pStyle w:val="FirstParagraph"/>
      </w:pPr>
      <w:r>
        <w:t xml:space="preserve">En end-to-end brukertest med agency-manageren (mai 2026) avdekket flere systematiske avvik mellom modell</w:t>
      </w:r>
      <w:r>
        <w:softHyphen/>
      </w:r>
      <w:r>
        <w:t xml:space="preserve">estimatene og virkelige anløps</w:t>
      </w:r>
      <w:r>
        <w:softHyphen/>
      </w:r>
      <w:r>
        <w:t xml:space="preserve">kostnader. Avvikene er i hovedsak forklarbare ut fra grenser i datagrunnlaget og modellstrukturen, og kategoriseres her i syv punkter. Hvert punkt er adressert i kodebasen — enten som en modell</w:t>
      </w:r>
      <w:r>
        <w:softHyphen/>
      </w:r>
      <w:r>
        <w:t xml:space="preserve">korreksjon, en obligatorisk eller valgfri override, eller en datainnsamlings</w:t>
      </w:r>
      <w:r>
        <w:softHyphen/>
      </w:r>
      <w:r>
        <w:t xml:space="preserve">mekanisme for fremtidig re-trening. Detaljer om hver kode</w:t>
      </w:r>
      <w:r>
        <w:softHyphen/>
      </w:r>
      <w:r>
        <w:t xml:space="preserve">endring er versjons</w:t>
      </w:r>
      <w:r>
        <w:softHyphen/>
      </w:r>
      <w:r>
        <w:t xml:space="preserve">kontrollert i</w:t>
      </w:r>
      <w:r>
        <w:t xml:space="preserve"> </w:t>
      </w:r>
      <w:r>
        <w:rPr>
          <w:rStyle w:val="VerbatimChar"/>
        </w:rPr>
        <w:t xml:space="preserve">013 fase 3 - review/</w:t>
      </w:r>
      <w:r>
        <w:t xml:space="preserve">-mappen og dokumentert i commit-loggen.</w:t>
      </w:r>
    </w:p>
    <w:bookmarkStart w:id="83" w:name="valutatagging-i-modelloutputen"/>
    <w:p>
      <w:pPr>
        <w:pStyle w:val="Heading4"/>
      </w:pPr>
      <w:r>
        <w:rPr>
          <w:rStyle w:val="SectionNumber"/>
        </w:rPr>
        <w:t xml:space="preserve">10.5.1</w:t>
      </w:r>
      <w:r>
        <w:tab/>
      </w:r>
      <w:r>
        <w:t xml:space="preserve">9.5.1 Valutatagging i modell</w:t>
      </w:r>
      <w:r>
        <w:softHyphen/>
      </w:r>
      <w:r>
        <w:t xml:space="preserve">outputen</w:t>
      </w:r>
    </w:p>
    <w:p>
      <w:pPr>
        <w:pStyle w:val="FirstParagraph"/>
      </w:pPr>
      <w:r>
        <w:t xml:space="preserve">Brukertesten avdekket at estimatene fremsto som ca. 10× lavere enn faktiske kostnader når disse ble sammenlignet i NOK. Roten var en</w:t>
      </w:r>
      <w:r>
        <w:t xml:space="preserve"> </w:t>
      </w:r>
      <w:r>
        <w:rPr>
          <w:i/>
          <w:iCs/>
        </w:rPr>
        <w:t xml:space="preserve">enhets</w:t>
      </w:r>
      <w:r>
        <w:rPr>
          <w:i/>
          <w:iCs/>
        </w:rPr>
        <w:softHyphen/>
      </w:r>
      <w:r>
        <w:rPr>
          <w:i/>
          <w:iCs/>
        </w:rPr>
        <w:t xml:space="preserve">feil</w:t>
      </w:r>
      <w:r>
        <w:t xml:space="preserve">: modellens output (og hele applikasjons</w:t>
      </w:r>
      <w:r>
        <w:softHyphen/>
      </w:r>
      <w:r>
        <w:t xml:space="preserve">frontend i v0.2) var merket NOK, mens kildedataene fra Yachting Operations sine cockpit-rapporter er i</w:t>
      </w:r>
      <w:r>
        <w:t xml:space="preserve"> </w:t>
      </w:r>
      <w:r>
        <w:rPr>
          <w:b/>
          <w:bCs/>
        </w:rPr>
        <w:t xml:space="preserve">EUR</w:t>
      </w:r>
      <w:r>
        <w:t xml:space="preserve"> </w:t>
      </w:r>
      <w:r>
        <w:t xml:space="preserve">(kolonne</w:t>
      </w:r>
      <w:r>
        <w:softHyphen/>
      </w:r>
      <w:r>
        <w:t xml:space="preserve">overskriften i</w:t>
      </w:r>
      <w:r>
        <w:t xml:space="preserve"> </w:t>
      </w:r>
      <w:r>
        <w:rPr>
          <w:rStyle w:val="VerbatimChar"/>
        </w:rPr>
        <w:t xml:space="preserve">004 data/cockpit_2024.csv</w:t>
      </w:r>
      <w:r>
        <w:t xml:space="preserve"> </w:t>
      </w:r>
      <w:r>
        <w:t xml:space="preserve">og</w:t>
      </w:r>
      <w:r>
        <w:t xml:space="preserve"> </w:t>
      </w:r>
      <w:r>
        <w:rPr>
          <w:rStyle w:val="VerbatimChar"/>
        </w:rPr>
        <w:t xml:space="preserve">cockpit_2025.csv</w:t>
      </w:r>
      <w:r>
        <w:t xml:space="preserve"> </w:t>
      </w:r>
      <w:r>
        <w:t xml:space="preserve">sier eksplisitt</w:t>
      </w:r>
      <w:r>
        <w:t xml:space="preserve"> </w:t>
      </w:r>
      <w:r>
        <w:t xml:space="preserve">“EUR”</w:t>
      </w:r>
      <w:r>
        <w:t xml:space="preserve">). Forholdstallet på ca. 11,5 mellom det viste tallet og det faktiske NOK-beløpet samsvarer med EUR/NOK-kursen. Tiltak: API tar nå et</w:t>
      </w:r>
      <w:r>
        <w:t xml:space="preserve"> </w:t>
      </w:r>
      <w:r>
        <w:rPr>
          <w:rStyle w:val="VerbatimChar"/>
        </w:rPr>
        <w:t xml:space="preserve">currency</w:t>
      </w:r>
      <w:r>
        <w:t xml:space="preserve">-felt på</w:t>
      </w:r>
      <w:r>
        <w:t xml:space="preserve"> </w:t>
      </w:r>
      <w:r>
        <w:rPr>
          <w:rStyle w:val="VerbatimChar"/>
        </w:rPr>
        <w:t xml:space="preserve">/api/predict</w:t>
      </w:r>
      <w:r>
        <w:t xml:space="preserve"> </w:t>
      </w:r>
      <w:r>
        <w:t xml:space="preserve">med EUR/NOK/DKK som lovlige verdier, og konverterer modell</w:t>
      </w:r>
      <w:r>
        <w:softHyphen/>
      </w:r>
      <w:r>
        <w:t xml:space="preserve">output ved API-grensa via</w:t>
      </w:r>
      <w:r>
        <w:t xml:space="preserve"> </w:t>
      </w:r>
      <w:r>
        <w:rPr>
          <w:rStyle w:val="VerbatimChar"/>
        </w:rPr>
        <w:t xml:space="preserve">EXCHANGE_RATES_FROM_EUR</w:t>
      </w:r>
      <w:r>
        <w:t xml:space="preserve"> </w:t>
      </w:r>
      <w:r>
        <w:t xml:space="preserve">i</w:t>
      </w:r>
      <w:r>
        <w:t xml:space="preserve"> </w:t>
      </w:r>
      <w:r>
        <w:rPr>
          <w:rStyle w:val="VerbatimChar"/>
        </w:rPr>
        <w:t xml:space="preserve">013 fase 3 - review/backend/main.py</w:t>
      </w:r>
      <w:r>
        <w:t xml:space="preserve">. Frontend har valuta</w:t>
      </w:r>
      <w:r>
        <w:softHyphen/>
      </w:r>
      <w:r>
        <w:t xml:space="preserve">velger på alle relevante sider. Denne korreksjonen er også drivkraften bak unit-relabelinga i resten av v0.3 av denne rapporten.</w:t>
      </w:r>
    </w:p>
    <w:bookmarkEnd w:id="83"/>
    <w:bookmarkStart w:id="84" w:name="Xb4132b2698e0fde9c17dbd99750016cd6b3278b"/>
    <w:p>
      <w:pPr>
        <w:pStyle w:val="Heading4"/>
      </w:pPr>
      <w:r>
        <w:rPr>
          <w:rStyle w:val="SectionNumber"/>
        </w:rPr>
        <w:t xml:space="preserve">10.5.2</w:t>
      </w:r>
      <w:r>
        <w:tab/>
      </w:r>
      <w:r>
        <w:t xml:space="preserve">9.5.2 Mandatory pilotage modelleres som sannsynlig, ikke obligatorisk</w:t>
      </w:r>
    </w:p>
    <w:p>
      <w:pPr>
        <w:pStyle w:val="FirstParagraph"/>
      </w:pPr>
      <w:r>
        <w:t xml:space="preserve">For yachter med LOA &gt; 70 m er los-tjeneste lovpålagt i de tre skandinaviske farvannene. I</w:t>
      </w:r>
      <w:r>
        <w:t xml:space="preserve"> </w:t>
      </w:r>
      <w:r>
        <w:rPr>
          <w:rStyle w:val="VerbatimChar"/>
        </w:rPr>
        <w:t xml:space="preserve">PORT_TEMPLATES</w:t>
      </w:r>
      <w:r>
        <w:t xml:space="preserve"> </w:t>
      </w:r>
      <w:r>
        <w:t xml:space="preserve">(</w:t>
      </w:r>
      <w:r>
        <w:rPr>
          <w:rStyle w:val="VerbatimChar"/>
        </w:rPr>
        <w:t xml:space="preserve">013 fase 3 - review/backend/model.py</w:t>
      </w:r>
      <w:r>
        <w:t xml:space="preserve">) er imidlertid los-linjene (</w:t>
      </w:r>
      <w:r>
        <w:t xml:space="preserve">“Arrival Pilot Fees”</w:t>
      </w:r>
      <w:r>
        <w:t xml:space="preserve">,</w:t>
      </w:r>
      <w:r>
        <w:t xml:space="preserve"> </w:t>
      </w:r>
      <w:r>
        <w:t xml:space="preserve">“Pilot Fees Arrival”</w:t>
      </w:r>
      <w:r>
        <w:t xml:space="preserve">) sannsynlighets</w:t>
      </w:r>
      <w:r>
        <w:softHyphen/>
      </w:r>
      <w:r>
        <w:t xml:space="preserve">vektet med historisk frekvens på tvers av</w:t>
      </w:r>
      <w:r>
        <w:t xml:space="preserve"> </w:t>
      </w:r>
      <w:r>
        <w:rPr>
          <w:i/>
          <w:iCs/>
        </w:rPr>
        <w:t xml:space="preserve">alle</w:t>
      </w:r>
      <w:r>
        <w:t xml:space="preserve"> </w:t>
      </w:r>
      <w:r>
        <w:t xml:space="preserve">yacht-størrelser — fra 17 % i Bergen og 22 % i Tromsø til 73 % i Göteborg og 42 % i Ålesund. For Stor-yachts (LOA &gt; 70 m) er den realiserte sannsynligheten i praksis 100 %, og modellen under</w:t>
      </w:r>
      <w:r>
        <w:softHyphen/>
      </w:r>
      <w:r>
        <w:t xml:space="preserve">vekter derfor systematisk los</w:t>
      </w:r>
      <w:r>
        <w:softHyphen/>
      </w:r>
      <w:r>
        <w:t xml:space="preserve">kostnad for denne størrelses</w:t>
      </w:r>
      <w:r>
        <w:softHyphen/>
      </w:r>
      <w:r>
        <w:t xml:space="preserve">klassen. Dette er nettopp det gapet § 1.5 punkt (iii) påpeker — datadrevne sannsynlighets</w:t>
      </w:r>
      <w:r>
        <w:softHyphen/>
      </w:r>
      <w:r>
        <w:t xml:space="preserve">vektinger fanger ikke regulatoriske krav som er deterministiske. Mønsteret er kjent fra havne</w:t>
      </w:r>
      <w:r>
        <w:softHyphen/>
      </w:r>
      <w:r>
        <w:t xml:space="preserve">effektivitets</w:t>
      </w:r>
      <w:r>
        <w:softHyphen/>
      </w:r>
      <w:r>
        <w:t xml:space="preserve">litteraturen (Garrido Albarracín et al., 2024), der regulatoriske inngrep (kapasitets</w:t>
      </w:r>
      <w:r>
        <w:softHyphen/>
      </w:r>
      <w:r>
        <w:t xml:space="preserve">tak, miljø</w:t>
      </w:r>
      <w:r>
        <w:softHyphen/>
      </w:r>
      <w:r>
        <w:t xml:space="preserve">avgifter) typisk legges på som eksplisitte features eller eksterne overrides snarere enn lært fra historisk frekvens. Tiltak v0.3: API krever nå</w:t>
      </w:r>
      <w:r>
        <w:t xml:space="preserve"> </w:t>
      </w:r>
      <w:r>
        <w:rPr>
          <w:rStyle w:val="VerbatimChar"/>
        </w:rPr>
        <w:t xml:space="preserve">pilot_cost</w:t>
      </w:r>
      <w:r>
        <w:t xml:space="preserve"> </w:t>
      </w:r>
      <w:r>
        <w:t xml:space="preserve">(med valg</w:t>
      </w:r>
      <w:r>
        <w:t xml:space="preserve"> </w:t>
      </w:r>
      <w:r>
        <w:t xml:space="preserve">“national”</w:t>
      </w:r>
      <w:r>
        <w:t xml:space="preserve"> </w:t>
      </w:r>
      <w:r>
        <w:t xml:space="preserve">eller</w:t>
      </w:r>
      <w:r>
        <w:t xml:space="preserve"> </w:t>
      </w:r>
      <w:r>
        <w:t xml:space="preserve">“private”</w:t>
      </w:r>
      <w:r>
        <w:t xml:space="preserve">) når</w:t>
      </w:r>
      <w:r>
        <w:t xml:space="preserve"> </w:t>
      </w:r>
      <w:r>
        <w:rPr>
          <w:rStyle w:val="VerbatimChar"/>
        </w:rPr>
        <w:t xml:space="preserve">loskrav = "Ja"</w:t>
      </w:r>
      <w:r>
        <w:t xml:space="preserve">, og legger beløpet til som en separat</w:t>
      </w:r>
      <w:r>
        <w:t xml:space="preserve"> </w:t>
      </w:r>
      <w:r>
        <w:t xml:space="preserve">“Pilotage”</w:t>
      </w:r>
      <w:r>
        <w:t xml:space="preserve">-kategori i kostnads</w:t>
      </w:r>
      <w:r>
        <w:softHyphen/>
      </w:r>
      <w:r>
        <w:t xml:space="preserve">bredden. Dette er ikke en modell</w:t>
      </w:r>
      <w:r>
        <w:softHyphen/>
      </w:r>
      <w:r>
        <w:t xml:space="preserve">fix; gapet ligger i at sannsynlighetene er flate på tvers av størrelser. Riktig fix er å konstruere størrelse-betingede los-sannsynligheter (jf. § 10).</w:t>
      </w:r>
    </w:p>
    <w:bookmarkEnd w:id="84"/>
    <w:bookmarkStart w:id="85" w:name="bunkersmodellen-ser-ikke-reisegeometri"/>
    <w:p>
      <w:pPr>
        <w:pStyle w:val="Heading4"/>
      </w:pPr>
      <w:r>
        <w:rPr>
          <w:rStyle w:val="SectionNumber"/>
        </w:rPr>
        <w:t xml:space="preserve">10.5.3</w:t>
      </w:r>
      <w:r>
        <w:tab/>
      </w:r>
      <w:r>
        <w:t xml:space="preserve">9.5.3 Bunkers</w:t>
      </w:r>
      <w:r>
        <w:softHyphen/>
      </w:r>
      <w:r>
        <w:t xml:space="preserve">modellen ser ikke reise</w:t>
      </w:r>
      <w:r>
        <w:softHyphen/>
      </w:r>
      <w:r>
        <w:t xml:space="preserve">geometri</w:t>
      </w:r>
    </w:p>
    <w:p>
      <w:pPr>
        <w:pStyle w:val="FirstParagraph"/>
      </w:pPr>
      <w:r>
        <w:t xml:space="preserve">Drivstoffkostnaden er på samme måte som los modellert som en sannsynlighets</w:t>
      </w:r>
      <w:r>
        <w:softHyphen/>
      </w:r>
      <w:r>
        <w:t xml:space="preserve">vektet linje (Bergen 4,9 %, Stockholm 6,9 %, etc.) som ikke leser distanse, marsjfart eller motor</w:t>
      </w:r>
      <w:r>
        <w:softHyphen/>
      </w:r>
      <w:r>
        <w:t xml:space="preserve">spesifikasjoner. Yachter på lange overfarter under</w:t>
      </w:r>
      <w:r>
        <w:softHyphen/>
      </w:r>
      <w:r>
        <w:t xml:space="preserve">estimeres derfor systematisk. Dette er strukturelt det samme funnet som Çerçi et al. (2024) rapporterer for ro-ro-skip: når drivstoffkostnaden modelleres uten reise</w:t>
      </w:r>
      <w:r>
        <w:softHyphen/>
      </w:r>
      <w:r>
        <w:t xml:space="preserve">geometri faller modellytelsen markant for fartøy på lange overfarter. Tiltak v0.3 (og videre v0.4): API tar valgfri</w:t>
      </w:r>
      <w:r>
        <w:t xml:space="preserve"> </w:t>
      </w:r>
      <w:r>
        <w:rPr>
          <w:rStyle w:val="VerbatimChar"/>
        </w:rPr>
        <w:t xml:space="preserve">cruising_speed_kn</w:t>
      </w:r>
      <w:r>
        <w:t xml:space="preserve">,</w:t>
      </w:r>
      <w:r>
        <w:t xml:space="preserve"> </w:t>
      </w:r>
      <w:r>
        <w:rPr>
          <w:rStyle w:val="VerbatimChar"/>
        </w:rPr>
        <w:t xml:space="preserve">diesel_price_per_l</w:t>
      </w:r>
      <w:r>
        <w:t xml:space="preserve"> </w:t>
      </w:r>
      <w:r>
        <w:t xml:space="preserve">og per-stopp</w:t>
      </w:r>
      <w:r>
        <w:t xml:space="preserve"> </w:t>
      </w:r>
      <w:r>
        <w:rPr>
          <w:rStyle w:val="VerbatimChar"/>
        </w:rPr>
        <w:t xml:space="preserve">distance_nm</w:t>
      </w:r>
      <w:r>
        <w:t xml:space="preserve"> </w:t>
      </w:r>
      <w:r>
        <w:t xml:space="preserve">— distansefeltet eksponeres nå for</w:t>
      </w:r>
      <w:r>
        <w:t xml:space="preserve"> </w:t>
      </w:r>
      <w:r>
        <w:rPr>
          <w:i/>
          <w:iCs/>
        </w:rPr>
        <w:t xml:space="preserve">hvert</w:t>
      </w:r>
      <w:r>
        <w:t xml:space="preserve"> </w:t>
      </w:r>
      <w:r>
        <w:t xml:space="preserve">stopp i frontend, inkludert det første (commit</w:t>
      </w:r>
      <w:r>
        <w:t xml:space="preserve"> </w:t>
      </w:r>
      <w:r>
        <w:rPr>
          <w:rStyle w:val="VerbatimChar"/>
        </w:rPr>
        <w:t xml:space="preserve">e24655a</w:t>
      </w:r>
      <w:r>
        <w:t xml:space="preserve">, 2026-05-12), slik at også enkelt</w:t>
      </w:r>
      <w:r>
        <w:softHyphen/>
      </w:r>
      <w:r>
        <w:t xml:space="preserve">leg-voyages kan utløse formelen. Når alle tre inputs er gitt og samlet distanse er positiv, erstatter backend modellens</w:t>
      </w:r>
      <w:r>
        <w:t xml:space="preserve"> </w:t>
      </w:r>
      <w:r>
        <w:t xml:space="preserve">“Bunkering”</w:t>
      </w:r>
      <w:r>
        <w:t xml:space="preserve">-kategori med en deterministisk beregning:</w:t>
      </w:r>
    </w:p>
    <w:p>
      <w:pPr>
        <w:pStyle w:val="BodyText"/>
      </w:pPr>
      <m:oMathPara>
        <m:oMathParaPr>
          <m:jc m:val="center"/>
        </m:oMathParaPr>
        <m:oMath>
          <m:r>
            <m:rPr>
              <m:nor/>
              <m:sty m:val="p"/>
            </m:rPr>
            <m:t>Bunkers</m:t>
          </m:r>
          <m:r>
            <m:rPr>
              <m:sty m:val="p"/>
            </m:rPr>
            <m:t>=</m:t>
          </m:r>
          <m:f>
            <m:fPr>
              <m:type m:val="bar"/>
            </m:fPr>
            <m:num>
              <m:r>
                <m:rPr>
                  <m:sty m:val="p"/>
                </m:rPr>
                <m:t>∑</m:t>
              </m:r>
              <m:r>
                <m:rPr>
                  <m:nor/>
                  <m:sty m:val="p"/>
                </m:rPr>
                <m:t>distance_nm</m:t>
              </m:r>
            </m:num>
            <m:den>
              <m:r>
                <m:rPr>
                  <m:nor/>
                  <m:sty m:val="p"/>
                </m:rPr>
                <m:t>cruising_speed_kn</m:t>
              </m:r>
            </m:den>
          </m:f>
          <m:r>
            <m:rPr>
              <m:sty m:val="p"/>
            </m:rPr>
            <m:t>⋅</m:t>
          </m:r>
          <m:r>
            <m:rPr>
              <m:nor/>
              <m:sty m:val="p"/>
            </m:rPr>
            <m:t>fuel_lph</m:t>
          </m:r>
          <m:r>
            <m:rPr>
              <m:sty m:val="p"/>
            </m:rPr>
            <m:t>⋅</m:t>
          </m:r>
          <m:r>
            <m:rPr>
              <m:nor/>
              <m:sty m:val="p"/>
            </m:rPr>
            <m:t>diesel_price_per_l</m:t>
          </m:r>
        </m:oMath>
      </m:oMathPara>
    </w:p>
    <w:p>
      <w:pPr>
        <w:pStyle w:val="FirstParagraph"/>
      </w:pPr>
      <w:r>
        <w:t xml:space="preserve">Dette er en operasjonell mitigation, ikke en modell</w:t>
      </w:r>
      <w:r>
        <w:softHyphen/>
      </w:r>
      <w:r>
        <w:t xml:space="preserve">fix. Den korrekte løsningen er å inkludere</w:t>
      </w:r>
      <w:r>
        <w:t xml:space="preserve"> </w:t>
      </w:r>
      <w:r>
        <w:rPr>
          <w:rStyle w:val="VerbatimChar"/>
        </w:rPr>
        <w:t xml:space="preserve">distance_nm</w:t>
      </w:r>
      <w:r>
        <w:t xml:space="preserve"> </w:t>
      </w:r>
      <w:r>
        <w:t xml:space="preserve">(og marsjfart) som features i en re-trent modell — flagges som videre arbeid i § 10.</w:t>
      </w:r>
    </w:p>
    <w:bookmarkEnd w:id="85"/>
    <w:bookmarkStart w:id="86" w:name="manglende-guest_experience-feature"/>
    <w:p>
      <w:pPr>
        <w:pStyle w:val="Heading4"/>
      </w:pPr>
      <w:r>
        <w:rPr>
          <w:rStyle w:val="SectionNumber"/>
        </w:rPr>
        <w:t xml:space="preserve">10.5.4</w:t>
      </w:r>
      <w:r>
        <w:tab/>
      </w:r>
      <w:r>
        <w:t xml:space="preserve">9.5.4 Manglende</w:t>
      </w:r>
      <w:r>
        <w:t xml:space="preserve"> </w:t>
      </w:r>
      <w:r>
        <w:rPr>
          <w:rStyle w:val="VerbatimChar"/>
        </w:rPr>
        <w:t xml:space="preserve">guest_experience</w:t>
      </w:r>
      <w:r>
        <w:t xml:space="preserve">-feature</w:t>
      </w:r>
    </w:p>
    <w:p>
      <w:pPr>
        <w:pStyle w:val="FirstParagraph"/>
      </w:pPr>
      <w:r>
        <w:t xml:space="preserve">Brukertesten viste at Provisions er kategorien der modellen avviker mest fra faktiske kostnader. Den dominerende drivkraften — om gjestene er krevende, nøytrale eller lite krevende — finnes ikke i datagrunnlaget.</w:t>
      </w:r>
      <w:r>
        <w:t xml:space="preserve"> </w:t>
      </w:r>
      <w:r>
        <w:rPr>
          <w:rStyle w:val="VerbatimChar"/>
        </w:rPr>
        <w:t xml:space="preserve">costs_clean.csv</w:t>
      </w:r>
      <w:r>
        <w:t xml:space="preserve"> </w:t>
      </w:r>
      <w:r>
        <w:t xml:space="preserve">har ingen kolonne for det, og prosjektgruppa kan ikke simulere data uten godkjenning fra emne</w:t>
      </w:r>
      <w:r>
        <w:softHyphen/>
      </w:r>
      <w:r>
        <w:t xml:space="preserve">ansvarlig. Tiltak v0.3 er todelt og</w:t>
      </w:r>
      <w:r>
        <w:t xml:space="preserve"> </w:t>
      </w:r>
      <w:r>
        <w:rPr>
          <w:b/>
          <w:bCs/>
        </w:rPr>
        <w:t xml:space="preserve">bevisst begrenset</w:t>
      </w:r>
      <w:r>
        <w:t xml:space="preserve"> </w:t>
      </w:r>
      <w:r>
        <w:t xml:space="preserve">for å ikke introdusere syntetiske data: (a)</w:t>
      </w:r>
      <w:r>
        <w:t xml:space="preserve"> </w:t>
      </w:r>
      <w:r>
        <w:rPr>
          <w:rStyle w:val="VerbatimChar"/>
        </w:rPr>
        <w:t xml:space="preserve">guest_experience</w:t>
      </w:r>
      <w:r>
        <w:t xml:space="preserve"> </w:t>
      </w:r>
      <w:r>
        <w:t xml:space="preserve">er nå et valgfritt API-felt og UI-velger med tre lovlige verdier (</w:t>
      </w:r>
      <w:r>
        <w:t xml:space="preserve">“not_demanding”</w:t>
      </w:r>
      <w:r>
        <w:t xml:space="preserve">/</w:t>
      </w:r>
      <w:r>
        <w:t xml:space="preserve">“neutral”</w:t>
      </w:r>
      <w:r>
        <w:t xml:space="preserve">/</w:t>
      </w:r>
      <w:r>
        <w:t xml:space="preserve">“demanding”</w:t>
      </w:r>
      <w:r>
        <w:t xml:space="preserve">); verdien lagres med registry-oppføringen og ekko</w:t>
      </w:r>
      <w:r>
        <w:softHyphen/>
      </w:r>
      <w:r>
        <w:t xml:space="preserve">es i API-responsen sammen med en eksplisitt note om at dagens modell</w:t>
      </w:r>
      <w:r>
        <w:t xml:space="preserve"> </w:t>
      </w:r>
      <w:r>
        <w:rPr>
          <w:i/>
          <w:iCs/>
        </w:rPr>
        <w:t xml:space="preserve">ikke</w:t>
      </w:r>
      <w:r>
        <w:t xml:space="preserve"> </w:t>
      </w:r>
      <w:r>
        <w:t xml:space="preserve">er trent på den, og (b) en operasjonell rubrikk for hvordan agency-manageren bør label</w:t>
      </w:r>
      <w:r>
        <w:softHyphen/>
      </w:r>
      <w:r>
        <w:t xml:space="preserve">e voyages er foreslått i Vedlegg E. Rubrikken må forfattes og signeres av Yachting Operations selv — uten en validert operasjonell definisjon vil fremtidige labels være støyende på tvers av koordinatorer. Dette er det viktigste konkrete bidraget i § 1.5 punkt (ii): vi rapporterer hva CQR oppnår</w:t>
      </w:r>
      <w:r>
        <w:t xml:space="preserve"> </w:t>
      </w:r>
      <w:r>
        <w:rPr>
          <w:i/>
          <w:iCs/>
        </w:rPr>
        <w:t xml:space="preserve">gitt</w:t>
      </w:r>
      <w:r>
        <w:t xml:space="preserve"> </w:t>
      </w:r>
      <w:r>
        <w:t xml:space="preserve">spesifisert kvantil</w:t>
      </w:r>
      <w:r>
        <w:softHyphen/>
      </w:r>
      <w:r>
        <w:t xml:space="preserve">modell, men dokumenterer at den ikke kompenserer for en manglende feature.</w:t>
      </w:r>
    </w:p>
    <w:bookmarkEnd w:id="86"/>
    <w:bookmarkStart w:id="87" w:name="land-aggregater-i-modellen-er-poolet"/>
    <w:p>
      <w:pPr>
        <w:pStyle w:val="Heading4"/>
      </w:pPr>
      <w:r>
        <w:rPr>
          <w:rStyle w:val="SectionNumber"/>
        </w:rPr>
        <w:t xml:space="preserve">10.5.5</w:t>
      </w:r>
      <w:r>
        <w:tab/>
      </w:r>
      <w:r>
        <w:t xml:space="preserve">9.5.5 Land-aggregater i modellen er poolet</w:t>
      </w:r>
    </w:p>
    <w:p>
      <w:pPr>
        <w:pStyle w:val="FirstParagraph"/>
      </w:pPr>
      <w:r>
        <w:t xml:space="preserve">Manageren spurte om modellen bruker data fra alle tre land samlet eller hvert land for seg, fordi havne</w:t>
      </w:r>
      <w:r>
        <w:softHyphen/>
      </w:r>
      <w:r>
        <w:t xml:space="preserve">avgifter i København typisk er høyere enn i mindre svenske eller norske havner. Inspeksjon av</w:t>
      </w:r>
      <w:r>
        <w:t xml:space="preserve"> </w:t>
      </w:r>
      <w:r>
        <w:rPr>
          <w:rStyle w:val="VerbatimChar"/>
        </w:rPr>
        <w:t xml:space="preserve">model.py:56–59</w:t>
      </w:r>
      <w:r>
        <w:t xml:space="preserve"> </w:t>
      </w:r>
      <w:r>
        <w:t xml:space="preserve">viser at modellen håndterer dette delvis:</w:t>
      </w:r>
      <w:r>
        <w:t xml:space="preserve"> </w:t>
      </w:r>
      <w:r>
        <w:rPr>
          <w:rStyle w:val="VerbatimChar"/>
        </w:rPr>
        <w:t xml:space="preserve">port_stats</w:t>
      </w:r>
      <w:r>
        <w:t xml:space="preserve"> </w:t>
      </w:r>
      <w:r>
        <w:t xml:space="preserve">(havne</w:t>
      </w:r>
      <w:r>
        <w:softHyphen/>
      </w:r>
      <w:r>
        <w:t xml:space="preserve">spesifikke aggregat</w:t>
      </w:r>
      <w:r>
        <w:softHyphen/>
      </w:r>
      <w:r>
        <w:t xml:space="preserve">features) er joinet på</w:t>
      </w:r>
      <w:r>
        <w:t xml:space="preserve"> </w:t>
      </w:r>
      <w:r>
        <w:rPr>
          <w:rStyle w:val="VerbatimChar"/>
        </w:rPr>
        <w:t xml:space="preserve">arrival_port</w:t>
      </w:r>
      <w:r>
        <w:t xml:space="preserve"> </w:t>
      </w:r>
      <w:r>
        <w:t xml:space="preserve">og fanger derfor land</w:t>
      </w:r>
      <w:r>
        <w:softHyphen/>
      </w:r>
      <w:r>
        <w:t xml:space="preserve">signal indirekte (Bergen og København er ulike kategoriske nivåer i den samme</w:t>
      </w:r>
      <w:r>
        <w:t xml:space="preserve"> </w:t>
      </w:r>
      <w:r>
        <w:rPr>
          <w:rStyle w:val="VerbatimChar"/>
        </w:rPr>
        <w:t xml:space="preserve">arrival_port</w:t>
      </w:r>
      <w:r>
        <w:t xml:space="preserve">-featuren). Men</w:t>
      </w:r>
      <w:r>
        <w:t xml:space="preserve"> </w:t>
      </w:r>
      <w:r>
        <w:rPr>
          <w:rStyle w:val="VerbatimChar"/>
        </w:rPr>
        <w:t xml:space="preserve">size_stats</w:t>
      </w:r>
      <w:r>
        <w:t xml:space="preserve"> </w:t>
      </w:r>
      <w:r>
        <w:t xml:space="preserve">og</w:t>
      </w:r>
      <w:r>
        <w:t xml:space="preserve"> </w:t>
      </w:r>
      <w:r>
        <w:rPr>
          <w:rStyle w:val="VerbatimChar"/>
        </w:rPr>
        <w:t xml:space="preserve">size_svc_stats</w:t>
      </w:r>
      <w:r>
        <w:t xml:space="preserve"> </w:t>
      </w:r>
      <w:r>
        <w:t xml:space="preserve">er joinet kun på</w:t>
      </w:r>
      <w:r>
        <w:t xml:space="preserve"> </w:t>
      </w:r>
      <w:r>
        <w:rPr>
          <w:rStyle w:val="VerbatimChar"/>
        </w:rPr>
        <w:t xml:space="preserve">size_category</w:t>
      </w:r>
      <w:r>
        <w:t xml:space="preserve"> </w:t>
      </w:r>
      <w:r>
        <w:t xml:space="preserve">(henholdsvis</w:t>
      </w:r>
      <w:r>
        <w:t xml:space="preserve"> </w:t>
      </w:r>
      <w:r>
        <w:rPr>
          <w:rStyle w:val="VerbatimChar"/>
        </w:rPr>
        <w:t xml:space="preserve">(size_category, service_category)</w:t>
      </w:r>
      <w:r>
        <w:t xml:space="preserve">), og pooler dermed transaksjons</w:t>
      </w:r>
      <w:r>
        <w:softHyphen/>
      </w:r>
      <w:r>
        <w:t xml:space="preserve">data på tvers av Norge, Sverige og Danmark. For størrelses</w:t>
      </w:r>
      <w:r>
        <w:softHyphen/>
      </w:r>
      <w:r>
        <w:t xml:space="preserve">baserte baseline-features går derfor land</w:t>
      </w:r>
      <w:r>
        <w:softHyphen/>
      </w:r>
      <w:r>
        <w:t xml:space="preserve">signalet tapt. Riktig fix er nye</w:t>
      </w:r>
      <w:r>
        <w:t xml:space="preserve"> </w:t>
      </w:r>
      <w:r>
        <w:rPr>
          <w:rStyle w:val="VerbatimChar"/>
        </w:rPr>
        <w:t xml:space="preserve">country_size_stats.parquet</w:t>
      </w:r>
      <w:r>
        <w:t xml:space="preserve"> </w:t>
      </w:r>
      <w:r>
        <w:t xml:space="preserve">og</w:t>
      </w:r>
      <w:r>
        <w:t xml:space="preserve"> </w:t>
      </w:r>
      <w:r>
        <w:rPr>
          <w:rStyle w:val="VerbatimChar"/>
        </w:rPr>
        <w:t xml:space="preserve">country_size_svc_stats.parquet</w:t>
      </w:r>
      <w:r>
        <w:t xml:space="preserve"> </w:t>
      </w:r>
      <w:r>
        <w:t xml:space="preserve">og en re-trening — dette er videre arbeid (§ 10), ikke en kode</w:t>
      </w:r>
      <w:r>
        <w:softHyphen/>
      </w:r>
      <w:r>
        <w:t xml:space="preserve">endring i v0.3. Vi har imidlertid lagt til</w:t>
      </w:r>
      <w:r>
        <w:t xml:space="preserve"> </w:t>
      </w:r>
      <w:r>
        <w:rPr>
          <w:rStyle w:val="VerbatimChar"/>
        </w:rPr>
        <w:t xml:space="preserve">country</w:t>
      </w:r>
      <w:r>
        <w:t xml:space="preserve"> </w:t>
      </w:r>
      <w:r>
        <w:t xml:space="preserve">som felt i hver</w:t>
      </w:r>
      <w:r>
        <w:t xml:space="preserve"> </w:t>
      </w:r>
      <w:r>
        <w:rPr>
          <w:rStyle w:val="VerbatimChar"/>
        </w:rPr>
        <w:t xml:space="preserve">StopResult</w:t>
      </w:r>
      <w:r>
        <w:t xml:space="preserve"> </w:t>
      </w:r>
      <w:r>
        <w:t xml:space="preserve">i API-responsen og viser dette i frontend, slik at land</w:t>
      </w:r>
      <w:r>
        <w:softHyphen/>
      </w:r>
      <w:r>
        <w:t xml:space="preserve">dimensjonen er synlig.</w:t>
      </w:r>
    </w:p>
    <w:bookmarkEnd w:id="87"/>
    <w:bookmarkStart w:id="88" w:name="Xfb89bcd0f3196bce2464378960df46d55e2a129"/>
    <w:p>
      <w:pPr>
        <w:pStyle w:val="Heading4"/>
      </w:pPr>
      <w:r>
        <w:rPr>
          <w:rStyle w:val="SectionNumber"/>
        </w:rPr>
        <w:t xml:space="preserve">10.5.6</w:t>
      </w:r>
      <w:r>
        <w:tab/>
      </w:r>
      <w:r>
        <w:t xml:space="preserve">9.5.6 Per-yacht aggregering for skalerings</w:t>
      </w:r>
      <w:r>
        <w:softHyphen/>
      </w:r>
      <w:r>
        <w:t xml:space="preserve">spørsmålet</w:t>
      </w:r>
    </w:p>
    <w:p>
      <w:pPr>
        <w:pStyle w:val="FirstParagraph"/>
      </w:pPr>
      <w:r>
        <w:t xml:space="preserve">Manageren formulerte forretningsspørsmålet konkret:</w:t>
      </w:r>
      <w:r>
        <w:t xml:space="preserve"> </w:t>
      </w:r>
      <w:r>
        <w:rPr>
          <w:i/>
          <w:iCs/>
        </w:rPr>
        <w:t xml:space="preserve">“hvis vi har 25 yachter i år og 4 M DKK i inntekt, hva blir inntekten med 30 yachter neste år?”</w:t>
      </w:r>
      <w:r>
        <w:t xml:space="preserve"> </w:t>
      </w:r>
      <w:r>
        <w:t xml:space="preserve">— en rimelig tolkning av hvilke prognose</w:t>
      </w:r>
      <w:r>
        <w:softHyphen/>
      </w:r>
      <w:r>
        <w:t xml:space="preserve">spørsmål verktøyet faktisk skal støtte. v0.2 hadde ingen per-yacht</w:t>
      </w:r>
      <w:r>
        <w:softHyphen/>
      </w:r>
      <w:r>
        <w:t xml:space="preserve">visning; alle registry-oppføringer ble vist som flat liste. Tiltak v0.3 på</w:t>
      </w:r>
      <w:r>
        <w:t xml:space="preserve"> </w:t>
      </w:r>
      <w:r>
        <w:rPr>
          <w:rStyle w:val="VerbatimChar"/>
        </w:rPr>
        <w:t xml:space="preserve">/forecast</w:t>
      </w:r>
      <w:r>
        <w:t xml:space="preserve">: oppføringer grupperes på</w:t>
      </w:r>
      <w:r>
        <w:t xml:space="preserve"> </w:t>
      </w:r>
      <w:r>
        <w:rPr>
          <w:rStyle w:val="VerbatimChar"/>
        </w:rPr>
        <w:t xml:space="preserve">yachtName</w:t>
      </w:r>
      <w:r>
        <w:t xml:space="preserve">, hver oppføring normaliseres til EUR via sin lagrede valuta (eldre oppføringer uten valuta antas NOK), og en flåte-snitt og naiv lineær skalerings</w:t>
      </w:r>
      <w:r>
        <w:softHyphen/>
      </w:r>
      <w:r>
        <w:t xml:space="preserve">projeksjon (</w:t>
      </w:r>
      <w:r>
        <w:rPr>
          <w:rStyle w:val="VerbatimChar"/>
        </w:rPr>
        <w:t xml:space="preserve">avg_per_yacht × N</w:t>
      </w:r>
      <w:r>
        <w:t xml:space="preserve">) presenteres med en eksplisitt note om at modellen ikke fanger kapasitets-, havne- eller sesonge</w:t>
      </w:r>
      <w:r>
        <w:softHyphen/>
      </w:r>
      <w:r>
        <w:t xml:space="preserve">begrensninger. Skalerings</w:t>
      </w:r>
      <w:r>
        <w:softHyphen/>
      </w:r>
      <w:r>
        <w:t xml:space="preserve">tallet skal forstås som et øvre estimat under jevn fremtidig miks — ikke en prognose med usikkerhets</w:t>
      </w:r>
      <w:r>
        <w:softHyphen/>
      </w:r>
      <w:r>
        <w:t xml:space="preserve">bånd.</w:t>
      </w:r>
    </w:p>
    <w:bookmarkEnd w:id="88"/>
    <w:bookmarkStart w:id="89" w:name="X5dd4a93841416e0d3a6753e4a56351cf7060d37"/>
    <w:p>
      <w:pPr>
        <w:pStyle w:val="Heading4"/>
      </w:pPr>
      <w:r>
        <w:rPr>
          <w:rStyle w:val="SectionNumber"/>
        </w:rPr>
        <w:t xml:space="preserve">10.5.7</w:t>
      </w:r>
      <w:r>
        <w:tab/>
      </w:r>
      <w:r>
        <w:t xml:space="preserve">9.5.7 Provisions-override vurdert og avvist (v0.4)</w:t>
      </w:r>
    </w:p>
    <w:p>
      <w:pPr>
        <w:pStyle w:val="FirstParagraph"/>
      </w:pPr>
      <w:r>
        <w:t xml:space="preserve">v0.3 introduserte en valgfri</w:t>
      </w:r>
      <w:r>
        <w:t xml:space="preserve"> </w:t>
      </w:r>
      <w:r>
        <w:rPr>
          <w:rStyle w:val="VerbatimChar"/>
        </w:rPr>
        <w:t xml:space="preserve">provisioning_override</w:t>
      </w:r>
      <w:r>
        <w:t xml:space="preserve"> </w:t>
      </w:r>
      <w:r>
        <w:t xml:space="preserve">som erstattet modellens</w:t>
      </w:r>
      <w:r>
        <w:t xml:space="preserve"> </w:t>
      </w:r>
      <w:r>
        <w:t xml:space="preserve">“Provisioning”</w:t>
      </w:r>
      <w:r>
        <w:t xml:space="preserve">-kategori direkte — etter samme mønster som bunker</w:t>
      </w:r>
      <w:r>
        <w:softHyphen/>
      </w:r>
      <w:r>
        <w:t xml:space="preserve">overriden i § 9.5.3. Etter ytterligere brukerdialog er denne overriden fjernet (commit</w:t>
      </w:r>
      <w:r>
        <w:t xml:space="preserve"> </w:t>
      </w:r>
      <w:r>
        <w:rPr>
          <w:rStyle w:val="VerbatimChar"/>
        </w:rPr>
        <w:t xml:space="preserve">e24655a</w:t>
      </w:r>
      <w:r>
        <w:t xml:space="preserve">, 2026-05-12). Begrunnelsen er metodisk: en override som</w:t>
      </w:r>
      <w:r>
        <w:t xml:space="preserve"> </w:t>
      </w:r>
      <w:r>
        <w:rPr>
          <w:i/>
          <w:iCs/>
        </w:rPr>
        <w:t xml:space="preserve">erstatter</w:t>
      </w:r>
      <w:r>
        <w:t xml:space="preserve"> </w:t>
      </w:r>
      <w:r>
        <w:t xml:space="preserve">en modell</w:t>
      </w:r>
      <w:r>
        <w:softHyphen/>
      </w:r>
      <w:r>
        <w:t xml:space="preserve">prediksjon med et tall en bruker «føler er bedre» introduserer en parallel mental modell som overskrider verktøyets primære funksjon (datadrevet estimat med kalibrert spenn). For bunker er erstatningen forsvarlig fordi den substitueres med en</w:t>
      </w:r>
      <w:r>
        <w:t xml:space="preserve"> </w:t>
      </w:r>
      <w:r>
        <w:rPr>
          <w:i/>
          <w:iCs/>
        </w:rPr>
        <w:t xml:space="preserve">deterministisk fysisk formel</w:t>
      </w:r>
      <w:r>
        <w:t xml:space="preserve"> </w:t>
      </w:r>
      <w:r>
        <w:t xml:space="preserve">(distanse, fart, forbruk, pris) — ikke et magefølelses</w:t>
      </w:r>
      <w:r>
        <w:softHyphen/>
      </w:r>
      <w:r>
        <w:t xml:space="preserve">tall. For Provisions finnes ingen tilsvarende deterministisk substitutt før</w:t>
      </w:r>
      <w:r>
        <w:t xml:space="preserve"> </w:t>
      </w:r>
      <w:r>
        <w:rPr>
          <w:rStyle w:val="VerbatimChar"/>
        </w:rPr>
        <w:t xml:space="preserve">guest_experience</w:t>
      </w:r>
      <w:r>
        <w:t xml:space="preserve"> </w:t>
      </w:r>
      <w:r>
        <w:t xml:space="preserve">er observerbar. Konklusjonen er at Provisions-feilen er en ærlig dokumentert modell</w:t>
      </w:r>
      <w:r>
        <w:softHyphen/>
      </w:r>
      <w:r>
        <w:t xml:space="preserve">begrensning som skal lukkes via labels + re-trening (jf. § 9.5.4 og videre arbeid punkt 7), ikke maskeres via en frittstående UI-override. Brukeren får i stedet en eksplisitt note i UI om at Provisions er kategorien med størst usikkerhet og at re-trening med</w:t>
      </w:r>
      <w:r>
        <w:t xml:space="preserve"> </w:t>
      </w:r>
      <w:r>
        <w:rPr>
          <w:rStyle w:val="VerbatimChar"/>
        </w:rPr>
        <w:t xml:space="preserve">guest_experience</w:t>
      </w:r>
      <w:r>
        <w:t xml:space="preserve"> </w:t>
      </w:r>
      <w:r>
        <w:t xml:space="preserve">er det forventede tiltaket.</w:t>
      </w:r>
    </w:p>
    <w:bookmarkEnd w:id="89"/>
    <w:bookmarkEnd w:id="90"/>
    <w:bookmarkStart w:id="91" w:name="validitet-og-generaliserbarhet"/>
    <w:p>
      <w:pPr>
        <w:pStyle w:val="Heading3"/>
      </w:pPr>
      <w:r>
        <w:rPr>
          <w:rStyle w:val="SectionNumber"/>
        </w:rPr>
        <w:t xml:space="preserve">10.6</w:t>
      </w:r>
      <w:r>
        <w:tab/>
      </w:r>
      <w:r>
        <w:t xml:space="preserve">9.6 Validitet og generaliserbarhet</w:t>
      </w:r>
    </w:p>
    <w:p>
      <w:pPr>
        <w:pStyle w:val="FirstParagraph"/>
      </w:pPr>
      <w:r>
        <w:t xml:space="preserve">En streng vurdering av forskningsdesignet krever at vi adresserer validitet eksplisitt. Vi drøfter tre typer validitet som er mest relevante for NautiCost: konstrukt</w:t>
      </w:r>
      <w:r>
        <w:softHyphen/>
      </w:r>
      <w:r>
        <w:t xml:space="preserve">validitet, intern validitet og ekstern validitet.</w:t>
      </w:r>
    </w:p>
    <w:p>
      <w:pPr>
        <w:pStyle w:val="BodyText"/>
      </w:pPr>
      <w:r>
        <w:rPr>
          <w:b/>
          <w:bCs/>
        </w:rPr>
        <w:t xml:space="preserve">Konstrukt</w:t>
      </w:r>
      <w:r>
        <w:rPr>
          <w:b/>
          <w:bCs/>
        </w:rPr>
        <w:softHyphen/>
      </w:r>
      <w:r>
        <w:rPr>
          <w:b/>
          <w:bCs/>
        </w:rPr>
        <w:t xml:space="preserve">validitet</w:t>
      </w:r>
      <w:r>
        <w:t xml:space="preserve"> </w:t>
      </w:r>
      <w:r>
        <w:t xml:space="preserve">stiller spørsmålet om</w:t>
      </w:r>
      <w:r>
        <w:t xml:space="preserve"> </w:t>
      </w:r>
      <w:r>
        <w:rPr>
          <w:rStyle w:val="VerbatimChar"/>
        </w:rPr>
        <w:t xml:space="preserve">final_charge</w:t>
      </w:r>
      <w:r>
        <w:t xml:space="preserve"> </w:t>
      </w:r>
      <w:r>
        <w:t xml:space="preserve">er en gyldig operasjonalisering av begrepet</w:t>
      </w:r>
      <w:r>
        <w:t xml:space="preserve"> </w:t>
      </w:r>
      <w:r>
        <w:t xml:space="preserve">“totalkostnad for et havneanløp”</w:t>
      </w:r>
      <w:r>
        <w:t xml:space="preserve">. Variabelen er fakturabeløpet før moms slik det er registrert hos Yachting Operations, og fanger derfor agentens direkte tjeneste</w:t>
      </w:r>
      <w:r>
        <w:softHyphen/>
      </w:r>
      <w:r>
        <w:t xml:space="preserve">kostnad pluss innkjøpt under</w:t>
      </w:r>
      <w:r>
        <w:softHyphen/>
      </w:r>
      <w:r>
        <w:t xml:space="preserve">leverandør</w:t>
      </w:r>
      <w:r>
        <w:softHyphen/>
      </w:r>
      <w:r>
        <w:t xml:space="preserve">arbeid. Det den</w:t>
      </w:r>
      <w:r>
        <w:t xml:space="preserve"> </w:t>
      </w:r>
      <w:r>
        <w:rPr>
          <w:i/>
          <w:iCs/>
        </w:rPr>
        <w:t xml:space="preserve">ikke</w:t>
      </w:r>
      <w:r>
        <w:t xml:space="preserve"> </w:t>
      </w:r>
      <w:r>
        <w:t xml:space="preserve">fanger er: (a) markedsmessige rabatter eller margin</w:t>
      </w:r>
      <w:r>
        <w:softHyphen/>
      </w:r>
      <w:r>
        <w:t xml:space="preserve">justeringer som agenten ikke har dokumentert som linje, (b) skjulte kostnader hos yachteier (egen besetnings</w:t>
      </w:r>
      <w:r>
        <w:softHyphen/>
      </w:r>
      <w:r>
        <w:t xml:space="preserve">lønn under anløpet, valutarisiko på betalingstidspunktet), og (c) opportunitets</w:t>
      </w:r>
      <w:r>
        <w:softHyphen/>
      </w:r>
      <w:r>
        <w:t xml:space="preserve">kostnad hvis anløpet forsinker neste reisesegment. Konstrukt</w:t>
      </w:r>
      <w:r>
        <w:softHyphen/>
      </w:r>
      <w:r>
        <w:t xml:space="preserve">validiteten er dermed</w:t>
      </w:r>
      <w:r>
        <w:t xml:space="preserve"> </w:t>
      </w:r>
      <w:r>
        <w:rPr>
          <w:i/>
          <w:iCs/>
        </w:rPr>
        <w:t xml:space="preserve">delvis</w:t>
      </w:r>
      <w:r>
        <w:t xml:space="preserve">: målvariabelen er en valid proxy for agentens egen faktura</w:t>
      </w:r>
      <w:r>
        <w:softHyphen/>
      </w:r>
      <w:r>
        <w:t xml:space="preserve">sum, men en partiell proxy for det yachteieren faktisk betaler. Brukere som ønsker å estimere yachteierens</w:t>
      </w:r>
      <w:r>
        <w:t xml:space="preserve"> </w:t>
      </w:r>
      <w:r>
        <w:rPr>
          <w:i/>
          <w:iCs/>
        </w:rPr>
        <w:t xml:space="preserve">totale</w:t>
      </w:r>
      <w:r>
        <w:t xml:space="preserve"> </w:t>
      </w:r>
      <w:r>
        <w:t xml:space="preserve">anløps</w:t>
      </w:r>
      <w:r>
        <w:softHyphen/>
      </w:r>
      <w:r>
        <w:t xml:space="preserve">kostnad må legge til egne kostnader på toppen.</w:t>
      </w:r>
    </w:p>
    <w:p>
      <w:pPr>
        <w:pStyle w:val="BodyText"/>
      </w:pPr>
      <w:r>
        <w:rPr>
          <w:b/>
          <w:bCs/>
        </w:rPr>
        <w:t xml:space="preserve">Intern validitet</w:t>
      </w:r>
      <w:r>
        <w:t xml:space="preserve"> </w:t>
      </w:r>
      <w:r>
        <w:t xml:space="preserve">dreier seg om hvorvidt observerte sammenhenger i datasettet faktisk reflekterer kostnads</w:t>
      </w:r>
      <w:r>
        <w:softHyphen/>
      </w:r>
      <w:r>
        <w:t xml:space="preserve">drivere snarere enn artefakter av prosessen. To trusler er sentrale: (i)</w:t>
      </w:r>
      <w:r>
        <w:t xml:space="preserve"> </w:t>
      </w:r>
      <w:r>
        <w:rPr>
          <w:i/>
          <w:iCs/>
        </w:rPr>
        <w:t xml:space="preserve">seleksjons</w:t>
      </w:r>
      <w:r>
        <w:rPr>
          <w:i/>
          <w:iCs/>
        </w:rPr>
        <w:softHyphen/>
      </w:r>
      <w:r>
        <w:rPr>
          <w:i/>
          <w:iCs/>
        </w:rPr>
        <w:t xml:space="preserve">skjevhet</w:t>
      </w:r>
      <w:r>
        <w:t xml:space="preserve"> </w:t>
      </w:r>
      <w:r>
        <w:t xml:space="preserve">— alle 17 yachter er kunder hos én agentbedrift, og er dermed ikke et tilfeldig utvalg av skandinaviske superyacht-anløp; (ii)</w:t>
      </w:r>
      <w:r>
        <w:t xml:space="preserve"> </w:t>
      </w:r>
      <w:r>
        <w:rPr>
          <w:i/>
          <w:iCs/>
        </w:rPr>
        <w:t xml:space="preserve">historie</w:t>
      </w:r>
      <w:r>
        <w:t xml:space="preserve"> </w:t>
      </w:r>
      <w:r>
        <w:t xml:space="preserve">— tjeneste</w:t>
      </w:r>
      <w:r>
        <w:softHyphen/>
      </w:r>
      <w:r>
        <w:t xml:space="preserve">miks-endringer eller leverandør</w:t>
      </w:r>
      <w:r>
        <w:softHyphen/>
      </w:r>
      <w:r>
        <w:t xml:space="preserve">bytter over 2020–2025 kan ha generert tilsynelatende</w:t>
      </w:r>
      <w:r>
        <w:t xml:space="preserve"> </w:t>
      </w:r>
      <w:r>
        <w:t xml:space="preserve">“tids</w:t>
      </w:r>
      <w:r>
        <w:softHyphen/>
      </w:r>
      <w:r>
        <w:t xml:space="preserve">effekter”</w:t>
      </w:r>
      <w:r>
        <w:t xml:space="preserve"> </w:t>
      </w:r>
      <w:r>
        <w:t xml:space="preserve">som egentlig er strukturelle prisbrudd. Vi adresserer (i) ved å være eksplisitt på avgrensning (§ 1.3) og ved å rapportere at modellen ikke er ekstern</w:t>
      </w:r>
      <w:r>
        <w:softHyphen/>
      </w:r>
      <w:r>
        <w:t xml:space="preserve">validert på andre operatører. (ii) er adressert delvis ved tids</w:t>
      </w:r>
      <w:r>
        <w:softHyphen/>
      </w:r>
      <w:r>
        <w:t xml:space="preserve">basert split (slik at trening og test ikke deler tids</w:t>
      </w:r>
      <w:r>
        <w:softHyphen/>
      </w:r>
      <w:r>
        <w:t xml:space="preserve">vinduer der prisendringer kan ha skjedd samtidig), men siden vi ikke har detaljert data om leverandør</w:t>
      </w:r>
      <w:r>
        <w:softHyphen/>
      </w:r>
      <w:r>
        <w:t xml:space="preserve">bytter, kan vi ikke utelukke at en del av drift</w:t>
      </w:r>
      <w:r>
        <w:softHyphen/>
      </w:r>
      <w:r>
        <w:t xml:space="preserve">en mellom val=2024 og test=2025 (+10 % MAE) skyldes en strukturell prisendring snarere enn naturlig generaliserings</w:t>
      </w:r>
      <w:r>
        <w:softHyphen/>
      </w:r>
      <w:r>
        <w:t xml:space="preserve">tap.</w:t>
      </w:r>
    </w:p>
    <w:p>
      <w:pPr>
        <w:pStyle w:val="BodyText"/>
      </w:pPr>
      <w:r>
        <w:rPr>
          <w:b/>
          <w:bCs/>
        </w:rPr>
        <w:t xml:space="preserve">Ekstern validitet</w:t>
      </w:r>
      <w:r>
        <w:t xml:space="preserve"> </w:t>
      </w:r>
      <w:r>
        <w:t xml:space="preserve">spør hvor godt resultatene overføres til (a) andre yachter, (b) andre operatører, og (c) andre tids</w:t>
      </w:r>
      <w:r>
        <w:softHyphen/>
      </w:r>
      <w:r>
        <w:t xml:space="preserve">perioder. Spesifikt:</w:t>
      </w:r>
    </w:p>
    <w:p>
      <w:pPr>
        <w:pStyle w:val="Compact"/>
        <w:numPr>
          <w:ilvl w:val="0"/>
          <w:numId w:val="1021"/>
        </w:numPr>
      </w:pPr>
      <w:r>
        <w:rPr>
          <w:b/>
          <w:bCs/>
        </w:rPr>
        <w:t xml:space="preserve">Til andre yachter:</w:t>
      </w:r>
      <w:r>
        <w:t xml:space="preserve"> </w:t>
      </w:r>
      <w:r>
        <w:t xml:space="preserve">Den 17-yacht-fløyte</w:t>
      </w:r>
      <w:r>
        <w:softHyphen/>
      </w:r>
      <w:r>
        <w:t xml:space="preserve">avgrensningen er en alvorlig begrensning. Yachter med spesifikasjoner langt utenfor utvalgs</w:t>
      </w:r>
      <w:r>
        <w:softHyphen/>
      </w:r>
      <w:r>
        <w:t xml:space="preserve">fordelingen (f.eks. eksplosjons</w:t>
      </w:r>
      <w:r>
        <w:softHyphen/>
      </w:r>
      <w:r>
        <w:t xml:space="preserve">motor vs. diesel-elektrisk, charter-yacht vs. privat) vil ha større prediksjons</w:t>
      </w:r>
      <w:r>
        <w:softHyphen/>
      </w:r>
      <w:r>
        <w:t xml:space="preserve">feil. Et bevis på dette: GT-områdene i datasettet er 51,9–2 407, og den eneste GT &lt; 50 yachten i 2025-testen genererer den største prosent</w:t>
      </w:r>
      <w:r>
        <w:softHyphen/>
      </w:r>
      <w:r>
        <w:t xml:space="preserve">feilen av alle test</w:t>
      </w:r>
      <w:r>
        <w:softHyphen/>
      </w:r>
      <w:r>
        <w:t xml:space="preserve">transaksjoner.</w:t>
      </w:r>
    </w:p>
    <w:p>
      <w:pPr>
        <w:pStyle w:val="Compact"/>
        <w:numPr>
          <w:ilvl w:val="0"/>
          <w:numId w:val="1021"/>
        </w:numPr>
      </w:pPr>
      <w:r>
        <w:rPr>
          <w:b/>
          <w:bCs/>
        </w:rPr>
        <w:t xml:space="preserve">Til andre operatører:</w:t>
      </w:r>
      <w:r>
        <w:t xml:space="preserve"> </w:t>
      </w:r>
      <w:r>
        <w:t xml:space="preserve">Modellen er trent kun på Yachting Operations sine fakturaer og fanger derfor denne agentens</w:t>
      </w:r>
      <w:r>
        <w:t xml:space="preserve"> </w:t>
      </w:r>
      <w:r>
        <w:rPr>
          <w:i/>
          <w:iCs/>
        </w:rPr>
        <w:t xml:space="preserve">konkrete</w:t>
      </w:r>
      <w:r>
        <w:t xml:space="preserve"> </w:t>
      </w:r>
      <w:r>
        <w:t xml:space="preserve">prismodeller (f.eks. agent fee struktur, hospitality-leverandør</w:t>
      </w:r>
      <w:r>
        <w:softHyphen/>
      </w:r>
      <w:r>
        <w:t xml:space="preserve">valg). En annen agent ville hatt andre absolutt</w:t>
      </w:r>
      <w:r>
        <w:softHyphen/>
      </w:r>
      <w:r>
        <w:t xml:space="preserve">tall, selv for samme anløp. Ekstern validitet på operatør</w:t>
      </w:r>
      <w:r>
        <w:softHyphen/>
      </w:r>
      <w:r>
        <w:t xml:space="preserve">nivå er dermed ikke etablert, og vi anbefaler ikke å bruke verktøyet på en annen agents anløp uten re-trening.</w:t>
      </w:r>
    </w:p>
    <w:p>
      <w:pPr>
        <w:pStyle w:val="Compact"/>
        <w:numPr>
          <w:ilvl w:val="0"/>
          <w:numId w:val="1021"/>
        </w:numPr>
      </w:pPr>
      <w:r>
        <w:rPr>
          <w:b/>
          <w:bCs/>
        </w:rPr>
        <w:t xml:space="preserve">Til andre tids</w:t>
      </w:r>
      <w:r>
        <w:rPr>
          <w:b/>
          <w:bCs/>
        </w:rPr>
        <w:softHyphen/>
      </w:r>
      <w:r>
        <w:rPr>
          <w:b/>
          <w:bCs/>
        </w:rPr>
        <w:t xml:space="preserve">perioder:</w:t>
      </w:r>
      <w:r>
        <w:t xml:space="preserve"> </w:t>
      </w:r>
      <w:r>
        <w:t xml:space="preserve">Test</w:t>
      </w:r>
      <w:r>
        <w:softHyphen/>
      </w:r>
      <w:r>
        <w:t xml:space="preserve">set-evalueringen viser at modellen generaliserer fra 2020–2023 til 2025 med 10 % MAE-degradering. For 2026–2027-bruk forventer vi tilsvarende eller noe høyere degradering, med mindre rullerende re-trening implementeres (§ 10 punkt 2).</w:t>
      </w:r>
    </w:p>
    <w:p>
      <w:pPr>
        <w:pStyle w:val="FirstParagraph"/>
      </w:pPr>
      <w:r>
        <w:t xml:space="preserve">Konklusjonen er at NautiCost har</w:t>
      </w:r>
      <w:r>
        <w:t xml:space="preserve"> </w:t>
      </w:r>
      <w:r>
        <w:rPr>
          <w:b/>
          <w:bCs/>
        </w:rPr>
        <w:t xml:space="preserve">akseptabel intern validitet</w:t>
      </w:r>
      <w:r>
        <w:t xml:space="preserve"> </w:t>
      </w:r>
      <w:r>
        <w:t xml:space="preserve">for Yachting Operations sine egne fremtidige anløp innenfor 12–18 måneder, men</w:t>
      </w:r>
      <w:r>
        <w:t xml:space="preserve"> </w:t>
      </w:r>
      <w:r>
        <w:rPr>
          <w:b/>
          <w:bCs/>
        </w:rPr>
        <w:t xml:space="preserve">begrenset ekstern validitet</w:t>
      </w:r>
      <w:r>
        <w:t xml:space="preserve"> </w:t>
      </w:r>
      <w:r>
        <w:t xml:space="preserve">utover dette. Dette er ikke et forsknings</w:t>
      </w:r>
      <w:r>
        <w:softHyphen/>
      </w:r>
      <w:r>
        <w:t xml:space="preserve">designsfeil; det er en konsekvens av at studien er case-spesifikk per design (§ 4 og kompendiet § B.4). Generaliserings</w:t>
      </w:r>
      <w:r>
        <w:softHyphen/>
      </w:r>
      <w:r>
        <w:t xml:space="preserve">funn er likevel et rimelig sekundærbidrag — særlig at gradient-boosting + hybrid persentil</w:t>
      </w:r>
      <w:r>
        <w:softHyphen/>
      </w:r>
      <w:r>
        <w:t xml:space="preserve">kalibrering fungerer i et regime med n ≈ 1 600 og 17 enheter, hvilket utvider den eksisterende litteraturens dekning ned i datasparsomme størrelses</w:t>
      </w:r>
      <w:r>
        <w:softHyphen/>
      </w:r>
      <w:r>
        <w:t xml:space="preserve">ordener.</w:t>
      </w:r>
    </w:p>
    <w:bookmarkEnd w:id="91"/>
    <w:bookmarkStart w:id="99" w:name="refleksjon-over-utfordringer-underveis"/>
    <w:p>
      <w:pPr>
        <w:pStyle w:val="Heading3"/>
      </w:pPr>
      <w:r>
        <w:rPr>
          <w:rStyle w:val="SectionNumber"/>
        </w:rPr>
        <w:t xml:space="preserve">10.7</w:t>
      </w:r>
      <w:r>
        <w:tab/>
      </w:r>
      <w:r>
        <w:t xml:space="preserve">9.7 Refleksjon over utfordringer underveis</w:t>
      </w:r>
    </w:p>
    <w:p>
      <w:pPr>
        <w:pStyle w:val="FirstParagraph"/>
      </w:pPr>
      <w:r>
        <w:t xml:space="preserve">En forskningsrapport rapporterer typisk det ferdige resultatet og skjuler den iterative prosessen som ledet dit. For en master-rapport som dette — der prosessen i seg selv er en del av læringsutbyttet — er det metodisk relevant å løfte fram utfordringene som dukket opp underveis, hvilke tiltak som ble iverksatt, og om tiltakene faktisk lukket utfordringen. Vi grupperer utfordringene i fem klynger: data, modell, brukertest, prosess og rapportskriving.</w:t>
      </w:r>
    </w:p>
    <w:bookmarkStart w:id="92" w:name="data-utfordringer"/>
    <w:p>
      <w:pPr>
        <w:pStyle w:val="Heading4"/>
      </w:pPr>
      <w:r>
        <w:rPr>
          <w:rStyle w:val="SectionNumber"/>
        </w:rPr>
        <w:t xml:space="preserve">10.7.1</w:t>
      </w:r>
      <w:r>
        <w:tab/>
      </w:r>
      <w:r>
        <w:t xml:space="preserve">9.7.1 Data-utfordringer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Utfordring</w:t>
            </w:r>
          </w:p>
        </w:tc>
        <w:tc>
          <w:tcPr/>
          <w:p>
            <w:pPr>
              <w:pStyle w:val="Compact"/>
            </w:pPr>
            <w:r>
              <w:t xml:space="preserve">Tiltak</w:t>
            </w:r>
          </w:p>
        </w:tc>
        <w:tc>
          <w:tcPr/>
          <w:p>
            <w:pPr>
              <w:pStyle w:val="Compact"/>
            </w:pPr>
            <w:r>
              <w:t xml:space="preserve">Status</w:t>
            </w:r>
          </w:p>
        </w:tc>
      </w:tr>
      <w:tr>
        <w:tc>
          <w:tcPr/>
          <w:p>
            <w:pPr>
              <w:pStyle w:val="Compact"/>
            </w:pPr>
            <w:r>
              <w:rPr>
                <w:b/>
                <w:bCs/>
              </w:rPr>
              <w:t xml:space="preserve">Tynn flåte (17 yachter)</w:t>
            </w:r>
            <w:r>
              <w:t xml:space="preserve"> </w:t>
            </w:r>
            <w:r>
              <w:t xml:space="preserve">gir høy varians i (havn × størrelse)-statistikk</w:t>
            </w:r>
          </w:p>
        </w:tc>
        <w:tc>
          <w:tcPr/>
          <w:p>
            <w:pPr>
              <w:pStyle w:val="Compact"/>
            </w:pPr>
            <w:r>
              <w:t xml:space="preserve">Empirisk persentil-anker per (havn, størrelse); for sjeldne havner faller modellen tilbake til rent modell</w:t>
            </w:r>
            <w:r>
              <w:softHyphen/>
            </w:r>
            <w:r>
              <w:t xml:space="preserve">estimat</w:t>
            </w:r>
          </w:p>
        </w:tc>
        <w:tc>
          <w:tcPr/>
          <w:p>
            <w:pPr>
              <w:pStyle w:val="Compact"/>
            </w:pPr>
            <w:r>
              <w:rPr>
                <w:b/>
                <w:bCs/>
              </w:rPr>
              <w:t xml:space="preserve">Delvis løst.</w:t>
            </w:r>
            <w:r>
              <w:t xml:space="preserve"> </w:t>
            </w:r>
            <w:r>
              <w:t xml:space="preserve">Modell</w:t>
            </w:r>
            <w:r>
              <w:softHyphen/>
            </w:r>
            <w:r>
              <w:t xml:space="preserve">arkitekturen kan ikke kompensere for at trenings</w:t>
            </w:r>
            <w:r>
              <w:softHyphen/>
            </w:r>
            <w:r>
              <w:t xml:space="preserve">utvalget er lite — videre arbeid punkt 1 (utvide flåten) er forutsetning for full lukking.</w:t>
            </w:r>
          </w:p>
        </w:tc>
      </w:tr>
      <w:tr>
        <w:tc>
          <w:tcPr/>
          <w:p>
            <w:pPr>
              <w:pStyle w:val="Compact"/>
            </w:pPr>
            <w:r>
              <w:rPr>
                <w:b/>
                <w:bCs/>
              </w:rPr>
              <w:t xml:space="preserve">Sjeldne havner</w:t>
            </w:r>
            <w:r>
              <w:t xml:space="preserve"> </w:t>
            </w:r>
            <w:r>
              <w:t xml:space="preserve">(Stavanger n = 3, Kristiansand n = 8) mangler statistisk grunnlag</w:t>
            </w:r>
          </w:p>
        </w:tc>
        <w:tc>
          <w:tcPr/>
          <w:p>
            <w:pPr>
              <w:pStyle w:val="Compact"/>
            </w:pPr>
            <w:r>
              <w:t xml:space="preserve">Dokumentert i § 9.4 og i</w:t>
            </w:r>
            <w:r>
              <w:t xml:space="preserve"> </w:t>
            </w:r>
            <w:r>
              <w:rPr>
                <w:rStyle w:val="VerbatimChar"/>
              </w:rPr>
              <w:t xml:space="preserve">HISTORICAL_RANGES</w:t>
            </w:r>
            <w:r>
              <w:t xml:space="preserve">; modellen rapporterer ikke usikkerhets</w:t>
            </w:r>
            <w:r>
              <w:softHyphen/>
            </w:r>
            <w:r>
              <w:t xml:space="preserve">bånd for disse havnene</w:t>
            </w:r>
          </w:p>
        </w:tc>
        <w:tc>
          <w:tcPr/>
          <w:p>
            <w:pPr>
              <w:pStyle w:val="Compact"/>
            </w:pPr>
            <w:r>
              <w:rPr>
                <w:b/>
                <w:bCs/>
              </w:rPr>
              <w:t xml:space="preserve">Dokumentert, ikke løst.</w:t>
            </w:r>
            <w:r>
              <w:t xml:space="preserve"> </w:t>
            </w:r>
            <w:r>
              <w:t xml:space="preserve">Krever flere historiske anløp.</w:t>
            </w:r>
          </w:p>
        </w:tc>
      </w:tr>
      <w:tr>
        <w:tc>
          <w:tcPr/>
          <w:p>
            <w:pPr>
              <w:pStyle w:val="Compact"/>
            </w:pPr>
            <w:r>
              <w:rPr>
                <w:b/>
                <w:bCs/>
              </w:rPr>
              <w:t xml:space="preserve">Mellomstor underrepresentert</w:t>
            </w:r>
            <w:r>
              <w:t xml:space="preserve"> </w:t>
            </w:r>
            <w:r>
              <w:t xml:space="preserve">(n = 113 val, dekning 74,3 %)</w:t>
            </w:r>
          </w:p>
        </w:tc>
        <w:tc>
          <w:tcPr/>
          <w:p>
            <w:pPr>
              <w:pStyle w:val="Compact"/>
            </w:pPr>
            <w:r>
              <w:t xml:space="preserve">Identifisert og rapportert i § 8.2 og § 9.4</w:t>
            </w:r>
          </w:p>
        </w:tc>
        <w:tc>
          <w:tcPr/>
          <w:p>
            <w:pPr>
              <w:pStyle w:val="Compact"/>
            </w:pPr>
            <w:r>
              <w:rPr>
                <w:b/>
                <w:bCs/>
              </w:rPr>
              <w:t xml:space="preserve">Dokumentert, ikke løst.</w:t>
            </w:r>
          </w:p>
        </w:tc>
      </w:tr>
      <w:tr>
        <w:tc>
          <w:tcPr/>
          <w:p>
            <w:pPr>
              <w:pStyle w:val="Compact"/>
            </w:pPr>
            <w:r>
              <w:rPr>
                <w:b/>
                <w:bCs/>
              </w:rPr>
              <w:t xml:space="preserve">Manglende</w:t>
            </w:r>
            <w:r>
              <w:rPr>
                <w:b/>
                <w:bCs/>
              </w:rPr>
              <w:t xml:space="preserve"> </w:t>
            </w:r>
            <w:r>
              <w:rPr>
                <w:rStyle w:val="VerbatimChar"/>
                <w:b/>
                <w:bCs/>
              </w:rPr>
              <w:t xml:space="preserve">guest_experience</w:t>
            </w:r>
            <w:r>
              <w:t xml:space="preserve"> </w:t>
            </w:r>
            <w:r>
              <w:t xml:space="preserve">— hovedfaktor for Provisions og Hospitality finnes ikke i datasettet</w:t>
            </w:r>
          </w:p>
        </w:tc>
        <w:tc>
          <w:tcPr/>
          <w:p>
            <w:pPr>
              <w:pStyle w:val="Compact"/>
            </w:pPr>
            <w:r>
              <w:t xml:space="preserve">(a) Lagt til som valgfritt API-felt og UI-velger; (b) lagret med registry-oppføringer; (c) foreslått operasjonell rubrikk i Vedlegg E; (d)</w:t>
            </w:r>
            <w:r>
              <w:t xml:space="preserve"> </w:t>
            </w:r>
            <w:r>
              <w:rPr>
                <w:rStyle w:val="VerbatimChar"/>
              </w:rPr>
              <w:t xml:space="preserve">provisioning_override</w:t>
            </w:r>
            <w:r>
              <w:t xml:space="preserve"> </w:t>
            </w:r>
            <w:r>
              <w:t xml:space="preserve">introdusert og senere fjernet (jf. § 9.5.7)</w:t>
            </w:r>
          </w:p>
        </w:tc>
        <w:tc>
          <w:tcPr/>
          <w:p>
            <w:pPr>
              <w:pStyle w:val="Compact"/>
            </w:pPr>
            <w:r>
              <w:rPr>
                <w:b/>
                <w:bCs/>
              </w:rPr>
              <w:t xml:space="preserve">Delvis håndtert.</w:t>
            </w:r>
            <w:r>
              <w:t xml:space="preserve"> </w:t>
            </w:r>
            <w:r>
              <w:t xml:space="preserve">Datainnsamlings</w:t>
            </w:r>
            <w:r>
              <w:softHyphen/>
            </w:r>
            <w:r>
              <w:t xml:space="preserve">mekanisme er på plass, men feature er ikke i bruk i modellen før labels foreligger. Bevisst avgrenset for å unngå syntetiske data.</w:t>
            </w:r>
          </w:p>
        </w:tc>
      </w:tr>
      <w:tr>
        <w:tc>
          <w:tcPr/>
          <w:p>
            <w:pPr>
              <w:pStyle w:val="Compact"/>
            </w:pPr>
            <w:r>
              <w:rPr>
                <w:b/>
                <w:bCs/>
              </w:rPr>
              <w:t xml:space="preserve">Ingen inflasjonsjustering</w:t>
            </w:r>
          </w:p>
        </w:tc>
        <w:tc>
          <w:tcPr/>
          <w:p>
            <w:pPr>
              <w:pStyle w:val="Compact"/>
            </w:pPr>
            <w:r>
              <w:t xml:space="preserve">Identifisert i § 9.4, flagget som videre arbeid</w:t>
            </w:r>
          </w:p>
        </w:tc>
        <w:tc>
          <w:tcPr/>
          <w:p>
            <w:pPr>
              <w:pStyle w:val="Compact"/>
            </w:pPr>
            <w:r>
              <w:rPr>
                <w:b/>
                <w:bCs/>
              </w:rPr>
              <w:t xml:space="preserve">Ikke løst.</w:t>
            </w:r>
            <w:r>
              <w:t xml:space="preserve"> </w:t>
            </w:r>
            <w:r>
              <w:t xml:space="preserve">Krever rullerende re-trening på inflasjons</w:t>
            </w:r>
            <w:r>
              <w:softHyphen/>
            </w:r>
            <w:r>
              <w:t xml:space="preserve">justert grunnlag.</w:t>
            </w:r>
          </w:p>
        </w:tc>
      </w:tr>
      <w:tr>
        <w:tc>
          <w:tcPr/>
          <w:p>
            <w:pPr>
              <w:pStyle w:val="Compact"/>
            </w:pPr>
            <w:r>
              <w:rPr>
                <w:b/>
                <w:bCs/>
              </w:rPr>
              <w:t xml:space="preserve">Statiske yacht-spesifikasjoner</w:t>
            </w:r>
          </w:p>
        </w:tc>
        <w:tc>
          <w:tcPr/>
          <w:p>
            <w:pPr>
              <w:pStyle w:val="Compact"/>
            </w:pPr>
            <w:r>
              <w:t xml:space="preserve">Antakelse A3 dokumentert i § 1.4</w:t>
            </w:r>
          </w:p>
        </w:tc>
        <w:tc>
          <w:tcPr/>
          <w:p>
            <w:pPr>
              <w:pStyle w:val="Compact"/>
            </w:pPr>
            <w:r>
              <w:rPr>
                <w:b/>
                <w:bCs/>
              </w:rPr>
              <w:t xml:space="preserve">Ikke løst.</w:t>
            </w:r>
            <w:r>
              <w:t xml:space="preserve"> </w:t>
            </w:r>
            <w:r>
              <w:t xml:space="preserve">Akseptert som begrensning.</w:t>
            </w:r>
          </w:p>
        </w:tc>
      </w:tr>
      <w:tr>
        <w:tc>
          <w:tcPr/>
          <w:p>
            <w:pPr>
              <w:pStyle w:val="Compact"/>
            </w:pPr>
            <w:r>
              <w:rPr>
                <w:b/>
                <w:bCs/>
              </w:rPr>
              <w:t xml:space="preserve">21 rader faller bort i feature engineering</w:t>
            </w:r>
            <w:r>
              <w:t xml:space="preserve"> </w:t>
            </w:r>
            <w:r>
              <w:t xml:space="preserve">(1 647 → 1 626)</w:t>
            </w:r>
          </w:p>
        </w:tc>
        <w:tc>
          <w:tcPr/>
          <w:p>
            <w:pPr>
              <w:pStyle w:val="Compact"/>
            </w:pPr>
            <w:r>
              <w:t xml:space="preserve">Identifisert i § 5.4, flagget som videre arbeid</w:t>
            </w:r>
          </w:p>
        </w:tc>
        <w:tc>
          <w:tcPr/>
          <w:p>
            <w:pPr>
              <w:pStyle w:val="Compact"/>
            </w:pPr>
            <w:r>
              <w:rPr>
                <w:b/>
                <w:bCs/>
              </w:rPr>
              <w:t xml:space="preserve">Delvis dokumentert.</w:t>
            </w:r>
            <w:r>
              <w:t xml:space="preserve"> </w:t>
            </w:r>
            <w:r>
              <w:t xml:space="preserve">Eksakt årsak (manglende</w:t>
            </w:r>
            <w:r>
              <w:t xml:space="preserve"> </w:t>
            </w:r>
            <w:r>
              <w:rPr>
                <w:rStyle w:val="VerbatimChar"/>
              </w:rPr>
              <w:t xml:space="preserve">service_category</w:t>
            </w:r>
            <w:r>
              <w:t xml:space="preserve"> </w:t>
            </w:r>
            <w:r>
              <w:t xml:space="preserve">eller</w:t>
            </w:r>
            <w:r>
              <w:t xml:space="preserve"> </w:t>
            </w:r>
            <w:r>
              <w:rPr>
                <w:rStyle w:val="VerbatimChar"/>
              </w:rPr>
              <w:t xml:space="preserve">size_category</w:t>
            </w:r>
            <w:r>
              <w:t xml:space="preserve"> </w:t>
            </w:r>
            <w:r>
              <w:t xml:space="preserve">på et lite knippe rader) er ikke kvantifisert per kolonne.</w:t>
            </w:r>
          </w:p>
        </w:tc>
      </w:tr>
    </w:tbl>
    <w:bookmarkEnd w:id="92"/>
    <w:bookmarkStart w:id="93" w:name="modell-utfordringer"/>
    <w:p>
      <w:pPr>
        <w:pStyle w:val="Heading4"/>
      </w:pPr>
      <w:r>
        <w:rPr>
          <w:rStyle w:val="SectionNumber"/>
        </w:rPr>
        <w:t xml:space="preserve">10.7.2</w:t>
      </w:r>
      <w:r>
        <w:tab/>
      </w:r>
      <w:r>
        <w:t xml:space="preserve">9.7.2 Modell-utfordringer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Utfordring</w:t>
            </w:r>
          </w:p>
        </w:tc>
        <w:tc>
          <w:tcPr/>
          <w:p>
            <w:pPr>
              <w:pStyle w:val="Compact"/>
            </w:pPr>
            <w:r>
              <w:t xml:space="preserve">Tiltak</w:t>
            </w:r>
          </w:p>
        </w:tc>
        <w:tc>
          <w:tcPr/>
          <w:p>
            <w:pPr>
              <w:pStyle w:val="Compact"/>
            </w:pPr>
            <w:r>
              <w:t xml:space="preserve">Status</w:t>
            </w:r>
          </w:p>
        </w:tc>
      </w:tr>
      <w:tr>
        <w:tc>
          <w:tcPr/>
          <w:p>
            <w:pPr>
              <w:pStyle w:val="Compact"/>
            </w:pPr>
            <w:r>
              <w:rPr>
                <w:b/>
                <w:bCs/>
              </w:rPr>
              <w:t xml:space="preserve">Optuna-tunet LightGBM ble dårligere</w:t>
            </w:r>
            <w:r>
              <w:t xml:space="preserve"> </w:t>
            </w:r>
            <w:r>
              <w:t xml:space="preserve">enn base-modellen på både val og test</w:t>
            </w:r>
          </w:p>
        </w:tc>
        <w:tc>
          <w:tcPr/>
          <w:p>
            <w:pPr>
              <w:pStyle w:val="Compact"/>
            </w:pPr>
            <w:r>
              <w:t xml:space="preserve">Identifisert med bootstrap-KI i § 8.1; beholdt ensemble som produksjons</w:t>
            </w:r>
            <w:r>
              <w:softHyphen/>
            </w:r>
            <w:r>
              <w:t xml:space="preserve">modell på varians</w:t>
            </w:r>
            <w:r>
              <w:softHyphen/>
            </w:r>
            <w:r>
              <w:t xml:space="preserve">robusthet snarere enn MAE-gevinst</w:t>
            </w:r>
          </w:p>
        </w:tc>
        <w:tc>
          <w:tcPr/>
          <w:p>
            <w:pPr>
              <w:pStyle w:val="Compact"/>
            </w:pPr>
            <w:r>
              <w:rPr>
                <w:b/>
                <w:bCs/>
              </w:rPr>
              <w:t xml:space="preserve">Løst metodisk.</w:t>
            </w:r>
            <w:r>
              <w:t xml:space="preserve"> </w:t>
            </w:r>
            <w:r>
              <w:t xml:space="preserve">Empirisk dokumentert i § 9.4 som tegn på overtilpasning ved Bayes</w:t>
            </w:r>
            <w:r>
              <w:softHyphen/>
            </w:r>
            <w:r>
              <w:t xml:space="preserve">optimering på 490 valideringsrader.</w:t>
            </w:r>
          </w:p>
        </w:tc>
      </w:tr>
      <w:tr>
        <w:tc>
          <w:tcPr/>
          <w:p>
            <w:pPr>
              <w:pStyle w:val="Compact"/>
            </w:pPr>
            <w:r>
              <w:rPr>
                <w:b/>
                <w:bCs/>
              </w:rPr>
              <w:t xml:space="preserve">Ensemble-gevinsten innenfor støy</w:t>
            </w:r>
          </w:p>
        </w:tc>
        <w:tc>
          <w:tcPr/>
          <w:p>
            <w:pPr>
              <w:pStyle w:val="Compact"/>
            </w:pPr>
            <w:r>
              <w:t xml:space="preserve">Bootstrap-konfidensintervall (1 000 utvalg): Δ MAE = −33 ± 870 EUR; KI omslutter null</w:t>
            </w:r>
          </w:p>
        </w:tc>
        <w:tc>
          <w:tcPr/>
          <w:p>
            <w:pPr>
              <w:pStyle w:val="Compact"/>
            </w:pPr>
            <w:r>
              <w:rPr>
                <w:b/>
                <w:bCs/>
              </w:rPr>
              <w:t xml:space="preserve">Løst metodisk.</w:t>
            </w:r>
            <w:r>
              <w:t xml:space="preserve"> </w:t>
            </w:r>
            <w:r>
              <w:t xml:space="preserve">Erkjent at ensemble holdes som forsikring, ikke som signifikant gevinst.</w:t>
            </w:r>
          </w:p>
        </w:tc>
      </w:tr>
      <w:tr>
        <w:tc>
          <w:tcPr/>
          <w:p>
            <w:pPr>
              <w:pStyle w:val="Compact"/>
            </w:pPr>
            <w:r>
              <w:rPr>
                <w:b/>
                <w:bCs/>
              </w:rPr>
              <w:t xml:space="preserve">Modellen overpredikerer i log-rom</w:t>
            </w:r>
            <w:r>
              <w:t xml:space="preserve"> </w:t>
            </w:r>
            <w:r>
              <w:t xml:space="preserve">(mean residual = −0,20 ≈ 18 % overprediksjon)</w:t>
            </w:r>
          </w:p>
        </w:tc>
        <w:tc>
          <w:tcPr/>
          <w:p>
            <w:pPr>
              <w:pStyle w:val="Compact"/>
            </w:pPr>
            <w:r>
              <w:t xml:space="preserve">Beskrevet i Figur 7.8 og § 7.4; aggregering på anløpsnivå demper effekten via hybrid kalibrering</w:t>
            </w:r>
          </w:p>
        </w:tc>
        <w:tc>
          <w:tcPr/>
          <w:p>
            <w:pPr>
              <w:pStyle w:val="Compact"/>
            </w:pPr>
            <w:r>
              <w:rPr>
                <w:b/>
                <w:bCs/>
              </w:rPr>
              <w:t xml:space="preserve">Delvis løst.</w:t>
            </w:r>
            <w:r>
              <w:t xml:space="preserve"> </w:t>
            </w:r>
            <w:r>
              <w:t xml:space="preserve">Bias-en er konsentrert i lave faktura</w:t>
            </w:r>
            <w:r>
              <w:softHyphen/>
            </w:r>
            <w:r>
              <w:t xml:space="preserve">beløp og dempes på anløpsnivå, men ikke korrigert i selve modellen.</w:t>
            </w:r>
          </w:p>
        </w:tc>
      </w:tr>
      <w:tr>
        <w:tc>
          <w:tcPr/>
          <w:p>
            <w:pPr>
              <w:pStyle w:val="Compact"/>
            </w:pPr>
            <w:r>
              <w:rPr>
                <w:b/>
                <w:bCs/>
              </w:rPr>
              <w:t xml:space="preserve">CQR gir marginal, ikke betinget dekning</w:t>
            </w:r>
          </w:p>
        </w:tc>
        <w:tc>
          <w:tcPr/>
          <w:p>
            <w:pPr>
              <w:pStyle w:val="Compact"/>
            </w:pPr>
            <w:r>
              <w:t xml:space="preserve">Eksplisitt dokumentert i § 6.4, § 8.2 og § 9.2 som ett av studiens bidragspunkter (jf. § 1.5 punkt ii)</w:t>
            </w:r>
          </w:p>
        </w:tc>
        <w:tc>
          <w:tcPr/>
          <w:p>
            <w:pPr>
              <w:pStyle w:val="Compact"/>
            </w:pPr>
            <w:r>
              <w:rPr>
                <w:b/>
                <w:bCs/>
              </w:rPr>
              <w:t xml:space="preserve">Akademisk håndtert.</w:t>
            </w:r>
            <w:r>
              <w:t xml:space="preserve"> </w:t>
            </w:r>
            <w:r>
              <w:t xml:space="preserve">Begrensningen er gjort om til et akademisk bidrag, men praktisk effekt på Mellomstor-gruppa (74 % vs 80 %) gjenstår å lukke.</w:t>
            </w:r>
          </w:p>
        </w:tc>
      </w:tr>
      <w:tr>
        <w:tc>
          <w:tcPr/>
          <w:p>
            <w:pPr>
              <w:pStyle w:val="Compact"/>
            </w:pPr>
            <w:r>
              <w:rPr>
                <w:b/>
                <w:bCs/>
              </w:rPr>
              <w:t xml:space="preserve">Regulatoriske krav (los &gt; 70 m LOA) er sannsynlighets</w:t>
            </w:r>
            <w:r>
              <w:rPr>
                <w:b/>
                <w:bCs/>
              </w:rPr>
              <w:softHyphen/>
            </w:r>
            <w:r>
              <w:rPr>
                <w:b/>
                <w:bCs/>
              </w:rPr>
              <w:t xml:space="preserve">vektet</w:t>
            </w:r>
          </w:p>
        </w:tc>
        <w:tc>
          <w:tcPr/>
          <w:p>
            <w:pPr>
              <w:pStyle w:val="Compact"/>
            </w:pPr>
            <w:r>
              <w:t xml:space="preserve">Innført obligatorisk</w:t>
            </w:r>
            <w:r>
              <w:t xml:space="preserve"> </w:t>
            </w:r>
            <w:r>
              <w:rPr>
                <w:rStyle w:val="VerbatimChar"/>
              </w:rPr>
              <w:t xml:space="preserve">pilot_cost</w:t>
            </w:r>
            <w:r>
              <w:t xml:space="preserve">-felt i API som override; rapportert som videre arbeid punkt 8 (lære størrelse-betinget sannsynlighet)</w:t>
            </w:r>
          </w:p>
        </w:tc>
        <w:tc>
          <w:tcPr/>
          <w:p>
            <w:pPr>
              <w:pStyle w:val="Compact"/>
            </w:pPr>
            <w:r>
              <w:rPr>
                <w:b/>
                <w:bCs/>
              </w:rPr>
              <w:t xml:space="preserve">Operasjonelt løst, modellstrukturelt åpent.</w:t>
            </w:r>
          </w:p>
        </w:tc>
      </w:tr>
      <w:tr>
        <w:tc>
          <w:tcPr/>
          <w:p>
            <w:pPr>
              <w:pStyle w:val="Compact"/>
            </w:pPr>
            <w:r>
              <w:rPr>
                <w:b/>
                <w:bCs/>
              </w:rPr>
              <w:t xml:space="preserve">Bunkers</w:t>
            </w:r>
            <w:r>
              <w:rPr>
                <w:b/>
                <w:bCs/>
              </w:rPr>
              <w:softHyphen/>
            </w:r>
            <w:r>
              <w:rPr>
                <w:b/>
                <w:bCs/>
              </w:rPr>
              <w:t xml:space="preserve">modellen ser ikke reise</w:t>
            </w:r>
            <w:r>
              <w:rPr>
                <w:b/>
                <w:bCs/>
              </w:rPr>
              <w:softHyphen/>
            </w:r>
            <w:r>
              <w:rPr>
                <w:b/>
                <w:bCs/>
              </w:rPr>
              <w:t xml:space="preserve">geometri</w:t>
            </w:r>
          </w:p>
        </w:tc>
        <w:tc>
          <w:tcPr/>
          <w:p>
            <w:pPr>
              <w:pStyle w:val="Compact"/>
            </w:pPr>
            <w:r>
              <w:t xml:space="preserve">Innført deterministisk formel</w:t>
            </w:r>
            <w:r>
              <w:t xml:space="preserve"> </w:t>
            </w:r>
            <w:r>
              <w:rPr>
                <w:rStyle w:val="VerbatimChar"/>
              </w:rPr>
              <w:t xml:space="preserve">distanse × forbruk × pris</w:t>
            </w:r>
            <w:r>
              <w:t xml:space="preserve"> </w:t>
            </w:r>
            <w:r>
              <w:t xml:space="preserve">som override når input er gitt; eksponert distansefelt for hvert stopp i frontend</w:t>
            </w:r>
          </w:p>
        </w:tc>
        <w:tc>
          <w:tcPr/>
          <w:p>
            <w:pPr>
              <w:pStyle w:val="Compact"/>
            </w:pPr>
            <w:r>
              <w:rPr>
                <w:b/>
                <w:bCs/>
              </w:rPr>
              <w:t xml:space="preserve">Operasjonelt løst, modellstrukturelt åpent.</w:t>
            </w:r>
            <w:r>
              <w:t xml:space="preserve"> </w:t>
            </w:r>
            <w:r>
              <w:t xml:space="preserve">Videre arbeid punkt 6 lukker det ved å gjøre reise</w:t>
            </w:r>
            <w:r>
              <w:softHyphen/>
            </w:r>
            <w:r>
              <w:t xml:space="preserve">geometri til lært feature.</w:t>
            </w:r>
          </w:p>
        </w:tc>
      </w:tr>
      <w:tr>
        <w:tc>
          <w:tcPr/>
          <w:p>
            <w:pPr>
              <w:pStyle w:val="Compact"/>
            </w:pPr>
            <w:r>
              <w:rPr>
                <w:b/>
                <w:bCs/>
              </w:rPr>
              <w:t xml:space="preserve">Land-aggregater er poolet</w:t>
            </w:r>
            <w:r>
              <w:t xml:space="preserve"> </w:t>
            </w:r>
            <w:r>
              <w:t xml:space="preserve">på tvers av NO/SE/DK</w:t>
            </w:r>
          </w:p>
        </w:tc>
        <w:tc>
          <w:tcPr/>
          <w:p>
            <w:pPr>
              <w:pStyle w:val="Compact"/>
            </w:pPr>
            <w:r>
              <w:t xml:space="preserve">Synliggjort</w:t>
            </w:r>
            <w:r>
              <w:t xml:space="preserve"> </w:t>
            </w:r>
            <w:r>
              <w:rPr>
                <w:rStyle w:val="VerbatimChar"/>
              </w:rPr>
              <w:t xml:space="preserve">country</w:t>
            </w:r>
            <w:r>
              <w:t xml:space="preserve"> </w:t>
            </w:r>
            <w:r>
              <w:t xml:space="preserve">i API-respons og frontend; rapportert som videre arbeid punkt 5</w:t>
            </w:r>
          </w:p>
        </w:tc>
        <w:tc>
          <w:tcPr/>
          <w:p>
            <w:pPr>
              <w:pStyle w:val="Compact"/>
            </w:pPr>
            <w:r>
              <w:rPr>
                <w:b/>
                <w:bCs/>
              </w:rPr>
              <w:t xml:space="preserve">Dokumentert, ikke løst.</w:t>
            </w:r>
          </w:p>
        </w:tc>
      </w:tr>
      <w:tr>
        <w:tc>
          <w:tcPr/>
          <w:p>
            <w:pPr>
              <w:pStyle w:val="Compact"/>
            </w:pPr>
            <w:r>
              <w:rPr>
                <w:b/>
                <w:bCs/>
              </w:rPr>
              <w:t xml:space="preserve">SHAP-generering feilet teknisk</w:t>
            </w:r>
            <w:r>
              <w:t xml:space="preserve"> </w:t>
            </w:r>
            <w:r>
              <w:t xml:space="preserve">(categorical feature mismatch ved encoding)</w:t>
            </w:r>
          </w:p>
        </w:tc>
        <w:tc>
          <w:tcPr/>
          <w:p>
            <w:pPr>
              <w:pStyle w:val="Compact"/>
            </w:pPr>
            <w:r>
              <w:t xml:space="preserve">Fallback til LightGBM gain-importance for Figur 7.6</w:t>
            </w:r>
          </w:p>
        </w:tc>
        <w:tc>
          <w:tcPr/>
          <w:p>
            <w:pPr>
              <w:pStyle w:val="Compact"/>
            </w:pPr>
            <w:r>
              <w:rPr>
                <w:b/>
                <w:bCs/>
              </w:rPr>
              <w:t xml:space="preserve">Pragmatisk løst.</w:t>
            </w:r>
            <w:r>
              <w:t xml:space="preserve"> </w:t>
            </w:r>
            <w:r>
              <w:t xml:space="preserve">Figur 7.6 i denne rapporten bruker importance som proxy snarere enn ekte SHAP-summary; opprinnelig SHAP-utdata ligger i</w:t>
            </w:r>
            <w:r>
              <w:t xml:space="preserve"> </w:t>
            </w:r>
            <w:r>
              <w:rPr>
                <w:rStyle w:val="VerbatimChar"/>
              </w:rPr>
              <w:t xml:space="preserve">modeling_nauticost.ipynb</w:t>
            </w:r>
            <w:r>
              <w:t xml:space="preserve">.</w:t>
            </w:r>
          </w:p>
        </w:tc>
      </w:tr>
      <w:tr>
        <w:tc>
          <w:tcPr/>
          <w:p>
            <w:pPr>
              <w:pStyle w:val="Compact"/>
            </w:pPr>
            <w:r>
              <w:rPr>
                <w:b/>
                <w:bCs/>
              </w:rPr>
              <w:t xml:space="preserve">Ridge eksploderte på testsettet</w:t>
            </w:r>
            <w:r>
              <w:t xml:space="preserve"> </w:t>
            </w:r>
            <w:r>
              <w:t xml:space="preserve">(RMSE = 369 462 EUR)</w:t>
            </w:r>
          </w:p>
        </w:tc>
        <w:tc>
          <w:tcPr/>
          <w:p>
            <w:pPr>
              <w:pStyle w:val="Compact"/>
            </w:pPr>
            <w:r>
              <w:t xml:space="preserve">Identifisert i § 8.1.1; ekstrapolasjon utenfor trenings</w:t>
            </w:r>
            <w:r>
              <w:softHyphen/>
            </w:r>
            <w:r>
              <w:t xml:space="preserve">range feiler</w:t>
            </w:r>
          </w:p>
        </w:tc>
        <w:tc>
          <w:tcPr/>
          <w:p>
            <w:pPr>
              <w:pStyle w:val="Compact"/>
            </w:pPr>
            <w:r>
              <w:rPr>
                <w:b/>
                <w:bCs/>
              </w:rPr>
              <w:t xml:space="preserve">Empirisk bekreftet.</w:t>
            </w:r>
            <w:r>
              <w:t xml:space="preserve"> </w:t>
            </w:r>
            <w:r>
              <w:t xml:space="preserve">Brukt som argument for tre</w:t>
            </w:r>
            <w:r>
              <w:softHyphen/>
            </w:r>
            <w:r>
              <w:t xml:space="preserve">ensemble framfor lineære modeller.</w:t>
            </w:r>
          </w:p>
        </w:tc>
      </w:tr>
    </w:tbl>
    <w:bookmarkEnd w:id="93"/>
    <w:bookmarkStart w:id="94" w:name="funn-fra-brukertest-mai-2026-1"/>
    <w:p>
      <w:pPr>
        <w:pStyle w:val="Heading4"/>
      </w:pPr>
      <w:r>
        <w:rPr>
          <w:rStyle w:val="SectionNumber"/>
        </w:rPr>
        <w:t xml:space="preserve">10.7.3</w:t>
      </w:r>
      <w:r>
        <w:tab/>
      </w:r>
      <w:r>
        <w:t xml:space="preserve">9.7.3 Funn fra brukertest mai 2026</w:t>
      </w:r>
    </w:p>
    <w:p>
      <w:pPr>
        <w:pStyle w:val="FirstParagraph"/>
      </w:pPr>
      <w:r>
        <w:t xml:space="preserve">Disse er detaljert dokumentert i § 9.5.1–§ 9.5.7. Sammendrag: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Utfordring</w:t>
            </w:r>
          </w:p>
        </w:tc>
        <w:tc>
          <w:tcPr/>
          <w:p>
            <w:pPr>
              <w:pStyle w:val="Compact"/>
            </w:pPr>
            <w:r>
              <w:t xml:space="preserve">Tiltak</w:t>
            </w:r>
          </w:p>
        </w:tc>
        <w:tc>
          <w:tcPr/>
          <w:p>
            <w:pPr>
              <w:pStyle w:val="Compact"/>
            </w:pPr>
            <w:r>
              <w:t xml:space="preserve">Status</w:t>
            </w:r>
          </w:p>
        </w:tc>
      </w:tr>
      <w:tr>
        <w:tc>
          <w:tcPr/>
          <w:p>
            <w:pPr>
              <w:pStyle w:val="Compact"/>
            </w:pPr>
            <w:r>
              <w:t xml:space="preserve">§ 9.5.1 Enhetsfeil NOK vs. EUR</w:t>
            </w:r>
          </w:p>
        </w:tc>
        <w:tc>
          <w:tcPr/>
          <w:p>
            <w:pPr>
              <w:pStyle w:val="Compact"/>
            </w:pPr>
            <w:r>
              <w:t xml:space="preserve">Valuta</w:t>
            </w:r>
            <w:r>
              <w:softHyphen/>
            </w:r>
            <w:r>
              <w:t xml:space="preserve">felt på API + frontend-velger via</w:t>
            </w:r>
            <w:r>
              <w:t xml:space="preserve"> </w:t>
            </w:r>
            <w:r>
              <w:rPr>
                <w:rStyle w:val="VerbatimChar"/>
              </w:rPr>
              <w:t xml:space="preserve">EXCHANGE_RATES_FROM_EUR</w:t>
            </w:r>
          </w:p>
        </w:tc>
        <w:tc>
          <w:tcPr/>
          <w:p>
            <w:pPr>
              <w:pStyle w:val="Compact"/>
            </w:pPr>
            <w:r>
              <w:rPr>
                <w:b/>
                <w:bCs/>
              </w:rPr>
              <w:t xml:space="preserve">Løst.</w:t>
            </w:r>
          </w:p>
        </w:tc>
      </w:tr>
      <w:tr>
        <w:tc>
          <w:tcPr/>
          <w:p>
            <w:pPr>
              <w:pStyle w:val="Compact"/>
            </w:pPr>
            <w:r>
              <w:t xml:space="preserve">§ 9.5.2 Mandatory pilotage</w:t>
            </w:r>
          </w:p>
        </w:tc>
        <w:tc>
          <w:tcPr/>
          <w:p>
            <w:pPr>
              <w:pStyle w:val="Compact"/>
            </w:pPr>
            <w:r>
              <w:t xml:space="preserve">Obligatorisk</w:t>
            </w:r>
            <w:r>
              <w:t xml:space="preserve"> </w:t>
            </w:r>
            <w:r>
              <w:rPr>
                <w:rStyle w:val="VerbatimChar"/>
              </w:rPr>
              <w:t xml:space="preserve">pilot_cost</w:t>
            </w:r>
            <w:r>
              <w:t xml:space="preserve">-input når</w:t>
            </w:r>
            <w:r>
              <w:t xml:space="preserve"> </w:t>
            </w:r>
            <w:r>
              <w:rPr>
                <w:rStyle w:val="VerbatimChar"/>
              </w:rPr>
              <w:t xml:space="preserve">loskrav = "Ja"</w:t>
            </w:r>
          </w:p>
        </w:tc>
        <w:tc>
          <w:tcPr/>
          <w:p>
            <w:pPr>
              <w:pStyle w:val="Compact"/>
            </w:pPr>
            <w:r>
              <w:rPr>
                <w:b/>
                <w:bCs/>
              </w:rPr>
              <w:t xml:space="preserve">Operasjonelt løst.</w:t>
            </w:r>
          </w:p>
        </w:tc>
      </w:tr>
      <w:tr>
        <w:tc>
          <w:tcPr/>
          <w:p>
            <w:pPr>
              <w:pStyle w:val="Compact"/>
            </w:pPr>
            <w:r>
              <w:t xml:space="preserve">§ 9.5.3 Bunkers uten reise</w:t>
            </w:r>
            <w:r>
              <w:softHyphen/>
            </w:r>
            <w:r>
              <w:t xml:space="preserve">geometri</w:t>
            </w:r>
          </w:p>
        </w:tc>
        <w:tc>
          <w:tcPr/>
          <w:p>
            <w:pPr>
              <w:pStyle w:val="Compact"/>
            </w:pPr>
            <w:r>
              <w:t xml:space="preserve">Deterministisk override</w:t>
            </w:r>
            <w:r>
              <w:softHyphen/>
            </w:r>
            <w:r>
              <w:t xml:space="preserve">formel; distansefelt for hvert stopp</w:t>
            </w:r>
          </w:p>
        </w:tc>
        <w:tc>
          <w:tcPr/>
          <w:p>
            <w:pPr>
              <w:pStyle w:val="Compact"/>
            </w:pPr>
            <w:r>
              <w:rPr>
                <w:b/>
                <w:bCs/>
              </w:rPr>
              <w:t xml:space="preserve">Operasjonelt løst.</w:t>
            </w:r>
          </w:p>
        </w:tc>
      </w:tr>
      <w:tr>
        <w:tc>
          <w:tcPr/>
          <w:p>
            <w:pPr>
              <w:pStyle w:val="Compact"/>
            </w:pPr>
            <w:r>
              <w:t xml:space="preserve">§ 9.5.4 Manglende</w:t>
            </w:r>
            <w:r>
              <w:t xml:space="preserve"> </w:t>
            </w:r>
            <w:r>
              <w:rPr>
                <w:rStyle w:val="VerbatimChar"/>
              </w:rPr>
              <w:t xml:space="preserve">guest_experience</w:t>
            </w:r>
          </w:p>
        </w:tc>
        <w:tc>
          <w:tcPr/>
          <w:p>
            <w:pPr>
              <w:pStyle w:val="Compact"/>
            </w:pPr>
            <w:r>
              <w:t xml:space="preserve">API-felt + Vedlegg E rubrikk-forslag</w:t>
            </w:r>
          </w:p>
        </w:tc>
        <w:tc>
          <w:tcPr/>
          <w:p>
            <w:pPr>
              <w:pStyle w:val="Compact"/>
            </w:pPr>
            <w:r>
              <w:rPr>
                <w:b/>
                <w:bCs/>
              </w:rPr>
              <w:t xml:space="preserve">Datainnsamling forberedt.</w:t>
            </w:r>
          </w:p>
        </w:tc>
      </w:tr>
      <w:tr>
        <w:tc>
          <w:tcPr/>
          <w:p>
            <w:pPr>
              <w:pStyle w:val="Compact"/>
            </w:pPr>
            <w:r>
              <w:t xml:space="preserve">§ 9.5.5 Land-aggregater poolet</w:t>
            </w:r>
          </w:p>
        </w:tc>
        <w:tc>
          <w:tcPr/>
          <w:p>
            <w:pPr>
              <w:pStyle w:val="Compact"/>
            </w:pPr>
            <w:r>
              <w:rPr>
                <w:rStyle w:val="VerbatimChar"/>
              </w:rPr>
              <w:t xml:space="preserve">country</w:t>
            </w:r>
            <w:r>
              <w:t xml:space="preserve"> </w:t>
            </w:r>
            <w:r>
              <w:t xml:space="preserve">synliggjort i API/UI</w:t>
            </w:r>
          </w:p>
        </w:tc>
        <w:tc>
          <w:tcPr/>
          <w:p>
            <w:pPr>
              <w:pStyle w:val="Compact"/>
            </w:pPr>
            <w:r>
              <w:rPr>
                <w:b/>
                <w:bCs/>
              </w:rPr>
              <w:t xml:space="preserve">Synliggjort, ikke modellfikset.</w:t>
            </w:r>
          </w:p>
        </w:tc>
      </w:tr>
      <w:tr>
        <w:tc>
          <w:tcPr/>
          <w:p>
            <w:pPr>
              <w:pStyle w:val="Compact"/>
            </w:pPr>
            <w:r>
              <w:t xml:space="preserve">§ 9.5.6 Per-yacht aggregering</w:t>
            </w:r>
          </w:p>
        </w:tc>
        <w:tc>
          <w:tcPr/>
          <w:p>
            <w:pPr>
              <w:pStyle w:val="Compact"/>
            </w:pPr>
            <w:r>
              <w:t xml:space="preserve">Implementert i</w:t>
            </w:r>
            <w:r>
              <w:t xml:space="preserve"> </w:t>
            </w:r>
            <w:r>
              <w:rPr>
                <w:rStyle w:val="VerbatimChar"/>
              </w:rPr>
              <w:t xml:space="preserve">/forecast</w:t>
            </w:r>
            <w:r>
              <w:t xml:space="preserve"> </w:t>
            </w:r>
            <w:r>
              <w:t xml:space="preserve">med naiv skaleringsprojeksjon</w:t>
            </w:r>
          </w:p>
        </w:tc>
        <w:tc>
          <w:tcPr/>
          <w:p>
            <w:pPr>
              <w:pStyle w:val="Compact"/>
            </w:pPr>
            <w:r>
              <w:rPr>
                <w:b/>
                <w:bCs/>
              </w:rPr>
              <w:t xml:space="preserve">Løst.</w:t>
            </w:r>
          </w:p>
        </w:tc>
      </w:tr>
      <w:tr>
        <w:tc>
          <w:tcPr/>
          <w:p>
            <w:pPr>
              <w:pStyle w:val="Compact"/>
            </w:pPr>
            <w:r>
              <w:t xml:space="preserve">§ 9.5.7 Provisions-override vurdert og avvist</w:t>
            </w:r>
          </w:p>
        </w:tc>
        <w:tc>
          <w:tcPr/>
          <w:p>
            <w:pPr>
              <w:pStyle w:val="Compact"/>
            </w:pPr>
            <w:r>
              <w:t xml:space="preserve">Override fjernet i v0.4 (commit</w:t>
            </w:r>
            <w:r>
              <w:t xml:space="preserve"> </w:t>
            </w:r>
            <w:r>
              <w:rPr>
                <w:rStyle w:val="VerbatimChar"/>
              </w:rPr>
              <w:t xml:space="preserve">e24655a</w:t>
            </w:r>
            <w:r>
              <w:t xml:space="preserve">)</w:t>
            </w:r>
          </w:p>
        </w:tc>
        <w:tc>
          <w:tcPr/>
          <w:p>
            <w:pPr>
              <w:pStyle w:val="Compact"/>
            </w:pPr>
            <w:r>
              <w:rPr>
                <w:b/>
                <w:bCs/>
              </w:rPr>
              <w:t xml:space="preserve">Metodisk konkludert.</w:t>
            </w:r>
          </w:p>
        </w:tc>
      </w:tr>
    </w:tbl>
    <w:bookmarkEnd w:id="94"/>
    <w:bookmarkStart w:id="95" w:name="verktøy--og-prosess-utfordringer"/>
    <w:p>
      <w:pPr>
        <w:pStyle w:val="Heading4"/>
      </w:pPr>
      <w:r>
        <w:rPr>
          <w:rStyle w:val="SectionNumber"/>
        </w:rPr>
        <w:t xml:space="preserve">10.7.4</w:t>
      </w:r>
      <w:r>
        <w:tab/>
      </w:r>
      <w:r>
        <w:t xml:space="preserve">9.7.4 Verktøy- og prosess-utfordringer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Utfordring</w:t>
            </w:r>
          </w:p>
        </w:tc>
        <w:tc>
          <w:tcPr/>
          <w:p>
            <w:pPr>
              <w:pStyle w:val="Compact"/>
            </w:pPr>
            <w:r>
              <w:t xml:space="preserve">Tiltak</w:t>
            </w:r>
          </w:p>
        </w:tc>
        <w:tc>
          <w:tcPr/>
          <w:p>
            <w:pPr>
              <w:pStyle w:val="Compact"/>
            </w:pPr>
            <w:r>
              <w:t xml:space="preserve">Status</w:t>
            </w:r>
          </w:p>
        </w:tc>
      </w:tr>
      <w:tr>
        <w:tc>
          <w:tcPr/>
          <w:p>
            <w:pPr>
              <w:pStyle w:val="Compact"/>
            </w:pPr>
            <w:r>
              <w:rPr>
                <w:b/>
                <w:bCs/>
              </w:rPr>
              <w:t xml:space="preserve">Token-forbruk er stort</w:t>
            </w:r>
            <w:r>
              <w:t xml:space="preserve"> </w:t>
            </w:r>
            <w:r>
              <w:t xml:space="preserve">ved komplekse rapport-oppgaver</w:t>
            </w:r>
          </w:p>
        </w:tc>
        <w:tc>
          <w:tcPr/>
          <w:p>
            <w:pPr>
              <w:pStyle w:val="Compact"/>
            </w:pPr>
            <w:r>
              <w:t xml:space="preserve">Bevisst delt arbeid mellom Claude-sesjoner; brukt Claude Code-worktrees for parallelt arbeid på teori og diskusjon</w:t>
            </w:r>
          </w:p>
        </w:tc>
        <w:tc>
          <w:tcPr/>
          <w:p>
            <w:pPr>
              <w:pStyle w:val="Compact"/>
            </w:pPr>
            <w:r>
              <w:rPr>
                <w:b/>
                <w:bCs/>
              </w:rPr>
              <w:t xml:space="preserve">Håndtert.</w:t>
            </w:r>
          </w:p>
        </w:tc>
      </w:tr>
      <w:tr>
        <w:tc>
          <w:tcPr/>
          <w:p>
            <w:pPr>
              <w:pStyle w:val="Compact"/>
            </w:pPr>
            <w:r>
              <w:rPr>
                <w:b/>
                <w:bCs/>
              </w:rPr>
              <w:t xml:space="preserve">AI hallusinerer referanser</w:t>
            </w:r>
          </w:p>
        </w:tc>
        <w:tc>
          <w:tcPr/>
          <w:p>
            <w:pPr>
              <w:pStyle w:val="Compact"/>
            </w:pPr>
            <w:r>
              <w:t xml:space="preserve">Hver referanse manuelt verifisert mot Google Scholar; PDF-er anbefalt lastet ned til</w:t>
            </w:r>
            <w:r>
              <w:t xml:space="preserve"> </w:t>
            </w:r>
            <w:r>
              <w:rPr>
                <w:rStyle w:val="VerbatimChar"/>
              </w:rPr>
              <w:t xml:space="preserve">003 references/</w:t>
            </w:r>
          </w:p>
        </w:tc>
        <w:tc>
          <w:tcPr/>
          <w:p>
            <w:pPr>
              <w:pStyle w:val="Compact"/>
            </w:pPr>
            <w:r>
              <w:rPr>
                <w:b/>
                <w:bCs/>
              </w:rPr>
              <w:t xml:space="preserve">Delvis håndtert.</w:t>
            </w:r>
            <w:r>
              <w:t xml:space="preserve"> </w:t>
            </w:r>
            <w:r>
              <w:t xml:space="preserve">Manuell verifikasjon gjenstår som siste kvalitets</w:t>
            </w:r>
            <w:r>
              <w:softHyphen/>
            </w:r>
            <w:r>
              <w:t xml:space="preserve">sjekk før innlevering.</w:t>
            </w:r>
          </w:p>
        </w:tc>
      </w:tr>
      <w:tr>
        <w:tc>
          <w:tcPr/>
          <w:p>
            <w:pPr>
              <w:pStyle w:val="Compact"/>
            </w:pPr>
            <w:r>
              <w:rPr>
                <w:b/>
                <w:bCs/>
              </w:rPr>
              <w:t xml:space="preserve">Markdown → Word-konvertering</w:t>
            </w:r>
            <w:r>
              <w:t xml:space="preserve"> </w:t>
            </w:r>
            <w:r>
              <w:t xml:space="preserve">krevde verktøy som ikke var pre-installert</w:t>
            </w:r>
          </w:p>
        </w:tc>
        <w:tc>
          <w:tcPr/>
          <w:p>
            <w:pPr>
              <w:pStyle w:val="Compact"/>
            </w:pPr>
            <w:r>
              <w:t xml:space="preserve">Installert</w:t>
            </w:r>
            <w:r>
              <w:t xml:space="preserve"> </w:t>
            </w:r>
            <w:r>
              <w:rPr>
                <w:rStyle w:val="VerbatimChar"/>
              </w:rPr>
              <w:t xml:space="preserve">pypandoc-binary</w:t>
            </w:r>
            <w:r>
              <w:t xml:space="preserve">; skrevet</w:t>
            </w:r>
            <w:r>
              <w:t xml:space="preserve"> </w:t>
            </w:r>
            <w:r>
              <w:rPr>
                <w:rStyle w:val="VerbatimChar"/>
              </w:rPr>
              <w:t xml:space="preserve">convert_to_word.py</w:t>
            </w:r>
            <w:r>
              <w:t xml:space="preserve"> </w:t>
            </w:r>
            <w:r>
              <w:t xml:space="preserve">med metadata-skille slik at tittel ikke dupliseres</w:t>
            </w:r>
          </w:p>
        </w:tc>
        <w:tc>
          <w:tcPr/>
          <w:p>
            <w:pPr>
              <w:pStyle w:val="Compact"/>
            </w:pPr>
            <w:r>
              <w:rPr>
                <w:b/>
                <w:bCs/>
              </w:rPr>
              <w:t xml:space="preserve">Løst.</w:t>
            </w:r>
          </w:p>
        </w:tc>
      </w:tr>
      <w:tr>
        <w:tc>
          <w:tcPr/>
          <w:p>
            <w:pPr>
              <w:pStyle w:val="Compact"/>
            </w:pPr>
            <w:r>
              <w:rPr>
                <w:b/>
                <w:bCs/>
              </w:rPr>
              <w:t xml:space="preserve">VS Code må åpnes i riktig mappe</w:t>
            </w:r>
            <w:r>
              <w:t xml:space="preserve"> </w:t>
            </w:r>
            <w:r>
              <w:t xml:space="preserve">for at Claude Code-kontekst skal være korrekt</w:t>
            </w:r>
          </w:p>
        </w:tc>
        <w:tc>
          <w:tcPr/>
          <w:p>
            <w:pPr>
              <w:pStyle w:val="Compact"/>
            </w:pPr>
            <w:r>
              <w:t xml:space="preserve">Eksplisitt sjekklist</w:t>
            </w:r>
            <w:r>
              <w:softHyphen/>
            </w:r>
            <w:r>
              <w:t xml:space="preserve">punkt — fra transkripsjonene en kjent felle</w:t>
            </w:r>
          </w:p>
        </w:tc>
        <w:tc>
          <w:tcPr/>
          <w:p>
            <w:pPr>
              <w:pStyle w:val="Compact"/>
            </w:pPr>
            <w:r>
              <w:rPr>
                <w:b/>
                <w:bCs/>
              </w:rPr>
              <w:t xml:space="preserve">Lært bevisst.</w:t>
            </w:r>
          </w:p>
        </w:tc>
      </w:tr>
      <w:tr>
        <w:tc>
          <w:tcPr/>
          <w:p>
            <w:pPr>
              <w:pStyle w:val="Compact"/>
            </w:pPr>
            <w:r>
              <w:rPr>
                <w:b/>
                <w:bCs/>
              </w:rPr>
              <w:t xml:space="preserve">Pre-commit hooks og merge-konflikter</w:t>
            </w:r>
            <w:r>
              <w:t xml:space="preserve"> </w:t>
            </w:r>
            <w:r>
              <w:t xml:space="preserve">ved parallelle worktrees</w:t>
            </w:r>
          </w:p>
        </w:tc>
        <w:tc>
          <w:tcPr/>
          <w:p>
            <w:pPr>
              <w:pStyle w:val="Compact"/>
            </w:pPr>
            <w:r>
              <w:t xml:space="preserve">Manuell merge med</w:t>
            </w:r>
            <w:r>
              <w:t xml:space="preserve"> </w:t>
            </w:r>
            <w:r>
              <w:t xml:space="preserve">“force replace”</w:t>
            </w:r>
            <w:r>
              <w:t xml:space="preserve"> </w:t>
            </w:r>
            <w:r>
              <w:t xml:space="preserve">der konflikter var bevisste overskrivelser</w:t>
            </w:r>
          </w:p>
        </w:tc>
        <w:tc>
          <w:tcPr/>
          <w:p>
            <w:pPr>
              <w:pStyle w:val="Compact"/>
            </w:pPr>
            <w:r>
              <w:rPr>
                <w:b/>
                <w:bCs/>
              </w:rPr>
              <w:t xml:space="preserve">Håndtert per case.</w:t>
            </w:r>
          </w:p>
        </w:tc>
      </w:tr>
    </w:tbl>
    <w:bookmarkEnd w:id="95"/>
    <w:bookmarkStart w:id="96" w:name="rapport-skriving-og-peer-review"/>
    <w:p>
      <w:pPr>
        <w:pStyle w:val="Heading4"/>
      </w:pPr>
      <w:r>
        <w:rPr>
          <w:rStyle w:val="SectionNumber"/>
        </w:rPr>
        <w:t xml:space="preserve">10.7.5</w:t>
      </w:r>
      <w:r>
        <w:tab/>
      </w:r>
      <w:r>
        <w:t xml:space="preserve">9.7.5 Rapport-skriving og peer review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Utfordring</w:t>
            </w:r>
          </w:p>
        </w:tc>
        <w:tc>
          <w:tcPr/>
          <w:p>
            <w:pPr>
              <w:pStyle w:val="Compact"/>
            </w:pPr>
            <w:r>
              <w:t xml:space="preserve">Tiltak</w:t>
            </w:r>
          </w:p>
        </w:tc>
        <w:tc>
          <w:tcPr/>
          <w:p>
            <w:pPr>
              <w:pStyle w:val="Compact"/>
            </w:pPr>
            <w:r>
              <w:t xml:space="preserve">Status</w:t>
            </w:r>
          </w:p>
        </w:tc>
      </w:tr>
      <w:tr>
        <w:tc>
          <w:tcPr/>
          <w:p>
            <w:pPr>
              <w:pStyle w:val="Compact"/>
            </w:pPr>
            <w:r>
              <w:rPr>
                <w:b/>
                <w:bCs/>
              </w:rPr>
              <w:t xml:space="preserve">Peer review (G10/Julie, 2026-05-07) punkt 1</w:t>
            </w:r>
            <w:r>
              <w:t xml:space="preserve">: Akademisk bidrag uklart i innledning</w:t>
            </w:r>
          </w:p>
        </w:tc>
        <w:tc>
          <w:tcPr/>
          <w:p>
            <w:pPr>
              <w:pStyle w:val="Compact"/>
            </w:pPr>
            <w:r>
              <w:t xml:space="preserve">§ 1.5 omskrevet med tre eksplisitte hull i litteraturen</w:t>
            </w:r>
          </w:p>
        </w:tc>
        <w:tc>
          <w:tcPr/>
          <w:p>
            <w:pPr>
              <w:pStyle w:val="Compact"/>
            </w:pPr>
            <w:r>
              <w:rPr>
                <w:b/>
                <w:bCs/>
              </w:rPr>
              <w:t xml:space="preserve">Løst.</w:t>
            </w:r>
          </w:p>
        </w:tc>
      </w:tr>
      <w:tr>
        <w:tc>
          <w:tcPr/>
          <w:p>
            <w:pPr>
              <w:pStyle w:val="Compact"/>
            </w:pPr>
            <w:r>
              <w:rPr>
                <w:b/>
                <w:bCs/>
              </w:rPr>
              <w:t xml:space="preserve">Peer review punkt 2</w:t>
            </w:r>
            <w:r>
              <w:t xml:space="preserve">: Litteratur blandet med egne resultater</w:t>
            </w:r>
          </w:p>
        </w:tc>
        <w:tc>
          <w:tcPr/>
          <w:p>
            <w:pPr>
              <w:pStyle w:val="Compact"/>
            </w:pPr>
            <w:r>
              <w:t xml:space="preserve">Alle</w:t>
            </w:r>
            <w:r>
              <w:t xml:space="preserve"> </w:t>
            </w:r>
            <w:r>
              <w:t xml:space="preserve">“ligner vårt”</w:t>
            </w:r>
            <w:r>
              <w:t xml:space="preserve">-formuleringer flyttet til § 9; § 2 strippet</w:t>
            </w:r>
          </w:p>
        </w:tc>
        <w:tc>
          <w:tcPr/>
          <w:p>
            <w:pPr>
              <w:pStyle w:val="Compact"/>
            </w:pPr>
            <w:r>
              <w:rPr>
                <w:b/>
                <w:bCs/>
              </w:rPr>
              <w:t xml:space="preserve">Løst.</w:t>
            </w:r>
          </w:p>
        </w:tc>
      </w:tr>
      <w:tr>
        <w:tc>
          <w:tcPr/>
          <w:p>
            <w:pPr>
              <w:pStyle w:val="Compact"/>
            </w:pPr>
            <w:r>
              <w:rPr>
                <w:b/>
                <w:bCs/>
              </w:rPr>
              <w:t xml:space="preserve">Peer review punkt 3</w:t>
            </w:r>
            <w:r>
              <w:t xml:space="preserve">: Teori-kobling til delproblemer</w:t>
            </w:r>
          </w:p>
        </w:tc>
        <w:tc>
          <w:tcPr/>
          <w:p>
            <w:pPr>
              <w:pStyle w:val="Compact"/>
            </w:pPr>
            <w:r>
              <w:t xml:space="preserve">“Relevans for prosjektet”</w:t>
            </w:r>
            <w:r>
              <w:t xml:space="preserve">-bokser ved hvert delkapittel i § 3</w:t>
            </w:r>
          </w:p>
        </w:tc>
        <w:tc>
          <w:tcPr/>
          <w:p>
            <w:pPr>
              <w:pStyle w:val="Compact"/>
            </w:pPr>
            <w:r>
              <w:rPr>
                <w:b/>
                <w:bCs/>
              </w:rPr>
              <w:t xml:space="preserve">Løst.</w:t>
            </w:r>
          </w:p>
        </w:tc>
      </w:tr>
      <w:tr>
        <w:tc>
          <w:tcPr/>
          <w:p>
            <w:pPr>
              <w:pStyle w:val="Compact"/>
            </w:pPr>
            <w:r>
              <w:rPr>
                <w:b/>
                <w:bCs/>
              </w:rPr>
              <w:t xml:space="preserve">Peer review punkt 4</w:t>
            </w:r>
            <w:r>
              <w:t xml:space="preserve">: Skille modellutvikling / seleksjon / endelig evaluering</w:t>
            </w:r>
          </w:p>
        </w:tc>
        <w:tc>
          <w:tcPr/>
          <w:p>
            <w:pPr>
              <w:pStyle w:val="Compact"/>
            </w:pPr>
            <w:r>
              <w:t xml:space="preserve">§ 5.4 fikk ny tabell med roller; § 8.1.1 fylt med faktiske testsett-tall</w:t>
            </w:r>
          </w:p>
        </w:tc>
        <w:tc>
          <w:tcPr/>
          <w:p>
            <w:pPr>
              <w:pStyle w:val="Compact"/>
            </w:pPr>
            <w:r>
              <w:rPr>
                <w:b/>
                <w:bCs/>
              </w:rPr>
              <w:t xml:space="preserve">Løst.</w:t>
            </w:r>
          </w:p>
        </w:tc>
      </w:tr>
      <w:tr>
        <w:tc>
          <w:tcPr/>
          <w:p>
            <w:pPr>
              <w:pStyle w:val="Compact"/>
            </w:pPr>
            <w:r>
              <w:rPr>
                <w:b/>
                <w:bCs/>
              </w:rPr>
              <w:t xml:space="preserve">Peer review punkt 5</w:t>
            </w:r>
            <w:r>
              <w:t xml:space="preserve">: Figurer henvist til notebooks i stedet for å vises</w:t>
            </w:r>
          </w:p>
        </w:tc>
        <w:tc>
          <w:tcPr/>
          <w:p>
            <w:pPr>
              <w:pStyle w:val="Compact"/>
            </w:pPr>
            <w:r>
              <w:t xml:space="preserve">Eksportert som PNG og embedet i § 7</w:t>
            </w:r>
          </w:p>
        </w:tc>
        <w:tc>
          <w:tcPr/>
          <w:p>
            <w:pPr>
              <w:pStyle w:val="Compact"/>
            </w:pPr>
            <w:r>
              <w:rPr>
                <w:b/>
                <w:bCs/>
              </w:rPr>
              <w:t xml:space="preserve">Løst.</w:t>
            </w:r>
          </w:p>
        </w:tc>
      </w:tr>
      <w:tr>
        <w:tc>
          <w:tcPr/>
          <w:p>
            <w:pPr>
              <w:pStyle w:val="Compact"/>
            </w:pPr>
            <w:r>
              <w:rPr>
                <w:b/>
                <w:bCs/>
              </w:rPr>
              <w:t xml:space="preserve">Peer review punkt 6</w:t>
            </w:r>
            <w:r>
              <w:t xml:space="preserve">: Diskusjon manglet teoretisk forankring</w:t>
            </w:r>
          </w:p>
        </w:tc>
        <w:tc>
          <w:tcPr/>
          <w:p>
            <w:pPr>
              <w:pStyle w:val="Compact"/>
            </w:pPr>
            <w:r>
              <w:t xml:space="preserve">Lagt til litteratur</w:t>
            </w:r>
            <w:r>
              <w:softHyphen/>
            </w:r>
            <w:r>
              <w:t xml:space="preserve">koblinger i § 9.2, § 9.5.2 og § 9.5.3</w:t>
            </w:r>
          </w:p>
        </w:tc>
        <w:tc>
          <w:tcPr/>
          <w:p>
            <w:pPr>
              <w:pStyle w:val="Compact"/>
            </w:pPr>
            <w:r>
              <w:rPr>
                <w:b/>
                <w:bCs/>
              </w:rPr>
              <w:t xml:space="preserve">Løst.</w:t>
            </w:r>
          </w:p>
        </w:tc>
      </w:tr>
      <w:tr>
        <w:tc>
          <w:tcPr/>
          <w:p>
            <w:pPr>
              <w:pStyle w:val="Compact"/>
            </w:pPr>
            <w:r>
              <w:rPr>
                <w:b/>
                <w:bCs/>
              </w:rPr>
              <w:t xml:space="preserve">Peer review punkt 7</w:t>
            </w:r>
            <w:r>
              <w:t xml:space="preserve">: APA 7-konsistens</w:t>
            </w:r>
          </w:p>
        </w:tc>
        <w:tc>
          <w:tcPr/>
          <w:p>
            <w:pPr>
              <w:pStyle w:val="Compact"/>
            </w:pPr>
            <w:r>
              <w:t xml:space="preserve">Bibliografi gjennomgått; DOI lagt til der det fantes</w:t>
            </w:r>
          </w:p>
        </w:tc>
        <w:tc>
          <w:tcPr/>
          <w:p>
            <w:pPr>
              <w:pStyle w:val="Compact"/>
            </w:pPr>
            <w:r>
              <w:rPr>
                <w:b/>
                <w:bCs/>
              </w:rPr>
              <w:t xml:space="preserve">Løst.</w:t>
            </w:r>
          </w:p>
        </w:tc>
      </w:tr>
      <w:tr>
        <w:tc>
          <w:tcPr/>
          <w:p>
            <w:pPr>
              <w:pStyle w:val="Compact"/>
            </w:pPr>
            <w:r>
              <w:rPr>
                <w:b/>
                <w:bCs/>
              </w:rPr>
              <w:t xml:space="preserve">Endelig testsett-evaluering manglet</w:t>
            </w:r>
            <w:r>
              <w:t xml:space="preserve"> </w:t>
            </w:r>
            <w:r>
              <w:t xml:space="preserve">(v0.4-svakhet)</w:t>
            </w:r>
          </w:p>
        </w:tc>
        <w:tc>
          <w:tcPr/>
          <w:p>
            <w:pPr>
              <w:pStyle w:val="Compact"/>
            </w:pPr>
            <w:r>
              <w:t xml:space="preserve">Skrevet</w:t>
            </w:r>
            <w:r>
              <w:t xml:space="preserve"> </w:t>
            </w:r>
            <w:r>
              <w:rPr>
                <w:rStyle w:val="VerbatimChar"/>
              </w:rPr>
              <w:t xml:space="preserve">eval_test_2025.py</w:t>
            </w:r>
            <w:r>
              <w:t xml:space="preserve">, publisert</w:t>
            </w:r>
            <w:r>
              <w:t xml:space="preserve"> </w:t>
            </w:r>
            <w:r>
              <w:rPr>
                <w:rStyle w:val="VerbatimChar"/>
              </w:rPr>
              <w:t xml:space="preserve">metrics_test_2025.csv</w:t>
            </w:r>
            <w:r>
              <w:t xml:space="preserve">, fylt § 8.1.1 med Tabell 8.2</w:t>
            </w:r>
          </w:p>
        </w:tc>
        <w:tc>
          <w:tcPr/>
          <w:p>
            <w:pPr>
              <w:pStyle w:val="Compact"/>
            </w:pPr>
            <w:r>
              <w:rPr>
                <w:b/>
                <w:bCs/>
              </w:rPr>
              <w:t xml:space="preserve">Løst.</w:t>
            </w:r>
          </w:p>
        </w:tc>
      </w:tr>
      <w:tr>
        <w:tc>
          <w:tcPr/>
          <w:p>
            <w:pPr>
              <w:pStyle w:val="Compact"/>
            </w:pPr>
            <w:r>
              <w:rPr>
                <w:b/>
                <w:bCs/>
              </w:rPr>
              <w:t xml:space="preserve">Figur 7.8 påsto −0,03 bias</w:t>
            </w:r>
            <w:r>
              <w:t xml:space="preserve"> </w:t>
            </w:r>
            <w:r>
              <w:t xml:space="preserve">(feil)</w:t>
            </w:r>
          </w:p>
        </w:tc>
        <w:tc>
          <w:tcPr/>
          <w:p>
            <w:pPr>
              <w:pStyle w:val="Compact"/>
            </w:pPr>
            <w:r>
              <w:t xml:space="preserve">Reprodusert figur fra Optuna-tunet modell; faktisk bias er −0,20 og rapportert ærlig</w:t>
            </w:r>
          </w:p>
        </w:tc>
        <w:tc>
          <w:tcPr/>
          <w:p>
            <w:pPr>
              <w:pStyle w:val="Compact"/>
            </w:pPr>
            <w:r>
              <w:rPr>
                <w:b/>
                <w:bCs/>
              </w:rPr>
              <w:t xml:space="preserve">Løst.</w:t>
            </w:r>
          </w:p>
        </w:tc>
      </w:tr>
      <w:tr>
        <w:tc>
          <w:tcPr/>
          <w:p>
            <w:pPr>
              <w:pStyle w:val="Compact"/>
            </w:pPr>
            <w:r>
              <w:rPr>
                <w:b/>
                <w:bCs/>
              </w:rPr>
              <w:t xml:space="preserve">Statistisk signifikans manglet</w:t>
            </w:r>
          </w:p>
        </w:tc>
        <w:tc>
          <w:tcPr/>
          <w:p>
            <w:pPr>
              <w:pStyle w:val="Compact"/>
            </w:pPr>
            <w:r>
              <w:t xml:space="preserve">Bootstrap-KI lagt til i § 8.1</w:t>
            </w:r>
          </w:p>
        </w:tc>
        <w:tc>
          <w:tcPr/>
          <w:p>
            <w:pPr>
              <w:pStyle w:val="Compact"/>
            </w:pPr>
            <w:r>
              <w:rPr>
                <w:b/>
                <w:bCs/>
              </w:rPr>
              <w:t xml:space="preserve">Løst.</w:t>
            </w:r>
          </w:p>
        </w:tc>
      </w:tr>
      <w:tr>
        <w:tc>
          <w:tcPr/>
          <w:p>
            <w:pPr>
              <w:pStyle w:val="Compact"/>
            </w:pPr>
            <w:r>
              <w:rPr>
                <w:b/>
                <w:bCs/>
              </w:rPr>
              <w:t xml:space="preserve">Pensum-kobling mot kompendiet</w:t>
            </w:r>
            <w:r>
              <w:t xml:space="preserve"> </w:t>
            </w:r>
            <w:r>
              <w:t xml:space="preserve">var implisitt</w:t>
            </w:r>
          </w:p>
        </w:tc>
        <w:tc>
          <w:tcPr/>
          <w:p>
            <w:pPr>
              <w:pStyle w:val="Compact"/>
            </w:pPr>
            <w:r>
              <w:t xml:space="preserve">Eksplisitt referert til Pettersen &amp; Rekdal (2026) tabell 1.1 i § 2.2 og § 5.0</w:t>
            </w:r>
          </w:p>
        </w:tc>
        <w:tc>
          <w:tcPr/>
          <w:p>
            <w:pPr>
              <w:pStyle w:val="Compact"/>
            </w:pPr>
            <w:r>
              <w:rPr>
                <w:b/>
                <w:bCs/>
              </w:rPr>
              <w:t xml:space="preserve">Løst.</w:t>
            </w:r>
          </w:p>
        </w:tc>
      </w:tr>
    </w:tbl>
    <w:bookmarkEnd w:id="96"/>
    <w:bookmarkStart w:id="97" w:name="X054b0f7a3509c1b4540f76b3dca1c9cb0f9d6af"/>
    <w:p>
      <w:pPr>
        <w:pStyle w:val="Heading4"/>
      </w:pPr>
      <w:r>
        <w:rPr>
          <w:rStyle w:val="SectionNumber"/>
        </w:rPr>
        <w:t xml:space="preserve">10.7.6</w:t>
      </w:r>
      <w:r>
        <w:tab/>
      </w:r>
      <w:r>
        <w:t xml:space="preserve">9.7.6 Strukturelle og metodologiske utfordringer som forblir åpne</w:t>
      </w:r>
    </w:p>
    <w:p>
      <w:pPr>
        <w:pStyle w:val="FirstParagraph"/>
      </w:pPr>
      <w:r>
        <w:t xml:space="preserve">Ikke alle utfordringer kan lukkes innenfor rammene av en master-rapport. De følgende er bevisst akseptert som åpne for fremtidig arbeid:</w:t>
      </w:r>
    </w:p>
    <w:p>
      <w:pPr>
        <w:pStyle w:val="Compact"/>
        <w:numPr>
          <w:ilvl w:val="0"/>
          <w:numId w:val="1022"/>
        </w:numPr>
      </w:pPr>
      <w:r>
        <w:rPr>
          <w:b/>
          <w:bCs/>
        </w:rPr>
        <w:t xml:space="preserve">Produksjons</w:t>
      </w:r>
      <w:r>
        <w:rPr>
          <w:b/>
          <w:bCs/>
        </w:rPr>
        <w:softHyphen/>
      </w:r>
      <w:r>
        <w:rPr>
          <w:b/>
          <w:bCs/>
        </w:rPr>
        <w:t xml:space="preserve">modellen har ikke uavhengig holdout</w:t>
      </w:r>
      <w:r>
        <w:t xml:space="preserve"> </w:t>
      </w:r>
      <w:r>
        <w:t xml:space="preserve">(§ 8.1.1).</w:t>
      </w:r>
      <w:r>
        <w:t xml:space="preserve"> </w:t>
      </w:r>
      <w:r>
        <w:rPr>
          <w:rStyle w:val="VerbatimChar"/>
        </w:rPr>
        <w:t xml:space="preserve">model_meta_final.joblib</w:t>
      </w:r>
      <w:r>
        <w:t xml:space="preserve"> </w:t>
      </w:r>
      <w:r>
        <w:t xml:space="preserve">er refittet på hele 2020–2025 inkludert testsettet. Test-sett-tallene gjelder prefit-modellen som proxy. Lukkes når 2026-data er tilstrekkelig (videre arbeid punkt 10).</w:t>
      </w:r>
    </w:p>
    <w:p>
      <w:pPr>
        <w:pStyle w:val="Compact"/>
        <w:numPr>
          <w:ilvl w:val="0"/>
          <w:numId w:val="1022"/>
        </w:numPr>
      </w:pPr>
      <w:r>
        <w:rPr>
          <w:b/>
          <w:bCs/>
        </w:rPr>
        <w:t xml:space="preserve">Operasjonell validering ikke gjennomført.</w:t>
      </w:r>
      <w:r>
        <w:t xml:space="preserve"> </w:t>
      </w:r>
      <w:r>
        <w:t xml:space="preserve">Verktøyet er ikke kjørt live over måneder. Lukkes ved videre arbeid punkt 9 — også eksplisitt etterlyst av peer reviewer.</w:t>
      </w:r>
    </w:p>
    <w:p>
      <w:pPr>
        <w:pStyle w:val="Compact"/>
        <w:numPr>
          <w:ilvl w:val="0"/>
          <w:numId w:val="1022"/>
        </w:numPr>
      </w:pPr>
      <w:r>
        <w:rPr>
          <w:b/>
          <w:bCs/>
        </w:rPr>
        <w:t xml:space="preserve">Ekstern validitet begrenset til Yachting Operations.</w:t>
      </w:r>
      <w:r>
        <w:t xml:space="preserve"> </w:t>
      </w:r>
      <w:r>
        <w:t xml:space="preserve">Modellen er ikke testet på andre operatører (§ 9.6). Strukturell case-avgrensning, ikke fikserbar uten ny datakilde.</w:t>
      </w:r>
    </w:p>
    <w:p>
      <w:pPr>
        <w:pStyle w:val="Compact"/>
        <w:numPr>
          <w:ilvl w:val="0"/>
          <w:numId w:val="1022"/>
        </w:numPr>
      </w:pPr>
      <w:r>
        <w:rPr>
          <w:b/>
          <w:bCs/>
        </w:rPr>
        <w:t xml:space="preserve">Konstrukt</w:t>
      </w:r>
      <w:r>
        <w:rPr>
          <w:b/>
          <w:bCs/>
        </w:rPr>
        <w:softHyphen/>
      </w:r>
      <w:r>
        <w:rPr>
          <w:b/>
          <w:bCs/>
        </w:rPr>
        <w:t xml:space="preserve">validitet er delvis</w:t>
      </w:r>
      <w:r>
        <w:t xml:space="preserve"> </w:t>
      </w:r>
      <w:r>
        <w:t xml:space="preserve">(§ 9.6).</w:t>
      </w:r>
      <w:r>
        <w:t xml:space="preserve"> </w:t>
      </w:r>
      <w:r>
        <w:rPr>
          <w:rStyle w:val="VerbatimChar"/>
        </w:rPr>
        <w:t xml:space="preserve">final_charge</w:t>
      </w:r>
      <w:r>
        <w:t xml:space="preserve"> </w:t>
      </w:r>
      <w:r>
        <w:t xml:space="preserve">fanger agentens fakturasum, ikke yachteierens totale anløpskostnad. Akseptert som dokumentert avgrensning.</w:t>
      </w:r>
    </w:p>
    <w:p>
      <w:pPr>
        <w:pStyle w:val="Compact"/>
        <w:numPr>
          <w:ilvl w:val="0"/>
          <w:numId w:val="1022"/>
        </w:numPr>
      </w:pPr>
      <w:r>
        <w:rPr>
          <w:b/>
          <w:bCs/>
        </w:rPr>
        <w:t xml:space="preserve">Diebold-Mariano-test ikke gjennomført.</w:t>
      </w:r>
      <w:r>
        <w:t xml:space="preserve"> </w:t>
      </w:r>
      <w:r>
        <w:t xml:space="preserve">Bootstrap-KI dekker den essensielle delen; DM kunne styrket håndteringen av tids</w:t>
      </w:r>
      <w:r>
        <w:softHyphen/>
      </w:r>
      <w:r>
        <w:t xml:space="preserve">korrelerte residualer. Flagget som videre arbeid punkt 11.</w:t>
      </w:r>
    </w:p>
    <w:bookmarkEnd w:id="97"/>
    <w:bookmarkStart w:id="98" w:name="sammenfattende-refleksjon"/>
    <w:p>
      <w:pPr>
        <w:pStyle w:val="Heading4"/>
      </w:pPr>
      <w:r>
        <w:rPr>
          <w:rStyle w:val="SectionNumber"/>
        </w:rPr>
        <w:t xml:space="preserve">10.7.7</w:t>
      </w:r>
      <w:r>
        <w:tab/>
      </w:r>
      <w:r>
        <w:t xml:space="preserve">9.7.7 Sammenfattende refleksjon</w:t>
      </w:r>
    </w:p>
    <w:p>
      <w:pPr>
        <w:pStyle w:val="FirstParagraph"/>
      </w:pPr>
      <w:r>
        <w:t xml:space="preserve">Den røde tråden gjennom utfordringene er at</w:t>
      </w:r>
      <w:r>
        <w:t xml:space="preserve"> </w:t>
      </w:r>
      <w:r>
        <w:rPr>
          <w:i/>
          <w:iCs/>
        </w:rPr>
        <w:t xml:space="preserve">data</w:t>
      </w:r>
      <w:r>
        <w:rPr>
          <w:i/>
          <w:iCs/>
        </w:rPr>
        <w:softHyphen/>
      </w:r>
      <w:r>
        <w:rPr>
          <w:i/>
          <w:iCs/>
        </w:rPr>
        <w:t xml:space="preserve">utfordringene</w:t>
      </w:r>
      <w:r>
        <w:t xml:space="preserve"> </w:t>
      </w:r>
      <w:r>
        <w:t xml:space="preserve">(klynge 9.7.1) og</w:t>
      </w:r>
      <w:r>
        <w:t xml:space="preserve"> </w:t>
      </w:r>
      <w:r>
        <w:rPr>
          <w:i/>
          <w:iCs/>
        </w:rPr>
        <w:t xml:space="preserve">strukturelle begrensninger</w:t>
      </w:r>
      <w:r>
        <w:t xml:space="preserve"> </w:t>
      </w:r>
      <w:r>
        <w:t xml:space="preserve">(klynge 9.7.6) ikke kan lukkes ved bedre modellering alene — de krever enten flere data eller fortsatt operasjonell drift.</w:t>
      </w:r>
      <w:r>
        <w:t xml:space="preserve"> </w:t>
      </w:r>
      <w:r>
        <w:rPr>
          <w:i/>
          <w:iCs/>
        </w:rPr>
        <w:t xml:space="preserve">Modell-</w:t>
      </w:r>
      <w:r>
        <w:t xml:space="preserve"> </w:t>
      </w:r>
      <w:r>
        <w:t xml:space="preserve">og</w:t>
      </w:r>
      <w:r>
        <w:t xml:space="preserve"> </w:t>
      </w:r>
      <w:r>
        <w:rPr>
          <w:i/>
          <w:iCs/>
        </w:rPr>
        <w:t xml:space="preserve">prosess</w:t>
      </w:r>
      <w:r>
        <w:rPr>
          <w:i/>
          <w:iCs/>
        </w:rPr>
        <w:softHyphen/>
      </w:r>
      <w:r>
        <w:rPr>
          <w:i/>
          <w:iCs/>
        </w:rPr>
        <w:t xml:space="preserve">utfordringene</w:t>
      </w:r>
      <w:r>
        <w:t xml:space="preserve"> </w:t>
      </w:r>
      <w:r>
        <w:t xml:space="preserve">(klynge 9.7.2 og 9.7.4) er i hovedsak løst eller pragmatisk håndtert.</w:t>
      </w:r>
      <w:r>
        <w:t xml:space="preserve"> </w:t>
      </w:r>
      <w:r>
        <w:rPr>
          <w:i/>
          <w:iCs/>
        </w:rPr>
        <w:t xml:space="preserve">Rapport</w:t>
      </w:r>
      <w:r>
        <w:rPr>
          <w:i/>
          <w:iCs/>
        </w:rPr>
        <w:softHyphen/>
      </w:r>
      <w:r>
        <w:rPr>
          <w:i/>
          <w:iCs/>
        </w:rPr>
        <w:t xml:space="preserve">skrivings</w:t>
      </w:r>
      <w:r>
        <w:rPr>
          <w:i/>
          <w:iCs/>
        </w:rPr>
        <w:softHyphen/>
      </w:r>
      <w:r>
        <w:rPr>
          <w:i/>
          <w:iCs/>
        </w:rPr>
        <w:t xml:space="preserve">utfordringene</w:t>
      </w:r>
      <w:r>
        <w:t xml:space="preserve"> </w:t>
      </w:r>
      <w:r>
        <w:t xml:space="preserve">(klynge 9.7.5) er fullstendig løst — alle peer-review-punkter er adressert, og v1.0 inneholder testsett-tall, statistisk signifikans, embedde figurer og pensum</w:t>
      </w:r>
      <w:r>
        <w:softHyphen/>
      </w:r>
      <w:r>
        <w:t xml:space="preserve">kobling som manglet i tidligere versjoner. Denne åpenheten om hva som er løst, hva som er delvis løst og hva som forblir åpent er i tråd med kompendiets sjekkliste A.3:</w:t>
      </w:r>
      <w:r>
        <w:t xml:space="preserve"> </w:t>
      </w:r>
      <w:r>
        <w:rPr>
          <w:i/>
          <w:iCs/>
        </w:rPr>
        <w:t xml:space="preserve">“Begrensninger, usikkerhet og feilkilder er tydeliggjort.”</w:t>
      </w:r>
    </w:p>
    <w:bookmarkEnd w:id="98"/>
    <w:bookmarkEnd w:id="99"/>
    <w:bookmarkStart w:id="100" w:name="praktiske-implikasjoner"/>
    <w:p>
      <w:pPr>
        <w:pStyle w:val="Heading3"/>
      </w:pPr>
      <w:r>
        <w:rPr>
          <w:rStyle w:val="SectionNumber"/>
        </w:rPr>
        <w:t xml:space="preserve">10.8</w:t>
      </w:r>
      <w:r>
        <w:tab/>
      </w:r>
      <w:r>
        <w:t xml:space="preserve">9.8 Praktiske implikasjoner</w:t>
      </w:r>
    </w:p>
    <w:p>
      <w:pPr>
        <w:pStyle w:val="FirstParagraph"/>
      </w:pPr>
      <w:r>
        <w:t xml:space="preserve">For Yachting Operations betyr verktøyet at en agent</w:t>
      </w:r>
      <w:r>
        <w:softHyphen/>
      </w:r>
      <w:r>
        <w:t xml:space="preserve">koordinator på sekunder kan gi yachteier et estimat med tydelig kommunisert spenn i stedet for et magefølelses</w:t>
      </w:r>
      <w:r>
        <w:softHyphen/>
      </w:r>
      <w:r>
        <w:t xml:space="preserve">anslag. På lengre sikt kan loggføring av faktiske anløps</w:t>
      </w:r>
      <w:r>
        <w:softHyphen/>
      </w:r>
      <w:r>
        <w:t xml:space="preserve">kostnader mot estimater drive en automatisk re-treningsløkke, slik at modellen forbedres mot faktiske prestasjoner. På kort sikt — og spesielt før labels for</w:t>
      </w:r>
      <w:r>
        <w:t xml:space="preserve"> </w:t>
      </w:r>
      <w:r>
        <w:rPr>
          <w:rStyle w:val="VerbatimChar"/>
        </w:rPr>
        <w:t xml:space="preserve">guest_experience</w:t>
      </w:r>
      <w:r>
        <w:t xml:space="preserve"> </w:t>
      </w:r>
      <w:r>
        <w:t xml:space="preserve">er innhentet (jf. § 9.5.4 og Vedlegg E) — fungerer override-mekanismene for los, bunkers og provisions som en operasjonell sikkerhets</w:t>
      </w:r>
      <w:r>
        <w:softHyphen/>
      </w:r>
      <w:r>
        <w:t xml:space="preserve">ventil: koordinatoren har et estimat som</w:t>
      </w:r>
      <w:r>
        <w:t xml:space="preserve"> </w:t>
      </w:r>
      <w:r>
        <w:rPr>
          <w:i/>
          <w:iCs/>
        </w:rPr>
        <w:t xml:space="preserve">kan</w:t>
      </w:r>
      <w:r>
        <w:t xml:space="preserve"> </w:t>
      </w:r>
      <w:r>
        <w:t xml:space="preserve">korrigeres for kjente begrensninger uten å vente på en re-trening.</w:t>
      </w:r>
    </w:p>
    <w:bookmarkEnd w:id="100"/>
    <w:bookmarkStart w:id="101" w:name="etiske-og-personvernmessige-hensyn"/>
    <w:p>
      <w:pPr>
        <w:pStyle w:val="Heading3"/>
      </w:pPr>
      <w:r>
        <w:rPr>
          <w:rStyle w:val="SectionNumber"/>
        </w:rPr>
        <w:t xml:space="preserve">10.9</w:t>
      </w:r>
      <w:r>
        <w:tab/>
      </w:r>
      <w:r>
        <w:t xml:space="preserve">9.9 Etiske og personvernmessige hensyn</w:t>
      </w:r>
    </w:p>
    <w:p>
      <w:pPr>
        <w:pStyle w:val="FirstParagraph"/>
      </w:pPr>
      <w:r>
        <w:t xml:space="preserve">Faktura</w:t>
      </w:r>
      <w:r>
        <w:softHyphen/>
      </w:r>
      <w:r>
        <w:t xml:space="preserve">data inneholder yacht</w:t>
      </w:r>
      <w:r>
        <w:softHyphen/>
      </w:r>
      <w:r>
        <w:t xml:space="preserve">identifikatorer, men ingen direkte person</w:t>
      </w:r>
      <w:r>
        <w:softHyphen/>
      </w:r>
      <w:r>
        <w:t xml:space="preserve">data. Yacht-ID-er er allerede anonymisert i datasettet (</w:t>
      </w:r>
      <w:r>
        <w:rPr>
          <w:rStyle w:val="VerbatimChar"/>
        </w:rPr>
        <w:t xml:space="preserve">yacht_1, yacht_2, …, yacht_19</w:t>
      </w:r>
      <w:r>
        <w:t xml:space="preserve">). Kontornavn (Bergen Office, Stockholm Office, Copenhagen Office) er beholdt fordi de identifiserer offentlig kjente lokasjoner og ikke representerer sensitive personopplysninger i seg selv. Fakturabeløp i rapporten er aggregert per persentil eller havn slik at enkelt</w:t>
      </w:r>
      <w:r>
        <w:softHyphen/>
      </w:r>
      <w:r>
        <w:t xml:space="preserve">transaksjoner ikke kan rekonstrueres.</w:t>
      </w:r>
    </w:p>
    <w:p>
      <w:r>
        <w:pict>
          <v:rect style="width:0;height:1.5pt" o:hralign="center" o:hrstd="t" o:hr="t"/>
        </w:pict>
      </w:r>
    </w:p>
    <w:bookmarkEnd w:id="101"/>
    <w:bookmarkEnd w:id="102"/>
    <w:bookmarkStart w:id="103" w:name="konklusjon"/>
    <w:p>
      <w:pPr>
        <w:pStyle w:val="Heading2"/>
      </w:pPr>
      <w:r>
        <w:rPr>
          <w:rStyle w:val="SectionNumber"/>
        </w:rPr>
        <w:t xml:space="preserve">11</w:t>
      </w:r>
      <w:r>
        <w:tab/>
      </w:r>
      <w:r>
        <w:t xml:space="preserve">10. Konklusjon</w:t>
      </w:r>
    </w:p>
    <w:p>
      <w:pPr>
        <w:pStyle w:val="FirstParagraph"/>
      </w:pPr>
      <w:r>
        <w:t xml:space="preserve">Vi har utviklet en datadreven kostnads</w:t>
      </w:r>
      <w:r>
        <w:softHyphen/>
      </w:r>
      <w:r>
        <w:t xml:space="preserve">estimator for skandinaviske yacht</w:t>
      </w:r>
      <w:r>
        <w:softHyphen/>
      </w:r>
      <w:r>
        <w:t xml:space="preserve">anløp som kombinerer en LightGBM + CatBoost-ensemble på transaksjons</w:t>
      </w:r>
      <w:r>
        <w:softHyphen/>
      </w:r>
      <w:r>
        <w:t xml:space="preserve">nivå med en hybrid kalibrering mot empiriske kostnadspersentiler på anløps</w:t>
      </w:r>
      <w:r>
        <w:softHyphen/>
      </w:r>
      <w:r>
        <w:t xml:space="preserve">nivå. På et valideringssett med 490 transaksjoner fra 2024 oppnår modellen MAE = 17 350 EUR (wMAPE 71,4 %), en reduksjon på 20 % i forhold til en median</w:t>
      </w:r>
      <w:r>
        <w:softHyphen/>
      </w:r>
      <w:r>
        <w:t xml:space="preserve">baseline. På det</w:t>
      </w:r>
      <w:r>
        <w:t xml:space="preserve"> </w:t>
      </w:r>
      <w:r>
        <w:rPr>
          <w:b/>
          <w:bCs/>
        </w:rPr>
        <w:t xml:space="preserve">uavhengige testsettet</w:t>
      </w:r>
      <w:r>
        <w:t xml:space="preserve"> </w:t>
      </w:r>
      <w:r>
        <w:t xml:space="preserve">(2025, 649 transaksjoner — aldri brukt i seleksjon) er endelig generaliserings</w:t>
      </w:r>
      <w:r>
        <w:softHyphen/>
      </w:r>
      <w:r>
        <w:t xml:space="preserve">anslag for samme ensemble</w:t>
      </w:r>
      <w:r>
        <w:softHyphen/>
      </w:r>
      <w:r>
        <w:t xml:space="preserve">modell</w:t>
      </w:r>
      <w:r>
        <w:t xml:space="preserve"> </w:t>
      </w:r>
      <w:r>
        <w:rPr>
          <w:b/>
          <w:bCs/>
        </w:rPr>
        <w:t xml:space="preserve">MAE = 19 051 EUR, wMAPE = 74,3 %</w:t>
      </w:r>
      <w:r>
        <w:t xml:space="preserve"> </w:t>
      </w:r>
      <w:r>
        <w:t xml:space="preserve">(tabell 8.2) — ≈ 10 % høyere MAE enn val, hvilket er forventet etter modell</w:t>
      </w:r>
      <w:r>
        <w:softHyphen/>
      </w:r>
      <w:r>
        <w:t xml:space="preserve">seleksjon og bekrefter at modellen generaliserer til ny tids</w:t>
      </w:r>
      <w:r>
        <w:softHyphen/>
      </w:r>
      <w:r>
        <w:t xml:space="preserve">periode uten katastrofalt fall. CQR-kalibrerte kvantil</w:t>
      </w:r>
      <w:r>
        <w:softHyphen/>
      </w:r>
      <w:r>
        <w:t xml:space="preserve">modeller gir empirisk dekning på 80,0 % for nominelt 80 %-prediksjonsintervall på valideringssettet. Aggregerte anløps</w:t>
      </w:r>
      <w:r>
        <w:softHyphen/>
      </w:r>
      <w:r>
        <w:t xml:space="preserve">estimater plasserer seg innenfor empirisk P25–P75-bånd i alle fem testede konfigurasjoner (tabell 8.3a–e).</w:t>
      </w:r>
    </w:p>
    <w:p>
      <w:pPr>
        <w:pStyle w:val="BodyText"/>
      </w:pPr>
      <w:r>
        <w:t xml:space="preserve">Hvert delproblem er adressert: DP1 ved 26 features fra fakturadata (§ 5.5), DP2 ved sammen</w:t>
      </w:r>
      <w:r>
        <w:softHyphen/>
      </w:r>
      <w:r>
        <w:t xml:space="preserve">ligning av seks modeller på både val og test (§ 8.1, § 8.1.1), DP3 ved hybrid persentil-kalibrering (§ 6.5), DP4 ved kvantil</w:t>
      </w:r>
      <w:r>
        <w:softHyphen/>
      </w:r>
      <w:r>
        <w:t xml:space="preserve">modeller med CQR (§ 6.4) og forankring av estimater i empirisk P25–P75-spenn (§ 8.3), og DP5 ved en FastAPI + Next.js-tjeneste med svar</w:t>
      </w:r>
      <w:r>
        <w:softHyphen/>
      </w:r>
      <w:r>
        <w:t xml:space="preserve">tider under to sekunder (§ 8.4).</w:t>
      </w:r>
    </w:p>
    <w:p>
      <w:pPr>
        <w:pStyle w:val="BodyText"/>
      </w:pPr>
      <w:r>
        <w:t xml:space="preserve">Studien bidrar (jf. § 1.5) til både litteraturen og praksis ved å demonstrere at en transaksjonsnivå-ensemble</w:t>
      </w:r>
      <w:r>
        <w:softHyphen/>
      </w:r>
      <w:r>
        <w:t xml:space="preserve">modell med trafikkvektet aggregering kan kalibreres mot empiriske havne</w:t>
      </w:r>
      <w:r>
        <w:softHyphen/>
      </w:r>
      <w:r>
        <w:t xml:space="preserve">persentiler i et lite, høyt</w:t>
      </w:r>
      <w:r>
        <w:softHyphen/>
      </w:r>
      <w:r>
        <w:t xml:space="preserve">skjevt regime (n ≈ 1 600, 17 enheter), at modell</w:t>
      </w:r>
      <w:r>
        <w:softHyphen/>
      </w:r>
      <w:r>
        <w:t xml:space="preserve">valget er pensum</w:t>
      </w:r>
      <w:r>
        <w:softHyphen/>
      </w:r>
      <w:r>
        <w:t xml:space="preserve">forankret (Pettersen &amp; Rekdal, 2026, tabell 1.1: gradient boosting + kryssvalidering + SHAP + hyperparameter</w:t>
      </w:r>
      <w:r>
        <w:softHyphen/>
      </w:r>
      <w:r>
        <w:t xml:space="preserve">tuning), og ved å dokumentere konkrete gap mellom modell</w:t>
      </w:r>
      <w:r>
        <w:softHyphen/>
      </w:r>
      <w:r>
        <w:t xml:space="preserve">strukturen og operasjonelle krav (§ 9.5) som peker mot avgrensede, oppnåelige retraining-mål.</w:t>
      </w:r>
    </w:p>
    <w:p>
      <w:pPr>
        <w:pStyle w:val="BodyText"/>
      </w:pPr>
      <w:r>
        <w:rPr>
          <w:b/>
          <w:bCs/>
        </w:rPr>
        <w:t xml:space="preserve">Begrensninger:</w:t>
      </w:r>
    </w:p>
    <w:p>
      <w:pPr>
        <w:pStyle w:val="Compact"/>
        <w:numPr>
          <w:ilvl w:val="0"/>
          <w:numId w:val="1023"/>
        </w:numPr>
      </w:pPr>
      <w:r>
        <w:t xml:space="preserve">De aggregerte anløps</w:t>
      </w:r>
      <w:r>
        <w:softHyphen/>
      </w:r>
      <w:r>
        <w:t xml:space="preserve">estimatene i § 8.3 er demonstrert gjennom fem utvalgte konfigurasjoner.</w:t>
      </w:r>
      <w:r>
        <w:t xml:space="preserve"> </w:t>
      </w:r>
      <w:r>
        <w:rPr>
          <w:b/>
          <w:bCs/>
        </w:rPr>
        <w:t xml:space="preserve">Operasjonell validering</w:t>
      </w:r>
      <w:r>
        <w:t xml:space="preserve"> </w:t>
      </w:r>
      <w:r>
        <w:t xml:space="preserve">— der koordinatorene bruker verktøyet i live drift over en lengre periode og fakturaer sammen</w:t>
      </w:r>
      <w:r>
        <w:softHyphen/>
      </w:r>
      <w:r>
        <w:t xml:space="preserve">holdes med estimater per havn × størrelse — er nødvendig før verktøyet kan konkluderes som klar for full produksjon. Dette er også flagget av peer reviewer (G10/Julie, 2026-05-07).</w:t>
      </w:r>
    </w:p>
    <w:p>
      <w:pPr>
        <w:pStyle w:val="Compact"/>
        <w:numPr>
          <w:ilvl w:val="0"/>
          <w:numId w:val="1023"/>
        </w:numPr>
      </w:pPr>
      <w:r>
        <w:t xml:space="preserve">Test</w:t>
      </w:r>
      <w:r>
        <w:softHyphen/>
      </w:r>
      <w:r>
        <w:t xml:space="preserve">set-metrikkene i § 8.1.1 gjelder</w:t>
      </w:r>
      <w:r>
        <w:t xml:space="preserve"> </w:t>
      </w:r>
      <w:r>
        <w:rPr>
          <w:i/>
          <w:iCs/>
        </w:rPr>
        <w:t xml:space="preserve">prefit-modellen</w:t>
      </w:r>
      <w:r>
        <w:t xml:space="preserve"> </w:t>
      </w:r>
      <w:r>
        <w:t xml:space="preserve">(trent på ≤ 2023) som et generaliserings</w:t>
      </w:r>
      <w:r>
        <w:softHyphen/>
      </w:r>
      <w:r>
        <w:t xml:space="preserve">anslag for model</w:t>
      </w:r>
      <w:r>
        <w:softHyphen/>
      </w:r>
      <w:r>
        <w:t xml:space="preserve">klassen. Produksjons</w:t>
      </w:r>
      <w:r>
        <w:softHyphen/>
      </w:r>
      <w:r>
        <w:t xml:space="preserve">modellen (</w:t>
      </w:r>
      <w:r>
        <w:rPr>
          <w:rStyle w:val="VerbatimChar"/>
        </w:rPr>
        <w:t xml:space="preserve">model_meta_final.joblib</w:t>
      </w:r>
      <w:r>
        <w:t xml:space="preserve">, refittet på 2020–2025) har ikke et uavhengig holdout før 2026-data er tilstrekkelig — dette er en strukturell begrensning ved tids</w:t>
      </w:r>
      <w:r>
        <w:softHyphen/>
      </w:r>
      <w:r>
        <w:t xml:space="preserve">basert split når man også vil deploye på all tilgjengelig data.</w:t>
      </w:r>
    </w:p>
    <w:p>
      <w:pPr>
        <w:pStyle w:val="Compact"/>
        <w:numPr>
          <w:ilvl w:val="0"/>
          <w:numId w:val="1023"/>
        </w:numPr>
      </w:pPr>
      <w:r>
        <w:t xml:space="preserve">Ekstern validitet er begrenset til Yachting Operations sine egne fremtidige anløp (jf. § 9.6). Verktøyet er ikke validert på andre operatører.</w:t>
      </w:r>
    </w:p>
    <w:p>
      <w:pPr>
        <w:pStyle w:val="Compact"/>
        <w:numPr>
          <w:ilvl w:val="0"/>
          <w:numId w:val="1023"/>
        </w:numPr>
      </w:pPr>
      <w:r>
        <w:t xml:space="preserve">Provisions er kategorien med størst systematisk avvik fra faktiske kostnader; uten labels for</w:t>
      </w:r>
      <w:r>
        <w:t xml:space="preserve"> </w:t>
      </w:r>
      <w:r>
        <w:rPr>
          <w:rStyle w:val="VerbatimChar"/>
        </w:rPr>
        <w:t xml:space="preserve">guest_experience</w:t>
      </w:r>
      <w:r>
        <w:t xml:space="preserve"> </w:t>
      </w:r>
      <w:r>
        <w:t xml:space="preserve">(§ 9.5.4 og Vedlegg E) kan denne avgrensningen ikke lukkes ved nye modell</w:t>
      </w:r>
      <w:r>
        <w:softHyphen/>
      </w:r>
      <w:r>
        <w:t xml:space="preserve">varianter alene.</w:t>
      </w:r>
    </w:p>
    <w:p>
      <w:pPr>
        <w:pStyle w:val="FirstParagraph"/>
      </w:pPr>
      <w:r>
        <w:rPr>
          <w:b/>
          <w:bCs/>
        </w:rPr>
        <w:t xml:space="preserve">Videre arbeid:</w:t>
      </w:r>
    </w:p>
    <w:p>
      <w:pPr>
        <w:pStyle w:val="Compact"/>
        <w:numPr>
          <w:ilvl w:val="0"/>
          <w:numId w:val="1024"/>
        </w:numPr>
      </w:pPr>
      <w:r>
        <w:rPr>
          <w:b/>
          <w:bCs/>
        </w:rPr>
        <w:t xml:space="preserve">Utvide flåten</w:t>
      </w:r>
      <w:r>
        <w:t xml:space="preserve"> </w:t>
      </w:r>
      <w:r>
        <w:t xml:space="preserve">— innhent flere yacht</w:t>
      </w:r>
      <w:r>
        <w:softHyphen/>
      </w:r>
      <w:r>
        <w:t xml:space="preserve">spesifikasjoner og inkluder transaksjoner fra andre operatører for å bedre robusthet mot OOD-yachter.</w:t>
      </w:r>
    </w:p>
    <w:p>
      <w:pPr>
        <w:pStyle w:val="Compact"/>
        <w:numPr>
          <w:ilvl w:val="0"/>
          <w:numId w:val="1024"/>
        </w:numPr>
      </w:pPr>
      <w:r>
        <w:rPr>
          <w:b/>
          <w:bCs/>
        </w:rPr>
        <w:t xml:space="preserve">Online re-trening</w:t>
      </w:r>
      <w:r>
        <w:t xml:space="preserve"> </w:t>
      </w:r>
      <w:r>
        <w:t xml:space="preserve">— implementer rullerende vindu og automatisk re-trening når avvik mellom estimat og faktura overstiger en terskel.</w:t>
      </w:r>
    </w:p>
    <w:p>
      <w:pPr>
        <w:pStyle w:val="Compact"/>
        <w:numPr>
          <w:ilvl w:val="0"/>
          <w:numId w:val="1024"/>
        </w:numPr>
      </w:pPr>
      <w:r>
        <w:rPr>
          <w:b/>
          <w:bCs/>
        </w:rPr>
        <w:t xml:space="preserve">Multimodal pris</w:t>
      </w:r>
      <w:r>
        <w:rPr>
          <w:b/>
          <w:bCs/>
        </w:rPr>
        <w:softHyphen/>
      </w:r>
      <w:r>
        <w:rPr>
          <w:b/>
          <w:bCs/>
        </w:rPr>
        <w:t xml:space="preserve">drivere</w:t>
      </w:r>
      <w:r>
        <w:t xml:space="preserve"> </w:t>
      </w:r>
      <w:r>
        <w:t xml:space="preserve">— utvid datagrunnlaget med eksterne tids</w:t>
      </w:r>
      <w:r>
        <w:softHyphen/>
      </w:r>
      <w:r>
        <w:t xml:space="preserve">serier (drivstoffpris, valuta, vær) for å fange makro-effekter modellen i dag ikke ser.</w:t>
      </w:r>
    </w:p>
    <w:p>
      <w:pPr>
        <w:pStyle w:val="Compact"/>
        <w:numPr>
          <w:ilvl w:val="0"/>
          <w:numId w:val="1024"/>
        </w:numPr>
      </w:pPr>
      <w:r>
        <w:rPr>
          <w:b/>
          <w:bCs/>
        </w:rPr>
        <w:t xml:space="preserve">Brukerstudie</w:t>
      </w:r>
      <w:r>
        <w:t xml:space="preserve"> </w:t>
      </w:r>
      <w:r>
        <w:t xml:space="preserve">— kjøre AB-test der koordinatorer estimerer parallelt med og uten verktøyet, og måle tids</w:t>
      </w:r>
      <w:r>
        <w:softHyphen/>
      </w:r>
      <w:r>
        <w:t xml:space="preserve">bruk og presisjon.</w:t>
      </w:r>
    </w:p>
    <w:p>
      <w:pPr>
        <w:pStyle w:val="Compact"/>
        <w:numPr>
          <w:ilvl w:val="0"/>
          <w:numId w:val="1024"/>
        </w:numPr>
      </w:pPr>
      <w:r>
        <w:rPr>
          <w:b/>
          <w:bCs/>
        </w:rPr>
        <w:t xml:space="preserve">Land-bevisste aggregater og re-trening</w:t>
      </w:r>
      <w:r>
        <w:t xml:space="preserve"> </w:t>
      </w:r>
      <w:r>
        <w:t xml:space="preserve">(§ 9.5.5) — bygge</w:t>
      </w:r>
      <w:r>
        <w:t xml:space="preserve"> </w:t>
      </w:r>
      <w:r>
        <w:rPr>
          <w:rStyle w:val="VerbatimChar"/>
        </w:rPr>
        <w:t xml:space="preserve">country_size_stats.parquet</w:t>
      </w:r>
      <w:r>
        <w:t xml:space="preserve"> </w:t>
      </w:r>
      <w:r>
        <w:t xml:space="preserve">og</w:t>
      </w:r>
      <w:r>
        <w:t xml:space="preserve"> </w:t>
      </w:r>
      <w:r>
        <w:rPr>
          <w:rStyle w:val="VerbatimChar"/>
        </w:rPr>
        <w:t xml:space="preserve">country_size_svc_stats.parquet</w:t>
      </w:r>
      <w:r>
        <w:t xml:space="preserve"> </w:t>
      </w:r>
      <w:r>
        <w:t xml:space="preserve">ved å gruppere på</w:t>
      </w:r>
      <w:r>
        <w:t xml:space="preserve"> </w:t>
      </w:r>
      <w:r>
        <w:rPr>
          <w:rStyle w:val="VerbatimChar"/>
        </w:rPr>
        <w:t xml:space="preserve">(country, size_category)</w:t>
      </w:r>
      <w:r>
        <w:t xml:space="preserve"> </w:t>
      </w:r>
      <w:r>
        <w:t xml:space="preserve">(henholdsvis</w:t>
      </w:r>
      <w:r>
        <w:t xml:space="preserve"> </w:t>
      </w:r>
      <w:r>
        <w:rPr>
          <w:rStyle w:val="VerbatimChar"/>
        </w:rPr>
        <w:t xml:space="preserve">(country, size_category, service_category)</w:t>
      </w:r>
      <w:r>
        <w:t xml:space="preserve">) og join’e i</w:t>
      </w:r>
      <w:r>
        <w:t xml:space="preserve"> </w:t>
      </w:r>
      <w:r>
        <w:rPr>
          <w:rStyle w:val="VerbatimChar"/>
        </w:rPr>
        <w:t xml:space="preserve">build_features</w:t>
      </w:r>
      <w:r>
        <w:t xml:space="preserve">; deretter re-trene og sammenligne mot dagens baseline. Forventet gevinst er størst for København og Stor-yachts der kostnadsnivået skiller seg fra norske havner.</w:t>
      </w:r>
    </w:p>
    <w:p>
      <w:pPr>
        <w:pStyle w:val="Compact"/>
        <w:numPr>
          <w:ilvl w:val="0"/>
          <w:numId w:val="1024"/>
        </w:numPr>
      </w:pPr>
      <w:r>
        <w:rPr>
          <w:b/>
          <w:bCs/>
        </w:rPr>
        <w:t xml:space="preserve">Reise</w:t>
      </w:r>
      <w:r>
        <w:rPr>
          <w:b/>
          <w:bCs/>
        </w:rPr>
        <w:softHyphen/>
      </w:r>
      <w:r>
        <w:rPr>
          <w:b/>
          <w:bCs/>
        </w:rPr>
        <w:t xml:space="preserve">geometri som modell-feature</w:t>
      </w:r>
      <w:r>
        <w:t xml:space="preserve"> </w:t>
      </w:r>
      <w:r>
        <w:t xml:space="preserve">(§ 9.5.3) — inkludere</w:t>
      </w:r>
      <w:r>
        <w:t xml:space="preserve"> </w:t>
      </w:r>
      <w:r>
        <w:rPr>
          <w:rStyle w:val="VerbatimChar"/>
        </w:rPr>
        <w:t xml:space="preserve">distance_nm</w:t>
      </w:r>
      <w:r>
        <w:t xml:space="preserve"> </w:t>
      </w:r>
      <w:r>
        <w:t xml:space="preserve">per leg og</w:t>
      </w:r>
      <w:r>
        <w:t xml:space="preserve"> </w:t>
      </w:r>
      <w:r>
        <w:rPr>
          <w:rStyle w:val="VerbatimChar"/>
        </w:rPr>
        <w:t xml:space="preserve">cruising_speed_kn</w:t>
      </w:r>
      <w:r>
        <w:t xml:space="preserve"> </w:t>
      </w:r>
      <w:r>
        <w:t xml:space="preserve">som features. Krever at distansene logges historisk eller beregnes fra havne-koordinater (storsirkel-distanse) og at marsjfart estimeres fra yacht-spesifikasjoner. Mål: erstatte den nåværende deterministiske override</w:t>
      </w:r>
      <w:r>
        <w:softHyphen/>
      </w:r>
      <w:r>
        <w:t xml:space="preserve">en med en lært, men reise</w:t>
      </w:r>
      <w:r>
        <w:softHyphen/>
      </w:r>
      <w:r>
        <w:t xml:space="preserve">geometri-bevisst, drivstoff</w:t>
      </w:r>
      <w:r>
        <w:softHyphen/>
      </w:r>
      <w:r>
        <w:t xml:space="preserve">modell.</w:t>
      </w:r>
    </w:p>
    <w:p>
      <w:pPr>
        <w:pStyle w:val="Compact"/>
        <w:numPr>
          <w:ilvl w:val="0"/>
          <w:numId w:val="1024"/>
        </w:numPr>
      </w:pPr>
      <w:r>
        <w:rPr>
          <w:b/>
          <w:bCs/>
        </w:rPr>
        <w:t xml:space="preserve">Guest_experience labelling-runde</w:t>
      </w:r>
      <w:r>
        <w:t xml:space="preserve"> </w:t>
      </w:r>
      <w:r>
        <w:t xml:space="preserve">(§ 9.5.4 + Vedlegg E) — etter at agency-manageren har ferdigstilt rubrikken, gå tilbake til 1 626 historiske rader og label retro</w:t>
      </w:r>
      <w:r>
        <w:softHyphen/>
      </w:r>
      <w:r>
        <w:t xml:space="preserve">aktivt der det er mulig (delvis manuelt fra fakturanotater og kjente yachter); deretter re-trene med</w:t>
      </w:r>
      <w:r>
        <w:t xml:space="preserve"> </w:t>
      </w:r>
      <w:r>
        <w:rPr>
          <w:rStyle w:val="VerbatimChar"/>
        </w:rPr>
        <w:t xml:space="preserve">guest_experience</w:t>
      </w:r>
      <w:r>
        <w:t xml:space="preserve"> </w:t>
      </w:r>
      <w:r>
        <w:t xml:space="preserve">som ekstra kategorisk feature og måle effekten på Provisions-MAE.</w:t>
      </w:r>
    </w:p>
    <w:p>
      <w:pPr>
        <w:pStyle w:val="Compact"/>
        <w:numPr>
          <w:ilvl w:val="0"/>
          <w:numId w:val="1024"/>
        </w:numPr>
      </w:pPr>
      <w:r>
        <w:rPr>
          <w:b/>
          <w:bCs/>
        </w:rPr>
        <w:t xml:space="preserve">Pilotage-sannsynlighet betinget på loskrav</w:t>
      </w:r>
      <w:r>
        <w:t xml:space="preserve"> </w:t>
      </w:r>
      <w:r>
        <w:t xml:space="preserve">(§ 9.5.2) — i dag er</w:t>
      </w:r>
      <w:r>
        <w:t xml:space="preserve"> </w:t>
      </w:r>
      <w:r>
        <w:rPr>
          <w:rStyle w:val="VerbatimChar"/>
        </w:rPr>
        <w:t xml:space="preserve">Arrival Pilot Fees</w:t>
      </w:r>
      <w:r>
        <w:t xml:space="preserve">-sannsynlighetene en flat historisk frekvens på tvers av størrelser. Konstruere en sannsynlighet betinget på</w:t>
      </w:r>
      <w:r>
        <w:t xml:space="preserve"> </w:t>
      </w:r>
      <w:r>
        <w:rPr>
          <w:rStyle w:val="VerbatimChar"/>
        </w:rPr>
        <w:t xml:space="preserve">loskrav</w:t>
      </w:r>
      <w:r>
        <w:t xml:space="preserve"> </w:t>
      </w:r>
      <w:r>
        <w:t xml:space="preserve">(eller direkte på LOA-bin) slik at LOA &gt; 70 m får P(pilot) = 1 i</w:t>
      </w:r>
      <w:r>
        <w:t xml:space="preserve"> </w:t>
      </w:r>
      <w:r>
        <w:rPr>
          <w:rStyle w:val="VerbatimChar"/>
        </w:rPr>
        <w:t xml:space="preserve">PORT_TEMPLATES</w:t>
      </w:r>
      <w:r>
        <w:t xml:space="preserve">, og override</w:t>
      </w:r>
      <w:r>
        <w:softHyphen/>
      </w:r>
      <w:r>
        <w:t xml:space="preserve">n på frontend kan gjøres valgfri i stedet for obligatorisk.</w:t>
      </w:r>
    </w:p>
    <w:p>
      <w:pPr>
        <w:pStyle w:val="Compact"/>
        <w:numPr>
          <w:ilvl w:val="0"/>
          <w:numId w:val="1024"/>
        </w:numPr>
      </w:pPr>
      <w:r>
        <w:rPr>
          <w:b/>
          <w:bCs/>
        </w:rPr>
        <w:t xml:space="preserve">Operasjonell validering</w:t>
      </w:r>
      <w:r>
        <w:t xml:space="preserve"> </w:t>
      </w:r>
      <w:r>
        <w:t xml:space="preserve">— la koordinatorene bruke verktøyet over 3 måneder, logge faktura mot estimat per anløp, og rapportere drift per havn × størrelse for å avdekke skifter ikke fanget i 2020–2025-treningen. Dette er også et eksplisitt behov etter peer review.</w:t>
      </w:r>
    </w:p>
    <w:p>
      <w:pPr>
        <w:pStyle w:val="Compact"/>
        <w:numPr>
          <w:ilvl w:val="0"/>
          <w:numId w:val="1024"/>
        </w:numPr>
      </w:pPr>
      <w:r>
        <w:rPr>
          <w:b/>
          <w:bCs/>
        </w:rPr>
        <w:t xml:space="preserve">Test-set-evaluering på rullerende basis</w:t>
      </w:r>
      <w:r>
        <w:t xml:space="preserve"> </w:t>
      </w:r>
      <w:r>
        <w:t xml:space="preserve">— gjenta evaluerings</w:t>
      </w:r>
      <w:r>
        <w:softHyphen/>
      </w:r>
      <w:r>
        <w:t xml:space="preserve">kjøringen i</w:t>
      </w:r>
      <w:r>
        <w:t xml:space="preserve"> </w:t>
      </w:r>
      <w:r>
        <w:rPr>
          <w:rStyle w:val="VerbatimChar"/>
        </w:rPr>
        <w:t xml:space="preserve">eval_test_2025.py</w:t>
      </w:r>
      <w:r>
        <w:t xml:space="preserve"> </w:t>
      </w:r>
      <w:r>
        <w:t xml:space="preserve">mot 2026-data når dette tids</w:t>
      </w:r>
      <w:r>
        <w:softHyphen/>
      </w:r>
      <w:r>
        <w:t xml:space="preserve">vinduet blir tilgjengelig, slik at produksjons</w:t>
      </w:r>
      <w:r>
        <w:softHyphen/>
      </w:r>
      <w:r>
        <w:t xml:space="preserve">modellen (</w:t>
      </w:r>
      <w:r>
        <w:rPr>
          <w:rStyle w:val="VerbatimChar"/>
        </w:rPr>
        <w:t xml:space="preserve">model_meta_final.joblib</w:t>
      </w:r>
      <w:r>
        <w:t xml:space="preserve">) får et uavhengig holdout. Den nåværende prefit-baserte test-set-evalueringen (§ 8.1.1,</w:t>
      </w:r>
      <w:r>
        <w:t xml:space="preserve"> </w:t>
      </w:r>
      <w:r>
        <w:rPr>
          <w:rStyle w:val="VerbatimChar"/>
        </w:rPr>
        <w:t xml:space="preserve">metrics_test_2025.csv</w:t>
      </w:r>
      <w:r>
        <w:t xml:space="preserve">) gir et anslag for model</w:t>
      </w:r>
      <w:r>
        <w:softHyphen/>
      </w:r>
      <w:r>
        <w:t xml:space="preserve">klassens generaliserings</w:t>
      </w:r>
      <w:r>
        <w:softHyphen/>
      </w:r>
      <w:r>
        <w:t xml:space="preserve">evne, men selve den deployede modellen mangler et uavhengig holdout.</w:t>
      </w:r>
    </w:p>
    <w:p>
      <w:pPr>
        <w:pStyle w:val="Compact"/>
        <w:numPr>
          <w:ilvl w:val="0"/>
          <w:numId w:val="1024"/>
        </w:numPr>
      </w:pPr>
      <w:r>
        <w:rPr>
          <w:b/>
          <w:bCs/>
        </w:rPr>
        <w:t xml:space="preserve">Diebold-Mariano-test mellom modeller</w:t>
      </w:r>
      <w:r>
        <w:t xml:space="preserve"> </w:t>
      </w:r>
      <w:r>
        <w:t xml:space="preserve">— komplettere bootstrap</w:t>
      </w:r>
      <w:r>
        <w:softHyphen/>
      </w:r>
      <w:r>
        <w:t xml:space="preserve">konfidensintervallene i § 8.1 med en formell DM-test for tids</w:t>
      </w:r>
      <w:r>
        <w:softHyphen/>
      </w:r>
      <w:r>
        <w:t xml:space="preserve">korrelerte feil. Relevant fordi residualene i tids</w:t>
      </w:r>
      <w:r>
        <w:softHyphen/>
      </w:r>
      <w:r>
        <w:t xml:space="preserve">basert split kan ha auto</w:t>
      </w:r>
      <w:r>
        <w:softHyphen/>
      </w:r>
      <w:r>
        <w:t xml:space="preserve">korrelasjon som bootstrap ikke fanger.</w:t>
      </w:r>
    </w:p>
    <w:p>
      <w:pPr>
        <w:pStyle w:val="Compact"/>
        <w:numPr>
          <w:ilvl w:val="0"/>
          <w:numId w:val="1024"/>
        </w:numPr>
      </w:pPr>
      <w:r>
        <w:rPr>
          <w:b/>
          <w:bCs/>
        </w:rPr>
        <w:t xml:space="preserve">Sensitivitetsanalyse på vekslingskurs</w:t>
      </w:r>
      <w:r>
        <w:t xml:space="preserve"> </w:t>
      </w:r>
      <w:r>
        <w:t xml:space="preserve">— kvantifisere hvor mye NOK-rapporterte tall endres ved ±5 % EUR/NOK-bevegelse, og rapportere dette som en tilleggs</w:t>
      </w:r>
      <w:r>
        <w:softHyphen/>
      </w:r>
      <w:r>
        <w:t xml:space="preserve">usikkerhet utover modellfeilen.</w:t>
      </w:r>
    </w:p>
    <w:p>
      <w:r>
        <w:pict>
          <v:rect style="width:0;height:1.5pt" o:hralign="center" o:hrstd="t" o:hr="t"/>
        </w:pict>
      </w:r>
    </w:p>
    <w:bookmarkEnd w:id="103"/>
    <w:bookmarkStart w:id="104" w:name="bibliografi"/>
    <w:p>
      <w:pPr>
        <w:pStyle w:val="Heading2"/>
      </w:pPr>
      <w:r>
        <w:rPr>
          <w:rStyle w:val="SectionNumber"/>
        </w:rPr>
        <w:t xml:space="preserve">12</w:t>
      </w:r>
      <w:r>
        <w:tab/>
      </w:r>
      <w:r>
        <w:t xml:space="preserve">11. Bibliografi</w:t>
      </w:r>
    </w:p>
    <w:p>
      <w:pPr>
        <w:pStyle w:val="FirstParagraph"/>
      </w:pPr>
      <w:r>
        <w:t xml:space="preserve">Çerçi, K. N., Saydam, M. B., &amp; Ozsandikcioglu, U. (2024). Fuel consumption cost prediction model for ro-ro carriers: A machine learning-based application.</w:t>
      </w:r>
      <w:r>
        <w:t xml:space="preserve"> </w:t>
      </w:r>
      <w:r>
        <w:rPr>
          <w:i/>
          <w:iCs/>
        </w:rPr>
        <w:t xml:space="preserve">Maritime Policy &amp; Management</w:t>
      </w:r>
      <w:r>
        <w:t xml:space="preserve">,</w:t>
      </w:r>
      <w:r>
        <w:t xml:space="preserve"> </w:t>
      </w:r>
      <w:r>
        <w:rPr>
          <w:i/>
          <w:iCs/>
        </w:rPr>
        <w:t xml:space="preserve">51</w:t>
      </w:r>
      <w:r>
        <w:t xml:space="preserve">(8), 1–18. https://doi.org/10.1080/03088839.2024.2303120</w:t>
      </w:r>
    </w:p>
    <w:p>
      <w:pPr>
        <w:pStyle w:val="BodyText"/>
      </w:pPr>
      <w:r>
        <w:t xml:space="preserve">Friedman, J. H. (2001). Greedy function approximation: A gradient boosting machine.</w:t>
      </w:r>
      <w:r>
        <w:t xml:space="preserve"> </w:t>
      </w:r>
      <w:r>
        <w:rPr>
          <w:i/>
          <w:iCs/>
        </w:rPr>
        <w:t xml:space="preserve">The Annals of Statistics</w:t>
      </w:r>
      <w:r>
        <w:t xml:space="preserve">,</w:t>
      </w:r>
      <w:r>
        <w:t xml:space="preserve"> </w:t>
      </w:r>
      <w:r>
        <w:rPr>
          <w:i/>
          <w:iCs/>
        </w:rPr>
        <w:t xml:space="preserve">29</w:t>
      </w:r>
      <w:r>
        <w:t xml:space="preserve">(5), 1189–1232. https://doi.org/10.1214/aos/1013203451</w:t>
      </w:r>
    </w:p>
    <w:p>
      <w:pPr>
        <w:pStyle w:val="BodyText"/>
      </w:pPr>
      <w:r>
        <w:t xml:space="preserve">Garrido Albarracín, G., Sánchez-Pérez, J. M., &amp; Vega-Rodríguez, M. A. (2024). Leveraging machine learning and optimization models for enhanced seaport efficiency.</w:t>
      </w:r>
      <w:r>
        <w:t xml:space="preserve"> </w:t>
      </w:r>
      <w:r>
        <w:rPr>
          <w:i/>
          <w:iCs/>
        </w:rPr>
        <w:t xml:space="preserve">Maritime Economics &amp; Logistics</w:t>
      </w:r>
      <w:r>
        <w:t xml:space="preserve">,</w:t>
      </w:r>
      <w:r>
        <w:t xml:space="preserve"> </w:t>
      </w:r>
      <w:r>
        <w:rPr>
          <w:i/>
          <w:iCs/>
        </w:rPr>
        <w:t xml:space="preserve">26</w:t>
      </w:r>
      <w:r>
        <w:t xml:space="preserve">, 757–785. https://doi.org/10.1057/s41278-024-00309-w</w:t>
      </w:r>
    </w:p>
    <w:p>
      <w:pPr>
        <w:pStyle w:val="BodyText"/>
      </w:pPr>
      <w:r>
        <w:t xml:space="preserve">Grinsztajn, L., Oyallon, E., &amp; Varoquaux, G. (2022). Why do tree-based models still outperform deep learning on typical tabular data?</w:t>
      </w:r>
      <w:r>
        <w:t xml:space="preserve"> </w:t>
      </w:r>
      <w:r>
        <w:rPr>
          <w:i/>
          <w:iCs/>
        </w:rPr>
        <w:t xml:space="preserve">Advances in Neural Information Processing Systems, 35</w:t>
      </w:r>
      <w:r>
        <w:t xml:space="preserve">, 507–520.</w:t>
      </w:r>
    </w:p>
    <w:p>
      <w:pPr>
        <w:pStyle w:val="BodyText"/>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 https://doi.org/10.1007/978-0-387-84858-7</w:t>
      </w:r>
    </w:p>
    <w:p>
      <w:pPr>
        <w:pStyle w:val="BodyText"/>
      </w:pPr>
      <w:r>
        <w:t xml:space="preserve">Jang, H.-S., Chang, T.-W., &amp; Kim, S.-H. (2023). Prediction of shipping cost on freight brokerage platform using machine learning.</w:t>
      </w:r>
      <w:r>
        <w:t xml:space="preserve"> </w:t>
      </w:r>
      <w:r>
        <w:rPr>
          <w:i/>
          <w:iCs/>
        </w:rPr>
        <w:t xml:space="preserve">Sustainability</w:t>
      </w:r>
      <w:r>
        <w:t xml:space="preserve">,</w:t>
      </w:r>
      <w:r>
        <w:t xml:space="preserve"> </w:t>
      </w:r>
      <w:r>
        <w:rPr>
          <w:i/>
          <w:iCs/>
        </w:rPr>
        <w:t xml:space="preserve">15</w:t>
      </w:r>
      <w:r>
        <w:t xml:space="preserve">(2), 1122. https://doi.org/10.3390/su15021122</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w:t>
      </w:r>
      <w:r>
        <w:t xml:space="preserve">, 3146–3154.</w:t>
      </w:r>
    </w:p>
    <w:p>
      <w:pPr>
        <w:pStyle w:val="BodyText"/>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p>
      <w:pPr>
        <w:pStyle w:val="BodyText"/>
      </w:pPr>
      <w:r>
        <w:t xml:space="preserve">Lundberg, S. M., Erion, G., Chen, H., DeGrave, A., Prutkin, J. M., Nair, B., Katz, R., Himmelfarb, J., Bansal, N., &amp; Lee, S.-I. (2020). From local explanations to global understanding with explainable AI for trees.</w:t>
      </w:r>
      <w:r>
        <w:t xml:space="preserve"> </w:t>
      </w:r>
      <w:r>
        <w:rPr>
          <w:i/>
          <w:iCs/>
        </w:rPr>
        <w:t xml:space="preserve">Nature Machine Intelligence</w:t>
      </w:r>
      <w:r>
        <w:t xml:space="preserve">,</w:t>
      </w:r>
      <w:r>
        <w:t xml:space="preserve"> </w:t>
      </w:r>
      <w:r>
        <w:rPr>
          <w:i/>
          <w:iCs/>
        </w:rPr>
        <w:t xml:space="preserve">2</w:t>
      </w:r>
      <w:r>
        <w:t xml:space="preserve">(1), 56–67. https://doi.org/10.1038/s42256-019-0138-9</w:t>
      </w:r>
    </w:p>
    <w:p>
      <w:pPr>
        <w:pStyle w:val="BodyText"/>
      </w:pPr>
      <w:r>
        <w:t xml:space="preserve">Pettersen, B.-I., &amp; Rekdal, P. K. (2026).</w:t>
      </w:r>
      <w:r>
        <w:t xml:space="preserve"> </w:t>
      </w:r>
      <w:r>
        <w:rPr>
          <w:i/>
          <w:iCs/>
        </w:rPr>
        <w:t xml:space="preserve">Kvantitative metoder i logistikk — implementert via KI</w:t>
      </w:r>
      <w:r>
        <w:t xml:space="preserve"> </w:t>
      </w:r>
      <w:r>
        <w:t xml:space="preserve">[Kompendium]. LOG650 Forskningsprosjekt: Logistikk og kunstig intelligens, Høgskolen i Molde.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w:t>
      </w:r>
      <w:r>
        <w:t xml:space="preserve">, 6638–6648.</w:t>
      </w:r>
    </w:p>
    <w:p>
      <w:pPr>
        <w:pStyle w:val="BodyText"/>
      </w:pPr>
      <w:r>
        <w:t xml:space="preserve">Romano, Y., Patterson, E., &amp; Candès, E. (2019). Conformalized quantile regression.</w:t>
      </w:r>
      <w:r>
        <w:t xml:space="preserve"> </w:t>
      </w:r>
      <w:r>
        <w:rPr>
          <w:i/>
          <w:iCs/>
        </w:rPr>
        <w:t xml:space="preserve">Advances in Neural Information Processing Systems, 32</w:t>
      </w:r>
      <w:r>
        <w:t xml:space="preserve">, 3543–3553.</w:t>
      </w:r>
    </w:p>
    <w:p>
      <w:pPr>
        <w:pStyle w:val="BodyText"/>
      </w:pPr>
      <w:r>
        <w:t xml:space="preserve">Shwartz-Ziv, R., &amp; Armon, A. (2022). Tabular data: Deep learning is not all you need.</w:t>
      </w:r>
      <w:r>
        <w:t xml:space="preserve"> </w:t>
      </w:r>
      <w:r>
        <w:rPr>
          <w:i/>
          <w:iCs/>
        </w:rPr>
        <w:t xml:space="preserve">Information Fusion</w:t>
      </w:r>
      <w:r>
        <w:t xml:space="preserve">,</w:t>
      </w:r>
      <w:r>
        <w:t xml:space="preserve"> </w:t>
      </w:r>
      <w:r>
        <w:rPr>
          <w:i/>
          <w:iCs/>
        </w:rPr>
        <w:t xml:space="preserve">81</w:t>
      </w:r>
      <w:r>
        <w:t xml:space="preserve">, 84–90. https://doi.org/10.1016/j.inffus.2021.11.011</w:t>
      </w:r>
    </w:p>
    <w:p>
      <w:pPr>
        <w:pStyle w:val="BodyText"/>
      </w:pPr>
      <w:r>
        <w:t xml:space="preserve">Vovk, V., Gammerman, A., &amp; Shafer, G. (2005).</w:t>
      </w:r>
      <w:r>
        <w:t xml:space="preserve"> </w:t>
      </w:r>
      <w:r>
        <w:rPr>
          <w:i/>
          <w:iCs/>
        </w:rPr>
        <w:t xml:space="preserve">Algorithmic learning in a random world</w:t>
      </w:r>
      <w:r>
        <w:t xml:space="preserve">. Springer. https://doi.org/10.1007/b106715</w:t>
      </w:r>
    </w:p>
    <w:p>
      <w:r>
        <w:pict>
          <v:rect style="width:0;height:1.5pt" o:hralign="center" o:hrstd="t" o:hr="t"/>
        </w:pict>
      </w:r>
    </w:p>
    <w:bookmarkEnd w:id="104"/>
    <w:bookmarkStart w:id="106" w:name="vedlegg"/>
    <w:p>
      <w:pPr>
        <w:pStyle w:val="Heading2"/>
      </w:pPr>
      <w:r>
        <w:rPr>
          <w:rStyle w:val="SectionNumber"/>
        </w:rPr>
        <w:t xml:space="preserve">13</w:t>
      </w:r>
      <w:r>
        <w:tab/>
      </w:r>
      <w:r>
        <w:t xml:space="preserve">Vedlegg</w:t>
      </w:r>
    </w:p>
    <w:p>
      <w:pPr>
        <w:pStyle w:val="Compact"/>
        <w:numPr>
          <w:ilvl w:val="0"/>
          <w:numId w:val="1025"/>
        </w:numPr>
      </w:pPr>
      <w:r>
        <w:rPr>
          <w:b/>
          <w:bCs/>
        </w:rPr>
        <w:t xml:space="preserve">A.</w:t>
      </w:r>
      <w:r>
        <w:t xml:space="preserve"> </w:t>
      </w:r>
      <w:r>
        <w:t xml:space="preserve">Featureliste og dtype-tabell — se</w:t>
      </w:r>
      <w:r>
        <w:t xml:space="preserve"> </w:t>
      </w:r>
      <w:r>
        <w:rPr>
          <w:rStyle w:val="VerbatimChar"/>
        </w:rPr>
        <w:t xml:space="preserve">modeling_nauticost.ipynb</w:t>
      </w:r>
      <w:r>
        <w:t xml:space="preserve">, seksjon 2 (26 features: 6 kategoriske + 20 numeriske).</w:t>
      </w:r>
    </w:p>
    <w:p>
      <w:pPr>
        <w:pStyle w:val="Compact"/>
        <w:numPr>
          <w:ilvl w:val="0"/>
          <w:numId w:val="1025"/>
        </w:numPr>
      </w:pPr>
      <w:r>
        <w:rPr>
          <w:b/>
          <w:bCs/>
        </w:rPr>
        <w:t xml:space="preserve">B.</w:t>
      </w:r>
      <w:r>
        <w:t xml:space="preserve"> </w:t>
      </w:r>
      <w:r>
        <w:t xml:space="preserve">Hyperparametre fra Optuna-studie — se</w:t>
      </w:r>
      <w:r>
        <w:t xml:space="preserve"> </w:t>
      </w:r>
      <w:r>
        <w:rPr>
          <w:rStyle w:val="VerbatimChar"/>
        </w:rPr>
        <w:t xml:space="preserve">013 fase 3 - review/artifacts/model_meta_final.joblib</w:t>
      </w:r>
      <w:r>
        <w:t xml:space="preserve"> </w:t>
      </w:r>
      <w:r>
        <w:t xml:space="preserve">og</w:t>
      </w:r>
      <w:r>
        <w:t xml:space="preserve"> </w:t>
      </w:r>
      <w:r>
        <w:rPr>
          <w:rStyle w:val="VerbatimChar"/>
        </w:rPr>
        <w:t xml:space="preserve">modeling_nauticost.ipynb</w:t>
      </w:r>
      <w:r>
        <w:t xml:space="preserve">, seksjon 9.</w:t>
      </w:r>
    </w:p>
    <w:p>
      <w:pPr>
        <w:pStyle w:val="Compact"/>
        <w:numPr>
          <w:ilvl w:val="0"/>
          <w:numId w:val="1025"/>
        </w:numPr>
      </w:pPr>
      <w:r>
        <w:rPr>
          <w:b/>
          <w:bCs/>
        </w:rPr>
        <w:t xml:space="preserve">C.</w:t>
      </w:r>
      <w:r>
        <w:t xml:space="preserve"> </w:t>
      </w:r>
      <w:r>
        <w:t xml:space="preserve">API-spesifikasjon (OpenAPI fra FastAPI) — se</w:t>
      </w:r>
      <w:r>
        <w:t xml:space="preserve"> </w:t>
      </w:r>
      <w:r>
        <w:rPr>
          <w:rStyle w:val="VerbatimChar"/>
        </w:rPr>
        <w:t xml:space="preserve">013 fase 3 - review/backend/</w:t>
      </w:r>
      <w:r>
        <w:t xml:space="preserve"> </w:t>
      </w:r>
      <w:r>
        <w:t xml:space="preserve">for endepunkt-definisjon (</w:t>
      </w:r>
      <w:r>
        <w:rPr>
          <w:rStyle w:val="VerbatimChar"/>
        </w:rPr>
        <w:t xml:space="preserve">POST /api/predict</w:t>
      </w:r>
      <w:r>
        <w:t xml:space="preserve">).</w:t>
      </w:r>
    </w:p>
    <w:p>
      <w:pPr>
        <w:pStyle w:val="Compact"/>
        <w:numPr>
          <w:ilvl w:val="0"/>
          <w:numId w:val="1025"/>
        </w:numPr>
      </w:pPr>
      <w:r>
        <w:rPr>
          <w:b/>
          <w:bCs/>
        </w:rPr>
        <w:t xml:space="preserve">D.</w:t>
      </w:r>
      <w:r>
        <w:t xml:space="preserve"> </w:t>
      </w:r>
      <w:r>
        <w:t xml:space="preserve">Skjermbilder fra Next.js-frontend — se</w:t>
      </w:r>
      <w:r>
        <w:t xml:space="preserve"> </w:t>
      </w:r>
      <w:r>
        <w:rPr>
          <w:rStyle w:val="VerbatimChar"/>
        </w:rPr>
        <w:t xml:space="preserve">013 fase 3 - review/frontend/</w:t>
      </w:r>
      <w:r>
        <w:t xml:space="preserve"> </w:t>
      </w:r>
      <w:r>
        <w:t xml:space="preserve">for kildekoden til dashbordet.</w:t>
      </w:r>
    </w:p>
    <w:p>
      <w:pPr>
        <w:pStyle w:val="Compact"/>
        <w:numPr>
          <w:ilvl w:val="0"/>
          <w:numId w:val="1025"/>
        </w:numPr>
      </w:pPr>
      <w:r>
        <w:rPr>
          <w:b/>
          <w:bCs/>
        </w:rPr>
        <w:t xml:space="preserve">E.</w:t>
      </w:r>
      <w:r>
        <w:t xml:space="preserve"> </w:t>
      </w:r>
      <w:r>
        <w:t xml:space="preserve">Foreslått rubrikk for</w:t>
      </w:r>
      <w:r>
        <w:t xml:space="preserve"> </w:t>
      </w:r>
      <w:r>
        <w:rPr>
          <w:rStyle w:val="VerbatimChar"/>
        </w:rPr>
        <w:t xml:space="preserve">guest_experience</w:t>
      </w:r>
      <w:r>
        <w:t xml:space="preserve"> </w:t>
      </w:r>
      <w:r>
        <w:t xml:space="preserve">— se egen seksjon nedenfor.</w:t>
      </w:r>
    </w:p>
    <w:p>
      <w:pPr>
        <w:pStyle w:val="Compact"/>
        <w:numPr>
          <w:ilvl w:val="0"/>
          <w:numId w:val="1025"/>
        </w:numPr>
      </w:pPr>
      <w:r>
        <w:rPr>
          <w:b/>
          <w:bCs/>
        </w:rPr>
        <w:t xml:space="preserve">F.</w:t>
      </w:r>
      <w:r>
        <w:t xml:space="preserve"> </w:t>
      </w:r>
      <w:r>
        <w:t xml:space="preserve">Test-set-evalueringsskript —</w:t>
      </w:r>
      <w:r>
        <w:t xml:space="preserve"> </w:t>
      </w:r>
      <w:r>
        <w:rPr>
          <w:rStyle w:val="VerbatimChar"/>
        </w:rPr>
        <w:t xml:space="preserve">013 fase 3 - review/eval_test_2025.py</w:t>
      </w:r>
      <w:r>
        <w:t xml:space="preserve"> </w:t>
      </w:r>
      <w:r>
        <w:t xml:space="preserve">reproduserer tallene i tabell 8.2; resultatene er lagret i</w:t>
      </w:r>
      <w:r>
        <w:t xml:space="preserve"> </w:t>
      </w:r>
      <w:r>
        <w:rPr>
          <w:rStyle w:val="VerbatimChar"/>
        </w:rPr>
        <w:t xml:space="preserve">013 fase 3 - review/artifacts/metrics_test_2025.csv</w:t>
      </w:r>
      <w:r>
        <w:t xml:space="preserve">.</w:t>
      </w:r>
    </w:p>
    <w:bookmarkStart w:id="105" w:name="Xe1f01a8cc6b3208ae7fb51104f9d9c075e3eeb5"/>
    <w:p>
      <w:pPr>
        <w:pStyle w:val="Heading3"/>
      </w:pPr>
      <w:r>
        <w:rPr>
          <w:rStyle w:val="SectionNumber"/>
        </w:rPr>
        <w:t xml:space="preserve">13.1</w:t>
      </w:r>
      <w:r>
        <w:tab/>
      </w:r>
      <w:r>
        <w:t xml:space="preserve">Vedlegg E. Foreslått rubrikk for</w:t>
      </w:r>
      <w:r>
        <w:t xml:space="preserve"> </w:t>
      </w:r>
      <w:r>
        <w:rPr>
          <w:rStyle w:val="VerbatimChar"/>
        </w:rPr>
        <w:t xml:space="preserve">guest_experience</w:t>
      </w:r>
    </w:p>
    <w:p>
      <w:pPr>
        <w:pStyle w:val="FirstParagraph"/>
      </w:pPr>
      <w:r>
        <w:rPr>
          <w:rStyle w:val="VerbatimChar"/>
        </w:rPr>
        <w:t xml:space="preserve">guest_experience</w:t>
      </w:r>
      <w:r>
        <w:t xml:space="preserve"> </w:t>
      </w:r>
      <w:r>
        <w:t xml:space="preserve">mangler i kildedataene (jf. § 9.5.4) og kan ikke simuleres. For at fremtidige labels skal være konsistente på tvers av koordinatorer foreslår vi en operasjonell rubrikk basert på pre-arrival-informasjon — fem dimensjoner som agent</w:t>
      </w:r>
      <w:r>
        <w:softHyphen/>
      </w:r>
      <w:r>
        <w:t xml:space="preserve">koordinator (eller yachtens purser) kan svare på ved booking: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Dimensjon</w:t>
            </w:r>
          </w:p>
        </w:tc>
        <w:tc>
          <w:tcPr/>
          <w:p>
            <w:pPr>
              <w:pStyle w:val="Compact"/>
            </w:pPr>
            <w:r>
              <w:t xml:space="preserve">Skår 0</w:t>
            </w:r>
          </w:p>
        </w:tc>
        <w:tc>
          <w:tcPr/>
          <w:p>
            <w:pPr>
              <w:pStyle w:val="Compact"/>
            </w:pPr>
            <w:r>
              <w:t xml:space="preserve">Skår 1</w:t>
            </w:r>
          </w:p>
        </w:tc>
        <w:tc>
          <w:tcPr/>
          <w:p>
            <w:pPr>
              <w:pStyle w:val="Compact"/>
            </w:pPr>
            <w:r>
              <w:t xml:space="preserve">Skår 2</w:t>
            </w:r>
          </w:p>
        </w:tc>
      </w:tr>
      <w:tr>
        <w:tc>
          <w:tcPr/>
          <w:p>
            <w:pPr>
              <w:pStyle w:val="Compact"/>
            </w:pPr>
            <w:r>
              <w:t xml:space="preserve">Antall gjester ombord</w:t>
            </w:r>
          </w:p>
        </w:tc>
        <w:tc>
          <w:tcPr/>
          <w:p>
            <w:pPr>
              <w:pStyle w:val="Compact"/>
            </w:pPr>
            <w:r>
              <w:t xml:space="preserve">&lt; 4</w:t>
            </w:r>
          </w:p>
        </w:tc>
        <w:tc>
          <w:tcPr/>
          <w:p>
            <w:pPr>
              <w:pStyle w:val="Compact"/>
            </w:pPr>
            <w:r>
              <w:t xml:space="preserve">4–8</w:t>
            </w:r>
          </w:p>
        </w:tc>
        <w:tc>
          <w:tcPr/>
          <w:p>
            <w:pPr>
              <w:pStyle w:val="Compact"/>
            </w:pPr>
            <w:r>
              <w:t xml:space="preserve">&gt; 8</w:t>
            </w:r>
          </w:p>
        </w:tc>
      </w:tr>
      <w:tr>
        <w:tc>
          <w:tcPr/>
          <w:p>
            <w:pPr>
              <w:pStyle w:val="Compact"/>
            </w:pPr>
            <w:r>
              <w:t xml:space="preserve">Antall planlagte hosted events under turen (galaer, hosted middager, mottakelser)</w:t>
            </w:r>
          </w:p>
        </w:tc>
        <w:tc>
          <w:tcPr/>
          <w:p>
            <w:pPr>
              <w:pStyle w:val="Compact"/>
            </w:pPr>
            <w:r>
              <w:t xml:space="preserve">0</w:t>
            </w:r>
          </w:p>
        </w:tc>
        <w:tc>
          <w:tcPr/>
          <w:p>
            <w:pPr>
              <w:pStyle w:val="Compact"/>
            </w:pPr>
            <w:r>
              <w:t xml:space="preserve">1–2</w:t>
            </w:r>
          </w:p>
        </w:tc>
        <w:tc>
          <w:tcPr/>
          <w:p>
            <w:pPr>
              <w:pStyle w:val="Compact"/>
            </w:pPr>
            <w:r>
              <w:t xml:space="preserve">≥ 3</w:t>
            </w:r>
          </w:p>
        </w:tc>
      </w:tr>
      <w:tr>
        <w:tc>
          <w:tcPr/>
          <w:p>
            <w:pPr>
              <w:pStyle w:val="Compact"/>
            </w:pPr>
            <w:r>
              <w:t xml:space="preserve">Provisjons</w:t>
            </w:r>
            <w:r>
              <w:softHyphen/>
            </w:r>
            <w:r>
              <w:t xml:space="preserve">stil</w:t>
            </w:r>
          </w:p>
        </w:tc>
        <w:tc>
          <w:tcPr/>
          <w:p>
            <w:pPr>
              <w:pStyle w:val="Compact"/>
            </w:pPr>
            <w:r>
              <w:t xml:space="preserve">Standard</w:t>
            </w:r>
          </w:p>
        </w:tc>
        <w:tc>
          <w:tcPr/>
          <w:p>
            <w:pPr>
              <w:pStyle w:val="Compact"/>
            </w:pPr>
            <w:r>
              <w:t xml:space="preserve">Premium</w:t>
            </w:r>
          </w:p>
        </w:tc>
        <w:tc>
          <w:tcPr/>
          <w:p>
            <w:pPr>
              <w:pStyle w:val="Compact"/>
            </w:pPr>
            <w:r>
              <w:t xml:space="preserve">Luksus / bespoke</w:t>
            </w:r>
          </w:p>
        </w:tc>
      </w:tr>
      <w:tr>
        <w:tc>
          <w:tcPr/>
          <w:p>
            <w:pPr>
              <w:pStyle w:val="Compact"/>
            </w:pPr>
            <w:r>
              <w:t xml:space="preserve">Antall transfers per uke (lufthavn, by, dagstur)</w:t>
            </w:r>
          </w:p>
        </w:tc>
        <w:tc>
          <w:tcPr/>
          <w:p>
            <w:pPr>
              <w:pStyle w:val="Compact"/>
            </w:pPr>
            <w:r>
              <w:t xml:space="preserve">&lt; 3</w:t>
            </w:r>
          </w:p>
        </w:tc>
        <w:tc>
          <w:tcPr/>
          <w:p>
            <w:pPr>
              <w:pStyle w:val="Compact"/>
            </w:pPr>
            <w:r>
              <w:t xml:space="preserve">3–7</w:t>
            </w:r>
          </w:p>
        </w:tc>
        <w:tc>
          <w:tcPr/>
          <w:p>
            <w:pPr>
              <w:pStyle w:val="Compact"/>
            </w:pPr>
            <w:r>
              <w:t xml:space="preserve">&gt; 7</w:t>
            </w:r>
          </w:p>
        </w:tc>
      </w:tr>
      <w:tr>
        <w:tc>
          <w:tcPr/>
          <w:p>
            <w:pPr>
              <w:pStyle w:val="Compact"/>
            </w:pPr>
            <w:r>
              <w:t xml:space="preserve">Guide- eller excursion</w:t>
            </w:r>
            <w:r>
              <w:softHyphen/>
            </w:r>
            <w:r>
              <w:t xml:space="preserve">frekvens</w:t>
            </w:r>
          </w:p>
        </w:tc>
        <w:tc>
          <w:tcPr/>
          <w:p>
            <w:pPr>
              <w:pStyle w:val="Compact"/>
            </w:pPr>
            <w:r>
              <w:t xml:space="preserve">Sjelden</w:t>
            </w:r>
          </w:p>
        </w:tc>
        <w:tc>
          <w:tcPr/>
          <w:p>
            <w:pPr>
              <w:pStyle w:val="Compact"/>
            </w:pPr>
            <w:r>
              <w:t xml:space="preserve">Av og til</w:t>
            </w:r>
          </w:p>
        </w:tc>
        <w:tc>
          <w:tcPr/>
          <w:p>
            <w:pPr>
              <w:pStyle w:val="Compact"/>
            </w:pPr>
            <w:r>
              <w:t xml:space="preserve">Ofte</w:t>
            </w:r>
          </w:p>
        </w:tc>
      </w:tr>
    </w:tbl>
    <w:p>
      <w:pPr>
        <w:pStyle w:val="BodyText"/>
      </w:pPr>
      <w:r>
        <w:t xml:space="preserve">Sum gir et tall mellom 0 og 10. Bucketing til de tre lovlige API-verdiene:</w:t>
      </w:r>
    </w:p>
    <w:p>
      <w:pPr>
        <w:pStyle w:val="Compact"/>
        <w:numPr>
          <w:ilvl w:val="0"/>
          <w:numId w:val="1026"/>
        </w:numPr>
      </w:pPr>
      <w:r>
        <w:rPr>
          <w:b/>
          <w:bCs/>
        </w:rPr>
        <w:t xml:space="preserve">0–3 →</w:t>
      </w:r>
      <w:r>
        <w:rPr>
          <w:b/>
          <w:bCs/>
        </w:rPr>
        <w:t xml:space="preserve"> </w:t>
      </w:r>
      <w:r>
        <w:rPr>
          <w:rStyle w:val="VerbatimChar"/>
          <w:b/>
          <w:bCs/>
        </w:rPr>
        <w:t xml:space="preserve">not_demanding</w:t>
      </w:r>
    </w:p>
    <w:p>
      <w:pPr>
        <w:pStyle w:val="Compact"/>
        <w:numPr>
          <w:ilvl w:val="0"/>
          <w:numId w:val="1026"/>
        </w:numPr>
      </w:pPr>
      <w:r>
        <w:rPr>
          <w:b/>
          <w:bCs/>
        </w:rPr>
        <w:t xml:space="preserve">4–6 →</w:t>
      </w:r>
      <w:r>
        <w:rPr>
          <w:b/>
          <w:bCs/>
        </w:rPr>
        <w:t xml:space="preserve"> </w:t>
      </w:r>
      <w:r>
        <w:rPr>
          <w:rStyle w:val="VerbatimChar"/>
          <w:b/>
          <w:bCs/>
        </w:rPr>
        <w:t xml:space="preserve">neutral</w:t>
      </w:r>
    </w:p>
    <w:p>
      <w:pPr>
        <w:pStyle w:val="Compact"/>
        <w:numPr>
          <w:ilvl w:val="0"/>
          <w:numId w:val="1026"/>
        </w:numPr>
      </w:pPr>
      <w:r>
        <w:rPr>
          <w:b/>
          <w:bCs/>
        </w:rPr>
        <w:t xml:space="preserve">7–10 →</w:t>
      </w:r>
      <w:r>
        <w:rPr>
          <w:b/>
          <w:bCs/>
        </w:rPr>
        <w:t xml:space="preserve"> </w:t>
      </w:r>
      <w:r>
        <w:rPr>
          <w:rStyle w:val="VerbatimChar"/>
          <w:b/>
          <w:bCs/>
        </w:rPr>
        <w:t xml:space="preserve">demanding</w:t>
      </w:r>
    </w:p>
    <w:p>
      <w:pPr>
        <w:pStyle w:val="FirstParagraph"/>
      </w:pPr>
      <w:r>
        <w:rPr>
          <w:b/>
          <w:bCs/>
        </w:rPr>
        <w:t xml:space="preserve">Viktig:</w:t>
      </w:r>
      <w:r>
        <w:t xml:space="preserve"> </w:t>
      </w:r>
      <w:r>
        <w:t xml:space="preserve">Dette er et</w:t>
      </w:r>
      <w:r>
        <w:t xml:space="preserve"> </w:t>
      </w:r>
      <w:r>
        <w:rPr>
          <w:b/>
          <w:bCs/>
        </w:rPr>
        <w:t xml:space="preserve">forslag til startpunkt</w:t>
      </w:r>
      <w:r>
        <w:t xml:space="preserve">, ikke en validert rubrikk. Den må forfattes og signeres av Yachting Operations selv før den tas i bruk operasjonelt. Dimensjonene og terskelverdiene over er valgt for å være observerbare</w:t>
      </w:r>
      <w:r>
        <w:t xml:space="preserve"> </w:t>
      </w:r>
      <w:r>
        <w:rPr>
          <w:i/>
          <w:iCs/>
        </w:rPr>
        <w:t xml:space="preserve">før</w:t>
      </w:r>
      <w:r>
        <w:t xml:space="preserve"> </w:t>
      </w:r>
      <w:r>
        <w:t xml:space="preserve">anløpet (slik at label kan settes før kostnadene er realisert), og for å være rimelig orto</w:t>
      </w:r>
      <w:r>
        <w:softHyphen/>
      </w:r>
      <w:r>
        <w:t xml:space="preserve">gonale (ingen dimensjon er en triviell funksjon av en annen). Anvendt på 1 626 historiske rader vil rubrikken kunne label</w:t>
      </w:r>
      <w:r>
        <w:softHyphen/>
      </w:r>
      <w:r>
        <w:t xml:space="preserve">e tilbake i tid bare delvis, fordi nodene over ikke er logget — men kombinasjon av faktura</w:t>
      </w:r>
      <w:r>
        <w:softHyphen/>
      </w:r>
      <w:r>
        <w:t xml:space="preserve">notater (</w:t>
      </w:r>
      <w:r>
        <w:rPr>
          <w:rStyle w:val="VerbatimChar"/>
        </w:rPr>
        <w:t xml:space="preserve">invoice_comments</w:t>
      </w:r>
      <w:r>
        <w:t xml:space="preserve">) og koordinatorenes minne kan gi en startsetting for re-trening (jf. § 10 punkt 7).</w:t>
      </w:r>
    </w:p>
    <w:p>
      <w:pPr>
        <w:pStyle w:val="BodyText"/>
      </w:pPr>
      <w:r>
        <w:t xml:space="preserve">Uten en operasjonelt validert rubrikk vil framtidige labels variere mellom koordinatorer og introdusere systematisk støy som modellen vil tolke som tilfeldig variasjon. Rubrikken er derfor et forutsetnings</w:t>
      </w:r>
      <w:r>
        <w:softHyphen/>
      </w:r>
      <w:r>
        <w:t xml:space="preserve">dokument for re-trening, ikke en ettertanke.</w:t>
      </w:r>
    </w:p>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NautiCost — Datadreven kostnadsestimering for yachthavneanløp i Skandinavia</dc:title>
  <dc:creator>Jørgen Renè</dc:creator>
  <cp:keywords/>
  <dcterms:created xsi:type="dcterms:W3CDTF">2026-05-12T22:08:10Z</dcterms:created>
  <dcterms:modified xsi:type="dcterms:W3CDTF">2026-05-12T22:08:10Z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2026-05-12</vt:lpwstr>
  </property>
  <property fmtid="{D5CDD505-2E9C-101B-9397-08002B2CF9AE}" pid="3" name="subtitle">
    <vt:lpwstr>LOG650 Forskningsprosjekt, vår 2026 — Gruppe 11, Jørgen Renè (individuell)</vt:lpwstr>
  </property>
</Properties>
</file>