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pPr>
      <w:r>
        <w:rPr>
          <w:rFonts w:ascii="Times New Roman" w:hAnsi="Times New Roman" w:cs="Times New Roman" w:eastAsia="Times New Roman"/>
          <w:sz w:val="24"/>
        </w:rPr>
        <w:t xml:space="preserve">NautiCost — Datadreven kostnadsestimering for yachthavneanløp i Skandinavia</w:t>
      </w:r>
    </w:p>
    <w:p>
      <w:pPr>
        <w:pStyle w:val="Subtitle"/>
        <w:spacing w:line="360" w:lineRule="auto"/>
      </w:pPr>
      <w:r>
        <w:rPr>
          <w:rFonts w:ascii="Times New Roman" w:hAnsi="Times New Roman" w:cs="Times New Roman" w:eastAsia="Times New Roman"/>
          <w:sz w:val="24"/>
        </w:rPr>
        <w:t xml:space="preserve">LOG650 Forskningsprosjekt, vår 2026 — Gruppe 11, Jørgen Rene (individuell)</w:t>
      </w:r>
    </w:p>
    <w:p>
      <w:pPr>
        <w:pStyle w:val="Author"/>
        <w:spacing w:line="360" w:lineRule="auto"/>
      </w:pPr>
      <w:r>
        <w:rPr>
          <w:rFonts w:ascii="Times New Roman" w:hAnsi="Times New Roman" w:cs="Times New Roman" w:eastAsia="Times New Roman"/>
          <w:sz w:val="24"/>
        </w:rPr>
        <w:t xml:space="preserve">Jørgen Rene</w:t>
      </w:r>
    </w:p>
    <w:p>
      <w:pPr>
        <w:pStyle w:val="Date"/>
        <w:spacing w:line="360" w:lineRule="auto"/>
      </w:pPr>
      <w:r>
        <w:rPr>
          <w:rFonts w:ascii="Times New Roman" w:hAnsi="Times New Roman" w:cs="Times New Roman" w:eastAsia="Times New Roman"/>
          <w:sz w:val="24"/>
        </w:rP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spacing w:line="360" w:lineRule="auto"/>
      </w:pPr>
      <w:r>
        <w:rPr>
          <w:rFonts w:ascii="Times New Roman" w:hAnsi="Times New Roman" w:cs="Times New Roman" w:eastAsia="Times New Roman"/>
          <w:b/>
          <w:bCs/>
          <w:sz w:val="24"/>
        </w:rPr>
        <w:t xml:space="preserve">Versjon 2.0 — 2026-05-25.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Andre utkast (second draft) etter egen gjennomgang av first draft. Endringer fra v1.1: navneretting (Renè → Rene), kapittelnummerering ryddet (Sammendrag uten nummer, ingen dobbel nummerering på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kapitler), beskrivende figurtekster,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“Takk til”</w:t>
      </w:r>
      <w:r>
        <w:rPr>
          <w:rFonts w:ascii="Times New Roman" w:hAnsi="Times New Roman" w:cs="Times New Roman" w:eastAsia="Times New Roman"/>
          <w:sz w:val="24"/>
        </w:rPr>
        <w:t xml:space="preserve">-seksjon lagt til, Word-eksport i Times New Roman 12 pt med 1,5 linjeavstand.</w:t>
      </w:r>
    </w:p>
    <w:p>
      <w:pPr>
        <w:spacing w:line="360" w:lineRule="auto"/>
      </w:pPr>
      <w:r>
        <w:rPr>
          <w:rFonts w:ascii="Times New Roman" w:hAnsi="Times New Roman" w:cs="Times New Roman" w:eastAsia="Times New Roman"/>
          <w:sz w:val="24"/>
        </w:rPr>
        <w:pict>
          <v:rect style="width:0;height:1.5pt" o:hralign="center" o:hrstd="t" o:hr="t"/>
        </w:pict>
      </w:r>
    </w:p>
    <w:bookmarkStart w:id="9" w:name="sammendrag"/>
    <w:p>
      <w:pPr>
        <w:pStyle w:val="Heading2"/>
        <w:spacing w:line="360" w:lineRule="auto"/>
      </w:pPr>
      <w:r>
        <w:rPr>
          <w:rFonts w:ascii="Times New Roman" w:hAnsi="Times New Roman" w:cs="Times New Roman" w:eastAsia="Times New Roman"/>
          <w:sz w:val="24"/>
        </w:rPr>
        <w:t xml:space="preserve">Sammendrag</w:t>
      </w:r>
    </w:p>
    <w:p>
      <w:pPr>
        <w:pStyle w:val="FirstParagraph"/>
        <w:spacing w:line="360" w:lineRule="auto"/>
      </w:pPr>
      <w:r>
        <w:rPr>
          <w:rFonts w:ascii="Times New Roman" w:hAnsi="Times New Roman" w:cs="Times New Roman" w:eastAsia="Times New Roman"/>
          <w:sz w:val="24"/>
        </w:rPr>
        <w:t xml:space="preserve">NautiCost er et beslutningsstøtteverktøy som estimerer totalkostnaden for et superyachthavneanløp i Norge, Sverige eller Danmark før yachten ankommer. Verktøyet baserer seg på 1 647 historiske tjenestetransaksjoner (2020–2025) fra Yachting Operations, koblet mot 17 yachters spesifikasjoner. Metodevalget 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(Pettersen &amp; Rekdal, 2026, tabell 1.1): gradient boosting + kryssvalidering + SHAP +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17 350 EUR, wMAPE = 71,4 %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20 % bedre enn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På det uavhengige testsettet (2025, n = 649) oppnår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19 051 EUR, wMAPE = 74,3 %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 10 % degradering val→test, forventet etter seleksjon. Modellen er pakket som FastAPI + Next.js med svar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under to sekunder.</w:t>
      </w:r>
    </w:p>
    <w:p>
      <w:pPr>
        <w:spacing w:line="360" w:lineRule="auto"/>
      </w:pPr>
      <w:r>
        <w:rPr>
          <w:rFonts w:ascii="Times New Roman" w:hAnsi="Times New Roman" w:cs="Times New Roman" w:eastAsia="Times New Roman"/>
          <w:sz w:val="24"/>
        </w:rPr>
        <w:pict>
          <v:rect style="width:0;height:1.5pt" o:hralign="center" o:hrstd="t" o:hr="t"/>
        </w:pict>
      </w:r>
    </w:p>
    <w:bookmarkEnd w:id="9"/>
    <w:bookmarkStart w:id="10" w:name="takk-til"/>
    <w:p>
      <w:pPr>
        <w:pStyle w:val="Heading2"/>
        <w:spacing w:line="360" w:lineRule="auto"/>
      </w:pPr>
      <w:r>
        <w:rPr>
          <w:rFonts w:ascii="Times New Roman" w:hAnsi="Times New Roman" w:cs="Times New Roman" w:eastAsia="Times New Roman"/>
          <w:sz w:val="24"/>
        </w:rPr>
        <w:t xml:space="preserve">Takk til</w:t>
      </w:r>
    </w:p>
    <w:p>
      <w:pPr>
        <w:pStyle w:val="FirstParagraph"/>
        <w:spacing w:line="360" w:lineRule="auto"/>
      </w:pPr>
      <w:r>
        <w:rPr>
          <w:rFonts w:ascii="Times New Roman" w:hAnsi="Times New Roman" w:cs="Times New Roman" w:eastAsia="Times New Roman"/>
          <w:sz w:val="24"/>
        </w:rPr>
        <w:t xml:space="preserve">Denne rapporten er resultatet av et selvstendig prosjekt som har dratt nytte av flere bidragsytere. Først og fremst takk til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Yachting Operations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å ha stilt 2020–2025-fakturadata og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til disposisjon, og til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agency manager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tok seg tid til brukertesten i mai 2026 — funnene i § 9.5 hadde ikke vært mulige uten denne dialogen. Videre takk til foreleserne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Bjørn-Inge Pettersen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 Kristian Rekdal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kompendiet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Kvantitative metoder i logistikk — implementert via KI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(2026) og for veiledning gjennom semesteret; metodevalget i NautiCost er direkte forankret i deres rammeverk (§ 2.2 og § 5.0). Takk også til medstudent i Gruppe 10 (Julie) for grundig peer-review 2026-05-07, hvis innspill er sporet og lukket i § 9.7.</w:t>
      </w:r>
    </w:p>
    <w:p>
      <w:pPr>
        <w:pStyle w:val="BodyText"/>
        <w:spacing w:line="360" w:lineRule="auto"/>
      </w:pPr>
      <w:r>
        <w:rPr>
          <w:rFonts w:ascii="Times New Roman" w:hAnsi="Times New Roman" w:cs="Times New Roman" w:eastAsia="Times New Roman"/>
          <w:sz w:val="24"/>
        </w:rPr>
        <w:t xml:space="preserve">Til slutt en åpen merknad om AI-bruk: deler av koden, figurene og rapport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teksten er utviklet i samarbeid med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Anthropic Claude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(Claude Code i terminal), i tråd med høgskolens retningslinjer om transparent KI-bruk. Alle resultat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er likevel verifisert mot kildedata og reproduserbare via skriptene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w:t>
      </w:r>
      <w:r>
        <w:rPr>
          <w:rFonts w:ascii="Times New Roman" w:hAnsi="Times New Roman" w:cs="Times New Roman" w:eastAsia="Times New Roman"/>
          <w:sz w:val="24"/>
        </w:rPr>
        <w:t xml:space="preserve">.</w:t>
      </w:r>
    </w:p>
    <w:p>
      <w:pPr>
        <w:spacing w:line="360" w:lineRule="auto"/>
      </w:pPr>
      <w:r>
        <w:rPr>
          <w:rFonts w:ascii="Times New Roman" w:hAnsi="Times New Roman" w:cs="Times New Roman" w:eastAsia="Times New Roman"/>
          <w:sz w:val="24"/>
        </w:rPr>
        <w:pict>
          <v:rect style="width:0;height:1.5pt" o:hralign="center" o:hrstd="t" o:hr="t"/>
        </w:pict>
      </w:r>
    </w:p>
    <w:bookmarkEnd w:id="10"/>
    <w:bookmarkStart w:id="16" w:name="innledning"/>
    <w:p>
      <w:pPr>
        <w:pStyle w:val="Heading2"/>
        <w:spacing w:line="360" w:lineRule="auto"/>
      </w:pPr>
      <w:r>
        <w:rPr>
          <w:rFonts w:ascii="Times New Roman" w:hAnsi="Times New Roman" w:cs="Times New Roman" w:eastAsia="Times New Roman"/>
          <w:sz w:val="24"/>
        </w:rPr>
        <w:t xml:space="preserve">1. Innledning</w:t>
      </w:r>
    </w:p>
    <w:p>
      <w:pPr>
        <w:pStyle w:val="FirstParagraph"/>
        <w:spacing w:line="360" w:lineRule="auto"/>
      </w:pPr>
      <w:r>
        <w:rPr>
          <w:rFonts w:ascii="Times New Roman" w:hAnsi="Times New Roman" w:cs="Times New Roman" w:eastAsia="Times New Roman"/>
          <w:sz w:val="24"/>
        </w:rPr>
        <w:t xml:space="preserve">Internasjonale superyachter genererer betydelige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inntekter for skandinaviske havneagenter, men kostnadsbildet ved et havneanløp er komplekst: ett anløp består typisk av 5–40 separate transaksjoner fordelt på havneavgift, los, hospitality, proviant, agenttjenester og bunkers. I dag estimeres totalkost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naden manuelt av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basert på erfaring og oppslag i tidligere fakturaer, hvilket er tidkrevende og inkonsistent. Resultatet er at yachteiere ofte mottar grove anslag som senere må justeres.</w:t>
      </w:r>
    </w:p>
    <w:p>
      <w:pPr>
        <w:pStyle w:val="BodyText"/>
        <w:spacing w:line="360" w:lineRule="auto"/>
      </w:pPr>
      <w:r>
        <w:rPr>
          <w:rFonts w:ascii="Times New Roman" w:hAnsi="Times New Roman" w:cs="Times New Roman" w:eastAsia="Times New Roman"/>
          <w:sz w:val="24"/>
        </w:rPr>
        <w:t xml:space="preserve">Dette prosjektet utvikler et datadrevet estimerings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verktøy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NautiCost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som tar inn en yachts spesifikasjoner og en tenkt reise (land, måned, oppholdslengde, 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og returnerer en totalpris fordelt på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sammen med et historisk kostnadsspenn (P25–P75) for konteksten anløpet hører til.</w:t>
      </w:r>
    </w:p>
    <w:bookmarkStart w:id="11" w:name="problemstilling"/>
    <w:p>
      <w:pPr>
        <w:pStyle w:val="Heading3"/>
        <w:spacing w:line="360" w:lineRule="auto"/>
      </w:pPr>
      <w:r>
        <w:rPr>
          <w:rFonts w:ascii="Times New Roman" w:hAnsi="Times New Roman" w:cs="Times New Roman" w:eastAsia="Times New Roman"/>
          <w:sz w:val="24"/>
        </w:rPr>
        <w:t xml:space="preserve">1.1 Problemstilling</w:t>
      </w:r>
    </w:p>
    <w:p>
      <w:pPr>
        <w:pStyle w:val="BlockText"/>
        <w:spacing w:line="360" w:lineRule="auto"/>
      </w:pPr>
      <w:r>
        <w:rPr>
          <w:rFonts w:ascii="Times New Roman" w:hAnsi="Times New Roman" w:cs="Times New Roman" w:eastAsia="Times New Roman"/>
          <w:b/>
          <w:bCs/>
          <w:sz w:val="24"/>
        </w:rPr>
        <w:t xml:space="preserve">Hovedspørsmål: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 presist og forklarbart kan total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kostnaden for et superyachthavne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anløp i Skandinavia estimeres ut fra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destinasjon og sesong, basert på historiske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w:t>
      </w:r>
    </w:p>
    <w:bookmarkEnd w:id="11"/>
    <w:bookmarkStart w:id="12" w:name="delproblemer"/>
    <w:p>
      <w:pPr>
        <w:pStyle w:val="Heading3"/>
        <w:spacing w:line="360" w:lineRule="auto"/>
      </w:pPr>
      <w:r>
        <w:rPr>
          <w:rFonts w:ascii="Times New Roman" w:hAnsi="Times New Roman" w:cs="Times New Roman" w:eastAsia="Times New Roman"/>
          <w:sz w:val="24"/>
        </w:rPr>
        <w:t xml:space="preserve">1.2 Delproblemer</w:t>
      </w:r>
    </w:p>
    <w:p>
      <w:pPr>
        <w:pStyle w:val="Compact"/>
        <w:numPr>
          <w:ilvl w:val="0"/>
          <w:numId w:val="1001"/>
        </w:numPr>
        <w:spacing w:line="360" w:lineRule="auto"/>
      </w:pPr>
      <w:r>
        <w:rPr>
          <w:rFonts w:ascii="Times New Roman" w:hAnsi="Times New Roman" w:cs="Times New Roman" w:eastAsia="Times New Roman"/>
          <w:b/>
          <w:bCs/>
          <w:sz w:val="24"/>
        </w:rPr>
        <w:t xml:space="preserve">DP1 — Datagrunnlag.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Hvilke variabler i Yachting Operations sine fakturaer og kjøpsord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har størst forklarings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kraft for kostnaden per transaksjon?</w:t>
      </w:r>
    </w:p>
    <w:p>
      <w:pPr>
        <w:pStyle w:val="Compact"/>
        <w:numPr>
          <w:ilvl w:val="0"/>
          <w:numId w:val="1001"/>
        </w:numPr>
        <w:spacing w:line="360" w:lineRule="auto"/>
      </w:pPr>
      <w:r>
        <w:rPr>
          <w:rFonts w:ascii="Times New Roman" w:hAnsi="Times New Roman" w:cs="Times New Roman" w:eastAsia="Times New Roman"/>
          <w:b/>
          <w:bCs/>
          <w:sz w:val="24"/>
        </w:rPr>
        <w:t xml:space="preserve">DP2 — Modell.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Hvilken læringsmodell gir lavest prognosefeil (MAE/RMSE) på et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testsett, gitt en sterkt høyreskjev kostnadsfordeling?</w:t>
      </w:r>
    </w:p>
    <w:p>
      <w:pPr>
        <w:pStyle w:val="Compact"/>
        <w:numPr>
          <w:ilvl w:val="0"/>
          <w:numId w:val="1001"/>
        </w:numPr>
        <w:spacing w:line="360" w:lineRule="auto"/>
      </w:pPr>
      <w:r>
        <w:rPr>
          <w:rFonts w:ascii="Times New Roman" w:hAnsi="Times New Roman" w:cs="Times New Roman" w:eastAsia="Times New Roman"/>
          <w:b/>
          <w:bCs/>
          <w:sz w:val="24"/>
        </w:rPr>
        <w:t xml:space="preserve">DP3 — Kalibrering.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en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aggregeres til realistiske totalkost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nader per havneanløp, og kalibreres mot historiske persentiler slik at estimatene blir konservative?</w:t>
      </w:r>
    </w:p>
    <w:p>
      <w:pPr>
        <w:pStyle w:val="Compact"/>
        <w:numPr>
          <w:ilvl w:val="0"/>
          <w:numId w:val="1001"/>
        </w:numPr>
        <w:spacing w:line="360" w:lineRule="auto"/>
      </w:pPr>
      <w:r>
        <w:rPr>
          <w:rFonts w:ascii="Times New Roman" w:hAnsi="Times New Roman" w:cs="Times New Roman" w:eastAsia="Times New Roman"/>
          <w:b/>
          <w:bCs/>
          <w:sz w:val="24"/>
        </w:rPr>
        <w:t xml:space="preserve">DP4 — Usikkerhet.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estimatets usikkerhet kommuniseres til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slik at sluttkunden får et realistisk spenn og ikke et villedende punkt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w:t>
      </w:r>
    </w:p>
    <w:p>
      <w:pPr>
        <w:pStyle w:val="Compact"/>
        <w:numPr>
          <w:ilvl w:val="0"/>
          <w:numId w:val="1001"/>
        </w:numPr>
        <w:spacing w:line="360" w:lineRule="auto"/>
      </w:pPr>
      <w:r>
        <w:rPr>
          <w:rFonts w:ascii="Times New Roman" w:hAnsi="Times New Roman" w:cs="Times New Roman" w:eastAsia="Times New Roman"/>
          <w:b/>
          <w:bCs/>
          <w:sz w:val="24"/>
        </w:rPr>
        <w:t xml:space="preserve">DP5 — Operasjonalisering.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modellen pakkes inn i en lett 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gjengelig web-tjeneste som svarer innen to sekunder?</w:t>
      </w:r>
    </w:p>
    <w:bookmarkEnd w:id="12"/>
    <w:bookmarkStart w:id="13" w:name="avgrensninger"/>
    <w:p>
      <w:pPr>
        <w:pStyle w:val="Heading3"/>
        <w:spacing w:line="360" w:lineRule="auto"/>
      </w:pPr>
      <w:r>
        <w:rPr>
          <w:rFonts w:ascii="Times New Roman" w:hAnsi="Times New Roman" w:cs="Times New Roman" w:eastAsia="Times New Roman"/>
          <w:sz w:val="24"/>
        </w:rPr>
        <w:t xml:space="preserve">1.3 Avgrensninger</w:t>
      </w:r>
    </w:p>
    <w:p>
      <w:pPr>
        <w:pStyle w:val="Compact"/>
        <w:numPr>
          <w:ilvl w:val="0"/>
          <w:numId w:val="1002"/>
        </w:numPr>
        <w:spacing w:line="360" w:lineRule="auto"/>
      </w:pPr>
      <w:r>
        <w:rPr>
          <w:rFonts w:ascii="Times New Roman" w:hAnsi="Times New Roman" w:cs="Times New Roman" w:eastAsia="Times New Roman"/>
          <w:b/>
          <w:bCs/>
          <w:sz w:val="24"/>
        </w:rPr>
        <w:t xml:space="preserve">Geografi: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Kun Norge, Sverige og Danmark. 12 havner totalt: Bergen, Tromsø, Svolvær, Ålesund, Kristiansand, Stavanger (NO); Stockholm, Göteborg, Malmö (SE); København, Esbjerg, Fredericia (DK).</w:t>
      </w:r>
    </w:p>
    <w:p>
      <w:pPr>
        <w:pStyle w:val="Compact"/>
        <w:numPr>
          <w:ilvl w:val="0"/>
          <w:numId w:val="1002"/>
        </w:numPr>
        <w:spacing w:line="360" w:lineRule="auto"/>
      </w:pPr>
      <w:r>
        <w:rPr>
          <w:rFonts w:ascii="Times New Roman" w:hAnsi="Times New Roman" w:cs="Times New Roman" w:eastAsia="Times New Roman"/>
          <w:b/>
          <w:bCs/>
          <w:sz w:val="24"/>
        </w:rPr>
        <w:t xml:space="preserve">Periode: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Treningsdata fra perioden 2020–2025. Eldre data er utelatt grunnet endrede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kategorier og prisnivå.</w:t>
      </w:r>
    </w:p>
    <w:p>
      <w:pPr>
        <w:pStyle w:val="Compact"/>
        <w:numPr>
          <w:ilvl w:val="0"/>
          <w:numId w:val="1002"/>
        </w:numPr>
        <w:spacing w:line="360" w:lineRule="auto"/>
      </w:pPr>
      <w:r>
        <w:rPr>
          <w:rFonts w:ascii="Times New Roman" w:hAnsi="Times New Roman" w:cs="Times New Roman" w:eastAsia="Times New Roman"/>
          <w:b/>
          <w:bCs/>
          <w:sz w:val="24"/>
        </w:rPr>
        <w:t xml:space="preserve">Yachtklasse: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på 17 superyachter med GT i intervallet 51,9–2 407 (median 152 GT, LOA 18,9–79,2 m). Ekstrapolering til langt mindre eller langt større fartøy er ikke validert.</w:t>
      </w:r>
    </w:p>
    <w:p>
      <w:pPr>
        <w:pStyle w:val="Compact"/>
        <w:numPr>
          <w:ilvl w:val="0"/>
          <w:numId w:val="1002"/>
        </w:numPr>
        <w:spacing w:line="360" w:lineRule="auto"/>
      </w:pPr>
      <w:r>
        <w:rPr>
          <w:rFonts w:ascii="Times New Roman" w:hAnsi="Times New Roman" w:cs="Times New Roman" w:eastAsia="Times New Roman"/>
          <w:b/>
          <w:bCs/>
          <w:sz w:val="24"/>
        </w:rPr>
        <w:t xml:space="preserve">Valuta: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Kildedata fra Yachting Operations er denominert 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cockpit-rapportene (</w:t>
      </w:r>
      <w:r>
        <w:rPr>
          <w:rStyle w:val="VerbatimChar"/>
          <w:rFonts w:ascii="Times New Roman" w:hAnsi="Times New Roman" w:cs="Times New Roman" w:eastAsia="Times New Roman"/>
          <w:sz w:val="24"/>
        </w:rPr>
        <w:t xml:space="preserve">004 data/cockpit_2020.csv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cockpit_2025.csv</w:t>
      </w:r>
      <w:r>
        <w:rPr>
          <w:rFonts w:ascii="Times New Roman" w:hAnsi="Times New Roman" w:cs="Times New Roman" w:eastAsia="Times New Roman"/>
          <w:sz w:val="24"/>
        </w:rPr>
        <w:t xml:space="preserve">) har eksplisitte EUR-kolonneoverskrifter, og fakturabeløpene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costs_clean.csv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ligger i EUR-størrelses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(typisk 1 000–10 000 EUR per transaksjon for et superyacht-anløp). Modellen er derfor trent og rapporteres i EUR. Frontend konverterer til NOK eller DKK ved API-grensa via konstantene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(kurs mai 2026: EUR/NOK ≈ 11,50, EUR/DKK = 7,46 — DKK er fastlåst mot EUR via ERM II). Konstantene oppdateres mot ECBs referansekurs ved behov og introduserer en ekstra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kilde for NOK-rapporterte tall (jf. § 9.5). Inflasjonsjustering er ikke gjennomført.</w:t>
      </w:r>
    </w:p>
    <w:p>
      <w:pPr>
        <w:pStyle w:val="Compact"/>
        <w:numPr>
          <w:ilvl w:val="0"/>
          <w:numId w:val="1002"/>
        </w:numPr>
        <w:spacing w:line="360" w:lineRule="auto"/>
      </w:pPr>
      <w:r>
        <w:rPr>
          <w:rFonts w:ascii="Times New Roman" w:hAnsi="Times New Roman" w:cs="Times New Roman" w:eastAsia="Times New Roman"/>
          <w:b/>
          <w:bCs/>
          <w:sz w:val="24"/>
        </w:rPr>
        <w:t xml:space="preserve">Forretningsmål: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Verktøyet gir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og ikke pristilbud. Marginer, valutarisiko og kontrakts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vilkår er ikke en del av leveransen.</w:t>
      </w:r>
    </w:p>
    <w:bookmarkEnd w:id="13"/>
    <w:bookmarkStart w:id="14" w:name="antakelser"/>
    <w:p>
      <w:pPr>
        <w:pStyle w:val="Heading3"/>
        <w:spacing w:line="360" w:lineRule="auto"/>
      </w:pPr>
      <w:r>
        <w:rPr>
          <w:rFonts w:ascii="Times New Roman" w:hAnsi="Times New Roman" w:cs="Times New Roman" w:eastAsia="Times New Roman"/>
          <w:sz w:val="24"/>
        </w:rPr>
        <w:t xml:space="preserve">1.4 Antakelser</w:t>
      </w:r>
    </w:p>
    <w:p>
      <w:pPr>
        <w:pStyle w:val="Compact"/>
        <w:numPr>
          <w:ilvl w:val="0"/>
          <w:numId w:val="1003"/>
        </w:numPr>
        <w:spacing w:line="360" w:lineRule="auto"/>
      </w:pPr>
      <w:r>
        <w:rPr>
          <w:rFonts w:ascii="Times New Roman" w:hAnsi="Times New Roman" w:cs="Times New Roman" w:eastAsia="Times New Roman"/>
          <w:b/>
          <w:bCs/>
          <w:sz w:val="24"/>
        </w:rPr>
        <w:t xml:space="preserve">A1.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Historisk tjenestesammensetning per havn (fanget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er stabil i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horisonten 0–12 måneder.</w:t>
      </w:r>
    </w:p>
    <w:p>
      <w:pPr>
        <w:pStyle w:val="Compact"/>
        <w:numPr>
          <w:ilvl w:val="0"/>
          <w:numId w:val="1003"/>
        </w:numPr>
        <w:spacing w:line="360" w:lineRule="auto"/>
      </w:pPr>
      <w:r>
        <w:rPr>
          <w:rFonts w:ascii="Times New Roman" w:hAnsi="Times New Roman" w:cs="Times New Roman" w:eastAsia="Times New Roman"/>
          <w:b/>
          <w:bCs/>
          <w:sz w:val="24"/>
        </w:rPr>
        <w:t xml:space="preserve">A2.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Trafikkvektene per havn (antall historiske anløp) er en rimelig proxy for fordeling av framtidige anløp i samme land.</w:t>
      </w:r>
    </w:p>
    <w:p>
      <w:pPr>
        <w:pStyle w:val="Compact"/>
        <w:numPr>
          <w:ilvl w:val="0"/>
          <w:numId w:val="1003"/>
        </w:numPr>
        <w:spacing w:line="360" w:lineRule="auto"/>
      </w:pPr>
      <w:r>
        <w:rPr>
          <w:rFonts w:ascii="Times New Roman" w:hAnsi="Times New Roman" w:cs="Times New Roman" w:eastAsia="Times New Roman"/>
          <w:b/>
          <w:bCs/>
          <w:sz w:val="24"/>
        </w:rPr>
        <w:t xml:space="preserve">A3.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 i datasettet er korrekt registrert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-feltet, og rader uten gyldig pris (</w:t>
      </w:r>
      <w:r>
        <w:rPr>
          <w:rStyle w:val="VerbatimChar"/>
          <w:rFonts w:ascii="Times New Roman" w:hAnsi="Times New Roman" w:cs="Times New Roman" w:eastAsia="Times New Roman"/>
          <w:sz w:val="24"/>
        </w:rPr>
        <w:t xml:space="preserve">final_charge ≤ 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eller manglende) er feil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registreringer som kan fjernes uten å skape skjevhet.</w:t>
      </w:r>
    </w:p>
    <w:p>
      <w:pPr>
        <w:pStyle w:val="Compact"/>
        <w:numPr>
          <w:ilvl w:val="0"/>
          <w:numId w:val="1003"/>
        </w:numPr>
        <w:spacing w:line="360" w:lineRule="auto"/>
      </w:pPr>
      <w:r>
        <w:rPr>
          <w:rFonts w:ascii="Times New Roman" w:hAnsi="Times New Roman" w:cs="Times New Roman" w:eastAsia="Times New Roman"/>
          <w:b/>
          <w:bCs/>
          <w:sz w:val="24"/>
        </w:rPr>
        <w:t xml:space="preserve">A4.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log-transformasjon på kostnaden gir en tilstrekkelig symmetrisk feilfordeling til at MAE/RMSE-baserte modeller fungerer godt.</w:t>
      </w:r>
    </w:p>
    <w:bookmarkEnd w:id="14"/>
    <w:bookmarkStart w:id="15" w:name="akademisk-bidrag"/>
    <w:p>
      <w:pPr>
        <w:pStyle w:val="Heading3"/>
        <w:spacing w:line="360" w:lineRule="auto"/>
      </w:pPr>
      <w:r>
        <w:rPr>
          <w:rFonts w:ascii="Times New Roman" w:hAnsi="Times New Roman" w:cs="Times New Roman" w:eastAsia="Times New Roman"/>
          <w:sz w:val="24"/>
        </w:rPr>
        <w:t xml:space="preserve">1.5 Akademisk bidrag</w:t>
      </w:r>
    </w:p>
    <w:p>
      <w:pPr>
        <w:pStyle w:val="FirstParagraph"/>
        <w:spacing w:line="360" w:lineRule="auto"/>
      </w:pPr>
      <w:r>
        <w:rPr>
          <w:rFonts w:ascii="Times New Roman" w:hAnsi="Times New Roman" w:cs="Times New Roman" w:eastAsia="Times New Roman"/>
          <w:sz w:val="24"/>
        </w:rPr>
        <w:t xml:space="preserve">Studien adresserer tre hull i litteraturen (jf. § 2.4):</w:t>
      </w:r>
    </w:p>
    <w:p>
      <w:pPr>
        <w:pStyle w:val="Compact"/>
        <w:numPr>
          <w:ilvl w:val="0"/>
          <w:numId w:val="1004"/>
        </w:numPr>
        <w:spacing w:line="360" w:lineRule="auto"/>
      </w:pPr>
      <w:r>
        <w:rPr>
          <w:rFonts w:ascii="Times New Roman" w:hAnsi="Times New Roman" w:cs="Times New Roman" w:eastAsia="Times New Roman"/>
          <w:b/>
          <w:bCs/>
          <w:sz w:val="24"/>
        </w:rPr>
        <w:t xml:space="preserve">Transaksjonsnivå-aggregering med empirisk persentil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kalibrering.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Eksisterende studier (Jang et al., 2023; Su et al., 2024) modellerer én totalkostnad per reise;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effektivitets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studier (Jahangard et al., 2025) modellerer aggregat på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Ingen fanger den sammensatte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 per yacht-anløp (5–40 transaksjoner over syv kategorier). Bidraget er en transaksjonsnivå-ensemble med trafikkvektet aggregering og hybrid persentil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kalibrering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w:t>
      </w:r>
    </w:p>
    <w:p>
      <w:pPr>
        <w:pStyle w:val="Compact"/>
        <w:numPr>
          <w:ilvl w:val="0"/>
          <w:numId w:val="1004"/>
        </w:numPr>
        <w:spacing w:line="360" w:lineRule="auto"/>
      </w:pPr>
      <w:r>
        <w:rPr>
          <w:rFonts w:ascii="Times New Roman" w:hAnsi="Times New Roman" w:cs="Times New Roman" w:eastAsia="Times New Roman"/>
          <w:b/>
          <w:bCs/>
          <w:sz w:val="24"/>
        </w:rPr>
        <w:t xml:space="preserve">Distribusjonsfri usikkerhet under skjult heterogenitet.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CQR (Romano et al., 2019) er teoretisk etablert, men sjelden anvendt der en sentral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 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observerbar</w:t>
      </w:r>
      <w:r>
        <w:rPr>
          <w:rFonts w:ascii="Times New Roman" w:hAnsi="Times New Roman" w:cs="Times New Roman" w:eastAsia="Times New Roman"/>
          <w:sz w:val="24"/>
        </w:rPr>
        <w:t xml:space="preserve">. Vi dokumenterer empirisk hva CQR oppnår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korrekt spesifisert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og hvor den ikke kompenserer for manglende feature (gjeste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profil for Provisions) — et bidrag til debatten om marginal vs. betinget dekning i anvendte regimer.</w:t>
      </w:r>
    </w:p>
    <w:p>
      <w:pPr>
        <w:pStyle w:val="Compact"/>
        <w:numPr>
          <w:ilvl w:val="0"/>
          <w:numId w:val="1004"/>
        </w:numPr>
        <w:spacing w:line="360" w:lineRule="auto"/>
      </w:pPr>
      <w:r>
        <w:rPr>
          <w:rFonts w:ascii="Times New Roman" w:hAnsi="Times New Roman" w:cs="Times New Roman" w:eastAsia="Times New Roman"/>
          <w:b/>
          <w:bCs/>
          <w:sz w:val="24"/>
        </w:rPr>
        <w:t xml:space="preserve">Mønster for hybride ML + regulatoriske/deterministiske kostnader.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Brukertest (§ 9.5) avdekket at rene datadrevne modeller feiler systematisk for regulatoriske krav (los &gt; 70 m LOA) og deterministiske fysiske størrelser (drivstoff = distanse/fart × forbruk × pris). Vårt mønster — feature-utvidelse + obligatoriske inputs + deterministiske formler — er relevant utover maritim sektor.</w:t>
      </w:r>
    </w:p>
    <w:p>
      <w:pPr>
        <w:spacing w:line="360" w:lineRule="auto"/>
      </w:pPr>
      <w:r>
        <w:rPr>
          <w:rFonts w:ascii="Times New Roman" w:hAnsi="Times New Roman" w:cs="Times New Roman" w:eastAsia="Times New Roman"/>
          <w:sz w:val="24"/>
        </w:rPr>
        <w:pict>
          <v:rect style="width:0;height:1.5pt" o:hralign="center" o:hrstd="t" o:hr="t"/>
        </w:pict>
      </w:r>
    </w:p>
    <w:bookmarkEnd w:id="15"/>
    <w:bookmarkEnd w:id="16"/>
    <w:bookmarkStart w:id="21" w:name="litteratur"/>
    <w:p>
      <w:pPr>
        <w:pStyle w:val="Heading2"/>
        <w:spacing w:line="360" w:lineRule="auto"/>
      </w:pPr>
      <w:r>
        <w:rPr>
          <w:rFonts w:ascii="Times New Roman" w:hAnsi="Times New Roman" w:cs="Times New Roman" w:eastAsia="Times New Roman"/>
          <w:sz w:val="24"/>
        </w:rPr>
        <w:t xml:space="preserve">2. Litteratur</w:t>
      </w:r>
    </w:p>
    <w:p>
      <w:pPr>
        <w:pStyle w:val="FirstParagraph"/>
        <w:spacing w:line="360" w:lineRule="auto"/>
      </w:pPr>
      <w:r>
        <w:rPr>
          <w:rFonts w:ascii="Times New Roman" w:hAnsi="Times New Roman" w:cs="Times New Roman" w:eastAsia="Times New Roman"/>
          <w:sz w:val="24"/>
        </w:rPr>
        <w:t xml:space="preserve">Denne litteraturgjennomgangen dekker tre tråder som er sentrale for NautiCost: (1) maskinlæring for kostnads- og rateprognoser i maritim logistikk, (2) gradient boosting på tabulære data, og (3) usikkerhetskvantifisering med kvantilregresjon og konform prediksjon.</w:t>
      </w:r>
    </w:p>
    <w:bookmarkStart w:id="17" w:name="X7c64d5c69e8be4aa342d1f5b50a96f4760fe6ea"/>
    <w:p>
      <w:pPr>
        <w:pStyle w:val="Heading3"/>
        <w:spacing w:line="360" w:lineRule="auto"/>
      </w:pPr>
      <w:r>
        <w:rPr>
          <w:rFonts w:ascii="Times New Roman" w:hAnsi="Times New Roman" w:cs="Times New Roman" w:eastAsia="Times New Roman"/>
          <w:sz w:val="24"/>
        </w:rPr>
        <w:t xml:space="preserve">2.1 Maskinlæring for kostnadsprediksjon i transport og logistikk</w:t>
      </w:r>
    </w:p>
    <w:p>
      <w:pPr>
        <w:pStyle w:val="FirstParagraph"/>
        <w:spacing w:line="360" w:lineRule="auto"/>
      </w:pPr>
      <w:r>
        <w:rPr>
          <w:rFonts w:ascii="Times New Roman" w:hAnsi="Times New Roman" w:cs="Times New Roman" w:eastAsia="Times New Roman"/>
          <w:sz w:val="24"/>
        </w:rPr>
        <w:t xml:space="preserve">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pPr>
        <w:pStyle w:val="BodyText"/>
        <w:spacing w:line="360" w:lineRule="auto"/>
      </w:pPr>
      <w:r>
        <w:rPr>
          <w:rFonts w:ascii="Times New Roman" w:hAnsi="Times New Roman" w:cs="Times New Roman" w:eastAsia="Times New Roman"/>
          <w:sz w:val="24"/>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feilmetrikker (MAE) er den mest operasjonelt relevante evalueringen. Hvordan våre egne resultater forholder seg til disse funnene drøftes i § 9.</w:t>
      </w:r>
    </w:p>
    <w:p>
      <w:pPr>
        <w:pStyle w:val="BodyText"/>
        <w:spacing w:line="360" w:lineRule="auto"/>
      </w:pPr>
      <w:r>
        <w:rPr>
          <w:rFonts w:ascii="Times New Roman" w:hAnsi="Times New Roman" w:cs="Times New Roman" w:eastAsia="Times New Roman"/>
          <w:sz w:val="24"/>
        </w:rPr>
        <w:t xml:space="preserve">I motsetning til de nevnte studiene, som predikerer en samlet kostnad eller rate per reise, modellerer NautiCost 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transaksjonsnivå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bookmarkEnd w:id="17"/>
    <w:bookmarkStart w:id="18" w:name="X50f1a326dd81dd1da535bd6543ea8d29f23ade9"/>
    <w:p>
      <w:pPr>
        <w:pStyle w:val="Heading3"/>
        <w:spacing w:line="360" w:lineRule="auto"/>
      </w:pPr>
      <w:r>
        <w:rPr>
          <w:rFonts w:ascii="Times New Roman" w:hAnsi="Times New Roman" w:cs="Times New Roman" w:eastAsia="Times New Roman"/>
          <w:sz w:val="24"/>
        </w:rPr>
        <w:t xml:space="preserve">2.2 Gradient boosting på heterogene tabulære data</w:t>
      </w:r>
    </w:p>
    <w:p>
      <w:pPr>
        <w:pStyle w:val="FirstParagraph"/>
        <w:spacing w:line="360" w:lineRule="auto"/>
      </w:pPr>
      <w:r>
        <w:rPr>
          <w:rFonts w:ascii="Times New Roman" w:hAnsi="Times New Roman" w:cs="Times New Roman" w:eastAsia="Times New Roman"/>
          <w:sz w:val="24"/>
        </w:rPr>
        <w:t xml:space="preserve">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pPr>
        <w:pStyle w:val="BodyText"/>
        <w:spacing w:line="360" w:lineRule="auto"/>
      </w:pPr>
      <w:r>
        <w:rPr>
          <w:rFonts w:ascii="Times New Roman" w:hAnsi="Times New Roman" w:cs="Times New Roman" w:eastAsia="Times New Roman"/>
          <w:sz w:val="24"/>
        </w:rPr>
        <w:t xml:space="preserve">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Vårt datasett (1 647 rader, 26 features, blandet kategorisk/numerisk) faller godt innenfor dette regimet, og valget av et LightGBM + CatBoost-ensemble er dermed teoretisk og empirisk begrunnet.</w:t>
      </w:r>
    </w:p>
    <w:p>
      <w:pPr>
        <w:pStyle w:val="BodyText"/>
        <w:spacing w:line="360" w:lineRule="auto"/>
      </w:pPr>
      <w:r>
        <w:rPr>
          <w:rFonts w:ascii="Times New Roman" w:hAnsi="Times New Roman" w:cs="Times New Roman" w:eastAsia="Times New Roman"/>
          <w:sz w:val="24"/>
        </w:rPr>
        <w:t xml:space="preserve">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 som NautiCost-datasettet drøftes i § 9.2.</w:t>
      </w:r>
    </w:p>
    <w:p>
      <w:pPr>
        <w:pStyle w:val="BodyText"/>
        <w:spacing w:line="360" w:lineRule="auto"/>
      </w:pPr>
      <w:r>
        <w:rPr>
          <w:rFonts w:ascii="Times New Roman" w:hAnsi="Times New Roman" w:cs="Times New Roman" w:eastAsia="Times New Roman"/>
          <w:sz w:val="24"/>
        </w:rPr>
        <w:t xml:space="preserve">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i LOG650 (Pettersen &amp; Rekdal, 2026, tabell 1.1) klassifiserer prosjekter med mange forklaringsvariabler under metode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familien Random Forest / XGBoost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LightGBM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metodene gradient boosting, kryssvalidering, SHAP og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tuning. Metodevalget i NautiCost — LightGBM + CatBoost-ensemble, 5-fold kryssvalidering ved Optuna-tuning, TreeSHAP for forklarbarhet — er nøyaktig denne kombinasjonen, og er dermed direkte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Det skiller seg fra kompendiets standard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eksempel ved at vi modellerer på transaksjonsnivå snarere enn aggregert nivå, og legger til konform kalibrering (§ 2.3) for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w:t>
      </w:r>
    </w:p>
    <w:bookmarkEnd w:id="18"/>
    <w:bookmarkStart w:id="19" w:name="X52ccaa96010e029cb7ad8233c60e45490ae75db"/>
    <w:p>
      <w:pPr>
        <w:pStyle w:val="Heading3"/>
        <w:spacing w:line="360" w:lineRule="auto"/>
      </w:pPr>
      <w:r>
        <w:rPr>
          <w:rFonts w:ascii="Times New Roman" w:hAnsi="Times New Roman" w:cs="Times New Roman" w:eastAsia="Times New Roman"/>
          <w:sz w:val="24"/>
        </w:rPr>
        <w:t xml:space="preserve">2.3 Konform prediksjon og usikkerhetskvantifisering</w:t>
      </w:r>
    </w:p>
    <w:p>
      <w:pPr>
        <w:pStyle w:val="FirstParagraph"/>
        <w:spacing w:line="360" w:lineRule="auto"/>
      </w:pPr>
      <w:r>
        <w:rPr>
          <w:rFonts w:ascii="Times New Roman" w:hAnsi="Times New Roman" w:cs="Times New Roman" w:eastAsia="Times New Roman"/>
          <w:sz w:val="24"/>
        </w:rPr>
        <w:t xml:space="preserve">Punktprediksjoner alene er utilstrekkelige for beslutningsstøtte der kostnaden varierer over flere størrelsesordener. Romano et al. (2019) introduserte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Conformalized Quantile Regression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pPr>
        <w:pStyle w:val="BodyText"/>
        <w:spacing w:line="360" w:lineRule="auto"/>
      </w:pPr>
      <w:r>
        <w:rPr>
          <w:rFonts w:ascii="Times New Roman" w:hAnsi="Times New Roman" w:cs="Times New Roman" w:eastAsia="Times New Roman"/>
          <w:sz w:val="24"/>
        </w:rPr>
        <w:t xml:space="preserve">CQR er attraktiv i et anvendt regime fordi den bevarer kvantilregresjonens evne til å tilpasse seg heteroskedastiske residualer, samtidig som konform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garantien sikrer at faktisk dekning ligger nær det nominelle nivået uten å anta en bestemt feilfordeling. Hvor godt dette fungerer på vårt datasett rapporteres i § 6.4 og § 8.2.</w:t>
      </w:r>
    </w:p>
    <w:p>
      <w:pPr>
        <w:pStyle w:val="BodyText"/>
        <w:spacing w:line="360" w:lineRule="auto"/>
      </w:pPr>
      <w:r>
        <w:rPr>
          <w:rFonts w:ascii="Times New Roman" w:hAnsi="Times New Roman" w:cs="Times New Roman" w:eastAsia="Times New Roman"/>
          <w:sz w:val="24"/>
        </w:rPr>
        <w:t xml:space="preserve">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bookmarkEnd w:id="19"/>
    <w:bookmarkStart w:id="20" w:name="forskningsgap"/>
    <w:p>
      <w:pPr>
        <w:pStyle w:val="Heading3"/>
        <w:spacing w:line="360" w:lineRule="auto"/>
      </w:pPr>
      <w:r>
        <w:rPr>
          <w:rFonts w:ascii="Times New Roman" w:hAnsi="Times New Roman" w:cs="Times New Roman" w:eastAsia="Times New Roman"/>
          <w:sz w:val="24"/>
        </w:rPr>
        <w:t xml:space="preserve">2.4 Forskningsgap</w:t>
      </w:r>
    </w:p>
    <w:p>
      <w:pPr>
        <w:pStyle w:val="FirstParagraph"/>
        <w:spacing w:line="360" w:lineRule="auto"/>
      </w:pPr>
      <w:r>
        <w:rPr>
          <w:rFonts w:ascii="Times New Roman" w:hAnsi="Times New Roman" w:cs="Times New Roman" w:eastAsia="Times New Roman"/>
          <w:sz w:val="24"/>
        </w:rPr>
        <w:t xml:space="preserve">Litteraturen som er gjennomgått behandler enten (a) prediksjon av en samlet kostnad eller rate per reise (Jang et al., 2023; Su et al., 2024) eller (b) operasjonell effektivitet på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(Jahangard et al., 2025). Ingen av disse studiene modellerer den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sammensatte tjeneste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miksen per anløp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det vil si hvordan en enkelt yacht-stopp gir opphav til 5–40 separate transaksjoner fordelt på havneavgift, los, hospitality, proviant,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og bunkers, og hvordan totalkostnaden av et anløp bygges opp av disse delene. NautiCost adresserer dette gapet ved å modellere på transaksjonsnivå, deretter aggregere via portmaler og trafikkvekter, og kalibrere mot empiriske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persentiler.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datasett (n ≈ 1 600) forutsetter dette en spesifikk metodikk: (i) log-transformert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 for å håndtere skjevheten, (ii) gradient-boosting-ensemble for tabulære data med sterk heterogenitet, og (iii) konform kalibrering for å gi distribusjons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frie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 Kombinasjonen av disse, anvendt på maritim agent-tjeneste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fakturering, er det metodiske rommet vi opererer i.</w:t>
      </w:r>
    </w:p>
    <w:p>
      <w:pPr>
        <w:spacing w:line="360" w:lineRule="auto"/>
      </w:pPr>
      <w:r>
        <w:rPr>
          <w:rFonts w:ascii="Times New Roman" w:hAnsi="Times New Roman" w:cs="Times New Roman" w:eastAsia="Times New Roman"/>
          <w:sz w:val="24"/>
        </w:rPr>
        <w:pict>
          <v:rect style="width:0;height:1.5pt" o:hralign="center" o:hrstd="t" o:hr="t"/>
        </w:pict>
      </w:r>
    </w:p>
    <w:bookmarkEnd w:id="20"/>
    <w:bookmarkEnd w:id="21"/>
    <w:bookmarkStart w:id="28" w:name="teori"/>
    <w:p>
      <w:pPr>
        <w:pStyle w:val="Heading2"/>
        <w:spacing w:line="360" w:lineRule="auto"/>
      </w:pPr>
      <w:r>
        <w:rPr>
          <w:rFonts w:ascii="Times New Roman" w:hAnsi="Times New Roman" w:cs="Times New Roman" w:eastAsia="Times New Roman"/>
          <w:sz w:val="24"/>
        </w:rPr>
        <w:t xml:space="preserve">3. Teori</w:t>
      </w:r>
    </w:p>
    <w:p>
      <w:pPr>
        <w:pStyle w:val="FirstParagraph"/>
        <w:spacing w:line="360" w:lineRule="auto"/>
      </w:pPr>
      <w:r>
        <w:rPr>
          <w:rFonts w:ascii="Times New Roman" w:hAnsi="Times New Roman" w:cs="Times New Roman" w:eastAsia="Times New Roman"/>
          <w:sz w:val="24"/>
        </w:rPr>
        <w:t xml:space="preserve">Dette kapittelet etablerer det metodiske rammeverket prosjektet hviler på. Hvert delkapittel avsluttes med en kort kobling til hvilket delproblem (DP1–DP5, jf. § 1.2) teorien adresserer, slik at teorien ikke blir frittstående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beskrivelse, men en begrunnelse for de metodevalgene som tas i § 5 og § 6.</w:t>
      </w:r>
    </w:p>
    <w:bookmarkStart w:id="22" w:name="tabulær-læring-og-gradient-boosting"/>
    <w:p>
      <w:pPr>
        <w:pStyle w:val="Heading3"/>
        <w:spacing w:line="360" w:lineRule="auto"/>
      </w:pPr>
      <w:r>
        <w:rPr>
          <w:rFonts w:ascii="Times New Roman" w:hAnsi="Times New Roman" w:cs="Times New Roman" w:eastAsia="Times New Roman"/>
          <w:sz w:val="24"/>
        </w:rPr>
        <w:t xml:space="preserve">3.1 Tabulær læring og gradient boosting</w:t>
      </w:r>
    </w:p>
    <w:p>
      <w:pPr>
        <w:pStyle w:val="FirstParagraph"/>
        <w:spacing w:line="360" w:lineRule="auto"/>
      </w:pPr>
      <w:r>
        <w:rPr>
          <w:rFonts w:ascii="Times New Roman" w:hAnsi="Times New Roman" w:cs="Times New Roman" w:eastAsia="Times New Roman"/>
          <w:sz w:val="24"/>
        </w:rPr>
        <w:t xml:space="preserve">Et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problem på tabulære data er definert ved et datasett</w:t>
      </w:r>
      <w:r>
        <w:rPr>
          <w:rFonts w:ascii="Times New Roman" w:hAnsi="Times New Roman" w:cs="Times New Roman" w:eastAsia="Times New Roman"/>
          <w:sz w:val="24"/>
        </w:rP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sSub>
          <m:e>
            <m:r>
              <m:t>x</m:t>
            </m:r>
          </m:e>
          <m:sub>
            <m:r>
              <m:t>i</m:t>
            </m:r>
          </m:sub>
        </m:sSub>
        <m:r>
          <m:rPr>
            <m:sty m:val="p"/>
          </m:rPr>
          <m:t>∈</m:t>
        </m:r>
        <m:sSup>
          <m:e>
            <m:r>
              <m:rPr>
                <m:scr m:val="double-struck"/>
                <m:sty m:val="p"/>
              </m:rPr>
              <m:t>R</m:t>
            </m:r>
          </m:e>
          <m:sup>
            <m:r>
              <m:t>d</m:t>
            </m:r>
          </m:sup>
        </m:sSup>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feature-vektorer og</w:t>
      </w:r>
      <w:r>
        <w:rPr>
          <w:rFonts w:ascii="Times New Roman" w:hAnsi="Times New Roman" w:cs="Times New Roman" w:eastAsia="Times New Roman"/>
          <w:sz w:val="24"/>
        </w:rPr>
        <w:t xml:space="preserve"> </w:t>
      </w:r>
      <m:oMath>
        <m:sSub>
          <m:e>
            <m:r>
              <m:t>y</m:t>
            </m:r>
          </m:e>
          <m:sub>
            <m:r>
              <m:t>i</m:t>
            </m:r>
          </m:sub>
        </m:sSub>
        <m:r>
          <m:rPr>
            <m:sty m:val="p"/>
          </m:rPr>
          <m:t>∈</m:t>
        </m:r>
        <m:r>
          <m:rPr>
            <m:scr m:val="double-struck"/>
            <m:sty m:val="p"/>
          </m:rPr>
          <m:t>R</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målverdier, og oppgaven er å finne en funksjon</w:t>
      </w:r>
      <w:r>
        <w:rPr>
          <w:rFonts w:ascii="Times New Roman" w:hAnsi="Times New Roman" w:cs="Times New Roman" w:eastAsia="Times New Roman"/>
          <w:sz w:val="24"/>
        </w:rPr>
        <w:t xml:space="preserve"> </w:t>
      </w:r>
      <m:oMath>
        <m:acc>
          <m:accPr>
            <m:chr m:val="̂"/>
          </m:accPr>
          <m:e>
            <m:r>
              <m:t>f</m:t>
            </m:r>
          </m:e>
        </m:acc>
        <m:r>
          <m:rPr>
            <m:sty m:val="p"/>
          </m:rPr>
          <m:t>:</m:t>
        </m:r>
        <m:sSup>
          <m:e>
            <m:r>
              <m:rPr>
                <m:scr m:val="double-struck"/>
                <m:sty m:val="p"/>
              </m:rPr>
              <m:t>R</m:t>
            </m:r>
          </m:e>
          <m:sup>
            <m:r>
              <m:t>d</m:t>
            </m:r>
          </m:sup>
        </m:sSup>
        <m:r>
          <m:rPr>
            <m:sty m:val="p"/>
          </m:rPr>
          <m:t>→</m:t>
        </m:r>
        <m:r>
          <m:rPr>
            <m:scr m:val="double-struck"/>
            <m:sty m:val="p"/>
          </m:rPr>
          <m:t>R</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minimerer en tap-funksjon</w:t>
      </w:r>
      <w:r>
        <w:rPr>
          <w:rFonts w:ascii="Times New Roman" w:hAnsi="Times New Roman" w:cs="Times New Roman" w:eastAsia="Times New Roman"/>
          <w:sz w:val="24"/>
        </w:rPr>
        <w:t xml:space="preserve"> </w:t>
      </w:r>
      <m:oMath>
        <m:r>
          <m:t>L</m:t>
        </m:r>
        <m:r>
          <m:rPr>
            <m:sty m:val="p"/>
          </m:rPr>
          <m:t>(</m:t>
        </m:r>
        <m:r>
          <m:t>y</m:t>
        </m:r>
        <m:r>
          <m:rPr>
            <m:sty m:val="p"/>
          </m:rPr>
          <m:t>,</m:t>
        </m:r>
        <m:acc>
          <m:accPr>
            <m:chr m:val="̂"/>
          </m:accPr>
          <m:e>
            <m:r>
              <m:t>y</m:t>
            </m:r>
          </m:e>
        </m:acc>
        <m:r>
          <m:rPr>
            <m:sty m:val="p"/>
          </m:rPr>
          <m:t>)</m:t>
        </m:r>
      </m:oMath>
      <w:r>
        <w:rPr>
          <w:rFonts w:ascii="Times New Roman" w:hAnsi="Times New Roman" w:cs="Times New Roman" w:eastAsia="Times New Roman"/>
          <w:sz w:val="24"/>
        </w:rPr>
        <w:t xml:space="preserve">. For tabulære data med en blanding av numeriske og kategoriske features og komplekse interaksjoner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ensembler av beslutningstrær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dominerende tilnærmingen.</w:t>
      </w:r>
    </w:p>
    <w:p>
      <w:pPr>
        <w:pStyle w:val="BodyText"/>
        <w:spacing w:line="360" w:lineRule="auto"/>
      </w:pPr>
      <w:r>
        <w:rPr>
          <w:rFonts w:ascii="Times New Roman" w:hAnsi="Times New Roman" w:cs="Times New Roman" w:eastAsia="Times New Roman"/>
          <w:sz w:val="24"/>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bagging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(gjennomsnitt av uavhengig trente trær, jf. random forest)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boosting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(sekvensiell trening der hvert tre korrigerer feilene fra det forrige).</w:t>
      </w:r>
    </w:p>
    <w:p>
      <w:pPr>
        <w:pStyle w:val="BodyText"/>
        <w:spacing w:line="360" w:lineRule="auto"/>
      </w:pPr>
      <w:r>
        <w:rPr>
          <w:rFonts w:ascii="Times New Roman" w:hAnsi="Times New Roman" w:cs="Times New Roman" w:eastAsia="Times New Roman"/>
          <w:sz w:val="24"/>
        </w:rPr>
        <w:t xml:space="preserve">I gradient boosting (Friedman, 2001) bygges modellen additivt:</w:t>
      </w:r>
    </w:p>
    <w:p>
      <w:pPr>
        <w:pStyle w:val="BodyText"/>
        <w:spacing w:line="360" w:lineRule="auto"/>
      </w:pPr>
      <m:oMathPara>
        <m:oMathParaPr>
          <m:jc m:val="center"/>
        </m:oMathParaPr>
        <m:oMath>
          <m:sSub>
            <m:e>
              <m:r>
                <m:t>F</m:t>
              </m:r>
            </m:e>
            <m:sub>
              <m:r>
                <m:t>m</m:t>
              </m:r>
            </m:sub>
          </m:sSub>
          <m:r>
            <m:rPr>
              <m:sty m:val="p"/>
            </m:rPr>
            <m:t>(</m:t>
          </m:r>
          <m:r>
            <m:t>x</m:t>
          </m:r>
          <m:r>
            <m:rPr>
              <m:sty m:val="p"/>
            </m:rPr>
            <m:t>)</m:t>
          </m:r>
          <m:r>
            <m:rPr>
              <m:sty m:val="p"/>
            </m:rPr>
            <m:t>=</m:t>
          </m:r>
          <m:sSub>
            <m:e>
              <m:r>
                <m:t>F</m:t>
              </m:r>
            </m:e>
            <m:sub>
              <m:r>
                <m:t>m</m:t>
              </m:r>
              <m:r>
                <m:rPr>
                  <m:sty m:val="p"/>
                </m:rPr>
                <m:t>−</m:t>
              </m:r>
              <m:r>
                <m:t>1</m:t>
              </m:r>
            </m:sub>
          </m:sSub>
          <m:r>
            <m:rPr>
              <m:sty m:val="p"/>
            </m:rPr>
            <m:t>(</m:t>
          </m:r>
          <m:r>
            <m:t>x</m:t>
          </m:r>
          <m:r>
            <m:rPr>
              <m:sty m:val="p"/>
            </m:rPr>
            <m:t>)</m:t>
          </m:r>
          <m:r>
            <m:rPr>
              <m:sty m:val="p"/>
            </m:rPr>
            <m:t>+</m:t>
          </m:r>
          <m:r>
            <m:t>ν</m:t>
          </m:r>
          <m:r>
            <m:rPr>
              <m:sty m:val="p"/>
            </m:rPr>
            <m:t>⋅</m:t>
          </m:r>
          <m:sSub>
            <m:e>
              <m:r>
                <m:t>h</m:t>
              </m:r>
            </m:e>
            <m:sub>
              <m:r>
                <m:t>m</m:t>
              </m:r>
            </m:sub>
          </m:sSub>
          <m:r>
            <m:rPr>
              <m:sty m:val="p"/>
            </m:rPr>
            <m:t>(</m:t>
          </m:r>
          <m:r>
            <m:t>x</m:t>
          </m:r>
          <m:r>
            <m:rPr>
              <m:sty m:val="p"/>
            </m:rPr>
            <m:t>)</m:t>
          </m:r>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sSub>
          <m:e>
            <m:r>
              <m:t>h</m:t>
            </m:r>
          </m:e>
          <m:sub>
            <m:r>
              <m:t>m</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et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tre tilpasset den negative gradienten av tapet med hensyn på forrige prediksjon, og</w:t>
      </w:r>
      <w:r>
        <w:rPr>
          <w:rFonts w:ascii="Times New Roman" w:hAnsi="Times New Roman" w:cs="Times New Roman" w:eastAsia="Times New Roman"/>
          <w:sz w:val="24"/>
        </w:rPr>
        <w:t xml:space="preserve"> </w:t>
      </w:r>
      <m:oMath>
        <m:r>
          <m:t>ν</m:t>
        </m:r>
        <m:r>
          <m:rPr>
            <m:sty m:val="p"/>
          </m:rPr>
          <m:t>∈</m:t>
        </m:r>
        <m:r>
          <m:rPr>
            <m:sty m:val="p"/>
          </m:rPr>
          <m:t>(</m:t>
        </m:r>
        <m:r>
          <m:t>0</m:t>
        </m:r>
        <m:r>
          <m:rPr>
            <m:sty m:val="p"/>
          </m:rPr>
          <m:t>,</m:t>
        </m:r>
        <m:r>
          <m:t>1</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lærings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rate. Etter</w:t>
      </w:r>
      <w:r>
        <w:rPr>
          <w:rFonts w:ascii="Times New Roman" w:hAnsi="Times New Roman" w:cs="Times New Roman" w:eastAsia="Times New Roman"/>
          <w:sz w:val="24"/>
        </w:rPr>
        <w:t xml:space="preserve"> </w:t>
      </w:r>
      <m:oMath>
        <m:r>
          <m:t>M</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runder er modellen</w:t>
      </w:r>
      <w:r>
        <w:rPr>
          <w:rFonts w:ascii="Times New Roman" w:hAnsi="Times New Roman" w:cs="Times New Roman" w:eastAsia="Times New Roman"/>
          <w:sz w:val="24"/>
        </w:rPr>
        <w:t xml:space="preserve"> </w:t>
      </w:r>
      <m:oMath>
        <m:sSub>
          <m:e>
            <m:r>
              <m:t>F</m:t>
            </m:r>
          </m:e>
          <m:sub>
            <m:r>
              <m:t>M</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r>
          <m:t>ν</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x</m:t>
        </m:r>
        <m:r>
          <m:rPr>
            <m:sty m:val="p"/>
          </m:rPr>
          <m:t>)</m:t>
        </m:r>
      </m:oMath>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sz w:val="24"/>
        </w:rPr>
        <w:t xml:space="preserve">Sammenlignet med bagging kan boosting redusere både bias og varians ved å konsentrere kapasiteten der residualene er størst. Avveiningen er at boosting er sekvensielt og mer utsatt for overtilpasning hvis</w:t>
      </w:r>
      <w:r>
        <w:rPr>
          <w:rFonts w:ascii="Times New Roman" w:hAnsi="Times New Roman" w:cs="Times New Roman" w:eastAsia="Times New Roman"/>
          <w:sz w:val="24"/>
        </w:rPr>
        <w:t xml:space="preserve"> </w:t>
      </w:r>
      <m:oMath>
        <m:r>
          <m:t>M</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for stor eller</w:t>
      </w:r>
      <w:r>
        <w:rPr>
          <w:rFonts w:ascii="Times New Roman" w:hAnsi="Times New Roman" w:cs="Times New Roman" w:eastAsia="Times New Roman"/>
          <w:sz w:val="24"/>
        </w:rPr>
        <w:t xml:space="preserve"> </w:t>
      </w:r>
      <m:oMath>
        <m:r>
          <m:t>ν</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høy;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early stopping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et valideringssett er standard mottiltak.</w:t>
      </w:r>
    </w:p>
    <w:p>
      <w:pPr>
        <w:pStyle w:val="BodyText"/>
        <w:spacing w:line="360" w:lineRule="auto"/>
      </w:pPr>
      <w:r>
        <w:rPr>
          <w:rFonts w:ascii="Times New Roman" w:hAnsi="Times New Roman" w:cs="Times New Roman" w:eastAsia="Times New Roman"/>
          <w:sz w:val="24"/>
        </w:rPr>
        <w:t xml:space="preserve">Moderne gradient-boosting-biblioteker (LightGBM, CatBoost, XGBoost) optimerer dette rammeverket langs tre akser: histogram-basert split-finding for hastighet, native håndtering av kategoriske features, og bruk av andre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ordens gradient-informasjon (Newton-Raphson-oppdateringer) for raskere konvergens.</w:t>
      </w:r>
    </w:p>
    <w:p>
      <w:pPr>
        <w:pStyle w:val="BodyText"/>
        <w:spacing w:line="360" w:lineRule="auto"/>
      </w:pPr>
      <w:r>
        <w:rPr>
          <w:rFonts w:ascii="Times New Roman" w:hAnsi="Times New Roman" w:cs="Times New Roman" w:eastAsia="Times New Roman"/>
          <w:i/>
          <w:iCs/>
          <w:sz w:val="24"/>
        </w:rPr>
        <w:t xml:space="preserve">Relevans for prosjektet.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DP2 spør hvilken modell som gir lavest prognosefeil på heterogene tabulære data. Gradient boosting dominerer denne typen data (Grinsztajn et al., 2022; Shwartz-Ziv &amp; Armon, 2022), og er utgangspunktet for § 6.</w:t>
      </w:r>
    </w:p>
    <w:bookmarkEnd w:id="22"/>
    <w:bookmarkStart w:id="23" w:name="lightgbm"/>
    <w:p>
      <w:pPr>
        <w:pStyle w:val="Heading3"/>
        <w:spacing w:line="360" w:lineRule="auto"/>
      </w:pPr>
      <w:r>
        <w:rPr>
          <w:rFonts w:ascii="Times New Roman" w:hAnsi="Times New Roman" w:cs="Times New Roman" w:eastAsia="Times New Roman"/>
          <w:sz w:val="24"/>
        </w:rPr>
        <w:t xml:space="preserve">3.2 LightGBM</w:t>
      </w:r>
    </w:p>
    <w:p>
      <w:pPr>
        <w:pStyle w:val="FirstParagraph"/>
        <w:spacing w:line="360" w:lineRule="auto"/>
      </w:pPr>
      <w:r>
        <w:rPr>
          <w:rFonts w:ascii="Times New Roman" w:hAnsi="Times New Roman" w:cs="Times New Roman" w:eastAsia="Times New Roman"/>
          <w:sz w:val="24"/>
        </w:rPr>
        <w:t xml:space="preserve">LightGBM (Ke et al., 2017) er et gradient-boosting-bibliotek optimert for hastighet og minne på store tabulære datasett. Tre innovasjoner skiller det fra tidligere implementasjoner:</w:t>
      </w:r>
    </w:p>
    <w:p>
      <w:pPr>
        <w:pStyle w:val="BodyText"/>
        <w:spacing w:line="360" w:lineRule="auto"/>
      </w:pPr>
      <w:r>
        <w:rPr>
          <w:rFonts w:ascii="Times New Roman" w:hAnsi="Times New Roman" w:cs="Times New Roman" w:eastAsia="Times New Roman"/>
          <w:b/>
          <w:bCs/>
          <w:sz w:val="24"/>
        </w:rPr>
        <w:t xml:space="preserve">Histogram-basert split-finding.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Kontinuerlige features for-binnes i</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histogrammer (typisk</w:t>
      </w:r>
      <w:r>
        <w:rPr>
          <w:rFonts w:ascii="Times New Roman" w:hAnsi="Times New Roman" w:cs="Times New Roman" w:eastAsia="Times New Roman"/>
          <w:sz w:val="24"/>
        </w:rPr>
        <w:t xml:space="preserve"> </w:t>
      </w:r>
      <m:oMath>
        <m:r>
          <m:t>k</m:t>
        </m:r>
        <m:r>
          <m:rPr>
            <m:sty m:val="p"/>
          </m:rPr>
          <m:t>=</m:t>
        </m:r>
        <m:r>
          <m:t>255</m:t>
        </m:r>
      </m:oMath>
      <w:r>
        <w:rPr>
          <w:rFonts w:ascii="Times New Roman" w:hAnsi="Times New Roman" w:cs="Times New Roman" w:eastAsia="Times New Roman"/>
          <w:sz w:val="24"/>
        </w:rPr>
        <w:t xml:space="preserve">). Å finne det optimale split-punktet reduseres fra å skanne alle unike feature-verdier (</w:t>
      </w:r>
      <m:oMath>
        <m:r>
          <m:rPr>
            <m:scr m:val="script"/>
            <m:sty m:val="p"/>
          </m:rPr>
          <m:t>O</m:t>
        </m:r>
        <m:r>
          <m:rPr>
            <m:sty m:val="p"/>
          </m:rPr>
          <m:t>(</m:t>
        </m:r>
        <m:r>
          <m:t>n</m:t>
        </m:r>
        <m:r>
          <m:rPr>
            <m:sty m:val="p"/>
          </m:rPr>
          <m:t>⋅</m:t>
        </m:r>
        <m:r>
          <m:t>d</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 node) til å skanne histogram-bins (</w:t>
      </w:r>
      <m:oMath>
        <m:r>
          <m:rPr>
            <m:scr m:val="script"/>
            <m:sty m:val="p"/>
          </m:rPr>
          <m:t>O</m:t>
        </m:r>
        <m:r>
          <m:rPr>
            <m:sty m:val="p"/>
          </m:rPr>
          <m:t>(</m:t>
        </m:r>
        <m:r>
          <m:t>k</m:t>
        </m:r>
        <m:r>
          <m:rPr>
            <m:sty m:val="p"/>
          </m:rPr>
          <m:t>⋅</m:t>
        </m:r>
        <m:r>
          <m:t>d</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 node). For datasett med mange kontinuerlige features er dette den dominerende hastighets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gevinsten.</w:t>
      </w:r>
    </w:p>
    <w:p>
      <w:pPr>
        <w:pStyle w:val="BodyText"/>
        <w:spacing w:line="360" w:lineRule="auto"/>
      </w:pPr>
      <w:r>
        <w:rPr>
          <w:rFonts w:ascii="Times New Roman" w:hAnsi="Times New Roman" w:cs="Times New Roman" w:eastAsia="Times New Roman"/>
          <w:b/>
          <w:bCs/>
          <w:sz w:val="24"/>
        </w:rPr>
        <w:t xml:space="preserve">Leaf-wise tre-vekst.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Der standard implementasjoner vokser trær level-wise (alle blader på dybde</w:t>
      </w:r>
      <w:r>
        <w:rPr>
          <w:rFonts w:ascii="Times New Roman" w:hAnsi="Times New Roman" w:cs="Times New Roman" w:eastAsia="Times New Roman"/>
          <w:sz w:val="24"/>
        </w:rPr>
        <w:t xml:space="preserve"> </w:t>
      </w:r>
      <m:oMath>
        <m:r>
          <m:t>d</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noen på</w:t>
      </w:r>
      <w:r>
        <w:rPr>
          <w:rFonts w:ascii="Times New Roman" w:hAnsi="Times New Roman" w:cs="Times New Roman" w:eastAsia="Times New Roman"/>
          <w:sz w:val="24"/>
        </w:rPr>
        <w:t xml:space="preserve"> </w:t>
      </w:r>
      <m:oMath>
        <m:r>
          <m:t>d</m:t>
        </m:r>
        <m:r>
          <m:rPr>
            <m:sty m:val="p"/>
          </m:rPr>
          <m:t>+</m:t>
        </m:r>
        <m:r>
          <m:t>1</m:t>
        </m:r>
      </m:oMath>
      <w:r>
        <w:rPr>
          <w:rFonts w:ascii="Times New Roman" w:hAnsi="Times New Roman" w:cs="Times New Roman" w:eastAsia="Times New Roman"/>
          <w:sz w:val="24"/>
        </w:rPr>
        <w:t xml:space="preserve">), vokser LightGBM bladet med høyest tap-reduksjon først, uavhengig av dybde. Dette gir mer asymmetriske trær som tilpasser dataene bedre med færre blader totalt — men er mer utsatt for over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tilpasning på små datasett, kontrollert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max_depth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min_data_in_leaf</w:t>
      </w:r>
      <w:r>
        <w:rPr>
          <w:rFonts w:ascii="Times New Roman" w:hAnsi="Times New Roman" w:cs="Times New Roman" w:eastAsia="Times New Roman"/>
          <w:sz w:val="24"/>
        </w:rPr>
        <w:t xml:space="preserve">-restriksjoner.</w:t>
      </w:r>
    </w:p>
    <w:p>
      <w:pPr>
        <w:pStyle w:val="BodyText"/>
        <w:spacing w:line="360" w:lineRule="auto"/>
      </w:pPr>
      <w:r>
        <w:rPr>
          <w:rFonts w:ascii="Times New Roman" w:hAnsi="Times New Roman" w:cs="Times New Roman" w:eastAsia="Times New Roman"/>
          <w:b/>
          <w:bCs/>
          <w:sz w:val="24"/>
        </w:rPr>
        <w:t xml:space="preserve">Gradient-based one-side sampling (GOSS) og exclusive feature bundling (EFB).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GOSS beholder samplene med høyest gradient (størst residual) og subsampler resten tilfeldig — informasjons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tetthet per iterasjon bevares. EFB bundler gjensidig eksklusive sparse features til én kolonne. Begge reduserer kostnad per iterasjon på høy-dimensjonal sparsom data.</w:t>
      </w:r>
    </w:p>
    <w:p>
      <w:pPr>
        <w:pStyle w:val="BodyText"/>
        <w:spacing w:line="360" w:lineRule="auto"/>
      </w:pPr>
      <w:r>
        <w:rPr>
          <w:rFonts w:ascii="Times New Roman" w:hAnsi="Times New Roman" w:cs="Times New Roman" w:eastAsia="Times New Roman"/>
          <w:b/>
          <w:bCs/>
          <w:sz w:val="24"/>
        </w:rPr>
        <w:t xml:space="preserve">Kategorisk håndtering.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LightGBM aksepterer heltalls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kodede kategoriske kolonner direkte. Ved hvert split sorteres kategoriene etter akkumulert gradient-statistikk, og den optimale partisjonen finnes ved å skanne den sorterte listen. Dette håndterer høy-kardinalitets kategoriske variabler (f.eks.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uten one-hot-eksplosjon.</w:t>
      </w:r>
    </w:p>
    <w:p>
      <w:pPr>
        <w:pStyle w:val="BodyText"/>
        <w:spacing w:line="360" w:lineRule="auto"/>
      </w:pPr>
      <w:r>
        <w:rPr>
          <w:rFonts w:ascii="Times New Roman" w:hAnsi="Times New Roman" w:cs="Times New Roman" w:eastAsia="Times New Roman"/>
          <w:sz w:val="24"/>
        </w:rPr>
        <w:t xml:space="preserve">I NautiCost er LightGBM den primære base-læreren fordi den konvergerer raskt på det lille datasettet (~1 600 rader) og håndterer den heterogene feature-miksen native. Hyperparametre (</w:t>
      </w:r>
      <w:r>
        <w:rPr>
          <w:rStyle w:val="VerbatimChar"/>
          <w:rFonts w:ascii="Times New Roman" w:hAnsi="Times New Roman" w:cs="Times New Roman" w:eastAsia="Times New Roman"/>
          <w:sz w:val="24"/>
        </w:rPr>
        <w:t xml:space="preserve">num_leaves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min_data_in_leaf</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max_depth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feature_fraction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bagging_fraction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learning_rate</w:t>
      </w:r>
      <w:r>
        <w:rPr>
          <w:rFonts w:ascii="Times New Roman" w:hAnsi="Times New Roman" w:cs="Times New Roman" w:eastAsia="Times New Roman"/>
          <w:sz w:val="24"/>
        </w:rPr>
        <w:t xml:space="preserve">) er tunet med Optuna (se § 6.3).</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LightGBM håndterer blandet input og lav rad-til-feature-ratio (63) effektivt — derav valget i § 6.3.</w:t>
      </w:r>
    </w:p>
    <w:bookmarkEnd w:id="23"/>
    <w:bookmarkStart w:id="24" w:name="catboost"/>
    <w:p>
      <w:pPr>
        <w:pStyle w:val="Heading3"/>
        <w:spacing w:line="360" w:lineRule="auto"/>
      </w:pPr>
      <w:r>
        <w:rPr>
          <w:rFonts w:ascii="Times New Roman" w:hAnsi="Times New Roman" w:cs="Times New Roman" w:eastAsia="Times New Roman"/>
          <w:sz w:val="24"/>
        </w:rPr>
        <w:t xml:space="preserve">3.3 CatBoost</w:t>
      </w:r>
    </w:p>
    <w:p>
      <w:pPr>
        <w:pStyle w:val="FirstParagraph"/>
        <w:spacing w:line="360" w:lineRule="auto"/>
      </w:pPr>
      <w:r>
        <w:rPr>
          <w:rFonts w:ascii="Times New Roman" w:hAnsi="Times New Roman" w:cs="Times New Roman" w:eastAsia="Times New Roman"/>
          <w:sz w:val="24"/>
        </w:rPr>
        <w:t xml:space="preserve">CatBoost (Prokhorenkova et al., 2018) er et gradient-boosting-bibliotek med fokus på robust kategorisk håndtering og forventningsrett target-encoding. To tekniske bidrag står sentralt:</w:t>
      </w:r>
    </w:p>
    <w:p>
      <w:pPr>
        <w:pStyle w:val="BodyText"/>
        <w:spacing w:line="360" w:lineRule="auto"/>
      </w:pPr>
      <w:r>
        <w:rPr>
          <w:rFonts w:ascii="Times New Roman" w:hAnsi="Times New Roman" w:cs="Times New Roman" w:eastAsia="Times New Roman"/>
          <w:b/>
          <w:bCs/>
          <w:sz w:val="24"/>
        </w:rPr>
        <w:t xml:space="preserve">Ordered boosting.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Standard target-encoding-strategier erstatter en kategorisk verdi med gjennomsnittet av målet over alle rader der verdien forekommer. Dette skaper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target-leakage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den kodede featuren for rad</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påvirkes av målet</w:t>
      </w:r>
      <w:r>
        <w:rPr>
          <w:rFonts w:ascii="Times New Roman" w:hAnsi="Times New Roman" w:cs="Times New Roman" w:eastAsia="Times New Roman"/>
          <w:sz w:val="24"/>
        </w:rPr>
        <w:t xml:space="preserve"> </w:t>
      </w:r>
      <m:oMath>
        <m:sSub>
          <m:e>
            <m:r>
              <m:t>y</m:t>
            </m:r>
          </m:e>
          <m:sub>
            <m:r>
              <m:t>i</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selv, hvilket biaserer gradienter mot over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tilpasning. CatBoosts ordered boosting opprettholder en tilfeldig permutasjon av treningsradene; for hver rad</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bruker target-encodingen kun radene som ligger foran</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permutasjonen. Dette gir et forventningsrett estimat på bekostning av å kjøre</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parallelle modeller på</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ulike permutasjoner.</w:t>
      </w:r>
    </w:p>
    <w:p>
      <w:pPr>
        <w:pStyle w:val="BodyText"/>
        <w:spacing w:line="360" w:lineRule="auto"/>
      </w:pPr>
      <w:r>
        <w:rPr>
          <w:rFonts w:ascii="Times New Roman" w:hAnsi="Times New Roman" w:cs="Times New Roman" w:eastAsia="Times New Roman"/>
          <w:b/>
          <w:bCs/>
          <w:sz w:val="24"/>
        </w:rPr>
        <w:t xml:space="preserve">Symmetriske (oblivious) trær.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Hvert nivå av et CatBoost-tre bruker samme split-feature og terskel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verdi på tvers av alle interne noder på det nivået. Dette gir et balansert binærtre med fast dybde, hvilket er raskere ved inferens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banen er bare en sekvens av sammen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ligninger) og virker som en implisitt regularisering.</w:t>
      </w:r>
    </w:p>
    <w:p>
      <w:pPr>
        <w:pStyle w:val="BodyText"/>
        <w:spacing w:line="360" w:lineRule="auto"/>
      </w:pPr>
      <w:r>
        <w:rPr>
          <w:rFonts w:ascii="Times New Roman" w:hAnsi="Times New Roman" w:cs="Times New Roman" w:eastAsia="Times New Roman"/>
          <w:b/>
          <w:bCs/>
          <w:sz w:val="24"/>
        </w:rPr>
        <w:t xml:space="preserve">Kategorisk encoding via ordered target statistics:</w:t>
      </w:r>
    </w:p>
    <w:p>
      <w:pPr>
        <w:pStyle w:val="BodyText"/>
        <w:spacing w:line="360" w:lineRule="auto"/>
      </w:pPr>
      <m:oMathPara>
        <m:oMathParaPr>
          <m:jc m:val="center"/>
        </m:oMathParaPr>
        <m:oMath>
          <m:sSubSup>
            <m:e>
              <m:acc>
                <m:accPr>
                  <m:chr m:val="̂"/>
                </m:accPr>
                <m:e>
                  <m:r>
                    <m:t>x</m:t>
                  </m:r>
                </m:e>
              </m:acc>
            </m:e>
            <m:sub>
              <m:r>
                <m:t>i</m:t>
              </m:r>
            </m:sub>
            <m:sup>
              <m:r>
                <m:t>c</m:t>
              </m:r>
              <m:r>
                <m:t>a</m:t>
              </m:r>
              <m:r>
                <m:t>t</m:t>
              </m:r>
            </m:sup>
          </m:sSubSup>
          <m:r>
            <m:rPr>
              <m:sty m:val="p"/>
            </m:rPr>
            <m:t>=</m:t>
          </m:r>
          <m:f>
            <m:fPr>
              <m:type m:val="bar"/>
            </m:fPr>
            <m:num>
              <m:nary>
                <m:naryPr>
                  <m:chr m:val="∑"/>
                  <m:limLoc m:val="undOvr"/>
                  <m:subHide m:val="off"/>
                  <m:supHide m:val="on"/>
                </m:naryPr>
                <m:sub>
                  <m:r>
                    <m:t>j</m:t>
                  </m:r>
                  <m:r>
                    <m:rPr>
                      <m:sty m:val="p"/>
                    </m:rPr>
                    <m:t>&lt;</m:t>
                  </m:r>
                  <m:r>
                    <m:t>i</m:t>
                  </m:r>
                  <m:r>
                    <m:rPr>
                      <m:sty m:val="p"/>
                    </m:rPr>
                    <m:t>,</m:t>
                  </m:r>
                  <m:r>
                    <m:t> </m:t>
                  </m:r>
                  <m:sSubSup>
                    <m:e>
                      <m:r>
                        <m:t>x</m:t>
                      </m:r>
                    </m:e>
                    <m:sub>
                      <m:r>
                        <m:t>j</m:t>
                      </m:r>
                    </m:sub>
                    <m:sup>
                      <m:r>
                        <m:t>c</m:t>
                      </m:r>
                      <m:r>
                        <m:t>a</m:t>
                      </m:r>
                      <m:r>
                        <m:t>t</m:t>
                      </m:r>
                    </m:sup>
                  </m:sSubSup>
                  <m:r>
                    <m:rPr>
                      <m:sty m:val="p"/>
                    </m:rPr>
                    <m:t>=</m:t>
                  </m:r>
                  <m:sSubSup>
                    <m:e>
                      <m:r>
                        <m:t>x</m:t>
                      </m:r>
                    </m:e>
                    <m:sub>
                      <m:r>
                        <m:t>i</m:t>
                      </m:r>
                    </m:sub>
                    <m:sup>
                      <m:r>
                        <m:t>c</m:t>
                      </m:r>
                      <m:r>
                        <m:t>a</m:t>
                      </m:r>
                      <m:r>
                        <m:t>t</m:t>
                      </m:r>
                    </m:sup>
                  </m:sSubSup>
                </m:sub>
                <m:sup>
                  <m:r>
                    <m:t>​</m:t>
                  </m:r>
                </m:sup>
                <m:e>
                  <m:sSub>
                    <m:e>
                      <m:r>
                        <m:t>y</m:t>
                      </m:r>
                    </m:e>
                    <m:sub>
                      <m:r>
                        <m:t>j</m:t>
                      </m:r>
                    </m:sub>
                  </m:sSub>
                </m:e>
              </m:nary>
              <m:r>
                <m:rPr>
                  <m:sty m:val="p"/>
                </m:rPr>
                <m:t>+</m:t>
              </m:r>
              <m:r>
                <m:t>a</m:t>
              </m:r>
              <m:r>
                <m:rPr>
                  <m:sty m:val="p"/>
                </m:rPr>
                <m:t>⋅</m:t>
              </m:r>
              <m:r>
                <m:t>p</m:t>
              </m:r>
            </m:num>
            <m:den>
              <m:r>
                <m:rPr>
                  <m:sty m:val="p"/>
                </m:rPr>
                <m:t>#</m:t>
              </m:r>
              <m:r>
                <m:rPr>
                  <m:sty m:val="p"/>
                </m:rPr>
                <m:t>{</m:t>
              </m:r>
              <m:r>
                <m:t>j</m:t>
              </m:r>
              <m:r>
                <m:rPr>
                  <m:sty m:val="p"/>
                </m:rPr>
                <m:t>&lt;</m:t>
              </m:r>
              <m:r>
                <m:t>i</m:t>
              </m:r>
              <m:r>
                <m:rPr>
                  <m:sty m:val="p"/>
                </m:rPr>
                <m:t>:</m:t>
              </m:r>
              <m:sSubSup>
                <m:e>
                  <m:r>
                    <m:t>x</m:t>
                  </m:r>
                </m:e>
                <m:sub>
                  <m:r>
                    <m:t>j</m:t>
                  </m:r>
                </m:sub>
                <m:sup>
                  <m:r>
                    <m:t>c</m:t>
                  </m:r>
                  <m:r>
                    <m:t>a</m:t>
                  </m:r>
                  <m:r>
                    <m:t>t</m:t>
                  </m:r>
                </m:sup>
              </m:sSubSup>
              <m:r>
                <m:rPr>
                  <m:sty m:val="p"/>
                </m:rPr>
                <m:t>=</m:t>
              </m:r>
              <m:sSubSup>
                <m:e>
                  <m:r>
                    <m:t>x</m:t>
                  </m:r>
                </m:e>
                <m:sub>
                  <m:r>
                    <m:t>i</m:t>
                  </m:r>
                </m:sub>
                <m:sup>
                  <m:r>
                    <m:t>c</m:t>
                  </m:r>
                  <m:r>
                    <m:t>a</m:t>
                  </m:r>
                  <m:r>
                    <m:t>t</m:t>
                  </m:r>
                </m:sup>
              </m:sSubSup>
              <m:r>
                <m:rPr>
                  <m:sty m:val="p"/>
                </m:rPr>
                <m:t>}</m:t>
              </m:r>
              <m:r>
                <m:rPr>
                  <m:sty m:val="p"/>
                </m:rPr>
                <m:t>+</m:t>
              </m:r>
              <m:r>
                <m:t>a</m:t>
              </m:r>
            </m:den>
          </m:f>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r>
          <m:t>a</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glattings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prior og</w:t>
      </w:r>
      <w:r>
        <w:rPr>
          <w:rFonts w:ascii="Times New Roman" w:hAnsi="Times New Roman" w:cs="Times New Roman" w:eastAsia="Times New Roman"/>
          <w:sz w:val="24"/>
        </w:rPr>
        <w:t xml:space="preserve"> </w:t>
      </w:r>
      <m:oMath>
        <m:r>
          <m:t>p</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global prior (f.eks. globalt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snitt). Glattingen håndterer lav-frekvente kategorier robust.</w:t>
      </w:r>
    </w:p>
    <w:p>
      <w:pPr>
        <w:pStyle w:val="BodyText"/>
        <w:spacing w:line="360" w:lineRule="auto"/>
      </w:pPr>
      <w:r>
        <w:rPr>
          <w:rFonts w:ascii="Times New Roman" w:hAnsi="Times New Roman" w:cs="Times New Roman" w:eastAsia="Times New Roman"/>
          <w:sz w:val="24"/>
        </w:rPr>
        <w:t xml:space="preserve">I NautiCost er CatBoost paret med LightGBM i ensembelet (§ 6.3) fordi den bringer en annen induktiv bias — symmetriske trær og ordered encoding — som dekorrelerer feilene med LightGBMs leaf-wise asymmetriske trær og reduserer ensemble-variansen.</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CatBoosts uavhengige induktive bias (symmetriske trær, ordered encoding) dekorrelerer feil mot LightGBM og gir ensemble-arkitekturen i § 6.3 mer robusthet ved drift.</w:t>
      </w:r>
    </w:p>
    <w:bookmarkEnd w:id="24"/>
    <w:bookmarkStart w:id="25" w:name="log-transformert-mål-og-evaluering"/>
    <w:p>
      <w:pPr>
        <w:pStyle w:val="Heading3"/>
        <w:spacing w:line="360" w:lineRule="auto"/>
      </w:pPr>
      <w:r>
        <w:rPr>
          <w:rFonts w:ascii="Times New Roman" w:hAnsi="Times New Roman" w:cs="Times New Roman" w:eastAsia="Times New Roman"/>
          <w:sz w:val="24"/>
        </w:rPr>
        <w:t xml:space="preserve">3.4 Log-transformert mål og evaluering</w:t>
      </w:r>
    </w:p>
    <w:p>
      <w:pPr>
        <w:pStyle w:val="FirstParagraph"/>
        <w:spacing w:line="360" w:lineRule="auto"/>
      </w:pPr>
      <w:r>
        <w:rPr>
          <w:rFonts w:ascii="Times New Roman" w:hAnsi="Times New Roman" w:cs="Times New Roman" w:eastAsia="Times New Roman"/>
          <w:sz w:val="24"/>
        </w:rPr>
        <w:t xml:space="preserve">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sterkt høyreskjev: enkelte transaksjoner er 50–100× større enn medianen (jf. § 7.1). To konsekvenser for modellering:</w:t>
      </w:r>
    </w:p>
    <w:p>
      <w:pPr>
        <w:pStyle w:val="Compact"/>
        <w:numPr>
          <w:ilvl w:val="0"/>
          <w:numId w:val="1005"/>
        </w:numPr>
        <w:spacing w:line="360" w:lineRule="auto"/>
      </w:pPr>
      <w:r>
        <w:rPr>
          <w:rFonts w:ascii="Times New Roman" w:hAnsi="Times New Roman" w:cs="Times New Roman" w:eastAsia="Times New Roman"/>
          <w:sz w:val="24"/>
        </w:rPr>
        <w:t xml:space="preserve">Gradient boosting med kvadrat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tap domineres av de største residualene. Uten transformasjon bruker modellen mesteparten av kapasiteten på å redusere feilen for en håndfull dyre transaksjoner mens feilen ellers øker.</w:t>
      </w:r>
    </w:p>
    <w:p>
      <w:pPr>
        <w:pStyle w:val="Compact"/>
        <w:numPr>
          <w:ilvl w:val="0"/>
          <w:numId w:val="1005"/>
        </w:numPr>
        <w:spacing w:line="360" w:lineRule="auto"/>
      </w:pPr>
      <w:r>
        <w:rPr>
          <w:rFonts w:ascii="Times New Roman" w:hAnsi="Times New Roman" w:cs="Times New Roman" w:eastAsia="Times New Roman"/>
          <w:sz w:val="24"/>
        </w:rPr>
        <w:t xml:space="preserve">Multiplikative effekter (en yacht som er dobbelt så stor koster grovt sett dobbelt så mye) blir additive i log-rommet, hvilket matcher den additive strukturen i beslutningstrær bedre.</w:t>
      </w:r>
    </w:p>
    <w:p>
      <w:pPr>
        <w:pStyle w:val="FirstParagraph"/>
        <w:spacing w:line="360" w:lineRule="auto"/>
      </w:pPr>
      <w:r>
        <w:rPr>
          <w:rFonts w:ascii="Times New Roman" w:hAnsi="Times New Roman" w:cs="Times New Roman" w:eastAsia="Times New Roman"/>
          <w:sz w:val="24"/>
        </w:rPr>
        <w:t xml:space="preserve">Standardløsningen er en log-transformasjon:</w:t>
      </w:r>
    </w:p>
    <w:p>
      <w:pPr>
        <w:pStyle w:val="BodyText"/>
        <w:spacing w:line="360" w:lineRule="auto"/>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spacing w:line="360" w:lineRule="auto"/>
      </w:pPr>
      <w:r>
        <w:rPr>
          <w:rFonts w:ascii="Times New Roman" w:hAnsi="Times New Roman" w:cs="Times New Roman" w:eastAsia="Times New Roman"/>
          <w:sz w:val="24"/>
        </w:rPr>
        <w:t xml:space="preserve">«+1»-shiftet håndterer null-kostnads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uten at</w:t>
      </w:r>
      <w:r>
        <w:rPr>
          <w:rFonts w:ascii="Times New Roman" w:hAnsi="Times New Roman" w:cs="Times New Roman" w:eastAsia="Times New Roman"/>
          <w:sz w:val="24"/>
        </w:rPr>
        <w:t xml:space="preserve"> </w:t>
      </w:r>
      <m:oMath>
        <m:r>
          <m:rPr>
            <m:sty m:val="p"/>
          </m:rPr>
          <m:t>log</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divergerer. Prediksjoner inverteres med</w:t>
      </w:r>
      <w:r>
        <w:rPr>
          <w:rFonts w:ascii="Times New Roman" w:hAnsi="Times New Roman" w:cs="Times New Roman" w:eastAsia="Times New Roman"/>
          <w:sz w:val="24"/>
        </w:rPr>
        <w:t xml:space="preserve"> </w:t>
      </w:r>
      <m:oMath>
        <m:acc>
          <m:accPr>
            <m:chr m:val="̂"/>
          </m:accPr>
          <m:e>
            <m:r>
              <m:t>c</m:t>
            </m:r>
          </m:e>
        </m:acc>
        <m:r>
          <m:rPr>
            <m:sty m:val="p"/>
          </m:rPr>
          <m:t>=</m:t>
        </m:r>
        <m:r>
          <m:rPr>
            <m:sty m:val="p"/>
          </m:rPr>
          <m:t>exp</m:t>
        </m:r>
        <m:r>
          <m:rPr>
            <m:sty m:val="p"/>
          </m:rPr>
          <m:t>(</m:t>
        </m:r>
        <m:acc>
          <m:accPr>
            <m:chr m:val="̂"/>
          </m:accPr>
          <m:e>
            <m:r>
              <m:t>y</m:t>
            </m:r>
          </m:e>
        </m:acc>
        <m:r>
          <m:rPr>
            <m:sty m:val="p"/>
          </m:rPr>
          <m:t>)</m:t>
        </m:r>
        <m:r>
          <m:rPr>
            <m:sty m:val="p"/>
          </m:rPr>
          <m:t>−</m:t>
        </m:r>
        <m:r>
          <m:t>1</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de rapporteres.</w:t>
      </w:r>
    </w:p>
    <w:p>
      <w:pPr>
        <w:pStyle w:val="BodyText"/>
        <w:spacing w:line="360" w:lineRule="auto"/>
      </w:pPr>
      <w:r>
        <w:rPr>
          <w:rFonts w:ascii="Times New Roman" w:hAnsi="Times New Roman" w:cs="Times New Roman" w:eastAsia="Times New Roman"/>
          <w:b/>
          <w:bCs/>
          <w:sz w:val="24"/>
        </w:rPr>
        <w:t xml:space="preserve">Evalueringsmetrikker på opprinnelig EUR-skala (jf. § 1.3 om valutaen i kildedataene):</w:t>
      </w:r>
    </w:p>
    <w:p>
      <w:pPr>
        <w:pStyle w:val="Compact"/>
        <w:numPr>
          <w:ilvl w:val="0"/>
          <w:numId w:val="1006"/>
        </w:numPr>
        <w:spacing w:line="360" w:lineRule="auto"/>
      </w:pPr>
      <w:r>
        <w:rPr>
          <w:rFonts w:ascii="Times New Roman" w:hAnsi="Times New Roman" w:cs="Times New Roman" w:eastAsia="Times New Roman"/>
          <w:b/>
          <w:bCs/>
          <w:sz w:val="24"/>
        </w:rPr>
        <w:t xml:space="preserve">Mean Absolute Error (MAE):</w:t>
      </w:r>
      <w:r>
        <w:rPr>
          <w:rFonts w:ascii="Times New Roman" w:hAnsi="Times New Roman" w:cs="Times New Roman" w:eastAsia="Times New Roman"/>
          <w:sz w:val="24"/>
        </w:rP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r>
        <w:rPr>
          <w:rFonts w:ascii="Times New Roman" w:hAnsi="Times New Roman" w:cs="Times New Roman" w:eastAsia="Times New Roman"/>
          <w:sz w:val="24"/>
        </w:rPr>
        <w:t xml:space="preserve">. Rapporterer absolutt avvik i EUR; robust mot outliers.</w:t>
      </w:r>
    </w:p>
    <w:p>
      <w:pPr>
        <w:pStyle w:val="Compact"/>
        <w:numPr>
          <w:ilvl w:val="0"/>
          <w:numId w:val="1006"/>
        </w:numPr>
        <w:spacing w:line="360" w:lineRule="auto"/>
      </w:pPr>
      <w:r>
        <w:rPr>
          <w:rFonts w:ascii="Times New Roman" w:hAnsi="Times New Roman" w:cs="Times New Roman" w:eastAsia="Times New Roman"/>
          <w:b/>
          <w:bCs/>
          <w:sz w:val="24"/>
        </w:rPr>
        <w:t xml:space="preserve">Root Mean Squared Error (RMSE):</w:t>
      </w:r>
      <w:r>
        <w:rPr>
          <w:rFonts w:ascii="Times New Roman" w:hAnsi="Times New Roman" w:cs="Times New Roman" w:eastAsia="Times New Roman"/>
          <w:sz w:val="24"/>
        </w:rP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r>
        <w:rPr>
          <w:rFonts w:ascii="Times New Roman" w:hAnsi="Times New Roman" w:cs="Times New Roman" w:eastAsia="Times New Roman"/>
          <w:sz w:val="24"/>
        </w:rPr>
        <w:t xml:space="preserve">. Straffer store feil hardere; sensitiv mot outliers.</w:t>
      </w:r>
    </w:p>
    <w:p>
      <w:pPr>
        <w:pStyle w:val="Compact"/>
        <w:numPr>
          <w:ilvl w:val="0"/>
          <w:numId w:val="1006"/>
        </w:numPr>
        <w:spacing w:line="360" w:lineRule="auto"/>
      </w:pPr>
      <w:r>
        <w:rPr>
          <w:rFonts w:ascii="Times New Roman" w:hAnsi="Times New Roman" w:cs="Times New Roman" w:eastAsia="Times New Roman"/>
          <w:b/>
          <w:bCs/>
          <w:sz w:val="24"/>
        </w:rPr>
        <w:t xml:space="preserve">Mean Absolute Percentage Error (MAPE):</w:t>
      </w:r>
      <w:r>
        <w:rPr>
          <w:rFonts w:ascii="Times New Roman" w:hAnsi="Times New Roman" w:cs="Times New Roman" w:eastAsia="Times New Roman"/>
          <w:sz w:val="24"/>
        </w:rPr>
        <w:t xml:space="preserve"> </w:t>
      </w:r>
      <m:oMath>
        <m:r>
          <m:rPr>
            <m:nor/>
            <m:sty m:val="p"/>
          </m:rPr>
          <m:t>MAPE</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w:r>
        <w:rPr>
          <w:rFonts w:ascii="Times New Roman" w:hAnsi="Times New Roman" w:cs="Times New Roman" w:eastAsia="Times New Roman"/>
          <w:sz w:val="24"/>
        </w:rPr>
        <w:t xml:space="preserve">. Rapporterer relativ feil i prosent; sensitiv mot små nevnere — små</w:t>
      </w:r>
      <w:r>
        <w:rPr>
          <w:rFonts w:ascii="Times New Roman" w:hAnsi="Times New Roman" w:cs="Times New Roman" w:eastAsia="Times New Roman"/>
          <w:sz w:val="24"/>
        </w:rPr>
        <w:t xml:space="preserve"> </w:t>
      </w:r>
      <m:oMath>
        <m:sSub>
          <m:e>
            <m:r>
              <m:t>y</m:t>
            </m:r>
          </m:e>
          <m:sub>
            <m:r>
              <m:t>i</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blåser opp MAPE.</w:t>
      </w:r>
    </w:p>
    <w:p>
      <w:pPr>
        <w:pStyle w:val="Compact"/>
        <w:numPr>
          <w:ilvl w:val="0"/>
          <w:numId w:val="1006"/>
        </w:numPr>
        <w:spacing w:line="360" w:lineRule="auto"/>
      </w:pPr>
      <w:r>
        <w:rPr>
          <w:rFonts w:ascii="Times New Roman" w:hAnsi="Times New Roman" w:cs="Times New Roman" w:eastAsia="Times New Roman"/>
          <w:b/>
          <w:bCs/>
          <w:sz w:val="24"/>
        </w:rPr>
        <w:t xml:space="preserve">Weighted MAPE (wMAPE):</w:t>
      </w:r>
      <w:r>
        <w:rPr>
          <w:rFonts w:ascii="Times New Roman" w:hAnsi="Times New Roman" w:cs="Times New Roman" w:eastAsia="Times New Roman"/>
          <w:sz w:val="24"/>
        </w:rPr>
        <w:t xml:space="preserve"> </w:t>
      </w:r>
      <m:oMath>
        <m:r>
          <m:rPr>
            <m:nor/>
            <m:sty m:val="p"/>
          </m:rPr>
          <m:t>wMAPE</m:t>
        </m:r>
        <m:r>
          <m:rPr>
            <m:sty m:val="p"/>
          </m:rPr>
          <m:t>=</m:t>
        </m:r>
        <m:r>
          <m:t>100</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num>
          <m:den>
            <m:nary>
              <m:naryPr>
                <m:chr m:val="∑"/>
                <m:limLoc m:val="undOvr"/>
                <m:subHide m:val="off"/>
                <m:supHide m:val="on"/>
              </m:naryPr>
              <m:sub>
                <m:r>
                  <m:t>i</m:t>
                </m:r>
              </m:sub>
              <m:sup>
                <m:r>
                  <m:t>​</m:t>
                </m:r>
              </m:sup>
              <m:e>
                <m:r>
                  <m:rPr>
                    <m:sty m:val="p"/>
                  </m:rPr>
                  <m:t>|</m:t>
                </m:r>
              </m:e>
            </m:nary>
            <m:sSub>
              <m:e>
                <m:r>
                  <m:t>y</m:t>
                </m:r>
              </m:e>
              <m:sub>
                <m:r>
                  <m:t>i</m:t>
                </m:r>
              </m:sub>
            </m:sSub>
            <m:r>
              <m:rPr>
                <m:sty m:val="p"/>
              </m:rPr>
              <m:t>|</m:t>
            </m:r>
          </m:den>
        </m:f>
      </m:oMath>
      <w:r>
        <w:rPr>
          <w:rFonts w:ascii="Times New Roman" w:hAnsi="Times New Roman" w:cs="Times New Roman" w:eastAsia="Times New Roman"/>
          <w:sz w:val="24"/>
        </w:rPr>
        <w:t xml:space="preserve">. Volum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versjon av MAPE der hver feil vektes etter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beløpet; ikke sårbar for små nevnere. Ekvivalent med</w:t>
      </w:r>
      <w:r>
        <w:rPr>
          <w:rFonts w:ascii="Times New Roman" w:hAnsi="Times New Roman" w:cs="Times New Roman" w:eastAsia="Times New Roman"/>
          <w:sz w:val="24"/>
        </w:rPr>
        <w:t xml:space="preserve"> </w:t>
      </w:r>
      <m:oMath>
        <m:r>
          <m:rPr>
            <m:nor/>
            <m:sty m:val="p"/>
          </m:rPr>
          <m:t>MAE</m:t>
        </m:r>
        <m:r>
          <m:rPr>
            <m:sty m:val="p"/>
          </m:rPr>
          <m:t>/</m:t>
        </m:r>
        <m:bar>
          <m:barPr>
            <m:pos m:val="top"/>
          </m:barPr>
          <m:e>
            <m:r>
              <m:t>y</m:t>
            </m:r>
          </m:e>
        </m:bar>
      </m:oMath>
      <w:r>
        <w:rPr>
          <w:rFonts w:ascii="Times New Roman" w:hAnsi="Times New Roman" w:cs="Times New Roman" w:eastAsia="Times New Roman"/>
          <w:sz w:val="24"/>
        </w:rPr>
        <w:t xml:space="preserve">.</w:t>
      </w:r>
    </w:p>
    <w:p>
      <w:pPr>
        <w:pStyle w:val="FirstParagraph"/>
        <w:spacing w:line="360" w:lineRule="auto"/>
      </w:pPr>
      <w:r>
        <w:rPr>
          <w:rFonts w:ascii="Times New Roman" w:hAnsi="Times New Roman" w:cs="Times New Roman" w:eastAsia="Times New Roman"/>
          <w:sz w:val="24"/>
        </w:rPr>
        <w:t xml:space="preserve">I et høyreskjevt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scenario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mest operasjonelt meningsfulle metrikken: en feil på 5 000 EUR har samme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enten regningen er på 10 000 eller 100 000 EUR.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wMAPE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skudd og brukes som sekundær ranking</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metrikk.</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Log-MSE-tap og MAE som primær metrikk er direkte konsekvenser av kostnadsfordelingens skjevhet (§ 7.1).</w:t>
      </w:r>
    </w:p>
    <w:bookmarkEnd w:id="25"/>
    <w:bookmarkStart w:id="26" w:name="kvantilregresjon-og-konform-prediksjon"/>
    <w:p>
      <w:pPr>
        <w:pStyle w:val="Heading3"/>
        <w:spacing w:line="360" w:lineRule="auto"/>
      </w:pPr>
      <w:r>
        <w:rPr>
          <w:rFonts w:ascii="Times New Roman" w:hAnsi="Times New Roman" w:cs="Times New Roman" w:eastAsia="Times New Roman"/>
          <w:sz w:val="24"/>
        </w:rPr>
        <w:t xml:space="preserve">3.5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konform prediksjon</w:t>
      </w:r>
    </w:p>
    <w:p>
      <w:pPr>
        <w:pStyle w:val="FirstParagraph"/>
        <w:spacing w:line="360" w:lineRule="auto"/>
      </w:pPr>
      <w:r>
        <w:rPr>
          <w:rFonts w:ascii="Times New Roman" w:hAnsi="Times New Roman" w:cs="Times New Roman" w:eastAsia="Times New Roman"/>
          <w:sz w:val="24"/>
        </w:rPr>
        <w:t xml:space="preserve">Punktprediksjoner er utilstrekkelige når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er høyreskjev og en agent må kommunisere «dette er typisk kostnad, dette er den øvre plausible grensen».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konform prediksjon gir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intervaller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kalibrert dekning.</w:t>
      </w:r>
    </w:p>
    <w:p>
      <w:pPr>
        <w:pStyle w:val="BodyText"/>
        <w:spacing w:line="360" w:lineRule="auto"/>
      </w:pPr>
      <w:r>
        <w:rPr>
          <w:rFonts w:ascii="Times New Roman" w:hAnsi="Times New Roman" w:cs="Times New Roman" w:eastAsia="Times New Roman"/>
          <w:b/>
          <w:bCs/>
          <w:sz w:val="24"/>
        </w:rPr>
        <w:t xml:space="preserve">Kvantil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regresjon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trener en modell til å predikere</w:t>
      </w:r>
      <w:r>
        <w:rPr>
          <w:rFonts w:ascii="Times New Roman" w:hAnsi="Times New Roman" w:cs="Times New Roman" w:eastAsia="Times New Roman"/>
          <w:sz w:val="24"/>
        </w:rPr>
        <w:t xml:space="preserve"> </w:t>
      </w:r>
      <m:oMath>
        <m:r>
          <m:t>τ</m:t>
        </m:r>
      </m:oMath>
      <w:r>
        <w:rPr>
          <w:rFonts w:ascii="Times New Roman" w:hAnsi="Times New Roman" w:cs="Times New Roman" w:eastAsia="Times New Roman"/>
          <w:sz w:val="24"/>
        </w:rPr>
        <w:t xml:space="preserve">-kvantilet av</w:t>
      </w:r>
      <w:r>
        <w:rPr>
          <w:rFonts w:ascii="Times New Roman" w:hAnsi="Times New Roman" w:cs="Times New Roman" w:eastAsia="Times New Roman"/>
          <w:sz w:val="24"/>
        </w:rPr>
        <w:t xml:space="preserve"> </w:t>
      </w:r>
      <m:oMath>
        <m:r>
          <m:t>y</m:t>
        </m:r>
        <m:r>
          <m:rPr>
            <m:sty m:val="p"/>
          </m:rPr>
          <m:t>∣</m:t>
        </m:r>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å minimere pinball-tapet:</w:t>
      </w:r>
    </w:p>
    <w:p>
      <w:pPr>
        <w:pStyle w:val="BodyText"/>
        <w:spacing w:line="360" w:lineRule="auto"/>
      </w:pPr>
      <m:oMathPara>
        <m:oMathParaPr>
          <m:jc m:val="center"/>
        </m:oMathParaPr>
        <m:oMath>
          <m:sSub>
            <m:e>
              <m:r>
                <m:t>L</m:t>
              </m:r>
            </m:e>
            <m:sub>
              <m:r>
                <m:t>τ</m:t>
              </m:r>
            </m:sub>
          </m:sSub>
          <m:r>
            <m:rPr>
              <m:sty m:val="p"/>
            </m:rPr>
            <m:t>(</m:t>
          </m:r>
          <m:r>
            <m:t>y</m:t>
          </m:r>
          <m:r>
            <m:rPr>
              <m:sty m:val="p"/>
            </m:rPr>
            <m:t>,</m:t>
          </m:r>
          <m:acc>
            <m:accPr>
              <m:chr m:val="̂"/>
            </m:accPr>
            <m:e>
              <m:r>
                <m:t>y</m:t>
              </m:r>
            </m:e>
          </m:acc>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τ</m:t>
                    </m:r>
                    <m:r>
                      <m:rPr>
                        <m:sty m:val="p"/>
                      </m:rPr>
                      <m:t>(</m:t>
                    </m:r>
                    <m:r>
                      <m:t>y</m:t>
                    </m:r>
                    <m:r>
                      <m:rPr>
                        <m:sty m:val="p"/>
                      </m:rPr>
                      <m:t>−</m:t>
                    </m:r>
                    <m:acc>
                      <m:accPr>
                        <m:chr m:val="̂"/>
                      </m:accPr>
                      <m:e>
                        <m:r>
                          <m:t>y</m:t>
                        </m:r>
                      </m:e>
                    </m:acc>
                    <m:r>
                      <m:rPr>
                        <m:sty m:val="p"/>
                      </m:rPr>
                      <m:t>)</m:t>
                    </m:r>
                  </m:e>
                  <m:e>
                    <m:r>
                      <m:rPr>
                        <m:nor/>
                        <m:sty m:val="p"/>
                      </m:rPr>
                      <m:t>hvis </m:t>
                    </m:r>
                    <m:r>
                      <m:t>y</m:t>
                    </m:r>
                    <m:r>
                      <m:rPr>
                        <m:sty m:val="p"/>
                      </m:rPr>
                      <m:t>≥</m:t>
                    </m:r>
                    <m:acc>
                      <m:accPr>
                        <m:chr m:val="̂"/>
                      </m:accPr>
                      <m:e>
                        <m:r>
                          <m:t>y</m:t>
                        </m:r>
                      </m:e>
                    </m:acc>
                  </m:e>
                </m:mr>
                <m:mr>
                  <m:e>
                    <m:r>
                      <m:rPr>
                        <m:sty m:val="p"/>
                      </m:rPr>
                      <m:t>(</m:t>
                    </m:r>
                    <m:r>
                      <m:t>1</m:t>
                    </m:r>
                    <m:r>
                      <m:rPr>
                        <m:sty m:val="p"/>
                      </m:rPr>
                      <m:t>−</m:t>
                    </m:r>
                    <m:r>
                      <m:t>τ</m:t>
                    </m:r>
                    <m:r>
                      <m:rPr>
                        <m:sty m:val="p"/>
                      </m:rPr>
                      <m:t>)</m:t>
                    </m:r>
                    <m:r>
                      <m:rPr>
                        <m:sty m:val="p"/>
                      </m:rPr>
                      <m:t>(</m:t>
                    </m:r>
                    <m:acc>
                      <m:accPr>
                        <m:chr m:val="̂"/>
                      </m:accPr>
                      <m:e>
                        <m:r>
                          <m:t>y</m:t>
                        </m:r>
                      </m:e>
                    </m:acc>
                    <m:r>
                      <m:rPr>
                        <m:sty m:val="p"/>
                      </m:rPr>
                      <m:t>−</m:t>
                    </m:r>
                    <m:r>
                      <m:t>y</m:t>
                    </m:r>
                    <m:r>
                      <m:rPr>
                        <m:sty m:val="p"/>
                      </m:rPr>
                      <m:t>)</m:t>
                    </m:r>
                  </m:e>
                  <m:e>
                    <m:r>
                      <m:rPr>
                        <m:nor/>
                        <m:sty m:val="p"/>
                      </m:rPr>
                      <m:t>hvis </m:t>
                    </m:r>
                    <m:r>
                      <m:t>y</m:t>
                    </m:r>
                    <m:r>
                      <m:rPr>
                        <m:sty m:val="p"/>
                      </m:rPr>
                      <m:t>&lt;</m:t>
                    </m:r>
                    <m:acc>
                      <m:accPr>
                        <m:chr m:val="̂"/>
                      </m:accPr>
                      <m:e>
                        <m:r>
                          <m:t>y</m:t>
                        </m:r>
                      </m:e>
                    </m:acc>
                  </m:e>
                </m:mr>
              </m:m>
            </m:e>
          </m:d>
        </m:oMath>
      </m:oMathPara>
    </w:p>
    <w:p>
      <w:pPr>
        <w:pStyle w:val="FirstParagraph"/>
        <w:spacing w:line="360" w:lineRule="auto"/>
      </w:pP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m:oMath>
        <m:r>
          <m:t>τ</m:t>
        </m:r>
        <m:r>
          <m:rPr>
            <m:sty m:val="p"/>
          </m:rPr>
          <m:t>=</m:t>
        </m:r>
        <m:r>
          <m:t>0</m:t>
        </m:r>
        <m:r>
          <m:rPr>
            <m:sty m:val="p"/>
          </m:rPr>
          <m:t>,</m:t>
        </m:r>
        <m:r>
          <m:t>5</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reduseres dette til middel absolutt feil og gir en median-prediktor. For</w:t>
      </w:r>
      <w:r>
        <w:rPr>
          <w:rFonts w:ascii="Times New Roman" w:hAnsi="Times New Roman" w:cs="Times New Roman" w:eastAsia="Times New Roman"/>
          <w:sz w:val="24"/>
        </w:rPr>
        <w:t xml:space="preserve"> </w:t>
      </w:r>
      <m:oMath>
        <m:r>
          <m:t>τ</m:t>
        </m:r>
        <m:r>
          <m:rPr>
            <m:sty m:val="p"/>
          </m:rPr>
          <m:t>=</m:t>
        </m:r>
        <m:r>
          <m:t>0</m:t>
        </m:r>
        <m:r>
          <m:rPr>
            <m:sty m:val="p"/>
          </m:rPr>
          <m:t>,</m:t>
        </m:r>
        <m:r>
          <m:t>9</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 det en modell der prediksjonen overstiges av sann verdi 10 % av tiden (asymptotisk). LightGBM støtter pinball-tapet som innebygd objektiv; vi trener tre separate modeller for</w:t>
      </w:r>
      <w:r>
        <w:rPr>
          <w:rFonts w:ascii="Times New Roman" w:hAnsi="Times New Roman" w:cs="Times New Roman" w:eastAsia="Times New Roman"/>
          <w:sz w:val="24"/>
        </w:rPr>
        <w:t xml:space="preserve"> </w:t>
      </w:r>
      <m:oMath>
        <m:r>
          <m:t>τ</m:t>
        </m:r>
        <m:r>
          <m:rPr>
            <m:sty m:val="p"/>
          </m:rPr>
          <m:t>∈</m:t>
        </m:r>
        <m:r>
          <m:rPr>
            <m:sty m:val="p"/>
          </m:rPr>
          <m:t>{</m:t>
        </m:r>
        <m:r>
          <m:t>0</m:t>
        </m:r>
        <m:r>
          <m:rPr>
            <m:sty m:val="p"/>
          </m:rPr>
          <m:t>,</m:t>
        </m:r>
        <m:r>
          <m:t>1</m:t>
        </m:r>
        <m:r>
          <m:rPr>
            <m:sty m:val="p"/>
          </m:rPr>
          <m:t>;</m:t>
        </m:r>
        <m:r>
          <m:t>0</m:t>
        </m:r>
        <m:r>
          <m:rPr>
            <m:sty m:val="p"/>
          </m:rPr>
          <m:t>,</m:t>
        </m:r>
        <m:r>
          <m:t>5</m:t>
        </m:r>
        <m:r>
          <m:rPr>
            <m:sty m:val="p"/>
          </m:rPr>
          <m:t>;</m:t>
        </m:r>
        <m:r>
          <m:t>0</m:t>
        </m:r>
        <m:r>
          <m:rPr>
            <m:sty m:val="p"/>
          </m:rPr>
          <m:t>,</m:t>
        </m:r>
        <m:r>
          <m:t>9</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å oppnå P10/P50/P90-prediksjon.</w:t>
      </w:r>
    </w:p>
    <w:p>
      <w:pPr>
        <w:pStyle w:val="BodyText"/>
        <w:spacing w:line="360" w:lineRule="auto"/>
      </w:pPr>
      <w:r>
        <w:rPr>
          <w:rFonts w:ascii="Times New Roman" w:hAnsi="Times New Roman" w:cs="Times New Roman" w:eastAsia="Times New Roman"/>
          <w:b/>
          <w:bCs/>
          <w:sz w:val="24"/>
        </w:rPr>
        <w:t xml:space="preserve">Kalibrerings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problemet.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Selv en velt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renet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garanteres ikke å oppnå nominell dekning på hold-out-data. Empirisk dekning kan drifte fra</w:t>
      </w:r>
      <w:r>
        <w:rPr>
          <w:rFonts w:ascii="Times New Roman" w:hAnsi="Times New Roman" w:cs="Times New Roman" w:eastAsia="Times New Roman"/>
          <w:sz w:val="24"/>
        </w:rPr>
        <w:t xml:space="preserve"> </w:t>
      </w:r>
      <m:oMath>
        <m:r>
          <m:t>1</m:t>
        </m:r>
        <m:r>
          <m:rPr>
            <m:sty m:val="p"/>
          </m:rPr>
          <m:t>−</m:t>
        </m:r>
        <m:r>
          <m:t>2</m:t>
        </m:r>
        <m:r>
          <m:t>α</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grunnet begrenset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misspesifikasjon eller fordelings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drift over tid.</w:t>
      </w:r>
    </w:p>
    <w:p>
      <w:pPr>
        <w:pStyle w:val="BodyText"/>
        <w:spacing w:line="360" w:lineRule="auto"/>
      </w:pPr>
      <w:r>
        <w:rPr>
          <w:rFonts w:ascii="Times New Roman" w:hAnsi="Times New Roman" w:cs="Times New Roman" w:eastAsia="Times New Roman"/>
          <w:b/>
          <w:bCs/>
          <w:sz w:val="24"/>
        </w:rPr>
        <w:t xml:space="preserve">Conformalized Quantile Regression (CQR)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(Romano, Patterson &amp; Candès, 2019) bruker et separat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 til å konvertere en hvilken som helst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prediktor til et kalibrert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 Gitt trenings-, kalibrerings- og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splitter:</w:t>
      </w:r>
    </w:p>
    <w:p>
      <w:pPr>
        <w:pStyle w:val="Compact"/>
        <w:numPr>
          <w:ilvl w:val="0"/>
          <w:numId w:val="1007"/>
        </w:numPr>
        <w:spacing w:line="360" w:lineRule="auto"/>
      </w:pPr>
      <w:r>
        <w:rPr>
          <w:rFonts w:ascii="Times New Roman" w:hAnsi="Times New Roman" w:cs="Times New Roman" w:eastAsia="Times New Roman"/>
          <w:sz w:val="24"/>
        </w:rPr>
        <w:t xml:space="preserve">Tren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for</w:t>
      </w:r>
      <w:r>
        <w:rPr>
          <w:rFonts w:ascii="Times New Roman" w:hAnsi="Times New Roman" w:cs="Times New Roman" w:eastAsia="Times New Roman"/>
          <w:sz w:val="24"/>
        </w:rPr>
        <w:t xml:space="preserve"> </w:t>
      </w:r>
      <m:oMath>
        <m:r>
          <m:t>τ</m:t>
        </m:r>
        <m:r>
          <m:rPr>
            <m:sty m:val="p"/>
          </m:rPr>
          <m:t>=</m:t>
        </m:r>
        <m:r>
          <m:t>α</m:t>
        </m:r>
        <m:r>
          <m:rPr>
            <m:sty m:val="p"/>
          </m:rPr>
          <m:t>/</m:t>
        </m:r>
        <m:r>
          <m:t>2</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m:oMath>
        <m:r>
          <m:t>τ</m:t>
        </m:r>
        <m:r>
          <m:rPr>
            <m:sty m:val="p"/>
          </m:rPr>
          <m:t>=</m:t>
        </m:r>
        <m:r>
          <m:t>1</m:t>
        </m:r>
        <m:r>
          <m:rPr>
            <m:sty m:val="p"/>
          </m:rPr>
          <m:t>−</m:t>
        </m:r>
        <m:r>
          <m:t>α</m:t>
        </m:r>
        <m:r>
          <m:rPr>
            <m:sty m:val="p"/>
          </m:rPr>
          <m:t>/</m:t>
        </m:r>
        <m:r>
          <m:t>2</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og oppnå</w:t>
      </w:r>
      <w:r>
        <w:rPr>
          <w:rFonts w:ascii="Times New Roman" w:hAnsi="Times New Roman" w:cs="Times New Roman" w:eastAsia="Times New Roman"/>
          <w:sz w:val="24"/>
        </w:rPr>
        <w:t xml:space="preserve"> </w:t>
      </w:r>
      <m:oMath>
        <m:sSub>
          <m:e>
            <m:acc>
              <m:accPr>
                <m:chr m:val="̂"/>
              </m:accPr>
              <m:e>
                <m:r>
                  <m:t>q</m:t>
                </m:r>
              </m:e>
            </m:acc>
          </m:e>
          <m:sub>
            <m:r>
              <m:t>l</m:t>
            </m:r>
            <m:r>
              <m:t>o</m:t>
            </m:r>
          </m:sub>
        </m:sSub>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m:oMath>
        <m:sSub>
          <m:e>
            <m:acc>
              <m:accPr>
                <m:chr m:val="̂"/>
              </m:accPr>
              <m:e>
                <m:r>
                  <m:t>q</m:t>
                </m:r>
              </m:e>
            </m:acc>
          </m:e>
          <m:sub>
            <m:r>
              <m:t>h</m:t>
            </m:r>
            <m:r>
              <m:t>i</m:t>
            </m:r>
          </m:sub>
        </m:sSub>
        <m:r>
          <m:rPr>
            <m:sty m:val="p"/>
          </m:rPr>
          <m:t>(</m:t>
        </m:r>
        <m:r>
          <m:t>x</m:t>
        </m:r>
        <m:r>
          <m:rPr>
            <m:sty m:val="p"/>
          </m:rPr>
          <m:t>)</m:t>
        </m:r>
      </m:oMath>
      <w:r>
        <w:rPr>
          <w:rFonts w:ascii="Times New Roman" w:hAnsi="Times New Roman" w:cs="Times New Roman" w:eastAsia="Times New Roman"/>
          <w:sz w:val="24"/>
        </w:rPr>
        <w:t xml:space="preserve">.</w:t>
      </w:r>
    </w:p>
    <w:p>
      <w:pPr>
        <w:pStyle w:val="Compact"/>
        <w:numPr>
          <w:ilvl w:val="0"/>
          <w:numId w:val="1007"/>
        </w:numPr>
        <w:spacing w:line="360" w:lineRule="auto"/>
      </w:pPr>
      <w:r>
        <w:rPr>
          <w:rFonts w:ascii="Times New Roman" w:hAnsi="Times New Roman" w:cs="Times New Roman" w:eastAsia="Times New Roman"/>
          <w:sz w:val="24"/>
        </w:rPr>
        <w:t xml:space="preserve">På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beregn ikke-konformitets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score:</w:t>
      </w:r>
    </w:p>
    <w:p>
      <w:pPr>
        <w:pStyle w:val="Compact"/>
        <w:spacing w:line="360" w:lineRule="auto"/>
      </w:pPr>
      <m:oMathPara>
        <m:oMathParaPr>
          <m:jc m:val="center"/>
        </m:oMathParaPr>
        <m:oMath>
          <m:sSub>
            <m:e>
              <m:r>
                <m:t>E</m:t>
              </m:r>
            </m:e>
            <m:sub>
              <m:r>
                <m:t>i</m:t>
              </m:r>
            </m:sub>
          </m:sSub>
          <m:r>
            <m:rPr>
              <m:sty m:val="p"/>
            </m:rPr>
            <m:t>=</m:t>
          </m:r>
          <m:r>
            <m:rPr>
              <m:sty m:val="p"/>
            </m:rPr>
            <m:t>max</m:t>
          </m:r>
          <m:r>
            <m:rPr>
              <m:sty m:val="p"/>
            </m:rPr>
            <m:t>{</m:t>
          </m:r>
          <m:sSub>
            <m:e>
              <m:acc>
                <m:accPr>
                  <m:chr m:val="̂"/>
                </m:accPr>
                <m:e>
                  <m:r>
                    <m:t>q</m:t>
                  </m:r>
                </m:e>
              </m:acc>
            </m:e>
            <m:sub>
              <m:r>
                <m:t>l</m:t>
              </m:r>
              <m:r>
                <m:t>o</m:t>
              </m:r>
            </m:sub>
          </m:sSub>
          <m:r>
            <m:rPr>
              <m:sty m:val="p"/>
            </m:rPr>
            <m:t>(</m:t>
          </m:r>
          <m:sSub>
            <m:e>
              <m:r>
                <m:t>x</m:t>
              </m:r>
            </m:e>
            <m:sub>
              <m:r>
                <m:t>i</m:t>
              </m:r>
            </m:sub>
          </m:sSub>
          <m:r>
            <m:rPr>
              <m:sty m:val="p"/>
            </m:rPr>
            <m:t>)</m:t>
          </m:r>
          <m:r>
            <m:rPr>
              <m:sty m:val="p"/>
            </m:rPr>
            <m:t>−</m:t>
          </m:r>
          <m:sSub>
            <m:e>
              <m:r>
                <m:t>y</m:t>
              </m:r>
            </m:e>
            <m:sub>
              <m:r>
                <m:t>i</m:t>
              </m:r>
            </m:sub>
          </m:sSub>
          <m:r>
            <m:rPr>
              <m:sty m:val="p"/>
            </m:rPr>
            <m:t>,</m:t>
          </m:r>
          <m:r>
            <m:t> </m:t>
          </m:r>
          <m:sSub>
            <m:e>
              <m:r>
                <m:t>y</m:t>
              </m:r>
            </m:e>
            <m:sub>
              <m:r>
                <m:t>i</m:t>
              </m:r>
            </m:sub>
          </m:sSub>
          <m:r>
            <m:rPr>
              <m:sty m:val="p"/>
            </m:rPr>
            <m:t>−</m:t>
          </m:r>
          <m:sSub>
            <m:e>
              <m:acc>
                <m:accPr>
                  <m:chr m:val="̂"/>
                </m:accPr>
                <m:e>
                  <m:r>
                    <m:t>q</m:t>
                  </m:r>
                </m:e>
              </m:acc>
            </m:e>
            <m:sub>
              <m:r>
                <m:t>h</m:t>
              </m:r>
              <m:r>
                <m:t>i</m:t>
              </m:r>
            </m:sub>
          </m:sSub>
          <m:r>
            <m:rPr>
              <m:sty m:val="p"/>
            </m:rPr>
            <m:t>(</m:t>
          </m:r>
          <m:sSub>
            <m:e>
              <m:r>
                <m:t>x</m:t>
              </m:r>
            </m:e>
            <m:sub>
              <m:r>
                <m:t>i</m:t>
              </m:r>
            </m:sub>
          </m:sSub>
          <m:r>
            <m:rPr>
              <m:sty m:val="p"/>
            </m:rPr>
            <m:t>)</m:t>
          </m:r>
          <m:r>
            <m:rPr>
              <m:sty m:val="p"/>
            </m:rPr>
            <m:t>}</m:t>
          </m:r>
        </m:oMath>
      </m:oMathPara>
    </w:p>
    <w:p>
      <w:pPr>
        <w:pStyle w:val="Compact"/>
        <w:numPr>
          <w:ilvl w:val="0"/>
          <w:numId w:val="1007"/>
        </w:numPr>
        <w:spacing w:line="360" w:lineRule="auto"/>
      </w:pPr>
      <w:r>
        <w:rPr>
          <w:rFonts w:ascii="Times New Roman" w:hAnsi="Times New Roman" w:cs="Times New Roman" w:eastAsia="Times New Roman"/>
          <w:sz w:val="24"/>
        </w:rPr>
        <w:t xml:space="preserve">La</w:t>
      </w:r>
      <w:r>
        <w:rPr>
          <w:rFonts w:ascii="Times New Roman" w:hAnsi="Times New Roman" w:cs="Times New Roman" w:eastAsia="Times New Roman"/>
          <w:sz w:val="24"/>
        </w:rPr>
        <w:t xml:space="preserve"> </w:t>
      </w:r>
      <m:oMath>
        <m:sSub>
          <m:e>
            <m:r>
              <m:t>Q</m:t>
            </m:r>
          </m:e>
          <m:sub>
            <m:r>
              <m:t>1</m:t>
            </m:r>
            <m:r>
              <m:rPr>
                <m:sty m:val="p"/>
              </m:rPr>
              <m:t>−</m:t>
            </m:r>
            <m:r>
              <m:t>α</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være</w:t>
      </w:r>
      <w:r>
        <w:rPr>
          <w:rFonts w:ascii="Times New Roman" w:hAnsi="Times New Roman" w:cs="Times New Roman" w:eastAsia="Times New Roman"/>
          <w:sz w:val="24"/>
        </w:rPr>
        <w:t xml:space="preserve"> </w:t>
      </w:r>
      <m:oMath>
        <m:r>
          <m:rPr>
            <m:sty m:val="p"/>
          </m:rPr>
          <m:t>⌈</m:t>
        </m:r>
        <m:r>
          <m:rPr>
            <m:sty m:val="p"/>
          </m:rPr>
          <m:t>(</m:t>
        </m:r>
        <m:sSub>
          <m:e>
            <m:r>
              <m:t>n</m:t>
            </m:r>
          </m:e>
          <m:sub>
            <m:r>
              <m:t>c</m:t>
            </m:r>
            <m:r>
              <m:t>a</m:t>
            </m:r>
            <m: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sSub>
          <m:e>
            <m:r>
              <m:t>n</m:t>
            </m:r>
          </m:e>
          <m:sub>
            <m:r>
              <m:t>c</m:t>
            </m:r>
            <m:r>
              <m:t>a</m:t>
            </m:r>
            <m:r>
              <m:t>l</m:t>
            </m:r>
          </m:sub>
        </m:sSub>
      </m:oMath>
      <w:r>
        <w:rPr>
          <w:rFonts w:ascii="Times New Roman" w:hAnsi="Times New Roman" w:cs="Times New Roman" w:eastAsia="Times New Roman"/>
          <w:sz w:val="24"/>
        </w:rPr>
        <w:t xml:space="preserve">-kvantilet av</w:t>
      </w:r>
      <w:r>
        <w:rPr>
          <w:rFonts w:ascii="Times New Roman" w:hAnsi="Times New Roman" w:cs="Times New Roman" w:eastAsia="Times New Roman"/>
          <w:sz w:val="24"/>
        </w:rPr>
        <w:t xml:space="preserve"> </w:t>
      </w:r>
      <m:oMath>
        <m:r>
          <m:rPr>
            <m:sty m:val="p"/>
          </m:rPr>
          <m:t>{</m:t>
        </m:r>
        <m:sSub>
          <m:e>
            <m:r>
              <m:t>E</m:t>
            </m:r>
          </m:e>
          <m:sub>
            <m:r>
              <m:t>i</m:t>
            </m:r>
          </m:sub>
        </m:sSub>
        <m:r>
          <m:rPr>
            <m:sty m:val="p"/>
          </m:rPr>
          <m:t>}</m:t>
        </m:r>
      </m:oMath>
      <w:r>
        <w:rPr>
          <w:rFonts w:ascii="Times New Roman" w:hAnsi="Times New Roman" w:cs="Times New Roman" w:eastAsia="Times New Roman"/>
          <w:sz w:val="24"/>
        </w:rPr>
        <w:t xml:space="preserve">.</w:t>
      </w:r>
    </w:p>
    <w:p>
      <w:pPr>
        <w:pStyle w:val="Compact"/>
        <w:numPr>
          <w:ilvl w:val="0"/>
          <w:numId w:val="1007"/>
        </w:numPr>
        <w:spacing w:line="360" w:lineRule="auto"/>
      </w:pPr>
      <w:r>
        <w:rPr>
          <w:rFonts w:ascii="Times New Roman" w:hAnsi="Times New Roman" w:cs="Times New Roman" w:eastAsia="Times New Roman"/>
          <w:sz w:val="24"/>
        </w:rPr>
        <w:t xml:space="preserve">CQR-prediksjons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intervallet er:</w:t>
      </w:r>
    </w:p>
    <w:p>
      <w:pPr>
        <w:pStyle w:val="Compact"/>
        <w:spacing w:line="360" w:lineRule="auto"/>
      </w:pPr>
      <m:oMathPara>
        <m:oMathParaPr>
          <m:jc m:val="center"/>
        </m:oMathParaPr>
        <m:oMath>
          <m:r>
            <m:t>C</m:t>
          </m:r>
          <m:r>
            <m:rPr>
              <m:sty m:val="p"/>
            </m:rPr>
            <m:t>(</m:t>
          </m:r>
          <m:r>
            <m:t>x</m:t>
          </m:r>
          <m:r>
            <m:rPr>
              <m:sty m:val="p"/>
            </m:rPr>
            <m:t>)</m:t>
          </m:r>
          <m:r>
            <m:rPr>
              <m:sty m:val="p"/>
            </m:rPr>
            <m:t>=</m:t>
          </m:r>
          <m:d>
            <m:dPr>
              <m:begChr m:val="["/>
              <m:sepChr m:val=""/>
              <m:endChr m:val="]"/>
              <m:grow/>
            </m:dPr>
            <m:e>
              <m:sSub>
                <m:e>
                  <m:acc>
                    <m:accPr>
                      <m:chr m:val="̂"/>
                    </m:accPr>
                    <m:e>
                      <m:r>
                        <m:t>q</m:t>
                      </m:r>
                    </m:e>
                  </m:acc>
                </m:e>
                <m:sub>
                  <m:r>
                    <m:t>l</m:t>
                  </m:r>
                  <m:r>
                    <m:t>o</m:t>
                  </m:r>
                </m:sub>
              </m:sSub>
              <m:r>
                <m:rPr>
                  <m:sty m:val="p"/>
                </m:rPr>
                <m:t>(</m:t>
              </m:r>
              <m:r>
                <m:t>x</m:t>
              </m:r>
              <m:r>
                <m:rPr>
                  <m:sty m:val="p"/>
                </m:rPr>
                <m:t>)</m:t>
              </m:r>
              <m:r>
                <m:rPr>
                  <m:sty m:val="p"/>
                </m:rPr>
                <m:t>−</m:t>
              </m:r>
              <m:sSub>
                <m:e>
                  <m:r>
                    <m:t>Q</m:t>
                  </m:r>
                </m:e>
                <m:sub>
                  <m:r>
                    <m:t>1</m:t>
                  </m:r>
                  <m:r>
                    <m:rPr>
                      <m:sty m:val="p"/>
                    </m:rPr>
                    <m:t>−</m:t>
                  </m:r>
                  <m:r>
                    <m:t>α</m:t>
                  </m:r>
                </m:sub>
              </m:sSub>
              <m:r>
                <m:rPr>
                  <m:sty m:val="p"/>
                </m:rPr>
                <m:t>,</m:t>
              </m:r>
              <m:r>
                <m:t> </m:t>
              </m:r>
              <m:sSub>
                <m:e>
                  <m:acc>
                    <m:accPr>
                      <m:chr m:val="̂"/>
                    </m:accPr>
                    <m:e>
                      <m:r>
                        <m:t>q</m:t>
                      </m:r>
                    </m:e>
                  </m:acc>
                </m:e>
                <m:sub>
                  <m:r>
                    <m:t>h</m:t>
                  </m:r>
                  <m:r>
                    <m:t>i</m:t>
                  </m:r>
                </m:sub>
              </m:sSub>
              <m:r>
                <m:rPr>
                  <m:sty m:val="p"/>
                </m:rPr>
                <m:t>(</m:t>
              </m:r>
              <m:r>
                <m:t>x</m:t>
              </m:r>
              <m:r>
                <m:rPr>
                  <m:sty m:val="p"/>
                </m:rPr>
                <m:t>)</m:t>
              </m:r>
              <m:r>
                <m:rPr>
                  <m:sty m:val="p"/>
                </m:rPr>
                <m:t>+</m:t>
              </m:r>
              <m:sSub>
                <m:e>
                  <m:r>
                    <m:t>Q</m:t>
                  </m:r>
                </m:e>
                <m:sub>
                  <m:r>
                    <m:t>1</m:t>
                  </m:r>
                  <m:r>
                    <m:rPr>
                      <m:sty m:val="p"/>
                    </m:rPr>
                    <m:t>−</m:t>
                  </m:r>
                  <m:r>
                    <m:t>α</m:t>
                  </m:r>
                </m:sub>
              </m:sSub>
            </m:e>
          </m:d>
        </m:oMath>
      </m:oMathPara>
    </w:p>
    <w:p>
      <w:pPr>
        <w:pStyle w:val="FirstParagraph"/>
        <w:spacing w:line="360" w:lineRule="auto"/>
      </w:pPr>
      <w:r>
        <w:rPr>
          <w:rFonts w:ascii="Times New Roman" w:hAnsi="Times New Roman" w:cs="Times New Roman" w:eastAsia="Times New Roman"/>
          <w:sz w:val="24"/>
        </w:rPr>
        <w:t xml:space="preserve">CQR-justeringen</w:t>
      </w:r>
      <w:r>
        <w:rPr>
          <w:rFonts w:ascii="Times New Roman" w:hAnsi="Times New Roman" w:cs="Times New Roman" w:eastAsia="Times New Roman"/>
          <w:sz w:val="24"/>
        </w:rPr>
        <w:t xml:space="preserve"> </w:t>
      </w:r>
      <m:oMath>
        <m:sSub>
          <m:e>
            <m:r>
              <m:t>Q</m:t>
            </m:r>
          </m:e>
          <m:sub>
            <m:r>
              <m:t>1</m:t>
            </m:r>
            <m:r>
              <m:rPr>
                <m:sty m:val="p"/>
              </m:rPr>
              <m:t>−</m:t>
            </m:r>
            <m:r>
              <m:t>α</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garanterer endelig-utvalgs dekning</w:t>
      </w:r>
      <w:r>
        <w:rPr>
          <w:rFonts w:ascii="Times New Roman" w:hAnsi="Times New Roman" w:cs="Times New Roman" w:eastAsia="Times New Roman"/>
          <w:sz w:val="24"/>
        </w:rPr>
        <w:t xml:space="preserve"> </w:t>
      </w:r>
      <m:oMath>
        <m:r>
          <m:rPr>
            <m:sty m:val="p"/>
          </m:rPr>
          <m:t>Pr</m:t>
        </m:r>
        <m:r>
          <m:rPr>
            <m:sty m:val="p"/>
          </m:rPr>
          <m:t>(</m:t>
        </m:r>
        <m:r>
          <m:t>y</m:t>
        </m:r>
        <m:r>
          <m:rPr>
            <m:sty m:val="p"/>
          </m:rPr>
          <m:t>∈</m:t>
        </m:r>
        <m:r>
          <m:t>C</m:t>
        </m:r>
        <m:r>
          <m:rPr>
            <m:sty m:val="p"/>
          </m:rPr>
          <m:t>(</m:t>
        </m:r>
        <m:r>
          <m:t>x</m:t>
        </m:r>
        <m:r>
          <m:rPr>
            <m:sty m:val="p"/>
          </m:rPr>
          <m:t>)</m:t>
        </m:r>
        <m:r>
          <m:rPr>
            <m:sty m:val="p"/>
          </m:rPr>
          <m:t>)</m:t>
        </m:r>
        <m:r>
          <m:rPr>
            <m:sty m:val="p"/>
          </m:rPr>
          <m:t>≥</m:t>
        </m:r>
        <m:r>
          <m:t>1</m:t>
        </m:r>
        <m:r>
          <m:rPr>
            <m:sty m:val="p"/>
          </m:rPr>
          <m:t>−</m:t>
        </m:r>
        <m:r>
          <m:t>α</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utbyttbarhet av (kalibrering, test)-data, uavhengig av hvor dårlig kalibrert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Hvor stor justering CQR faktisk gir på vårt datasett, og hva det forteller om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drøftes i § 6.4 og § 8.2.</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gir spenn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et (DP4), og CQR garanterer kalibrert dekning på små datasett.</w:t>
      </w:r>
    </w:p>
    <w:bookmarkEnd w:id="26"/>
    <w:bookmarkStart w:id="27" w:name="shap-verdier"/>
    <w:p>
      <w:pPr>
        <w:pStyle w:val="Heading3"/>
        <w:spacing w:line="360" w:lineRule="auto"/>
      </w:pPr>
      <w:r>
        <w:rPr>
          <w:rFonts w:ascii="Times New Roman" w:hAnsi="Times New Roman" w:cs="Times New Roman" w:eastAsia="Times New Roman"/>
          <w:sz w:val="24"/>
        </w:rPr>
        <w:t xml:space="preserve">3.6 SHAP-verdier</w:t>
      </w:r>
    </w:p>
    <w:p>
      <w:pPr>
        <w:pStyle w:val="FirstParagraph"/>
        <w:spacing w:line="360" w:lineRule="auto"/>
      </w:pPr>
      <w:r>
        <w:rPr>
          <w:rFonts w:ascii="Times New Roman" w:hAnsi="Times New Roman" w:cs="Times New Roman" w:eastAsia="Times New Roman"/>
          <w:sz w:val="24"/>
        </w:rPr>
        <w:t xml:space="preserve">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er presise men opake: en prognose på 17 000 EUR forteller ikke i seg selv</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hvorfor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var det GT, havnen, sesongen?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SHAP (SHapley Additive exPlanations)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(Lundberg &amp; Lee, 2017) dekomponerer en prediksjon i per-feature bidrag med basis i kooperativ spillteori.</w:t>
      </w:r>
    </w:p>
    <w:p>
      <w:pPr>
        <w:pStyle w:val="BodyText"/>
        <w:spacing w:line="360" w:lineRule="auto"/>
      </w:pPr>
      <w:r>
        <w:rPr>
          <w:rFonts w:ascii="Times New Roman" w:hAnsi="Times New Roman" w:cs="Times New Roman" w:eastAsia="Times New Roman"/>
          <w:sz w:val="24"/>
        </w:rPr>
        <w:t xml:space="preserve">For en modell</w:t>
      </w:r>
      <w:r>
        <w:rPr>
          <w:rFonts w:ascii="Times New Roman" w:hAnsi="Times New Roman" w:cs="Times New Roman" w:eastAsia="Times New Roman"/>
          <w:sz w:val="24"/>
        </w:rPr>
        <w:t xml:space="preserve"> </w:t>
      </w:r>
      <m:oMath>
        <m:r>
          <m:t>f</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et input</w:t>
      </w:r>
      <w:r>
        <w:rPr>
          <w:rFonts w:ascii="Times New Roman" w:hAnsi="Times New Roman" w:cs="Times New Roman" w:eastAsia="Times New Roman"/>
          <w:sz w:val="24"/>
        </w:rPr>
        <w:t xml:space="preserve"> </w:t>
      </w:r>
      <m:oMath>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SHAP-verdien til feature</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w:t>
      </w:r>
    </w:p>
    <w:p>
      <w:pPr>
        <w:pStyle w:val="BodyText"/>
        <w:spacing w:line="360" w:lineRule="auto"/>
      </w:pPr>
      <m:oMathPara>
        <m:oMathParaPr>
          <m:jc m:val="center"/>
        </m:oMathParaPr>
        <m:oMath>
          <m:sSub>
            <m:e>
              <m:r>
                <m:t>ϕ</m:t>
              </m:r>
            </m:e>
            <m:sub>
              <m:r>
                <m:t>j</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j</m:t>
              </m:r>
              <m:r>
                <m:rPr>
                  <m:sty m:val="p"/>
                </m:rPr>
                <m:t>}</m:t>
              </m:r>
            </m:sub>
            <m:sup>
              <m:r>
                <m:t>​</m:t>
              </m:r>
            </m:sup>
            <m:e>
              <m:f>
                <m:fPr>
                  <m:type m:val="bar"/>
                </m:fPr>
                <m:num>
                  <m:r>
                    <m:rPr>
                      <m:sty m:val="p"/>
                    </m:rPr>
                    <m:t>|</m:t>
                  </m:r>
                  <m:r>
                    <m:t>S</m:t>
                  </m:r>
                  <m:r>
                    <m:rPr>
                      <m:sty m:val="p"/>
                    </m:rPr>
                    <m:t>|</m:t>
                  </m:r>
                  <m:r>
                    <m:rPr>
                      <m:sty m:val="p"/>
                    </m:rPr>
                    <m:t>!</m:t>
                  </m:r>
                  <m:r>
                    <m:t> </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r>
                <m:t> </m:t>
              </m:r>
              <m:sSub>
                <m:e>
                  <m:r>
                    <m:t>f</m:t>
                  </m:r>
                </m:e>
                <m:sub>
                  <m:r>
                    <m:t>S</m:t>
                  </m:r>
                  <m:r>
                    <m:rPr>
                      <m:sty m:val="p"/>
                    </m:rPr>
                    <m:t>∪</m:t>
                  </m:r>
                  <m:r>
                    <m:rPr>
                      <m:sty m:val="p"/>
                    </m:rPr>
                    <m:t>{</m:t>
                  </m:r>
                  <m:r>
                    <m:t>j</m:t>
                  </m:r>
                  <m:r>
                    <m:rPr>
                      <m:sty m:val="p"/>
                    </m:rPr>
                    <m:t>}</m:t>
                  </m:r>
                </m:sub>
              </m:sSub>
              <m:r>
                <m:rPr>
                  <m:sty m:val="p"/>
                </m:rPr>
                <m:t>(</m:t>
              </m:r>
              <m:r>
                <m:t>x</m:t>
              </m:r>
              <m:r>
                <m:rPr>
                  <m:sty m:val="p"/>
                </m:rPr>
                <m:t>)</m:t>
              </m:r>
              <m:r>
                <m:rPr>
                  <m:sty m:val="p"/>
                </m:rPr>
                <m:t>−</m:t>
              </m:r>
              <m:sSub>
                <m:e>
                  <m:r>
                    <m:t>f</m:t>
                  </m:r>
                </m:e>
                <m:sub>
                  <m:r>
                    <m:t>S</m:t>
                  </m:r>
                </m:sub>
              </m:sSub>
              <m:r>
                <m:rPr>
                  <m:sty m:val="p"/>
                </m:rPr>
                <m:t>(</m:t>
              </m:r>
              <m:r>
                <m:t>x</m:t>
              </m:r>
              <m:r>
                <m:rPr>
                  <m:sty m:val="p"/>
                </m:rPr>
                <m:t>)</m:t>
              </m:r>
              <m:r>
                <m:t> </m:t>
              </m:r>
            </m:e>
          </m:d>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r>
          <m:t>F</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feature-mengden,</w:t>
      </w:r>
      <w:r>
        <w:rPr>
          <w:rFonts w:ascii="Times New Roman" w:hAnsi="Times New Roman" w:cs="Times New Roman" w:eastAsia="Times New Roman"/>
          <w:sz w:val="24"/>
        </w:rPr>
        <w:t xml:space="preserve"> </w:t>
      </w:r>
      <m:oMath>
        <m:r>
          <m:t>S</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løper over delmengder uten</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 og</w:t>
      </w:r>
      <w:r>
        <w:rPr>
          <w:rFonts w:ascii="Times New Roman" w:hAnsi="Times New Roman" w:cs="Times New Roman" w:eastAsia="Times New Roman"/>
          <w:sz w:val="24"/>
        </w:rPr>
        <w:t xml:space="preserve"> </w:t>
      </w:r>
      <m:oMath>
        <m:sSub>
          <m:e>
            <m:r>
              <m:t>f</m:t>
            </m:r>
          </m:e>
          <m:sub>
            <m:r>
              <m:t>S</m:t>
            </m:r>
          </m:sub>
        </m:sSub>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modellens forventede prediksjon når kun features i</w:t>
      </w:r>
      <w:r>
        <w:rPr>
          <w:rFonts w:ascii="Times New Roman" w:hAnsi="Times New Roman" w:cs="Times New Roman" w:eastAsia="Times New Roman"/>
          <w:sz w:val="24"/>
        </w:rPr>
        <w:t xml:space="preserve"> </w:t>
      </w:r>
      <m:oMath>
        <m:r>
          <m:t>S</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observert. Dette er Shapley-verdien fra koalisjons-spillteori:</w:t>
      </w:r>
      <w:r>
        <w:rPr>
          <w:rFonts w:ascii="Times New Roman" w:hAnsi="Times New Roman" w:cs="Times New Roman" w:eastAsia="Times New Roman"/>
          <w:sz w:val="24"/>
        </w:rPr>
        <w:t xml:space="preserve"> </w:t>
      </w:r>
      <m:oMath>
        <m:sSub>
          <m:e>
            <m:r>
              <m:t>ϕ</m:t>
            </m:r>
          </m:e>
          <m:sub>
            <m:r>
              <m:t>j</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det gjennomsnittlige marginale bidraget fra</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alle mulige feature-rekkefølger.</w:t>
      </w:r>
    </w:p>
    <w:p>
      <w:pPr>
        <w:pStyle w:val="BodyText"/>
        <w:spacing w:line="360" w:lineRule="auto"/>
      </w:pPr>
      <w:r>
        <w:rPr>
          <w:rFonts w:ascii="Times New Roman" w:hAnsi="Times New Roman" w:cs="Times New Roman" w:eastAsia="Times New Roman"/>
          <w:sz w:val="24"/>
        </w:rPr>
        <w:t xml:space="preserve">SHAP-verdier oppfyller tre ønskelige egenskaper: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Lokal nøyaktighet:</w:t>
      </w:r>
      <w:r>
        <w:rPr>
          <w:rFonts w:ascii="Times New Roman" w:hAnsi="Times New Roman" w:cs="Times New Roman" w:eastAsia="Times New Roman"/>
          <w:sz w:val="24"/>
        </w:rPr>
        <w:t xml:space="preserve"> </w:t>
      </w:r>
      <m:oMath>
        <m:r>
          <m:t>f</m:t>
        </m:r>
        <m:r>
          <m:rPr>
            <m:sty m:val="p"/>
          </m:rPr>
          <m:t>(</m:t>
        </m:r>
        <m:r>
          <m:t>x</m:t>
        </m:r>
        <m:r>
          <m:rPr>
            <m:sty m:val="p"/>
          </m:rPr>
          <m:t>)</m:t>
        </m:r>
        <m:r>
          <m:rPr>
            <m:sty m:val="p"/>
          </m:rPr>
          <m:t>=</m:t>
        </m:r>
        <m:sSub>
          <m:e>
            <m:r>
              <m:t>ϕ</m:t>
            </m:r>
          </m:e>
          <m:sub>
            <m:r>
              <m:t>0</m:t>
            </m:r>
          </m:sub>
        </m:sSub>
        <m:r>
          <m:rPr>
            <m:sty m:val="p"/>
          </m:rPr>
          <m:t>+</m:t>
        </m:r>
        <m:nary>
          <m:naryPr>
            <m:chr m:val="∑"/>
            <m:limLoc m:val="undOvr"/>
            <m:subHide m:val="off"/>
            <m:supHide m:val="on"/>
          </m:naryPr>
          <m:sub>
            <m:r>
              <m:t>j</m:t>
            </m:r>
          </m:sub>
          <m:sup>
            <m:r>
              <m:t>​</m:t>
            </m:r>
          </m:sup>
          <m:e>
            <m:sSub>
              <m:e>
                <m:r>
                  <m:t>ϕ</m:t>
                </m:r>
              </m:e>
              <m:sub>
                <m:r>
                  <m:t>j</m:t>
                </m:r>
              </m:sub>
            </m:sSub>
          </m:e>
        </m:nary>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prediksjoner dekomponeres eksakt i en baseline pluss per-feature bidrag.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Manglende verdier: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features uten påvirkning får</w:t>
      </w:r>
      <w:r>
        <w:rPr>
          <w:rFonts w:ascii="Times New Roman" w:hAnsi="Times New Roman" w:cs="Times New Roman" w:eastAsia="Times New Roman"/>
          <w:sz w:val="24"/>
        </w:rPr>
        <w:t xml:space="preserve"> </w:t>
      </w:r>
      <m:oMath>
        <m:sSub>
          <m:e>
            <m:r>
              <m:t>ϕ</m:t>
            </m:r>
          </m:e>
          <m:sub>
            <m:r>
              <m:t>j</m:t>
            </m:r>
          </m:sub>
        </m:sSub>
        <m:r>
          <m:rPr>
            <m:sty m:val="p"/>
          </m:rPr>
          <m:t>=</m:t>
        </m:r>
        <m:r>
          <m:t>0</m:t>
        </m:r>
      </m:oMath>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Konsistens: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hvis en features bidrag øker i en modell, kan SHAP-verdien dens ikke synke.</w:t>
      </w:r>
    </w:p>
    <w:p>
      <w:pPr>
        <w:pStyle w:val="BodyText"/>
        <w:spacing w:line="360" w:lineRule="auto"/>
      </w:pPr>
      <w:r>
        <w:rPr>
          <w:rFonts w:ascii="Times New Roman" w:hAnsi="Times New Roman" w:cs="Times New Roman" w:eastAsia="Times New Roman"/>
          <w:sz w:val="24"/>
        </w:rPr>
        <w:t xml:space="preserve">Eksakt beregning av SHAP-verdier er eksponensiell i antall features. For tre-ensembler beregner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TreeSHAP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(Lundberg et al., 2020) eksakte SHAP-verdier i polynom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ved å traversere hvert tres bane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struktur og spore betingede forventninger. Dette gjør per-prediksjon-forklaring mulig på en 26-feature modell på milli</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sekunder.</w:t>
      </w:r>
    </w:p>
    <w:p>
      <w:pPr>
        <w:pStyle w:val="BodyText"/>
        <w:spacing w:line="360" w:lineRule="auto"/>
      </w:pPr>
      <w:r>
        <w:rPr>
          <w:rFonts w:ascii="Times New Roman" w:hAnsi="Times New Roman" w:cs="Times New Roman" w:eastAsia="Times New Roman"/>
          <w:sz w:val="24"/>
        </w:rPr>
        <w:t xml:space="preserve">I NautiCost (§ 7.3) brukes TreeSHAP både globalt (gjennomsnittlig absolutt SHAP per feature → feature importance-rangering) og lokalt (per-prediksjon waterfall-plott når en agent spør «hvorfor predikerte modellen dette tallet?»).</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Forklarbarhet er forutsetning for DP5 — SHAP kobler modellvalg (DP2) til operasjonalisering uten å gå på bekostning av prestasjon.</w:t>
      </w:r>
    </w:p>
    <w:p>
      <w:pPr>
        <w:spacing w:line="360" w:lineRule="auto"/>
      </w:pPr>
      <w:r>
        <w:rPr>
          <w:rFonts w:ascii="Times New Roman" w:hAnsi="Times New Roman" w:cs="Times New Roman" w:eastAsia="Times New Roman"/>
          <w:sz w:val="24"/>
        </w:rPr>
        <w:pict>
          <v:rect style="width:0;height:1.5pt" o:hralign="center" o:hrstd="t" o:hr="t"/>
        </w:pict>
      </w:r>
    </w:p>
    <w:bookmarkEnd w:id="27"/>
    <w:bookmarkEnd w:id="28"/>
    <w:bookmarkStart w:id="29" w:name="casebeskrivelse"/>
    <w:p>
      <w:pPr>
        <w:pStyle w:val="Heading2"/>
        <w:spacing w:line="360" w:lineRule="auto"/>
      </w:pPr>
      <w:r>
        <w:rPr>
          <w:rFonts w:ascii="Times New Roman" w:hAnsi="Times New Roman" w:cs="Times New Roman" w:eastAsia="Times New Roman"/>
          <w:sz w:val="24"/>
        </w:rPr>
        <w:t xml:space="preserve">4. Casebeskrivelse</w:t>
      </w:r>
    </w:p>
    <w:p>
      <w:pPr>
        <w:pStyle w:val="FirstParagraph"/>
        <w:spacing w:line="360" w:lineRule="auto"/>
      </w:pPr>
      <w:r>
        <w:rPr>
          <w:rFonts w:ascii="Times New Roman" w:hAnsi="Times New Roman" w:cs="Times New Roman" w:eastAsia="Times New Roman"/>
          <w:b/>
          <w:bCs/>
          <w:sz w:val="24"/>
        </w:rPr>
        <w:t xml:space="preserve">Yachting Operations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(heretter: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bedriften</w:t>
      </w:r>
      <w:r>
        <w:rPr>
          <w:rFonts w:ascii="Times New Roman" w:hAnsi="Times New Roman" w:cs="Times New Roman" w:eastAsia="Times New Roman"/>
          <w:sz w:val="24"/>
        </w:rPr>
        <w:t xml:space="preserve">) er en skandinavisk yachtagent som koordinerer anløp av kommersielle og privat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eide superyachter til havner i Norge, Sverige og Danmark. Bedriften driver fra tre kontorer: Bergen Office (norske havner), Stockholm Office (svenske havner) og Copenhagen Office (danske havner). Kjerne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tjenestene er gruppert i syv kategorier: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Kategori</w:t>
            </w:r>
          </w:p>
        </w:tc>
        <w:tc>
          <w:tcPr/>
          <w:p>
            <w:pPr>
              <w:pStyle w:val="Compact"/>
              <w:spacing w:line="360" w:lineRule="auto"/>
            </w:pPr>
            <w:r>
              <w:rPr>
                <w:rFonts w:ascii="Times New Roman" w:hAnsi="Times New Roman" w:cs="Times New Roman" w:eastAsia="Times New Roman"/>
                <w:sz w:val="24"/>
              </w:rPr>
              <w:t xml:space="preserve">Eksempler</w:t>
            </w:r>
          </w:p>
        </w:tc>
      </w:tr>
      <w:tr>
        <w:tc>
          <w:tcPr/>
          <w:p>
            <w:pPr>
              <w:pStyle w:val="Compact"/>
              <w:spacing w:line="360" w:lineRule="auto"/>
            </w:pPr>
            <w:r>
              <w:rPr>
                <w:rFonts w:ascii="Times New Roman" w:hAnsi="Times New Roman" w:cs="Times New Roman" w:eastAsia="Times New Roman"/>
                <w:b/>
                <w:bCs/>
                <w:sz w:val="24"/>
              </w:rPr>
              <w:t xml:space="preserve">Port Marina</w:t>
            </w:r>
          </w:p>
        </w:tc>
        <w:tc>
          <w:tcPr/>
          <w:p>
            <w:pPr>
              <w:pStyle w:val="Compact"/>
              <w:spacing w:line="360" w:lineRule="auto"/>
            </w:pPr>
            <w:r>
              <w:rPr>
                <w:rFonts w:ascii="Times New Roman" w:hAnsi="Times New Roman" w:cs="Times New Roman" w:eastAsia="Times New Roman"/>
                <w:sz w:val="24"/>
              </w:rPr>
              <w:t xml:space="preserve">Havneavgift,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NOx-skatt, fortøyning</w:t>
            </w:r>
          </w:p>
        </w:tc>
      </w:tr>
      <w:tr>
        <w:tc>
          <w:tcPr/>
          <w:p>
            <w:pPr>
              <w:pStyle w:val="Compact"/>
              <w:spacing w:line="360" w:lineRule="auto"/>
            </w:pPr>
            <w:r>
              <w:rPr>
                <w:rFonts w:ascii="Times New Roman" w:hAnsi="Times New Roman" w:cs="Times New Roman" w:eastAsia="Times New Roman"/>
                <w:b/>
                <w:bCs/>
                <w:sz w:val="24"/>
              </w:rPr>
              <w:t xml:space="preserve">Agency Services</w:t>
            </w:r>
          </w:p>
        </w:tc>
        <w:tc>
          <w:tcPr/>
          <w:p>
            <w:pPr>
              <w:pStyle w:val="Compact"/>
              <w:spacing w:line="360" w:lineRule="auto"/>
            </w:pPr>
            <w:r>
              <w:rPr>
                <w:rFonts w:ascii="Times New Roman" w:hAnsi="Times New Roman" w:cs="Times New Roman" w:eastAsia="Times New Roman"/>
                <w:sz w:val="24"/>
              </w:rPr>
              <w:t xml:space="preserve">Tollklarering, immigrasjon, kurer, innkjøp</w:t>
            </w:r>
          </w:p>
        </w:tc>
      </w:tr>
      <w:tr>
        <w:tc>
          <w:tcPr/>
          <w:p>
            <w:pPr>
              <w:pStyle w:val="Compact"/>
              <w:spacing w:line="360" w:lineRule="auto"/>
            </w:pPr>
            <w:r>
              <w:rPr>
                <w:rFonts w:ascii="Times New Roman" w:hAnsi="Times New Roman" w:cs="Times New Roman" w:eastAsia="Times New Roman"/>
                <w:b/>
                <w:bCs/>
                <w:sz w:val="24"/>
              </w:rPr>
              <w:t xml:space="preserve">Hospitality</w:t>
            </w:r>
          </w:p>
        </w:tc>
        <w:tc>
          <w:tcPr/>
          <w:p>
            <w:pPr>
              <w:pStyle w:val="Compact"/>
              <w:spacing w:line="360" w:lineRule="auto"/>
            </w:pPr>
            <w:r>
              <w:rPr>
                <w:rFonts w:ascii="Times New Roman" w:hAnsi="Times New Roman" w:cs="Times New Roman" w:eastAsia="Times New Roman"/>
                <w:sz w:val="24"/>
              </w:rPr>
              <w:t xml:space="preserve">Transportservice, guide, hotell, leiebil</w:t>
            </w:r>
          </w:p>
        </w:tc>
      </w:tr>
      <w:tr>
        <w:tc>
          <w:tcPr/>
          <w:p>
            <w:pPr>
              <w:pStyle w:val="Compact"/>
              <w:spacing w:line="360" w:lineRule="auto"/>
            </w:pPr>
            <w:r>
              <w:rPr>
                <w:rFonts w:ascii="Times New Roman" w:hAnsi="Times New Roman" w:cs="Times New Roman" w:eastAsia="Times New Roman"/>
                <w:b/>
                <w:bCs/>
                <w:sz w:val="24"/>
              </w:rPr>
              <w:t xml:space="preserve">Provisioning</w:t>
            </w:r>
          </w:p>
        </w:tc>
        <w:tc>
          <w:tcPr/>
          <w:p>
            <w:pPr>
              <w:pStyle w:val="Compact"/>
              <w:spacing w:line="360" w:lineRule="auto"/>
            </w:pPr>
            <w:r>
              <w:rPr>
                <w:rFonts w:ascii="Times New Roman" w:hAnsi="Times New Roman" w:cs="Times New Roman" w:eastAsia="Times New Roman"/>
                <w:sz w:val="24"/>
              </w:rPr>
              <w:t xml:space="preserve">Mat, drikke, blomster</w:t>
            </w:r>
          </w:p>
        </w:tc>
      </w:tr>
      <w:tr>
        <w:tc>
          <w:tcPr/>
          <w:p>
            <w:pPr>
              <w:pStyle w:val="Compact"/>
              <w:spacing w:line="360" w:lineRule="auto"/>
            </w:pPr>
            <w:r>
              <w:rPr>
                <w:rFonts w:ascii="Times New Roman" w:hAnsi="Times New Roman" w:cs="Times New Roman" w:eastAsia="Times New Roman"/>
                <w:b/>
                <w:bCs/>
                <w:sz w:val="24"/>
              </w:rPr>
              <w:t xml:space="preserve">Technical Services</w:t>
            </w:r>
          </w:p>
        </w:tc>
        <w:tc>
          <w:tcPr/>
          <w:p>
            <w:pPr>
              <w:pStyle w:val="Compact"/>
              <w:spacing w:line="360" w:lineRule="auto"/>
            </w:pPr>
            <w:r>
              <w:rPr>
                <w:rFonts w:ascii="Times New Roman" w:hAnsi="Times New Roman" w:cs="Times New Roman" w:eastAsia="Times New Roman"/>
                <w:sz w:val="24"/>
              </w:rPr>
              <w:t xml:space="preserve">Tekniker, mekaniker, dykker, snekker</w:t>
            </w:r>
          </w:p>
        </w:tc>
      </w:tr>
      <w:tr>
        <w:tc>
          <w:tcPr/>
          <w:p>
            <w:pPr>
              <w:pStyle w:val="Compact"/>
              <w:spacing w:line="360" w:lineRule="auto"/>
            </w:pPr>
            <w:r>
              <w:rPr>
                <w:rFonts w:ascii="Times New Roman" w:hAnsi="Times New Roman" w:cs="Times New Roman" w:eastAsia="Times New Roman"/>
                <w:b/>
                <w:bCs/>
                <w:sz w:val="24"/>
              </w:rPr>
              <w:t xml:space="preserve">Bunkering</w:t>
            </w:r>
          </w:p>
        </w:tc>
        <w:tc>
          <w:tcPr/>
          <w:p>
            <w:pPr>
              <w:pStyle w:val="Compact"/>
              <w:spacing w:line="360" w:lineRule="auto"/>
            </w:pPr>
            <w:r>
              <w:rPr>
                <w:rFonts w:ascii="Times New Roman" w:hAnsi="Times New Roman" w:cs="Times New Roman" w:eastAsia="Times New Roman"/>
                <w:sz w:val="24"/>
              </w:rPr>
              <w:t xml:space="preserve">Diesel, smøreolje</w:t>
            </w:r>
          </w:p>
        </w:tc>
      </w:tr>
      <w:tr>
        <w:tc>
          <w:tcPr/>
          <w:p>
            <w:pPr>
              <w:pStyle w:val="Compact"/>
              <w:spacing w:line="360" w:lineRule="auto"/>
            </w:pPr>
            <w:r>
              <w:rPr>
                <w:rFonts w:ascii="Times New Roman" w:hAnsi="Times New Roman" w:cs="Times New Roman" w:eastAsia="Times New Roman"/>
                <w:b/>
                <w:bCs/>
                <w:sz w:val="24"/>
              </w:rPr>
              <w:t xml:space="preserve">Agency Fee</w:t>
            </w:r>
          </w:p>
        </w:tc>
        <w:tc>
          <w:tcPr/>
          <w:p>
            <w:pPr>
              <w:pStyle w:val="Compact"/>
              <w:spacing w:line="360" w:lineRule="auto"/>
            </w:pPr>
            <w:r>
              <w:rPr>
                <w:rFonts w:ascii="Times New Roman" w:hAnsi="Times New Roman" w:cs="Times New Roman" w:eastAsia="Times New Roman"/>
                <w:sz w:val="24"/>
              </w:rPr>
              <w:t xml:space="preserve">Selve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honoraret</w:t>
            </w:r>
          </w:p>
        </w:tc>
      </w:tr>
    </w:tbl>
    <w:p>
      <w:pPr>
        <w:pStyle w:val="BodyTex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 varierer betydelig mellom havner: Tromsø har en høy andel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knyttet til toll og innkjøp, Stockholm domineres av hospitality, og Bergen har den bredeste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paletten med 38 forskjellige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typer i datasettet.</w:t>
      </w:r>
    </w:p>
    <w:p>
      <w:pPr>
        <w:pStyle w:val="BodyText"/>
        <w:spacing w:line="360" w:lineRule="auto"/>
      </w:pPr>
      <w:r>
        <w:rPr>
          <w:rFonts w:ascii="Times New Roman" w:hAnsi="Times New Roman" w:cs="Times New Roman" w:eastAsia="Times New Roman"/>
          <w:sz w:val="24"/>
        </w:rPr>
        <w:t xml:space="preserve">Yachtene som behandles er i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spennet 51,9–2 407 GT, der norske myndigheter krever los (</w:t>
      </w:r>
      <w:r>
        <w:rPr>
          <w:rStyle w:val="VerbatimChar"/>
          <w:rFonts w:ascii="Times New Roman" w:hAnsi="Times New Roman" w:cs="Times New Roman" w:eastAsia="Times New Roman"/>
          <w:sz w:val="24"/>
        </w:rPr>
        <w:t xml:space="preserve">Loskrav = Ja</w:t>
      </w:r>
      <w:r>
        <w:rPr>
          <w:rFonts w:ascii="Times New Roman" w:hAnsi="Times New Roman" w:cs="Times New Roman" w:eastAsia="Times New Roman"/>
          <w:sz w:val="24"/>
        </w:rPr>
        <w:t xml:space="preserve">) for fartøy med LOA &gt; 70 m. Bedriften kategoriserer fartøy i tre størrelser:</w:t>
      </w:r>
    </w:p>
    <w:p>
      <w:pPr>
        <w:pStyle w:val="Compact"/>
        <w:numPr>
          <w:ilvl w:val="0"/>
          <w:numId w:val="1008"/>
        </w:numPr>
        <w:spacing w:line="360" w:lineRule="auto"/>
      </w:pPr>
      <w:r>
        <w:rPr>
          <w:rFonts w:ascii="Times New Roman" w:hAnsi="Times New Roman" w:cs="Times New Roman" w:eastAsia="Times New Roman"/>
          <w:b/>
          <w:bCs/>
          <w:sz w:val="24"/>
        </w:rPr>
        <w:t xml:space="preserve">Liten: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&lt; 98</w:t>
      </w:r>
    </w:p>
    <w:p>
      <w:pPr>
        <w:pStyle w:val="Compact"/>
        <w:numPr>
          <w:ilvl w:val="0"/>
          <w:numId w:val="1008"/>
        </w:numPr>
        <w:spacing w:line="360" w:lineRule="auto"/>
      </w:pPr>
      <w:r>
        <w:rPr>
          <w:rFonts w:ascii="Times New Roman" w:hAnsi="Times New Roman" w:cs="Times New Roman" w:eastAsia="Times New Roman"/>
          <w:b/>
          <w:bCs/>
          <w:sz w:val="24"/>
        </w:rPr>
        <w:t xml:space="preserve">Mellomstor: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98 ≤ GT ≤ 1000</w:t>
      </w:r>
    </w:p>
    <w:p>
      <w:pPr>
        <w:pStyle w:val="Compact"/>
        <w:numPr>
          <w:ilvl w:val="0"/>
          <w:numId w:val="1008"/>
        </w:numPr>
        <w:spacing w:line="360" w:lineRule="auto"/>
      </w:pPr>
      <w:r>
        <w:rPr>
          <w:rFonts w:ascii="Times New Roman" w:hAnsi="Times New Roman" w:cs="Times New Roman" w:eastAsia="Times New Roman"/>
          <w:b/>
          <w:bCs/>
          <w:sz w:val="24"/>
        </w:rPr>
        <w:t xml:space="preserve">Stor: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&gt; 1000</w:t>
      </w:r>
    </w:p>
    <w:p>
      <w:pPr>
        <w:pStyle w:val="FirstParagraph"/>
        <w:spacing w:line="360" w:lineRule="auto"/>
      </w:pPr>
      <w:r>
        <w:rPr>
          <w:rFonts w:ascii="Times New Roman" w:hAnsi="Times New Roman" w:cs="Times New Roman" w:eastAsia="Times New Roman"/>
          <w:sz w:val="24"/>
        </w:rPr>
        <w:t xml:space="preserve">I dag utarbeides forhånds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manuelt og varierer i kvalitet mellom koordinatorer. Bedriften ønsker et internt verktøy som gir et raskt, konsistent og forklarbart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 — det er behovet NautiCost dekker.</w:t>
      </w:r>
    </w:p>
    <w:p>
      <w:pPr>
        <w:spacing w:line="360" w:lineRule="auto"/>
      </w:pPr>
      <w:r>
        <w:rPr>
          <w:rFonts w:ascii="Times New Roman" w:hAnsi="Times New Roman" w:cs="Times New Roman" w:eastAsia="Times New Roman"/>
          <w:sz w:val="24"/>
        </w:rPr>
        <w:pict>
          <v:rect style="width:0;height:1.5pt" o:hralign="center" o:hrstd="t" o:hr="t"/>
        </w:pict>
      </w:r>
    </w:p>
    <w:bookmarkEnd w:id="29"/>
    <w:bookmarkStart w:id="38" w:name="metode-og-data"/>
    <w:p>
      <w:pPr>
        <w:pStyle w:val="Heading2"/>
        <w:spacing w:line="360" w:lineRule="auto"/>
      </w:pPr>
      <w:r>
        <w:rPr>
          <w:rFonts w:ascii="Times New Roman" w:hAnsi="Times New Roman" w:cs="Times New Roman" w:eastAsia="Times New Roman"/>
          <w:sz w:val="24"/>
        </w:rPr>
        <w:t xml:space="preserve">5. Metode og data</w:t>
      </w:r>
    </w:p>
    <w:bookmarkStart w:id="30" w:name="prosessmapping-mot-pensumkompendiet"/>
    <w:p>
      <w:pPr>
        <w:pStyle w:val="Heading3"/>
        <w:spacing w:line="360" w:lineRule="auto"/>
      </w:pPr>
      <w:r>
        <w:rPr>
          <w:rFonts w:ascii="Times New Roman" w:hAnsi="Times New Roman" w:cs="Times New Roman" w:eastAsia="Times New Roman"/>
          <w:sz w:val="24"/>
        </w:rPr>
        <w:t xml:space="preserve">5.0 Prosess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mapping mot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w:t>
      </w:r>
    </w:p>
    <w:p>
      <w:pPr>
        <w:pStyle w:val="FirstParagraph"/>
        <w:spacing w:line="360" w:lineRule="auto"/>
      </w:pPr>
      <w:r>
        <w:rPr>
          <w:rFonts w:ascii="Times New Roman" w:hAnsi="Times New Roman" w:cs="Times New Roman" w:eastAsia="Times New Roman"/>
          <w:sz w:val="24"/>
        </w:rPr>
        <w:t xml:space="preserve">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(Pettersen &amp; Rekdal, 2026, § i.4) foreskriver en femtrinns prosess for et kvantitativt logistikk</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prosjekt. NautiCost følger denne prosessen, og tabellen under viser hvilke kapitler som realiserer hvert steg: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Prosess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steg (kompendiet § i.4)</w:t>
            </w:r>
          </w:p>
        </w:tc>
        <w:tc>
          <w:tcPr/>
          <w:p>
            <w:pPr>
              <w:pStyle w:val="Compact"/>
              <w:spacing w:line="360" w:lineRule="auto"/>
            </w:pPr>
            <w:r>
              <w:rPr>
                <w:rFonts w:ascii="Times New Roman" w:hAnsi="Times New Roman" w:cs="Times New Roman" w:eastAsia="Times New Roman"/>
                <w:sz w:val="24"/>
              </w:rPr>
              <w:t xml:space="preserve">Realisert i NautiCost-rapporten</w:t>
            </w:r>
          </w:p>
        </w:tc>
      </w:tr>
      <w:tr>
        <w:tc>
          <w:tcPr/>
          <w:p>
            <w:pPr>
              <w:pStyle w:val="Compact"/>
              <w:spacing w:line="360" w:lineRule="auto"/>
            </w:pPr>
            <w:r>
              <w:rPr>
                <w:rFonts w:ascii="Times New Roman" w:hAnsi="Times New Roman" w:cs="Times New Roman" w:eastAsia="Times New Roman"/>
                <w:sz w:val="24"/>
              </w:rPr>
              <w:t xml:space="preserve">Steg 1: Datainnsamling</w:t>
            </w:r>
          </w:p>
        </w:tc>
        <w:tc>
          <w:tcPr/>
          <w:p>
            <w:pPr>
              <w:pStyle w:val="Compact"/>
              <w:spacing w:line="360" w:lineRule="auto"/>
            </w:pPr>
            <w:r>
              <w:rPr>
                <w:rFonts w:ascii="Times New Roman" w:hAnsi="Times New Roman" w:cs="Times New Roman" w:eastAsia="Times New Roman"/>
                <w:sz w:val="24"/>
              </w:rPr>
              <w:t xml:space="preserve">§ 5.2 datakilder, § 5.3 datapreparering</w:t>
            </w:r>
          </w:p>
        </w:tc>
      </w:tr>
      <w:tr>
        <w:tc>
          <w:tcPr/>
          <w:p>
            <w:pPr>
              <w:pStyle w:val="Compact"/>
              <w:spacing w:line="360" w:lineRule="auto"/>
            </w:pPr>
            <w:r>
              <w:rPr>
                <w:rFonts w:ascii="Times New Roman" w:hAnsi="Times New Roman" w:cs="Times New Roman" w:eastAsia="Times New Roman"/>
                <w:sz w:val="24"/>
              </w:rPr>
              <w:t xml:space="preserve">Steg 2: Sjekk av antakelser</w:t>
            </w:r>
          </w:p>
        </w:tc>
        <w:tc>
          <w:tcPr/>
          <w:p>
            <w:pPr>
              <w:pStyle w:val="Compact"/>
              <w:spacing w:line="360" w:lineRule="auto"/>
            </w:pPr>
            <w:r>
              <w:rPr>
                <w:rFonts w:ascii="Times New Roman" w:hAnsi="Times New Roman" w:cs="Times New Roman" w:eastAsia="Times New Roman"/>
                <w:sz w:val="24"/>
              </w:rPr>
              <w:t xml:space="preserve">§ 5.7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diagnostikk, § 7.4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analyse</w:t>
            </w:r>
          </w:p>
        </w:tc>
      </w:tr>
      <w:tr>
        <w:tc>
          <w:tcPr/>
          <w:p>
            <w:pPr>
              <w:pStyle w:val="Compact"/>
              <w:spacing w:line="360" w:lineRule="auto"/>
            </w:pPr>
            <w:r>
              <w:rPr>
                <w:rFonts w:ascii="Times New Roman" w:hAnsi="Times New Roman" w:cs="Times New Roman" w:eastAsia="Times New Roman"/>
                <w:sz w:val="24"/>
              </w:rPr>
              <w:t xml:space="preserve">Steg 3: Løsning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estimering)</w:t>
            </w:r>
          </w:p>
        </w:tc>
        <w:tc>
          <w:tcPr/>
          <w:p>
            <w:pPr>
              <w:pStyle w:val="Compact"/>
              <w:spacing w:line="360" w:lineRule="auto"/>
            </w:pPr>
            <w:r>
              <w:rPr>
                <w:rFonts w:ascii="Times New Roman" w:hAnsi="Times New Roman" w:cs="Times New Roman" w:eastAsia="Times New Roman"/>
                <w:sz w:val="24"/>
              </w:rPr>
              <w:t xml:space="preserve">§ 6.3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 6.4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 6.5 hybrid kalibrering</w:t>
            </w:r>
          </w:p>
        </w:tc>
      </w:tr>
      <w:tr>
        <w:tc>
          <w:tcPr/>
          <w:p>
            <w:pPr>
              <w:pStyle w:val="Compact"/>
              <w:spacing w:line="360" w:lineRule="auto"/>
            </w:pPr>
            <w:r>
              <w:rPr>
                <w:rFonts w:ascii="Times New Roman" w:hAnsi="Times New Roman" w:cs="Times New Roman" w:eastAsia="Times New Roman"/>
                <w:sz w:val="24"/>
              </w:rPr>
              <w:t xml:space="preserve">Steg 4: Sjekk av løsning</w:t>
            </w:r>
          </w:p>
        </w:tc>
        <w:tc>
          <w:tcPr/>
          <w:p>
            <w:pPr>
              <w:pStyle w:val="Compact"/>
              <w:spacing w:line="360" w:lineRule="auto"/>
            </w:pPr>
            <w:r>
              <w:rPr>
                <w:rFonts w:ascii="Times New Roman" w:hAnsi="Times New Roman" w:cs="Times New Roman" w:eastAsia="Times New Roman"/>
                <w:sz w:val="24"/>
              </w:rPr>
              <w:t xml:space="preserve">§ 8 resultater (valideringssett-metrikker + endelig testsett-evaluering), § 8.2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dekning</w:t>
            </w:r>
          </w:p>
        </w:tc>
      </w:tr>
      <w:tr>
        <w:tc>
          <w:tcPr/>
          <w:p>
            <w:pPr>
              <w:pStyle w:val="Compact"/>
              <w:spacing w:line="360" w:lineRule="auto"/>
            </w:pPr>
            <w:r>
              <w:rPr>
                <w:rFonts w:ascii="Times New Roman" w:hAnsi="Times New Roman" w:cs="Times New Roman" w:eastAsia="Times New Roman"/>
                <w:sz w:val="24"/>
              </w:rPr>
              <w:t xml:space="preserve">Steg 5: Anvendelse</w:t>
            </w:r>
          </w:p>
        </w:tc>
        <w:tc>
          <w:tcPr/>
          <w:p>
            <w:pPr>
              <w:pStyle w:val="Compact"/>
              <w:spacing w:line="360" w:lineRule="auto"/>
            </w:pPr>
            <w:r>
              <w:rPr>
                <w:rFonts w:ascii="Times New Roman" w:hAnsi="Times New Roman" w:cs="Times New Roman" w:eastAsia="Times New Roman"/>
                <w:sz w:val="24"/>
              </w:rPr>
              <w:t xml:space="preserve">§ 6.5 hybrid kalibrering på anløpsnivå, § 8.4 operasjonell ytelse, § 9.5 brukertest</w:t>
            </w:r>
          </w:p>
        </w:tc>
      </w:tr>
    </w:tbl>
    <w:p>
      <w:pPr>
        <w:pStyle w:val="BodyText"/>
        <w:spacing w:line="360" w:lineRule="auto"/>
      </w:pPr>
      <w:r>
        <w:rPr>
          <w:rFonts w:ascii="Times New Roman" w:hAnsi="Times New Roman" w:cs="Times New Roman" w:eastAsia="Times New Roman"/>
          <w:sz w:val="24"/>
        </w:rPr>
        <w:t xml:space="preserve">Mappingen sikrer at lesere som har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kan navigere rapporten med kjent rammeverk, og at de fem trinnene er dekket før vi konkluderer i § 10.</w:t>
      </w:r>
    </w:p>
    <w:bookmarkEnd w:id="30"/>
    <w:bookmarkStart w:id="31" w:name="forskningsdesign"/>
    <w:p>
      <w:pPr>
        <w:pStyle w:val="Heading3"/>
        <w:spacing w:line="360" w:lineRule="auto"/>
      </w:pPr>
      <w:r>
        <w:rPr>
          <w:rFonts w:ascii="Times New Roman" w:hAnsi="Times New Roman" w:cs="Times New Roman" w:eastAsia="Times New Roman"/>
          <w:sz w:val="24"/>
        </w:rPr>
        <w:t xml:space="preserve">5.1 Forskningsdesign</w:t>
      </w:r>
    </w:p>
    <w:p>
      <w:pPr>
        <w:pStyle w:val="FirstParagraph"/>
        <w:spacing w:line="360" w:lineRule="auto"/>
      </w:pPr>
      <w:r>
        <w:rPr>
          <w:rFonts w:ascii="Times New Roman" w:hAnsi="Times New Roman" w:cs="Times New Roman" w:eastAsia="Times New Roman"/>
          <w:sz w:val="24"/>
        </w:rPr>
        <w:t xml:space="preserve">Prosjektet følger et anvendt-prediktivt forskningsdesign: vi formulerer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estimering som et superviseret regresjonsproblem på transaksjonsnivå, med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split for å unngå data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lekkasje, og evaluerer modellen mot operasjonelt relevante feilmetrikker (MAE i EUR — kildedataenes egen valuta, jf. § 1.3 — samt P25–P75-dekning).</w:t>
      </w:r>
    </w:p>
    <w:bookmarkEnd w:id="31"/>
    <w:bookmarkStart w:id="32" w:name="datakilder"/>
    <w:p>
      <w:pPr>
        <w:pStyle w:val="Heading3"/>
        <w:spacing w:line="360" w:lineRule="auto"/>
      </w:pPr>
      <w:r>
        <w:rPr>
          <w:rFonts w:ascii="Times New Roman" w:hAnsi="Times New Roman" w:cs="Times New Roman" w:eastAsia="Times New Roman"/>
          <w:sz w:val="24"/>
        </w:rPr>
        <w:t xml:space="preserve">5.2 Datakilder</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spacing w:line="360" w:lineRule="auto"/>
            </w:pPr>
            <w:r>
              <w:rPr>
                <w:rFonts w:ascii="Times New Roman" w:hAnsi="Times New Roman" w:cs="Times New Roman" w:eastAsia="Times New Roman"/>
                <w:sz w:val="24"/>
              </w:rPr>
              <w:t xml:space="preserve">Fil</w:t>
            </w:r>
          </w:p>
        </w:tc>
        <w:tc>
          <w:tcPr/>
          <w:p>
            <w:pPr>
              <w:pStyle w:val="Compact"/>
              <w:spacing w:line="360" w:lineRule="auto"/>
            </w:pPr>
            <w:r>
              <w:rPr>
                <w:rFonts w:ascii="Times New Roman" w:hAnsi="Times New Roman" w:cs="Times New Roman" w:eastAsia="Times New Roman"/>
                <w:sz w:val="24"/>
              </w:rPr>
              <w:t xml:space="preserve">Innhold</w:t>
            </w:r>
          </w:p>
        </w:tc>
        <w:tc>
          <w:tcPr/>
          <w:p>
            <w:pPr>
              <w:pStyle w:val="Compact"/>
              <w:spacing w:line="360" w:lineRule="auto"/>
              <w:jc w:val="right"/>
            </w:pPr>
            <w:r>
              <w:rPr>
                <w:rFonts w:ascii="Times New Roman" w:hAnsi="Times New Roman" w:cs="Times New Roman" w:eastAsia="Times New Roman"/>
                <w:sz w:val="24"/>
              </w:rPr>
              <w:t xml:space="preserve">Rader</w:t>
            </w:r>
          </w:p>
        </w:tc>
      </w:tr>
      <w:tr>
        <w:tc>
          <w:tcPr/>
          <w:p>
            <w:pPr>
              <w:pStyle w:val="Compact"/>
              <w:spacing w:line="360" w:lineRule="auto"/>
            </w:pPr>
            <w:r>
              <w:rPr>
                <w:rStyle w:val="VerbatimChar"/>
                <w:rFonts w:ascii="Times New Roman" w:hAnsi="Times New Roman" w:cs="Times New Roman" w:eastAsia="Times New Roman"/>
                <w:sz w:val="24"/>
              </w:rPr>
              <w:t xml:space="preserve">Rådata Nauticost.xlsx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(sheet 1)</w:t>
            </w:r>
          </w:p>
        </w:tc>
        <w:tc>
          <w:tcPr/>
          <w:p>
            <w:pPr>
              <w:pStyle w:val="Compact"/>
              <w:spacing w:line="360" w:lineRule="auto"/>
            </w:pPr>
            <w:r>
              <w:rPr>
                <w:rFonts w:ascii="Times New Roman" w:hAnsi="Times New Roman" w:cs="Times New Roman" w:eastAsia="Times New Roman"/>
                <w:sz w:val="24"/>
              </w:rPr>
              <w:t xml:space="preserve">Originale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2020–2025</w:t>
            </w:r>
          </w:p>
        </w:tc>
        <w:tc>
          <w:tcPr/>
          <w:p>
            <w:pPr>
              <w:pStyle w:val="Compact"/>
              <w:spacing w:line="360" w:lineRule="auto"/>
              <w:jc w:val="right"/>
            </w:pPr>
            <w:r>
              <w:rPr>
                <w:rFonts w:ascii="Times New Roman" w:hAnsi="Times New Roman" w:cs="Times New Roman" w:eastAsia="Times New Roman"/>
                <w:sz w:val="24"/>
              </w:rPr>
              <w:t xml:space="preserve">932</w:t>
            </w:r>
          </w:p>
        </w:tc>
      </w:tr>
      <w:tr>
        <w:tc>
          <w:tcPr/>
          <w:p>
            <w:pPr>
              <w:pStyle w:val="Compact"/>
              <w:spacing w:line="360" w:lineRule="auto"/>
            </w:pPr>
            <w:r>
              <w:rPr>
                <w:rStyle w:val="VerbatimChar"/>
                <w:rFonts w:ascii="Times New Roman" w:hAnsi="Times New Roman" w:cs="Times New Roman" w:eastAsia="Times New Roman"/>
                <w:sz w:val="24"/>
              </w:rPr>
              <w:t xml:space="preserve">Kostnader_MM.csv</w:t>
            </w:r>
          </w:p>
        </w:tc>
        <w:tc>
          <w:tcPr/>
          <w:p>
            <w:pPr>
              <w:pStyle w:val="Compact"/>
              <w:spacing w:line="360" w:lineRule="auto"/>
            </w:pPr>
            <w:r>
              <w:rPr>
                <w:rFonts w:ascii="Times New Roman" w:hAnsi="Times New Roman" w:cs="Times New Roman" w:eastAsia="Times New Roman"/>
                <w:sz w:val="24"/>
              </w:rPr>
              <w:t xml:space="preserve">Eksportert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(inkl. subtotaler)</w:t>
            </w:r>
          </w:p>
        </w:tc>
        <w:tc>
          <w:tcPr/>
          <w:p>
            <w:pPr>
              <w:pStyle w:val="Compact"/>
              <w:spacing w:line="360" w:lineRule="auto"/>
              <w:jc w:val="right"/>
            </w:pPr>
            <w:r>
              <w:rPr>
                <w:rFonts w:ascii="Times New Roman" w:hAnsi="Times New Roman" w:cs="Times New Roman" w:eastAsia="Times New Roman"/>
                <w:sz w:val="24"/>
              </w:rPr>
              <w:t xml:space="preserve">3 325</w:t>
            </w:r>
          </w:p>
        </w:tc>
      </w:tr>
      <w:tr>
        <w:tc>
          <w:tcPr/>
          <w:p>
            <w:pPr>
              <w:pStyle w:val="Compact"/>
              <w:spacing w:line="360" w:lineRule="auto"/>
            </w:pPr>
            <w:r>
              <w:rPr>
                <w:rStyle w:val="VerbatimChar"/>
                <w:rFonts w:ascii="Times New Roman" w:hAnsi="Times New Roman" w:cs="Times New Roman" w:eastAsia="Times New Roman"/>
                <w:sz w:val="24"/>
              </w:rPr>
              <w:t xml:space="preserve">costs_clean.csv</w:t>
            </w:r>
          </w:p>
        </w:tc>
        <w:tc>
          <w:tcPr/>
          <w:p>
            <w:pPr>
              <w:pStyle w:val="Compact"/>
              <w:spacing w:line="360" w:lineRule="auto"/>
            </w:pPr>
            <w:r>
              <w:rPr>
                <w:rFonts w:ascii="Times New Roman" w:hAnsi="Times New Roman" w:cs="Times New Roman" w:eastAsia="Times New Roman"/>
                <w:sz w:val="24"/>
              </w:rPr>
              <w:t xml:space="preserve">Renset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data_prep.ipynb</w:t>
            </w:r>
          </w:p>
        </w:tc>
        <w:tc>
          <w:tcPr/>
          <w:p>
            <w:pPr>
              <w:pStyle w:val="Compact"/>
              <w:spacing w:line="360" w:lineRule="auto"/>
              <w:jc w:val="right"/>
            </w:pPr>
            <w:r>
              <w:rPr>
                <w:rFonts w:ascii="Times New Roman" w:hAnsi="Times New Roman" w:cs="Times New Roman" w:eastAsia="Times New Roman"/>
                <w:sz w:val="24"/>
              </w:rPr>
              <w:t xml:space="preserve">1 654</w:t>
            </w:r>
          </w:p>
        </w:tc>
      </w:tr>
      <w:tr>
        <w:tc>
          <w:tcPr/>
          <w:p>
            <w:pPr>
              <w:pStyle w:val="Compact"/>
              <w:spacing w:line="360" w:lineRule="auto"/>
            </w:pPr>
            <w:r>
              <w:rPr>
                <w:rStyle w:val="VerbatimChar"/>
                <w:rFonts w:ascii="Times New Roman" w:hAnsi="Times New Roman" w:cs="Times New Roman" w:eastAsia="Times New Roman"/>
                <w:sz w:val="24"/>
              </w:rPr>
              <w:t xml:space="preserve">costs_merged.csv</w:t>
            </w:r>
          </w:p>
        </w:tc>
        <w:tc>
          <w:tcPr/>
          <w:p>
            <w:pPr>
              <w:pStyle w:val="Compact"/>
              <w:spacing w:line="360" w:lineRule="auto"/>
            </w:pPr>
            <w:r>
              <w:rPr>
                <w:rFonts w:ascii="Times New Roman" w:hAnsi="Times New Roman" w:cs="Times New Roman" w:eastAsia="Times New Roman"/>
                <w:sz w:val="24"/>
              </w:rPr>
              <w:t xml:space="preserve">Transaksjoner sammenstilt med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w:t>
            </w:r>
          </w:p>
        </w:tc>
        <w:tc>
          <w:tcPr/>
          <w:p>
            <w:pPr>
              <w:pStyle w:val="Compact"/>
              <w:spacing w:line="360" w:lineRule="auto"/>
              <w:jc w:val="right"/>
            </w:pPr>
            <w:r>
              <w:rPr>
                <w:rFonts w:ascii="Times New Roman" w:hAnsi="Times New Roman" w:cs="Times New Roman" w:eastAsia="Times New Roman"/>
                <w:sz w:val="24"/>
              </w:rPr>
              <w:t xml:space="preserve">1 654 (1 633 med gyldig pris)</w:t>
            </w:r>
          </w:p>
        </w:tc>
      </w:tr>
      <w:tr>
        <w:tc>
          <w:tcPr/>
          <w:p>
            <w:pPr>
              <w:pStyle w:val="Compact"/>
              <w:spacing w:line="360" w:lineRule="auto"/>
            </w:pPr>
            <w:r>
              <w:rPr>
                <w:rStyle w:val="VerbatimChar"/>
                <w:rFonts w:ascii="Times New Roman" w:hAnsi="Times New Roman" w:cs="Times New Roman" w:eastAsia="Times New Roman"/>
                <w:sz w:val="24"/>
              </w:rPr>
              <w:t xml:space="preserve">Yacht-specs.csv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specs_clean.csv</w:t>
            </w:r>
          </w:p>
        </w:tc>
        <w:tc>
          <w:tcPr/>
          <w:p>
            <w:pPr>
              <w:pStyle w:val="Compact"/>
              <w:spacing w:line="360" w:lineRule="auto"/>
            </w:pPr>
            <w:r>
              <w:rPr>
                <w:rFonts w:ascii="Times New Roman" w:hAnsi="Times New Roman" w:cs="Times New Roman" w:eastAsia="Times New Roman"/>
                <w:sz w:val="24"/>
              </w:rPr>
              <w:t xml:space="preserve">17 unike yachter (19 spec-rader, noen revideres over tid)</w:t>
            </w:r>
          </w:p>
        </w:tc>
        <w:tc>
          <w:tcPr/>
          <w:p>
            <w:pPr>
              <w:pStyle w:val="Compact"/>
              <w:spacing w:line="360" w:lineRule="auto"/>
              <w:jc w:val="right"/>
            </w:pPr>
            <w:r>
              <w:rPr>
                <w:rFonts w:ascii="Times New Roman" w:hAnsi="Times New Roman" w:cs="Times New Roman" w:eastAsia="Times New Roman"/>
                <w:sz w:val="24"/>
              </w:rPr>
              <w:t xml:space="preserve">19</w:t>
            </w:r>
          </w:p>
        </w:tc>
      </w:tr>
      <w:tr>
        <w:tc>
          <w:tcPr/>
          <w:p>
            <w:pPr>
              <w:pStyle w:val="Compact"/>
              <w:spacing w:line="360" w:lineRule="auto"/>
            </w:pPr>
            <w:r>
              <w:rPr>
                <w:rStyle w:val="VerbatimChar"/>
                <w:rFonts w:ascii="Times New Roman" w:hAnsi="Times New Roman" w:cs="Times New Roman" w:eastAsia="Times New Roman"/>
                <w:sz w:val="24"/>
              </w:rPr>
              <w:t xml:space="preserve">cockpit_clean.csv</w:t>
            </w:r>
          </w:p>
        </w:tc>
        <w:tc>
          <w:tcPr/>
          <w:p>
            <w:pPr>
              <w:pStyle w:val="Compact"/>
              <w:spacing w:line="360" w:lineRule="auto"/>
            </w:pPr>
            <w:r>
              <w:rPr>
                <w:rFonts w:ascii="Times New Roman" w:hAnsi="Times New Roman" w:cs="Times New Roman" w:eastAsia="Times New Roman"/>
                <w:sz w:val="24"/>
              </w:rPr>
              <w:t xml:space="preserve">Aggregerte cockpit-tall 2020–2025</w:t>
            </w:r>
          </w:p>
        </w:tc>
        <w:tc>
          <w:tcPr/>
          <w:p>
            <w:pPr>
              <w:pStyle w:val="Compact"/>
              <w:spacing w:line="360" w:lineRule="auto"/>
              <w:jc w:val="right"/>
            </w:pPr>
            <w:r>
              <w:rPr>
                <w:rFonts w:ascii="Times New Roman" w:hAnsi="Times New Roman" w:cs="Times New Roman" w:eastAsia="Times New Roman"/>
                <w:sz w:val="24"/>
              </w:rPr>
              <w:t xml:space="preserve">6</w:t>
            </w:r>
          </w:p>
        </w:tc>
      </w:tr>
    </w:tbl>
    <w:bookmarkEnd w:id="32"/>
    <w:bookmarkStart w:id="33" w:name="datapreparering"/>
    <w:p>
      <w:pPr>
        <w:pStyle w:val="Heading3"/>
        <w:spacing w:line="360" w:lineRule="auto"/>
      </w:pPr>
      <w:r>
        <w:rPr>
          <w:rFonts w:ascii="Times New Roman" w:hAnsi="Times New Roman" w:cs="Times New Roman" w:eastAsia="Times New Roman"/>
          <w:sz w:val="24"/>
        </w:rPr>
        <w:t xml:space="preserve">5.3 Datapreparering</w:t>
      </w:r>
    </w:p>
    <w:p>
      <w:pPr>
        <w:pStyle w:val="FirstParagraph"/>
        <w:spacing w:line="360" w:lineRule="auto"/>
      </w:pPr>
      <w:r>
        <w:rPr>
          <w:rFonts w:ascii="Times New Roman" w:hAnsi="Times New Roman" w:cs="Times New Roman" w:eastAsia="Times New Roman"/>
          <w:sz w:val="24"/>
        </w:rPr>
        <w:t xml:space="preserve">Datapreparering er gjennomført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data_prep.ipynb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består av:</w:t>
      </w:r>
    </w:p>
    <w:p>
      <w:pPr>
        <w:pStyle w:val="Compact"/>
        <w:numPr>
          <w:ilvl w:val="0"/>
          <w:numId w:val="1009"/>
        </w:numPr>
        <w:spacing w:line="360" w:lineRule="auto"/>
      </w:pPr>
      <w:r>
        <w:rPr>
          <w:rFonts w:ascii="Times New Roman" w:hAnsi="Times New Roman" w:cs="Times New Roman" w:eastAsia="Times New Roman"/>
          <w:b/>
          <w:bCs/>
          <w:sz w:val="24"/>
        </w:rPr>
        <w:t xml:space="preserve">Innlesing og typing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Rådata Nauticost.xlsx</w:t>
      </w:r>
      <w:r>
        <w:rPr>
          <w:rFonts w:ascii="Times New Roman" w:hAnsi="Times New Roman" w:cs="Times New Roman" w:eastAsia="Times New Roman"/>
          <w:sz w:val="24"/>
        </w:rPr>
        <w:t xml:space="preserve">, parsing av datofelt og numeriske beløp.</w:t>
      </w:r>
    </w:p>
    <w:p>
      <w:pPr>
        <w:pStyle w:val="Compact"/>
        <w:numPr>
          <w:ilvl w:val="0"/>
          <w:numId w:val="1009"/>
        </w:numPr>
        <w:spacing w:line="360" w:lineRule="auto"/>
      </w:pPr>
      <w:r>
        <w:rPr>
          <w:rFonts w:ascii="Times New Roman" w:hAnsi="Times New Roman" w:cs="Times New Roman" w:eastAsia="Times New Roman"/>
          <w:b/>
          <w:bCs/>
          <w:sz w:val="24"/>
        </w:rPr>
        <w:t xml:space="preserve">Datakvalitets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flagging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via 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flag</w:t>
      </w:r>
      <w:r>
        <w:rPr>
          <w:rFonts w:ascii="Times New Roman" w:hAnsi="Times New Roman" w:cs="Times New Roman" w:eastAsia="Times New Roman"/>
          <w:sz w:val="24"/>
        </w:rPr>
        <w:t xml:space="preserve">-kolonne for rader med inkonsistente felt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verdier (negative beløp, manglende yacht-ID, sluttdato før startdato).</w:t>
      </w:r>
    </w:p>
    <w:p>
      <w:pPr>
        <w:pStyle w:val="Compact"/>
        <w:numPr>
          <w:ilvl w:val="0"/>
          <w:numId w:val="1009"/>
        </w:numPr>
        <w:spacing w:line="360" w:lineRule="auto"/>
      </w:pPr>
      <w:r>
        <w:rPr>
          <w:rFonts w:ascii="Times New Roman" w:hAnsi="Times New Roman" w:cs="Times New Roman" w:eastAsia="Times New Roman"/>
          <w:b/>
          <w:bCs/>
          <w:sz w:val="24"/>
        </w:rPr>
        <w:t xml:space="preserve">Yacht-kobling: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transaksjoner kobles til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(GT, LOA, beam, draft, fuel) via yacht-ID.</w:t>
      </w:r>
    </w:p>
    <w:p>
      <w:pPr>
        <w:pStyle w:val="Compact"/>
        <w:numPr>
          <w:ilvl w:val="0"/>
          <w:numId w:val="1009"/>
        </w:numPr>
        <w:spacing w:line="360" w:lineRule="auto"/>
      </w:pPr>
      <w:r>
        <w:rPr>
          <w:rFonts w:ascii="Times New Roman" w:hAnsi="Times New Roman" w:cs="Times New Roman" w:eastAsia="Times New Roman"/>
          <w:b/>
          <w:bCs/>
          <w:sz w:val="24"/>
        </w:rPr>
        <w:t xml:space="preserve">Avledede felt: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w:t>
      </w:r>
      <w:r>
        <w:rPr>
          <w:rFonts w:ascii="Times New Roman" w:hAnsi="Times New Roman" w:cs="Times New Roman" w:eastAsia="Times New Roman"/>
          <w:sz w:val="24"/>
        </w:rPr>
        <w:t xml:space="preserve">, samt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variabler (måned, kvartal, dag-i-uka).</w:t>
      </w:r>
    </w:p>
    <w:p>
      <w:pPr>
        <w:pStyle w:val="Compact"/>
        <w:numPr>
          <w:ilvl w:val="0"/>
          <w:numId w:val="1009"/>
        </w:numPr>
        <w:spacing w:line="360" w:lineRule="auto"/>
      </w:pPr>
      <w:r>
        <w:rPr>
          <w:rFonts w:ascii="Times New Roman" w:hAnsi="Times New Roman" w:cs="Times New Roman" w:eastAsia="Times New Roman"/>
          <w:b/>
          <w:bCs/>
          <w:sz w:val="24"/>
        </w:rPr>
        <w:t xml:space="preserve">Filtrering: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rader med manglende eller ikke-positiv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fjernes (jf. antakelse A3).</w:t>
      </w:r>
    </w:p>
    <w:bookmarkEnd w:id="33"/>
    <w:bookmarkStart w:id="34" w:name="datasplit-og-evalueringsprotokoll"/>
    <w:p>
      <w:pPr>
        <w:pStyle w:val="Heading3"/>
        <w:spacing w:line="360" w:lineRule="auto"/>
      </w:pPr>
      <w:r>
        <w:rPr>
          <w:rFonts w:ascii="Times New Roman" w:hAnsi="Times New Roman" w:cs="Times New Roman" w:eastAsia="Times New Roman"/>
          <w:sz w:val="24"/>
        </w:rPr>
        <w:t xml:space="preserve">5.4 Datasplit og evalueringsprotokoll</w:t>
      </w:r>
    </w:p>
    <w:p>
      <w:pPr>
        <w:pStyle w:val="FirstParagraph"/>
        <w:spacing w:line="360" w:lineRule="auto"/>
      </w:pPr>
      <w:r>
        <w:rPr>
          <w:rFonts w:ascii="Times New Roman" w:hAnsi="Times New Roman" w:cs="Times New Roman" w:eastAsia="Times New Roman"/>
          <w:sz w:val="24"/>
        </w:rPr>
        <w:t xml:space="preserve">Splittet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tidsbasert</w:t>
      </w:r>
      <w:r>
        <w:rPr>
          <w:rFonts w:ascii="Times New Roman" w:hAnsi="Times New Roman" w:cs="Times New Roman" w:eastAsia="Times New Roman"/>
          <w:sz w:val="24"/>
        </w:rPr>
        <w:t xml:space="preserve">, ikke tilfeldig, for å speile reell prognose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bruk. Rollen til hvert sett er bevisst skilt mellom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modellutvikling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modellseleksjon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endelig evaluering</w:t>
      </w:r>
      <w:r>
        <w:rPr>
          <w:rFonts w:ascii="Times New Roman" w:hAnsi="Times New Roman" w:cs="Times New Roman" w:eastAsia="Times New Roman"/>
          <w:sz w:val="24"/>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spacing w:line="360" w:lineRule="auto"/>
            </w:pPr>
            <w:r>
              <w:rPr>
                <w:rFonts w:ascii="Times New Roman" w:hAnsi="Times New Roman" w:cs="Times New Roman" w:eastAsia="Times New Roman"/>
                <w:sz w:val="24"/>
              </w:rPr>
              <w:t xml:space="preserve">Sett</w:t>
            </w:r>
          </w:p>
        </w:tc>
        <w:tc>
          <w:tcPr/>
          <w:p>
            <w:pPr>
              <w:pStyle w:val="Compact"/>
              <w:spacing w:line="360" w:lineRule="auto"/>
            </w:pPr>
            <w:r>
              <w:rPr>
                <w:rFonts w:ascii="Times New Roman" w:hAnsi="Times New Roman" w:cs="Times New Roman" w:eastAsia="Times New Roman"/>
                <w:sz w:val="24"/>
              </w:rPr>
              <w:t xml:space="preserve">Periode</w:t>
            </w:r>
          </w:p>
        </w:tc>
        <w:tc>
          <w:tcPr/>
          <w:p>
            <w:pPr>
              <w:pStyle w:val="Compact"/>
              <w:spacing w:line="360" w:lineRule="auto"/>
              <w:jc w:val="right"/>
            </w:pPr>
            <w:r>
              <w:rPr>
                <w:rFonts w:ascii="Times New Roman" w:hAnsi="Times New Roman" w:cs="Times New Roman" w:eastAsia="Times New Roman"/>
                <w:sz w:val="24"/>
              </w:rPr>
              <w:t xml:space="preserve">Rader</w:t>
            </w:r>
          </w:p>
        </w:tc>
        <w:tc>
          <w:tcPr/>
          <w:p>
            <w:pPr>
              <w:pStyle w:val="Compact"/>
              <w:spacing w:line="360" w:lineRule="auto"/>
            </w:pPr>
            <w:r>
              <w:rPr>
                <w:rFonts w:ascii="Times New Roman" w:hAnsi="Times New Roman" w:cs="Times New Roman" w:eastAsia="Times New Roman"/>
                <w:sz w:val="24"/>
              </w:rPr>
              <w:t xml:space="preserve">Rolle</w:t>
            </w:r>
          </w:p>
        </w:tc>
      </w:tr>
      <w:tr>
        <w:tc>
          <w:tcPr/>
          <w:p>
            <w:pPr>
              <w:pStyle w:val="Compact"/>
              <w:spacing w:line="360" w:lineRule="auto"/>
            </w:pPr>
            <w:r>
              <w:rPr>
                <w:rFonts w:ascii="Times New Roman" w:hAnsi="Times New Roman" w:cs="Times New Roman" w:eastAsia="Times New Roman"/>
                <w:sz w:val="24"/>
              </w:rPr>
              <w:t xml:space="preserve">Treningssett</w:t>
            </w:r>
          </w:p>
        </w:tc>
        <w:tc>
          <w:tcPr/>
          <w:p>
            <w:pPr>
              <w:pStyle w:val="Compact"/>
              <w:spacing w:line="360" w:lineRule="auto"/>
            </w:pPr>
            <w:r>
              <w:rPr>
                <w:rFonts w:ascii="Times New Roman" w:hAnsi="Times New Roman" w:cs="Times New Roman" w:eastAsia="Times New Roman"/>
                <w:sz w:val="24"/>
              </w:rPr>
              <w:t xml:space="preserve">≤ 2023</w:t>
            </w:r>
          </w:p>
        </w:tc>
        <w:tc>
          <w:tcPr/>
          <w:p>
            <w:pPr>
              <w:pStyle w:val="Compact"/>
              <w:spacing w:line="360" w:lineRule="auto"/>
              <w:jc w:val="right"/>
            </w:pPr>
            <w:r>
              <w:rPr>
                <w:rFonts w:ascii="Times New Roman" w:hAnsi="Times New Roman" w:cs="Times New Roman" w:eastAsia="Times New Roman"/>
                <w:sz w:val="24"/>
              </w:rPr>
              <w:t xml:space="preserve">487</w:t>
            </w:r>
          </w:p>
        </w:tc>
        <w:tc>
          <w:tcPr/>
          <w:p>
            <w:pPr>
              <w:pStyle w:val="Compact"/>
              <w:spacing w:line="360" w:lineRule="auto"/>
            </w:pPr>
            <w:r>
              <w:rPr>
                <w:rFonts w:ascii="Times New Roman" w:hAnsi="Times New Roman" w:cs="Times New Roman" w:eastAsia="Times New Roman"/>
                <w:sz w:val="24"/>
              </w:rPr>
              <w:t xml:space="preserve">Modellutvikling: trene base-modellene, lære feature-engineering-statistikker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beregnet kun her, jf. § 5.5).</w:t>
            </w:r>
          </w:p>
        </w:tc>
      </w:tr>
      <w:tr>
        <w:tc>
          <w:tcPr/>
          <w:p>
            <w:pPr>
              <w:pStyle w:val="Compact"/>
              <w:spacing w:line="360" w:lineRule="auto"/>
            </w:pPr>
            <w:r>
              <w:rPr>
                <w:rFonts w:ascii="Times New Roman" w:hAnsi="Times New Roman" w:cs="Times New Roman" w:eastAsia="Times New Roman"/>
                <w:sz w:val="24"/>
              </w:rPr>
              <w:t xml:space="preserve">Valideringssett</w:t>
            </w:r>
          </w:p>
        </w:tc>
        <w:tc>
          <w:tcPr/>
          <w:p>
            <w:pPr>
              <w:pStyle w:val="Compact"/>
              <w:spacing w:line="360" w:lineRule="auto"/>
            </w:pPr>
            <w:r>
              <w:rPr>
                <w:rFonts w:ascii="Times New Roman" w:hAnsi="Times New Roman" w:cs="Times New Roman" w:eastAsia="Times New Roman"/>
                <w:sz w:val="24"/>
              </w:rPr>
              <w:t xml:space="preserve">2024</w:t>
            </w:r>
          </w:p>
        </w:tc>
        <w:tc>
          <w:tcPr/>
          <w:p>
            <w:pPr>
              <w:pStyle w:val="Compact"/>
              <w:spacing w:line="360" w:lineRule="auto"/>
              <w:jc w:val="right"/>
            </w:pPr>
            <w:r>
              <w:rPr>
                <w:rFonts w:ascii="Times New Roman" w:hAnsi="Times New Roman" w:cs="Times New Roman" w:eastAsia="Times New Roman"/>
                <w:sz w:val="24"/>
              </w:rPr>
              <w:t xml:space="preserve">490</w:t>
            </w:r>
          </w:p>
        </w:tc>
        <w:tc>
          <w:tcPr/>
          <w:p>
            <w:pPr>
              <w:pStyle w:val="Compact"/>
              <w:spacing w:line="360" w:lineRule="auto"/>
            </w:pPr>
            <w:r>
              <w:rPr>
                <w:rFonts w:ascii="Times New Roman" w:hAnsi="Times New Roman" w:cs="Times New Roman" w:eastAsia="Times New Roman"/>
                <w:sz w:val="24"/>
              </w:rPr>
              <w:t xml:space="preserve">Modellseleksjon: velge hyperparametre (Optuna), ensemble-vekt</w:t>
            </w:r>
            <w:r>
              <w:rPr>
                <w:rFonts w:ascii="Times New Roman" w:hAnsi="Times New Roman" w:cs="Times New Roman" w:eastAsia="Times New Roman"/>
                <w:sz w:val="24"/>
              </w:rPr>
              <w:t xml:space="preserve"> </w:t>
            </w:r>
            <m:oMath>
              <m:r>
                <m:t>w</m:t>
              </m:r>
            </m:oMath>
            <w:r>
              <w:rPr>
                <w:rFonts w:ascii="Times New Roman" w:hAnsi="Times New Roman" w:cs="Times New Roman" w:eastAsia="Times New Roman"/>
                <w:sz w:val="24"/>
              </w:rPr>
              <w:t xml:space="preserve">, kvantil-objektivterskler og CQR-kalibreringsterskel; sammenligne kandidat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(jf. § 8.1).</w:t>
            </w:r>
          </w:p>
        </w:tc>
      </w:tr>
      <w:tr>
        <w:tc>
          <w:tcPr/>
          <w:p>
            <w:pPr>
              <w:pStyle w:val="Compact"/>
              <w:spacing w:line="360" w:lineRule="auto"/>
            </w:pPr>
            <w:r>
              <w:rPr>
                <w:rFonts w:ascii="Times New Roman" w:hAnsi="Times New Roman" w:cs="Times New Roman" w:eastAsia="Times New Roman"/>
                <w:sz w:val="24"/>
              </w:rPr>
              <w:t xml:space="preserve">Testsett</w:t>
            </w:r>
          </w:p>
        </w:tc>
        <w:tc>
          <w:tcPr/>
          <w:p>
            <w:pPr>
              <w:pStyle w:val="Compact"/>
              <w:spacing w:line="360" w:lineRule="auto"/>
            </w:pPr>
            <w:r>
              <w:rPr>
                <w:rFonts w:ascii="Times New Roman" w:hAnsi="Times New Roman" w:cs="Times New Roman" w:eastAsia="Times New Roman"/>
                <w:sz w:val="24"/>
              </w:rPr>
              <w:t xml:space="preserve">2025</w:t>
            </w:r>
          </w:p>
        </w:tc>
        <w:tc>
          <w:tcPr/>
          <w:p>
            <w:pPr>
              <w:pStyle w:val="Compact"/>
              <w:spacing w:line="360" w:lineRule="auto"/>
              <w:jc w:val="right"/>
            </w:pPr>
            <w:r>
              <w:rPr>
                <w:rFonts w:ascii="Times New Roman" w:hAnsi="Times New Roman" w:cs="Times New Roman" w:eastAsia="Times New Roman"/>
                <w:sz w:val="24"/>
              </w:rPr>
              <w:t xml:space="preserve">670</w:t>
            </w:r>
          </w:p>
        </w:tc>
        <w:tc>
          <w:tcPr/>
          <w:p>
            <w:pPr>
              <w:pStyle w:val="Compact"/>
              <w:spacing w:line="360" w:lineRule="auto"/>
            </w:pPr>
            <w:r>
              <w:rPr>
                <w:rFonts w:ascii="Times New Roman" w:hAnsi="Times New Roman" w:cs="Times New Roman" w:eastAsia="Times New Roman"/>
                <w:sz w:val="24"/>
              </w:rPr>
              <w:t xml:space="preserve">Endelig, uavhengig evaluering av den utvalgte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(jf. § 8.1.1). Brukes ikke til seleksjon eller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w:t>
            </w:r>
          </w:p>
        </w:tc>
      </w:tr>
    </w:tbl>
    <w:p>
      <w:pPr>
        <w:pStyle w:val="BodyText"/>
        <w:spacing w:line="360" w:lineRule="auto"/>
      </w:pPr>
      <w:r>
        <w:rPr>
          <w:rFonts w:ascii="Times New Roman" w:hAnsi="Times New Roman" w:cs="Times New Roman" w:eastAsia="Times New Roman"/>
          <w:sz w:val="24"/>
        </w:rPr>
        <w:t xml:space="preserve">Året 2026 er holdt utenfor modellutviklingen og brukes som overvåkningssett etter hvert som nye fakturaer kommer inn (kun 7 rader pr. april 2026, og dermed ikke meningsfullt for evaluering på det tidspunktet).</w:t>
      </w:r>
    </w:p>
    <w:p>
      <w:pPr>
        <w:pStyle w:val="BodyText"/>
        <w:spacing w:line="360" w:lineRule="auto"/>
      </w:pPr>
      <w:r>
        <w:rPr>
          <w:rFonts w:ascii="Times New Roman" w:hAnsi="Times New Roman" w:cs="Times New Roman" w:eastAsia="Times New Roman"/>
          <w:b/>
          <w:bCs/>
          <w:sz w:val="24"/>
        </w:rPr>
        <w:t xml:space="preserve">Refit av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at modellseleksjonen er fullført, refittes den endelige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perioden 2020–2025 — altså treningssett, valideringssett og testsett samlet (1 626 rader, 21 færre enn split-summen 1 647 fordi rader med manglende avledede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faller bort i feature engineering-steget). Begrunnelsen for å trekke testsettet inn i treningen er at modellen deployes i produksjon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seleksjonen er konkludert, og at maksimering av treningsdata på det tidspunktet gir lavest forventet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ved deploy. Dette er en standard praksis (jf. Hastie, Tibshirani &amp; Friedman, 2009), men har en konkret konsekvens: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rapporterte testsett-tall i § 8.1.1 gjelder den prefit’ede modellen (ensemble trent på ≤ 2024), ikke den refit’ede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har dermed ingen uavhengig holdout-måling før neste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vindu (2026+) gir tilstrekkelig data. Dette diskuteres som begrensning i § 10.</w:t>
      </w:r>
    </w:p>
    <w:bookmarkEnd w:id="34"/>
    <w:bookmarkStart w:id="35" w:name="feature-engineering"/>
    <w:p>
      <w:pPr>
        <w:pStyle w:val="Heading3"/>
        <w:spacing w:line="360" w:lineRule="auto"/>
      </w:pPr>
      <w:r>
        <w:rPr>
          <w:rFonts w:ascii="Times New Roman" w:hAnsi="Times New Roman" w:cs="Times New Roman" w:eastAsia="Times New Roman"/>
          <w:sz w:val="24"/>
        </w:rPr>
        <w:t xml:space="preserve">5.5 Feature engineering</w:t>
      </w:r>
    </w:p>
    <w:p>
      <w:pPr>
        <w:pStyle w:val="FirstParagraph"/>
        <w:spacing w:line="360" w:lineRule="auto"/>
      </w:pPr>
      <w:r>
        <w:rPr>
          <w:rFonts w:ascii="Times New Roman" w:hAnsi="Times New Roman" w:cs="Times New Roman" w:eastAsia="Times New Roman"/>
          <w:sz w:val="24"/>
        </w:rPr>
        <w:t xml:space="preserve">Totalt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 prediktor</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variabler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konstruert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build_features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predict_voyage.py</w:t>
      </w:r>
      <w:r>
        <w:rPr>
          <w:rFonts w:ascii="Times New Roman" w:hAnsi="Times New Roman" w:cs="Times New Roman" w:eastAsia="Times New Roman"/>
          <w:sz w:val="24"/>
        </w:rPr>
        <w:t xml:space="preserve">):</w:t>
      </w:r>
    </w:p>
    <w:p>
      <w:pPr>
        <w:pStyle w:val="Compact"/>
        <w:numPr>
          <w:ilvl w:val="0"/>
          <w:numId w:val="1010"/>
        </w:numPr>
        <w:spacing w:line="360" w:lineRule="auto"/>
      </w:pPr>
      <w:r>
        <w:rPr>
          <w:rFonts w:ascii="Times New Roman" w:hAnsi="Times New Roman" w:cs="Times New Roman" w:eastAsia="Times New Roman"/>
          <w:b/>
          <w:bCs/>
          <w:sz w:val="24"/>
        </w:rPr>
        <w:t xml:space="preserve">Yacht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spesifikasjoner: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beam_m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draft_m</w:t>
      </w:r>
      <w:r>
        <w:rPr>
          <w:rFonts w:ascii="Times New Roman" w:hAnsi="Times New Roman" w:cs="Times New Roman" w:eastAsia="Times New Roman"/>
          <w:sz w:val="24"/>
        </w:rPr>
        <w:t xml:space="preserve">.</w:t>
      </w:r>
    </w:p>
    <w:p>
      <w:pPr>
        <w:pStyle w:val="Compact"/>
        <w:numPr>
          <w:ilvl w:val="0"/>
          <w:numId w:val="1010"/>
        </w:numPr>
        <w:spacing w:line="360" w:lineRule="auto"/>
      </w:pPr>
      <w:r>
        <w:rPr>
          <w:rFonts w:ascii="Times New Roman" w:hAnsi="Times New Roman" w:cs="Times New Roman" w:eastAsia="Times New Roman"/>
          <w:b/>
          <w:bCs/>
          <w:sz w:val="24"/>
        </w:rPr>
        <w:t xml:space="preserve">Avledede yacht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felt: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w:t>
      </w:r>
      <w:r>
        <w:rPr>
          <w:rFonts w:ascii="Times New Roman" w:hAnsi="Times New Roman" w:cs="Times New Roman" w:eastAsia="Times New Roman"/>
          <w:sz w:val="24"/>
        </w:rPr>
        <w:t xml:space="preserve">.</w:t>
      </w:r>
    </w:p>
    <w:p>
      <w:pPr>
        <w:pStyle w:val="Compact"/>
        <w:numPr>
          <w:ilvl w:val="0"/>
          <w:numId w:val="1010"/>
        </w:numPr>
        <w:spacing w:line="360" w:lineRule="auto"/>
      </w:pPr>
      <w:r>
        <w:rPr>
          <w:rFonts w:ascii="Times New Roman" w:hAnsi="Times New Roman" w:cs="Times New Roman" w:eastAsia="Times New Roman"/>
          <w:b/>
          <w:bCs/>
          <w:sz w:val="24"/>
        </w:rPr>
        <w:t xml:space="preserve">Reise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parametere: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office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month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stay_days</w:t>
      </w:r>
      <w:r>
        <w:rPr>
          <w:rFonts w:ascii="Times New Roman" w:hAnsi="Times New Roman" w:cs="Times New Roman" w:eastAsia="Times New Roman"/>
          <w:sz w:val="24"/>
        </w:rPr>
        <w:t xml:space="preserve">.</w:t>
      </w:r>
    </w:p>
    <w:p>
      <w:pPr>
        <w:pStyle w:val="Compact"/>
        <w:numPr>
          <w:ilvl w:val="0"/>
          <w:numId w:val="1010"/>
        </w:numPr>
        <w:spacing w:line="360" w:lineRule="auto"/>
      </w:pPr>
      <w:r>
        <w:rPr>
          <w:rFonts w:ascii="Times New Roman" w:hAnsi="Times New Roman" w:cs="Times New Roman" w:eastAsia="Times New Roman"/>
          <w:b/>
          <w:bCs/>
          <w:sz w:val="24"/>
        </w:rPr>
        <w:t xml:space="preserve">Tjeneste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kontekst: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service_category</w:t>
      </w:r>
      <w:r>
        <w:rPr>
          <w:rFonts w:ascii="Times New Roman" w:hAnsi="Times New Roman" w:cs="Times New Roman" w:eastAsia="Times New Roman"/>
          <w:sz w:val="24"/>
        </w:rPr>
        <w:t xml:space="preserve">.</w:t>
      </w:r>
    </w:p>
    <w:p>
      <w:pPr>
        <w:pStyle w:val="Compact"/>
        <w:numPr>
          <w:ilvl w:val="0"/>
          <w:numId w:val="1010"/>
        </w:numPr>
        <w:spacing w:line="360" w:lineRule="auto"/>
      </w:pPr>
      <w:r>
        <w:rPr>
          <w:rFonts w:ascii="Times New Roman" w:hAnsi="Times New Roman" w:cs="Times New Roman" w:eastAsia="Times New Roman"/>
          <w:b/>
          <w:bCs/>
          <w:sz w:val="24"/>
        </w:rPr>
        <w:t xml:space="preserve">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features: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quarter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is_summer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is_shoulder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day_of_week</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week_of_year</w:t>
      </w:r>
      <w:r>
        <w:rPr>
          <w:rFonts w:ascii="Times New Roman" w:hAnsi="Times New Roman" w:cs="Times New Roman" w:eastAsia="Times New Roman"/>
          <w:sz w:val="24"/>
        </w:rPr>
        <w:t xml:space="preserve">.</w:t>
      </w:r>
    </w:p>
    <w:p>
      <w:pPr>
        <w:pStyle w:val="Compact"/>
        <w:numPr>
          <w:ilvl w:val="0"/>
          <w:numId w:val="1010"/>
        </w:numPr>
        <w:spacing w:line="360" w:lineRule="auto"/>
      </w:pPr>
      <w:r>
        <w:rPr>
          <w:rFonts w:ascii="Times New Roman" w:hAnsi="Times New Roman" w:cs="Times New Roman" w:eastAsia="Times New Roman"/>
          <w:b/>
          <w:bCs/>
          <w:sz w:val="24"/>
        </w:rPr>
        <w:t xml:space="preserve">Interaksjoner: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 × stay_days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 × stay_days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 × stay_days</w:t>
      </w:r>
      <w:r>
        <w:rPr>
          <w:rFonts w:ascii="Times New Roman" w:hAnsi="Times New Roman" w:cs="Times New Roman" w:eastAsia="Times New Roman"/>
          <w:sz w:val="24"/>
        </w:rPr>
        <w:t xml:space="preserve">.</w:t>
      </w:r>
    </w:p>
    <w:p>
      <w:pPr>
        <w:pStyle w:val="Compact"/>
        <w:numPr>
          <w:ilvl w:val="0"/>
          <w:numId w:val="1010"/>
        </w:numPr>
        <w:spacing w:line="360" w:lineRule="auto"/>
      </w:pPr>
      <w:r>
        <w:rPr>
          <w:rFonts w:ascii="Times New Roman" w:hAnsi="Times New Roman" w:cs="Times New Roman" w:eastAsia="Times New Roman"/>
          <w:b/>
          <w:bCs/>
          <w:sz w:val="24"/>
        </w:rPr>
        <w:t xml:space="preserve">Aggregat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statistikk: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size_svc_count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port_mean_charge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port_median_charge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alle i EUR, og beregnet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kun på trenings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settet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å unngå target leakage. Merk at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w:t>
      </w:r>
      <w:r>
        <w:rPr>
          <w:rFonts w:ascii="Times New Roman" w:hAnsi="Times New Roman" w:cs="Times New Roman" w:eastAsia="Times New Roman"/>
          <w:sz w:val="24"/>
        </w:rPr>
        <w:t xml:space="preserve">-aggregatene er poolet på tvers av Norge, Sverige og Danmark — en avgrensning vi kommer tilbake til i § 9.5.</w:t>
      </w:r>
    </w:p>
    <w:p>
      <w:pPr>
        <w:pStyle w:val="Compact"/>
        <w:numPr>
          <w:ilvl w:val="0"/>
          <w:numId w:val="1010"/>
        </w:numPr>
        <w:spacing w:line="360" w:lineRule="auto"/>
      </w:pPr>
      <w:r>
        <w:rPr>
          <w:rFonts w:ascii="Times New Roman" w:hAnsi="Times New Roman" w:cs="Times New Roman" w:eastAsia="Times New Roman"/>
          <w:b/>
          <w:bCs/>
          <w:sz w:val="24"/>
        </w:rPr>
        <w:t xml:space="preserve">Tekstmål: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lengde av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kommentar (</w:t>
      </w:r>
      <w:r>
        <w:rPr>
          <w:rStyle w:val="VerbatimChar"/>
          <w:rFonts w:ascii="Times New Roman" w:hAnsi="Times New Roman" w:cs="Times New Roman" w:eastAsia="Times New Roman"/>
          <w:sz w:val="24"/>
        </w:rPr>
        <w:t xml:space="preserve">cmt_len</w:t>
      </w:r>
      <w:r>
        <w:rPr>
          <w:rFonts w:ascii="Times New Roman" w:hAnsi="Times New Roman" w:cs="Times New Roman" w:eastAsia="Times New Roman"/>
          <w:sz w:val="24"/>
        </w:rPr>
        <w:t xml:space="preserve">).</w:t>
      </w:r>
    </w:p>
    <w:bookmarkEnd w:id="35"/>
    <w:bookmarkStart w:id="36" w:name="verktøy-og-reproduserbarhet"/>
    <w:p>
      <w:pPr>
        <w:pStyle w:val="Heading3"/>
        <w:spacing w:line="360" w:lineRule="auto"/>
      </w:pPr>
      <w:r>
        <w:rPr>
          <w:rFonts w:ascii="Times New Roman" w:hAnsi="Times New Roman" w:cs="Times New Roman" w:eastAsia="Times New Roman"/>
          <w:sz w:val="24"/>
        </w:rPr>
        <w:t xml:space="preserve">5.6 Verktøy og reproduserbarhet</w:t>
      </w:r>
    </w:p>
    <w:p>
      <w:pPr>
        <w:pStyle w:val="FirstParagraph"/>
        <w:spacing w:line="360" w:lineRule="auto"/>
      </w:pPr>
      <w:r>
        <w:rPr>
          <w:rFonts w:ascii="Times New Roman" w:hAnsi="Times New Roman" w:cs="Times New Roman" w:eastAsia="Times New Roman"/>
          <w:sz w:val="24"/>
        </w:rPr>
        <w:t xml:space="preserve">Pipeline er implementert i Python 3.11 med pandas, scikit-learn, LightGBM 4.x, CatBoost 1.2, og Optuna for hyper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søk. Alle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artefakter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w:t>
      </w:r>
      <w:r>
        <w:rPr>
          <w:rFonts w:ascii="Times New Roman" w:hAnsi="Times New Roman" w:cs="Times New Roman" w:eastAsia="Times New Roman"/>
          <w:sz w:val="24"/>
        </w:rPr>
        <w:t xml:space="preserve">. Backend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tjenesten er bygget med FastAPI og frontend med Next.js 14. Hele arbeidsflyten — inkludert AI-bistand i Claude Code — er versjons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kontrollert på GitHub i samsvar med god vitenskapelig praksis.</w:t>
      </w:r>
    </w:p>
    <w:bookmarkEnd w:id="36"/>
    <w:bookmarkStart w:id="37" w:name="antakelsessjekk-kompendiet-steg-2"/>
    <w:p>
      <w:pPr>
        <w:pStyle w:val="Heading3"/>
        <w:spacing w:line="360" w:lineRule="auto"/>
      </w:pPr>
      <w:r>
        <w:rPr>
          <w:rFonts w:ascii="Times New Roman" w:hAnsi="Times New Roman" w:cs="Times New Roman" w:eastAsia="Times New Roman"/>
          <w:sz w:val="24"/>
        </w:rPr>
        <w:t xml:space="preserve">5.7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sjekk (kompendiet steg 2)</w:t>
      </w:r>
    </w:p>
    <w:p>
      <w:pPr>
        <w:pStyle w:val="FirstParagraph"/>
        <w:spacing w:line="360" w:lineRule="auto"/>
      </w:pPr>
      <w:r>
        <w:rPr>
          <w:rFonts w:ascii="Times New Roman" w:hAnsi="Times New Roman" w:cs="Times New Roman" w:eastAsia="Times New Roman"/>
          <w:sz w:val="24"/>
        </w:rPr>
        <w:t xml:space="preserve">Selv om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er robuste mot mange klassiske brudd på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antakelser (linearitet, normalitet, homoskedastisitet), foreskriver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 i.4.2) at antakelsene skal verifiseres eksplisitt før modellen brukes. Vi rapporterer tre sjekker, alle utført 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2023):</w:t>
      </w:r>
    </w:p>
    <w:p>
      <w:pPr>
        <w:numPr>
          <w:ilvl w:val="0"/>
          <w:numId w:val="1011"/>
        </w:numPr>
        <w:spacing w:line="360" w:lineRule="auto"/>
      </w:pPr>
      <w:r>
        <w:rPr>
          <w:rFonts w:ascii="Times New Roman" w:hAnsi="Times New Roman" w:cs="Times New Roman" w:eastAsia="Times New Roman"/>
          <w:b/>
          <w:bCs/>
          <w:sz w:val="24"/>
        </w:rPr>
        <w:t xml:space="preserve">Skjevhet i mål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variabelen.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rapportert i § 7.1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plottet i § 7.4).</w:t>
      </w:r>
    </w:p>
    <w:p>
      <w:pPr>
        <w:numPr>
          <w:ilvl w:val="0"/>
          <w:numId w:val="1011"/>
        </w:numPr>
        <w:spacing w:line="360" w:lineRule="auto"/>
      </w:pPr>
      <w:r>
        <w:rPr>
          <w:rFonts w:ascii="Times New Roman" w:hAnsi="Times New Roman" w:cs="Times New Roman" w:eastAsia="Times New Roman"/>
          <w:b/>
          <w:bCs/>
          <w:sz w:val="24"/>
        </w:rPr>
        <w:t xml:space="preserve">Heteroskedastisitet.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Bruschagan-test (uformelt: residualer vs. predikert verdi i log-rom) viser at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variansen ikke er konstant over hele predikert-spennet — store predikerte verdier (Provisioning og Port Marina for Stor-yachter) har større absolutte residualer enn små predikerte verdier. Dette er en av grunnene til at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CQR-kalibrering (§ 6.4) er valgt: konstante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 ville vært feil, og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tilpasser seg heteroskedastisiteten.</w:t>
      </w:r>
    </w:p>
    <w:p>
      <w:pPr>
        <w:numPr>
          <w:ilvl w:val="0"/>
          <w:numId w:val="1011"/>
        </w:numPr>
        <w:spacing w:line="360" w:lineRule="auto"/>
      </w:pPr>
      <w:r>
        <w:rPr>
          <w:rFonts w:ascii="Times New Roman" w:hAnsi="Times New Roman" w:cs="Times New Roman" w:eastAsia="Times New Roman"/>
          <w:b/>
          <w:bCs/>
          <w:sz w:val="24"/>
        </w:rPr>
        <w:t xml:space="preserve">Multikollinearitet.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Variance Inflation Factor (VIF) for de numeriske featurene viser at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sterkt korrelerte (alle VIF &gt; 10, par-Pearson &gt; 0,9). Notebook-cellen som dropper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log_gt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0,94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0,999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 og noen redundante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eliminerer de mest ekstreme tilfellene. Resterende moderate multikollinearitet (VIF ≈ 3–5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 × stay_days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lignende interaksjons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er akseptert fordi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ikke er sensitive for kollineære features på samme måte som lineær regresjon — en feature med VIF = 5 i et tre vil bare bli valgt sjeldnere ved split, ikke gi numerisk ustabilitet.</w:t>
      </w:r>
    </w:p>
    <w:p>
      <w:pPr>
        <w:pStyle w:val="FirstParagraph"/>
        <w:spacing w:line="360" w:lineRule="auto"/>
      </w:pPr>
      <w:r>
        <w:rPr>
          <w:rFonts w:ascii="Times New Roman" w:hAnsi="Times New Roman" w:cs="Times New Roman" w:eastAsia="Times New Roman"/>
          <w:sz w:val="24"/>
        </w:rPr>
        <w:t xml:space="preserve">Konklusjonen er at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bruddet som ville vært mest skadelig — sterk skjevhet i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 — er adressert via log-transformasjon, og at heteroskedastisitet er håndtert via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modellering snarere enn ignorert. Antakelsene er dermed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“tilstrekkelig oppfylt”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kompendiets forstand (§ i.4.2), og resultatene i § 8 skal leses i lys av denne sjekken.</w:t>
      </w:r>
    </w:p>
    <w:p>
      <w:pPr>
        <w:spacing w:line="360" w:lineRule="auto"/>
      </w:pPr>
      <w:r>
        <w:rPr>
          <w:rFonts w:ascii="Times New Roman" w:hAnsi="Times New Roman" w:cs="Times New Roman" w:eastAsia="Times New Roman"/>
          <w:sz w:val="24"/>
        </w:rPr>
        <w:pict>
          <v:rect style="width:0;height:1.5pt" o:hralign="center" o:hrstd="t" o:hr="t"/>
        </w:pict>
      </w:r>
    </w:p>
    <w:bookmarkEnd w:id="37"/>
    <w:bookmarkEnd w:id="38"/>
    <w:bookmarkStart w:id="44" w:name="modell"/>
    <w:p>
      <w:pPr>
        <w:pStyle w:val="Heading2"/>
        <w:spacing w:line="360" w:lineRule="auto"/>
      </w:pPr>
      <w:r>
        <w:rPr>
          <w:rFonts w:ascii="Times New Roman" w:hAnsi="Times New Roman" w:cs="Times New Roman" w:eastAsia="Times New Roman"/>
          <w:sz w:val="24"/>
        </w:rPr>
        <w:t xml:space="preserve">6. Modell</w:t>
      </w:r>
    </w:p>
    <w:bookmarkStart w:id="39" w:name="målvariabel-og-tap"/>
    <w:p>
      <w:pPr>
        <w:pStyle w:val="Heading3"/>
        <w:spacing w:line="360" w:lineRule="auto"/>
      </w:pPr>
      <w:r>
        <w:rPr>
          <w:rFonts w:ascii="Times New Roman" w:hAnsi="Times New Roman" w:cs="Times New Roman" w:eastAsia="Times New Roman"/>
          <w:sz w:val="24"/>
        </w:rPr>
        <w:t xml:space="preserve">6.1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 og tap</w:t>
      </w:r>
    </w:p>
    <w:p>
      <w:pPr>
        <w:pStyle w:val="FirstParagraph"/>
        <w:spacing w:line="360" w:lineRule="auto"/>
      </w:pPr>
      <w:r>
        <w:rPr>
          <w:rFonts w:ascii="Times New Roman" w:hAnsi="Times New Roman" w:cs="Times New Roman" w:eastAsia="Times New Roman"/>
          <w:sz w:val="24"/>
        </w:rPr>
        <w:t xml:space="preserve">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 er kostnaden per transaksjon,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log-transformert:</w:t>
      </w:r>
    </w:p>
    <w:p>
      <w:pPr>
        <w:pStyle w:val="BodyText"/>
        <w:spacing w:line="360" w:lineRule="auto"/>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spacing w:line="360" w:lineRule="auto"/>
      </w:pPr>
      <w:r>
        <w:rPr>
          <w:rFonts w:ascii="Times New Roman" w:hAnsi="Times New Roman" w:cs="Times New Roman" w:eastAsia="Times New Roman"/>
          <w:sz w:val="24"/>
        </w:rPr>
        <w:t xml:space="preserve">Modellene optimerer L2-tap i log-rommet; predikerte verdier inverteres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expm1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evaluering.</w:t>
      </w:r>
    </w:p>
    <w:bookmarkEnd w:id="39"/>
    <w:bookmarkStart w:id="40" w:name="baselinemodeller"/>
    <w:p>
      <w:pPr>
        <w:pStyle w:val="Heading3"/>
        <w:spacing w:line="360" w:lineRule="auto"/>
      </w:pPr>
      <w:r>
        <w:rPr>
          <w:rFonts w:ascii="Times New Roman" w:hAnsi="Times New Roman" w:cs="Times New Roman" w:eastAsia="Times New Roman"/>
          <w:sz w:val="24"/>
        </w:rPr>
        <w:t xml:space="preserve">6.2 Baseline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w:t>
      </w:r>
    </w:p>
    <w:p>
      <w:pPr>
        <w:pStyle w:val="FirstParagraph"/>
        <w:spacing w:line="360" w:lineRule="auto"/>
      </w:pPr>
      <w:r>
        <w:rPr>
          <w:rFonts w:ascii="Times New Roman" w:hAnsi="Times New Roman" w:cs="Times New Roman" w:eastAsia="Times New Roman"/>
          <w:sz w:val="24"/>
        </w:rPr>
        <w:t xml:space="preserve">To baselines etableres for å kalibrere forventningene:</w:t>
      </w:r>
    </w:p>
    <w:p>
      <w:pPr>
        <w:pStyle w:val="Compact"/>
        <w:numPr>
          <w:ilvl w:val="0"/>
          <w:numId w:val="1012"/>
        </w:numPr>
        <w:spacing w:line="360" w:lineRule="auto"/>
      </w:pPr>
      <w:r>
        <w:rPr>
          <w:rFonts w:ascii="Times New Roman" w:hAnsi="Times New Roman" w:cs="Times New Roman" w:eastAsia="Times New Roman"/>
          <w:b/>
          <w:bCs/>
          <w:sz w:val="24"/>
        </w:rPr>
        <w:t xml:space="preserve">Median</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baseline: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prediker median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 service_category)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treningssettet.</w:t>
      </w:r>
    </w:p>
    <w:p>
      <w:pPr>
        <w:pStyle w:val="Compact"/>
        <w:numPr>
          <w:ilvl w:val="0"/>
          <w:numId w:val="1012"/>
        </w:numPr>
        <w:spacing w:line="360" w:lineRule="auto"/>
      </w:pPr>
      <w:r>
        <w:rPr>
          <w:rFonts w:ascii="Times New Roman" w:hAnsi="Times New Roman" w:cs="Times New Roman" w:eastAsia="Times New Roman"/>
          <w:b/>
          <w:bCs/>
          <w:sz w:val="24"/>
        </w:rPr>
        <w:t xml:space="preserve">Ridge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regresjon: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lineær modell med one-hot-kodede kategorier og standardiserte numeriske features.</w:t>
      </w:r>
    </w:p>
    <w:bookmarkEnd w:id="40"/>
    <w:bookmarkStart w:id="41" w:name="hovedmodell-lightgbm-catboost-ensemble"/>
    <w:p>
      <w:pPr>
        <w:pStyle w:val="Heading3"/>
        <w:spacing w:line="360" w:lineRule="auto"/>
      </w:pPr>
      <w:r>
        <w:rPr>
          <w:rFonts w:ascii="Times New Roman" w:hAnsi="Times New Roman" w:cs="Times New Roman" w:eastAsia="Times New Roman"/>
          <w:sz w:val="24"/>
        </w:rPr>
        <w:t xml:space="preserve">6.3 Hovedmodell — LightGBM + CatBoost ensemble</w:t>
      </w:r>
    </w:p>
    <w:p>
      <w:pPr>
        <w:pStyle w:val="FirstParagraph"/>
        <w:spacing w:line="360" w:lineRule="auto"/>
      </w:pPr>
      <w:r>
        <w:rPr>
          <w:rFonts w:ascii="Times New Roman" w:hAnsi="Times New Roman" w:cs="Times New Roman" w:eastAsia="Times New Roman"/>
          <w:sz w:val="24"/>
        </w:rPr>
        <w:t xml:space="preserve">Den endelige modellen er et veid gjennomsnitt i log-rommet av to gradient-boosting-modeller:</w:t>
      </w:r>
    </w:p>
    <w:p>
      <w:pPr>
        <w:pStyle w:val="BodyText"/>
        <w:spacing w:line="360" w:lineRule="auto"/>
      </w:pPr>
      <m:oMathPara>
        <m:oMathParaPr>
          <m:jc m:val="center"/>
        </m:oMathParaPr>
        <m:oMath>
          <m:sSub>
            <m:e>
              <m:acc>
                <m:accPr>
                  <m:chr m:val="̂"/>
                </m:accPr>
                <m:e>
                  <m:r>
                    <m:t>y</m:t>
                  </m:r>
                </m:e>
              </m:acc>
            </m:e>
            <m:sub>
              <m:r>
                <m:rPr>
                  <m:nor/>
                  <m:sty m:val="p"/>
                </m:rPr>
                <m:t>ens</m:t>
              </m:r>
            </m:sub>
          </m:sSub>
          <m:r>
            <m:rPr>
              <m:sty m:val="p"/>
            </m:rPr>
            <m:t>=</m:t>
          </m:r>
          <m:r>
            <m:t>w</m:t>
          </m:r>
          <m:r>
            <m:rPr>
              <m:sty m:val="p"/>
            </m:rPr>
            <m:t>⋅</m:t>
          </m:r>
          <m:sSub>
            <m:e>
              <m:acc>
                <m:accPr>
                  <m:chr m:val="̂"/>
                </m:accPr>
                <m:e>
                  <m:r>
                    <m:t>y</m:t>
                  </m:r>
                </m:e>
              </m:acc>
            </m:e>
            <m:sub>
              <m:r>
                <m:rPr>
                  <m:nor/>
                  <m:sty m:val="p"/>
                </m:rPr>
                <m:t>LGB</m:t>
              </m:r>
            </m:sub>
          </m:sSub>
          <m:r>
            <m:rPr>
              <m:sty m:val="p"/>
            </m:rPr>
            <m:t>+</m:t>
          </m:r>
          <m:r>
            <m:rPr>
              <m:sty m:val="p"/>
            </m:rPr>
            <m:t>(</m:t>
          </m:r>
          <m:r>
            <m:t>1</m:t>
          </m:r>
          <m:r>
            <m:rPr>
              <m:sty m:val="p"/>
            </m:rPr>
            <m:t>−</m:t>
          </m:r>
          <m:r>
            <m:t>w</m:t>
          </m:r>
          <m:r>
            <m:rPr>
              <m:sty m:val="p"/>
            </m:rPr>
            <m:t>)</m:t>
          </m:r>
          <m:r>
            <m:rPr>
              <m:sty m:val="p"/>
            </m:rPr>
            <m:t>⋅</m:t>
          </m:r>
          <m:sSub>
            <m:e>
              <m:acc>
                <m:accPr>
                  <m:chr m:val="̂"/>
                </m:accPr>
                <m:e>
                  <m:r>
                    <m:t>y</m:t>
                  </m:r>
                </m:e>
              </m:acc>
            </m:e>
            <m:sub>
              <m:r>
                <m:rPr>
                  <m:nor/>
                  <m:sty m:val="p"/>
                </m:rPr>
                <m:t>CB</m:t>
              </m:r>
            </m:sub>
          </m:sSub>
          <m:r>
            <m:rPr>
              <m:sty m:val="p"/>
            </m:rPr>
            <m:t>,</m:t>
          </m:r>
          <m:r>
            <m:t> </m:t>
          </m:r>
          <m:r>
            <m:t>w</m:t>
          </m:r>
          <m:r>
            <m:rPr>
              <m:sty m:val="p"/>
            </m:rPr>
            <m:t>∈</m:t>
          </m:r>
          <m:r>
            <m:rPr>
              <m:sty m:val="p"/>
            </m:rPr>
            <m:t>[</m:t>
          </m:r>
          <m:r>
            <m:t>0</m:t>
          </m:r>
          <m:r>
            <m:rPr>
              <m:sty m:val="p"/>
            </m:rPr>
            <m:t>,</m:t>
          </m:r>
          <m:r>
            <m:t>1</m:t>
          </m:r>
          <m:r>
            <m:rPr>
              <m:sty m:val="p"/>
            </m:rPr>
            <m:t>]</m:t>
          </m:r>
        </m:oMath>
      </m:oMathPara>
    </w:p>
    <w:p>
      <w:pPr>
        <w:pStyle w:val="FirstParagraph"/>
        <w:spacing w:line="360" w:lineRule="auto"/>
      </w:pPr>
      <w:r>
        <w:rPr>
          <w:rFonts w:ascii="Times New Roman" w:hAnsi="Times New Roman" w:cs="Times New Roman" w:eastAsia="Times New Roman"/>
          <w:sz w:val="24"/>
        </w:rPr>
        <w:t xml:space="preserve">der vekten</w:t>
      </w:r>
      <w:r>
        <w:rPr>
          <w:rFonts w:ascii="Times New Roman" w:hAnsi="Times New Roman" w:cs="Times New Roman" w:eastAsia="Times New Roman"/>
          <w:sz w:val="24"/>
        </w:rPr>
        <w:t xml:space="preserve"> </w:t>
      </w:r>
      <m:oMath>
        <m:r>
          <m:t>w</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velges ved gridsøk på valideringssettet og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Style w:val="VerbatimChar"/>
          <w:rFonts w:ascii="Times New Roman" w:hAnsi="Times New Roman" w:cs="Times New Roman" w:eastAsia="Times New Roman"/>
          <w:sz w:val="24"/>
        </w:rPr>
        <w:t xml:space="preserve">ensemble_weight = 0.30</w:t>
      </w:r>
      <w:r>
        <w:rPr>
          <w:rFonts w:ascii="Times New Roman" w:hAnsi="Times New Roman" w:cs="Times New Roman" w:eastAsia="Times New Roman"/>
          <w:sz w:val="24"/>
        </w:rPr>
        <w:t xml:space="preserve">, dvs. 30 % LightGBM + 70 % CatBoost).</w:t>
      </w:r>
    </w:p>
    <w:p>
      <w:pPr>
        <w:pStyle w:val="BodyText"/>
        <w:spacing w:line="360" w:lineRule="auto"/>
      </w:pPr>
      <w:r>
        <w:rPr>
          <w:rFonts w:ascii="Times New Roman" w:hAnsi="Times New Roman" w:cs="Times New Roman" w:eastAsia="Times New Roman"/>
          <w:sz w:val="24"/>
        </w:rPr>
        <w:t xml:space="preserve">Hyperparametre for LightGBM er funnet med Optuna (80 trials, 5-fold kryssvalidering på trening + validering) og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best_params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alpha = 3.35, learning_rate = 0.032, num_leaves = 32, min_data_in_leaf = 47, max_depth = 6, feature_fraction = 0.85, bagging_fraction = 0.83</w:t>
      </w:r>
      <w:r>
        <w:rPr>
          <w:rFonts w:ascii="Times New Roman" w:hAnsi="Times New Roman" w:cs="Times New Roman" w:eastAsia="Times New Roman"/>
          <w:sz w:val="24"/>
        </w:rPr>
        <w:t xml:space="preserve">. CatBoost trenes med native håndtering av kategoriske kolonner. Begge modellene bruker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early_stopping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valideringssettet i avstemmings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fasen, og refittes deretter på hele datasettet (2020–2025)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best_iteration = 390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produksjon.</w:t>
      </w:r>
    </w:p>
    <w:bookmarkEnd w:id="41"/>
    <w:bookmarkStart w:id="42" w:name="kvantilmodell-og-konform-kalibrering"/>
    <w:p>
      <w:pPr>
        <w:pStyle w:val="Heading3"/>
        <w:spacing w:line="360" w:lineRule="auto"/>
      </w:pPr>
      <w:r>
        <w:rPr>
          <w:rFonts w:ascii="Times New Roman" w:hAnsi="Times New Roman" w:cs="Times New Roman" w:eastAsia="Times New Roman"/>
          <w:sz w:val="24"/>
        </w:rPr>
        <w:t xml:space="preserve">6.4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og konform kalibrering</w:t>
      </w:r>
    </w:p>
    <w:p>
      <w:pPr>
        <w:pStyle w:val="FirstParagraph"/>
        <w:spacing w:line="360" w:lineRule="auto"/>
      </w:pPr>
      <w:r>
        <w:rPr>
          <w:rFonts w:ascii="Times New Roman" w:hAnsi="Times New Roman" w:cs="Times New Roman" w:eastAsia="Times New Roman"/>
          <w:sz w:val="24"/>
        </w:rPr>
        <w:t xml:space="preserve">For å gi P10/P50/P90-prediksjoner trenes tre LightGBM-modeller separat med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objektivet (pinball loss). Disse kalibreres deretter med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Conformalized Quantile Regression (CQR)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(Romano et al., 2019) på et hold-out kalibreringssett. Empirisk dekning på valideringssettet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CQR-justering (mot nominelt 80 %), og avviker fra rå dekning på 79,8 % med kun en CQR-korreksjon på 3 EUR —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altså godt kalibrert allerede før justering. Forbeholdene rundt betinget dekning når en sentral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 er u</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observert drøftes i § 9.2.</w:t>
      </w:r>
    </w:p>
    <w:bookmarkEnd w:id="42"/>
    <w:bookmarkStart w:id="43" w:name="hybrid-kalibrering-på-anløpsnivå"/>
    <w:p>
      <w:pPr>
        <w:pStyle w:val="Heading3"/>
        <w:spacing w:line="360" w:lineRule="auto"/>
      </w:pPr>
      <w:r>
        <w:rPr>
          <w:rFonts w:ascii="Times New Roman" w:hAnsi="Times New Roman" w:cs="Times New Roman" w:eastAsia="Times New Roman"/>
          <w:sz w:val="24"/>
        </w:rPr>
        <w:t xml:space="preserve">6.5 Hybrid kalibrering på anløpsnivå</w:t>
      </w:r>
    </w:p>
    <w:p>
      <w:pPr>
        <w:pStyle w:val="FirstParagraph"/>
        <w:spacing w:line="360" w:lineRule="auto"/>
      </w:pPr>
      <w:r>
        <w:rPr>
          <w:rFonts w:ascii="Times New Roman" w:hAnsi="Times New Roman" w:cs="Times New Roman" w:eastAsia="Times New Roman"/>
          <w:sz w:val="24"/>
        </w:rPr>
        <w:t xml:space="preserve">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produserer urealistisk lave totaler hvis predikerte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 summeres direkte. For å unngå dette brukes en hybrid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strategi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predict_voyage.py</w:t>
      </w:r>
      <w:r>
        <w:rPr>
          <w:rFonts w:ascii="Times New Roman" w:hAnsi="Times New Roman" w:cs="Times New Roman" w:eastAsia="Times New Roman"/>
          <w:sz w:val="24"/>
        </w:rPr>
        <w:t xml:space="preserve">):</w:t>
      </w:r>
    </w:p>
    <w:p>
      <w:pPr>
        <w:numPr>
          <w:ilvl w:val="0"/>
          <w:numId w:val="1013"/>
        </w:numPr>
        <w:spacing w:line="360" w:lineRule="auto"/>
      </w:pPr>
      <w:r>
        <w:rPr>
          <w:rFonts w:ascii="Times New Roman" w:hAnsi="Times New Roman" w:cs="Times New Roman" w:eastAsia="Times New Roman"/>
          <w:sz w:val="24"/>
        </w:rPr>
        <w:t xml:space="preserve">Generer transaksjonsrader 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valgt havn.</w:t>
      </w:r>
    </w:p>
    <w:p>
      <w:pPr>
        <w:numPr>
          <w:ilvl w:val="0"/>
          <w:numId w:val="1013"/>
        </w:numPr>
        <w:spacing w:line="360" w:lineRule="auto"/>
      </w:pPr>
      <w:r>
        <w:rPr>
          <w:rFonts w:ascii="Times New Roman" w:hAnsi="Times New Roman" w:cs="Times New Roman" w:eastAsia="Times New Roman"/>
          <w:sz w:val="24"/>
        </w:rPr>
        <w:t xml:space="preserve">Beregn predikert beløp per rad og vekt med forventet antall transaksjoner.</w:t>
      </w:r>
    </w:p>
    <w:p>
      <w:pPr>
        <w:numPr>
          <w:ilvl w:val="0"/>
          <w:numId w:val="1013"/>
        </w:numPr>
        <w:spacing w:line="360" w:lineRule="auto"/>
      </w:pPr>
      <w:r>
        <w:rPr>
          <w:rFonts w:ascii="Times New Roman" w:hAnsi="Times New Roman" w:cs="Times New Roman" w:eastAsia="Times New Roman"/>
          <w:sz w:val="24"/>
        </w:rPr>
        <w:t xml:space="preserve">Sammenlign med et havn-størrelse-spesifikt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baseline-prediksjon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baseline_predictions.joblib</w:t>
      </w:r>
      <w:r>
        <w:rPr>
          <w:rFonts w:ascii="Times New Roman" w:hAnsi="Times New Roman" w:cs="Times New Roman" w:eastAsia="Times New Roman"/>
          <w:sz w:val="24"/>
        </w:rPr>
        <w:t xml:space="preserve">).</w:t>
      </w:r>
    </w:p>
    <w:p>
      <w:pPr>
        <w:numPr>
          <w:ilvl w:val="0"/>
          <w:numId w:val="1013"/>
        </w:numPr>
        <w:spacing w:line="360" w:lineRule="auto"/>
      </w:pPr>
      <w:r>
        <w:rPr>
          <w:rFonts w:ascii="Times New Roman" w:hAnsi="Times New Roman" w:cs="Times New Roman" w:eastAsia="Times New Roman"/>
          <w:b/>
          <w:bCs/>
          <w:sz w:val="24"/>
        </w:rPr>
        <w:t xml:space="preserve">Anker estimatet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 empirisk medianpris (P50)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(havn, size_category)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 og skaler proporsjonalt med modell-til-baseline-forholdet:</w:t>
      </w:r>
    </w:p>
    <w:p>
      <w:pPr>
        <w:pStyle w:val="BodyText"/>
        <w:spacing w:line="360" w:lineRule="auto"/>
      </w:pPr>
      <m:oMathPara>
        <m:oMathParaPr>
          <m:jc m:val="center"/>
        </m:oMathParaPr>
        <m:oMath>
          <m:acc>
            <m:accPr>
              <m:chr m:val="̂"/>
            </m:accPr>
            <m:e>
              <m:r>
                <m:rPr>
                  <m:nor/>
                  <m:sty m:val="p"/>
                </m:rPr>
                <m:t>Total</m:t>
              </m:r>
            </m:e>
          </m:acc>
          <m:r>
            <m:rPr>
              <m:sty m:val="p"/>
            </m:rPr>
            <m:t>=</m:t>
          </m:r>
          <m:sSub>
            <m:e>
              <m:r>
                <m:rPr>
                  <m:nor/>
                  <m:sty m:val="p"/>
                </m:rPr>
                <m:t>P50</m:t>
              </m:r>
            </m:e>
            <m:sub>
              <m:r>
                <m:rPr>
                  <m:nor/>
                  <m:sty m:val="p"/>
                </m:rPr>
                <m:t>historisk</m:t>
              </m:r>
            </m:sub>
          </m:sSub>
          <m:r>
            <m:rPr>
              <m:sty m:val="p"/>
            </m:rPr>
            <m:t>⋅</m:t>
          </m:r>
          <m:f>
            <m:fPr>
              <m:type m:val="bar"/>
            </m:fPr>
            <m:num>
              <m:sSub>
                <m:e>
                  <m:acc>
                    <m:accPr>
                      <m:chr m:val="̂"/>
                    </m:accPr>
                    <m:e>
                      <m:r>
                        <m:rPr>
                          <m:nor/>
                          <m:sty m:val="p"/>
                        </m:rPr>
                        <m:t>Total</m:t>
                      </m:r>
                    </m:e>
                  </m:acc>
                </m:e>
                <m:sub>
                  <m:r>
                    <m:rPr>
                      <m:nor/>
                      <m:sty m:val="p"/>
                    </m:rPr>
                    <m:t>modell</m:t>
                  </m:r>
                </m:sub>
              </m:sSub>
            </m:num>
            <m:den>
              <m:sSub>
                <m:e>
                  <m:r>
                    <m:rPr>
                      <m:nor/>
                      <m:sty m:val="p"/>
                    </m:rPr>
                    <m:t>Baseline</m:t>
                  </m:r>
                </m:e>
                <m:sub>
                  <m:r>
                    <m:rPr>
                      <m:nor/>
                      <m:sty m:val="p"/>
                    </m:rPr>
                    <m:t>modell</m:t>
                  </m:r>
                </m:sub>
              </m:sSub>
            </m:den>
          </m:f>
        </m:oMath>
      </m:oMathPara>
    </w:p>
    <w:p>
      <w:pPr>
        <w:pStyle w:val="FirstParagraph"/>
        <w:spacing w:line="360" w:lineRule="auto"/>
      </w:pPr>
      <w:r>
        <w:rPr>
          <w:rFonts w:ascii="Times New Roman" w:hAnsi="Times New Roman" w:cs="Times New Roman" w:eastAsia="Times New Roman"/>
          <w:sz w:val="24"/>
        </w:rPr>
        <w:t xml:space="preserve">På landsnivå tas et trafikk</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gjennomsnitt over alle havner i landet.</w:t>
      </w:r>
    </w:p>
    <w:p>
      <w:pPr>
        <w:spacing w:line="360" w:lineRule="auto"/>
      </w:pPr>
      <w:r>
        <w:rPr>
          <w:rFonts w:ascii="Times New Roman" w:hAnsi="Times New Roman" w:cs="Times New Roman" w:eastAsia="Times New Roman"/>
          <w:sz w:val="24"/>
        </w:rPr>
        <w:pict>
          <v:rect style="width:0;height:1.5pt" o:hralign="center" o:hrstd="t" o:hr="t"/>
        </w:pict>
      </w:r>
    </w:p>
    <w:bookmarkEnd w:id="43"/>
    <w:bookmarkEnd w:id="44"/>
    <w:bookmarkStart w:id="73" w:name="analyse"/>
    <w:p>
      <w:pPr>
        <w:pStyle w:val="Heading2"/>
        <w:spacing w:line="360" w:lineRule="auto"/>
      </w:pPr>
      <w:r>
        <w:rPr>
          <w:rFonts w:ascii="Times New Roman" w:hAnsi="Times New Roman" w:cs="Times New Roman" w:eastAsia="Times New Roman"/>
          <w:sz w:val="24"/>
        </w:rPr>
        <w:t xml:space="preserve">7. Analyse</w:t>
      </w:r>
    </w:p>
    <w:p>
      <w:pPr>
        <w:pStyle w:val="FirstParagraph"/>
        <w:spacing w:line="360" w:lineRule="auto"/>
      </w:pPr>
      <w:r>
        <w:rPr>
          <w:rFonts w:ascii="Times New Roman" w:hAnsi="Times New Roman" w:cs="Times New Roman" w:eastAsia="Times New Roman"/>
          <w:sz w:val="24"/>
        </w:rPr>
        <w:t xml:space="preserve">Analysen i dette kapittelet er basert på 1 626 transaksjoner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costs_merged.csv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feature engineering (§ 5.5). Figurer er produsert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eda_nauticost.ipynb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er reproduserbare gjennom å kjøre notebookene mot artefaktene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w:t>
      </w:r>
      <w:r>
        <w:rPr>
          <w:rFonts w:ascii="Times New Roman" w:hAnsi="Times New Roman" w:cs="Times New Roman" w:eastAsia="Times New Roman"/>
          <w:sz w:val="24"/>
        </w:rPr>
        <w:t xml:space="preserve">. Figurtekstene under er bevisst skrevet stand-alone — alle nøkkeltall som diskusjonen senere bygger på, gjengis i teksten her, slik at rapporten kan leses uten å åpne notebookene.</w:t>
      </w:r>
    </w:p>
    <w:bookmarkStart w:id="54" w:name="beskrivende-statistikk"/>
    <w:p>
      <w:pPr>
        <w:pStyle w:val="Heading3"/>
        <w:spacing w:line="360" w:lineRule="auto"/>
      </w:pPr>
      <w:r>
        <w:rPr>
          <w:rFonts w:ascii="Times New Roman" w:hAnsi="Times New Roman" w:cs="Times New Roman" w:eastAsia="Times New Roman"/>
          <w:sz w:val="24"/>
        </w:rPr>
        <w:t xml:space="preserve">7.1 Beskrivende statistikk</w:t>
      </w:r>
    </w:p>
    <w:p>
      <w:pPr>
        <w:pStyle w:val="CaptionedFigure"/>
        <w:spacing w:line="360" w:lineRule="auto"/>
      </w:pPr>
      <w:r>
        <w:rPr>
          <w:rFonts w:ascii="Times New Roman" w:hAnsi="Times New Roman" w:cs="Times New Roman" w:eastAsia="Times New Roman"/>
          <w:sz w:val="24"/>
        </w:rPr>
        <w:drawing>
          <wp:inline>
            <wp:extent cx="5334000" cy="3288699"/>
            <wp:effectExtent b="0" l="0" r="0" t="0"/>
            <wp:docPr descr="Figur 7.1: Distribusjon av final_charge (log-skala) — høyreskjev kostnadsfordeling som motiverer log-transformasjonen i § 6.1" title="" id="46" name="Picture"/>
            <a:graphic>
              <a:graphicData uri="http://schemas.openxmlformats.org/drawingml/2006/picture">
                <pic:pic>
                  <pic:nvPicPr>
                    <pic:cNvPr descr="figures/figur_7_1_kostnadsfordeling.png" id="47" name="Picture"/>
                    <pic:cNvPicPr>
                      <a:picLocks noChangeArrowheads="1" noChangeAspect="1"/>
                    </pic:cNvPicPr>
                  </pic:nvPicPr>
                  <pic:blipFill>
                    <a:blip r:embed="rId45"/>
                    <a:stretch>
                      <a:fillRect/>
                    </a:stretch>
                  </pic:blipFill>
                  <pic:spPr bwMode="auto">
                    <a:xfrm>
                      <a:off x="0" y="0"/>
                      <a:ext cx="5334000" cy="32886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7.1: Distribusjon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(log-skala) — høyreskjev kostnadsfordeling som motiverer log-transformasjonen i § 6.1</w:t>
      </w:r>
    </w:p>
    <w:p>
      <w:pPr>
        <w:pStyle w:val="BodyText"/>
        <w:spacing w:line="360" w:lineRule="auto"/>
      </w:pPr>
      <w:r>
        <w:rPr>
          <w:rFonts w:ascii="Times New Roman" w:hAnsi="Times New Roman" w:cs="Times New Roman" w:eastAsia="Times New Roman"/>
          <w:b/>
          <w:bCs/>
          <w:sz w:val="24"/>
        </w:rPr>
        <w:t xml:space="preserve">Figur 7.1.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Distribusjon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3.2; rådata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costs_clean.csv</w:t>
      </w:r>
      <w:r>
        <w:rPr>
          <w:rFonts w:ascii="Times New Roman" w:hAnsi="Times New Roman" w:cs="Times New Roman" w:eastAsia="Times New Roman"/>
          <w:i/>
          <w:iCs/>
          <w:sz w:val="24"/>
        </w:rPr>
        <w:t xml:space="preserve">;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013 fase 3 - review/generate_figures.py</w:t>
      </w:r>
      <w:r>
        <w:rPr>
          <w:rFonts w:ascii="Times New Roman" w:hAnsi="Times New Roman" w:cs="Times New Roman" w:eastAsia="Times New Roman"/>
          <w:i/>
          <w:iCs/>
          <w:sz w:val="24"/>
        </w:rPr>
        <w:t xml:space="preserve">.)</w:t>
      </w:r>
    </w:p>
    <w:p>
      <w:pPr>
        <w:pStyle w:val="CaptionedFigure"/>
        <w:spacing w:line="360" w:lineRule="auto"/>
      </w:pPr>
      <w:r>
        <w:rPr>
          <w:rFonts w:ascii="Times New Roman" w:hAnsi="Times New Roman" w:cs="Times New Roman" w:eastAsia="Times New Roman"/>
          <w:sz w:val="24"/>
        </w:rPr>
        <w:drawing>
          <wp:inline>
            <wp:extent cx="5334000" cy="2389866"/>
            <wp:effectExtent b="0" l="0" r="0" t="0"/>
            <wp:docPr descr="Figur 7.2: Antall transaksjoner per havn og år (2020–2025) — viser trafikkvolum og datatilfang per havn" title="" id="49" name="Picture"/>
            <a:graphic>
              <a:graphicData uri="http://schemas.openxmlformats.org/drawingml/2006/picture">
                <pic:pic>
                  <pic:nvPicPr>
                    <pic:cNvPr descr="figures/figur_7_2_havn_per_aar.png" id="50" name="Picture"/>
                    <pic:cNvPicPr>
                      <a:picLocks noChangeArrowheads="1" noChangeAspect="1"/>
                    </pic:cNvPicPr>
                  </pic:nvPicPr>
                  <pic:blipFill>
                    <a:blip r:embed="rId48"/>
                    <a:stretch>
                      <a:fillRect/>
                    </a:stretch>
                  </pic:blipFill>
                  <pic:spPr bwMode="auto">
                    <a:xfrm>
                      <a:off x="0" y="0"/>
                      <a:ext cx="5334000" cy="238986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7.2: Antall transaksjoner per havn og år (2020–2025) — viser trafikkvolum og datatilfang per havn</w:t>
      </w:r>
    </w:p>
    <w:p>
      <w:pPr>
        <w:pStyle w:val="BodyText"/>
        <w:spacing w:line="360" w:lineRule="auto"/>
      </w:pPr>
      <w:r>
        <w:rPr>
          <w:rFonts w:ascii="Times New Roman" w:hAnsi="Times New Roman" w:cs="Times New Roman" w:eastAsia="Times New Roman"/>
          <w:b/>
          <w:bCs/>
          <w:sz w:val="24"/>
        </w:rPr>
        <w:t xml:space="preserve">Figur 7.2.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-tabellen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model.py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3.2.)</w:t>
      </w:r>
    </w:p>
    <w:p>
      <w:pPr>
        <w:pStyle w:val="CaptionedFigure"/>
        <w:spacing w:line="360" w:lineRule="auto"/>
      </w:pPr>
      <w:r>
        <w:rPr>
          <w:rFonts w:ascii="Times New Roman" w:hAnsi="Times New Roman" w:cs="Times New Roman" w:eastAsia="Times New Roman"/>
          <w:sz w:val="24"/>
        </w:rPr>
        <w:drawing>
          <wp:inline>
            <wp:extent cx="5334000" cy="2634650"/>
            <wp:effectExtent b="0" l="0" r="0" t="0"/>
            <wp:docPr descr="Figur 7.3: Kostnad per tjenestekategori, fordelt på størrelseskategori (Liten / Mellomstor / Stor)" title="" id="52" name="Picture"/>
            <a:graphic>
              <a:graphicData uri="http://schemas.openxmlformats.org/drawingml/2006/picture">
                <pic:pic>
                  <pic:nvPicPr>
                    <pic:cNvPr descr="figures/figur_7_3_tjeneste_x_storrelse.png" id="53" name="Picture"/>
                    <pic:cNvPicPr>
                      <a:picLocks noChangeArrowheads="1" noChangeAspect="1"/>
                    </pic:cNvPicPr>
                  </pic:nvPicPr>
                  <pic:blipFill>
                    <a:blip r:embed="rId51"/>
                    <a:stretch>
                      <a:fillRect/>
                    </a:stretch>
                  </pic:blipFill>
                  <pic:spPr bwMode="auto">
                    <a:xfrm>
                      <a:off x="0" y="0"/>
                      <a:ext cx="5334000" cy="263465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7.3: Kostnad per tjenestekategori, fordelt på størrelseskategori (Liten / Mellomstor / Stor)</w:t>
      </w:r>
    </w:p>
    <w:p>
      <w:pPr>
        <w:pStyle w:val="BodyText"/>
        <w:spacing w:line="360" w:lineRule="auto"/>
      </w:pPr>
      <w:r>
        <w:rPr>
          <w:rFonts w:ascii="Times New Roman" w:hAnsi="Times New Roman" w:cs="Times New Roman" w:eastAsia="Times New Roman"/>
          <w:b/>
          <w:bCs/>
          <w:sz w:val="24"/>
        </w:rPr>
        <w:t xml:space="preserve">Figur 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Kostnad per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fordelt på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Provisioning og Port Marina dominerer total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kostnaden for Stor-yachter (typisk 30–40 % hver), Hospitality er hovedkategori for mellomstore, og Liten-kategorien har en flatere fordeling med Agency Services som største enkeltkategori.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3.3.)</w:t>
      </w:r>
    </w:p>
    <w:bookmarkEnd w:id="54"/>
    <w:bookmarkStart w:id="61" w:name="korrelasjoner-og-feature-importance"/>
    <w:p>
      <w:pPr>
        <w:pStyle w:val="Heading3"/>
        <w:spacing w:line="360" w:lineRule="auto"/>
      </w:pPr>
      <w:r>
        <w:rPr>
          <w:rFonts w:ascii="Times New Roman" w:hAnsi="Times New Roman" w:cs="Times New Roman" w:eastAsia="Times New Roman"/>
          <w:sz w:val="24"/>
        </w:rPr>
        <w:t xml:space="preserve">7.2 Korrelasjoner og feature importance</w:t>
      </w:r>
    </w:p>
    <w:p>
      <w:pPr>
        <w:pStyle w:val="CaptionedFigure"/>
        <w:spacing w:line="360" w:lineRule="auto"/>
      </w:pPr>
      <w:r>
        <w:rPr>
          <w:rFonts w:ascii="Times New Roman" w:hAnsi="Times New Roman" w:cs="Times New Roman" w:eastAsia="Times New Roman"/>
          <w:sz w:val="24"/>
        </w:rPr>
        <w:drawing>
          <wp:inline>
            <wp:extent cx="5334000" cy="3294926"/>
            <wp:effectExtent b="0" l="0" r="0" t="0"/>
            <wp:docPr descr="Figur 7.4: Spearman-korrelasjon mellom numeriske features og log-kostnad — GT, LOA og fuel­konsum er moderat positivt korrelert" title="" id="56" name="Picture"/>
            <a:graphic>
              <a:graphicData uri="http://schemas.openxmlformats.org/drawingml/2006/picture">
                <pic:pic>
                  <pic:nvPicPr>
                    <pic:cNvPr descr="figures/figur_7_4_spearman.png" id="57" name="Picture"/>
                    <pic:cNvPicPr>
                      <a:picLocks noChangeArrowheads="1" noChangeAspect="1"/>
                    </pic:cNvPicPr>
                  </pic:nvPicPr>
                  <pic:blipFill>
                    <a:blip r:embed="rId55"/>
                    <a:stretch>
                      <a:fillRect/>
                    </a:stretch>
                  </pic:blipFill>
                  <pic:spPr bwMode="auto">
                    <a:xfrm>
                      <a:off x="0" y="0"/>
                      <a:ext cx="5334000" cy="329492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7.4: Spearman-korrelasjon mellom numeriske features og log-kostnad — GT, LOA og fuel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 er moderat positivt korrelert</w:t>
      </w:r>
    </w:p>
    <w:p>
      <w:pPr>
        <w:pStyle w:val="BodyText"/>
        <w:spacing w:line="360" w:lineRule="auto"/>
      </w:pPr>
      <w:r>
        <w:rPr>
          <w:rFonts w:ascii="Times New Roman" w:hAnsi="Times New Roman" w:cs="Times New Roman" w:eastAsia="Times New Roman"/>
          <w:b/>
          <w:bCs/>
          <w:sz w:val="24"/>
        </w:rPr>
        <w:t xml:space="preserve">Figur 7.4.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Spearman-korrelasjon mellom numeriske features og log-kostnad. GT (ρ = 0,38), LOA (ρ = 0,35) og fuel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 (ρ = 0,31) er positivt korrelert med kostnad; korrelasjonene er moderate fordi yacht-størrelse alene ikke determinerer kostnaden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 og sesong påvirker minst like sterkt).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4.)</w:t>
      </w:r>
    </w:p>
    <w:p>
      <w:pPr>
        <w:pStyle w:val="CaptionedFigure"/>
        <w:spacing w:line="360" w:lineRule="auto"/>
      </w:pPr>
      <w:r>
        <w:rPr>
          <w:rFonts w:ascii="Times New Roman" w:hAnsi="Times New Roman" w:cs="Times New Roman" w:eastAsia="Times New Roman"/>
          <w:sz w:val="24"/>
        </w:rPr>
        <w:drawing>
          <wp:inline>
            <wp:extent cx="5334000" cy="3528031"/>
            <wp:effectExtent b="0" l="0" r="0" t="0"/>
            <wp:docPr descr="Figur 7.5: Top-15 feature importance fra LightGBM (gain-andel) — service_type og størrelse-baserte aggregat­statistikker dominerer" title="" id="59" name="Picture"/>
            <a:graphic>
              <a:graphicData uri="http://schemas.openxmlformats.org/drawingml/2006/picture">
                <pic:pic>
                  <pic:nvPicPr>
                    <pic:cNvPr descr="figures/figur_7_5_feature_importance.png" id="60" name="Picture"/>
                    <pic:cNvPicPr>
                      <a:picLocks noChangeArrowheads="1" noChangeAspect="1"/>
                    </pic:cNvPicPr>
                  </pic:nvPicPr>
                  <pic:blipFill>
                    <a:blip r:embed="rId58"/>
                    <a:stretch>
                      <a:fillRect/>
                    </a:stretch>
                  </pic:blipFill>
                  <pic:spPr bwMode="auto">
                    <a:xfrm>
                      <a:off x="0" y="0"/>
                      <a:ext cx="5334000" cy="3528031"/>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7.5: Top-15 feature importance fra LightGBM (gain-andel)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størrelse-baserte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statistikker dominerer</w:t>
      </w:r>
    </w:p>
    <w:p>
      <w:pPr>
        <w:pStyle w:val="BodyText"/>
        <w:spacing w:line="360" w:lineRule="auto"/>
      </w:pPr>
      <w:r>
        <w:rPr>
          <w:rFonts w:ascii="Times New Roman" w:hAnsi="Times New Roman" w:cs="Times New Roman" w:eastAsia="Times New Roman"/>
          <w:b/>
          <w:bCs/>
          <w:sz w:val="24"/>
        </w:rPr>
        <w:t xml:space="preserve">Figur 7.5.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Top-15 feature importance fra LightGBM (gain). De fem viktigste featurene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(gain-andel ≈ 32 %),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18 %),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11 %),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cmt_len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6 %) 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week_of_year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5 %). At aggregat-statistikkene rangerer høyt bekrefter at feature engineering-steget i § 5.5 tilfører reell signal, og at modellen i praksis lærer et hierarki: tjenestetype velger et baseline-prisnivå, og yacht- og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modulerer det baselinet.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6;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generate_figures.py</w:t>
      </w:r>
      <w:r>
        <w:rPr>
          <w:rFonts w:ascii="Times New Roman" w:hAnsi="Times New Roman" w:cs="Times New Roman" w:eastAsia="Times New Roman"/>
          <w:i/>
          <w:iCs/>
          <w:sz w:val="24"/>
        </w:rPr>
        <w:t xml:space="preserve">.)</w:t>
      </w:r>
    </w:p>
    <w:bookmarkEnd w:id="61"/>
    <w:bookmarkStart w:id="68" w:name="shap-analyse"/>
    <w:p>
      <w:pPr>
        <w:pStyle w:val="Heading3"/>
        <w:spacing w:line="360" w:lineRule="auto"/>
      </w:pPr>
      <w:r>
        <w:rPr>
          <w:rFonts w:ascii="Times New Roman" w:hAnsi="Times New Roman" w:cs="Times New Roman" w:eastAsia="Times New Roman"/>
          <w:sz w:val="24"/>
        </w:rPr>
        <w:t xml:space="preserve">7.3 SHAP-analyse</w:t>
      </w:r>
    </w:p>
    <w:p>
      <w:pPr>
        <w:pStyle w:val="CaptionedFigure"/>
        <w:spacing w:line="360" w:lineRule="auto"/>
      </w:pPr>
      <w:r>
        <w:rPr>
          <w:rFonts w:ascii="Times New Roman" w:hAnsi="Times New Roman" w:cs="Times New Roman" w:eastAsia="Times New Roman"/>
          <w:sz w:val="24"/>
        </w:rPr>
        <w:drawing>
          <wp:inline>
            <wp:extent cx="5334000" cy="3530676"/>
            <wp:effectExtent b="0" l="0" r="0" t="0"/>
            <wp:docPr descr="Figur 7.6: SHAP summary plot — effekt­retning og styrke per feature i ensemble­modellen" title="" id="63" name="Picture"/>
            <a:graphic>
              <a:graphicData uri="http://schemas.openxmlformats.org/drawingml/2006/picture">
                <pic:pic>
                  <pic:nvPicPr>
                    <pic:cNvPr descr="figures/figur_7_6_shap_summary.png" id="64" name="Picture"/>
                    <pic:cNvPicPr>
                      <a:picLocks noChangeArrowheads="1" noChangeAspect="1"/>
                    </pic:cNvPicPr>
                  </pic:nvPicPr>
                  <pic:blipFill>
                    <a:blip r:embed="rId62"/>
                    <a:stretch>
                      <a:fillRect/>
                    </a:stretch>
                  </pic:blipFill>
                  <pic:spPr bwMode="auto">
                    <a:xfrm>
                      <a:off x="0" y="0"/>
                      <a:ext cx="5334000" cy="353067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7.6: SHAP summary plot — effekt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retning og styrke per feature i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w:t>
      </w:r>
    </w:p>
    <w:p>
      <w:pPr>
        <w:pStyle w:val="BodyText"/>
        <w:spacing w:line="360" w:lineRule="auto"/>
      </w:pPr>
      <w:r>
        <w:rPr>
          <w:rFonts w:ascii="Times New Roman" w:hAnsi="Times New Roman" w:cs="Times New Roman" w:eastAsia="Times New Roman"/>
          <w:b/>
          <w:bCs/>
          <w:sz w:val="24"/>
        </w:rPr>
        <w:t xml:space="preserve">Figur 7.6.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SHAP summary plot — viser effekt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retning og styrke per feature.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statistikkene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 dominerer,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stay_days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viktige sekundære drivere. Retnings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strukturen er som forventet: høyere GT, lengre opphold og dyre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 tjenestetyper (Provisioning, Port Marina) gir høyere predikert kostnad.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10.)</w:t>
      </w:r>
    </w:p>
    <w:p>
      <w:pPr>
        <w:pStyle w:val="CaptionedFigure"/>
        <w:spacing w:line="360" w:lineRule="auto"/>
      </w:pPr>
      <w:r>
        <w:rPr>
          <w:rFonts w:ascii="Times New Roman" w:hAnsi="Times New Roman" w:cs="Times New Roman" w:eastAsia="Times New Roman"/>
          <w:sz w:val="24"/>
        </w:rPr>
        <w:drawing>
          <wp:inline>
            <wp:extent cx="5334000" cy="1660156"/>
            <wp:effectExtent b="0" l="0" r="0" t="0"/>
            <wp:docPr descr="Figur 7.7: Predikerte kostnader fordelt på GT (log-skala), tjenestekategori og ankomsthavn — viser monoton GT-effekt og tydelig havne­variasjon" title="" id="66" name="Picture"/>
            <a:graphic>
              <a:graphicData uri="http://schemas.openxmlformats.org/drawingml/2006/picture">
                <pic:pic>
                  <pic:nvPicPr>
                    <pic:cNvPr descr="figures/figur_7_7_dependence.png" id="67" name="Picture"/>
                    <pic:cNvPicPr>
                      <a:picLocks noChangeArrowheads="1" noChangeAspect="1"/>
                    </pic:cNvPicPr>
                  </pic:nvPicPr>
                  <pic:blipFill>
                    <a:blip r:embed="rId65"/>
                    <a:stretch>
                      <a:fillRect/>
                    </a:stretch>
                  </pic:blipFill>
                  <pic:spPr bwMode="auto">
                    <a:xfrm>
                      <a:off x="0" y="0"/>
                      <a:ext cx="5334000" cy="166015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7.7: Predikerte kostnader fordelt på GT (log-skala), tjenestekategori og ankomsthavn — viser monoton GT-effekt og tydelig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variasjon</w:t>
      </w:r>
    </w:p>
    <w:p>
      <w:pPr>
        <w:pStyle w:val="BodyText"/>
        <w:spacing w:line="360" w:lineRule="auto"/>
      </w:pPr>
      <w:r>
        <w:rPr>
          <w:rFonts w:ascii="Times New Roman" w:hAnsi="Times New Roman" w:cs="Times New Roman" w:eastAsia="Times New Roman"/>
          <w:b/>
          <w:bCs/>
          <w:sz w:val="24"/>
        </w:rPr>
        <w:t xml:space="preserve">Figur 7.7.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Predikerte kostnader fordelt på sentrale features på valideringssettet: (a) predikert kostnad vs. GT (log-skala), (b) median prediksjon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service_category</w:t>
      </w:r>
      <w:r>
        <w:rPr>
          <w:rFonts w:ascii="Times New Roman" w:hAnsi="Times New Roman" w:cs="Times New Roman" w:eastAsia="Times New Roman"/>
          <w:sz w:val="24"/>
        </w:rPr>
        <w:t xml:space="preserve">, (c) median prediksjon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 GT-effekten er monoton men ikke-lineær.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effekten viser at København og Stockholm gir høyere prediksjoner enn norske havner ved samme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størrelse, hvilket er konsistent med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avgifts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nivåene i datasettet og motiverer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bevisst aggregering som videre arbeid (§ 9.5.5).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10;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generate_figures.py</w:t>
      </w:r>
      <w:r>
        <w:rPr>
          <w:rFonts w:ascii="Times New Roman" w:hAnsi="Times New Roman" w:cs="Times New Roman" w:eastAsia="Times New Roman"/>
          <w:i/>
          <w:iCs/>
          <w:sz w:val="24"/>
        </w:rPr>
        <w:t xml:space="preserve">.)</w:t>
      </w:r>
    </w:p>
    <w:bookmarkEnd w:id="68"/>
    <w:bookmarkStart w:id="72" w:name="residualdiagnostikk"/>
    <w:p>
      <w:pPr>
        <w:pStyle w:val="Heading3"/>
        <w:spacing w:line="360" w:lineRule="auto"/>
      </w:pPr>
      <w:r>
        <w:rPr>
          <w:rFonts w:ascii="Times New Roman" w:hAnsi="Times New Roman" w:cs="Times New Roman" w:eastAsia="Times New Roman"/>
          <w:sz w:val="24"/>
        </w:rPr>
        <w:t xml:space="preserve">7.4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diagnostikk</w:t>
      </w:r>
    </w:p>
    <w:p>
      <w:pPr>
        <w:pStyle w:val="CaptionedFigure"/>
        <w:spacing w:line="360" w:lineRule="auto"/>
      </w:pPr>
      <w:r>
        <w:rPr>
          <w:rFonts w:ascii="Times New Roman" w:hAnsi="Times New Roman" w:cs="Times New Roman" w:eastAsia="Times New Roman"/>
          <w:sz w:val="24"/>
        </w:rPr>
        <w:drawing>
          <wp:inline>
            <wp:extent cx="5334000" cy="2126429"/>
            <wp:effectExtent b="0" l="0" r="0" t="0"/>
            <wp:docPr descr="Figur 7.8: Residualplott (predikert vs. faktisk i log-rom) på valideringssettet (n = 490, 2024) — bias ≈ −0,20 indikerer systematisk overprediksjon for lave fakturaer" title="" id="70" name="Picture"/>
            <a:graphic>
              <a:graphicData uri="http://schemas.openxmlformats.org/drawingml/2006/picture">
                <pic:pic>
                  <pic:nvPicPr>
                    <pic:cNvPr descr="figures/figur_7_8_residuals.png" id="71" name="Picture"/>
                    <pic:cNvPicPr>
                      <a:picLocks noChangeArrowheads="1" noChangeAspect="1"/>
                    </pic:cNvPicPr>
                  </pic:nvPicPr>
                  <pic:blipFill>
                    <a:blip r:embed="rId69"/>
                    <a:stretch>
                      <a:fillRect/>
                    </a:stretch>
                  </pic:blipFill>
                  <pic:spPr bwMode="auto">
                    <a:xfrm>
                      <a:off x="0" y="0"/>
                      <a:ext cx="5334000" cy="212642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7.8: Residualplott (predikert vs. faktisk i log-rom) på valideringssettet (n = 490, 2024) — bias ≈ −0,20 indikerer systematisk overprediksjon for lave fakturaer</w:t>
      </w:r>
    </w:p>
    <w:p>
      <w:pPr>
        <w:pStyle w:val="BodyText"/>
        <w:spacing w:line="360" w:lineRule="auto"/>
      </w:pPr>
      <w:r>
        <w:rPr>
          <w:rFonts w:ascii="Times New Roman" w:hAnsi="Times New Roman" w:cs="Times New Roman" w:eastAsia="Times New Roman"/>
          <w:b/>
          <w:bCs/>
          <w:sz w:val="24"/>
        </w:rPr>
        <w:t xml:space="preserve">Figur 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plott (predikert vs. faktisk i log-rom) på valideringssettet (n = 490, 2024) for den tunede LightGBM-modellen. Gjennomsnittlig residual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−0,20 i log-rom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 dette samsvarer med funnet i § 9.5.4 om manglende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-feature for Provisioning.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11, og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013 fase 3 - review/generate_figures.py</w:t>
      </w:r>
      <w:r>
        <w:rPr>
          <w:rFonts w:ascii="Times New Roman" w:hAnsi="Times New Roman" w:cs="Times New Roman" w:eastAsia="Times New Roman"/>
          <w:i/>
          <w:iCs/>
          <w:sz w:val="24"/>
        </w:rPr>
        <w:t xml:space="preserve">.)</w:t>
      </w:r>
    </w:p>
    <w:p>
      <w:pPr>
        <w:pStyle w:val="BodyText"/>
        <w:spacing w:line="360" w:lineRule="auto"/>
      </w:pPr>
      <w:r>
        <w:rPr>
          <w:rFonts w:ascii="Times New Roman" w:hAnsi="Times New Roman" w:cs="Times New Roman" w:eastAsia="Times New Roman"/>
          <w:b/>
          <w:bCs/>
          <w:sz w:val="24"/>
        </w:rPr>
        <w:t xml:space="preserve">Tabell 7.1.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Validerings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residualer per størrelseskategori (n = 490, år 2024). MAPE er rapportert som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forholdstall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(gjennomsnittlig |feil| / faktisk verdi); 0,89 betyr 89 % gjennomsnittlig avvik, 4,07 betyr 407 %. De høye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tallene drives av mange små transaksjoner (jf. drøftingen av MAPE-sensitivitet i § 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360" w:lineRule="auto"/>
            </w:pPr>
            <w:r>
              <w:rPr>
                <w:rFonts w:ascii="Times New Roman" w:hAnsi="Times New Roman" w:cs="Times New Roman" w:eastAsia="Times New Roman"/>
                <w:sz w:val="24"/>
              </w:rPr>
              <w:t xml:space="preserve">size_category</w:t>
            </w:r>
          </w:p>
        </w:tc>
        <w:tc>
          <w:tcPr/>
          <w:p>
            <w:pPr>
              <w:pStyle w:val="Compact"/>
              <w:spacing w:line="360" w:lineRule="auto"/>
              <w:jc w:val="right"/>
            </w:pPr>
            <w:r>
              <w:rPr>
                <w:rFonts w:ascii="Times New Roman" w:hAnsi="Times New Roman" w:cs="Times New Roman" w:eastAsia="Times New Roman"/>
                <w:sz w:val="24"/>
              </w:rPr>
              <w:t xml:space="preserve">n</w:t>
            </w:r>
          </w:p>
        </w:tc>
        <w:tc>
          <w:tcPr/>
          <w:p>
            <w:pPr>
              <w:pStyle w:val="Compact"/>
              <w:spacing w:line="360" w:lineRule="auto"/>
              <w:jc w:val="right"/>
            </w:pPr>
            <w:r>
              <w:rPr>
                <w:rFonts w:ascii="Times New Roman" w:hAnsi="Times New Roman" w:cs="Times New Roman" w:eastAsia="Times New Roman"/>
                <w:sz w:val="24"/>
              </w:rPr>
              <w:t xml:space="preserve">MAE (EUR)</w:t>
            </w:r>
          </w:p>
        </w:tc>
        <w:tc>
          <w:tcPr/>
          <w:p>
            <w:pPr>
              <w:pStyle w:val="Compact"/>
              <w:spacing w:line="360" w:lineRule="auto"/>
              <w:jc w:val="right"/>
            </w:pPr>
            <w:r>
              <w:rPr>
                <w:rFonts w:ascii="Times New Roman" w:hAnsi="Times New Roman" w:cs="Times New Roman" w:eastAsia="Times New Roman"/>
                <w:sz w:val="24"/>
              </w:rPr>
              <w:t xml:space="preserve">MAPE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w:t>
            </w:r>
          </w:p>
        </w:tc>
      </w:tr>
      <w:tr>
        <w:tc>
          <w:tcPr/>
          <w:p>
            <w:pPr>
              <w:pStyle w:val="Compact"/>
              <w:spacing w:line="360" w:lineRule="auto"/>
            </w:pPr>
            <w:r>
              <w:rPr>
                <w:rFonts w:ascii="Times New Roman" w:hAnsi="Times New Roman" w:cs="Times New Roman" w:eastAsia="Times New Roman"/>
                <w:sz w:val="24"/>
              </w:rPr>
              <w:t xml:space="preserve">Liten</w:t>
            </w:r>
          </w:p>
        </w:tc>
        <w:tc>
          <w:tcPr/>
          <w:p>
            <w:pPr>
              <w:pStyle w:val="Compact"/>
              <w:spacing w:line="360" w:lineRule="auto"/>
              <w:jc w:val="right"/>
            </w:pPr>
            <w:r>
              <w:rPr>
                <w:rFonts w:ascii="Times New Roman" w:hAnsi="Times New Roman" w:cs="Times New Roman" w:eastAsia="Times New Roman"/>
                <w:sz w:val="24"/>
              </w:rPr>
              <w:t xml:space="preserve">159</w:t>
            </w:r>
          </w:p>
        </w:tc>
        <w:tc>
          <w:tcPr/>
          <w:p>
            <w:pPr>
              <w:pStyle w:val="Compact"/>
              <w:spacing w:line="360" w:lineRule="auto"/>
              <w:jc w:val="right"/>
            </w:pPr>
            <w:r>
              <w:rPr>
                <w:rFonts w:ascii="Times New Roman" w:hAnsi="Times New Roman" w:cs="Times New Roman" w:eastAsia="Times New Roman"/>
                <w:sz w:val="24"/>
              </w:rPr>
              <w:t xml:space="preserve">9 277</w:t>
            </w:r>
          </w:p>
        </w:tc>
        <w:tc>
          <w:tcPr/>
          <w:p>
            <w:pPr>
              <w:pStyle w:val="Compact"/>
              <w:spacing w:line="360" w:lineRule="auto"/>
              <w:jc w:val="right"/>
            </w:pPr>
            <w:r>
              <w:rPr>
                <w:rFonts w:ascii="Times New Roman" w:hAnsi="Times New Roman" w:cs="Times New Roman" w:eastAsia="Times New Roman"/>
                <w:sz w:val="24"/>
              </w:rPr>
              <w:t xml:space="preserve">0,89</w:t>
            </w:r>
          </w:p>
        </w:tc>
      </w:tr>
      <w:tr>
        <w:tc>
          <w:tcPr/>
          <w:p>
            <w:pPr>
              <w:pStyle w:val="Compact"/>
              <w:spacing w:line="360" w:lineRule="auto"/>
            </w:pPr>
            <w:r>
              <w:rPr>
                <w:rFonts w:ascii="Times New Roman" w:hAnsi="Times New Roman" w:cs="Times New Roman" w:eastAsia="Times New Roman"/>
                <w:sz w:val="24"/>
              </w:rPr>
              <w:t xml:space="preserve">Mellomstor</w:t>
            </w:r>
          </w:p>
        </w:tc>
        <w:tc>
          <w:tcPr/>
          <w:p>
            <w:pPr>
              <w:pStyle w:val="Compact"/>
              <w:spacing w:line="360" w:lineRule="auto"/>
              <w:jc w:val="right"/>
            </w:pPr>
            <w:r>
              <w:rPr>
                <w:rFonts w:ascii="Times New Roman" w:hAnsi="Times New Roman" w:cs="Times New Roman" w:eastAsia="Times New Roman"/>
                <w:sz w:val="24"/>
              </w:rPr>
              <w:t xml:space="preserve">113</w:t>
            </w:r>
          </w:p>
        </w:tc>
        <w:tc>
          <w:tcPr/>
          <w:p>
            <w:pPr>
              <w:pStyle w:val="Compact"/>
              <w:spacing w:line="360" w:lineRule="auto"/>
              <w:jc w:val="right"/>
            </w:pPr>
            <w:r>
              <w:rPr>
                <w:rFonts w:ascii="Times New Roman" w:hAnsi="Times New Roman" w:cs="Times New Roman" w:eastAsia="Times New Roman"/>
                <w:sz w:val="24"/>
              </w:rPr>
              <w:t xml:space="preserve">9 192</w:t>
            </w:r>
          </w:p>
        </w:tc>
        <w:tc>
          <w:tcPr/>
          <w:p>
            <w:pPr>
              <w:pStyle w:val="Compact"/>
              <w:spacing w:line="360" w:lineRule="auto"/>
              <w:jc w:val="right"/>
            </w:pPr>
            <w:r>
              <w:rPr>
                <w:rFonts w:ascii="Times New Roman" w:hAnsi="Times New Roman" w:cs="Times New Roman" w:eastAsia="Times New Roman"/>
                <w:sz w:val="24"/>
              </w:rPr>
              <w:t xml:space="preserve">2,13</w:t>
            </w:r>
          </w:p>
        </w:tc>
      </w:tr>
      <w:tr>
        <w:tc>
          <w:tcPr/>
          <w:p>
            <w:pPr>
              <w:pStyle w:val="Compact"/>
              <w:spacing w:line="360" w:lineRule="auto"/>
            </w:pPr>
            <w:r>
              <w:rPr>
                <w:rFonts w:ascii="Times New Roman" w:hAnsi="Times New Roman" w:cs="Times New Roman" w:eastAsia="Times New Roman"/>
                <w:sz w:val="24"/>
              </w:rPr>
              <w:t xml:space="preserve">Stor</w:t>
            </w:r>
          </w:p>
        </w:tc>
        <w:tc>
          <w:tcPr/>
          <w:p>
            <w:pPr>
              <w:pStyle w:val="Compact"/>
              <w:spacing w:line="360" w:lineRule="auto"/>
              <w:jc w:val="right"/>
            </w:pPr>
            <w:r>
              <w:rPr>
                <w:rFonts w:ascii="Times New Roman" w:hAnsi="Times New Roman" w:cs="Times New Roman" w:eastAsia="Times New Roman"/>
                <w:sz w:val="24"/>
              </w:rPr>
              <w:t xml:space="preserve">218</w:t>
            </w:r>
          </w:p>
        </w:tc>
        <w:tc>
          <w:tcPr/>
          <w:p>
            <w:pPr>
              <w:pStyle w:val="Compact"/>
              <w:spacing w:line="360" w:lineRule="auto"/>
              <w:jc w:val="right"/>
            </w:pPr>
            <w:r>
              <w:rPr>
                <w:rFonts w:ascii="Times New Roman" w:hAnsi="Times New Roman" w:cs="Times New Roman" w:eastAsia="Times New Roman"/>
                <w:sz w:val="24"/>
              </w:rPr>
              <w:t xml:space="preserve">28 562</w:t>
            </w:r>
          </w:p>
        </w:tc>
        <w:tc>
          <w:tcPr/>
          <w:p>
            <w:pPr>
              <w:pStyle w:val="Compact"/>
              <w:spacing w:line="360" w:lineRule="auto"/>
              <w:jc w:val="right"/>
            </w:pPr>
            <w:r>
              <w:rPr>
                <w:rFonts w:ascii="Times New Roman" w:hAnsi="Times New Roman" w:cs="Times New Roman" w:eastAsia="Times New Roman"/>
                <w:sz w:val="24"/>
              </w:rPr>
              <w:t xml:space="preserve">4,07</w:t>
            </w:r>
          </w:p>
        </w:tc>
      </w:tr>
    </w:tbl>
    <w:p>
      <w:pPr>
        <w:pStyle w:val="BodyText"/>
        <w:spacing w:line="360" w:lineRule="auto"/>
      </w:pPr>
      <w:r>
        <w:rPr>
          <w:rFonts w:ascii="Times New Roman" w:hAnsi="Times New Roman" w:cs="Times New Roman" w:eastAsia="Times New Roman"/>
          <w:sz w:val="24"/>
        </w:rPr>
        <w:t xml:space="preserve">Stor-kategorien har en MAE som er ca. 3× høyere enn de to andre, hvilket reflekterer at store yachter har større variasjons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spenn i absolutte kostnader (P95-fakturaer for Stor-yachter er over 100 000 EUR; for Liten typisk under 15 000 EUR). MAPE-tallene må tolkes forsiktig: 4,07 for Stor betyr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modellen bommer med 407 % på typiske Stor-yacht-fakturaer, men at det er noen små Stor-fakturaer (f.eks. en enkelt forsyning på 200 EUR der modellen predikerer 1 000 EUR) som blåser opp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avviket. wMAPE-tallet for hele settet (71,4 %, jf. tabell 8.1) gir et mer rettferdig bilde av relativ feil. Det vesentlige funnet i tabellen er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absolutt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feil skaleres med fordelingens skala, ikke med systematisk bias mot Stor.</w:t>
      </w:r>
    </w:p>
    <w:p>
      <w:pPr>
        <w:spacing w:line="360" w:lineRule="auto"/>
      </w:pPr>
      <w:r>
        <w:rPr>
          <w:rFonts w:ascii="Times New Roman" w:hAnsi="Times New Roman" w:cs="Times New Roman" w:eastAsia="Times New Roman"/>
          <w:sz w:val="24"/>
        </w:rPr>
        <w:pict>
          <v:rect style="width:0;height:1.5pt" o:hralign="center" o:hrstd="t" o:hr="t"/>
        </w:pict>
      </w:r>
    </w:p>
    <w:bookmarkEnd w:id="72"/>
    <w:bookmarkEnd w:id="73"/>
    <w:bookmarkStart w:id="79" w:name="resultat"/>
    <w:p>
      <w:pPr>
        <w:pStyle w:val="Heading2"/>
        <w:spacing w:line="360" w:lineRule="auto"/>
      </w:pPr>
      <w:r>
        <w:rPr>
          <w:rFonts w:ascii="Times New Roman" w:hAnsi="Times New Roman" w:cs="Times New Roman" w:eastAsia="Times New Roman"/>
          <w:sz w:val="24"/>
        </w:rPr>
        <w:t xml:space="preserve">8. Resultat</w:t>
      </w:r>
    </w:p>
    <w:bookmarkStart w:id="74" w:name="X9e63db4d73416036d6c4aff3da2d7ddb8b5d91f"/>
    <w:p>
      <w:pPr>
        <w:pStyle w:val="Heading3"/>
        <w:spacing w:line="360" w:lineRule="auto"/>
      </w:pPr>
      <w:r>
        <w:rPr>
          <w:rFonts w:ascii="Times New Roman" w:hAnsi="Times New Roman" w:cs="Times New Roman" w:eastAsia="Times New Roman"/>
          <w:sz w:val="24"/>
        </w:rPr>
        <w:t xml:space="preserve">8.1 Sammenligning av modeller på valideringssettet</w:t>
      </w:r>
    </w:p>
    <w:p>
      <w:pPr>
        <w:pStyle w:val="FirstParagraph"/>
        <w:spacing w:line="360" w:lineRule="auto"/>
      </w:pPr>
      <w:r>
        <w:rPr>
          <w:rFonts w:ascii="Times New Roman" w:hAnsi="Times New Roman" w:cs="Times New Roman" w:eastAsia="Times New Roman"/>
          <w:b/>
          <w:bCs/>
          <w:sz w:val="24"/>
        </w:rPr>
        <w:t xml:space="preserve">Tabell 8.1.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viser feil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metrikker for alle modeller på</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valideringssettet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(2024, 490 transaksjoner), sortert etter MAE. Dette er settet vi bruker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modellseleksjon</w:t>
      </w:r>
      <w:r>
        <w:rPr>
          <w:rFonts w:ascii="Times New Roman" w:hAnsi="Times New Roman" w:cs="Times New Roman" w:eastAsia="Times New Roman"/>
          <w:sz w:val="24"/>
        </w:rPr>
        <w:t xml:space="preserve">. Endelig evaluering på det reserverte testsettet (2025) drøftes i § 8.1.1.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pPr>
            <w:r>
              <w:rPr>
                <w:rFonts w:ascii="Times New Roman" w:hAnsi="Times New Roman" w:cs="Times New Roman" w:eastAsia="Times New Roman"/>
                <w:sz w:val="24"/>
              </w:rPr>
              <w:t xml:space="preserve">Modell</w:t>
            </w:r>
          </w:p>
        </w:tc>
        <w:tc>
          <w:tcPr/>
          <w:p>
            <w:pPr>
              <w:pStyle w:val="Compact"/>
              <w:spacing w:line="360" w:lineRule="auto"/>
              <w:jc w:val="right"/>
            </w:pPr>
            <w:r>
              <w:rPr>
                <w:rFonts w:ascii="Times New Roman" w:hAnsi="Times New Roman" w:cs="Times New Roman" w:eastAsia="Times New Roman"/>
                <w:sz w:val="24"/>
              </w:rPr>
              <w:t xml:space="preserve">MAE (EUR)</w:t>
            </w:r>
          </w:p>
        </w:tc>
        <w:tc>
          <w:tcPr/>
          <w:p>
            <w:pPr>
              <w:pStyle w:val="Compact"/>
              <w:spacing w:line="360" w:lineRule="auto"/>
              <w:jc w:val="right"/>
            </w:pPr>
            <w:r>
              <w:rPr>
                <w:rFonts w:ascii="Times New Roman" w:hAnsi="Times New Roman" w:cs="Times New Roman" w:eastAsia="Times New Roman"/>
                <w:sz w:val="24"/>
              </w:rPr>
              <w:t xml:space="preserve">RMSE (EUR)</w:t>
            </w:r>
          </w:p>
        </w:tc>
        <w:tc>
          <w:tcPr/>
          <w:p>
            <w:pPr>
              <w:pStyle w:val="Compact"/>
              <w:spacing w:line="360" w:lineRule="auto"/>
              <w:jc w:val="right"/>
            </w:pPr>
            <w:r>
              <w:rPr>
                <w:rFonts w:ascii="Times New Roman" w:hAnsi="Times New Roman" w:cs="Times New Roman" w:eastAsia="Times New Roman"/>
                <w:sz w:val="24"/>
              </w:rPr>
              <w:t xml:space="preserve">MAPE (%)</w:t>
            </w:r>
          </w:p>
        </w:tc>
        <w:tc>
          <w:tcPr/>
          <w:p>
            <w:pPr>
              <w:pStyle w:val="Compact"/>
              <w:spacing w:line="360" w:lineRule="auto"/>
              <w:jc w:val="right"/>
            </w:pPr>
            <w:r>
              <w:rPr>
                <w:rFonts w:ascii="Times New Roman" w:hAnsi="Times New Roman" w:cs="Times New Roman" w:eastAsia="Times New Roman"/>
                <w:sz w:val="24"/>
              </w:rPr>
              <w:t xml:space="preserve">wMAPE (%)</w:t>
            </w:r>
          </w:p>
        </w:tc>
      </w:tr>
      <w:tr>
        <w:tc>
          <w:tcPr/>
          <w:p>
            <w:pPr>
              <w:pStyle w:val="Compact"/>
              <w:spacing w:line="360" w:lineRule="auto"/>
            </w:pPr>
            <w:r>
              <w:rPr>
                <w:rFonts w:ascii="Times New Roman" w:hAnsi="Times New Roman" w:cs="Times New Roman" w:eastAsia="Times New Roman"/>
                <w:sz w:val="24"/>
              </w:rPr>
              <w:t xml:space="preserve">LightGBM (base)</w:t>
            </w:r>
          </w:p>
        </w:tc>
        <w:tc>
          <w:tcPr/>
          <w:p>
            <w:pPr>
              <w:pStyle w:val="Compact"/>
              <w:spacing w:line="360" w:lineRule="auto"/>
              <w:jc w:val="right"/>
            </w:pPr>
            <w:r>
              <w:rPr>
                <w:rFonts w:ascii="Times New Roman" w:hAnsi="Times New Roman" w:cs="Times New Roman" w:eastAsia="Times New Roman"/>
                <w:b/>
                <w:bCs/>
                <w:sz w:val="24"/>
              </w:rPr>
              <w:t xml:space="preserve">17 317</w:t>
            </w:r>
          </w:p>
        </w:tc>
        <w:tc>
          <w:tcPr/>
          <w:p>
            <w:pPr>
              <w:pStyle w:val="Compact"/>
              <w:spacing w:line="360" w:lineRule="auto"/>
              <w:jc w:val="right"/>
            </w:pPr>
            <w:r>
              <w:rPr>
                <w:rFonts w:ascii="Times New Roman" w:hAnsi="Times New Roman" w:cs="Times New Roman" w:eastAsia="Times New Roman"/>
                <w:sz w:val="24"/>
              </w:rPr>
              <w:t xml:space="preserve">54 476</w:t>
            </w:r>
          </w:p>
        </w:tc>
        <w:tc>
          <w:tcPr/>
          <w:p>
            <w:pPr>
              <w:pStyle w:val="Compact"/>
              <w:spacing w:line="360" w:lineRule="auto"/>
              <w:jc w:val="right"/>
            </w:pPr>
            <w:r>
              <w:rPr>
                <w:rFonts w:ascii="Times New Roman" w:hAnsi="Times New Roman" w:cs="Times New Roman" w:eastAsia="Times New Roman"/>
                <w:sz w:val="24"/>
              </w:rPr>
              <w:t xml:space="preserve">180,2</w:t>
            </w:r>
          </w:p>
        </w:tc>
        <w:tc>
          <w:tcPr/>
          <w:p>
            <w:pPr>
              <w:pStyle w:val="Compact"/>
              <w:spacing w:line="360" w:lineRule="auto"/>
              <w:jc w:val="right"/>
            </w:pPr>
            <w:r>
              <w:rPr>
                <w:rFonts w:ascii="Times New Roman" w:hAnsi="Times New Roman" w:cs="Times New Roman" w:eastAsia="Times New Roman"/>
                <w:sz w:val="24"/>
              </w:rPr>
              <w:t xml:space="preserve">71,3</w:t>
            </w:r>
          </w:p>
        </w:tc>
      </w:tr>
      <w:tr>
        <w:tc>
          <w:tcPr/>
          <w:p>
            <w:pPr>
              <w:pStyle w:val="Compact"/>
              <w:spacing w:line="360" w:lineRule="auto"/>
            </w:pPr>
            <w:r>
              <w:rPr>
                <w:rFonts w:ascii="Times New Roman" w:hAnsi="Times New Roman" w:cs="Times New Roman" w:eastAsia="Times New Roman"/>
                <w:b/>
                <w:bCs/>
                <w:sz w:val="24"/>
              </w:rPr>
              <w:t xml:space="preserve">Ensemble (LGB + CB)</w:t>
            </w:r>
          </w:p>
        </w:tc>
        <w:tc>
          <w:tcPr/>
          <w:p>
            <w:pPr>
              <w:pStyle w:val="Compact"/>
              <w:spacing w:line="360" w:lineRule="auto"/>
              <w:jc w:val="right"/>
            </w:pPr>
            <w:r>
              <w:rPr>
                <w:rFonts w:ascii="Times New Roman" w:hAnsi="Times New Roman" w:cs="Times New Roman" w:eastAsia="Times New Roman"/>
                <w:sz w:val="24"/>
              </w:rPr>
              <w:t xml:space="preserve">17 350</w:t>
            </w:r>
          </w:p>
        </w:tc>
        <w:tc>
          <w:tcPr/>
          <w:p>
            <w:pPr>
              <w:pStyle w:val="Compact"/>
              <w:spacing w:line="360" w:lineRule="auto"/>
              <w:jc w:val="right"/>
            </w:pPr>
            <w:r>
              <w:rPr>
                <w:rFonts w:ascii="Times New Roman" w:hAnsi="Times New Roman" w:cs="Times New Roman" w:eastAsia="Times New Roman"/>
                <w:sz w:val="24"/>
              </w:rPr>
              <w:t xml:space="preserve">55 490</w:t>
            </w:r>
          </w:p>
        </w:tc>
        <w:tc>
          <w:tcPr/>
          <w:p>
            <w:pPr>
              <w:pStyle w:val="Compact"/>
              <w:spacing w:line="360" w:lineRule="auto"/>
              <w:jc w:val="right"/>
            </w:pPr>
            <w:r>
              <w:rPr>
                <w:rFonts w:ascii="Times New Roman" w:hAnsi="Times New Roman" w:cs="Times New Roman" w:eastAsia="Times New Roman"/>
                <w:sz w:val="24"/>
              </w:rPr>
              <w:t xml:space="preserve">168,3</w:t>
            </w:r>
          </w:p>
        </w:tc>
        <w:tc>
          <w:tcPr/>
          <w:p>
            <w:pPr>
              <w:pStyle w:val="Compact"/>
              <w:spacing w:line="360" w:lineRule="auto"/>
              <w:jc w:val="right"/>
            </w:pPr>
            <w:r>
              <w:rPr>
                <w:rFonts w:ascii="Times New Roman" w:hAnsi="Times New Roman" w:cs="Times New Roman" w:eastAsia="Times New Roman"/>
                <w:b/>
                <w:bCs/>
                <w:sz w:val="24"/>
              </w:rPr>
              <w:t xml:space="preserve">71,4</w:t>
            </w:r>
          </w:p>
        </w:tc>
      </w:tr>
      <w:tr>
        <w:tc>
          <w:tcPr/>
          <w:p>
            <w:pPr>
              <w:pStyle w:val="Compact"/>
              <w:spacing w:line="360" w:lineRule="auto"/>
            </w:pPr>
            <w:r>
              <w:rPr>
                <w:rFonts w:ascii="Times New Roman" w:hAnsi="Times New Roman" w:cs="Times New Roman" w:eastAsia="Times New Roman"/>
                <w:sz w:val="24"/>
              </w:rPr>
              <w:t xml:space="preserve">CatBoost</w:t>
            </w:r>
          </w:p>
        </w:tc>
        <w:tc>
          <w:tcPr/>
          <w:p>
            <w:pPr>
              <w:pStyle w:val="Compact"/>
              <w:spacing w:line="360" w:lineRule="auto"/>
              <w:jc w:val="right"/>
            </w:pPr>
            <w:r>
              <w:rPr>
                <w:rFonts w:ascii="Times New Roman" w:hAnsi="Times New Roman" w:cs="Times New Roman" w:eastAsia="Times New Roman"/>
                <w:sz w:val="24"/>
              </w:rPr>
              <w:t xml:space="preserve">17 404</w:t>
            </w:r>
          </w:p>
        </w:tc>
        <w:tc>
          <w:tcPr/>
          <w:p>
            <w:pPr>
              <w:pStyle w:val="Compact"/>
              <w:spacing w:line="360" w:lineRule="auto"/>
              <w:jc w:val="right"/>
            </w:pPr>
            <w:r>
              <w:rPr>
                <w:rFonts w:ascii="Times New Roman" w:hAnsi="Times New Roman" w:cs="Times New Roman" w:eastAsia="Times New Roman"/>
                <w:sz w:val="24"/>
              </w:rPr>
              <w:t xml:space="preserve">55 672</w:t>
            </w:r>
          </w:p>
        </w:tc>
        <w:tc>
          <w:tcPr/>
          <w:p>
            <w:pPr>
              <w:pStyle w:val="Compact"/>
              <w:spacing w:line="360" w:lineRule="auto"/>
              <w:jc w:val="right"/>
            </w:pPr>
            <w:r>
              <w:rPr>
                <w:rFonts w:ascii="Times New Roman" w:hAnsi="Times New Roman" w:cs="Times New Roman" w:eastAsia="Times New Roman"/>
                <w:sz w:val="24"/>
              </w:rPr>
              <w:t xml:space="preserve">174,1</w:t>
            </w:r>
          </w:p>
        </w:tc>
        <w:tc>
          <w:tcPr/>
          <w:p>
            <w:pPr>
              <w:pStyle w:val="Compact"/>
              <w:spacing w:line="360" w:lineRule="auto"/>
              <w:jc w:val="right"/>
            </w:pPr>
            <w:r>
              <w:rPr>
                <w:rFonts w:ascii="Times New Roman" w:hAnsi="Times New Roman" w:cs="Times New Roman" w:eastAsia="Times New Roman"/>
                <w:sz w:val="24"/>
              </w:rPr>
              <w:t xml:space="preserve">71,7</w:t>
            </w:r>
          </w:p>
        </w:tc>
      </w:tr>
      <w:tr>
        <w:tc>
          <w:tcPr/>
          <w:p>
            <w:pPr>
              <w:pStyle w:val="Compact"/>
              <w:spacing w:line="360" w:lineRule="auto"/>
            </w:pPr>
            <w:r>
              <w:rPr>
                <w:rFonts w:ascii="Times New Roman" w:hAnsi="Times New Roman" w:cs="Times New Roman" w:eastAsia="Times New Roman"/>
                <w:sz w:val="24"/>
              </w:rPr>
              <w:t xml:space="preserve">LightGBM (tunet)</w:t>
            </w:r>
          </w:p>
        </w:tc>
        <w:tc>
          <w:tcPr/>
          <w:p>
            <w:pPr>
              <w:pStyle w:val="Compact"/>
              <w:spacing w:line="360" w:lineRule="auto"/>
              <w:jc w:val="right"/>
            </w:pPr>
            <w:r>
              <w:rPr>
                <w:rFonts w:ascii="Times New Roman" w:hAnsi="Times New Roman" w:cs="Times New Roman" w:eastAsia="Times New Roman"/>
                <w:sz w:val="24"/>
              </w:rPr>
              <w:t xml:space="preserve">17 837</w:t>
            </w:r>
          </w:p>
        </w:tc>
        <w:tc>
          <w:tcPr/>
          <w:p>
            <w:pPr>
              <w:pStyle w:val="Compact"/>
              <w:spacing w:line="360" w:lineRule="auto"/>
              <w:jc w:val="right"/>
            </w:pPr>
            <w:r>
              <w:rPr>
                <w:rFonts w:ascii="Times New Roman" w:hAnsi="Times New Roman" w:cs="Times New Roman" w:eastAsia="Times New Roman"/>
                <w:b/>
                <w:bCs/>
                <w:sz w:val="24"/>
              </w:rPr>
              <w:t xml:space="preserve">55 141</w:t>
            </w:r>
          </w:p>
        </w:tc>
        <w:tc>
          <w:tcPr/>
          <w:p>
            <w:pPr>
              <w:pStyle w:val="Compact"/>
              <w:spacing w:line="360" w:lineRule="auto"/>
              <w:jc w:val="right"/>
            </w:pPr>
            <w:r>
              <w:rPr>
                <w:rFonts w:ascii="Times New Roman" w:hAnsi="Times New Roman" w:cs="Times New Roman" w:eastAsia="Times New Roman"/>
                <w:sz w:val="24"/>
              </w:rPr>
              <w:t xml:space="preserve">168,9</w:t>
            </w:r>
          </w:p>
        </w:tc>
        <w:tc>
          <w:tcPr/>
          <w:p>
            <w:pPr>
              <w:pStyle w:val="Compact"/>
              <w:spacing w:line="360" w:lineRule="auto"/>
              <w:jc w:val="right"/>
            </w:pPr>
            <w:r>
              <w:rPr>
                <w:rFonts w:ascii="Times New Roman" w:hAnsi="Times New Roman" w:cs="Times New Roman" w:eastAsia="Times New Roman"/>
                <w:sz w:val="24"/>
              </w:rPr>
              <w:t xml:space="preserve">73,4</w:t>
            </w:r>
          </w:p>
        </w:tc>
      </w:tr>
      <w:tr>
        <w:tc>
          <w:tcPr/>
          <w:p>
            <w:pPr>
              <w:pStyle w:val="Compact"/>
              <w:spacing w:line="360" w:lineRule="auto"/>
            </w:pPr>
            <w:r>
              <w:rPr>
                <w:rFonts w:ascii="Times New Roman" w:hAnsi="Times New Roman" w:cs="Times New Roman" w:eastAsia="Times New Roman"/>
                <w:sz w:val="24"/>
              </w:rPr>
              <w:t xml:space="preserve">Ridge</w:t>
            </w:r>
          </w:p>
        </w:tc>
        <w:tc>
          <w:tcPr/>
          <w:p>
            <w:pPr>
              <w:pStyle w:val="Compact"/>
              <w:spacing w:line="360" w:lineRule="auto"/>
              <w:jc w:val="right"/>
            </w:pPr>
            <w:r>
              <w:rPr>
                <w:rFonts w:ascii="Times New Roman" w:hAnsi="Times New Roman" w:cs="Times New Roman" w:eastAsia="Times New Roman"/>
                <w:sz w:val="24"/>
              </w:rPr>
              <w:t xml:space="preserve">18 251</w:t>
            </w:r>
          </w:p>
        </w:tc>
        <w:tc>
          <w:tcPr/>
          <w:p>
            <w:pPr>
              <w:pStyle w:val="Compact"/>
              <w:spacing w:line="360" w:lineRule="auto"/>
              <w:jc w:val="right"/>
            </w:pPr>
            <w:r>
              <w:rPr>
                <w:rFonts w:ascii="Times New Roman" w:hAnsi="Times New Roman" w:cs="Times New Roman" w:eastAsia="Times New Roman"/>
                <w:sz w:val="24"/>
              </w:rPr>
              <w:t xml:space="preserve">55 842</w:t>
            </w:r>
          </w:p>
        </w:tc>
        <w:tc>
          <w:tcPr/>
          <w:p>
            <w:pPr>
              <w:pStyle w:val="Compact"/>
              <w:spacing w:line="360" w:lineRule="auto"/>
              <w:jc w:val="right"/>
            </w:pPr>
            <w:r>
              <w:rPr>
                <w:rFonts w:ascii="Times New Roman" w:hAnsi="Times New Roman" w:cs="Times New Roman" w:eastAsia="Times New Roman"/>
                <w:b/>
                <w:bCs/>
                <w:sz w:val="24"/>
              </w:rPr>
              <w:t xml:space="preserve">152,7</w:t>
            </w:r>
          </w:p>
        </w:tc>
        <w:tc>
          <w:tcPr/>
          <w:p>
            <w:pPr>
              <w:pStyle w:val="Compact"/>
              <w:spacing w:line="360" w:lineRule="auto"/>
              <w:jc w:val="right"/>
            </w:pPr>
            <w:r>
              <w:rPr>
                <w:rFonts w:ascii="Times New Roman" w:hAnsi="Times New Roman" w:cs="Times New Roman" w:eastAsia="Times New Roman"/>
                <w:sz w:val="24"/>
              </w:rPr>
              <w:t xml:space="preserve">75,1</w:t>
            </w:r>
          </w:p>
        </w:tc>
      </w:tr>
      <w:tr>
        <w:tc>
          <w:tcPr/>
          <w:p>
            <w:pPr>
              <w:pStyle w:val="Compact"/>
              <w:spacing w:line="360" w:lineRule="auto"/>
            </w:pPr>
            <w:r>
              <w:rPr>
                <w:rFonts w:ascii="Times New Roman" w:hAnsi="Times New Roman" w:cs="Times New Roman" w:eastAsia="Times New Roman"/>
                <w:sz w:val="24"/>
              </w:rPr>
              <w:t xml:space="preserve">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w:t>
            </w:r>
          </w:p>
        </w:tc>
        <w:tc>
          <w:tcPr/>
          <w:p>
            <w:pPr>
              <w:pStyle w:val="Compact"/>
              <w:spacing w:line="360" w:lineRule="auto"/>
              <w:jc w:val="right"/>
            </w:pPr>
            <w:r>
              <w:rPr>
                <w:rFonts w:ascii="Times New Roman" w:hAnsi="Times New Roman" w:cs="Times New Roman" w:eastAsia="Times New Roman"/>
                <w:sz w:val="24"/>
              </w:rPr>
              <w:t xml:space="preserve">21 800</w:t>
            </w:r>
          </w:p>
        </w:tc>
        <w:tc>
          <w:tcPr/>
          <w:p>
            <w:pPr>
              <w:pStyle w:val="Compact"/>
              <w:spacing w:line="360" w:lineRule="auto"/>
              <w:jc w:val="right"/>
            </w:pPr>
            <w:r>
              <w:rPr>
                <w:rFonts w:ascii="Times New Roman" w:hAnsi="Times New Roman" w:cs="Times New Roman" w:eastAsia="Times New Roman"/>
                <w:sz w:val="24"/>
              </w:rPr>
              <w:t xml:space="preserve">60 128</w:t>
            </w:r>
          </w:p>
        </w:tc>
        <w:tc>
          <w:tcPr/>
          <w:p>
            <w:pPr>
              <w:pStyle w:val="Compact"/>
              <w:spacing w:line="360" w:lineRule="auto"/>
              <w:jc w:val="right"/>
            </w:pPr>
            <w:r>
              <w:rPr>
                <w:rFonts w:ascii="Times New Roman" w:hAnsi="Times New Roman" w:cs="Times New Roman" w:eastAsia="Times New Roman"/>
                <w:sz w:val="24"/>
              </w:rPr>
              <w:t xml:space="preserve">300,8</w:t>
            </w:r>
          </w:p>
        </w:tc>
        <w:tc>
          <w:tcPr/>
          <w:p>
            <w:pPr>
              <w:pStyle w:val="Compact"/>
              <w:spacing w:line="360" w:lineRule="auto"/>
              <w:jc w:val="right"/>
            </w:pPr>
            <w:r>
              <w:rPr>
                <w:rFonts w:ascii="Times New Roman" w:hAnsi="Times New Roman" w:cs="Times New Roman" w:eastAsia="Times New Roman"/>
                <w:sz w:val="24"/>
              </w:rPr>
              <w:t xml:space="preserve">89,8</w:t>
            </w:r>
          </w:p>
        </w:tc>
      </w:tr>
    </w:tbl>
    <w:p>
      <w:pPr>
        <w:pStyle w:val="BodyText"/>
        <w:spacing w:line="360" w:lineRule="auto"/>
      </w:pPr>
      <w:r>
        <w:rPr>
          <w:rFonts w:ascii="Times New Roman" w:hAnsi="Times New Roman" w:cs="Times New Roman" w:eastAsia="Times New Roman"/>
          <w:i/>
          <w:iCs/>
          <w:sz w:val="24"/>
        </w:rPr>
        <w:t xml:space="preserve">Kilde: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(MAE/RMSE/MAPE) 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metrics_with_wmape.csv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(wMAPE = Σǀerrǀ/Σactual = MAE/mean(actual), basert på mean(actual) = 24 289 EUR på val=2024). Tallene er i EUR fordi de er beregnet direkte fra modellens log-transformerte output, som er trent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EUR (jf. § 1.3). wMAPE er valutauavhengig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og påvirkes ikke av enhets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valget.</w:t>
      </w:r>
    </w:p>
    <w:p>
      <w:pPr>
        <w:pStyle w:val="BodyText"/>
        <w:spacing w:line="360" w:lineRule="auto"/>
      </w:pPr>
      <w:r>
        <w:rPr>
          <w:rFonts w:ascii="Times New Roman" w:hAnsi="Times New Roman" w:cs="Times New Roman" w:eastAsia="Times New Roman"/>
          <w:sz w:val="24"/>
        </w:rPr>
        <w:t xml:space="preserve">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reduserer MAE med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forhold til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forhold til ridge. På valideringssettet er LightGBM (base) og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praktisk talt like (33 EUR forskjell, eller 0,2 % MAE), og forskjellen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nivået på 490 transaksjoner.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velges likevel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fordi den reduserer varians på tvers av kvantiler/folder og er mer robust mot at en av basis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skulle drifte ved re-trening; at den også oppnår lavest MAPE (168,3 %) er et sekundært argument, siden MAE i EUR er den primære operasjonelle metrikken (jf. § 9.4).</w:t>
      </w:r>
    </w:p>
    <w:p>
      <w:pPr>
        <w:pStyle w:val="BodyText"/>
        <w:spacing w:line="360" w:lineRule="auto"/>
      </w:pPr>
      <w:r>
        <w:rPr>
          <w:rFonts w:ascii="Times New Roman" w:hAnsi="Times New Roman" w:cs="Times New Roman" w:eastAsia="Times New Roman"/>
          <w:sz w:val="24"/>
        </w:rPr>
        <w:t xml:space="preserve">Ridge-modellen har paradoksalt nok lavest MAPE (152,7 %) til tross for høyest MAE blant ML-modellene. Forklaringen er at MAPE vekter relative feil: Ridge underestimerer mindre på de mange små transaksjonene (der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avviket dominerer), men bommer mer i absolutte beløp på de store transaksjonene som MAE fanger opp.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wMAPE (volum</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vektet MAPE)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løser denne skjev</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heten ved å vekte feilen etter beløp i stedet for antall: målt på wMAPE er Ensemble best (71,4 %), Ridge dårligst blant ML-modellene (75,1 %), og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89,8 %. Differansen mellom MAPE (168,3 %) og wMAPE (71,4 %) for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illustrerer hvor sterkt små transaksjoner blåser opp den uveide MAPE-en.</w:t>
      </w:r>
    </w:p>
    <w:p>
      <w:pPr>
        <w:pStyle w:val="BodyText"/>
        <w:spacing w:line="360" w:lineRule="auto"/>
      </w:pPr>
      <w:r>
        <w:rPr>
          <w:rFonts w:ascii="Times New Roman" w:hAnsi="Times New Roman" w:cs="Times New Roman" w:eastAsia="Times New Roman"/>
          <w:b/>
          <w:bCs/>
          <w:sz w:val="24"/>
        </w:rPr>
        <w:t xml:space="preserve">Statistisk signifikans.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Forskjellen mellom LightGBM (base) og Ensemble på MAE er 33 EUR (0,19 %) — for å vurdere om dette er reell forskjell eller støy, ble det beregnet et 95 % bootstrap</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konfidens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 for</w:t>
      </w:r>
      <w:r>
        <w:rPr>
          <w:rFonts w:ascii="Times New Roman" w:hAnsi="Times New Roman" w:cs="Times New Roman" w:eastAsia="Times New Roman"/>
          <w:sz w:val="24"/>
        </w:rPr>
        <w:t xml:space="preserve"> </w:t>
      </w:r>
      <m:oMath>
        <m:r>
          <m:rPr>
            <m:sty m:val="p"/>
          </m:rPr>
          <m:t>Δ</m:t>
        </m:r>
        <m:r>
          <m:rPr>
            <m:nor/>
            <m:sty m:val="p"/>
          </m:rPr>
          <m:t>MAE</m:t>
        </m:r>
        <m:r>
          <m:rPr>
            <m:sty m:val="p"/>
          </m:rPr>
          <m:t>=</m:t>
        </m:r>
        <m:sSub>
          <m:e>
            <m:r>
              <m:rPr>
                <m:nor/>
                <m:sty m:val="p"/>
              </m:rPr>
              <m:t>MAE</m:t>
            </m:r>
          </m:e>
          <m:sub>
            <m:r>
              <m:rPr>
                <m:nor/>
                <m:sty m:val="p"/>
              </m:rPr>
              <m:t>base</m:t>
            </m:r>
          </m:sub>
        </m:sSub>
        <m:r>
          <m:rPr>
            <m:sty m:val="p"/>
          </m:rPr>
          <m:t>−</m:t>
        </m:r>
        <m:sSub>
          <m:e>
            <m:r>
              <m:rPr>
                <m:nor/>
                <m:sty m:val="p"/>
              </m:rPr>
              <m:t>MAE</m:t>
            </m:r>
          </m:e>
          <m:sub>
            <m:r>
              <m:rPr>
                <m:nor/>
                <m:sty m:val="p"/>
              </m:rPr>
              <m:t>ens</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1 000 bootstrap-utvalg av valideringssettet. Resultatet er</w:t>
      </w:r>
      <w:r>
        <w:rPr>
          <w:rFonts w:ascii="Times New Roman" w:hAnsi="Times New Roman" w:cs="Times New Roman" w:eastAsia="Times New Roman"/>
          <w:sz w:val="24"/>
        </w:rPr>
        <w:t xml:space="preserve"> </w:t>
      </w:r>
      <m:oMath>
        <m:r>
          <m:rPr>
            <m:sty m:val="p"/>
          </m:rPr>
          <m:t>Δ</m:t>
        </m:r>
        <m:r>
          <m:rPr>
            <m:nor/>
            <m:sty m:val="p"/>
          </m:rPr>
          <m:t>MAE</m:t>
        </m:r>
        <m:r>
          <m:rPr>
            <m:sty m:val="p"/>
          </m:rPr>
          <m:t>=</m:t>
        </m:r>
        <m:r>
          <m:rPr>
            <m:sty m:val="p"/>
          </m:rPr>
          <m:t>−</m:t>
        </m:r>
        <m:r>
          <m:t>33</m:t>
        </m:r>
        <m:r>
          <m:rPr>
            <m:sty m:val="p"/>
          </m:rPr>
          <m:t>±</m:t>
        </m:r>
        <m:r>
          <m:t>870</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EUR (95 % KI:</w:t>
      </w:r>
      <w:r>
        <w:rPr>
          <w:rFonts w:ascii="Times New Roman" w:hAnsi="Times New Roman" w:cs="Times New Roman" w:eastAsia="Times New Roman"/>
          <w:sz w:val="24"/>
        </w:rPr>
        <w:t xml:space="preserve"> </w:t>
      </w:r>
      <m:oMath>
        <m:r>
          <m:rPr>
            <m:sty m:val="p"/>
          </m:rPr>
          <m:t>[</m:t>
        </m:r>
        <m:r>
          <m:rPr>
            <m:sty m:val="p"/>
          </m:rPr>
          <m:t>−</m:t>
        </m:r>
        <m:r>
          <m:t>1</m:t>
        </m:r>
        <m:r>
          <m:t> </m:t>
        </m:r>
        <m:r>
          <m:t>720</m:t>
        </m:r>
        <m:r>
          <m:rPr>
            <m:sty m:val="p"/>
          </m:rPr>
          <m:t>;</m:t>
        </m:r>
        <m:r>
          <m:t> </m:t>
        </m:r>
        <m:r>
          <m:t>1</m:t>
        </m:r>
        <m:r>
          <m:t> </m:t>
        </m:r>
        <m:r>
          <m:t>650</m:t>
        </m:r>
        <m:r>
          <m:rPr>
            <m:sty m:val="p"/>
          </m:rPr>
          <m:t>]</m:t>
        </m:r>
      </m:oMath>
      <w:r>
        <w:rPr>
          <w:rFonts w:ascii="Times New Roman" w:hAnsi="Times New Roman" w:cs="Times New Roman" w:eastAsia="Times New Roman"/>
          <w:sz w:val="24"/>
        </w:rPr>
        <w:t xml:space="preserve">), som omslutter null og dermed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statistisk signifikant. På samme måte er Ensemble vs. CatBoost ikke signifikant (Δ = 54 EUR; KI omslutter null). De tre gradient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boosting-modellene er dermed praktisk talt likeverdige på validerings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i tråd med Shwartz-Ziv &amp; Armon (2022). Forskjellen mellom Ensemble og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er derimot klart signifikant (</w:t>
      </w:r>
      <m:oMath>
        <m:r>
          <m:rPr>
            <m:sty m:val="p"/>
          </m:rPr>
          <m:t>Δ</m:t>
        </m:r>
        <m:r>
          <m:rPr>
            <m:sty m:val="p"/>
          </m:rPr>
          <m:t>=</m:t>
        </m:r>
        <m:r>
          <m:t>4</m:t>
        </m:r>
        <m:r>
          <m:t> </m:t>
        </m:r>
        <m:r>
          <m:t>450</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EUR; KI:</w:t>
      </w:r>
      <w:r>
        <w:rPr>
          <w:rFonts w:ascii="Times New Roman" w:hAnsi="Times New Roman" w:cs="Times New Roman" w:eastAsia="Times New Roman"/>
          <w:sz w:val="24"/>
        </w:rPr>
        <w:t xml:space="preserve"> </w:t>
      </w:r>
      <m:oMath>
        <m:r>
          <m:rPr>
            <m:sty m:val="p"/>
          </m:rPr>
          <m:t>[</m:t>
        </m:r>
        <m:r>
          <m:t>3</m:t>
        </m:r>
        <m:r>
          <m:t> </m:t>
        </m:r>
        <m:r>
          <m:t>100</m:t>
        </m:r>
        <m:r>
          <m:rPr>
            <m:sty m:val="p"/>
          </m:rPr>
          <m:t>;</m:t>
        </m:r>
        <m:r>
          <m:t> </m:t>
        </m:r>
        <m:r>
          <m:t>5</m:t>
        </m:r>
        <m:r>
          <m:t> </m:t>
        </m:r>
        <m:r>
          <m:t>860</m:t>
        </m:r>
        <m:r>
          <m:rPr>
            <m:sty m:val="p"/>
          </m:rPr>
          <m:t>]</m:t>
        </m:r>
      </m:oMath>
      <w:r>
        <w:rPr>
          <w:rFonts w:ascii="Times New Roman" w:hAnsi="Times New Roman" w:cs="Times New Roman" w:eastAsia="Times New Roman"/>
          <w:sz w:val="24"/>
        </w:rPr>
        <w:t xml:space="preserve">). Konklusjonen er at modellvalget mellom de tre gradient-boosting-variantene må gjøres på sekundære kriterier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robusthet, drift-toleranse) — ikke på MAE-tallene alene, som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båndet.</w:t>
      </w:r>
    </w:p>
    <w:bookmarkEnd w:id="74"/>
    <w:bookmarkStart w:id="75" w:name="endelig-evaluering-på-testsettet-2025"/>
    <w:p>
      <w:pPr>
        <w:pStyle w:val="Heading3"/>
        <w:spacing w:line="360" w:lineRule="auto"/>
      </w:pPr>
      <w:r>
        <w:rPr>
          <w:rFonts w:ascii="Times New Roman" w:hAnsi="Times New Roman" w:cs="Times New Roman" w:eastAsia="Times New Roman"/>
          <w:sz w:val="24"/>
        </w:rPr>
        <w:t xml:space="preserve">8.1.1 Endelig evaluering på testsettet (2025)</w:t>
      </w:r>
    </w:p>
    <w:p>
      <w:pPr>
        <w:pStyle w:val="FirstParagraph"/>
        <w:spacing w:line="360" w:lineRule="auto"/>
      </w:pPr>
      <w:r>
        <w:rPr>
          <w:rFonts w:ascii="Times New Roman" w:hAnsi="Times New Roman" w:cs="Times New Roman" w:eastAsia="Times New Roman"/>
          <w:sz w:val="24"/>
        </w:rPr>
        <w:t xml:space="preserve">For å gi 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uavhengig generaliserings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anslag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ble testsettet (2025, 670 transaksjoner før feature-engineering, 649 etter) evaluert etter at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seleksjonen var konkludert. Pipeline (gjengitt i skriptet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review/eval_test_2025.py</w:t>
      </w:r>
      <w:r>
        <w:rPr>
          <w:rFonts w:ascii="Times New Roman" w:hAnsi="Times New Roman" w:cs="Times New Roman" w:eastAsia="Times New Roman"/>
          <w:sz w:val="24"/>
        </w:rPr>
        <w:t xml:space="preserve">): de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klassene som i § 8.1, trent 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2023) med early stopping på val=2024 for å replisere prefit-modellen som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seleksjonen ble gjort på, deretter evaluert på det helt urørte testsettet (2025).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w:t>
      </w:r>
      <w:r>
        <w:rPr>
          <w:rStyle w:val="VerbatimChar"/>
          <w:rFonts w:ascii="Times New Roman" w:hAnsi="Times New Roman" w:cs="Times New Roman" w:eastAsia="Times New Roman"/>
          <w:sz w:val="24"/>
        </w:rPr>
        <w:t xml:space="preserve">size_svc_*</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w:t>
      </w:r>
      <w:r>
        <w:rPr>
          <w:rFonts w:ascii="Times New Roman" w:hAnsi="Times New Roman" w:cs="Times New Roman" w:eastAsia="Times New Roman"/>
          <w:sz w:val="24"/>
        </w:rPr>
        <w:t xml:space="preserve">) er som tidligere beregnet kun på ≤ 2023 for å unngå target leakage. Resultater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artifacts/metrics_test_2025.csv</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Endelige test-sett-metrikker (2025, n = 649 transaksjoner; mean(actual) = 25 632 EUR), sortert etter MAE. Sammenlignet med tilsvarende valideringsmetrikker fra tabell 8.1.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spacing w:line="360" w:lineRule="auto"/>
            </w:pPr>
            <w:r>
              <w:rPr>
                <w:rFonts w:ascii="Times New Roman" w:hAnsi="Times New Roman" w:cs="Times New Roman" w:eastAsia="Times New Roman"/>
                <w:sz w:val="24"/>
              </w:rPr>
              <w:t xml:space="preserve">Modell</w:t>
            </w:r>
          </w:p>
        </w:tc>
        <w:tc>
          <w:tcPr/>
          <w:p>
            <w:pPr>
              <w:pStyle w:val="Compact"/>
              <w:spacing w:line="360" w:lineRule="auto"/>
              <w:jc w:val="right"/>
            </w:pPr>
            <w:r>
              <w:rPr>
                <w:rFonts w:ascii="Times New Roman" w:hAnsi="Times New Roman" w:cs="Times New Roman" w:eastAsia="Times New Roman"/>
                <w:sz w:val="24"/>
              </w:rPr>
              <w:t xml:space="preserve">MAE (test, EUR)</w:t>
            </w:r>
          </w:p>
        </w:tc>
        <w:tc>
          <w:tcPr/>
          <w:p>
            <w:pPr>
              <w:pStyle w:val="Compact"/>
              <w:spacing w:line="360" w:lineRule="auto"/>
              <w:jc w:val="right"/>
            </w:pPr>
            <w:r>
              <w:rPr>
                <w:rFonts w:ascii="Times New Roman" w:hAnsi="Times New Roman" w:cs="Times New Roman" w:eastAsia="Times New Roman"/>
                <w:sz w:val="24"/>
              </w:rPr>
              <w:t xml:space="preserve">RMSE (test, EUR)</w:t>
            </w:r>
          </w:p>
        </w:tc>
        <w:tc>
          <w:tcPr/>
          <w:p>
            <w:pPr>
              <w:pStyle w:val="Compact"/>
              <w:spacing w:line="360" w:lineRule="auto"/>
              <w:jc w:val="right"/>
            </w:pPr>
            <w:r>
              <w:rPr>
                <w:rFonts w:ascii="Times New Roman" w:hAnsi="Times New Roman" w:cs="Times New Roman" w:eastAsia="Times New Roman"/>
                <w:sz w:val="24"/>
              </w:rPr>
              <w:t xml:space="preserve">wMAPE (test, %)</w:t>
            </w:r>
          </w:p>
        </w:tc>
        <w:tc>
          <w:tcPr/>
          <w:p>
            <w:pPr>
              <w:pStyle w:val="Compact"/>
              <w:spacing w:line="360" w:lineRule="auto"/>
              <w:jc w:val="right"/>
            </w:pPr>
            <w:r>
              <w:rPr>
                <w:rFonts w:ascii="Times New Roman" w:hAnsi="Times New Roman" w:cs="Times New Roman" w:eastAsia="Times New Roman"/>
                <w:sz w:val="24"/>
              </w:rPr>
              <w:t xml:space="preserve">Δ MAE (val→test)</w:t>
            </w:r>
          </w:p>
        </w:tc>
      </w:tr>
      <w:tr>
        <w:tc>
          <w:tcPr/>
          <w:p>
            <w:pPr>
              <w:pStyle w:val="Compact"/>
              <w:spacing w:line="360" w:lineRule="auto"/>
            </w:pPr>
            <w:r>
              <w:rPr>
                <w:rFonts w:ascii="Times New Roman" w:hAnsi="Times New Roman" w:cs="Times New Roman" w:eastAsia="Times New Roman"/>
                <w:b/>
                <w:bCs/>
                <w:sz w:val="24"/>
              </w:rPr>
              <w:t xml:space="preserve">LightGBM (base)</w:t>
            </w:r>
          </w:p>
        </w:tc>
        <w:tc>
          <w:tcPr/>
          <w:p>
            <w:pPr>
              <w:pStyle w:val="Compact"/>
              <w:spacing w:line="360" w:lineRule="auto"/>
              <w:jc w:val="right"/>
            </w:pPr>
            <w:r>
              <w:rPr>
                <w:rFonts w:ascii="Times New Roman" w:hAnsi="Times New Roman" w:cs="Times New Roman" w:eastAsia="Times New Roman"/>
                <w:b/>
                <w:bCs/>
                <w:sz w:val="24"/>
              </w:rPr>
              <w:t xml:space="preserve">18 765</w:t>
            </w:r>
          </w:p>
        </w:tc>
        <w:tc>
          <w:tcPr/>
          <w:p>
            <w:pPr>
              <w:pStyle w:val="Compact"/>
              <w:spacing w:line="360" w:lineRule="auto"/>
              <w:jc w:val="right"/>
            </w:pPr>
            <w:r>
              <w:rPr>
                <w:rFonts w:ascii="Times New Roman" w:hAnsi="Times New Roman" w:cs="Times New Roman" w:eastAsia="Times New Roman"/>
                <w:sz w:val="24"/>
              </w:rPr>
              <w:t xml:space="preserve">60 382</w:t>
            </w:r>
          </w:p>
        </w:tc>
        <w:tc>
          <w:tcPr/>
          <w:p>
            <w:pPr>
              <w:pStyle w:val="Compact"/>
              <w:spacing w:line="360" w:lineRule="auto"/>
              <w:jc w:val="right"/>
            </w:pPr>
            <w:r>
              <w:rPr>
                <w:rFonts w:ascii="Times New Roman" w:hAnsi="Times New Roman" w:cs="Times New Roman" w:eastAsia="Times New Roman"/>
                <w:b/>
                <w:bCs/>
                <w:sz w:val="24"/>
              </w:rPr>
              <w:t xml:space="preserve">73,2</w:t>
            </w:r>
          </w:p>
        </w:tc>
        <w:tc>
          <w:tcPr/>
          <w:p>
            <w:pPr>
              <w:pStyle w:val="Compact"/>
              <w:spacing w:line="360" w:lineRule="auto"/>
              <w:jc w:val="right"/>
            </w:pPr>
            <w:r>
              <w:rPr>
                <w:rFonts w:ascii="Times New Roman" w:hAnsi="Times New Roman" w:cs="Times New Roman" w:eastAsia="Times New Roman"/>
                <w:sz w:val="24"/>
              </w:rPr>
              <w:t xml:space="preserve">+1 448 (+8 %)</w:t>
            </w:r>
          </w:p>
        </w:tc>
      </w:tr>
      <w:tr>
        <w:tc>
          <w:tcPr/>
          <w:p>
            <w:pPr>
              <w:pStyle w:val="Compact"/>
              <w:spacing w:line="360" w:lineRule="auto"/>
            </w:pPr>
            <w:r>
              <w:rPr>
                <w:rFonts w:ascii="Times New Roman" w:hAnsi="Times New Roman" w:cs="Times New Roman" w:eastAsia="Times New Roman"/>
                <w:sz w:val="24"/>
              </w:rPr>
              <w:t xml:space="preserve">Ensemble (LGB + CB)</w:t>
            </w:r>
          </w:p>
        </w:tc>
        <w:tc>
          <w:tcPr/>
          <w:p>
            <w:pPr>
              <w:pStyle w:val="Compact"/>
              <w:spacing w:line="360" w:lineRule="auto"/>
              <w:jc w:val="right"/>
            </w:pPr>
            <w:r>
              <w:rPr>
                <w:rFonts w:ascii="Times New Roman" w:hAnsi="Times New Roman" w:cs="Times New Roman" w:eastAsia="Times New Roman"/>
                <w:sz w:val="24"/>
              </w:rPr>
              <w:t xml:space="preserve">19 051</w:t>
            </w:r>
          </w:p>
        </w:tc>
        <w:tc>
          <w:tcPr/>
          <w:p>
            <w:pPr>
              <w:pStyle w:val="Compact"/>
              <w:spacing w:line="360" w:lineRule="auto"/>
              <w:jc w:val="right"/>
            </w:pPr>
            <w:r>
              <w:rPr>
                <w:rFonts w:ascii="Times New Roman" w:hAnsi="Times New Roman" w:cs="Times New Roman" w:eastAsia="Times New Roman"/>
                <w:b/>
                <w:bCs/>
                <w:sz w:val="24"/>
              </w:rPr>
              <w:t xml:space="preserve">61 032</w:t>
            </w:r>
          </w:p>
        </w:tc>
        <w:tc>
          <w:tcPr/>
          <w:p>
            <w:pPr>
              <w:pStyle w:val="Compact"/>
              <w:spacing w:line="360" w:lineRule="auto"/>
              <w:jc w:val="right"/>
            </w:pPr>
            <w:r>
              <w:rPr>
                <w:rFonts w:ascii="Times New Roman" w:hAnsi="Times New Roman" w:cs="Times New Roman" w:eastAsia="Times New Roman"/>
                <w:sz w:val="24"/>
              </w:rPr>
              <w:t xml:space="preserve">74,3</w:t>
            </w:r>
          </w:p>
        </w:tc>
        <w:tc>
          <w:tcPr/>
          <w:p>
            <w:pPr>
              <w:pStyle w:val="Compact"/>
              <w:spacing w:line="360" w:lineRule="auto"/>
              <w:jc w:val="right"/>
            </w:pPr>
            <w:r>
              <w:rPr>
                <w:rFonts w:ascii="Times New Roman" w:hAnsi="Times New Roman" w:cs="Times New Roman" w:eastAsia="Times New Roman"/>
                <w:sz w:val="24"/>
              </w:rPr>
              <w:t xml:space="preserve">+1 701 (+10 %)</w:t>
            </w:r>
          </w:p>
        </w:tc>
      </w:tr>
      <w:tr>
        <w:tc>
          <w:tcPr/>
          <w:p>
            <w:pPr>
              <w:pStyle w:val="Compact"/>
              <w:spacing w:line="360" w:lineRule="auto"/>
            </w:pPr>
            <w:r>
              <w:rPr>
                <w:rFonts w:ascii="Times New Roman" w:hAnsi="Times New Roman" w:cs="Times New Roman" w:eastAsia="Times New Roman"/>
                <w:sz w:val="24"/>
              </w:rPr>
              <w:t xml:space="preserve">CatBoost</w:t>
            </w:r>
          </w:p>
        </w:tc>
        <w:tc>
          <w:tcPr/>
          <w:p>
            <w:pPr>
              <w:pStyle w:val="Compact"/>
              <w:spacing w:line="360" w:lineRule="auto"/>
              <w:jc w:val="right"/>
            </w:pPr>
            <w:r>
              <w:rPr>
                <w:rFonts w:ascii="Times New Roman" w:hAnsi="Times New Roman" w:cs="Times New Roman" w:eastAsia="Times New Roman"/>
                <w:sz w:val="24"/>
              </w:rPr>
              <w:t xml:space="preserve">19 065</w:t>
            </w:r>
          </w:p>
        </w:tc>
        <w:tc>
          <w:tcPr/>
          <w:p>
            <w:pPr>
              <w:pStyle w:val="Compact"/>
              <w:spacing w:line="360" w:lineRule="auto"/>
              <w:jc w:val="right"/>
            </w:pPr>
            <w:r>
              <w:rPr>
                <w:rFonts w:ascii="Times New Roman" w:hAnsi="Times New Roman" w:cs="Times New Roman" w:eastAsia="Times New Roman"/>
                <w:sz w:val="24"/>
              </w:rPr>
              <w:t xml:space="preserve">60 888</w:t>
            </w:r>
          </w:p>
        </w:tc>
        <w:tc>
          <w:tcPr/>
          <w:p>
            <w:pPr>
              <w:pStyle w:val="Compact"/>
              <w:spacing w:line="360" w:lineRule="auto"/>
              <w:jc w:val="right"/>
            </w:pPr>
            <w:r>
              <w:rPr>
                <w:rFonts w:ascii="Times New Roman" w:hAnsi="Times New Roman" w:cs="Times New Roman" w:eastAsia="Times New Roman"/>
                <w:sz w:val="24"/>
              </w:rPr>
              <w:t xml:space="preserve">74,4</w:t>
            </w:r>
          </w:p>
        </w:tc>
        <w:tc>
          <w:tcPr/>
          <w:p>
            <w:pPr>
              <w:pStyle w:val="Compact"/>
              <w:spacing w:line="360" w:lineRule="auto"/>
              <w:jc w:val="right"/>
            </w:pPr>
            <w:r>
              <w:rPr>
                <w:rFonts w:ascii="Times New Roman" w:hAnsi="Times New Roman" w:cs="Times New Roman" w:eastAsia="Times New Roman"/>
                <w:sz w:val="24"/>
              </w:rPr>
              <w:t xml:space="preserve">+1 661 (+10 %)</w:t>
            </w:r>
          </w:p>
        </w:tc>
      </w:tr>
      <w:tr>
        <w:tc>
          <w:tcPr/>
          <w:p>
            <w:pPr>
              <w:pStyle w:val="Compact"/>
              <w:spacing w:line="360" w:lineRule="auto"/>
            </w:pPr>
            <w:r>
              <w:rPr>
                <w:rFonts w:ascii="Times New Roman" w:hAnsi="Times New Roman" w:cs="Times New Roman" w:eastAsia="Times New Roman"/>
                <w:sz w:val="24"/>
              </w:rPr>
              <w:t xml:space="preserve">LightGBM (tunet)</w:t>
            </w:r>
          </w:p>
        </w:tc>
        <w:tc>
          <w:tcPr/>
          <w:p>
            <w:pPr>
              <w:pStyle w:val="Compact"/>
              <w:spacing w:line="360" w:lineRule="auto"/>
              <w:jc w:val="right"/>
            </w:pPr>
            <w:r>
              <w:rPr>
                <w:rFonts w:ascii="Times New Roman" w:hAnsi="Times New Roman" w:cs="Times New Roman" w:eastAsia="Times New Roman"/>
                <w:sz w:val="24"/>
              </w:rPr>
              <w:t xml:space="preserve">19 331</w:t>
            </w:r>
          </w:p>
        </w:tc>
        <w:tc>
          <w:tcPr/>
          <w:p>
            <w:pPr>
              <w:pStyle w:val="Compact"/>
              <w:spacing w:line="360" w:lineRule="auto"/>
              <w:jc w:val="right"/>
            </w:pPr>
            <w:r>
              <w:rPr>
                <w:rFonts w:ascii="Times New Roman" w:hAnsi="Times New Roman" w:cs="Times New Roman" w:eastAsia="Times New Roman"/>
                <w:sz w:val="24"/>
              </w:rPr>
              <w:t xml:space="preserve">61 324</w:t>
            </w:r>
          </w:p>
        </w:tc>
        <w:tc>
          <w:tcPr/>
          <w:p>
            <w:pPr>
              <w:pStyle w:val="Compact"/>
              <w:spacing w:line="360" w:lineRule="auto"/>
              <w:jc w:val="right"/>
            </w:pPr>
            <w:r>
              <w:rPr>
                <w:rFonts w:ascii="Times New Roman" w:hAnsi="Times New Roman" w:cs="Times New Roman" w:eastAsia="Times New Roman"/>
                <w:sz w:val="24"/>
              </w:rPr>
              <w:t xml:space="preserve">75,4</w:t>
            </w:r>
          </w:p>
        </w:tc>
        <w:tc>
          <w:tcPr/>
          <w:p>
            <w:pPr>
              <w:pStyle w:val="Compact"/>
              <w:spacing w:line="360" w:lineRule="auto"/>
              <w:jc w:val="right"/>
            </w:pPr>
            <w:r>
              <w:rPr>
                <w:rFonts w:ascii="Times New Roman" w:hAnsi="Times New Roman" w:cs="Times New Roman" w:eastAsia="Times New Roman"/>
                <w:sz w:val="24"/>
              </w:rPr>
              <w:t xml:space="preserve">+1 494 (+8 %)</w:t>
            </w:r>
          </w:p>
        </w:tc>
      </w:tr>
      <w:tr>
        <w:tc>
          <w:tcPr/>
          <w:p>
            <w:pPr>
              <w:pStyle w:val="Compact"/>
              <w:spacing w:line="360" w:lineRule="auto"/>
            </w:pPr>
            <w:r>
              <w:rPr>
                <w:rFonts w:ascii="Times New Roman" w:hAnsi="Times New Roman" w:cs="Times New Roman" w:eastAsia="Times New Roman"/>
                <w:sz w:val="24"/>
              </w:rPr>
              <w:t xml:space="preserve">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w:t>
            </w:r>
          </w:p>
        </w:tc>
        <w:tc>
          <w:tcPr/>
          <w:p>
            <w:pPr>
              <w:pStyle w:val="Compact"/>
              <w:spacing w:line="360" w:lineRule="auto"/>
              <w:jc w:val="right"/>
            </w:pPr>
            <w:r>
              <w:rPr>
                <w:rFonts w:ascii="Times New Roman" w:hAnsi="Times New Roman" w:cs="Times New Roman" w:eastAsia="Times New Roman"/>
                <w:sz w:val="24"/>
              </w:rPr>
              <w:t xml:space="preserve">23 157</w:t>
            </w:r>
          </w:p>
        </w:tc>
        <w:tc>
          <w:tcPr/>
          <w:p>
            <w:pPr>
              <w:pStyle w:val="Compact"/>
              <w:spacing w:line="360" w:lineRule="auto"/>
              <w:jc w:val="right"/>
            </w:pPr>
            <w:r>
              <w:rPr>
                <w:rFonts w:ascii="Times New Roman" w:hAnsi="Times New Roman" w:cs="Times New Roman" w:eastAsia="Times New Roman"/>
                <w:sz w:val="24"/>
              </w:rPr>
              <w:t xml:space="preserve">65 706</w:t>
            </w:r>
          </w:p>
        </w:tc>
        <w:tc>
          <w:tcPr/>
          <w:p>
            <w:pPr>
              <w:pStyle w:val="Compact"/>
              <w:spacing w:line="360" w:lineRule="auto"/>
              <w:jc w:val="right"/>
            </w:pPr>
            <w:r>
              <w:rPr>
                <w:rFonts w:ascii="Times New Roman" w:hAnsi="Times New Roman" w:cs="Times New Roman" w:eastAsia="Times New Roman"/>
                <w:sz w:val="24"/>
              </w:rPr>
              <w:t xml:space="preserve">90,3</w:t>
            </w:r>
          </w:p>
        </w:tc>
        <w:tc>
          <w:tcPr/>
          <w:p>
            <w:pPr>
              <w:pStyle w:val="Compact"/>
              <w:spacing w:line="360" w:lineRule="auto"/>
              <w:jc w:val="right"/>
            </w:pPr>
            <w:r>
              <w:rPr>
                <w:rFonts w:ascii="Times New Roman" w:hAnsi="Times New Roman" w:cs="Times New Roman" w:eastAsia="Times New Roman"/>
                <w:sz w:val="24"/>
              </w:rPr>
              <w:t xml:space="preserve">+1 357 (+6 %)</w:t>
            </w:r>
          </w:p>
        </w:tc>
      </w:tr>
      <w:tr>
        <w:tc>
          <w:tcPr/>
          <w:p>
            <w:pPr>
              <w:pStyle w:val="Compact"/>
              <w:spacing w:line="360" w:lineRule="auto"/>
            </w:pPr>
            <w:r>
              <w:rPr>
                <w:rFonts w:ascii="Times New Roman" w:hAnsi="Times New Roman" w:cs="Times New Roman" w:eastAsia="Times New Roman"/>
                <w:sz w:val="24"/>
              </w:rPr>
              <w:t xml:space="preserve">Ridge</w:t>
            </w:r>
          </w:p>
        </w:tc>
        <w:tc>
          <w:tcPr/>
          <w:p>
            <w:pPr>
              <w:pStyle w:val="Compact"/>
              <w:spacing w:line="360" w:lineRule="auto"/>
              <w:jc w:val="right"/>
            </w:pPr>
            <w:r>
              <w:rPr>
                <w:rFonts w:ascii="Times New Roman" w:hAnsi="Times New Roman" w:cs="Times New Roman" w:eastAsia="Times New Roman"/>
                <w:sz w:val="24"/>
              </w:rPr>
              <w:t xml:space="preserve">43 120</w:t>
            </w:r>
          </w:p>
        </w:tc>
        <w:tc>
          <w:tcPr/>
          <w:p>
            <w:pPr>
              <w:pStyle w:val="Compact"/>
              <w:spacing w:line="360" w:lineRule="auto"/>
              <w:jc w:val="right"/>
            </w:pPr>
            <w:r>
              <w:rPr>
                <w:rFonts w:ascii="Times New Roman" w:hAnsi="Times New Roman" w:cs="Times New Roman" w:eastAsia="Times New Roman"/>
                <w:sz w:val="24"/>
              </w:rPr>
              <w:t xml:space="preserve">369 462</w:t>
            </w:r>
          </w:p>
        </w:tc>
        <w:tc>
          <w:tcPr/>
          <w:p>
            <w:pPr>
              <w:pStyle w:val="Compact"/>
              <w:spacing w:line="360" w:lineRule="auto"/>
              <w:jc w:val="right"/>
            </w:pPr>
            <w:r>
              <w:rPr>
                <w:rFonts w:ascii="Times New Roman" w:hAnsi="Times New Roman" w:cs="Times New Roman" w:eastAsia="Times New Roman"/>
                <w:sz w:val="24"/>
              </w:rPr>
              <w:t xml:space="preserve">168,2</w:t>
            </w:r>
          </w:p>
        </w:tc>
        <w:tc>
          <w:tcPr/>
          <w:p>
            <w:pPr>
              <w:pStyle w:val="Compact"/>
              <w:spacing w:line="360" w:lineRule="auto"/>
              <w:jc w:val="right"/>
            </w:pPr>
            <w:r>
              <w:rPr>
                <w:rFonts w:ascii="Times New Roman" w:hAnsi="Times New Roman" w:cs="Times New Roman" w:eastAsia="Times New Roman"/>
                <w:sz w:val="24"/>
              </w:rPr>
              <w:t xml:space="preserve">+24 869 (+136 %)</w:t>
            </w:r>
          </w:p>
        </w:tc>
      </w:tr>
    </w:tbl>
    <w:p>
      <w:pPr>
        <w:pStyle w:val="BodyText"/>
        <w:spacing w:line="360" w:lineRule="auto"/>
      </w:pPr>
      <w:r>
        <w:rPr>
          <w:rFonts w:ascii="Times New Roman" w:hAnsi="Times New Roman" w:cs="Times New Roman" w:eastAsia="Times New Roman"/>
          <w:i/>
          <w:iCs/>
          <w:sz w:val="24"/>
        </w:rPr>
        <w:t xml:space="preserve">Kilde: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review/artifacts/metrics_test_2025.csv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(generert ved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eval_test_2025.py</w:t>
      </w:r>
      <w:r>
        <w:rPr>
          <w:rFonts w:ascii="Times New Roman" w:hAnsi="Times New Roman" w:cs="Times New Roman" w:eastAsia="Times New Roman"/>
          <w:sz w:val="24"/>
        </w:rPr>
        <w:t xml:space="preserve">, kjørt 2026-05-12).</w:t>
      </w:r>
    </w:p>
    <w:p>
      <w:pPr>
        <w:pStyle w:val="BodyText"/>
        <w:spacing w:line="360" w:lineRule="auto"/>
      </w:pPr>
      <w:r>
        <w:rPr>
          <w:rFonts w:ascii="Times New Roman" w:hAnsi="Times New Roman" w:cs="Times New Roman" w:eastAsia="Times New Roman"/>
          <w:sz w:val="24"/>
        </w:rPr>
        <w:t xml:space="preserve">Tre observasjoner er sentrale:</w:t>
      </w:r>
    </w:p>
    <w:p>
      <w:pPr>
        <w:pStyle w:val="Compact"/>
        <w:numPr>
          <w:ilvl w:val="0"/>
          <w:numId w:val="1014"/>
        </w:numPr>
        <w:spacing w:line="360" w:lineRule="auto"/>
      </w:pPr>
      <w:r>
        <w:rPr>
          <w:rFonts w:ascii="Times New Roman" w:hAnsi="Times New Roman" w:cs="Times New Roman" w:eastAsia="Times New Roman"/>
          <w:b/>
          <w:bCs/>
          <w:sz w:val="24"/>
        </w:rPr>
        <w:t xml:space="preserve">Generaliseringen holder.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Ensemble-modellen oppnår MAE = 19 051 EUR på testsettet, ≈ 10 % høyere enn val-MAE (17 350). Dette er forventet etter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 når hyperparametre og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 er valgt for å minimere val-MAE, vil et uavhengig testsett vise noe høyere feil. Veksten er moderat og innenfor det som er rapportert for tilsvarende studier (Jang et al., 2023, rapporterer 8–12 % degradering val→test).</w:t>
      </w:r>
    </w:p>
    <w:p>
      <w:pPr>
        <w:pStyle w:val="Compact"/>
        <w:numPr>
          <w:ilvl w:val="0"/>
          <w:numId w:val="1014"/>
        </w:numPr>
        <w:spacing w:line="360" w:lineRule="auto"/>
      </w:pPr>
      <w:r>
        <w:rPr>
          <w:rFonts w:ascii="Times New Roman" w:hAnsi="Times New Roman" w:cs="Times New Roman" w:eastAsia="Times New Roman"/>
          <w:b/>
          <w:bCs/>
          <w:sz w:val="24"/>
        </w:rPr>
        <w:t xml:space="preserve">Ridge eksploderer på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Ridge-RMSE på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er 369 462 EUR — over 6× høyere enn på val. Dette skyldes en håndfull ekstreme 2025-transaksjoner som er utenfor rangen Ridge ble trent på (de største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beløpene i 2025 er ≈ 30 % høyere enn maks i ≤ 2023). Lineær ekstrapolasjon utenfor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rangen feiler systematisk, og dette er et empirisk argument for valg av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 framfor lineære alternativer i et regime med drift mot større fakturaer over tid.</w:t>
      </w:r>
    </w:p>
    <w:p>
      <w:pPr>
        <w:pStyle w:val="Compact"/>
        <w:numPr>
          <w:ilvl w:val="0"/>
          <w:numId w:val="1014"/>
        </w:numPr>
        <w:spacing w:line="360" w:lineRule="auto"/>
      </w:pPr>
      <w:r>
        <w:rPr>
          <w:rFonts w:ascii="Times New Roman" w:hAnsi="Times New Roman" w:cs="Times New Roman" w:eastAsia="Times New Roman"/>
          <w:b/>
          <w:bCs/>
          <w:sz w:val="24"/>
        </w:rPr>
        <w:t xml:space="preserve">Ranking mellom gradient-boosting-modeller endres.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testsettet er LightGBM (base) marginalt best (MAE = 18 765, wMAPE = 73,2), tett etterfulgt av Ensemble og CatBoost (innenfor 0,3 pp wMAPE). Som i § 8.1 er disse forskjellene innenfor bootstrap-støy. Vi beholder Ensemble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på grunn av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reduksjonen drøftet i § 6.3, ikke fordi den vinner på rå test-MAE.</w:t>
      </w:r>
    </w:p>
    <w:p>
      <w:pPr>
        <w:pStyle w:val="FirstParagraph"/>
        <w:spacing w:line="360" w:lineRule="auto"/>
      </w:pPr>
      <w:r>
        <w:rPr>
          <w:rFonts w:ascii="Times New Roman" w:hAnsi="Times New Roman" w:cs="Times New Roman" w:eastAsia="Times New Roman"/>
          <w:b/>
          <w:bCs/>
          <w:sz w:val="24"/>
        </w:rPr>
        <w:t xml:space="preserve">Forholdet mellom prefit- og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Tabellene over gjelder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prefit-modellen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(trent 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2023).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refittet på hele 2020–2025 (1 626 rader) — inkludert testsettet — fordi deployen skjer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 og uavhengig testevaluering er konkludert, og maksimering av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på deploy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tidspunktet gir lavest forventet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for fremtidige (2026+) prediksjoner (Hastie, Tibshirani &amp; Friedman, 2009, § 7.10). Refit-modellen har dermed ingen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uavhengig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holdout-måling før neste tidsvindu genererer nok data. Test-sett-tallene i tabell 8.2 gjelder altså den underliggende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klassen og dens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evne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deployede modellen som i tillegg har 670 ekstra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rader. Dette samsvarer med peer-reviewens påpekning av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“valideringssettet brukes til modellseleksjon, mens testsettet er reservert for endelig validering”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(G10/Julie, 2026-05-07).</w:t>
      </w:r>
    </w:p>
    <w:bookmarkEnd w:id="75"/>
    <w:bookmarkStart w:id="76" w:name="kvantildekning"/>
    <w:p>
      <w:pPr>
        <w:pStyle w:val="Heading3"/>
        <w:spacing w:line="360" w:lineRule="auto"/>
      </w:pPr>
      <w:r>
        <w:rPr>
          <w:rFonts w:ascii="Times New Roman" w:hAnsi="Times New Roman" w:cs="Times New Roman" w:eastAsia="Times New Roman"/>
          <w:sz w:val="24"/>
        </w:rPr>
        <w:t xml:space="preserve">8.2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dekning</w:t>
      </w:r>
    </w:p>
    <w:p>
      <w:pPr>
        <w:pStyle w:val="FirstParagraph"/>
        <w:spacing w:line="360" w:lineRule="auto"/>
      </w:pPr>
      <w:r>
        <w:rPr>
          <w:rFonts w:ascii="Times New Roman" w:hAnsi="Times New Roman" w:cs="Times New Roman" w:eastAsia="Times New Roman"/>
          <w:sz w:val="24"/>
        </w:rPr>
        <w:t xml:space="preserve">Empirisk dekning på valideringssettet for nominell P10–P90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79,8 %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rå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CQR-justering. Per størrelseskategori varierer dekningen modest: Liten 83,0 % (n = 159), Mellomstor 74,3 % (n = 113) og Stor 80,7 % (n = 218). Mellomstor-gruppa er litt under nominelt nivå, hvilket er konsistent med at mellomstore yachter har færrest treningsrader (jf. §9.4).</w:t>
      </w:r>
    </w:p>
    <w:bookmarkEnd w:id="76"/>
    <w:bookmarkStart w:id="77" w:name="hybridkalibrert-anløpsestimat-eksempler"/>
    <w:p>
      <w:pPr>
        <w:pStyle w:val="Heading3"/>
        <w:spacing w:line="360" w:lineRule="auto"/>
      </w:pPr>
      <w:r>
        <w:rPr>
          <w:rFonts w:ascii="Times New Roman" w:hAnsi="Times New Roman" w:cs="Times New Roman" w:eastAsia="Times New Roman"/>
          <w:sz w:val="24"/>
        </w:rPr>
        <w:t xml:space="preserve">8.3 Hybrid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kalibrert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 — eksempler</w:t>
      </w:r>
    </w:p>
    <w:p>
      <w:pPr>
        <w:pStyle w:val="FirstParagraph"/>
        <w:spacing w:line="360" w:lineRule="auto"/>
      </w:pPr>
      <w:r>
        <w:rPr>
          <w:rFonts w:ascii="Times New Roman" w:hAnsi="Times New Roman" w:cs="Times New Roman" w:eastAsia="Times New Roman"/>
          <w:sz w:val="24"/>
        </w:rPr>
        <w:t xml:space="preserve">Tallene i alle § 8.3-tabellene er i EUR (kildedata-enheten, jf. § 1.3). Frontend ganger med vekslings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kursen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visning i NOK eller DKK.</w:t>
      </w:r>
    </w:p>
    <w:p>
      <w:pPr>
        <w:pStyle w:val="BodyText"/>
        <w:spacing w:line="360" w:lineRule="auto"/>
      </w:pPr>
      <w:r>
        <w:rPr>
          <w:rFonts w:ascii="Times New Roman" w:hAnsi="Times New Roman" w:cs="Times New Roman" w:eastAsia="Times New Roman"/>
          <w:b/>
          <w:bCs/>
          <w:sz w:val="24"/>
        </w:rPr>
        <w:t xml:space="preserve">Tabell 8.3a.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mellomstor yacht (GT = 500, LOA = 55 m), juli, 5 dager, medium 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4 740</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2 523</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2 202</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1 976</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1 826</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1 204</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620</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15 091</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11 779 / 15 094 / 23 710 EUR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estimatet ligger praktisk talt på medianen, hvilket bekrefter at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steget i § 6.5 fungerer som tiltenkt.</w:t>
      </w:r>
    </w:p>
    <w:p>
      <w:pPr>
        <w:pStyle w:val="BodyText"/>
        <w:spacing w:line="360" w:lineRule="auto"/>
      </w:pPr>
      <w:r>
        <w:rPr>
          <w:rFonts w:ascii="Times New Roman" w:hAnsi="Times New Roman" w:cs="Times New Roman" w:eastAsia="Times New Roman"/>
          <w:b/>
          <w:bCs/>
          <w:sz w:val="24"/>
        </w:rPr>
        <w:t xml:space="preserve">Tabell 8.3b.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Sverige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5 151</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4 525</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1 896</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1 568</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1 410</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1 240</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1 114</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16 904</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14 508 / 16 904 / 41 833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Danmark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8 732</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6 300</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4 412</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4 259</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2 575</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2 276</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220</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28 774</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27 489 / 28 774 / 33 792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liten yacht (GT = 50, LOA = 25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9 624</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2 552</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2 366</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2 045</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797</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591</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392</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18 366</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8 658 / 18 366 / 43 405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stor yacht (GT = 2 400, LOA = 78 m, Loskrav = Ja),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10 723</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5 547</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4 412</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3 918</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3 781</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2 311</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981</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31 673</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14 223 / 31 673 / 67 697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sz w:val="24"/>
        </w:rPr>
        <w:t xml:space="preserve">I alle fem eksempler (tabell 8.3a–e) plasserer modellestimatet seg nær den trafikkvektede medianen (P50), og innenfor P25–P75-båndet.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 varierer tydelig mellom land: Danmark har høyere Port Marina- og Bunkering-andel, Sverige har jevnere fordeling, og store norske anløp domineres av Port Marina og Provisioning. Bunkers-tallene er imidlertid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veide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og bruker ikke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distansen — denne begrensningen drøftes i § 9.5. For tabell 8.3e (Loskrav = Ja) er det heller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lagt til obligatorisk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i tallene; modellen ser los som en sannsynlig linje, ikke som obligatorisk for LOA &gt; 70 m, jf. § 9.5.</w:t>
      </w:r>
    </w:p>
    <w:bookmarkEnd w:id="77"/>
    <w:bookmarkStart w:id="78" w:name="operasjonell-ytelse"/>
    <w:p>
      <w:pPr>
        <w:pStyle w:val="Heading3"/>
        <w:spacing w:line="360" w:lineRule="auto"/>
      </w:pPr>
      <w:r>
        <w:rPr>
          <w:rFonts w:ascii="Times New Roman" w:hAnsi="Times New Roman" w:cs="Times New Roman" w:eastAsia="Times New Roman"/>
          <w:sz w:val="24"/>
        </w:rPr>
        <w:t xml:space="preserve">8.4 Operasjonell ytelse</w:t>
      </w:r>
    </w:p>
    <w:p>
      <w:pPr>
        <w:pStyle w:val="FirstParagraph"/>
        <w:spacing w:line="360" w:lineRule="auto"/>
      </w:pPr>
      <w:r>
        <w:rPr>
          <w:rFonts w:ascii="Times New Roman" w:hAnsi="Times New Roman" w:cs="Times New Roman" w:eastAsia="Times New Roman"/>
          <w:sz w:val="24"/>
        </w:rPr>
        <w:t xml:space="preserve">Backend (</w:t>
      </w:r>
      <w:r>
        <w:rPr>
          <w:rStyle w:val="VerbatimChar"/>
          <w:rFonts w:ascii="Times New Roman" w:hAnsi="Times New Roman" w:cs="Times New Roman" w:eastAsia="Times New Roman"/>
          <w:sz w:val="24"/>
        </w:rPr>
        <w:t xml:space="preserve">FastAPI</w:t>
      </w:r>
      <w:r>
        <w:rPr>
          <w:rFonts w:ascii="Times New Roman" w:hAnsi="Times New Roman" w:cs="Times New Roman" w:eastAsia="Times New Roman"/>
          <w:sz w:val="24"/>
        </w:rPr>
        <w:t xml:space="preserve">) på en vanlig utviklermaskin (16 GB RAM, AMD Ryzen-klasse CPU) responderer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POST /api/predict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under 200 ms i kald start og under 50 ms ved varm last. Frontend gir komplett dashbord-rendering på under 2 sekunder fra bruker trykker «Estimate Cost».</w:t>
      </w:r>
    </w:p>
    <w:p>
      <w:pPr>
        <w:spacing w:line="360" w:lineRule="auto"/>
      </w:pPr>
      <w:r>
        <w:rPr>
          <w:rFonts w:ascii="Times New Roman" w:hAnsi="Times New Roman" w:cs="Times New Roman" w:eastAsia="Times New Roman"/>
          <w:sz w:val="24"/>
        </w:rPr>
        <w:pict>
          <v:rect style="width:0;height:1.5pt" o:hralign="center" o:hrstd="t" o:hr="t"/>
        </w:pict>
      </w:r>
    </w:p>
    <w:bookmarkEnd w:id="78"/>
    <w:bookmarkEnd w:id="79"/>
    <w:bookmarkStart w:id="96" w:name="diskusjon"/>
    <w:p>
      <w:pPr>
        <w:pStyle w:val="Heading2"/>
        <w:spacing w:line="360" w:lineRule="auto"/>
      </w:pPr>
      <w:r>
        <w:rPr>
          <w:rFonts w:ascii="Times New Roman" w:hAnsi="Times New Roman" w:cs="Times New Roman" w:eastAsia="Times New Roman"/>
          <w:sz w:val="24"/>
        </w:rPr>
        <w:t xml:space="preserve">9. Diskusjon</w:t>
      </w:r>
    </w:p>
    <w:bookmarkStart w:id="80" w:name="tolkning-av-resultatene"/>
    <w:p>
      <w:pPr>
        <w:pStyle w:val="Heading3"/>
        <w:spacing w:line="360" w:lineRule="auto"/>
      </w:pPr>
      <w:r>
        <w:rPr>
          <w:rFonts w:ascii="Times New Roman" w:hAnsi="Times New Roman" w:cs="Times New Roman" w:eastAsia="Times New Roman"/>
          <w:sz w:val="24"/>
        </w:rPr>
        <w:t xml:space="preserve">9.1 Tolkning av resultatene</w:t>
      </w:r>
    </w:p>
    <w:p>
      <w:pPr>
        <w:pStyle w:val="FirstParagraph"/>
        <w:spacing w:line="360" w:lineRule="auto"/>
      </w:pPr>
      <w:r>
        <w:rPr>
          <w:rFonts w:ascii="Times New Roman" w:hAnsi="Times New Roman" w:cs="Times New Roman" w:eastAsia="Times New Roman"/>
          <w:sz w:val="24"/>
        </w:rPr>
        <w:t xml:space="preserve">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oppnår en absolutt feil (MAE = 17 350 EUR på val=2024; MAE = 19 051 EUR på test=2025, jf. tabell 8.2) som ved første blikk virker høy. Tre forhold må holdes i mente.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første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feilen målt på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og en transaksjon kan variere fra 2 039 EUR (P25) til over 91 248 EUR (P95) i datasettet — gjennom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snittlig prosentvis avvik (MAPE) på 168 % gjenspeiler primært at noen få ekstreme transaksjoner trekker MAPE opp, ikke at typisk presisjon er svak. Dette er et empirisk uttrykk for det log-transformerte tap</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landskapet drøftet i § 3.4: modellen optimerer L2 i log-rommet, og store relative feil i ti-EUR-størrelses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ordener bidrar uforholdsmessig lite til log-tapet, samtidig som de blåser opp MAPE i absolutt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rommet.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andre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plasserer wMAPE-tallet (71,4 % val, 74,3 % test) NautiCost i den nedre enden av sammenlignbare studier: Jang et al. (2023) rapporterer wMAPE rundt 65–75 % for LightGBM på fraktkostnads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 i en lignende heterogen, tabulær setting med n ~ 7 000 transaksjoner; Su et al. (2024) rapporterer relative feil i samme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(60–80 %) for ro-ro-drivstoff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 Vårt resultat er dermed kvantitativt sammenlignbart med eksisterende litteratur, til tross for et betydelig mindre datasett (1 633 vs. ≥ 5 000 i de refererte studiene). At gradient-boosting-modellene slår både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(wMAPE 89,8 %) og ridge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(75,1 %) bekrefter også Jang et al. (2023) sin kjerne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observasjon: trebaserte modeller dominerer lineære alternativer på heterogene tabulære data.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tredje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det de aggregerte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estimatene (§ 8.3) som er den operasjonelle målestokken — der har medianestimatet plassert seg innenfor det historiske P25–P75-båndet i alle fem eksempler vi har testet, og det er den presisjonen som spiller størst rolle for agentkoordinator.</w:t>
      </w:r>
    </w:p>
    <w:bookmarkEnd w:id="80"/>
    <w:bookmarkStart w:id="81" w:name="X244671d3f5a9d81faac214b94d413d8f6763369"/>
    <w:p>
      <w:pPr>
        <w:pStyle w:val="Heading3"/>
        <w:spacing w:line="360" w:lineRule="auto"/>
      </w:pPr>
      <w:r>
        <w:rPr>
          <w:rFonts w:ascii="Times New Roman" w:hAnsi="Times New Roman" w:cs="Times New Roman" w:eastAsia="Times New Roman"/>
          <w:sz w:val="24"/>
        </w:rPr>
        <w:t xml:space="preserve">9.2 Forholdet mellom ensemble og enkelt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w:t>
      </w:r>
    </w:p>
    <w:p>
      <w:pPr>
        <w:pStyle w:val="FirstParagraph"/>
        <w:spacing w:line="360" w:lineRule="auto"/>
      </w:pPr>
      <w:r>
        <w:rPr>
          <w:rFonts w:ascii="Times New Roman" w:hAnsi="Times New Roman" w:cs="Times New Roman" w:eastAsia="Times New Roman"/>
          <w:sz w:val="24"/>
        </w:rPr>
        <w:t xml:space="preserve">På valideringssettet (2024) er LightGBM (base) marginalt best på MAE (17 317 EUR) og RMSE (54 476 EUR), mens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vinner på MAPE (168,3 %). Rangeringen mellom de to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nivået, og det er ingen statistisk signifikant forskjell mellom dem på 490 transaksjoner. Forskjellene speiler det generelle bildet i Shwartz-Ziv &amp; Armon (2022) og Grinsztajn et al. (2022): på heterogene tabulære data i mellom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størrelse er gradient-boosting-modeller mer eller mindre likeverdige, og ensembler gir marginal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 snarere enn vesentlig MAE-forbedring. Et interessant biprodukt av re-splittingen er at den Optuna-tunede LightGBM-modellen presterer dårligere (17 837 EUR) enn base-modellen — et tegn på at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søket kan ha overtilpasset seg den spesifikke fold-strukturen i kryssvalideringen. Dette minner oss om at bayesiansk optimering på små valider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ingssett er sårbart, og argumenterer for å beholde en enkelt-modell-fallback ved re-trening. Ensemble velges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fordi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 mellom CatBoost og tunet LightGBM gir mer robust adferd ved drift i underliggende data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distribusjon.</w:t>
      </w:r>
    </w:p>
    <w:p>
      <w:pPr>
        <w:pStyle w:val="BodyText"/>
        <w:spacing w:line="360" w:lineRule="auto"/>
      </w:pPr>
      <w:r>
        <w:rPr>
          <w:rFonts w:ascii="Times New Roman" w:hAnsi="Times New Roman" w:cs="Times New Roman" w:eastAsia="Times New Roman"/>
          <w:sz w:val="24"/>
        </w:rPr>
        <w:t xml:space="preserve">CQR-korreksjonen på 3 EUR (§ 6.4 og § 8.2) er teoretisk forventet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korrekt spesifisert. Det at korreksjonen ble så liten, betyr ikke at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båndene er like små for hele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domenet — det betyr at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som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ser ut fra log-trans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formerte features samsvarer med antakelsen i Romano et al. (2019). En viktig nyanse fra konform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teorien (Shafer &amp; Vovk, 2008; Romano et al., 2019) er imidlertid at CQR-garantien gjelder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marginal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dekning over hele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distribusjonen, ikke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betinget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dekning på subpopulasjoner. I et regime der en sentral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bookmarkEnd w:id="81"/>
    <w:bookmarkStart w:id="82" w:name="modellens-styrker"/>
    <w:p>
      <w:pPr>
        <w:pStyle w:val="Heading3"/>
        <w:spacing w:line="360" w:lineRule="auto"/>
      </w:pPr>
      <w:r>
        <w:rPr>
          <w:rFonts w:ascii="Times New Roman" w:hAnsi="Times New Roman" w:cs="Times New Roman" w:eastAsia="Times New Roman"/>
          <w:sz w:val="24"/>
        </w:rPr>
        <w:t xml:space="preserve">9.3 Modellens styrker</w:t>
      </w:r>
    </w:p>
    <w:p>
      <w:pPr>
        <w:pStyle w:val="Compact"/>
        <w:numPr>
          <w:ilvl w:val="0"/>
          <w:numId w:val="1015"/>
        </w:numPr>
        <w:spacing w:line="360" w:lineRule="auto"/>
      </w:pPr>
      <w:r>
        <w:rPr>
          <w:rFonts w:ascii="Times New Roman" w:hAnsi="Times New Roman" w:cs="Times New Roman" w:eastAsia="Times New Roman"/>
          <w:b/>
          <w:bCs/>
          <w:sz w:val="24"/>
        </w:rPr>
        <w:t xml:space="preserve">Kalibrering mot historiske persentiler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6.5) gjør at totalen alltid forankres i empirisk virkelighet, og eliminerer urealistisk lave estimater som rene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summer kan produsere.</w:t>
      </w:r>
    </w:p>
    <w:p>
      <w:pPr>
        <w:pStyle w:val="Compact"/>
        <w:numPr>
          <w:ilvl w:val="0"/>
          <w:numId w:val="1015"/>
        </w:numPr>
        <w:spacing w:line="360" w:lineRule="auto"/>
      </w:pPr>
      <w:r>
        <w:rPr>
          <w:rFonts w:ascii="Times New Roman" w:hAnsi="Times New Roman" w:cs="Times New Roman" w:eastAsia="Times New Roman"/>
          <w:b/>
          <w:bCs/>
          <w:sz w:val="24"/>
        </w:rPr>
        <w:t xml:space="preserve">Kvantil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modeller med CQR-kalibrering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 et håndfast usikkerhetsbånd som er enklere å kommunisere til kunde enn et nakent punktestimat.</w:t>
      </w:r>
    </w:p>
    <w:p>
      <w:pPr>
        <w:pStyle w:val="Compact"/>
        <w:numPr>
          <w:ilvl w:val="0"/>
          <w:numId w:val="1015"/>
        </w:numPr>
        <w:spacing w:line="360" w:lineRule="auto"/>
      </w:pPr>
      <w:r>
        <w:rPr>
          <w:rFonts w:ascii="Times New Roman" w:hAnsi="Times New Roman" w:cs="Times New Roman" w:eastAsia="Times New Roman"/>
          <w:b/>
          <w:bCs/>
          <w:sz w:val="24"/>
        </w:rPr>
        <w:t xml:space="preserve">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basert split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speiler hvordan modellen brukes operasjonelt og fjerner risiko for optimistiske prestasjons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fra tilfeldig split.</w:t>
      </w:r>
    </w:p>
    <w:bookmarkEnd w:id="82"/>
    <w:bookmarkStart w:id="83" w:name="X56aa68e323ecedcef833e61fdd58166787950c3"/>
    <w:p>
      <w:pPr>
        <w:pStyle w:val="Heading3"/>
        <w:spacing w:line="360" w:lineRule="auto"/>
      </w:pPr>
      <w:r>
        <w:rPr>
          <w:rFonts w:ascii="Times New Roman" w:hAnsi="Times New Roman" w:cs="Times New Roman" w:eastAsia="Times New Roman"/>
          <w:sz w:val="24"/>
        </w:rPr>
        <w:t xml:space="preserve">9.4 Modellens svakheter — kritisk drøfting og forsvar</w:t>
      </w:r>
    </w:p>
    <w:p>
      <w:pPr>
        <w:pStyle w:val="FirstParagraph"/>
        <w:spacing w:line="360" w:lineRule="auto"/>
      </w:pPr>
      <w:r>
        <w:rPr>
          <w:rFonts w:ascii="Times New Roman" w:hAnsi="Times New Roman" w:cs="Times New Roman" w:eastAsia="Times New Roman"/>
          <w:sz w:val="24"/>
        </w:rPr>
        <w:t xml:space="preserve">For en master-rapport er det ikke nok å liste svakheter; hver svakhet må også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det vil si begrunnes som enten et bevisst metodisk valg, en akseptert begrensning gitt rammene, eller et åpent punkt for videre arbeid. Vi grupperer i fire klynger og gir for hver svakhet både en beskrivelse og et forsvar. En mer detaljert refleksjon over hvordan utfordringene ble håndtert underveis ligger i § 9.7.</w:t>
      </w:r>
    </w:p>
    <w:p>
      <w:pPr>
        <w:pStyle w:val="BodyText"/>
        <w:spacing w:line="360" w:lineRule="auto"/>
      </w:pPr>
      <w:r>
        <w:rPr>
          <w:rFonts w:ascii="Times New Roman" w:hAnsi="Times New Roman" w:cs="Times New Roman" w:eastAsia="Times New Roman"/>
          <w:b/>
          <w:bCs/>
          <w:sz w:val="24"/>
        </w:rPr>
        <w:t xml:space="preserve">Data</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Tynn flåte (n = 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strukturelt største svakheten — modellen kan ha lært yacht-spesifikke mønstre.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avgrensningen er eksplisitt i § 1.3, hybrid persentil-kalibrering forankrer estimatet i empirisk virkelighet, og videre arbeid punkt 1 lukker det med utvidet flåte. (2)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Mellomstor underrepresentert (n = 113, dekning 74 %):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operasjonelt problem.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dokumentert i § 8.2 og synliggjort; lukkes ved mer data. (3)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Sjeldne havner (Stavanger n=3, Kristiansand n=8):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hybrid-kalibreringen kollapser til rent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rapporterer ikke usikkerhet for disse — modellen er ærlig om når den ikke kan kalibrere. (4)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Manglende</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guest_experience</w:t>
      </w:r>
      <w:r>
        <w:rPr>
          <w:rFonts w:ascii="Times New Roman" w:hAnsi="Times New Roman" w:cs="Times New Roman" w:eastAsia="Times New Roman"/>
          <w:i/>
          <w:iCs/>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hovedfaktor for Provisions mangler i kildedata.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operasjonell rubrikk er foreslått i Vedlegg E; vi har bevisst valgt 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simulere data syntetisk. CQR-begrensningen som følger er løftet fram som ett av studiens akademiske bidrag (§ 1.5 punkt ii). (5)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Ingen inflasjons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justering: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15–20 % kumulert inflasjon 2020–2025 ikke kompensert.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eldste rader (2020–2021) er underrepresentert (n = 163 av 1 633), så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effekten er begrenset; rullerende re-trening er videre arbeid punkt 2. (6)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Konstant vekslingskurs: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5 % NOK-bevegelse gir 5 % bias i NOK-rapporten.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og evaluert i EUR (kildevaluta); valuta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konvertering er adskilt fra modellfeil og kan oppdateres uten re-trening. (7)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Ingen outlier-trimming i evaluering: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P95/P50 ≈ 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trening bruker P99-cap (§ 5.4); evaluering på faktiske verdier er bevisst valg fordi en operasjonell sensor skal se modellens reelle adferd.</w:t>
      </w:r>
    </w:p>
    <w:p>
      <w:pPr>
        <w:pStyle w:val="BodyText"/>
        <w:spacing w:line="360" w:lineRule="auto"/>
      </w:pPr>
      <w:r>
        <w:rPr>
          <w:rFonts w:ascii="Times New Roman" w:hAnsi="Times New Roman" w:cs="Times New Roman" w:eastAsia="Times New Roman"/>
          <w:b/>
          <w:bCs/>
          <w:sz w:val="24"/>
        </w:rPr>
        <w:t xml:space="preserve">Modell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(8–12).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Optuna-tunet ble dårligere enn base: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tegn på overtilpasning til 5-fold CV på 490 valideringsrader.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empirisk argument for å beholde base som fallback ved re-trening; identifisert og rapportert åpent. (9)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Ensemble-gevinsten er statistisk insignifikant: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bootstrap-KI omslutter null (§ 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ensemble velges 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forsikrings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grunner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robusthet ved drift) snarere enn gevinst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grunner — vi er ærlige om det. (10)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Regulatoriske krav som sannsynligheter: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los er obligatorisk for LOA &gt; 70 m,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har 17–73 % sannsynlighet.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operasjonell override (</w:t>
      </w:r>
      <w:r>
        <w:rPr>
          <w:rStyle w:val="VerbatimChar"/>
          <w:rFonts w:ascii="Times New Roman" w:hAnsi="Times New Roman" w:cs="Times New Roman" w:eastAsia="Times New Roman"/>
          <w:sz w:val="24"/>
        </w:rPr>
        <w:t xml:space="preserve">pilot_cost</w:t>
      </w:r>
      <w:r>
        <w:rPr>
          <w:rFonts w:ascii="Times New Roman" w:hAnsi="Times New Roman" w:cs="Times New Roman" w:eastAsia="Times New Roman"/>
          <w:sz w:val="24"/>
        </w:rPr>
        <w:t xml:space="preserve">) er innført; modellfix flagget som videre arbeid punkt 8. (11)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Bunkers uten reise</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geometri: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drivstoff er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flat linje, ikke fysisk beregning.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deterministisk override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formel er innført; lært modell flagget som videre arbeid punkt 6. (12)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Land-aggregater poolet: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(rangerer #2 og #3) går på tvers av NO/SE/DK.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synliggjort i API/UI; modellfix flagget som videre arbeid punkt 5.</w:t>
      </w:r>
    </w:p>
    <w:p>
      <w:pPr>
        <w:pStyle w:val="BodyText"/>
        <w:spacing w:line="360" w:lineRule="auto"/>
      </w:pPr>
      <w:r>
        <w:rPr>
          <w:rFonts w:ascii="Times New Roman" w:hAnsi="Times New Roman" w:cs="Times New Roman" w:eastAsia="Times New Roman"/>
          <w:b/>
          <w:bCs/>
          <w:sz w:val="24"/>
        </w:rPr>
        <w:t xml:space="preserve">Antakelses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(13–15).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A1 stabil tjeneste</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miks: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ingen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overvåkning.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antakelsen er eksplisitt i § 1.4; rullerende re-trening (videre arbeid punkt 2) er foreslått mekanisme. (14)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Statiske yacht-spesifikasjoner: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ombygginger fanges ikke.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antakelse A3 dokumentert; spec-fil oppdateres manuelt ved kjente endringer. (15)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CQR gir marginal, ikke betinget dekning: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gjelder hele populasjonen, ikke spesifikke subgrupper.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dette er 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teoretisk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egenskap ved konformprediksjon (Shafer &amp; Vovk, 2008), og avgrensningen er løftet til akademisk bidrag (§ 1.5 punkt ii); kommunikasjon i frontend bør tydeliggjøre at båndet er marginalt.</w:t>
      </w:r>
    </w:p>
    <w:p>
      <w:pPr>
        <w:pStyle w:val="BodyText"/>
        <w:spacing w:line="360" w:lineRule="auto"/>
      </w:pPr>
      <w:r>
        <w:rPr>
          <w:rFonts w:ascii="Times New Roman" w:hAnsi="Times New Roman" w:cs="Times New Roman" w:eastAsia="Times New Roman"/>
          <w:b/>
          <w:bCs/>
          <w:sz w:val="24"/>
        </w:rPr>
        <w:t xml:space="preserve">Operasjonaliserings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 (16).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Produksjons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modellen mangler uavhengig holdout: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refittet på hele 2020–2025.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er evaluert mot prefit-modellen som proxy (§ 8.1.1); refit på all data gir lavest forventet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for fremtidige prediksjoner (Hastie et al., 2009, § 7.10). Lukkes når 2026-data er tilstrekkelig.</w:t>
      </w:r>
    </w:p>
    <w:p>
      <w:pPr>
        <w:pStyle w:val="BodyText"/>
        <w:spacing w:line="360" w:lineRule="auto"/>
      </w:pPr>
      <w:r>
        <w:rPr>
          <w:rFonts w:ascii="Times New Roman" w:hAnsi="Times New Roman" w:cs="Times New Roman" w:eastAsia="Times New Roman"/>
          <w:sz w:val="24"/>
        </w:rPr>
        <w:t xml:space="preserve">Den røde tråden er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data</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utfordringene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(1–4) og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strukturelle begrensninger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(16) ikke kan lukkes ved bedre modellering — bare ved mer data eller fortsatt drift. Modell- og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svakhetene (8–15) er pragmatisk håndtert med ærlig rapportering eller operasjonelle overrides. Dette samsvarer med kompendiets observasjon (§ i.4.1):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bare så god som dataene den bygger på”</w:t>
      </w:r>
      <w:r>
        <w:rPr>
          <w:rFonts w:ascii="Times New Roman" w:hAnsi="Times New Roman" w:cs="Times New Roman" w:eastAsia="Times New Roman"/>
          <w:sz w:val="24"/>
        </w:rPr>
        <w:t xml:space="preserve">.</w:t>
      </w:r>
    </w:p>
    <w:bookmarkEnd w:id="83"/>
    <w:bookmarkStart w:id="91" w:name="funn-fra-brukertest-mai-2026"/>
    <w:p>
      <w:pPr>
        <w:pStyle w:val="Heading3"/>
        <w:spacing w:line="360" w:lineRule="auto"/>
      </w:pPr>
      <w:r>
        <w:rPr>
          <w:rFonts w:ascii="Times New Roman" w:hAnsi="Times New Roman" w:cs="Times New Roman" w:eastAsia="Times New Roman"/>
          <w:sz w:val="24"/>
        </w:rPr>
        <w:t xml:space="preserve">9.5 Funn fra brukertest mai 2026</w:t>
      </w:r>
    </w:p>
    <w:p>
      <w:pPr>
        <w:pStyle w:val="FirstParagraph"/>
        <w:spacing w:line="360" w:lineRule="auto"/>
      </w:pPr>
      <w:r>
        <w:rPr>
          <w:rFonts w:ascii="Times New Roman" w:hAnsi="Times New Roman" w:cs="Times New Roman" w:eastAsia="Times New Roman"/>
          <w:sz w:val="24"/>
        </w:rPr>
        <w:t xml:space="preserve">En end-to-end brukertest med agency-manageren avdekket syv systematiske avvik. Hvert er adressert som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korreksjon, override eller datainnsamlings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mekanisme. Kode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endringer er versjons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kontrollert.</w:t>
      </w:r>
    </w:p>
    <w:bookmarkStart w:id="84" w:name="valutatagging-i-modelloutputen"/>
    <w:p>
      <w:pPr>
        <w:pStyle w:val="Heading4"/>
        <w:spacing w:line="360" w:lineRule="auto"/>
      </w:pPr>
      <w:r>
        <w:rPr>
          <w:rFonts w:ascii="Times New Roman" w:hAnsi="Times New Roman" w:cs="Times New Roman" w:eastAsia="Times New Roman"/>
          <w:sz w:val="24"/>
        </w:rPr>
        <w:t xml:space="preserve">9.5.1 Valutatagging i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outputen</w:t>
      </w:r>
    </w:p>
    <w:p>
      <w:pPr>
        <w:pStyle w:val="FirstParagraph"/>
        <w:spacing w:line="360" w:lineRule="auto"/>
      </w:pPr>
      <w:r>
        <w:rPr>
          <w:rFonts w:ascii="Times New Roman" w:hAnsi="Times New Roman" w:cs="Times New Roman" w:eastAsia="Times New Roman"/>
          <w:sz w:val="24"/>
        </w:rPr>
        <w:t xml:space="preserve">Brukertesten avdekket at estimatene fremsto ca. 10× lavere enn faktiske NOK-beløp. Roten var en enhets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kildedataene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(cockpit-rapportenes egne kolonneoverskrifter), men v0.2 merket output NOK. Forholdstallet 11,5 samsvarer med EUR/NOK-kursen. Tiltak: API tar nå 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currency</w:t>
      </w:r>
      <w:r>
        <w:rPr>
          <w:rFonts w:ascii="Times New Roman" w:hAnsi="Times New Roman" w:cs="Times New Roman" w:eastAsia="Times New Roman"/>
          <w:sz w:val="24"/>
        </w:rPr>
        <w:t xml:space="preserve">-felt og konverterer ved grensa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frontend har valuta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velger. Korreksjonen er drivkraften bak unit-relabelinga i resten av rapporten.</w:t>
      </w:r>
    </w:p>
    <w:bookmarkEnd w:id="84"/>
    <w:bookmarkStart w:id="85" w:name="Xb4132b2698e0fde9c17dbd99750016cd6b3278b"/>
    <w:p>
      <w:pPr>
        <w:pStyle w:val="Heading4"/>
        <w:spacing w:line="360" w:lineRule="auto"/>
      </w:pPr>
      <w:r>
        <w:rPr>
          <w:rFonts w:ascii="Times New Roman" w:hAnsi="Times New Roman" w:cs="Times New Roman" w:eastAsia="Times New Roman"/>
          <w:sz w:val="24"/>
        </w:rPr>
        <w:t xml:space="preserve">9.5.2 Mandatory pilotage modelleres som sannsynlig, ikke obligatorisk</w:t>
      </w:r>
    </w:p>
    <w:p>
      <w:pPr>
        <w:pStyle w:val="FirstParagraph"/>
        <w:spacing w:line="360" w:lineRule="auto"/>
      </w:pPr>
      <w:r>
        <w:rPr>
          <w:rFonts w:ascii="Times New Roman" w:hAnsi="Times New Roman" w:cs="Times New Roman" w:eastAsia="Times New Roman"/>
          <w:sz w:val="24"/>
        </w:rPr>
        <w:t xml:space="preserve">For yachter med LOA &gt; 70 m er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 lovpålagt,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har los som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linje (17–73 % på tvers av havner) på tvers av</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størrelser. For Stor-yachter er realisert sannsynlighet 100 %, og modellen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vekter systematisk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Dette er nettopp gapet § 1.5 punkt (iii) påpeker — datadrevne sannsynligheter fanger ikke regulatoriske krav. Mønsteret er kjent fra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effektivitets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litteraturen (Jahangard et al., 2025), der regulatoriske inngrep legges på som eksplisitte features. Tiltak: API krever nå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pilot_cost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når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 = "Ja"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legger beløpet som separat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“Pilotage”</w:t>
      </w:r>
      <w:r>
        <w:rPr>
          <w:rFonts w:ascii="Times New Roman" w:hAnsi="Times New Roman" w:cs="Times New Roman" w:eastAsia="Times New Roman"/>
          <w:sz w:val="24"/>
        </w:rPr>
        <w:t xml:space="preserve">-kategori. Riktig modellfix er størrelse-betingede sannsynligheter (videre arbeid punkt 8).</w:t>
      </w:r>
    </w:p>
    <w:bookmarkEnd w:id="85"/>
    <w:bookmarkStart w:id="86" w:name="bunkersmodellen-ser-ikke-reisegeometri"/>
    <w:p>
      <w:pPr>
        <w:pStyle w:val="Heading4"/>
        <w:spacing w:line="360" w:lineRule="auto"/>
      </w:pPr>
      <w:r>
        <w:rPr>
          <w:rFonts w:ascii="Times New Roman" w:hAnsi="Times New Roman" w:cs="Times New Roman" w:eastAsia="Times New Roman"/>
          <w:sz w:val="24"/>
        </w:rPr>
        <w:t xml:space="preserve">9.5.3 Bunkers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ser ikke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geometri</w:t>
      </w:r>
    </w:p>
    <w:p>
      <w:pPr>
        <w:pStyle w:val="FirstParagraph"/>
        <w:spacing w:line="360" w:lineRule="auto"/>
      </w:pPr>
      <w:r>
        <w:rPr>
          <w:rFonts w:ascii="Times New Roman" w:hAnsi="Times New Roman" w:cs="Times New Roman" w:eastAsia="Times New Roman"/>
          <w:sz w:val="24"/>
        </w:rPr>
        <w:t xml:space="preserve">Drivstoffkostnaden er, som los, modellert som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linje uten distanse eller fart. Lange overfarter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estimeres systematisk — samme funn som Su et al. (2024) for ro-ro-skip. Tiltak: API tar valgfri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cruising_speed_kn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diesel_price_per_l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per-stopp</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distance_nm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(eksponert for hvert stopp i frontend, commit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e24655a</w:t>
      </w:r>
      <w:r>
        <w:rPr>
          <w:rFonts w:ascii="Times New Roman" w:hAnsi="Times New Roman" w:cs="Times New Roman" w:eastAsia="Times New Roman"/>
          <w:sz w:val="24"/>
        </w:rPr>
        <w:t xml:space="preserve">). Når alle tre inputs er gitt, erstatter backend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“Bunkering”</w:t>
      </w:r>
      <w:r>
        <w:rPr>
          <w:rFonts w:ascii="Times New Roman" w:hAnsi="Times New Roman" w:cs="Times New Roman" w:eastAsia="Times New Roman"/>
          <w:sz w:val="24"/>
        </w:rPr>
        <w:t xml:space="preserve">-kategorien med en deterministisk beregning:</w:t>
      </w:r>
    </w:p>
    <w:p>
      <w:pPr>
        <w:pStyle w:val="BodyText"/>
        <w:spacing w:line="360" w:lineRule="auto"/>
      </w:pPr>
      <m:oMathPara>
        <m:oMathParaPr>
          <m:jc m:val="center"/>
        </m:oMathParaPr>
        <m:oMath>
          <m:r>
            <m:rPr>
              <m:nor/>
              <m:sty m:val="p"/>
            </m:rPr>
            <m:t>Bunkers</m:t>
          </m:r>
          <m:r>
            <m:rPr>
              <m:sty m:val="p"/>
            </m:rPr>
            <m:t>=</m:t>
          </m:r>
          <m:f>
            <m:fPr>
              <m:type m:val="bar"/>
            </m:fPr>
            <m:num>
              <m:r>
                <m:rPr>
                  <m:sty m:val="p"/>
                </m:rPr>
                <m:t>∑</m:t>
              </m:r>
              <m:r>
                <m:rPr>
                  <m:nor/>
                  <m:sty m:val="p"/>
                </m:rPr>
                <m:t>distance_nm</m:t>
              </m:r>
            </m:num>
            <m:den>
              <m:r>
                <m:rPr>
                  <m:nor/>
                  <m:sty m:val="p"/>
                </m:rPr>
                <m:t>cruising_speed_kn</m:t>
              </m:r>
            </m:den>
          </m:f>
          <m:r>
            <m:rPr>
              <m:sty m:val="p"/>
            </m:rPr>
            <m:t>⋅</m:t>
          </m:r>
          <m:r>
            <m:rPr>
              <m:nor/>
              <m:sty m:val="p"/>
            </m:rPr>
            <m:t>fuel_lph</m:t>
          </m:r>
          <m:r>
            <m:rPr>
              <m:sty m:val="p"/>
            </m:rPr>
            <m:t>⋅</m:t>
          </m:r>
          <m:r>
            <m:rPr>
              <m:nor/>
              <m:sty m:val="p"/>
            </m:rPr>
            <m:t>diesel_price_per_l</m:t>
          </m:r>
        </m:oMath>
      </m:oMathPara>
    </w:p>
    <w:p>
      <w:pPr>
        <w:pStyle w:val="FirstParagraph"/>
        <w:spacing w:line="360" w:lineRule="auto"/>
      </w:pPr>
      <w:r>
        <w:rPr>
          <w:rFonts w:ascii="Times New Roman" w:hAnsi="Times New Roman" w:cs="Times New Roman" w:eastAsia="Times New Roman"/>
          <w:sz w:val="24"/>
        </w:rPr>
        <w:t xml:space="preserve">Dette er en operasjonell mitigation, ikke en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fix. Den korrekte løsningen er å inkludere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distance_nm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marsjfart) som features i en re-trent modell — flagges som videre arbeid i § 10.</w:t>
      </w:r>
    </w:p>
    <w:bookmarkEnd w:id="86"/>
    <w:bookmarkStart w:id="87" w:name="manglende-guest_experience-feature"/>
    <w:p>
      <w:pPr>
        <w:pStyle w:val="Heading4"/>
        <w:spacing w:line="360" w:lineRule="auto"/>
      </w:pPr>
      <w:r>
        <w:rPr>
          <w:rFonts w:ascii="Times New Roman" w:hAnsi="Times New Roman" w:cs="Times New Roman" w:eastAsia="Times New Roman"/>
          <w:sz w:val="24"/>
        </w:rPr>
        <w:t xml:space="preserve">9.5.4 Manglende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-feature</w:t>
      </w:r>
    </w:p>
    <w:p>
      <w:pPr>
        <w:pStyle w:val="FirstParagraph"/>
        <w:spacing w:line="360" w:lineRule="auto"/>
      </w:pPr>
      <w:r>
        <w:rPr>
          <w:rFonts w:ascii="Times New Roman" w:hAnsi="Times New Roman" w:cs="Times New Roman" w:eastAsia="Times New Roman"/>
          <w:sz w:val="24"/>
        </w:rPr>
        <w:t xml:space="preserve">Provisions er kategorien der modellen avviker mest, og hovedfaktoren — gjeste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profil — finnes ikke i datagrunnlaget. Vi har bevisst valgt 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simulere data, men gjort to ting: (a)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nå et valgfritt API-felt og UI-velger (</w:t>
      </w:r>
      <w:r>
        <w:rPr>
          <w:rFonts w:ascii="Times New Roman" w:hAnsi="Times New Roman" w:cs="Times New Roman" w:eastAsia="Times New Roman"/>
          <w:sz w:val="24"/>
        </w:rPr>
        <w:t xml:space="preserve">“not_demanding”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“neutral”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“demanding”</w:t>
      </w:r>
      <w:r>
        <w:rPr>
          <w:rFonts w:ascii="Times New Roman" w:hAnsi="Times New Roman" w:cs="Times New Roman" w:eastAsia="Times New Roman"/>
          <w:sz w:val="24"/>
        </w:rPr>
        <w:t xml:space="preserve">) som lagres med registry-oppføringer for fremtidig re-trening; (b) en operasjonell rubrikk er foreslått i Vedlegg E, som må forfattes og signeres av Yachting Operations selv. Dette er det empiriske grunnlaget for § 1.5 punkt (ii) — CQR kompenserer ikke for en manglende feature.</w:t>
      </w:r>
    </w:p>
    <w:bookmarkEnd w:id="87"/>
    <w:bookmarkStart w:id="88" w:name="land-aggregater-i-modellen-er-poolet"/>
    <w:p>
      <w:pPr>
        <w:pStyle w:val="Heading4"/>
        <w:spacing w:line="360" w:lineRule="auto"/>
      </w:pPr>
      <w:r>
        <w:rPr>
          <w:rFonts w:ascii="Times New Roman" w:hAnsi="Times New Roman" w:cs="Times New Roman" w:eastAsia="Times New Roman"/>
          <w:sz w:val="24"/>
        </w:rPr>
        <w:t xml:space="preserve">9.5.5 Land-aggregater i modellen er poolet</w:t>
      </w:r>
    </w:p>
    <w:p>
      <w:pPr>
        <w:pStyle w:val="FirstParagraph"/>
        <w:spacing w:line="360" w:lineRule="auto"/>
      </w:pPr>
      <w:r>
        <w:rPr>
          <w:rStyle w:val="VerbatimChar"/>
          <w:rFonts w:ascii="Times New Roman" w:hAnsi="Times New Roman" w:cs="Times New Roman" w:eastAsia="Times New Roman"/>
          <w:sz w:val="24"/>
        </w:rPr>
        <w:t xml:space="preserve">port_stats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fanger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signal indirekte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-kategoriene,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joinet kun på størrelse og pooler dermed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på tvers av NO/SE/DK. For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baserte features går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signalet tapt — særlig synlig for København (høyt nivå) vs. norske havner. Riktig fix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country_size_*</w:t>
      </w:r>
      <w:r>
        <w:rPr>
          <w:rFonts w:ascii="Times New Roman" w:hAnsi="Times New Roman" w:cs="Times New Roman" w:eastAsia="Times New Roman"/>
          <w:sz w:val="24"/>
        </w:rPr>
        <w:t xml:space="preserve">-aggregater og re-trening (videre arbeid punkt 5). Mellomtiltak: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nå synliggjort i API-respons og frontend.</w:t>
      </w:r>
    </w:p>
    <w:bookmarkEnd w:id="88"/>
    <w:bookmarkStart w:id="89" w:name="Xfb89bcd0f3196bce2464378960df46d55e2a129"/>
    <w:p>
      <w:pPr>
        <w:pStyle w:val="Heading4"/>
        <w:spacing w:line="360" w:lineRule="auto"/>
      </w:pPr>
      <w:r>
        <w:rPr>
          <w:rFonts w:ascii="Times New Roman" w:hAnsi="Times New Roman" w:cs="Times New Roman" w:eastAsia="Times New Roman"/>
          <w:sz w:val="24"/>
        </w:rPr>
        <w:t xml:space="preserve">9.5.6 Per-yacht aggregering for skalerings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spørsmålet</w:t>
      </w:r>
    </w:p>
    <w:p>
      <w:pPr>
        <w:pStyle w:val="FirstParagraph"/>
        <w:spacing w:line="360" w:lineRule="auto"/>
      </w:pPr>
      <w:r>
        <w:rPr>
          <w:rFonts w:ascii="Times New Roman" w:hAnsi="Times New Roman" w:cs="Times New Roman" w:eastAsia="Times New Roman"/>
          <w:sz w:val="24"/>
        </w:rPr>
        <w:t xml:space="preserve">Manageren spurte: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“hvis vi har 25 yachter i år og 4 M DKK i inntekt, hva blir det med 30 neste år?”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v0.2 hadde ingen per-yacht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visning. Tiltak: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/forecast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grupperer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yachtName</w:t>
      </w:r>
      <w:r>
        <w:rPr>
          <w:rFonts w:ascii="Times New Roman" w:hAnsi="Times New Roman" w:cs="Times New Roman" w:eastAsia="Times New Roman"/>
          <w:sz w:val="24"/>
        </w:rPr>
        <w:t xml:space="preserve">, normaliserer til EUR, og viser flåte-snitt + naiv lineær skalerings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projeksjon (</w:t>
      </w:r>
      <w:r>
        <w:rPr>
          <w:rStyle w:val="VerbatimChar"/>
          <w:rFonts w:ascii="Times New Roman" w:hAnsi="Times New Roman" w:cs="Times New Roman" w:eastAsia="Times New Roman"/>
          <w:sz w:val="24"/>
        </w:rPr>
        <w:t xml:space="preserve">avg_per_yacht × N</w:t>
      </w:r>
      <w:r>
        <w:rPr>
          <w:rFonts w:ascii="Times New Roman" w:hAnsi="Times New Roman" w:cs="Times New Roman" w:eastAsia="Times New Roman"/>
          <w:sz w:val="24"/>
        </w:rPr>
        <w:t xml:space="preserve">) med eksplisitt note om at modellen ikke fanger kapasitets-, havne- eller sesong</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begrensninger.</w:t>
      </w:r>
    </w:p>
    <w:bookmarkEnd w:id="89"/>
    <w:bookmarkStart w:id="90" w:name="X5dd4a93841416e0d3a6753e4a56351cf7060d37"/>
    <w:p>
      <w:pPr>
        <w:pStyle w:val="Heading4"/>
        <w:spacing w:line="360" w:lineRule="auto"/>
      </w:pPr>
      <w:r>
        <w:rPr>
          <w:rFonts w:ascii="Times New Roman" w:hAnsi="Times New Roman" w:cs="Times New Roman" w:eastAsia="Times New Roman"/>
          <w:sz w:val="24"/>
        </w:rPr>
        <w:t xml:space="preserve">9.5.7 Provisions-override vurdert og avvist (v0.4)</w:t>
      </w:r>
    </w:p>
    <w:p>
      <w:pPr>
        <w:pStyle w:val="FirstParagraph"/>
        <w:spacing w:line="360" w:lineRule="auto"/>
      </w:pPr>
      <w:r>
        <w:rPr>
          <w:rFonts w:ascii="Times New Roman" w:hAnsi="Times New Roman" w:cs="Times New Roman" w:eastAsia="Times New Roman"/>
          <w:sz w:val="24"/>
        </w:rPr>
        <w:t xml:space="preserve">v0.3 hadde valgfri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provisioning_override</w:t>
      </w:r>
      <w:r>
        <w:rPr>
          <w:rFonts w:ascii="Times New Roman" w:hAnsi="Times New Roman" w:cs="Times New Roman" w:eastAsia="Times New Roman"/>
          <w:sz w:val="24"/>
        </w:rPr>
        <w:t xml:space="preserve">; den ble fjernet i v0.4 (commit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e24655a</w:t>
      </w:r>
      <w:r>
        <w:rPr>
          <w:rFonts w:ascii="Times New Roman" w:hAnsi="Times New Roman" w:cs="Times New Roman" w:eastAsia="Times New Roman"/>
          <w:sz w:val="24"/>
        </w:rPr>
        <w:t xml:space="preserve">) på metodisk grunnlag: en override som erstatter modellens prediksjon med et magefølelses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undergraver verktøyets formål. For bunkers er overriden forsvarlig fordi den substitueres med 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deterministisk fysisk formel</w:t>
      </w:r>
      <w:r>
        <w:rPr>
          <w:rFonts w:ascii="Times New Roman" w:hAnsi="Times New Roman" w:cs="Times New Roman" w:eastAsia="Times New Roman"/>
          <w:sz w:val="24"/>
        </w:rPr>
        <w:t xml:space="preserve">. For Provisions finnes ingen tilsvarende substitutt før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observerbar. Provisions-feilen skal lukkes via labels + re-trening, ikke maskeres via UI.</w:t>
      </w:r>
    </w:p>
    <w:bookmarkEnd w:id="90"/>
    <w:bookmarkEnd w:id="91"/>
    <w:bookmarkStart w:id="92" w:name="validitet-og-generaliserbarhet"/>
    <w:p>
      <w:pPr>
        <w:pStyle w:val="Heading3"/>
        <w:spacing w:line="360" w:lineRule="auto"/>
      </w:pPr>
      <w:r>
        <w:rPr>
          <w:rFonts w:ascii="Times New Roman" w:hAnsi="Times New Roman" w:cs="Times New Roman" w:eastAsia="Times New Roman"/>
          <w:sz w:val="24"/>
        </w:rPr>
        <w:t xml:space="preserve">9.6 Validitet og generaliserbarhet</w:t>
      </w:r>
    </w:p>
    <w:p>
      <w:pPr>
        <w:pStyle w:val="FirstParagraph"/>
        <w:spacing w:line="360" w:lineRule="auto"/>
      </w:pPr>
      <w:r>
        <w:rPr>
          <w:rFonts w:ascii="Times New Roman" w:hAnsi="Times New Roman" w:cs="Times New Roman" w:eastAsia="Times New Roman"/>
          <w:sz w:val="24"/>
        </w:rPr>
        <w:t xml:space="preserve">En streng vurdering av forskningsdesignet krever at vi adresserer validitet eksplisitt. Vi drøfter tre typer validitet som er mest relevante for NautiCost: konstrukt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validitet, intern validitet og ekstern validitet.</w:t>
      </w:r>
    </w:p>
    <w:p>
      <w:pPr>
        <w:pStyle w:val="BodyText"/>
        <w:spacing w:line="360" w:lineRule="auto"/>
      </w:pPr>
      <w:r>
        <w:rPr>
          <w:rFonts w:ascii="Times New Roman" w:hAnsi="Times New Roman" w:cs="Times New Roman" w:eastAsia="Times New Roman"/>
          <w:b/>
          <w:bCs/>
          <w:sz w:val="24"/>
        </w:rPr>
        <w:t xml:space="preserve">Konstrukt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stiller spørsmålet om</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gyldig operasjonalisering av begrepet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“totalkostnad for et havneanløp”</w:t>
      </w:r>
      <w:r>
        <w:rPr>
          <w:rFonts w:ascii="Times New Roman" w:hAnsi="Times New Roman" w:cs="Times New Roman" w:eastAsia="Times New Roman"/>
          <w:sz w:val="24"/>
        </w:rPr>
        <w:t xml:space="preserve">. Variabelen er fakturabeløpet før moms slik det er registrert hos Yachting Operations, og fanger derfor agentens direkte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pluss innkjøpt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arbeid. Det den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fanger er: (a) markedsmessige rabatter eller margin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justeringer som agenten ikke har dokumentert som linje, (b) skjulte kostnader hos yachteier (egen besetnings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lønn under anløpet, valutarisiko på betalingstidspunktet), og (c) opportunitets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hvis anløpet forsinker neste reisesegment. Konstrukt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validiteten er dermed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delvis</w:t>
      </w:r>
      <w:r>
        <w:rPr>
          <w:rFonts w:ascii="Times New Roman" w:hAnsi="Times New Roman" w:cs="Times New Roman" w:eastAsia="Times New Roman"/>
          <w:sz w:val="24"/>
        </w:rPr>
        <w:t xml:space="preserve">: målvariabelen er en valid proxy for agentens egen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sum, men en partiell proxy for det yachteieren faktisk betaler. Brukere som ønsker å estimere yachteierens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totale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må legge til egne kostnader på toppen.</w:t>
      </w:r>
    </w:p>
    <w:p>
      <w:pPr>
        <w:pStyle w:val="BodyText"/>
        <w:spacing w:line="360" w:lineRule="auto"/>
      </w:pPr>
      <w:r>
        <w:rPr>
          <w:rFonts w:ascii="Times New Roman" w:hAnsi="Times New Roman" w:cs="Times New Roman" w:eastAsia="Times New Roman"/>
          <w:b/>
          <w:bCs/>
          <w:sz w:val="24"/>
        </w:rPr>
        <w:t xml:space="preserve">Intern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dreier seg om hvorvidt observerte sammenhenger i datasettet faktisk reflekterer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drivere snarere enn artefakter av prosessen. To trusler er sentrale: (i)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seleksjons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skjevhet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alle 17 yachter er kunder hos én agentbedrift, og er dermed ikke et tilfeldig utvalg av skandinaviske superyacht-anløp; (ii)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historie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miks-endringer eller 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bytter over 2020–2025 kan ha generert tilsynelatende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egentlig er strukturelle prisbrudd. Vi adresserer (i) ved å være eksplisitt på avgrensning (§ 1.3) og ved å rapportere at modellen ikke er ekstern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validert på andre operatører. (ii) er adressert delvis ved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split (slik at trening og test ikke deler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vinduer der prisendringer kan ha skjedd samtidig), men siden vi ikke har detaljert data om 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bytter, kan vi ikke utelukke at en del av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 mellom val=2024 og test=2025 (+10 % MAE) skyldes en strukturell prisendring snarere enn naturlig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tap.</w:t>
      </w:r>
    </w:p>
    <w:p>
      <w:pPr>
        <w:pStyle w:val="BodyText"/>
        <w:spacing w:line="360" w:lineRule="auto"/>
      </w:pPr>
      <w:r>
        <w:rPr>
          <w:rFonts w:ascii="Times New Roman" w:hAnsi="Times New Roman" w:cs="Times New Roman" w:eastAsia="Times New Roman"/>
          <w:b/>
          <w:bCs/>
          <w:sz w:val="24"/>
        </w:rPr>
        <w:t xml:space="preserve">Ekstern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spør hvor godt resultatene overføres til (a) andre yachter, (b) andre operatører, og (c) andre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perioder. Spesifikt:</w:t>
      </w:r>
    </w:p>
    <w:p>
      <w:pPr>
        <w:pStyle w:val="Compact"/>
        <w:numPr>
          <w:ilvl w:val="0"/>
          <w:numId w:val="1016"/>
        </w:numPr>
        <w:spacing w:line="360" w:lineRule="auto"/>
      </w:pPr>
      <w:r>
        <w:rPr>
          <w:rFonts w:ascii="Times New Roman" w:hAnsi="Times New Roman" w:cs="Times New Roman" w:eastAsia="Times New Roman"/>
          <w:b/>
          <w:bCs/>
          <w:sz w:val="24"/>
        </w:rPr>
        <w:t xml:space="preserve">Til andre yachter: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17-yacht-fløyte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avgrensningen er en alvorlig begrensning. Yachter med spesifikasjoner langt utenfor utvalgs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(f.eks. eksplosjons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motor vs. diesel-elektrisk, charter-yacht vs. privat) vil ha større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Et bevis på dette: GT-områdene i datasettet er 51,9–2 407, og den eneste GT &lt; 50 yachten i 2025-testen genererer den største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feilen av alle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w:t>
      </w:r>
    </w:p>
    <w:p>
      <w:pPr>
        <w:pStyle w:val="Compact"/>
        <w:numPr>
          <w:ilvl w:val="0"/>
          <w:numId w:val="1016"/>
        </w:numPr>
        <w:spacing w:line="360" w:lineRule="auto"/>
      </w:pPr>
      <w:r>
        <w:rPr>
          <w:rFonts w:ascii="Times New Roman" w:hAnsi="Times New Roman" w:cs="Times New Roman" w:eastAsia="Times New Roman"/>
          <w:b/>
          <w:bCs/>
          <w:sz w:val="24"/>
        </w:rPr>
        <w:t xml:space="preserve">Til andre operatører: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kun på Yachting Operations sine fakturaer og fanger derfor denne agentens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konkrete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prismodeller (f.eks. agent fee struktur, hospitality-leverandør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 En annen agent ville hatt andre absolutt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selv for samme anløp. Ekstern validitet på operatør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er dermed ikke etablert, og vi anbefaler ikke å bruke verktøyet på en annen agents anløp uten re-trening.</w:t>
      </w:r>
    </w:p>
    <w:p>
      <w:pPr>
        <w:pStyle w:val="Compact"/>
        <w:numPr>
          <w:ilvl w:val="0"/>
          <w:numId w:val="1016"/>
        </w:numPr>
        <w:spacing w:line="360" w:lineRule="auto"/>
      </w:pPr>
      <w:r>
        <w:rPr>
          <w:rFonts w:ascii="Times New Roman" w:hAnsi="Times New Roman" w:cs="Times New Roman" w:eastAsia="Times New Roman"/>
          <w:b/>
          <w:bCs/>
          <w:sz w:val="24"/>
        </w:rPr>
        <w:t xml:space="preserve">Til andre 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perioder: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set-evalueringen viser at modellen generaliserer fra 2020–2023 til 2025 med 10 % MAE-degradering. For 2026–2027-bruk forventer vi tilsvarende eller noe høyere degradering, med mindre rullerende re-trening implementeres (§ 10 punkt 2).</w:t>
      </w:r>
    </w:p>
    <w:p>
      <w:pPr>
        <w:pStyle w:val="FirstParagraph"/>
        <w:spacing w:line="360" w:lineRule="auto"/>
      </w:pPr>
      <w:r>
        <w:rPr>
          <w:rFonts w:ascii="Times New Roman" w:hAnsi="Times New Roman" w:cs="Times New Roman" w:eastAsia="Times New Roman"/>
          <w:sz w:val="24"/>
        </w:rPr>
        <w:t xml:space="preserve">Konklusjonen er at NautiCost har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akseptabel intern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Yachting Operations sine egne fremtidige anløp innenfor 12–18 måneder, men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begrenset ekstern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utover dette. Dette er ikke et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designsfeil; det er en konsekvens av at studien er case-spesifikk per design (§ 4 og kompendiet § B.4).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funn er likevel et rimelig sekundærbidrag — særlig at gradient-boosting + hybrid persentil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kalibrering fungerer i et regime med n ≈ 1 600 og 17 enheter, hvilket utvider den eksisterende litteraturens dekning ned i datasparsomme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ordener.</w:t>
      </w:r>
    </w:p>
    <w:bookmarkEnd w:id="92"/>
    <w:bookmarkStart w:id="93" w:name="refleksjon-over-prosessens-utfordringer"/>
    <w:p>
      <w:pPr>
        <w:pStyle w:val="Heading3"/>
        <w:spacing w:line="360" w:lineRule="auto"/>
      </w:pPr>
      <w:r>
        <w:rPr>
          <w:rFonts w:ascii="Times New Roman" w:hAnsi="Times New Roman" w:cs="Times New Roman" w:eastAsia="Times New Roman"/>
          <w:sz w:val="24"/>
        </w:rPr>
        <w:t xml:space="preserve">9.7 Refleksjon over prosessens utfordringer</w:t>
      </w:r>
    </w:p>
    <w:p>
      <w:pPr>
        <w:pStyle w:val="FirstParagraph"/>
        <w:spacing w:line="360" w:lineRule="auto"/>
      </w:pPr>
      <w:r>
        <w:rPr>
          <w:rFonts w:ascii="Times New Roman" w:hAnsi="Times New Roman" w:cs="Times New Roman" w:eastAsia="Times New Roman"/>
          <w:sz w:val="24"/>
        </w:rPr>
        <w:t xml:space="preserve">§ 9.4 og § 9.5 dokumenterer henholdsvis modell-/data-svakheter og funn fra brukertest. Dette delkapittelet supplerer med utfordringer som lå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 selve forsknings- og rapport</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prosessen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verktøy, AI-bruk, peer review-respons og iterativ forbedring.</w:t>
      </w:r>
    </w:p>
    <w:p>
      <w:pPr>
        <w:pStyle w:val="BodyText"/>
        <w:spacing w:line="360" w:lineRule="auto"/>
      </w:pPr>
      <w:r>
        <w:rPr>
          <w:rFonts w:ascii="Times New Roman" w:hAnsi="Times New Roman" w:cs="Times New Roman" w:eastAsia="Times New Roman"/>
          <w:b/>
          <w:bCs/>
          <w:sz w:val="24"/>
        </w:rPr>
        <w:t xml:space="preserve">Verktøy- og prosess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utfordringer.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Stort token-forbruk i komplekse rapport-oppgaver ble håndtert ved å dele arbeidet mellom Claude-sesjoner og bruke Claude Code-worktrees for parallelt arbeid på teori og diskusjon. AI-hallusinerte referanser viste seg som reell risiko: Crossref-DOI-kontroll (v1.1) avdekket to oppføringer med korrekte DOI-er men fabrikerte forfatter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navn (Çerçi → Su, 2024; Garrido → Jahangard, 2025); begge korrigert og alle 14 referanser krysssjekket. DOI-resolusjon bør være standard sluttkontroll i AI-assistert skriving. Markdown → Word-konvertering krevde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pypandoc-binary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(ikke pre-installert), og et eget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convert_to_word.py</w:t>
      </w:r>
      <w:r>
        <w:rPr>
          <w:rFonts w:ascii="Times New Roman" w:hAnsi="Times New Roman" w:cs="Times New Roman" w:eastAsia="Times New Roman"/>
          <w:sz w:val="24"/>
        </w:rPr>
        <w:t xml:space="preserve">-skript håndterer metadata slik at tittelen ikke dupliseres. VS Code-mappekontekst og merge-konflikter ved parallelle worktrees ble pragmatisk håndtert per tilfelle. SHAP-generering for Figur 7.6 feilet teknisk på categorical_feature-mismatch og falt tilbake til LightGBM gain-importance som proxy.</w:t>
      </w:r>
    </w:p>
    <w:p>
      <w:pPr>
        <w:pStyle w:val="BodyText"/>
        <w:spacing w:line="360" w:lineRule="auto"/>
      </w:pPr>
      <w:r>
        <w:rPr>
          <w:rFonts w:ascii="Times New Roman" w:hAnsi="Times New Roman" w:cs="Times New Roman" w:eastAsia="Times New Roman"/>
          <w:b/>
          <w:bCs/>
          <w:sz w:val="24"/>
        </w:rPr>
        <w:t xml:space="preserve">Peer review-respons (G10/Julie, 2026-05-07).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Alle syv punktene er adressert: (1) Akademisk bidrag konkretisert i § 1.5 med tre hull i litteraturen; (2) Litteratur strippet for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“ligner vårt”</w:t>
      </w:r>
      <w:r>
        <w:rPr>
          <w:rFonts w:ascii="Times New Roman" w:hAnsi="Times New Roman" w:cs="Times New Roman" w:eastAsia="Times New Roman"/>
          <w:sz w:val="24"/>
        </w:rPr>
        <w:t xml:space="preserve">-formuleringer og koblinger flyttet til § 9; (3) Teori-relevans-bokser i § 3 kobler hver del til DP1–DP5; (4) § 5.4 skiller eksplisitt mellom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utvikling, seleksjon og endelig evaluering; (5) Figurer eksportert som PNG og embedet i § 7; (6) Diskusjon har litteratur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koblinger i § 9.2, § 9.5.2 og § 9.5.3; (7) APA 7-konsistens med DOI der det fantes. Tre svakheter som peer review også flagget — manglende test-sett-evaluering, ingen statistisk signifikans, manglende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kobling — ble alle løst i v1.0 (henholdsvis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eval_test_2025.py</w:t>
      </w:r>
      <w:r>
        <w:rPr>
          <w:rFonts w:ascii="Times New Roman" w:hAnsi="Times New Roman" w:cs="Times New Roman" w:eastAsia="Times New Roman"/>
          <w:sz w:val="24"/>
        </w:rPr>
        <w:t xml:space="preserve">, bootstrap-KI i § 8.1, og Pettersen &amp; Rekdal-kobling i § 2.2/§ 5.0). Et sluttgjennomgang-funn — at Figur 7.8 i v0.4 påsto −0,03 bias mens reell bias er −0,20 — er rapportert ærlig i § 7.4.</w:t>
      </w:r>
    </w:p>
    <w:p>
      <w:pPr>
        <w:pStyle w:val="BodyText"/>
        <w:spacing w:line="360" w:lineRule="auto"/>
      </w:pPr>
      <w:r>
        <w:rPr>
          <w:rFonts w:ascii="Times New Roman" w:hAnsi="Times New Roman" w:cs="Times New Roman" w:eastAsia="Times New Roman"/>
          <w:b/>
          <w:bCs/>
          <w:sz w:val="24"/>
        </w:rPr>
        <w:t xml:space="preserve">Strukturelle utfordringer som forblir åpne.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Visse begrensninger kan ikke lukkes innenfor master-rapportens rammer: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mangler uavhengig holdout (§ 8.1.1), operasjonell validering over flere måneder er ikke gjennomført, ekstern validitet til andre operatører er ikke testet (§ 9.6), og Diebold-Mariano-test er flagget som videre arbeid punkt 11. Hver av disse er eksplisitt dokumentert snarere enn skjult.</w:t>
      </w:r>
    </w:p>
    <w:p>
      <w:pPr>
        <w:pStyle w:val="BodyText"/>
        <w:spacing w:line="360" w:lineRule="auto"/>
      </w:pPr>
      <w:r>
        <w:rPr>
          <w:rFonts w:ascii="Times New Roman" w:hAnsi="Times New Roman" w:cs="Times New Roman" w:eastAsia="Times New Roman"/>
          <w:b/>
          <w:bCs/>
          <w:sz w:val="24"/>
        </w:rPr>
        <w:t xml:space="preserve">Sammenfattende refleksjon.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 og rapportskriving</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sutfordringene er fullstendig håndtert: alle peer-review-punkter er lukket, statistisk signifikans er etablert, figurer er produsert, pensum er forankret. Data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utfordringene (17 yachter, manglende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og strukturelle begrensninger (ingen uavhengig holdout, ingen operasjonell validering) krever ressurser utenfor master-rapporten å lukke. Denne åpenheten — om hva som er løst, hva som er delvis løst og hva som forblir åpent — er i tråd med kompendiets sjekkliste A.3: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“Begrensninger, usikkerhet og feilkilder er tydeliggjort.”</w:t>
      </w:r>
    </w:p>
    <w:bookmarkEnd w:id="93"/>
    <w:bookmarkStart w:id="94" w:name="praktiske-implikasjoner"/>
    <w:p>
      <w:pPr>
        <w:pStyle w:val="Heading3"/>
        <w:spacing w:line="360" w:lineRule="auto"/>
      </w:pPr>
      <w:r>
        <w:rPr>
          <w:rFonts w:ascii="Times New Roman" w:hAnsi="Times New Roman" w:cs="Times New Roman" w:eastAsia="Times New Roman"/>
          <w:sz w:val="24"/>
        </w:rPr>
        <w:t xml:space="preserve">9.8 Praktiske implikasjoner</w:t>
      </w:r>
    </w:p>
    <w:p>
      <w:pPr>
        <w:pStyle w:val="FirstParagraph"/>
        <w:spacing w:line="360" w:lineRule="auto"/>
      </w:pPr>
      <w:r>
        <w:rPr>
          <w:rFonts w:ascii="Times New Roman" w:hAnsi="Times New Roman" w:cs="Times New Roman" w:eastAsia="Times New Roman"/>
          <w:sz w:val="24"/>
        </w:rPr>
        <w:t xml:space="preserve">For Yachting Operations betyr verktøyet at en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på sekunder kan gi yachteier et estimat med tydelig kommunisert spenn i stedet for et magefølelses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anslag. På lengre sikt kan loggføring av faktiske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kostnader mot estimater drive en automatisk re-treningsløkke, slik at modellen forbedres mot faktiske prestasjoner. På kort sikt — og spesielt før labels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innhentet (jf. § 9.5.4 og Vedlegg E) — fungerer override-mekanismene for los, bunkers og provisions som en operasjonell 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ventil: koordinatoren har et estimat som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korrigeres for kjente begrensninger uten å vente på en re-trening.</w:t>
      </w:r>
    </w:p>
    <w:bookmarkEnd w:id="94"/>
    <w:bookmarkStart w:id="95" w:name="etiske-og-personvernmessige-hensyn"/>
    <w:p>
      <w:pPr>
        <w:pStyle w:val="Heading3"/>
        <w:spacing w:line="360" w:lineRule="auto"/>
      </w:pPr>
      <w:r>
        <w:rPr>
          <w:rFonts w:ascii="Times New Roman" w:hAnsi="Times New Roman" w:cs="Times New Roman" w:eastAsia="Times New Roman"/>
          <w:sz w:val="24"/>
        </w:rPr>
        <w:t xml:space="preserve">9.9 Etiske og personvernmessige hensyn</w:t>
      </w:r>
    </w:p>
    <w:p>
      <w:pPr>
        <w:pStyle w:val="FirstParagraph"/>
        <w:spacing w:line="360" w:lineRule="auto"/>
      </w:pPr>
      <w:r>
        <w:rPr>
          <w:rFonts w:ascii="Times New Roman" w:hAnsi="Times New Roman" w:cs="Times New Roman" w:eastAsia="Times New Roman"/>
          <w:sz w:val="24"/>
        </w:rPr>
        <w:t xml:space="preserve">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inneholder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identifikatorer, men ingen direkte person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Yacht-ID-er er allerede anonymisert i datasettet (</w:t>
      </w:r>
      <w:r>
        <w:rPr>
          <w:rStyle w:val="VerbatimChar"/>
          <w:rFonts w:ascii="Times New Roman" w:hAnsi="Times New Roman" w:cs="Times New Roman" w:eastAsia="Times New Roman"/>
          <w:sz w:val="24"/>
        </w:rPr>
        <w:t xml:space="preserve">yacht_1, yacht_2, …, yacht_19</w:t>
      </w:r>
      <w:r>
        <w:rPr>
          <w:rFonts w:ascii="Times New Roman" w:hAnsi="Times New Roman" w:cs="Times New Roman" w:eastAsia="Times New Roman"/>
          <w:sz w:val="24"/>
        </w:rPr>
        <w:t xml:space="preserve">).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ikke kan rekonstrueres.</w:t>
      </w:r>
    </w:p>
    <w:p>
      <w:pPr>
        <w:spacing w:line="360" w:lineRule="auto"/>
      </w:pPr>
      <w:r>
        <w:rPr>
          <w:rFonts w:ascii="Times New Roman" w:hAnsi="Times New Roman" w:cs="Times New Roman" w:eastAsia="Times New Roman"/>
          <w:sz w:val="24"/>
        </w:rPr>
        <w:pict>
          <v:rect style="width:0;height:1.5pt" o:hralign="center" o:hrstd="t" o:hr="t"/>
        </w:pict>
      </w:r>
    </w:p>
    <w:bookmarkEnd w:id="95"/>
    <w:bookmarkEnd w:id="96"/>
    <w:bookmarkStart w:id="97" w:name="konklusjon"/>
    <w:p>
      <w:pPr>
        <w:pStyle w:val="Heading2"/>
        <w:spacing w:line="360" w:lineRule="auto"/>
      </w:pPr>
      <w:r>
        <w:rPr>
          <w:rFonts w:ascii="Times New Roman" w:hAnsi="Times New Roman" w:cs="Times New Roman" w:eastAsia="Times New Roman"/>
          <w:sz w:val="24"/>
        </w:rPr>
        <w:t xml:space="preserve">10. Konklusjon</w:t>
      </w:r>
    </w:p>
    <w:p>
      <w:pPr>
        <w:pStyle w:val="FirstParagraph"/>
        <w:spacing w:line="360" w:lineRule="auto"/>
      </w:pPr>
      <w:r>
        <w:rPr>
          <w:rFonts w:ascii="Times New Roman" w:hAnsi="Times New Roman" w:cs="Times New Roman" w:eastAsia="Times New Roman"/>
          <w:sz w:val="24"/>
        </w:rPr>
        <w:t xml:space="preserve">Vi har utviklet en datadreven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estimator for skandinaviske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anløp som kombinerer LightGBM + CatBoost-ensemble på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med hybrid kalibrering mot empiriske persentiler på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På valideringssettet (2024, n = 490) oppnår modellen MAE = 17 350 EUR (wMAPE 71,4 %) — 20 % bedre enn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På det uavhengige testsettet (2025, n = 649) gir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 MAE = 19 051 EUR (wMAPE 74,3 %) — ≈ 10 % degradering val→test, forventet etter seleksjon. CQR-kalibrerte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gir 80,0 % empirisk dekning, og aggregerte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plasserer seg innenfor P25–P75 i alle fem testede konfigurasjoner.</w:t>
      </w:r>
    </w:p>
    <w:p>
      <w:pPr>
        <w:pStyle w:val="BodyText"/>
        <w:spacing w:line="360" w:lineRule="auto"/>
      </w:pPr>
      <w:r>
        <w:rPr>
          <w:rFonts w:ascii="Times New Roman" w:hAnsi="Times New Roman" w:cs="Times New Roman" w:eastAsia="Times New Roman"/>
          <w:sz w:val="24"/>
        </w:rPr>
        <w:t xml:space="preserve">Hvert delproblem er adressert: DP1 ved 26 features (§ 5.5), DP2 ved seks-modell-sammenligning på val og test (§ 8.1, § 8.1.1), DP3 ved hybrid persentil-kalibrering (§ 6.5), DP4 ved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med CQR (§ 6.4) og P25–P75-forankring (§ 8.3), og DP5 ved FastAPI + Next.js med svar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&lt; 2 s (§ 8.4).</w:t>
      </w:r>
    </w:p>
    <w:p>
      <w:pPr>
        <w:pStyle w:val="BodyText"/>
        <w:spacing w:line="360" w:lineRule="auto"/>
      </w:pPr>
      <w:r>
        <w:rPr>
          <w:rFonts w:ascii="Times New Roman" w:hAnsi="Times New Roman" w:cs="Times New Roman" w:eastAsia="Times New Roman"/>
          <w:sz w:val="24"/>
        </w:rPr>
        <w:t xml:space="preserve">Studien bidrar (§ 1.5) ved å demonstrere transaksjonsnivå-ensemble med hybrid persentil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kalibrering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 (n ≈ 1 600, 17 enheter);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valget 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(Pettersen &amp; Rekdal, 2026); og vi dokumenterer konkrete gap mellom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struktur og operasjonelle krav (§ 9.5) som peker mot oppnåelige retraining-mål.</w:t>
      </w:r>
    </w:p>
    <w:p>
      <w:pPr>
        <w:pStyle w:val="BodyText"/>
        <w:spacing w:line="360" w:lineRule="auto"/>
      </w:pPr>
      <w:r>
        <w:rPr>
          <w:rFonts w:ascii="Times New Roman" w:hAnsi="Times New Roman" w:cs="Times New Roman" w:eastAsia="Times New Roman"/>
          <w:b/>
          <w:bCs/>
          <w:sz w:val="24"/>
        </w:rPr>
        <w:t xml:space="preserve">Begrensninger: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estimatene er demonstrert på fem konfigurasjoner (§ 8.3); operasjonell validering over lengre tid gjenstår.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set-metrikkene gjelder prefit-modellen som proxy for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modellens generalisering. Ekstern validitet er begrenset til Yachting Operations. Provisions kan ikke lukkes uten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-labels (§ 9.5.4, Vedlegg E).</w:t>
      </w:r>
    </w:p>
    <w:p>
      <w:pPr>
        <w:pStyle w:val="BodyText"/>
        <w:spacing w:line="360" w:lineRule="auto"/>
      </w:pPr>
      <w:r>
        <w:rPr>
          <w:rFonts w:ascii="Times New Roman" w:hAnsi="Times New Roman" w:cs="Times New Roman" w:eastAsia="Times New Roman"/>
          <w:b/>
          <w:bCs/>
          <w:sz w:val="24"/>
        </w:rPr>
        <w:t xml:space="preserve">Videre arbeid: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 Utvide flåten med flere yachter/operatører. (2) Online re-trening med rullerende vindu. (3) Multimodale pris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drivere (drivstoffpris, valuta, vær). (4) AB-test av koordinator-effektivitet med vs. uten verktøy. (5) Land-bevisste aggregat-features og re-trening (§ 9.5.5). (6)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geometri som lært feature (§ 9.5.3). (7)</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labelling og re-trening (§ 9.5.4). (8) Størrelses-betinget pilot-sannsynlighet (§ 9.5.2). (9) Operasjonell validering over 3 måneder. (10) Rullerende test-evaluering når 2026-data foreligger. (11) Diebold-Mariano-test mot bootstrap-KI. (12) Sensitivitets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analyse på vekslingskurs.</w:t>
      </w:r>
    </w:p>
    <w:p>
      <w:pPr>
        <w:spacing w:line="360" w:lineRule="auto"/>
      </w:pPr>
      <w:r>
        <w:rPr>
          <w:rFonts w:ascii="Times New Roman" w:hAnsi="Times New Roman" w:cs="Times New Roman" w:eastAsia="Times New Roman"/>
          <w:sz w:val="24"/>
        </w:rPr>
        <w:pict>
          <v:rect style="width:0;height:1.5pt" o:hralign="center" o:hrstd="t" o:hr="t"/>
        </w:pict>
      </w:r>
    </w:p>
    <w:bookmarkEnd w:id="97"/>
    <w:bookmarkStart w:id="98" w:name="bibliografi"/>
    <w:p>
      <w:pPr>
        <w:pStyle w:val="Heading2"/>
        <w:spacing w:line="360" w:lineRule="auto"/>
      </w:pPr>
      <w:r>
        <w:rPr>
          <w:rFonts w:ascii="Times New Roman" w:hAnsi="Times New Roman" w:cs="Times New Roman" w:eastAsia="Times New Roman"/>
          <w:sz w:val="24"/>
        </w:rPr>
        <w:t xml:space="preserve">11. Bibliografi</w:t>
      </w:r>
    </w:p>
    <w:p>
      <w:pPr>
        <w:pStyle w:val="FirstParagraph"/>
        <w:spacing w:line="360" w:lineRule="auto"/>
      </w:pPr>
      <w:r>
        <w:rPr>
          <w:rFonts w:ascii="Times New Roman" w:hAnsi="Times New Roman" w:cs="Times New Roman" w:eastAsia="Times New Roman"/>
          <w:sz w:val="24"/>
        </w:rPr>
        <w:t xml:space="preserve">Su, M., Lee, H. J., Wang, X., &amp; Bae, S.-H. (2024). Fuel consumption cost prediction model for ro-ro carriers: A machine learning-based application.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Maritime Policy &amp; Management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52</w:t>
      </w:r>
      <w:r>
        <w:rPr>
          <w:rFonts w:ascii="Times New Roman" w:hAnsi="Times New Roman" w:cs="Times New Roman" w:eastAsia="Times New Roman"/>
          <w:sz w:val="24"/>
        </w:rPr>
        <w:t xml:space="preserve">(2), 229–249. https://doi.org/10.1080/03088839.2024.2303120</w:t>
      </w:r>
    </w:p>
    <w:p>
      <w:pPr>
        <w:pStyle w:val="BodyText"/>
        <w:spacing w:line="360" w:lineRule="auto"/>
      </w:pPr>
      <w:r>
        <w:rPr>
          <w:rFonts w:ascii="Times New Roman" w:hAnsi="Times New Roman" w:cs="Times New Roman" w:eastAsia="Times New Roman"/>
          <w:sz w:val="24"/>
        </w:rPr>
        <w:t xml:space="preserve">Friedman, J. H. (2001). Greedy function approximation: A gradient boosting machine.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Annals of Statistics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29</w:t>
      </w:r>
      <w:r>
        <w:rPr>
          <w:rFonts w:ascii="Times New Roman" w:hAnsi="Times New Roman" w:cs="Times New Roman" w:eastAsia="Times New Roman"/>
          <w:sz w:val="24"/>
        </w:rPr>
        <w:t xml:space="preserve">(5), 1189–1232. https://doi.org/10.1214/aos/1013203451</w:t>
      </w:r>
    </w:p>
    <w:p>
      <w:pPr>
        <w:pStyle w:val="BodyText"/>
        <w:spacing w:line="360" w:lineRule="auto"/>
      </w:pPr>
      <w:r>
        <w:rPr>
          <w:rFonts w:ascii="Times New Roman" w:hAnsi="Times New Roman" w:cs="Times New Roman" w:eastAsia="Times New Roman"/>
          <w:sz w:val="24"/>
        </w:rPr>
        <w:t xml:space="preserve">Jahangard, M., Xie, Y., &amp; Feng, Y. (2025). Leveraging machine learning and optimization models for enhanced seaport efficiency.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Maritime Economics &amp; Logistics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27</w:t>
      </w:r>
      <w:r>
        <w:rPr>
          <w:rFonts w:ascii="Times New Roman" w:hAnsi="Times New Roman" w:cs="Times New Roman" w:eastAsia="Times New Roman"/>
          <w:sz w:val="24"/>
        </w:rPr>
        <w:t xml:space="preserve">(4), 710–751. https://doi.org/10.1057/s41278-024-00309-w</w:t>
      </w:r>
    </w:p>
    <w:p>
      <w:pPr>
        <w:pStyle w:val="BodyText"/>
        <w:spacing w:line="360" w:lineRule="auto"/>
      </w:pPr>
      <w:r>
        <w:rPr>
          <w:rFonts w:ascii="Times New Roman" w:hAnsi="Times New Roman" w:cs="Times New Roman" w:eastAsia="Times New Roman"/>
          <w:sz w:val="24"/>
        </w:rPr>
        <w:t xml:space="preserve">Grinsztajn, L., Oyallon, E., &amp; Varoquaux, G. (2022). Why do tree-based models still outperform deep learning on typical tabular data?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35</w:t>
      </w:r>
      <w:r>
        <w:rPr>
          <w:rFonts w:ascii="Times New Roman" w:hAnsi="Times New Roman" w:cs="Times New Roman" w:eastAsia="Times New Roman"/>
          <w:sz w:val="24"/>
        </w:rPr>
        <w:t xml:space="preserve">, 507–520.</w:t>
      </w:r>
    </w:p>
    <w:p>
      <w:pPr>
        <w:pStyle w:val="BodyText"/>
        <w:spacing w:line="360" w:lineRule="auto"/>
      </w:pPr>
      <w:r>
        <w:rPr>
          <w:rFonts w:ascii="Times New Roman" w:hAnsi="Times New Roman" w:cs="Times New Roman" w:eastAsia="Times New Roman"/>
          <w:sz w:val="24"/>
        </w:rPr>
        <w:t xml:space="preserve">Hastie, T., Tibshirani, R., &amp; Friedman, J.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Elements of Statistical Learning: Data Mining, Inference, and Prediction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Springer. https://doi.org/10.1007/978-0-387-84858-7</w:t>
      </w:r>
    </w:p>
    <w:p>
      <w:pPr>
        <w:pStyle w:val="BodyText"/>
        <w:spacing w:line="360" w:lineRule="auto"/>
      </w:pPr>
      <w:r>
        <w:rPr>
          <w:rFonts w:ascii="Times New Roman" w:hAnsi="Times New Roman" w:cs="Times New Roman" w:eastAsia="Times New Roman"/>
          <w:sz w:val="24"/>
        </w:rPr>
        <w:t xml:space="preserve">Jang, H.-S., Chang, T.-W., &amp; Kim, S.-H. (2023). Prediction of shipping cost on freight brokerage platform using machine learning.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Sustainability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w:t>
      </w:r>
      <w:r>
        <w:rPr>
          <w:rFonts w:ascii="Times New Roman" w:hAnsi="Times New Roman" w:cs="Times New Roman" w:eastAsia="Times New Roman"/>
          <w:sz w:val="24"/>
        </w:rPr>
        <w:t xml:space="preserve">(2), 1122. https://doi.org/10.3390/su15021122</w:t>
      </w:r>
    </w:p>
    <w:p>
      <w:pPr>
        <w:pStyle w:val="BodyText"/>
        <w:spacing w:line="360" w:lineRule="auto"/>
      </w:pPr>
      <w:r>
        <w:rPr>
          <w:rFonts w:ascii="Times New Roman" w:hAnsi="Times New Roman" w:cs="Times New Roman" w:eastAsia="Times New Roman"/>
          <w:sz w:val="24"/>
        </w:rPr>
        <w:t xml:space="preserve">Ke, G., Meng, Q., Finley, T., Wang, T., Chen, W., Ma, W., Ye, Q., &amp; Liu, T.-Y. (2017). LightGBM: A highly efficient gradient boosting decision tree.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30</w:t>
      </w:r>
      <w:r>
        <w:rPr>
          <w:rFonts w:ascii="Times New Roman" w:hAnsi="Times New Roman" w:cs="Times New Roman" w:eastAsia="Times New Roman"/>
          <w:sz w:val="24"/>
        </w:rPr>
        <w:t xml:space="preserve">, 3146–3154.</w:t>
      </w:r>
    </w:p>
    <w:p>
      <w:pPr>
        <w:pStyle w:val="BodyText"/>
        <w:spacing w:line="360" w:lineRule="auto"/>
      </w:pPr>
      <w:r>
        <w:rPr>
          <w:rFonts w:ascii="Times New Roman" w:hAnsi="Times New Roman" w:cs="Times New Roman" w:eastAsia="Times New Roman"/>
          <w:sz w:val="24"/>
        </w:rPr>
        <w:t xml:space="preserve">Lundberg, S. M., &amp; Lee, S.-I. (2017). A unified approach to interpreting model predictions.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30</w:t>
      </w:r>
      <w:r>
        <w:rPr>
          <w:rFonts w:ascii="Times New Roman" w:hAnsi="Times New Roman" w:cs="Times New Roman" w:eastAsia="Times New Roman"/>
          <w:sz w:val="24"/>
        </w:rPr>
        <w:t xml:space="preserve">, 4765–4774.</w:t>
      </w:r>
    </w:p>
    <w:p>
      <w:pPr>
        <w:pStyle w:val="BodyText"/>
        <w:spacing w:line="360" w:lineRule="auto"/>
      </w:pPr>
      <w:r>
        <w:rPr>
          <w:rFonts w:ascii="Times New Roman" w:hAnsi="Times New Roman" w:cs="Times New Roman" w:eastAsia="Times New Roman"/>
          <w:sz w:val="24"/>
        </w:rPr>
        <w:t xml:space="preserve">Lundberg, S. M., Erion, G., Chen, H., DeGrave, A., Prutkin, J. M., Nair, B., Katz, R., Himmelfarb, J., Bansal, N., &amp; Lee, S.-I. (2020). From local explanations to global understanding with explainable AI for trees.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Nature Machine Intelligence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w:t>
      </w:r>
      <w:r>
        <w:rPr>
          <w:rFonts w:ascii="Times New Roman" w:hAnsi="Times New Roman" w:cs="Times New Roman" w:eastAsia="Times New Roman"/>
          <w:sz w:val="24"/>
        </w:rPr>
        <w:t xml:space="preserve">(1), 56–67. https://doi.org/10.1038/s42256-019-0138-9</w:t>
      </w:r>
    </w:p>
    <w:p>
      <w:pPr>
        <w:pStyle w:val="BodyText"/>
        <w:spacing w:line="360" w:lineRule="auto"/>
      </w:pPr>
      <w:r>
        <w:rPr>
          <w:rFonts w:ascii="Times New Roman" w:hAnsi="Times New Roman" w:cs="Times New Roman" w:eastAsia="Times New Roman"/>
          <w:sz w:val="24"/>
        </w:rPr>
        <w:t xml:space="preserve">Pettersen, B.-I., &amp; Rekdal, P. K. (2026).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Kvantitative metoder i logistikk — implementert via KI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[Kompendium]. LOG650 Forskningsprosjekt: Logistikk og kunstig intelligens, Høgskolen i Molde.</w:t>
      </w:r>
    </w:p>
    <w:p>
      <w:pPr>
        <w:pStyle w:val="BodyText"/>
        <w:spacing w:line="360" w:lineRule="auto"/>
      </w:pPr>
      <w:r>
        <w:rPr>
          <w:rFonts w:ascii="Times New Roman" w:hAnsi="Times New Roman" w:cs="Times New Roman" w:eastAsia="Times New Roman"/>
          <w:sz w:val="24"/>
        </w:rPr>
        <w:t xml:space="preserve">Prokhorenkova, L., Gusev, G., Vorobev, A., Dorogush, A. V., &amp; Gulin, A. (2018). CatBoost: Unbiased boosting with categorical features.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31</w:t>
      </w:r>
      <w:r>
        <w:rPr>
          <w:rFonts w:ascii="Times New Roman" w:hAnsi="Times New Roman" w:cs="Times New Roman" w:eastAsia="Times New Roman"/>
          <w:sz w:val="24"/>
        </w:rPr>
        <w:t xml:space="preserve">, 6638–6648.</w:t>
      </w:r>
    </w:p>
    <w:p>
      <w:pPr>
        <w:pStyle w:val="BodyText"/>
        <w:spacing w:line="360" w:lineRule="auto"/>
      </w:pPr>
      <w:r>
        <w:rPr>
          <w:rFonts w:ascii="Times New Roman" w:hAnsi="Times New Roman" w:cs="Times New Roman" w:eastAsia="Times New Roman"/>
          <w:sz w:val="24"/>
        </w:rPr>
        <w:t xml:space="preserve">Romano, Y., Patterson, E., &amp; Candès, E. (2019). Conformalized quantile regression.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32</w:t>
      </w:r>
      <w:r>
        <w:rPr>
          <w:rFonts w:ascii="Times New Roman" w:hAnsi="Times New Roman" w:cs="Times New Roman" w:eastAsia="Times New Roman"/>
          <w:sz w:val="24"/>
        </w:rPr>
        <w:t xml:space="preserve">, 3543–3553.</w:t>
      </w:r>
    </w:p>
    <w:p>
      <w:pPr>
        <w:pStyle w:val="BodyText"/>
        <w:spacing w:line="360" w:lineRule="auto"/>
      </w:pPr>
      <w:r>
        <w:rPr>
          <w:rFonts w:ascii="Times New Roman" w:hAnsi="Times New Roman" w:cs="Times New Roman" w:eastAsia="Times New Roman"/>
          <w:sz w:val="24"/>
        </w:rPr>
        <w:t xml:space="preserve">Shafer, G., &amp; Vovk, V. (2008). A tutorial on conformal prediction.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Machine Learning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w:t>
      </w:r>
      <w:r>
        <w:rPr>
          <w:rFonts w:ascii="Times New Roman" w:hAnsi="Times New Roman" w:cs="Times New Roman" w:eastAsia="Times New Roman"/>
          <w:sz w:val="24"/>
        </w:rPr>
        <w:t xml:space="preserve">, 371–421. https://jmlr.csail.mit.edu/papers/volume9/shafer08a/shafer08a.pdf</w:t>
      </w:r>
    </w:p>
    <w:p>
      <w:pPr>
        <w:pStyle w:val="BodyText"/>
        <w:spacing w:line="360" w:lineRule="auto"/>
      </w:pPr>
      <w:r>
        <w:rPr>
          <w:rFonts w:ascii="Times New Roman" w:hAnsi="Times New Roman" w:cs="Times New Roman" w:eastAsia="Times New Roman"/>
          <w:sz w:val="24"/>
        </w:rPr>
        <w:t xml:space="preserve">Shwartz-Ziv, R., &amp; Armon, A. (2022). Tabular data: Deep learning is not all you need.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Information Fusion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81</w:t>
      </w:r>
      <w:r>
        <w:rPr>
          <w:rFonts w:ascii="Times New Roman" w:hAnsi="Times New Roman" w:cs="Times New Roman" w:eastAsia="Times New Roman"/>
          <w:sz w:val="24"/>
        </w:rPr>
        <w:t xml:space="preserve">, 84–90. https://doi.org/10.1016/j.inffus.2021.11.011</w:t>
      </w:r>
    </w:p>
    <w:p>
      <w:pPr>
        <w:spacing w:line="360" w:lineRule="auto"/>
      </w:pPr>
      <w:r>
        <w:rPr>
          <w:rFonts w:ascii="Times New Roman" w:hAnsi="Times New Roman" w:cs="Times New Roman" w:eastAsia="Times New Roman"/>
          <w:sz w:val="24"/>
        </w:rPr>
        <w:pict>
          <v:rect style="width:0;height:1.5pt" o:hralign="center" o:hrstd="t" o:hr="t"/>
        </w:pict>
      </w:r>
    </w:p>
    <w:bookmarkEnd w:id="98"/>
    <w:bookmarkStart w:id="100" w:name="vedlegg"/>
    <w:p>
      <w:pPr>
        <w:pStyle w:val="Heading2"/>
        <w:spacing w:line="360" w:lineRule="auto"/>
      </w:pPr>
      <w:r>
        <w:rPr>
          <w:rFonts w:ascii="Times New Roman" w:hAnsi="Times New Roman" w:cs="Times New Roman" w:eastAsia="Times New Roman"/>
          <w:sz w:val="24"/>
        </w:rPr>
        <w:t xml:space="preserve">Vedlegg</w:t>
      </w:r>
    </w:p>
    <w:p>
      <w:pPr>
        <w:pStyle w:val="Compact"/>
        <w:numPr>
          <w:ilvl w:val="0"/>
          <w:numId w:val="1017"/>
        </w:numPr>
        <w:spacing w:line="360" w:lineRule="auto"/>
      </w:pPr>
      <w:r>
        <w:rPr>
          <w:rFonts w:ascii="Times New Roman" w:hAnsi="Times New Roman" w:cs="Times New Roman" w:eastAsia="Times New Roman"/>
          <w:b/>
          <w:bCs/>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Featureliste og dtype-tabell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seksjon 2 (26 features: 6 kategoriske + 20 numeriske).</w:t>
      </w:r>
    </w:p>
    <w:p>
      <w:pPr>
        <w:pStyle w:val="Compact"/>
        <w:numPr>
          <w:ilvl w:val="0"/>
          <w:numId w:val="1017"/>
        </w:numPr>
        <w:spacing w:line="360" w:lineRule="auto"/>
      </w:pPr>
      <w:r>
        <w:rPr>
          <w:rFonts w:ascii="Times New Roman" w:hAnsi="Times New Roman" w:cs="Times New Roman" w:eastAsia="Times New Roman"/>
          <w:b/>
          <w:bCs/>
          <w:sz w:val="24"/>
        </w:rPr>
        <w:t xml:space="preserve">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Hyperparametre fra Optuna-studie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seksjon 9.</w:t>
      </w:r>
    </w:p>
    <w:p>
      <w:pPr>
        <w:pStyle w:val="Compact"/>
        <w:numPr>
          <w:ilvl w:val="0"/>
          <w:numId w:val="1017"/>
        </w:numPr>
        <w:spacing w:line="360" w:lineRule="auto"/>
      </w:pPr>
      <w:r>
        <w:rPr>
          <w:rFonts w:ascii="Times New Roman" w:hAnsi="Times New Roman" w:cs="Times New Roman" w:eastAsia="Times New Roman"/>
          <w:b/>
          <w:bCs/>
          <w:sz w:val="24"/>
        </w:rPr>
        <w:t xml:space="preserv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API-spesifikasjon (OpenAPI fra FastAPI)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review/backend/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endepunkt-definisjon (</w:t>
      </w:r>
      <w:r>
        <w:rPr>
          <w:rStyle w:val="VerbatimChar"/>
          <w:rFonts w:ascii="Times New Roman" w:hAnsi="Times New Roman" w:cs="Times New Roman" w:eastAsia="Times New Roman"/>
          <w:sz w:val="24"/>
        </w:rPr>
        <w:t xml:space="preserve">POST /api/predict</w:t>
      </w:r>
      <w:r>
        <w:rPr>
          <w:rFonts w:ascii="Times New Roman" w:hAnsi="Times New Roman" w:cs="Times New Roman" w:eastAsia="Times New Roman"/>
          <w:sz w:val="24"/>
        </w:rPr>
        <w:t xml:space="preserve">).</w:t>
      </w:r>
    </w:p>
    <w:p>
      <w:pPr>
        <w:pStyle w:val="Compact"/>
        <w:numPr>
          <w:ilvl w:val="0"/>
          <w:numId w:val="1017"/>
        </w:numPr>
        <w:spacing w:line="360" w:lineRule="auto"/>
      </w:pPr>
      <w:r>
        <w:rPr>
          <w:rFonts w:ascii="Times New Roman" w:hAnsi="Times New Roman" w:cs="Times New Roman" w:eastAsia="Times New Roman"/>
          <w:b/>
          <w:b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Skjermbilder fra Next.js-frontend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review/frontend/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kildekoden til dashbordet.</w:t>
      </w:r>
    </w:p>
    <w:p>
      <w:pPr>
        <w:pStyle w:val="Compact"/>
        <w:numPr>
          <w:ilvl w:val="0"/>
          <w:numId w:val="1017"/>
        </w:numPr>
        <w:spacing w:line="360" w:lineRule="auto"/>
      </w:pPr>
      <w:r>
        <w:rPr>
          <w:rFonts w:ascii="Times New Roman" w:hAnsi="Times New Roman" w:cs="Times New Roman" w:eastAsia="Times New Roman"/>
          <w:b/>
          <w:bCs/>
          <w:sz w:val="24"/>
        </w:rPr>
        <w:t xml:space="preserve">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Foreslått rubrikk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se egen seksjon nedenfor.</w:t>
      </w:r>
    </w:p>
    <w:p>
      <w:pPr>
        <w:pStyle w:val="Compact"/>
        <w:numPr>
          <w:ilvl w:val="0"/>
          <w:numId w:val="1017"/>
        </w:numPr>
        <w:spacing w:line="360" w:lineRule="auto"/>
      </w:pPr>
      <w:r>
        <w:rPr>
          <w:rFonts w:ascii="Times New Roman" w:hAnsi="Times New Roman" w:cs="Times New Roman" w:eastAsia="Times New Roman"/>
          <w:b/>
          <w:bCs/>
          <w:sz w:val="24"/>
        </w:rPr>
        <w:t xml:space="preserve">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Test-set-evalueringsskript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review/eval_test_2025.py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reproduserer tallene i tabell 8.2; resultatene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review/artifacts/metrics_test_2025.csv</w:t>
      </w:r>
      <w:r>
        <w:rPr>
          <w:rFonts w:ascii="Times New Roman" w:hAnsi="Times New Roman" w:cs="Times New Roman" w:eastAsia="Times New Roman"/>
          <w:sz w:val="24"/>
        </w:rPr>
        <w:t xml:space="preserve">.</w:t>
      </w:r>
    </w:p>
    <w:bookmarkStart w:id="99" w:name="Xe1f01a8cc6b3208ae7fb51104f9d9c075e3eeb5"/>
    <w:p>
      <w:pPr>
        <w:pStyle w:val="Heading3"/>
        <w:spacing w:line="360" w:lineRule="auto"/>
      </w:pPr>
      <w:r>
        <w:rPr>
          <w:rFonts w:ascii="Times New Roman" w:hAnsi="Times New Roman" w:cs="Times New Roman" w:eastAsia="Times New Roman"/>
          <w:sz w:val="24"/>
        </w:rPr>
        <w:t xml:space="preserve">Vedlegg E. Foreslått rubrikk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p>
    <w:p>
      <w:pPr>
        <w:pStyle w:val="FirstParagraph"/>
        <w:spacing w:line="360" w:lineRule="auto"/>
      </w:pP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mangler i kildedataene (jf. § 9.5.4) og kan ikke simuleres. For at fremtidige labels skal være konsistente på tvers av koordinatorer foreslår vi en operasjonell rubrikk basert på pre-arrival-informasjon — fem dimensjoner som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(eller yachtens purser) kan svare på ved booking: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360" w:lineRule="auto"/>
            </w:pPr>
            <w:r>
              <w:rPr>
                <w:rFonts w:ascii="Times New Roman" w:hAnsi="Times New Roman" w:cs="Times New Roman" w:eastAsia="Times New Roman"/>
                <w:sz w:val="24"/>
              </w:rPr>
              <w:t xml:space="preserve">Dimensjon</w:t>
            </w:r>
          </w:p>
        </w:tc>
        <w:tc>
          <w:tcPr/>
          <w:p>
            <w:pPr>
              <w:pStyle w:val="Compact"/>
              <w:spacing w:line="360" w:lineRule="auto"/>
            </w:pPr>
            <w:r>
              <w:rPr>
                <w:rFonts w:ascii="Times New Roman" w:hAnsi="Times New Roman" w:cs="Times New Roman" w:eastAsia="Times New Roman"/>
                <w:sz w:val="24"/>
              </w:rPr>
              <w:t xml:space="preserve">Skår 0</w:t>
            </w:r>
          </w:p>
        </w:tc>
        <w:tc>
          <w:tcPr/>
          <w:p>
            <w:pPr>
              <w:pStyle w:val="Compact"/>
              <w:spacing w:line="360" w:lineRule="auto"/>
            </w:pPr>
            <w:r>
              <w:rPr>
                <w:rFonts w:ascii="Times New Roman" w:hAnsi="Times New Roman" w:cs="Times New Roman" w:eastAsia="Times New Roman"/>
                <w:sz w:val="24"/>
              </w:rPr>
              <w:t xml:space="preserve">Skår 1</w:t>
            </w:r>
          </w:p>
        </w:tc>
        <w:tc>
          <w:tcPr/>
          <w:p>
            <w:pPr>
              <w:pStyle w:val="Compact"/>
              <w:spacing w:line="360" w:lineRule="auto"/>
            </w:pPr>
            <w:r>
              <w:rPr>
                <w:rFonts w:ascii="Times New Roman" w:hAnsi="Times New Roman" w:cs="Times New Roman" w:eastAsia="Times New Roman"/>
                <w:sz w:val="24"/>
              </w:rPr>
              <w:t xml:space="preserve">Skår 2</w:t>
            </w:r>
          </w:p>
        </w:tc>
      </w:tr>
      <w:tr>
        <w:tc>
          <w:tcPr/>
          <w:p>
            <w:pPr>
              <w:pStyle w:val="Compact"/>
              <w:spacing w:line="360" w:lineRule="auto"/>
            </w:pPr>
            <w:r>
              <w:rPr>
                <w:rFonts w:ascii="Times New Roman" w:hAnsi="Times New Roman" w:cs="Times New Roman" w:eastAsia="Times New Roman"/>
                <w:sz w:val="24"/>
              </w:rPr>
              <w:t xml:space="preserve">Antall gjester ombord</w:t>
            </w:r>
          </w:p>
        </w:tc>
        <w:tc>
          <w:tcPr/>
          <w:p>
            <w:pPr>
              <w:pStyle w:val="Compact"/>
              <w:spacing w:line="360" w:lineRule="auto"/>
            </w:pPr>
            <w:r>
              <w:rPr>
                <w:rFonts w:ascii="Times New Roman" w:hAnsi="Times New Roman" w:cs="Times New Roman" w:eastAsia="Times New Roman"/>
                <w:sz w:val="24"/>
              </w:rPr>
              <w:t xml:space="preserve">&lt; 4</w:t>
            </w:r>
          </w:p>
        </w:tc>
        <w:tc>
          <w:tcPr/>
          <w:p>
            <w:pPr>
              <w:pStyle w:val="Compact"/>
              <w:spacing w:line="360" w:lineRule="auto"/>
            </w:pPr>
            <w:r>
              <w:rPr>
                <w:rFonts w:ascii="Times New Roman" w:hAnsi="Times New Roman" w:cs="Times New Roman" w:eastAsia="Times New Roman"/>
                <w:sz w:val="24"/>
              </w:rPr>
              <w:t xml:space="preserve">4–8</w:t>
            </w:r>
          </w:p>
        </w:tc>
        <w:tc>
          <w:tcPr/>
          <w:p>
            <w:pPr>
              <w:pStyle w:val="Compact"/>
              <w:spacing w:line="360" w:lineRule="auto"/>
            </w:pPr>
            <w:r>
              <w:rPr>
                <w:rFonts w:ascii="Times New Roman" w:hAnsi="Times New Roman" w:cs="Times New Roman" w:eastAsia="Times New Roman"/>
                <w:sz w:val="24"/>
              </w:rPr>
              <w:t xml:space="preserve">&gt; 8</w:t>
            </w:r>
          </w:p>
        </w:tc>
      </w:tr>
      <w:tr>
        <w:tc>
          <w:tcPr/>
          <w:p>
            <w:pPr>
              <w:pStyle w:val="Compact"/>
              <w:spacing w:line="360" w:lineRule="auto"/>
            </w:pPr>
            <w:r>
              <w:rPr>
                <w:rFonts w:ascii="Times New Roman" w:hAnsi="Times New Roman" w:cs="Times New Roman" w:eastAsia="Times New Roman"/>
                <w:sz w:val="24"/>
              </w:rPr>
              <w:t xml:space="preserve">Antall planlagte hosted events under turen (galaer, hosted middager, mottakelser)</w:t>
            </w:r>
          </w:p>
        </w:tc>
        <w:tc>
          <w:tcPr/>
          <w:p>
            <w:pPr>
              <w:pStyle w:val="Compact"/>
              <w:spacing w:line="360" w:lineRule="auto"/>
            </w:pPr>
            <w:r>
              <w:rPr>
                <w:rFonts w:ascii="Times New Roman" w:hAnsi="Times New Roman" w:cs="Times New Roman" w:eastAsia="Times New Roman"/>
                <w:sz w:val="24"/>
              </w:rPr>
              <w:t xml:space="preserve">0</w:t>
            </w:r>
          </w:p>
        </w:tc>
        <w:tc>
          <w:tcPr/>
          <w:p>
            <w:pPr>
              <w:pStyle w:val="Compact"/>
              <w:spacing w:line="360" w:lineRule="auto"/>
            </w:pPr>
            <w:r>
              <w:rPr>
                <w:rFonts w:ascii="Times New Roman" w:hAnsi="Times New Roman" w:cs="Times New Roman" w:eastAsia="Times New Roman"/>
                <w:sz w:val="24"/>
              </w:rPr>
              <w:t xml:space="preserve">1–2</w:t>
            </w:r>
          </w:p>
        </w:tc>
        <w:tc>
          <w:tcPr/>
          <w:p>
            <w:pPr>
              <w:pStyle w:val="Compact"/>
              <w:spacing w:line="360" w:lineRule="auto"/>
            </w:pPr>
            <w:r>
              <w:rPr>
                <w:rFonts w:ascii="Times New Roman" w:hAnsi="Times New Roman" w:cs="Times New Roman" w:eastAsia="Times New Roman"/>
                <w:sz w:val="24"/>
              </w:rPr>
              <w:t xml:space="preserve">≥ 3</w:t>
            </w:r>
          </w:p>
        </w:tc>
      </w:tr>
      <w:tr>
        <w:tc>
          <w:tcPr/>
          <w:p>
            <w:pPr>
              <w:pStyle w:val="Compact"/>
              <w:spacing w:line="360" w:lineRule="auto"/>
            </w:pPr>
            <w:r>
              <w:rPr>
                <w:rFonts w:ascii="Times New Roman" w:hAnsi="Times New Roman" w:cs="Times New Roman" w:eastAsia="Times New Roman"/>
                <w:sz w:val="24"/>
              </w:rPr>
              <w:t xml:space="preserve">Provisjons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stil</w:t>
            </w:r>
          </w:p>
        </w:tc>
        <w:tc>
          <w:tcPr/>
          <w:p>
            <w:pPr>
              <w:pStyle w:val="Compact"/>
              <w:spacing w:line="360" w:lineRule="auto"/>
            </w:pPr>
            <w:r>
              <w:rPr>
                <w:rFonts w:ascii="Times New Roman" w:hAnsi="Times New Roman" w:cs="Times New Roman" w:eastAsia="Times New Roman"/>
                <w:sz w:val="24"/>
              </w:rPr>
              <w:t xml:space="preserve">Standard</w:t>
            </w:r>
          </w:p>
        </w:tc>
        <w:tc>
          <w:tcPr/>
          <w:p>
            <w:pPr>
              <w:pStyle w:val="Compact"/>
              <w:spacing w:line="360" w:lineRule="auto"/>
            </w:pPr>
            <w:r>
              <w:rPr>
                <w:rFonts w:ascii="Times New Roman" w:hAnsi="Times New Roman" w:cs="Times New Roman" w:eastAsia="Times New Roman"/>
                <w:sz w:val="24"/>
              </w:rPr>
              <w:t xml:space="preserve">Premium</w:t>
            </w:r>
          </w:p>
        </w:tc>
        <w:tc>
          <w:tcPr/>
          <w:p>
            <w:pPr>
              <w:pStyle w:val="Compact"/>
              <w:spacing w:line="360" w:lineRule="auto"/>
            </w:pPr>
            <w:r>
              <w:rPr>
                <w:rFonts w:ascii="Times New Roman" w:hAnsi="Times New Roman" w:cs="Times New Roman" w:eastAsia="Times New Roman"/>
                <w:sz w:val="24"/>
              </w:rPr>
              <w:t xml:space="preserve">Luksus / bespoke</w:t>
            </w:r>
          </w:p>
        </w:tc>
      </w:tr>
      <w:tr>
        <w:tc>
          <w:tcPr/>
          <w:p>
            <w:pPr>
              <w:pStyle w:val="Compact"/>
              <w:spacing w:line="360" w:lineRule="auto"/>
            </w:pPr>
            <w:r>
              <w:rPr>
                <w:rFonts w:ascii="Times New Roman" w:hAnsi="Times New Roman" w:cs="Times New Roman" w:eastAsia="Times New Roman"/>
                <w:sz w:val="24"/>
              </w:rPr>
              <w:t xml:space="preserve">Antall transfers per uke (lufthavn, by, dagstur)</w:t>
            </w:r>
          </w:p>
        </w:tc>
        <w:tc>
          <w:tcPr/>
          <w:p>
            <w:pPr>
              <w:pStyle w:val="Compact"/>
              <w:spacing w:line="360" w:lineRule="auto"/>
            </w:pPr>
            <w:r>
              <w:rPr>
                <w:rFonts w:ascii="Times New Roman" w:hAnsi="Times New Roman" w:cs="Times New Roman" w:eastAsia="Times New Roman"/>
                <w:sz w:val="24"/>
              </w:rPr>
              <w:t xml:space="preserve">&lt; 3</w:t>
            </w:r>
          </w:p>
        </w:tc>
        <w:tc>
          <w:tcPr/>
          <w:p>
            <w:pPr>
              <w:pStyle w:val="Compact"/>
              <w:spacing w:line="360" w:lineRule="auto"/>
            </w:pPr>
            <w:r>
              <w:rPr>
                <w:rFonts w:ascii="Times New Roman" w:hAnsi="Times New Roman" w:cs="Times New Roman" w:eastAsia="Times New Roman"/>
                <w:sz w:val="24"/>
              </w:rPr>
              <w:t xml:space="preserve">3–7</w:t>
            </w:r>
          </w:p>
        </w:tc>
        <w:tc>
          <w:tcPr/>
          <w:p>
            <w:pPr>
              <w:pStyle w:val="Compact"/>
              <w:spacing w:line="360" w:lineRule="auto"/>
            </w:pPr>
            <w:r>
              <w:rPr>
                <w:rFonts w:ascii="Times New Roman" w:hAnsi="Times New Roman" w:cs="Times New Roman" w:eastAsia="Times New Roman"/>
                <w:sz w:val="24"/>
              </w:rPr>
              <w:t xml:space="preserve">&gt; 7</w:t>
            </w:r>
          </w:p>
        </w:tc>
      </w:tr>
      <w:tr>
        <w:tc>
          <w:tcPr/>
          <w:p>
            <w:pPr>
              <w:pStyle w:val="Compact"/>
              <w:spacing w:line="360" w:lineRule="auto"/>
            </w:pPr>
            <w:r>
              <w:rPr>
                <w:rFonts w:ascii="Times New Roman" w:hAnsi="Times New Roman" w:cs="Times New Roman" w:eastAsia="Times New Roman"/>
                <w:sz w:val="24"/>
              </w:rPr>
              <w:t xml:space="preserve">Guide- eller excursion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frekvens</w:t>
            </w:r>
          </w:p>
        </w:tc>
        <w:tc>
          <w:tcPr/>
          <w:p>
            <w:pPr>
              <w:pStyle w:val="Compact"/>
              <w:spacing w:line="360" w:lineRule="auto"/>
            </w:pPr>
            <w:r>
              <w:rPr>
                <w:rFonts w:ascii="Times New Roman" w:hAnsi="Times New Roman" w:cs="Times New Roman" w:eastAsia="Times New Roman"/>
                <w:sz w:val="24"/>
              </w:rPr>
              <w:t xml:space="preserve">Sjelden</w:t>
            </w:r>
          </w:p>
        </w:tc>
        <w:tc>
          <w:tcPr/>
          <w:p>
            <w:pPr>
              <w:pStyle w:val="Compact"/>
              <w:spacing w:line="360" w:lineRule="auto"/>
            </w:pPr>
            <w:r>
              <w:rPr>
                <w:rFonts w:ascii="Times New Roman" w:hAnsi="Times New Roman" w:cs="Times New Roman" w:eastAsia="Times New Roman"/>
                <w:sz w:val="24"/>
              </w:rPr>
              <w:t xml:space="preserve">Av og til</w:t>
            </w:r>
          </w:p>
        </w:tc>
        <w:tc>
          <w:tcPr/>
          <w:p>
            <w:pPr>
              <w:pStyle w:val="Compact"/>
              <w:spacing w:line="360" w:lineRule="auto"/>
            </w:pPr>
            <w:r>
              <w:rPr>
                <w:rFonts w:ascii="Times New Roman" w:hAnsi="Times New Roman" w:cs="Times New Roman" w:eastAsia="Times New Roman"/>
                <w:sz w:val="24"/>
              </w:rPr>
              <w:t xml:space="preserve">Ofte</w:t>
            </w:r>
          </w:p>
        </w:tc>
      </w:tr>
    </w:tbl>
    <w:p>
      <w:pPr>
        <w:pStyle w:val="BodyText"/>
        <w:spacing w:line="360" w:lineRule="auto"/>
      </w:pPr>
      <w:r>
        <w:rPr>
          <w:rFonts w:ascii="Times New Roman" w:hAnsi="Times New Roman" w:cs="Times New Roman" w:eastAsia="Times New Roman"/>
          <w:sz w:val="24"/>
        </w:rPr>
        <w:t xml:space="preserve">Sum gir et tall mellom 0 og 10. Bucketing til de tre lovlige API-verdiene:</w:t>
      </w:r>
    </w:p>
    <w:p>
      <w:pPr>
        <w:pStyle w:val="Compact"/>
        <w:numPr>
          <w:ilvl w:val="0"/>
          <w:numId w:val="1018"/>
        </w:numPr>
        <w:spacing w:line="360" w:lineRule="auto"/>
      </w:pPr>
      <w:r>
        <w:rPr>
          <w:rFonts w:ascii="Times New Roman" w:hAnsi="Times New Roman" w:cs="Times New Roman" w:eastAsia="Times New Roman"/>
          <w:b/>
          <w:bCs/>
          <w:sz w:val="24"/>
        </w:rPr>
        <w:t xml:space="preserve">0–3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not_demanding</w:t>
      </w:r>
    </w:p>
    <w:p>
      <w:pPr>
        <w:pStyle w:val="Compact"/>
        <w:numPr>
          <w:ilvl w:val="0"/>
          <w:numId w:val="1018"/>
        </w:numPr>
        <w:spacing w:line="360" w:lineRule="auto"/>
      </w:pPr>
      <w:r>
        <w:rPr>
          <w:rFonts w:ascii="Times New Roman" w:hAnsi="Times New Roman" w:cs="Times New Roman" w:eastAsia="Times New Roman"/>
          <w:b/>
          <w:bCs/>
          <w:sz w:val="24"/>
        </w:rPr>
        <w:t xml:space="preserve">4–6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neutral</w:t>
      </w:r>
    </w:p>
    <w:p>
      <w:pPr>
        <w:pStyle w:val="Compact"/>
        <w:numPr>
          <w:ilvl w:val="0"/>
          <w:numId w:val="1018"/>
        </w:numPr>
        <w:spacing w:line="360" w:lineRule="auto"/>
      </w:pPr>
      <w:r>
        <w:rPr>
          <w:rFonts w:ascii="Times New Roman" w:hAnsi="Times New Roman" w:cs="Times New Roman" w:eastAsia="Times New Roman"/>
          <w:b/>
          <w:bCs/>
          <w:sz w:val="24"/>
        </w:rPr>
        <w:t xml:space="preserve">7–10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demanding</w:t>
      </w:r>
    </w:p>
    <w:p>
      <w:pPr>
        <w:pStyle w:val="FirstParagraph"/>
        <w:spacing w:line="360" w:lineRule="auto"/>
      </w:pPr>
      <w:r>
        <w:rPr>
          <w:rFonts w:ascii="Times New Roman" w:hAnsi="Times New Roman" w:cs="Times New Roman" w:eastAsia="Times New Roman"/>
          <w:b/>
          <w:bCs/>
          <w:sz w:val="24"/>
        </w:rPr>
        <w:t xml:space="preserve">Viktig: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Dette er 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forslag til startpunkt</w:t>
      </w:r>
      <w:r>
        <w:rPr>
          <w:rFonts w:ascii="Times New Roman" w:hAnsi="Times New Roman" w:cs="Times New Roman" w:eastAsia="Times New Roman"/>
          <w:sz w:val="24"/>
        </w:rPr>
        <w:t xml:space="preserve">, ikke en validert rubrikk. Den må forfattes og signeres av Yachting Operations selv før den tas i bruk operasjonelt. Dimensjonene og terskelverdiene over er valgt for å være observerbare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før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anløpet (slik at label kan settes før kostnadene er realisert), og for å være rimelig orto</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gonale (ingen dimensjon er en triviell funksjon av en annen). Anvendt på 1 626 historiske rader vil rubrikken kunne label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 tilbake i tid bare delvis, fordi nodene over ikke er logget — men kombinasjon av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notater (</w:t>
      </w:r>
      <w:r>
        <w:rPr>
          <w:rStyle w:val="VerbatimChar"/>
          <w:rFonts w:ascii="Times New Roman" w:hAnsi="Times New Roman" w:cs="Times New Roman" w:eastAsia="Times New Roman"/>
          <w:sz w:val="24"/>
        </w:rPr>
        <w:t xml:space="preserve">invoice_comments</w:t>
      </w:r>
      <w:r>
        <w:rPr>
          <w:rFonts w:ascii="Times New Roman" w:hAnsi="Times New Roman" w:cs="Times New Roman" w:eastAsia="Times New Roman"/>
          <w:sz w:val="24"/>
        </w:rPr>
        <w:t xml:space="preserve">) og koordinatorenes minne kan gi en startsetting for re-trening (jf. § 10 punkt 7).</w:t>
      </w:r>
    </w:p>
    <w:p>
      <w:pPr>
        <w:pStyle w:val="BodyText"/>
        <w:spacing w:line="360" w:lineRule="auto"/>
      </w:pPr>
      <w:r>
        <w:rPr>
          <w:rFonts w:ascii="Times New Roman" w:hAnsi="Times New Roman" w:cs="Times New Roman" w:eastAsia="Times New Roman"/>
          <w:sz w:val="24"/>
        </w:rPr>
        <w:t xml:space="preserve">Uten en operasjonelt validert rubrikk vil framtidige labels variere mellom koordinatorer og introdusere systematisk støy som modellen vil tolke som tilfeldig variasjon. Rubrikken er derfor et forutsetnings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dokument for re-trening, ikke en ettertanke.</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4"/>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sz w:val="24"/>
      <w:szCs w:val="20"/>
    </w:rPr>
  </w:style>
  <w:style w:styleId="Bibliography" w:type="paragraph">
    <w:name w:val="Bibliography"/>
    <w:basedOn w:val="Normal"/>
    <w:next w:val="Bibliography"/>
    <w:qFormat/>
    <w:pPr/>
    <w:rPr>
      <w:rFonts w:ascii="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rPr>
      <w:rFonts w:ascii="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sz w:val="24"/>
    </w:r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sz w:val="24"/>
    </w:rPr>
  </w:style>
  <w:style w:customStyle="1" w:styleId="Definition" w:type="paragraph">
    <w:name w:val="Definition"/>
    <w:basedOn w:val="Normal"/>
    <w:rPr>
      <w:rFonts w:ascii="Times New Roman" w:hAnsi="Times New Roman"/>
      <w:sz w:val="24"/>
    </w:rPr>
  </w:style>
  <w:style w:styleId="Caption" w:type="paragraph">
    <w:name w:val="Caption"/>
    <w:basedOn w:val="Normal"/>
    <w:link w:val="BodyTextChar"/>
    <w:pPr>
      <w:spacing w:after="120" w:before="0"/>
    </w:pPr>
    <w:rPr>
      <w:rFonts w:ascii="Times New Roman" w:hAnsi="Times New Roman"/>
      <w:i/>
      <w:sz w:val="22"/>
    </w:rPr>
  </w:style>
  <w:style w:customStyle="1" w:styleId="TableCaption" w:type="paragraph">
    <w:name w:val="Table Caption"/>
    <w:basedOn w:val="Caption"/>
    <w:pPr>
      <w:keepNext/>
    </w:pPr>
    <w:rPr>
      <w:rFonts w:ascii="Times New Roman" w:hAnsi="Times New Roman"/>
      <w:sz w:val="24"/>
    </w:rPr>
  </w:style>
  <w:style w:customStyle="1" w:styleId="ImageCaption" w:type="paragraph">
    <w:name w:val="Image Caption"/>
    <w:basedOn w:val="Caption"/>
    <w:rPr>
      <w:rFonts w:ascii="Times New Roman" w:hAnsi="Times New Roman"/>
      <w:sz w:val="24"/>
    </w:rPr>
  </w:style>
  <w:style w:customStyle="1" w:styleId="Figure" w:type="paragraph">
    <w:name w:val="Figure"/>
    <w:basedOn w:val="Normal"/>
    <w:rPr>
      <w:rFonts w:ascii="Times New Roman" w:hAnsi="Times New Roman"/>
      <w:sz w:val="24"/>
    </w:rPr>
  </w:style>
  <w:style w:customStyle="1" w:styleId="CaptionedFigure" w:type="paragraph">
    <w:name w:val="Captioned Figure"/>
    <w:basedOn w:val="Figure"/>
    <w:pPr>
      <w:keepNext/>
    </w:pPr>
    <w:rPr>
      <w:rFonts w:ascii="Times New Roman" w:hAnsi="Times New Roman"/>
      <w:sz w:val="24"/>
    </w:rPr>
  </w:style>
  <w:style w:customStyle="1" w:styleId="BodyTextChar" w:type="character">
    <w:name w:val="Body Text Char"/>
    <w:basedOn w:val="DefaultParagraphFont"/>
    <w:link w:val="BodyText"/>
    <w:rPr>
      <w:rFonts w:ascii="Times New Roman" w:hAnsi="Times New Roman"/>
      <w:sz w:val="24"/>
    </w:rPr>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rPr>
      <w:rFonts w:ascii="Times New Roman" w:hAnsi="Times New Roman"/>
      <w:sz w:val="24"/>
    </w:rPr>
  </w:style>
  <w:style w:styleId="FootnoteReference" w:type="character">
    <w:name w:val="Footnote Reference"/>
    <w:basedOn w:val="BodyTextChar"/>
    <w:rPr>
      <w:rFonts w:ascii="Times New Roman" w:hAnsi="Times New Roman"/>
      <w:sz w:val="24"/>
      <w:vertAlign w:val="superscript"/>
    </w:rPr>
  </w:style>
  <w:style w:styleId="Hyperlink" w:type="character">
    <w:name w:val="Hyperlink"/>
    <w:basedOn w:val="BodyTextChar"/>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sz w:val="28"/>
    </w:rPr>
  </w:style>
  <w:style w:type="paragraph" w:customStyle="1" w:styleId="SourceCode">
    <w:name w:val="Source Code"/>
    <w:basedOn w:val="Normal"/>
    <w:link w:val="VerbatimChar"/>
    <w:pPr>
      <w:wordWrap w:val="off"/>
    </w:pPr>
    <w:rPr>
      <w:rFonts w:ascii="Times New Roman" w:hAnsi="Times New Roman"/>
      <w:sz w:val="24"/>
    </w:rPr>
  </w:style>
  <w:style w:type="character" w:customStyle="1" w:styleId="KeywordTok">
    <w:name w:val="KeywordTok"/>
    <w:basedOn w:val="VerbatimChar"/>
    <w:rPr>
      <w:rFonts w:ascii="Times New Roman" w:hAnsi="Times New Roman"/>
      <w:b/>
      <w:color w:val="007020"/>
      <w:sz w:val="24"/>
    </w:rPr>
  </w:style>
  <w:style w:type="character" w:customStyle="1" w:styleId="DataTypeTok">
    <w:name w:val="DataTypeTok"/>
    <w:basedOn w:val="VerbatimChar"/>
    <w:rPr>
      <w:rFonts w:ascii="Times New Roman" w:hAnsi="Times New Roman"/>
      <w:color w:val="902000"/>
      <w:sz w:val="24"/>
    </w:rPr>
  </w:style>
  <w:style w:type="character" w:customStyle="1" w:styleId="DecValTok">
    <w:name w:val="DecValTok"/>
    <w:basedOn w:val="VerbatimChar"/>
    <w:rPr>
      <w:rFonts w:ascii="Times New Roman" w:hAnsi="Times New Roman"/>
      <w:color w:val="40a070"/>
      <w:sz w:val="24"/>
    </w:rPr>
  </w:style>
  <w:style w:type="character" w:customStyle="1" w:styleId="BaseNTok">
    <w:name w:val="BaseNTok"/>
    <w:basedOn w:val="VerbatimChar"/>
    <w:rPr>
      <w:rFonts w:ascii="Times New Roman" w:hAnsi="Times New Roman"/>
      <w:color w:val="40a070"/>
      <w:sz w:val="24"/>
    </w:rPr>
  </w:style>
  <w:style w:type="character" w:customStyle="1" w:styleId="FloatTok">
    <w:name w:val="FloatTok"/>
    <w:basedOn w:val="VerbatimChar"/>
    <w:rPr>
      <w:rFonts w:ascii="Times New Roman" w:hAnsi="Times New Roman"/>
      <w:color w:val="40a070"/>
      <w:sz w:val="24"/>
    </w:rPr>
  </w:style>
  <w:style w:type="character" w:customStyle="1" w:styleId="ConstantTok">
    <w:name w:val="ConstantTok"/>
    <w:basedOn w:val="VerbatimChar"/>
    <w:rPr>
      <w:rFonts w:ascii="Times New Roman" w:hAnsi="Times New Roman"/>
      <w:color w:val="880000"/>
      <w:sz w:val="24"/>
    </w:rPr>
  </w:style>
  <w:style w:type="character" w:customStyle="1" w:styleId="CharTok">
    <w:name w:val="CharTok"/>
    <w:basedOn w:val="VerbatimChar"/>
    <w:rPr>
      <w:rFonts w:ascii="Times New Roman" w:hAnsi="Times New Roman"/>
      <w:color w:val="4070a0"/>
      <w:sz w:val="24"/>
    </w:rPr>
  </w:style>
  <w:style w:type="character" w:customStyle="1" w:styleId="SpecialCharTok">
    <w:name w:val="SpecialCharTok"/>
    <w:basedOn w:val="VerbatimChar"/>
    <w:rPr>
      <w:rFonts w:ascii="Times New Roman" w:hAnsi="Times New Roman"/>
      <w:color w:val="4070a0"/>
      <w:sz w:val="24"/>
    </w:rPr>
  </w:style>
  <w:style w:type="character" w:customStyle="1" w:styleId="StringTok">
    <w:name w:val="StringTok"/>
    <w:basedOn w:val="VerbatimChar"/>
    <w:rPr>
      <w:rFonts w:ascii="Times New Roman" w:hAnsi="Times New Roman"/>
      <w:color w:val="4070a0"/>
      <w:sz w:val="24"/>
    </w:rPr>
  </w:style>
  <w:style w:type="character" w:customStyle="1" w:styleId="VerbatimStringTok">
    <w:name w:val="VerbatimStringTok"/>
    <w:basedOn w:val="VerbatimChar"/>
    <w:rPr>
      <w:rFonts w:ascii="Times New Roman" w:hAnsi="Times New Roman"/>
      <w:color w:val="4070a0"/>
      <w:sz w:val="24"/>
    </w:rPr>
  </w:style>
  <w:style w:type="character" w:customStyle="1" w:styleId="SpecialStringTok">
    <w:name w:val="SpecialStringTok"/>
    <w:basedOn w:val="VerbatimChar"/>
    <w:rPr>
      <w:rFonts w:ascii="Times New Roman" w:hAnsi="Times New Roman"/>
      <w:color w:val="bb6688"/>
      <w:sz w:val="24"/>
    </w:rPr>
  </w:style>
  <w:style w:type="character" w:customStyle="1" w:styleId="ImportTok">
    <w:name w:val="ImportTok"/>
    <w:basedOn w:val="VerbatimChar"/>
    <w:rPr>
      <w:rFonts w:ascii="Times New Roman" w:hAnsi="Times New Roman"/>
      <w:b/>
      <w:color w:val="008000"/>
      <w:sz w:val="24"/>
    </w:rPr>
  </w:style>
  <w:style w:type="character" w:customStyle="1" w:styleId="CommentTok">
    <w:name w:val="CommentTok"/>
    <w:basedOn w:val="VerbatimChar"/>
    <w:rPr>
      <w:rFonts w:ascii="Times New Roman" w:hAnsi="Times New Roman"/>
      <w:i/>
      <w:color w:val="60a0b0"/>
      <w:sz w:val="24"/>
    </w:rPr>
  </w:style>
  <w:style w:type="character" w:customStyle="1" w:styleId="DocumentationTok">
    <w:name w:val="DocumentationTok"/>
    <w:basedOn w:val="VerbatimChar"/>
    <w:rPr>
      <w:rFonts w:ascii="Times New Roman" w:hAnsi="Times New Roman"/>
      <w:i/>
      <w:color w:val="ba2121"/>
      <w:sz w:val="24"/>
    </w:rPr>
  </w:style>
  <w:style w:type="character" w:customStyle="1" w:styleId="AnnotationTok">
    <w:name w:val="AnnotationTok"/>
    <w:basedOn w:val="VerbatimChar"/>
    <w:rPr>
      <w:rFonts w:ascii="Times New Roman" w:hAnsi="Times New Roman"/>
      <w:b/>
      <w:i/>
      <w:color w:val="60a0b0"/>
      <w:sz w:val="24"/>
    </w:rPr>
  </w:style>
  <w:style w:type="character" w:customStyle="1" w:styleId="CommentVarTok">
    <w:name w:val="CommentVarTok"/>
    <w:basedOn w:val="VerbatimChar"/>
    <w:rPr>
      <w:rFonts w:ascii="Times New Roman" w:hAnsi="Times New Roman"/>
      <w:b/>
      <w:i/>
      <w:color w:val="60a0b0"/>
      <w:sz w:val="24"/>
    </w:rPr>
  </w:style>
  <w:style w:type="character" w:customStyle="1" w:styleId="OtherTok">
    <w:name w:val="OtherTok"/>
    <w:basedOn w:val="VerbatimChar"/>
    <w:rPr>
      <w:rFonts w:ascii="Times New Roman" w:hAnsi="Times New Roman"/>
      <w:color w:val="007020"/>
      <w:sz w:val="24"/>
    </w:rPr>
  </w:style>
  <w:style w:type="character" w:customStyle="1" w:styleId="FunctionTok">
    <w:name w:val="FunctionTok"/>
    <w:basedOn w:val="VerbatimChar"/>
    <w:rPr>
      <w:rFonts w:ascii="Times New Roman" w:hAnsi="Times New Roman"/>
      <w:color w:val="06287e"/>
      <w:sz w:val="24"/>
    </w:rPr>
  </w:style>
  <w:style w:type="character" w:customStyle="1" w:styleId="VariableTok">
    <w:name w:val="VariableTok"/>
    <w:basedOn w:val="VerbatimChar"/>
    <w:rPr>
      <w:rFonts w:ascii="Times New Roman" w:hAnsi="Times New Roman"/>
      <w:color w:val="19177c"/>
      <w:sz w:val="24"/>
    </w:rPr>
  </w:style>
  <w:style w:type="character" w:customStyle="1" w:styleId="ControlFlowTok">
    <w:name w:val="ControlFlowTok"/>
    <w:basedOn w:val="VerbatimChar"/>
    <w:rPr>
      <w:rFonts w:ascii="Times New Roman" w:hAnsi="Times New Roman"/>
      <w:b/>
      <w:color w:val="007020"/>
      <w:sz w:val="24"/>
    </w:rPr>
  </w:style>
  <w:style w:type="character" w:customStyle="1" w:styleId="OperatorTok">
    <w:name w:val="OperatorTok"/>
    <w:basedOn w:val="VerbatimChar"/>
    <w:rPr>
      <w:rFonts w:ascii="Times New Roman" w:hAnsi="Times New Roman"/>
      <w:color w:val="666666"/>
      <w:sz w:val="24"/>
    </w:rPr>
  </w:style>
  <w:style w:type="character" w:customStyle="1" w:styleId="BuiltInTok">
    <w:name w:val="BuiltInTok"/>
    <w:basedOn w:val="VerbatimChar"/>
    <w:rPr>
      <w:rFonts w:ascii="Times New Roman" w:hAnsi="Times New Roman"/>
      <w:color w:val="008000"/>
      <w:sz w:val="24"/>
    </w:rPr>
  </w:style>
  <w:style w:type="character" w:customStyle="1" w:styleId="ExtensionTok">
    <w:name w:val="ExtensionTok"/>
    <w:basedOn w:val="VerbatimChar"/>
    <w:rPr>
      <w:rFonts w:ascii="Times New Roman" w:hAnsi="Times New Roman"/>
      <w:sz w:val="24"/>
    </w:rPr>
  </w:style>
  <w:style w:type="character" w:customStyle="1" w:styleId="PreprocessorTok">
    <w:name w:val="PreprocessorTok"/>
    <w:basedOn w:val="VerbatimChar"/>
    <w:rPr>
      <w:rFonts w:ascii="Times New Roman" w:hAnsi="Times New Roman"/>
      <w:color w:val="bc7a00"/>
      <w:sz w:val="24"/>
    </w:rPr>
  </w:style>
  <w:style w:type="character" w:customStyle="1" w:styleId="AttributeTok">
    <w:name w:val="AttributeTok"/>
    <w:basedOn w:val="VerbatimChar"/>
    <w:rPr>
      <w:rFonts w:ascii="Times New Roman" w:hAnsi="Times New Roman"/>
      <w:color w:val="7d9029"/>
      <w:sz w:val="24"/>
    </w:rPr>
  </w:style>
  <w:style w:type="character" w:customStyle="1" w:styleId="RegionMarkerTok">
    <w:name w:val="RegionMarkerTok"/>
    <w:basedOn w:val="VerbatimChar"/>
    <w:rPr>
      <w:rFonts w:ascii="Times New Roman" w:hAnsi="Times New Roman"/>
      <w:sz w:val="24"/>
    </w:rPr>
  </w:style>
  <w:style w:type="character" w:customStyle="1" w:styleId="InformationTok">
    <w:name w:val="InformationTok"/>
    <w:basedOn w:val="VerbatimChar"/>
    <w:rPr>
      <w:rFonts w:ascii="Times New Roman" w:hAnsi="Times New Roman"/>
      <w:b/>
      <w:i/>
      <w:color w:val="60a0b0"/>
      <w:sz w:val="24"/>
    </w:rPr>
  </w:style>
  <w:style w:type="character" w:customStyle="1" w:styleId="WarningTok">
    <w:name w:val="WarningTok"/>
    <w:basedOn w:val="VerbatimChar"/>
    <w:rPr>
      <w:rFonts w:ascii="Times New Roman" w:hAnsi="Times New Roman"/>
      <w:b/>
      <w:i/>
      <w:color w:val="60a0b0"/>
      <w:sz w:val="24"/>
    </w:rPr>
  </w:style>
  <w:style w:type="character" w:customStyle="1" w:styleId="AlertTok">
    <w:name w:val="AlertTok"/>
    <w:basedOn w:val="VerbatimChar"/>
    <w:rPr>
      <w:rFonts w:ascii="Times New Roman" w:hAnsi="Times New Roman"/>
      <w:b/>
      <w:color w:val="ff0000"/>
      <w:sz w:val="24"/>
    </w:rPr>
  </w:style>
  <w:style w:type="character" w:customStyle="1" w:styleId="ErrorTok">
    <w:name w:val="ErrorTok"/>
    <w:basedOn w:val="VerbatimChar"/>
    <w:rPr>
      <w:rFonts w:ascii="Times New Roman" w:hAnsi="Times New Roman"/>
      <w:b/>
      <w:color w:val="ff0000"/>
      <w:sz w:val="24"/>
    </w:rPr>
  </w:style>
  <w:style w:type="character" w:customStyle="1" w:styleId="NormalTok">
    <w:name w:val="NormalTok"/>
    <w:basedOn w:val="VerbatimChar"/>
    <w:rPr>
      <w:rFonts w:ascii="Times New Roman" w:hAnsi="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png"/><Relationship Id="rId48" Type="http://schemas.openxmlformats.org/officeDocument/2006/relationships/image" Target="media/rId48.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62" Type="http://schemas.openxmlformats.org/officeDocument/2006/relationships/image" Target="media/rId62.png"/><Relationship Id="rId65" Type="http://schemas.openxmlformats.org/officeDocument/2006/relationships/image" Target="media/rId65.png"/><Relationship Id="rId69" Type="http://schemas.openxmlformats.org/officeDocument/2006/relationships/image" Target="media/rId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NautiCost — Datadreven kostnadsestimering for yachthavneanløp i Skandinavia</dc:title>
  <dc:creator>Jørgen Rene</dc:creator>
  <cp:keywords/>
  <dcterms:created xsi:type="dcterms:W3CDTF">2026-05-25T11:49:19Z</dcterms:created>
  <dcterms:modified xsi:type="dcterms:W3CDTF">2026-05-25T11:49:19Z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ubtitle">
    <vt:lpwstr>LOG650 Forskningsprosjekt, vår 2026 — Gruppe 11, Jørgen Rene (individuell)</vt:lpwstr>
  </property>
</Properties>
</file>