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360" w:lineRule="auto"/>
      </w:pPr>
      <w:r>
        <w:rPr>
          <w:rFonts w:ascii="Times New Roman" w:hAnsi="Times New Roman" w:cs="Times New Roman" w:eastAsia="Times New Roman"/>
          <w:sz w:val="24"/>
        </w:rPr>
        <w:t xml:space="preserve">NautiCost — Datadreven kostnadsestimering for yachthavneanløp i Skandinavia</w:t>
      </w:r>
    </w:p>
    <w:p>
      <w:pPr>
        <w:pStyle w:val="Subtitle"/>
        <w:spacing w:line="360" w:lineRule="auto"/>
      </w:pPr>
      <w:r>
        <w:rPr>
          <w:rFonts w:ascii="Times New Roman" w:hAnsi="Times New Roman" w:cs="Times New Roman" w:eastAsia="Times New Roman"/>
          <w:sz w:val="24"/>
        </w:rPr>
        <w:t xml:space="preserve">LOG650 Forskningsprosjekt, vår 2026 — Gruppe 11, Jørgen Rene (individuell)</w:t>
      </w:r>
    </w:p>
    <w:p>
      <w:pPr>
        <w:pStyle w:val="Author"/>
        <w:spacing w:line="360" w:lineRule="auto"/>
      </w:pPr>
      <w:r>
        <w:rPr>
          <w:rFonts w:ascii="Times New Roman" w:hAnsi="Times New Roman" w:cs="Times New Roman" w:eastAsia="Times New Roman"/>
          <w:sz w:val="24"/>
        </w:rPr>
        <w:t xml:space="preserve">Jørgen Rene</w:t>
      </w:r>
    </w:p>
    <w:p>
      <w:pPr>
        <w:pStyle w:val="Date"/>
        <w:spacing w:line="360" w:lineRule="auto"/>
      </w:pPr>
      <w:r>
        <w:rPr>
          <w:rFonts w:ascii="Times New Roman" w:hAnsi="Times New Roman" w:cs="Times New Roman" w:eastAsia="Times New Roman"/>
          <w:sz w:val="24"/>
        </w:rPr>
        <w:t xml:space="preserve">2026-05-25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BlockText"/>
        <w:spacing w:line="360" w:lineRule="auto"/>
      </w:pPr>
      <w:r>
        <w:rPr>
          <w:rFonts w:ascii="Times New Roman" w:hAnsi="Times New Roman" w:cs="Times New Roman" w:eastAsia="Times New Roman"/>
          <w:b/>
          <w:bCs/>
          <w:sz w:val="24"/>
        </w:rPr>
        <w:t xml:space="preserve">Versjon 2.1 — 2026-05-25.</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Andre utkast. Endringer fra v1.1: navneretting (Renè → Rene), kapittel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nummerering ryddet, beskrivende figurtekster,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“Takk til”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og engelsk Abstract lagt til (jf. malen), bibliografi alfabetisk sortert (APA 7), Figur 7.6-caption rettet til ærlig gain-importance (jf. § 9.7), TNR 12 pt + 1,5 linjeavstand i Word.</w:t>
      </w:r>
    </w:p>
    <w:p>
      <w:pPr>
        <w:spacing w:line="360" w:lineRule="auto"/>
      </w:pPr>
      <w:r>
        <w:rPr>
          <w:rFonts w:ascii="Times New Roman" w:hAnsi="Times New Roman" w:cs="Times New Roman" w:eastAsia="Times New Roman"/>
          <w:sz w:val="24"/>
        </w:rPr>
        <w:pict>
          <v:rect style="width:0;height:1.5pt" o:hralign="center" o:hrstd="t" o:hr="t"/>
        </w:pict>
      </w:r>
    </w:p>
    <w:bookmarkStart w:id="9" w:name="sammendrag"/>
    <w:p>
      <w:pPr>
        <w:pStyle w:val="Heading2"/>
        <w:spacing w:line="360" w:lineRule="auto"/>
      </w:pPr>
      <w:r>
        <w:rPr>
          <w:rFonts w:ascii="Times New Roman" w:hAnsi="Times New Roman" w:cs="Times New Roman" w:eastAsia="Times New Roman"/>
          <w:sz w:val="24"/>
        </w:rPr>
        <w:t xml:space="preserve">Sammendrag</w:t>
      </w:r>
    </w:p>
    <w:p>
      <w:pPr>
        <w:pStyle w:val="FirstParagraph"/>
        <w:spacing w:line="360" w:lineRule="auto"/>
      </w:pPr>
      <w:r>
        <w:rPr>
          <w:rFonts w:ascii="Times New Roman" w:hAnsi="Times New Roman" w:cs="Times New Roman" w:eastAsia="Times New Roman"/>
          <w:sz w:val="24"/>
        </w:rPr>
        <w:t xml:space="preserve">NautiCost er et beslutningsstøtteverktøy som estimerer totalkostnaden for et superyachthavneanløp i Norge, Sverige eller Danmark før yachten ankommer. Verktøyet baserer seg på 1 647 historiske tjenestetransaksjoner (2020–2025) fra Yachting Operations, koblet mot 17 yachters spesifikasjoner. Metodevalget er pensum</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forankret (Pettersen &amp; Rekdal, 2026, tabell 1.1): gradient boosting + kryssvalidering + SHAP + hyperparameter</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tuning. Kostnaden modelleres på transaksjonsnivå med log-transformert mål og en LightGBM + CatBoost-ensemble. Prediksjoner aggregeres via portmaler og trafikkvekter, og kalibreres mot empiriske persentiler (P25/P50/P75) per (havn, størrelse). Kildedata er i EUR; frontend konverterer til NOK/DKK ved API-grensa. På valideringssettet (2024, n = 490) oppnår ensemblet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MAE = 17 350 EUR, wMAPE = 71,4 %</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20 % bedre enn median</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baseline. På det uavhengige testsettet (2025, n = 649) oppnår samme model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klasse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MAE = 19 051 EUR, wMAPE = 74,3 %</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 10 % degradering val→test, forventet etter seleksjon. Modellen er pakket som FastAPI + Next.js med svar</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tid under to sekunder.</w:t>
      </w:r>
    </w:p>
    <w:p>
      <w:pPr>
        <w:spacing w:line="360" w:lineRule="auto"/>
      </w:pPr>
      <w:r>
        <w:rPr>
          <w:rFonts w:ascii="Times New Roman" w:hAnsi="Times New Roman" w:cs="Times New Roman" w:eastAsia="Times New Roman"/>
          <w:sz w:val="24"/>
        </w:rPr>
        <w:pict>
          <v:rect style="width:0;height:1.5pt" o:hralign="center" o:hrstd="t" o:hr="t"/>
        </w:pict>
      </w:r>
    </w:p>
    <w:bookmarkEnd w:id="9"/>
    <w:bookmarkStart w:id="10" w:name="abstract"/>
    <w:p>
      <w:pPr>
        <w:pStyle w:val="Heading2"/>
        <w:spacing w:line="360" w:lineRule="auto"/>
      </w:pPr>
      <w:r>
        <w:rPr>
          <w:rFonts w:ascii="Times New Roman" w:hAnsi="Times New Roman" w:cs="Times New Roman" w:eastAsia="Times New Roman"/>
          <w:sz w:val="24"/>
        </w:rPr>
        <w:t xml:space="preserve">Abstract</w:t>
      </w:r>
    </w:p>
    <w:p>
      <w:pPr>
        <w:pStyle w:val="FirstParagraph"/>
        <w:spacing w:line="360" w:lineRule="auto"/>
      </w:pPr>
      <w:r>
        <w:rPr>
          <w:rFonts w:ascii="Times New Roman" w:hAnsi="Times New Roman" w:cs="Times New Roman" w:eastAsia="Times New Roman"/>
          <w:sz w:val="24"/>
        </w:rPr>
        <w:t xml:space="preserve">NautiCost is a pre-arrival decision-support tool that estimates the total cost of a super</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yacht port call in Norway, Sweden or Denmark. Trained on 1,647 service transactions (2020–2025) from Yachting Operations covering 17 yachts, it follows a curriculum-anchored methodology (Pettersen &amp; Rekdal, 2026, Table 1.1): gradient boosting, cross-validation, SHAP and hyper</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parameter tuning. Cost is modelled per transaction with a log-transformed target and a LightGBM + CatBoost ensemble, then aggregated via port templates and traffic weights, and calibrated against empirical P25/P50/P75 percentiles per (port, size). Source data are in EUR; the frontend converts to NOK/DKK at the API boundary. Validation (2024, n = 490):</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MAE = €17,350 / wMAPE = 71.4 %</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20 % better than median baseline. Hold-out test (2025, n = 649):</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MAE = €19,051 / wMAPE = 74.3 %</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a ≈ 10 % val→test degradation, as expected from model selection. Deployed as FastAPI + Next.js with sub-two-second response.</w:t>
      </w:r>
    </w:p>
    <w:p>
      <w:pPr>
        <w:spacing w:line="360" w:lineRule="auto"/>
      </w:pPr>
      <w:r>
        <w:rPr>
          <w:rFonts w:ascii="Times New Roman" w:hAnsi="Times New Roman" w:cs="Times New Roman" w:eastAsia="Times New Roman"/>
          <w:sz w:val="24"/>
        </w:rPr>
        <w:pict>
          <v:rect style="width:0;height:1.5pt" o:hralign="center" o:hrstd="t" o:hr="t"/>
        </w:pict>
      </w:r>
    </w:p>
    <w:bookmarkEnd w:id="10"/>
    <w:bookmarkStart w:id="11" w:name="takk-til"/>
    <w:p>
      <w:pPr>
        <w:pStyle w:val="Heading2"/>
        <w:spacing w:line="360" w:lineRule="auto"/>
      </w:pPr>
      <w:r>
        <w:rPr>
          <w:rFonts w:ascii="Times New Roman" w:hAnsi="Times New Roman" w:cs="Times New Roman" w:eastAsia="Times New Roman"/>
          <w:sz w:val="24"/>
        </w:rPr>
        <w:t xml:space="preserve">Takk til</w:t>
      </w:r>
    </w:p>
    <w:p>
      <w:pPr>
        <w:pStyle w:val="FirstParagraph"/>
        <w:spacing w:line="360" w:lineRule="auto"/>
      </w:pPr>
      <w:r>
        <w:rPr>
          <w:rFonts w:ascii="Times New Roman" w:hAnsi="Times New Roman" w:cs="Times New Roman" w:eastAsia="Times New Roman"/>
          <w:sz w:val="24"/>
        </w:rPr>
        <w:t xml:space="preserve">Denne rapporten er resultatet av et selvstendig prosjekt som har dratt nytte av flere bidragsytere. Først og fremst takk til</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Yachting Operations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å ha stilt 2020–2025-fakturadata og yacht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spesifikasjoner til disposisjon, og til</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agency manager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som tok seg tid til brukertesten i mai 2026 — funnene i § 9.5 hadde ikke vært mulige uten denne dialogen. Videre takk til foreleserne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Bjørn-Inge Pettersen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og</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Per Kristian Rekdal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kompendiet</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Kvantitative metoder i logistikk — implementert via KI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(2026) og for veiledning gjennom semesteret; metodevalget i NautiCost er direkte forankret i deres rammeverk (§ 2.2 og § 5.0). Takk også til medstudent i Gruppe 10 (Julie) for grundig peer-review 2026-05-07, hvis innspill er sporet og lukket i § 9.7.</w:t>
      </w:r>
    </w:p>
    <w:p>
      <w:pPr>
        <w:pStyle w:val="BodyText"/>
        <w:spacing w:line="360" w:lineRule="auto"/>
      </w:pPr>
      <w:r>
        <w:rPr>
          <w:rFonts w:ascii="Times New Roman" w:hAnsi="Times New Roman" w:cs="Times New Roman" w:eastAsia="Times New Roman"/>
          <w:sz w:val="24"/>
        </w:rPr>
        <w:t xml:space="preserve">Til slutt en åpen merknad om AI-bruk: deler av koden, figurene og rapport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teksten er utviklet i samarbeid med</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Anthropic Claude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(Claude Code i terminal), i tråd med høgskolens retningslinjer om transparent KI-bruk. Alle resultat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tall er likevel verifisert mot kildedata og reproduserbare via skriptene i</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013 fase 3 - review/</w:t>
      </w:r>
      <w:r>
        <w:rPr>
          <w:rFonts w:ascii="Times New Roman" w:hAnsi="Times New Roman" w:cs="Times New Roman" w:eastAsia="Times New Roman"/>
          <w:sz w:val="24"/>
        </w:rPr>
        <w:t xml:space="preserve">.</w:t>
      </w:r>
    </w:p>
    <w:p>
      <w:pPr>
        <w:spacing w:line="360" w:lineRule="auto"/>
      </w:pPr>
      <w:r>
        <w:rPr>
          <w:rFonts w:ascii="Times New Roman" w:hAnsi="Times New Roman" w:cs="Times New Roman" w:eastAsia="Times New Roman"/>
          <w:sz w:val="24"/>
        </w:rPr>
        <w:pict>
          <v:rect style="width:0;height:1.5pt" o:hralign="center" o:hrstd="t" o:hr="t"/>
        </w:pict>
      </w:r>
    </w:p>
    <w:bookmarkEnd w:id="11"/>
    <w:bookmarkStart w:id="17" w:name="innledning"/>
    <w:p>
      <w:pPr>
        <w:pStyle w:val="Heading2"/>
        <w:spacing w:line="360" w:lineRule="auto"/>
      </w:pPr>
      <w:r>
        <w:rPr>
          <w:rFonts w:ascii="Times New Roman" w:hAnsi="Times New Roman" w:cs="Times New Roman" w:eastAsia="Times New Roman"/>
          <w:sz w:val="24"/>
        </w:rPr>
        <w:t xml:space="preserve">1. Innledning</w:t>
      </w:r>
    </w:p>
    <w:p>
      <w:pPr>
        <w:pStyle w:val="FirstParagraph"/>
        <w:spacing w:line="360" w:lineRule="auto"/>
      </w:pPr>
      <w:r>
        <w:rPr>
          <w:rFonts w:ascii="Times New Roman" w:hAnsi="Times New Roman" w:cs="Times New Roman" w:eastAsia="Times New Roman"/>
          <w:sz w:val="24"/>
        </w:rPr>
        <w:t xml:space="preserve">Internasjonale superyachter genererer betydelige tjeneste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inntekter for skandinaviske havneagenter, men kostnadsbildet ved et havneanløp er komplekst: ett anløp består typisk av 5–40 separate transaksjoner fordelt på havneavgift, los, hospitality, proviant, agenttjenester og bunkers. I dag estimeres totalkost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naden manuelt av agent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koordinator basert på erfaring og oppslag i tidligere fakturaer, hvilket er tidkrevende og inkonsistent. Resultatet er at yachteiere ofte mottar grove anslag som senere må justeres.</w:t>
      </w:r>
    </w:p>
    <w:p>
      <w:pPr>
        <w:pStyle w:val="BodyText"/>
        <w:spacing w:line="360" w:lineRule="auto"/>
      </w:pPr>
      <w:r>
        <w:rPr>
          <w:rFonts w:ascii="Times New Roman" w:hAnsi="Times New Roman" w:cs="Times New Roman" w:eastAsia="Times New Roman"/>
          <w:sz w:val="24"/>
        </w:rPr>
        <w:t xml:space="preserve">Dette prosjektet utvikler et datadrevet estimerings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verktøy —</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NautiCost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som tar inn en yachts spesifikasjoner og en tenkt reise (land, måned, oppholdslengde, drivstoff</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nivå) og returnerer en totalpris fordelt på tjeneste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kategori, sammen med et historisk kostnadsspenn (P25–P75) for konteksten anløpet hører til.</w:t>
      </w:r>
    </w:p>
    <w:bookmarkStart w:id="12" w:name="problemstilling"/>
    <w:p>
      <w:pPr>
        <w:pStyle w:val="Heading3"/>
        <w:spacing w:line="360" w:lineRule="auto"/>
      </w:pPr>
      <w:r>
        <w:rPr>
          <w:rFonts w:ascii="Times New Roman" w:hAnsi="Times New Roman" w:cs="Times New Roman" w:eastAsia="Times New Roman"/>
          <w:sz w:val="24"/>
        </w:rPr>
        <w:t xml:space="preserve">1.1 Problemstilling</w:t>
      </w:r>
    </w:p>
    <w:p>
      <w:pPr>
        <w:pStyle w:val="BlockText"/>
        <w:spacing w:line="360" w:lineRule="auto"/>
      </w:pPr>
      <w:r>
        <w:rPr>
          <w:rFonts w:ascii="Times New Roman" w:hAnsi="Times New Roman" w:cs="Times New Roman" w:eastAsia="Times New Roman"/>
          <w:b/>
          <w:bCs/>
          <w:sz w:val="24"/>
        </w:rPr>
        <w:t xml:space="preserve">Hovedspørsmål: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Hvor presist og forklarbart kan total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kostnaden for et superyachthavne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anløp i Skandinavia estimeres ut fra yacht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spesifikasjoner, destinasjon og sesong, basert på historiske transaksjons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data?</w:t>
      </w:r>
    </w:p>
    <w:bookmarkEnd w:id="12"/>
    <w:bookmarkStart w:id="13" w:name="delproblemer"/>
    <w:p>
      <w:pPr>
        <w:pStyle w:val="Heading3"/>
        <w:spacing w:line="360" w:lineRule="auto"/>
      </w:pPr>
      <w:r>
        <w:rPr>
          <w:rFonts w:ascii="Times New Roman" w:hAnsi="Times New Roman" w:cs="Times New Roman" w:eastAsia="Times New Roman"/>
          <w:sz w:val="24"/>
        </w:rPr>
        <w:t xml:space="preserve">1.2 Delproblemer</w:t>
      </w:r>
    </w:p>
    <w:p>
      <w:pPr>
        <w:pStyle w:val="Compact"/>
        <w:numPr>
          <w:ilvl w:val="0"/>
          <w:numId w:val="1001"/>
        </w:numPr>
        <w:spacing w:line="360" w:lineRule="auto"/>
      </w:pPr>
      <w:r>
        <w:rPr>
          <w:rFonts w:ascii="Times New Roman" w:hAnsi="Times New Roman" w:cs="Times New Roman" w:eastAsia="Times New Roman"/>
          <w:b/>
          <w:bCs/>
          <w:sz w:val="24"/>
        </w:rPr>
        <w:t xml:space="preserve">DP1 — Datagrunnlag.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Hvilke variabler i Yachting Operations sine fakturaer og kjøpsord</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re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data har størst forklarings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kraft for kostnaden per transaksjon?</w:t>
      </w:r>
    </w:p>
    <w:p>
      <w:pPr>
        <w:pStyle w:val="Compact"/>
        <w:numPr>
          <w:ilvl w:val="0"/>
          <w:numId w:val="1001"/>
        </w:numPr>
        <w:spacing w:line="360" w:lineRule="auto"/>
      </w:pPr>
      <w:r>
        <w:rPr>
          <w:rFonts w:ascii="Times New Roman" w:hAnsi="Times New Roman" w:cs="Times New Roman" w:eastAsia="Times New Roman"/>
          <w:b/>
          <w:bCs/>
          <w:sz w:val="24"/>
        </w:rPr>
        <w:t xml:space="preserve">DP2 — Modell.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Hvilken læringsmodell gir lavest prognosefeil (MAE/RMSE) på et tids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basert testsett, gitt en sterkt høyreskjev kostnadsfordeling?</w:t>
      </w:r>
    </w:p>
    <w:p>
      <w:pPr>
        <w:pStyle w:val="Compact"/>
        <w:numPr>
          <w:ilvl w:val="0"/>
          <w:numId w:val="1001"/>
        </w:numPr>
        <w:spacing w:line="360" w:lineRule="auto"/>
      </w:pPr>
      <w:r>
        <w:rPr>
          <w:rFonts w:ascii="Times New Roman" w:hAnsi="Times New Roman" w:cs="Times New Roman" w:eastAsia="Times New Roman"/>
          <w:b/>
          <w:bCs/>
          <w:sz w:val="24"/>
        </w:rPr>
        <w:t xml:space="preserve">DP3 — Kalibrering.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Hvordan kan en transaksjons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modell aggregeres til realistiske totalkost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nader per havneanløp, og kalibreres mot historiske persentiler slik at estimatene blir konservative?</w:t>
      </w:r>
    </w:p>
    <w:p>
      <w:pPr>
        <w:pStyle w:val="Compact"/>
        <w:numPr>
          <w:ilvl w:val="0"/>
          <w:numId w:val="1001"/>
        </w:numPr>
        <w:spacing w:line="360" w:lineRule="auto"/>
      </w:pPr>
      <w:r>
        <w:rPr>
          <w:rFonts w:ascii="Times New Roman" w:hAnsi="Times New Roman" w:cs="Times New Roman" w:eastAsia="Times New Roman"/>
          <w:b/>
          <w:bCs/>
          <w:sz w:val="24"/>
        </w:rPr>
        <w:t xml:space="preserve">DP4 — Usikkerhet.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Hvordan kan estimatets usikkerhet kommuniseres til agent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koordinator, slik at sluttkunden får et realistisk spenn og ikke et villedende punkt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estimat?</w:t>
      </w:r>
    </w:p>
    <w:p>
      <w:pPr>
        <w:pStyle w:val="Compact"/>
        <w:numPr>
          <w:ilvl w:val="0"/>
          <w:numId w:val="1001"/>
        </w:numPr>
        <w:spacing w:line="360" w:lineRule="auto"/>
      </w:pPr>
      <w:r>
        <w:rPr>
          <w:rFonts w:ascii="Times New Roman" w:hAnsi="Times New Roman" w:cs="Times New Roman" w:eastAsia="Times New Roman"/>
          <w:b/>
          <w:bCs/>
          <w:sz w:val="24"/>
        </w:rPr>
        <w:t xml:space="preserve">DP5 — Operasjonalisering.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Hvordan kan modellen pakkes inn i en lett til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gjengelig web-tjeneste som svarer innen to sekunder?</w:t>
      </w:r>
    </w:p>
    <w:bookmarkEnd w:id="13"/>
    <w:bookmarkStart w:id="14" w:name="avgrensninger"/>
    <w:p>
      <w:pPr>
        <w:pStyle w:val="Heading3"/>
        <w:spacing w:line="360" w:lineRule="auto"/>
      </w:pPr>
      <w:r>
        <w:rPr>
          <w:rFonts w:ascii="Times New Roman" w:hAnsi="Times New Roman" w:cs="Times New Roman" w:eastAsia="Times New Roman"/>
          <w:sz w:val="24"/>
        </w:rPr>
        <w:t xml:space="preserve">1.3 Avgrensninger</w:t>
      </w:r>
    </w:p>
    <w:p>
      <w:pPr>
        <w:pStyle w:val="Compact"/>
        <w:numPr>
          <w:ilvl w:val="0"/>
          <w:numId w:val="1002"/>
        </w:numPr>
        <w:spacing w:line="360" w:lineRule="auto"/>
      </w:pPr>
      <w:r>
        <w:rPr>
          <w:rFonts w:ascii="Times New Roman" w:hAnsi="Times New Roman" w:cs="Times New Roman" w:eastAsia="Times New Roman"/>
          <w:b/>
          <w:bCs/>
          <w:sz w:val="24"/>
        </w:rPr>
        <w:t xml:space="preserve">Geografi: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Kun Norge, Sverige og Danmark. 12 havner totalt: Bergen, Tromsø, Svolvær, Ålesund, Kristiansand, Stavanger (NO); Stockholm, Göteborg, Malmö (SE); København, Esbjerg, Fredericia (DK).</w:t>
      </w:r>
    </w:p>
    <w:p>
      <w:pPr>
        <w:pStyle w:val="Compact"/>
        <w:numPr>
          <w:ilvl w:val="0"/>
          <w:numId w:val="1002"/>
        </w:numPr>
        <w:spacing w:line="360" w:lineRule="auto"/>
      </w:pPr>
      <w:r>
        <w:rPr>
          <w:rFonts w:ascii="Times New Roman" w:hAnsi="Times New Roman" w:cs="Times New Roman" w:eastAsia="Times New Roman"/>
          <w:b/>
          <w:bCs/>
          <w:sz w:val="24"/>
        </w:rPr>
        <w:t xml:space="preserve">Periode: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Treningsdata fra perioden 2020–2025. Eldre data er utelatt grunnet endrede tjeneste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kategorier og prisnivå.</w:t>
      </w:r>
    </w:p>
    <w:p>
      <w:pPr>
        <w:pStyle w:val="Compact"/>
        <w:numPr>
          <w:ilvl w:val="0"/>
          <w:numId w:val="1002"/>
        </w:numPr>
        <w:spacing w:line="360" w:lineRule="auto"/>
      </w:pPr>
      <w:r>
        <w:rPr>
          <w:rFonts w:ascii="Times New Roman" w:hAnsi="Times New Roman" w:cs="Times New Roman" w:eastAsia="Times New Roman"/>
          <w:b/>
          <w:bCs/>
          <w:sz w:val="24"/>
        </w:rPr>
        <w:t xml:space="preserve">Yachtklasse: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Modellen er trent på 17 superyachter med GT i intervallet 51,9–2 407 (median 152 GT, LOA 18,9–79,2 m). Ekstrapolering til langt mindre eller langt større fartøy er ikke validert.</w:t>
      </w:r>
    </w:p>
    <w:p>
      <w:pPr>
        <w:pStyle w:val="Compact"/>
        <w:numPr>
          <w:ilvl w:val="0"/>
          <w:numId w:val="1002"/>
        </w:numPr>
        <w:spacing w:line="360" w:lineRule="auto"/>
      </w:pPr>
      <w:r>
        <w:rPr>
          <w:rFonts w:ascii="Times New Roman" w:hAnsi="Times New Roman" w:cs="Times New Roman" w:eastAsia="Times New Roman"/>
          <w:b/>
          <w:bCs/>
          <w:sz w:val="24"/>
        </w:rPr>
        <w:t xml:space="preserve">Valuta: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Kildedata fra Yachting Operations er denominert i</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EUR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cockpit-rapportene (</w:t>
      </w:r>
      <w:r>
        <w:rPr>
          <w:rStyle w:val="VerbatimChar"/>
          <w:rFonts w:ascii="Times New Roman" w:hAnsi="Times New Roman" w:cs="Times New Roman" w:eastAsia="Times New Roman"/>
          <w:sz w:val="24"/>
        </w:rPr>
        <w:t xml:space="preserve">004 data/cockpit_2020.csv</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til</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cockpit_2025.csv</w:t>
      </w:r>
      <w:r>
        <w:rPr>
          <w:rFonts w:ascii="Times New Roman" w:hAnsi="Times New Roman" w:cs="Times New Roman" w:eastAsia="Times New Roman"/>
          <w:sz w:val="24"/>
        </w:rPr>
        <w:t xml:space="preserve">) har eksplisitte EUR-kolonneoverskrifter, og fakturabeløpene i</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costs_clean.csv</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Style w:val="VerbatimChar"/>
          <w:rFonts w:ascii="Times New Roman" w:hAnsi="Times New Roman" w:cs="Times New Roman" w:eastAsia="Times New Roman"/>
          <w:sz w:val="24"/>
        </w:rPr>
        <w:t xml:space="preserve">final_charge</w:t>
      </w:r>
      <w:r>
        <w:rPr>
          <w:rFonts w:ascii="Times New Roman" w:hAnsi="Times New Roman" w:cs="Times New Roman" w:eastAsia="Times New Roman"/>
          <w:sz w:val="24"/>
        </w:rPr>
        <w:t xml:space="preserve">) ligger i EUR-størrelses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orden (typisk 1 000–10 000 EUR per transaksjon for et superyacht-anløp). Modellen er derfor trent og rapporteres i EUR. Frontend konverterer til NOK eller DKK ved API-grensa via konstantene i</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EXCHANGE_RATES_FROM_EUR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(kurs mai 2026: EUR/NOK ≈ 11,50, EUR/DKK = 7,46 — DKK er fastlåst mot EUR via ERM II). Konstantene oppdateres mot ECBs referansekurs ved behov og introduserer en ekstra usikkerhets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kilde for NOK-rapporterte tall (jf. § 9.5). Inflasjonsjustering er ikke gjennomført.</w:t>
      </w:r>
    </w:p>
    <w:p>
      <w:pPr>
        <w:pStyle w:val="Compact"/>
        <w:numPr>
          <w:ilvl w:val="0"/>
          <w:numId w:val="1002"/>
        </w:numPr>
        <w:spacing w:line="360" w:lineRule="auto"/>
      </w:pPr>
      <w:r>
        <w:rPr>
          <w:rFonts w:ascii="Times New Roman" w:hAnsi="Times New Roman" w:cs="Times New Roman" w:eastAsia="Times New Roman"/>
          <w:b/>
          <w:bCs/>
          <w:sz w:val="24"/>
        </w:rPr>
        <w:t xml:space="preserve">Forretningsmål: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Verktøyet gir kostnads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estimater og ikke pristilbud. Marginer, valutarisiko og kontrakts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vilkår er ikke en del av leveransen.</w:t>
      </w:r>
    </w:p>
    <w:bookmarkEnd w:id="14"/>
    <w:bookmarkStart w:id="15" w:name="antakelser"/>
    <w:p>
      <w:pPr>
        <w:pStyle w:val="Heading3"/>
        <w:spacing w:line="360" w:lineRule="auto"/>
      </w:pPr>
      <w:r>
        <w:rPr>
          <w:rFonts w:ascii="Times New Roman" w:hAnsi="Times New Roman" w:cs="Times New Roman" w:eastAsia="Times New Roman"/>
          <w:sz w:val="24"/>
        </w:rPr>
        <w:t xml:space="preserve">1.4 Antakelser</w:t>
      </w:r>
    </w:p>
    <w:p>
      <w:pPr>
        <w:pStyle w:val="Compact"/>
        <w:numPr>
          <w:ilvl w:val="0"/>
          <w:numId w:val="1003"/>
        </w:numPr>
        <w:spacing w:line="360" w:lineRule="auto"/>
      </w:pPr>
      <w:r>
        <w:rPr>
          <w:rFonts w:ascii="Times New Roman" w:hAnsi="Times New Roman" w:cs="Times New Roman" w:eastAsia="Times New Roman"/>
          <w:b/>
          <w:bCs/>
          <w:sz w:val="24"/>
        </w:rPr>
        <w:t xml:space="preserve">A1.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Historisk tjenestesammensetning per havn (fanget i</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PORT_TEMPLATES</w:t>
      </w:r>
      <w:r>
        <w:rPr>
          <w:rFonts w:ascii="Times New Roman" w:hAnsi="Times New Roman" w:cs="Times New Roman" w:eastAsia="Times New Roman"/>
          <w:sz w:val="24"/>
        </w:rPr>
        <w:t xml:space="preserve">) er stabil i prediksjons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horisonten 0–12 måneder.</w:t>
      </w:r>
    </w:p>
    <w:p>
      <w:pPr>
        <w:pStyle w:val="Compact"/>
        <w:numPr>
          <w:ilvl w:val="0"/>
          <w:numId w:val="1003"/>
        </w:numPr>
        <w:spacing w:line="360" w:lineRule="auto"/>
      </w:pPr>
      <w:r>
        <w:rPr>
          <w:rFonts w:ascii="Times New Roman" w:hAnsi="Times New Roman" w:cs="Times New Roman" w:eastAsia="Times New Roman"/>
          <w:b/>
          <w:bCs/>
          <w:sz w:val="24"/>
        </w:rPr>
        <w:t xml:space="preserve">A2.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Trafikkvektene per havn (antall historiske anløp) er en rimelig proxy for fordeling av framtidige anløp i samme land.</w:t>
      </w:r>
    </w:p>
    <w:p>
      <w:pPr>
        <w:pStyle w:val="Compact"/>
        <w:numPr>
          <w:ilvl w:val="0"/>
          <w:numId w:val="1003"/>
        </w:numPr>
        <w:spacing w:line="360" w:lineRule="auto"/>
      </w:pPr>
      <w:r>
        <w:rPr>
          <w:rFonts w:ascii="Times New Roman" w:hAnsi="Times New Roman" w:cs="Times New Roman" w:eastAsia="Times New Roman"/>
          <w:b/>
          <w:bCs/>
          <w:sz w:val="24"/>
        </w:rPr>
        <w:t xml:space="preserve">A3.</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Faktura</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beløp i datasettet er korrekt registrert i</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final_charge</w:t>
      </w:r>
      <w:r>
        <w:rPr>
          <w:rFonts w:ascii="Times New Roman" w:hAnsi="Times New Roman" w:cs="Times New Roman" w:eastAsia="Times New Roman"/>
          <w:sz w:val="24"/>
        </w:rPr>
        <w:t xml:space="preserve">-feltet, og rader uten gyldig pris (</w:t>
      </w:r>
      <w:r>
        <w:rPr>
          <w:rStyle w:val="VerbatimChar"/>
          <w:rFonts w:ascii="Times New Roman" w:hAnsi="Times New Roman" w:cs="Times New Roman" w:eastAsia="Times New Roman"/>
          <w:sz w:val="24"/>
        </w:rPr>
        <w:t xml:space="preserve">final_charge ≤ 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eller manglende) er feil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registreringer som kan fjernes uten å skape skjevhet.</w:t>
      </w:r>
    </w:p>
    <w:p>
      <w:pPr>
        <w:pStyle w:val="Compact"/>
        <w:numPr>
          <w:ilvl w:val="0"/>
          <w:numId w:val="1003"/>
        </w:numPr>
        <w:spacing w:line="360" w:lineRule="auto"/>
      </w:pPr>
      <w:r>
        <w:rPr>
          <w:rFonts w:ascii="Times New Roman" w:hAnsi="Times New Roman" w:cs="Times New Roman" w:eastAsia="Times New Roman"/>
          <w:b/>
          <w:bCs/>
          <w:sz w:val="24"/>
        </w:rPr>
        <w:t xml:space="preserve">A4.</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En log-transformasjon på kostnaden gir en tilstrekkelig symmetrisk feilfordeling til at MAE/RMSE-baserte modeller fungerer godt.</w:t>
      </w:r>
    </w:p>
    <w:bookmarkEnd w:id="15"/>
    <w:bookmarkStart w:id="16" w:name="akademisk-bidrag"/>
    <w:p>
      <w:pPr>
        <w:pStyle w:val="Heading3"/>
        <w:spacing w:line="360" w:lineRule="auto"/>
      </w:pPr>
      <w:r>
        <w:rPr>
          <w:rFonts w:ascii="Times New Roman" w:hAnsi="Times New Roman" w:cs="Times New Roman" w:eastAsia="Times New Roman"/>
          <w:sz w:val="24"/>
        </w:rPr>
        <w:t xml:space="preserve">1.5 Akademisk bidrag</w:t>
      </w:r>
    </w:p>
    <w:p>
      <w:pPr>
        <w:pStyle w:val="FirstParagraph"/>
        <w:spacing w:line="360" w:lineRule="auto"/>
      </w:pPr>
      <w:r>
        <w:rPr>
          <w:rFonts w:ascii="Times New Roman" w:hAnsi="Times New Roman" w:cs="Times New Roman" w:eastAsia="Times New Roman"/>
          <w:sz w:val="24"/>
        </w:rPr>
        <w:t xml:space="preserve">Studien adresserer tre hull i litteraturen (jf. § 2.4):</w:t>
      </w:r>
    </w:p>
    <w:p>
      <w:pPr>
        <w:pStyle w:val="Compact"/>
        <w:numPr>
          <w:ilvl w:val="0"/>
          <w:numId w:val="1004"/>
        </w:numPr>
        <w:spacing w:line="360" w:lineRule="auto"/>
      </w:pPr>
      <w:r>
        <w:rPr>
          <w:rFonts w:ascii="Times New Roman" w:hAnsi="Times New Roman" w:cs="Times New Roman" w:eastAsia="Times New Roman"/>
          <w:b/>
          <w:bCs/>
          <w:sz w:val="24"/>
        </w:rPr>
        <w:t xml:space="preserve">Transaksjonsnivå-aggregering med empirisk persentil</w:t>
      </w:r>
      <w:r>
        <w:rPr>
          <w:rFonts w:ascii="Times New Roman" w:hAnsi="Times New Roman" w:cs="Times New Roman" w:eastAsia="Times New Roman"/>
          <w:b/>
          <w:bCs/>
          <w:sz w:val="24"/>
        </w:rPr>
        <w:softHyphen/>
      </w:r>
      <w:r>
        <w:rPr>
          <w:rFonts w:ascii="Times New Roman" w:hAnsi="Times New Roman" w:cs="Times New Roman" w:eastAsia="Times New Roman"/>
          <w:b/>
          <w:bCs/>
          <w:sz w:val="24"/>
        </w:rPr>
        <w:t xml:space="preserve">kalibrering.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Eksisterende studier (Jang et al., 2023; Su et al., 2024) modellerer én totalkostnad per reise; havne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effektivitets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studier (Jahangard et al., 2025) modellerer aggregat på havne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nivå. Ingen fanger den sammensatte tjeneste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miksen per yacht-anløp (5–40 transaksjoner over syv kategorier). Bidraget er en transaksjonsnivå-ensemble med trafikkvektet aggregering og hybrid persentil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kalibrering i et lite, høyt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skjevt regime.</w:t>
      </w:r>
    </w:p>
    <w:p>
      <w:pPr>
        <w:pStyle w:val="Compact"/>
        <w:numPr>
          <w:ilvl w:val="0"/>
          <w:numId w:val="1004"/>
        </w:numPr>
        <w:spacing w:line="360" w:lineRule="auto"/>
      </w:pPr>
      <w:r>
        <w:rPr>
          <w:rFonts w:ascii="Times New Roman" w:hAnsi="Times New Roman" w:cs="Times New Roman" w:eastAsia="Times New Roman"/>
          <w:b/>
          <w:bCs/>
          <w:sz w:val="24"/>
        </w:rPr>
        <w:t xml:space="preserve">Distribusjonsfri usikkerhet under skjult heterogenitet.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CQR (Romano et al., 2019) er teoretisk etablert, men sjelden anvendt der en sentral kostnads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driver er</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u</w:t>
      </w:r>
      <w:r>
        <w:rPr>
          <w:rFonts w:ascii="Times New Roman" w:hAnsi="Times New Roman" w:cs="Times New Roman" w:eastAsia="Times New Roman"/>
          <w:i/>
          <w:iCs/>
          <w:sz w:val="24"/>
        </w:rPr>
        <w:softHyphen/>
      </w:r>
      <w:r>
        <w:rPr>
          <w:rFonts w:ascii="Times New Roman" w:hAnsi="Times New Roman" w:cs="Times New Roman" w:eastAsia="Times New Roman"/>
          <w:i/>
          <w:iCs/>
          <w:sz w:val="24"/>
        </w:rPr>
        <w:t xml:space="preserve">observerbar</w:t>
      </w:r>
      <w:r>
        <w:rPr>
          <w:rFonts w:ascii="Times New Roman" w:hAnsi="Times New Roman" w:cs="Times New Roman" w:eastAsia="Times New Roman"/>
          <w:sz w:val="24"/>
        </w:rPr>
        <w:t xml:space="preserve">. Vi dokumenterer empirisk hva CQR oppnår</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gitt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korrekt spesifisert kvantil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modell, og hvor den ikke kompenserer for manglende feature (gjeste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profil for Provisions) — et bidrag til debatten om marginal vs. betinget dekning i anvendte regimer.</w:t>
      </w:r>
    </w:p>
    <w:p>
      <w:pPr>
        <w:pStyle w:val="Compact"/>
        <w:numPr>
          <w:ilvl w:val="0"/>
          <w:numId w:val="1004"/>
        </w:numPr>
        <w:spacing w:line="360" w:lineRule="auto"/>
      </w:pPr>
      <w:r>
        <w:rPr>
          <w:rFonts w:ascii="Times New Roman" w:hAnsi="Times New Roman" w:cs="Times New Roman" w:eastAsia="Times New Roman"/>
          <w:b/>
          <w:bCs/>
          <w:sz w:val="24"/>
        </w:rPr>
        <w:t xml:space="preserve">Mønster for hybride ML + regulatoriske/deterministiske kostnader.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Brukertest (§ 9.5) avdekket at rene datadrevne modeller feiler systematisk for regulatoriske krav (los &gt; 70 m LOA) og deterministiske fysiske størrelser (drivstoff = distanse/fart × forbruk × pris). Vårt mønster — feature-utvidelse + obligatoriske inputs + deterministiske formler — er relevant utover maritim sektor.</w:t>
      </w:r>
    </w:p>
    <w:p>
      <w:pPr>
        <w:spacing w:line="360" w:lineRule="auto"/>
      </w:pPr>
      <w:r>
        <w:rPr>
          <w:rFonts w:ascii="Times New Roman" w:hAnsi="Times New Roman" w:cs="Times New Roman" w:eastAsia="Times New Roman"/>
          <w:sz w:val="24"/>
        </w:rPr>
        <w:pict>
          <v:rect style="width:0;height:1.5pt" o:hralign="center" o:hrstd="t" o:hr="t"/>
        </w:pict>
      </w:r>
    </w:p>
    <w:bookmarkEnd w:id="16"/>
    <w:bookmarkEnd w:id="17"/>
    <w:bookmarkStart w:id="22" w:name="litteratur"/>
    <w:p>
      <w:pPr>
        <w:pStyle w:val="Heading2"/>
        <w:spacing w:line="360" w:lineRule="auto"/>
      </w:pPr>
      <w:r>
        <w:rPr>
          <w:rFonts w:ascii="Times New Roman" w:hAnsi="Times New Roman" w:cs="Times New Roman" w:eastAsia="Times New Roman"/>
          <w:sz w:val="24"/>
        </w:rPr>
        <w:t xml:space="preserve">2. Litteratur</w:t>
      </w:r>
    </w:p>
    <w:p>
      <w:pPr>
        <w:pStyle w:val="FirstParagraph"/>
        <w:spacing w:line="360" w:lineRule="auto"/>
      </w:pPr>
      <w:r>
        <w:rPr>
          <w:rFonts w:ascii="Times New Roman" w:hAnsi="Times New Roman" w:cs="Times New Roman" w:eastAsia="Times New Roman"/>
          <w:sz w:val="24"/>
        </w:rPr>
        <w:t xml:space="preserve">Denne litteraturgjennomgangen dekker tre tråder som er sentrale for NautiCost: (1) maskinlæring for kostnads- og rateprognoser i maritim logistikk, (2) gradient boosting på tabulære data, og (3) usikkerhetskvantifisering med kvantilregresjon og konform prediksjon.</w:t>
      </w:r>
    </w:p>
    <w:bookmarkStart w:id="18" w:name="X7c64d5c69e8be4aa342d1f5b50a96f4760fe6ea"/>
    <w:p>
      <w:pPr>
        <w:pStyle w:val="Heading3"/>
        <w:spacing w:line="360" w:lineRule="auto"/>
      </w:pPr>
      <w:r>
        <w:rPr>
          <w:rFonts w:ascii="Times New Roman" w:hAnsi="Times New Roman" w:cs="Times New Roman" w:eastAsia="Times New Roman"/>
          <w:sz w:val="24"/>
        </w:rPr>
        <w:t xml:space="preserve">2.1 Maskinlæring for kostnadsprediksjon i transport og logistikk</w:t>
      </w:r>
    </w:p>
    <w:p>
      <w:pPr>
        <w:pStyle w:val="FirstParagraph"/>
        <w:spacing w:line="360" w:lineRule="auto"/>
      </w:pPr>
      <w:r>
        <w:rPr>
          <w:rFonts w:ascii="Times New Roman" w:hAnsi="Times New Roman" w:cs="Times New Roman" w:eastAsia="Times New Roman"/>
          <w:sz w:val="24"/>
        </w:rPr>
        <w:t xml:space="preserve">Bruk av maskinlæring for å predikere kostnader og rater i transport har fått økende oppmerksomhet. Jang et al. (2023) utviklet en fraktkostnadsprediksjon for en lastebilfrakt-plattform og sammenlignet multippel lineær regresjon, DNN, XGBoost og LightGBM. LightGBM ga best prediktiv ytelse i deres oppsett, og studien understreker at heterogene tabulære data med kategoriske variabler (rute, lasttype, sesong) egner seg bedre for trebaserte modeller enn for dype nevrale nett.</w:t>
      </w:r>
    </w:p>
    <w:p>
      <w:pPr>
        <w:pStyle w:val="BodyText"/>
        <w:spacing w:line="360" w:lineRule="auto"/>
      </w:pPr>
      <w:r>
        <w:rPr>
          <w:rFonts w:ascii="Times New Roman" w:hAnsi="Times New Roman" w:cs="Times New Roman" w:eastAsia="Times New Roman"/>
          <w:sz w:val="24"/>
        </w:rPr>
        <w:t xml:space="preserve">Innen maritim sektor har Su et al. (2024) brukt maskinlæring for å predikere drivstoffkostnader for ro-ro-skip, der gradient boosting utkonkurrerte lineære modeller. Jahangard et al. (2025) demonstrerte at ML-modeller som Random Forest og Gradient Boosting forbedrer havneeffektivitet og turnaround-prediksjoner. Et fellestrekk på tvers av disse studiene er at tabulære driftsdata med en blanding av numeriske og kategoriske variabler håndteres effektivt av treensembler, og at modellprestasjon målt i absolutte feilmetrikker (MAE) er den mest operasjonelt relevante evalueringen. Hvordan våre egne resultater forholder seg til disse funnene drøftes i § 9.</w:t>
      </w:r>
    </w:p>
    <w:p>
      <w:pPr>
        <w:pStyle w:val="BodyText"/>
        <w:spacing w:line="360" w:lineRule="auto"/>
      </w:pPr>
      <w:r>
        <w:rPr>
          <w:rFonts w:ascii="Times New Roman" w:hAnsi="Times New Roman" w:cs="Times New Roman" w:eastAsia="Times New Roman"/>
          <w:sz w:val="24"/>
        </w:rPr>
        <w:t xml:space="preserve">I motsetning til de nevnte studiene, som predikerer en samlet kostnad eller rate per reise, modellerer NautiCost på</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transaksjonsnivå</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hver enkeltfaktura predikeres separat, og aggregeres deretter til anløpsnivå via portmaler og trafikkvekter. En slik tilnærming gir finere oppløsning enn aggregert prediksjon og kan i prinsippet returnere en kostnadsfordeling per tjenestekategori; hvor godt dette fungerer empirisk vurderes i § 8.</w:t>
      </w:r>
    </w:p>
    <w:bookmarkEnd w:id="18"/>
    <w:bookmarkStart w:id="19" w:name="X50f1a326dd81dd1da535bd6543ea8d29f23ade9"/>
    <w:p>
      <w:pPr>
        <w:pStyle w:val="Heading3"/>
        <w:spacing w:line="360" w:lineRule="auto"/>
      </w:pPr>
      <w:r>
        <w:rPr>
          <w:rFonts w:ascii="Times New Roman" w:hAnsi="Times New Roman" w:cs="Times New Roman" w:eastAsia="Times New Roman"/>
          <w:sz w:val="24"/>
        </w:rPr>
        <w:t xml:space="preserve">2.2 Gradient boosting på heterogene tabulære data</w:t>
      </w:r>
    </w:p>
    <w:p>
      <w:pPr>
        <w:pStyle w:val="FirstParagraph"/>
        <w:spacing w:line="360" w:lineRule="auto"/>
      </w:pPr>
      <w:r>
        <w:rPr>
          <w:rFonts w:ascii="Times New Roman" w:hAnsi="Times New Roman" w:cs="Times New Roman" w:eastAsia="Times New Roman"/>
          <w:sz w:val="24"/>
        </w:rPr>
        <w:t xml:space="preserve">Gradient boosting ble formalisert av Friedman (2001) som en generell additiv modell der hvert nytt tre korrigerer de negative gradientene fra forrige iterasjon. To moderne implementasjoner har blitt dominerende for tabulære data: LightGBM (Ke et al., 2017) med histogram-basert splitting og leaf-wise vekst, og CatBoost (Prokhorenkova et al., 2018) med ordered boosting og forventningsrett target-encoding av kategoriske variabler. Begge er beskrevet i detalj i § 3.</w:t>
      </w:r>
    </w:p>
    <w:p>
      <w:pPr>
        <w:pStyle w:val="BodyText"/>
        <w:spacing w:line="360" w:lineRule="auto"/>
      </w:pPr>
      <w:r>
        <w:rPr>
          <w:rFonts w:ascii="Times New Roman" w:hAnsi="Times New Roman" w:cs="Times New Roman" w:eastAsia="Times New Roman"/>
          <w:sz w:val="24"/>
        </w:rPr>
        <w:t xml:space="preserve">Grinsztajn et al. (2022) gjennomførte en systematisk benchmark over 45 datasett og fant at trebaserte modeller konsekvent overgår dype nevrale nett på tabulære data i medium størrelse (~10 000 rader), selv uten å ta hensyn til treningstidens fordel. Forfatterne identifiserte tre induktive biaser som gjør trær overlegne på tabulær data: rotasjonsinvarians, robusthet mot irrelevante features, og evne til å modellere irregulære beslutningsgrenser. Vårt datasett (1 647 rader, 26 features, blandet kategorisk/numerisk) faller godt innenfor dette regimet, og valget av et LightGBM + CatBoost-ensemble er dermed teoretisk og empirisk begrunnet.</w:t>
      </w:r>
    </w:p>
    <w:p>
      <w:pPr>
        <w:pStyle w:val="BodyText"/>
        <w:spacing w:line="360" w:lineRule="auto"/>
      </w:pPr>
      <w:r>
        <w:rPr>
          <w:rFonts w:ascii="Times New Roman" w:hAnsi="Times New Roman" w:cs="Times New Roman" w:eastAsia="Times New Roman"/>
          <w:sz w:val="24"/>
        </w:rPr>
        <w:t xml:space="preserve">Shwartz-Ziv og Armon (2022) kom til en lignende konklusjon i en uavhengig benchmark: XGBoost, LightGBM og CatBoost dominerte typiske tabulære regresjons- og klassifikasjonsproblemer, og ensembler av flere gradient-boosting-varianter ga ytterligere marginal forbedring. Hvorvidt denne marginale gevinsten replikeres i et lite, høyt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skjevt regime som NautiCost-datasettet drøftes i § 9.2.</w:t>
      </w:r>
    </w:p>
    <w:p>
      <w:pPr>
        <w:pStyle w:val="BodyText"/>
        <w:spacing w:line="360" w:lineRule="auto"/>
      </w:pPr>
      <w:r>
        <w:rPr>
          <w:rFonts w:ascii="Times New Roman" w:hAnsi="Times New Roman" w:cs="Times New Roman" w:eastAsia="Times New Roman"/>
          <w:sz w:val="24"/>
        </w:rPr>
        <w:t xml:space="preserve">Pensum</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kompendiet i LOG650 (Pettersen &amp; Rekdal, 2026, tabell 1.1) klassifiserer prosjekter med mange forklaringsvariabler under metode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familien Random Forest / XGBoost /</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LightGBM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med metodene gradient boosting, kryssvalidering, SHAP og hyperparameter</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tuning. Metodevalget i NautiCost — LightGBM + CatBoost-ensemble, 5-fold kryssvalidering ved Optuna-tuning, TreeSHAP for forklarbarhet — er nøyaktig denne kombinasjonen, og er dermed direkte pensum</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forankret. Det skiller seg fra kompendiets standard</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eksempel ved at vi modellerer på transaksjonsnivå snarere enn aggregert nivå, og legger til konform kalibrering (§ 2.3) for usikkerhets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bånd.</w:t>
      </w:r>
    </w:p>
    <w:bookmarkEnd w:id="19"/>
    <w:bookmarkStart w:id="20" w:name="X52ccaa96010e029cb7ad8233c60e45490ae75db"/>
    <w:p>
      <w:pPr>
        <w:pStyle w:val="Heading3"/>
        <w:spacing w:line="360" w:lineRule="auto"/>
      </w:pPr>
      <w:r>
        <w:rPr>
          <w:rFonts w:ascii="Times New Roman" w:hAnsi="Times New Roman" w:cs="Times New Roman" w:eastAsia="Times New Roman"/>
          <w:sz w:val="24"/>
        </w:rPr>
        <w:t xml:space="preserve">2.3 Konform prediksjon og usikkerhetskvantifisering</w:t>
      </w:r>
    </w:p>
    <w:p>
      <w:pPr>
        <w:pStyle w:val="FirstParagraph"/>
        <w:spacing w:line="360" w:lineRule="auto"/>
      </w:pPr>
      <w:r>
        <w:rPr>
          <w:rFonts w:ascii="Times New Roman" w:hAnsi="Times New Roman" w:cs="Times New Roman" w:eastAsia="Times New Roman"/>
          <w:sz w:val="24"/>
        </w:rPr>
        <w:t xml:space="preserve">Punktprediksjoner alene er utilstrekkelige for beslutningsstøtte der kostnaden varierer over flere størrelsesordener. Romano et al. (2019) introduserte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Conformalized Quantile Regression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(CQR), som kombinerer kvantilregresjon med konform prediksjon for å oppnå prediksjonsintervaller med garantert endelig-utvalgsdekning, uavhengig av modellens underliggende kalibrering. Metoden er teoretisk forankret i distribusjonsfriheten til konforme prediktorer (Shafer &amp; Vovk, 2008), men beholder den statistiske effektiviteten til kvantilregresjon — intervallene er smalere enn de fra standard konform prediksjon fordi de tilpasser seg heteroskedastisitet.</w:t>
      </w:r>
    </w:p>
    <w:p>
      <w:pPr>
        <w:pStyle w:val="BodyText"/>
        <w:spacing w:line="360" w:lineRule="auto"/>
      </w:pPr>
      <w:r>
        <w:rPr>
          <w:rFonts w:ascii="Times New Roman" w:hAnsi="Times New Roman" w:cs="Times New Roman" w:eastAsia="Times New Roman"/>
          <w:sz w:val="24"/>
        </w:rPr>
        <w:t xml:space="preserve">CQR er attraktiv i et anvendt regime fordi den bevarer kvantilregresjonens evne til å tilpasse seg heteroskedastiske residualer, samtidig som konform</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garantien sikrer at faktisk dekning ligger nær det nominelle nivået uten å anta en bestemt feilfordeling. Hvor godt dette fungerer på vårt datasett rapporteres i § 6.4 og § 8.2.</w:t>
      </w:r>
    </w:p>
    <w:p>
      <w:pPr>
        <w:pStyle w:val="BodyText"/>
        <w:spacing w:line="360" w:lineRule="auto"/>
      </w:pPr>
      <w:r>
        <w:rPr>
          <w:rFonts w:ascii="Times New Roman" w:hAnsi="Times New Roman" w:cs="Times New Roman" w:eastAsia="Times New Roman"/>
          <w:sz w:val="24"/>
        </w:rPr>
        <w:t xml:space="preserve">For forklarbarhet bruker NautiCost SHAP-verdier (Lundberg &amp; Lee, 2017), som dekomponerer enkeltprediksjoner i per-feature-bidrag basert på Shapley-verdier fra kooperativ spillteori. TreeSHAP-algoritmen (Lundberg et al., 2020) muliggjør eksakt, effektiv beregning for treensembler og gir både globale feature-importance-rangeringer og lokale per-prediksjon-forklaringer (jf. § 3.6 og § 7.3).</w:t>
      </w:r>
    </w:p>
    <w:bookmarkEnd w:id="20"/>
    <w:bookmarkStart w:id="21" w:name="forskningsgap"/>
    <w:p>
      <w:pPr>
        <w:pStyle w:val="Heading3"/>
        <w:spacing w:line="360" w:lineRule="auto"/>
      </w:pPr>
      <w:r>
        <w:rPr>
          <w:rFonts w:ascii="Times New Roman" w:hAnsi="Times New Roman" w:cs="Times New Roman" w:eastAsia="Times New Roman"/>
          <w:sz w:val="24"/>
        </w:rPr>
        <w:t xml:space="preserve">2.4 Forskningsgap</w:t>
      </w:r>
    </w:p>
    <w:p>
      <w:pPr>
        <w:pStyle w:val="FirstParagraph"/>
        <w:spacing w:line="360" w:lineRule="auto"/>
      </w:pPr>
      <w:r>
        <w:rPr>
          <w:rFonts w:ascii="Times New Roman" w:hAnsi="Times New Roman" w:cs="Times New Roman" w:eastAsia="Times New Roman"/>
          <w:sz w:val="24"/>
        </w:rPr>
        <w:t xml:space="preserve">Litteraturen som er gjennomgått behandler enten (a) prediksjon av en samlet kostnad eller rate per reise (Jang et al., 2023; Su et al., 2024) eller (b) operasjonell effektivitet på havne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nivå (Jahangard et al., 2025). Ingen av disse studiene modellerer den</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sammensatte tjeneste</w:t>
      </w:r>
      <w:r>
        <w:rPr>
          <w:rFonts w:ascii="Times New Roman" w:hAnsi="Times New Roman" w:cs="Times New Roman" w:eastAsia="Times New Roman"/>
          <w:b/>
          <w:bCs/>
          <w:sz w:val="24"/>
        </w:rPr>
        <w:softHyphen/>
      </w:r>
      <w:r>
        <w:rPr>
          <w:rFonts w:ascii="Times New Roman" w:hAnsi="Times New Roman" w:cs="Times New Roman" w:eastAsia="Times New Roman"/>
          <w:b/>
          <w:bCs/>
          <w:sz w:val="24"/>
        </w:rPr>
        <w:t xml:space="preserve">miksen per anløp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det vil si hvordan en enkelt yacht-stopp gir opphav til 5–40 separate transaksjoner fordelt på havneavgift, los, hospitality, proviant, agent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tjenester og bunkers, og hvordan totalkostnaden av et anløp bygges opp av disse delene. NautiCost adresserer dette gapet ved å modellere på transaksjonsnivå, deretter aggregere via portmaler og trafikkvekter, og kalibrere mot empiriske havne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persentiler. I et lite, høyt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skjevt datasett (n ≈ 1 600) forutsetter dette en spesifikk metodikk: (i) log-transformert mål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variabel for å håndtere skjevheten, (ii) gradient-boosting-ensemble for tabulære data med sterk heterogenitet, og (iii) konform kalibrering for å gi distribusjons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frie usikkerhets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bånd. Kombinasjonen av disse, anvendt på maritim agent-tjeneste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fakturering, er det metodiske rommet vi opererer i.</w:t>
      </w:r>
    </w:p>
    <w:p>
      <w:pPr>
        <w:spacing w:line="360" w:lineRule="auto"/>
      </w:pPr>
      <w:r>
        <w:rPr>
          <w:rFonts w:ascii="Times New Roman" w:hAnsi="Times New Roman" w:cs="Times New Roman" w:eastAsia="Times New Roman"/>
          <w:sz w:val="24"/>
        </w:rPr>
        <w:pict>
          <v:rect style="width:0;height:1.5pt" o:hralign="center" o:hrstd="t" o:hr="t"/>
        </w:pict>
      </w:r>
    </w:p>
    <w:bookmarkEnd w:id="21"/>
    <w:bookmarkEnd w:id="22"/>
    <w:bookmarkStart w:id="29" w:name="teori"/>
    <w:p>
      <w:pPr>
        <w:pStyle w:val="Heading2"/>
        <w:spacing w:line="360" w:lineRule="auto"/>
      </w:pPr>
      <w:r>
        <w:rPr>
          <w:rFonts w:ascii="Times New Roman" w:hAnsi="Times New Roman" w:cs="Times New Roman" w:eastAsia="Times New Roman"/>
          <w:sz w:val="24"/>
        </w:rPr>
        <w:t xml:space="preserve">3. Teori</w:t>
      </w:r>
    </w:p>
    <w:p>
      <w:pPr>
        <w:pStyle w:val="FirstParagraph"/>
        <w:spacing w:line="360" w:lineRule="auto"/>
      </w:pPr>
      <w:r>
        <w:rPr>
          <w:rFonts w:ascii="Times New Roman" w:hAnsi="Times New Roman" w:cs="Times New Roman" w:eastAsia="Times New Roman"/>
          <w:sz w:val="24"/>
        </w:rPr>
        <w:t xml:space="preserve">Dette kapittelet etablerer det metodiske rammeverket prosjektet hviler på. Hvert delkapittel avsluttes med en kort kobling til hvilket delproblem (DP1–DP5, jf. § 1.2) teorien adresserer, slik at teorien ikke blir frittstående modell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beskrivelse, men en begrunnelse for de metodevalgene som tas i § 5 og § 6.</w:t>
      </w:r>
    </w:p>
    <w:bookmarkStart w:id="23" w:name="tabulær-læring-og-gradient-boosting"/>
    <w:p>
      <w:pPr>
        <w:pStyle w:val="Heading3"/>
        <w:spacing w:line="360" w:lineRule="auto"/>
      </w:pPr>
      <w:r>
        <w:rPr>
          <w:rFonts w:ascii="Times New Roman" w:hAnsi="Times New Roman" w:cs="Times New Roman" w:eastAsia="Times New Roman"/>
          <w:sz w:val="24"/>
        </w:rPr>
        <w:t xml:space="preserve">3.1 Tabulær læring og gradient boosting</w:t>
      </w:r>
    </w:p>
    <w:p>
      <w:pPr>
        <w:pStyle w:val="FirstParagraph"/>
        <w:spacing w:line="360" w:lineRule="auto"/>
      </w:pPr>
      <w:r>
        <w:rPr>
          <w:rFonts w:ascii="Times New Roman" w:hAnsi="Times New Roman" w:cs="Times New Roman" w:eastAsia="Times New Roman"/>
          <w:sz w:val="24"/>
        </w:rPr>
        <w:t xml:space="preserve">Et regresjons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problem på tabulære data er definert ved et datasett</w:t>
      </w:r>
      <w:r>
        <w:rPr>
          <w:rFonts w:ascii="Times New Roman" w:hAnsi="Times New Roman" w:cs="Times New Roman" w:eastAsia="Times New Roman"/>
          <w:sz w:val="24"/>
        </w:rPr>
        <w:t xml:space="preserve"> </w:t>
      </w:r>
      <m:oMath>
        <m:r>
          <m:rPr>
            <m:scr m:val="script"/>
            <m:sty m:val="p"/>
          </m:rPr>
          <m:t>D</m:t>
        </m:r>
        <m:r>
          <m:rPr>
            <m:sty m:val="p"/>
          </m:rPr>
          <m:t>=</m:t>
        </m:r>
        <m:r>
          <m:rPr>
            <m:sty m:val="p"/>
          </m:rPr>
          <m:t>{</m:t>
        </m:r>
        <m:r>
          <m:rPr>
            <m:sty m:val="p"/>
          </m:rPr>
          <m:t>(</m:t>
        </m:r>
        <m:sSub>
          <m:e>
            <m:r>
              <m:t>x</m:t>
            </m:r>
          </m:e>
          <m:sub>
            <m:r>
              <m:t>i</m:t>
            </m:r>
          </m:sub>
        </m:sSub>
        <m:r>
          <m:rPr>
            <m:sty m:val="p"/>
          </m:rPr>
          <m:t>,</m:t>
        </m:r>
        <m:sSub>
          <m:e>
            <m:r>
              <m:t>y</m:t>
            </m:r>
          </m:e>
          <m:sub>
            <m:r>
              <m:t>i</m:t>
            </m:r>
          </m:sub>
        </m:sSub>
        <m:r>
          <m:rPr>
            <m:sty m:val="p"/>
          </m:rPr>
          <m:t>)</m:t>
        </m:r>
        <m:sSubSup>
          <m:e>
            <m:r>
              <m:rPr>
                <m:sty m:val="p"/>
              </m:rPr>
              <m:t>}</m:t>
            </m:r>
          </m:e>
          <m:sub>
            <m:r>
              <m:t>i</m:t>
            </m:r>
            <m:r>
              <m:rPr>
                <m:sty m:val="p"/>
              </m:rPr>
              <m:t>=</m:t>
            </m:r>
            <m:r>
              <m:t>1</m:t>
            </m:r>
          </m:sub>
          <m:sup>
            <m:r>
              <m:t>n</m:t>
            </m:r>
          </m:sup>
        </m:sSub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der</w:t>
      </w:r>
      <w:r>
        <w:rPr>
          <w:rFonts w:ascii="Times New Roman" w:hAnsi="Times New Roman" w:cs="Times New Roman" w:eastAsia="Times New Roman"/>
          <w:sz w:val="24"/>
        </w:rPr>
        <w:t xml:space="preserve"> </w:t>
      </w:r>
      <m:oMath>
        <m:sSub>
          <m:e>
            <m:r>
              <m:t>x</m:t>
            </m:r>
          </m:e>
          <m:sub>
            <m:r>
              <m:t>i</m:t>
            </m:r>
          </m:sub>
        </m:sSub>
        <m:r>
          <m:rPr>
            <m:sty m:val="p"/>
          </m:rPr>
          <m:t>∈</m:t>
        </m:r>
        <m:sSup>
          <m:e>
            <m:r>
              <m:rPr>
                <m:scr m:val="double-struck"/>
                <m:sty m:val="p"/>
              </m:rPr>
              <m:t>R</m:t>
            </m:r>
          </m:e>
          <m:sup>
            <m:r>
              <m:t>d</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er feature-vektorer og</w:t>
      </w:r>
      <w:r>
        <w:rPr>
          <w:rFonts w:ascii="Times New Roman" w:hAnsi="Times New Roman" w:cs="Times New Roman" w:eastAsia="Times New Roman"/>
          <w:sz w:val="24"/>
        </w:rPr>
        <w:t xml:space="preserve"> </w:t>
      </w:r>
      <m:oMath>
        <m:sSub>
          <m:e>
            <m:r>
              <m:t>y</m:t>
            </m:r>
          </m:e>
          <m:sub>
            <m:r>
              <m:t>i</m:t>
            </m:r>
          </m:sub>
        </m:sSub>
        <m:r>
          <m:rPr>
            <m:sty m:val="p"/>
          </m:rPr>
          <m:t>∈</m:t>
        </m:r>
        <m:r>
          <m:rPr>
            <m:scr m:val="double-struck"/>
            <m:sty m:val="p"/>
          </m:rPr>
          <m:t>R</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er målverdier, og oppgaven er å finne en funksjon</w:t>
      </w:r>
      <w:r>
        <w:rPr>
          <w:rFonts w:ascii="Times New Roman" w:hAnsi="Times New Roman" w:cs="Times New Roman" w:eastAsia="Times New Roman"/>
          <w:sz w:val="24"/>
        </w:rPr>
        <w:t xml:space="preserve"> </w:t>
      </w:r>
      <m:oMath>
        <m:acc>
          <m:accPr>
            <m:chr m:val="̂"/>
          </m:accPr>
          <m:e>
            <m:r>
              <m:t>f</m:t>
            </m:r>
          </m:e>
        </m:acc>
        <m:r>
          <m:rPr>
            <m:sty m:val="p"/>
          </m:rPr>
          <m:t>:</m:t>
        </m:r>
        <m:sSup>
          <m:e>
            <m:r>
              <m:rPr>
                <m:scr m:val="double-struck"/>
                <m:sty m:val="p"/>
              </m:rPr>
              <m:t>R</m:t>
            </m:r>
          </m:e>
          <m:sup>
            <m:r>
              <m:t>d</m:t>
            </m:r>
          </m:sup>
        </m:sSup>
        <m:r>
          <m:rPr>
            <m:sty m:val="p"/>
          </m:rPr>
          <m:t>→</m:t>
        </m:r>
        <m:r>
          <m:rPr>
            <m:scr m:val="double-struck"/>
            <m:sty m:val="p"/>
          </m:rPr>
          <m:t>R</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som minimerer en tap-funksjon</w:t>
      </w:r>
      <w:r>
        <w:rPr>
          <w:rFonts w:ascii="Times New Roman" w:hAnsi="Times New Roman" w:cs="Times New Roman" w:eastAsia="Times New Roman"/>
          <w:sz w:val="24"/>
        </w:rPr>
        <w:t xml:space="preserve"> </w:t>
      </w:r>
      <m:oMath>
        <m:r>
          <m:t>L</m:t>
        </m:r>
        <m:r>
          <m:rPr>
            <m:sty m:val="p"/>
          </m:rPr>
          <m:t>(</m:t>
        </m:r>
        <m:r>
          <m:t>y</m:t>
        </m:r>
        <m:r>
          <m:rPr>
            <m:sty m:val="p"/>
          </m:rPr>
          <m:t>,</m:t>
        </m:r>
        <m:acc>
          <m:accPr>
            <m:chr m:val="̂"/>
          </m:accPr>
          <m:e>
            <m:r>
              <m:t>y</m:t>
            </m:r>
          </m:e>
        </m:acc>
        <m:r>
          <m:rPr>
            <m:sty m:val="p"/>
          </m:rPr>
          <m:t>)</m:t>
        </m:r>
      </m:oMath>
      <w:r>
        <w:rPr>
          <w:rFonts w:ascii="Times New Roman" w:hAnsi="Times New Roman" w:cs="Times New Roman" w:eastAsia="Times New Roman"/>
          <w:sz w:val="24"/>
        </w:rPr>
        <w:t xml:space="preserve">. For tabulære data med en blanding av numeriske og kategoriske features og komplekse interaksjoner er</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ensembler av beslutningstrær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den dominerende tilnærmingen.</w:t>
      </w:r>
    </w:p>
    <w:p>
      <w:pPr>
        <w:pStyle w:val="BodyText"/>
        <w:spacing w:line="360" w:lineRule="auto"/>
      </w:pPr>
      <w:r>
        <w:rPr>
          <w:rFonts w:ascii="Times New Roman" w:hAnsi="Times New Roman" w:cs="Times New Roman" w:eastAsia="Times New Roman"/>
          <w:sz w:val="24"/>
        </w:rPr>
        <w:t xml:space="preserve">Et beslutningstre partisjonerer feature-rommet rekursivt i akse-justerte regioner og tilordner en konstant prediksjon innenfor hver region. Et enkelt tre har høy varians — et litt annet utvalg gir et betydelig annet tre. To strategier reduserer denne variansen:</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bagging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(gjennomsnitt av uavhengig trente trær, jf. random forest) og</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boosting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(sekvensiell trening der hvert tre korrigerer feilene fra det forrige).</w:t>
      </w:r>
    </w:p>
    <w:p>
      <w:pPr>
        <w:pStyle w:val="BodyText"/>
        <w:spacing w:line="360" w:lineRule="auto"/>
      </w:pPr>
      <w:r>
        <w:rPr>
          <w:rFonts w:ascii="Times New Roman" w:hAnsi="Times New Roman" w:cs="Times New Roman" w:eastAsia="Times New Roman"/>
          <w:sz w:val="24"/>
        </w:rPr>
        <w:t xml:space="preserve">I gradient boosting (Friedman, 2001) bygges modellen additivt:</w:t>
      </w:r>
    </w:p>
    <w:p>
      <w:pPr>
        <w:pStyle w:val="BodyText"/>
        <w:spacing w:line="360" w:lineRule="auto"/>
      </w:pPr>
      <m:oMathPara>
        <m:oMathParaPr>
          <m:jc m:val="center"/>
        </m:oMathParaPr>
        <m:oMath>
          <m:sSub>
            <m:e>
              <m:r>
                <m:t>F</m:t>
              </m:r>
            </m:e>
            <m:sub>
              <m:r>
                <m:t>m</m:t>
              </m:r>
            </m:sub>
          </m:sSub>
          <m:r>
            <m:rPr>
              <m:sty m:val="p"/>
            </m:rPr>
            <m:t>(</m:t>
          </m:r>
          <m:r>
            <m:t>x</m:t>
          </m:r>
          <m:r>
            <m:rPr>
              <m:sty m:val="p"/>
            </m:rPr>
            <m:t>)</m:t>
          </m:r>
          <m:r>
            <m:rPr>
              <m:sty m:val="p"/>
            </m:rPr>
            <m:t>=</m:t>
          </m:r>
          <m:sSub>
            <m:e>
              <m:r>
                <m:t>F</m:t>
              </m:r>
            </m:e>
            <m:sub>
              <m:r>
                <m:t>m</m:t>
              </m:r>
              <m:r>
                <m:rPr>
                  <m:sty m:val="p"/>
                </m:rPr>
                <m:t>−</m:t>
              </m:r>
              <m:r>
                <m:t>1</m:t>
              </m:r>
            </m:sub>
          </m:sSub>
          <m:r>
            <m:rPr>
              <m:sty m:val="p"/>
            </m:rPr>
            <m:t>(</m:t>
          </m:r>
          <m:r>
            <m:t>x</m:t>
          </m:r>
          <m:r>
            <m:rPr>
              <m:sty m:val="p"/>
            </m:rPr>
            <m:t>)</m:t>
          </m:r>
          <m:r>
            <m:rPr>
              <m:sty m:val="p"/>
            </m:rPr>
            <m:t>+</m:t>
          </m:r>
          <m:r>
            <m:t>ν</m:t>
          </m:r>
          <m:r>
            <m:rPr>
              <m:sty m:val="p"/>
            </m:rPr>
            <m:t>⋅</m:t>
          </m:r>
          <m:sSub>
            <m:e>
              <m:r>
                <m:t>h</m:t>
              </m:r>
            </m:e>
            <m:sub>
              <m:r>
                <m:t>m</m:t>
              </m:r>
            </m:sub>
          </m:sSub>
          <m:r>
            <m:rPr>
              <m:sty m:val="p"/>
            </m:rPr>
            <m:t>(</m:t>
          </m:r>
          <m:r>
            <m:t>x</m:t>
          </m:r>
          <m:r>
            <m:rPr>
              <m:sty m:val="p"/>
            </m:rPr>
            <m:t>)</m:t>
          </m:r>
        </m:oMath>
      </m:oMathPara>
    </w:p>
    <w:p>
      <w:pPr>
        <w:pStyle w:val="FirstParagraph"/>
        <w:spacing w:line="360" w:lineRule="auto"/>
      </w:pPr>
      <w:r>
        <w:rPr>
          <w:rFonts w:ascii="Times New Roman" w:hAnsi="Times New Roman" w:cs="Times New Roman" w:eastAsia="Times New Roman"/>
          <w:sz w:val="24"/>
        </w:rPr>
        <w:t xml:space="preserve">der</w:t>
      </w:r>
      <w:r>
        <w:rPr>
          <w:rFonts w:ascii="Times New Roman" w:hAnsi="Times New Roman" w:cs="Times New Roman" w:eastAsia="Times New Roman"/>
          <w:sz w:val="24"/>
        </w:rPr>
        <w:t xml:space="preserve"> </w:t>
      </w:r>
      <m:oMath>
        <m:sSub>
          <m:e>
            <m:r>
              <m:t>h</m:t>
            </m:r>
          </m:e>
          <m:sub>
            <m:r>
              <m:t>m</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er et regresjons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tre tilpasset den negative gradienten av tapet med hensyn på forrige prediksjon, og</w:t>
      </w:r>
      <w:r>
        <w:rPr>
          <w:rFonts w:ascii="Times New Roman" w:hAnsi="Times New Roman" w:cs="Times New Roman" w:eastAsia="Times New Roman"/>
          <w:sz w:val="24"/>
        </w:rPr>
        <w:t xml:space="preserve"> </w:t>
      </w:r>
      <m:oMath>
        <m:r>
          <m:t>ν</m:t>
        </m:r>
        <m:r>
          <m:rPr>
            <m:sty m:val="p"/>
          </m:rPr>
          <m:t>∈</m:t>
        </m:r>
        <m:r>
          <m:rPr>
            <m:sty m:val="p"/>
          </m:rPr>
          <m:t>(</m:t>
        </m:r>
        <m:r>
          <m:t>0</m:t>
        </m:r>
        <m:r>
          <m:rPr>
            <m:sty m:val="p"/>
          </m:rPr>
          <m:t>,</m:t>
        </m:r>
        <m:r>
          <m:t>1</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er en lærings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rate. Etter</w:t>
      </w:r>
      <w:r>
        <w:rPr>
          <w:rFonts w:ascii="Times New Roman" w:hAnsi="Times New Roman" w:cs="Times New Roman" w:eastAsia="Times New Roman"/>
          <w:sz w:val="24"/>
        </w:rPr>
        <w:t xml:space="preserve"> </w:t>
      </w:r>
      <m:oMath>
        <m:r>
          <m:t>M</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runder er modellen</w:t>
      </w:r>
      <w:r>
        <w:rPr>
          <w:rFonts w:ascii="Times New Roman" w:hAnsi="Times New Roman" w:cs="Times New Roman" w:eastAsia="Times New Roman"/>
          <w:sz w:val="24"/>
        </w:rPr>
        <w:t xml:space="preserve"> </w:t>
      </w:r>
      <m:oMath>
        <m:sSub>
          <m:e>
            <m:r>
              <m:t>F</m:t>
            </m:r>
          </m:e>
          <m:sub>
            <m:r>
              <m:t>M</m:t>
            </m:r>
          </m:sub>
        </m:sSub>
        <m:r>
          <m:rPr>
            <m:sty m:val="p"/>
          </m:rPr>
          <m:t>(</m:t>
        </m:r>
        <m:r>
          <m:t>x</m:t>
        </m:r>
        <m:r>
          <m:rPr>
            <m:sty m:val="p"/>
          </m:rPr>
          <m:t>)</m:t>
        </m:r>
        <m:r>
          <m:rPr>
            <m:sty m:val="p"/>
          </m:rPr>
          <m:t>=</m:t>
        </m:r>
        <m:sSub>
          <m:e>
            <m:r>
              <m:t>F</m:t>
            </m:r>
          </m:e>
          <m:sub>
            <m:r>
              <m:t>0</m:t>
            </m:r>
          </m:sub>
        </m:sSub>
        <m:r>
          <m:rPr>
            <m:sty m:val="p"/>
          </m:rPr>
          <m:t>(</m:t>
        </m:r>
        <m:r>
          <m:t>x</m:t>
        </m:r>
        <m:r>
          <m:rPr>
            <m:sty m:val="p"/>
          </m:rPr>
          <m:t>)</m:t>
        </m:r>
        <m:r>
          <m:rPr>
            <m:sty m:val="p"/>
          </m:rPr>
          <m:t>+</m:t>
        </m:r>
        <m:r>
          <m:t>ν</m:t>
        </m:r>
        <m:nary>
          <m:naryPr>
            <m:chr m:val="∑"/>
            <m:limLoc m:val="undOvr"/>
            <m:subHide m:val="off"/>
            <m:supHide m:val="off"/>
          </m:naryPr>
          <m:sub>
            <m:r>
              <m:t>m</m:t>
            </m:r>
            <m:r>
              <m:rPr>
                <m:sty m:val="p"/>
              </m:rPr>
              <m:t>=</m:t>
            </m:r>
            <m:r>
              <m:t>1</m:t>
            </m:r>
          </m:sub>
          <m:sup>
            <m:r>
              <m:t>M</m:t>
            </m:r>
          </m:sup>
          <m:e>
            <m:sSub>
              <m:e>
                <m:r>
                  <m:t>h</m:t>
                </m:r>
              </m:e>
              <m:sub>
                <m:r>
                  <m:t>m</m:t>
                </m:r>
              </m:sub>
            </m:sSub>
          </m:e>
        </m:nary>
        <m:r>
          <m:rPr>
            <m:sty m:val="p"/>
          </m:rPr>
          <m:t>(</m:t>
        </m:r>
        <m:r>
          <m:t>x</m:t>
        </m:r>
        <m:r>
          <m:rPr>
            <m:sty m:val="p"/>
          </m:rPr>
          <m:t>)</m:t>
        </m:r>
      </m:oMath>
      <w:r>
        <w:rPr>
          <w:rFonts w:ascii="Times New Roman" w:hAnsi="Times New Roman" w:cs="Times New Roman" w:eastAsia="Times New Roman"/>
          <w:sz w:val="24"/>
        </w:rPr>
        <w:t xml:space="preserve">.</w:t>
      </w:r>
    </w:p>
    <w:p>
      <w:pPr>
        <w:pStyle w:val="BodyText"/>
        <w:spacing w:line="360" w:lineRule="auto"/>
      </w:pPr>
      <w:r>
        <w:rPr>
          <w:rFonts w:ascii="Times New Roman" w:hAnsi="Times New Roman" w:cs="Times New Roman" w:eastAsia="Times New Roman"/>
          <w:sz w:val="24"/>
        </w:rPr>
        <w:t xml:space="preserve">Sammenlignet med bagging kan boosting redusere både bias og varians ved å konsentrere kapasiteten der residualene er størst. Avveiningen er at boosting er sekvensielt og mer utsatt for overtilpasning hvis</w:t>
      </w:r>
      <w:r>
        <w:rPr>
          <w:rFonts w:ascii="Times New Roman" w:hAnsi="Times New Roman" w:cs="Times New Roman" w:eastAsia="Times New Roman"/>
          <w:sz w:val="24"/>
        </w:rPr>
        <w:t xml:space="preserve"> </w:t>
      </w:r>
      <m:oMath>
        <m:r>
          <m:t>M</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er for stor eller</w:t>
      </w:r>
      <w:r>
        <w:rPr>
          <w:rFonts w:ascii="Times New Roman" w:hAnsi="Times New Roman" w:cs="Times New Roman" w:eastAsia="Times New Roman"/>
          <w:sz w:val="24"/>
        </w:rPr>
        <w:t xml:space="preserve"> </w:t>
      </w:r>
      <m:oMath>
        <m:r>
          <m:t>ν</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høy;</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early stopping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på et valideringssett er standard mottiltak.</w:t>
      </w:r>
    </w:p>
    <w:p>
      <w:pPr>
        <w:pStyle w:val="BodyText"/>
        <w:spacing w:line="360" w:lineRule="auto"/>
      </w:pPr>
      <w:r>
        <w:rPr>
          <w:rFonts w:ascii="Times New Roman" w:hAnsi="Times New Roman" w:cs="Times New Roman" w:eastAsia="Times New Roman"/>
          <w:sz w:val="24"/>
        </w:rPr>
        <w:t xml:space="preserve">Moderne gradient-boosting-biblioteker (LightGBM, CatBoost, XGBoost) optimerer dette rammeverket langs tre akser: histogram-basert split-finding for hastighet, native håndtering av kategoriske features, og bruk av andre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ordens gradient-informasjon (Newton-Raphson-oppdateringer) for raskere konvergens.</w:t>
      </w:r>
    </w:p>
    <w:p>
      <w:pPr>
        <w:pStyle w:val="BodyText"/>
        <w:spacing w:line="360" w:lineRule="auto"/>
      </w:pPr>
      <w:r>
        <w:rPr>
          <w:rFonts w:ascii="Times New Roman" w:hAnsi="Times New Roman" w:cs="Times New Roman" w:eastAsia="Times New Roman"/>
          <w:i/>
          <w:iCs/>
          <w:sz w:val="24"/>
        </w:rPr>
        <w:t xml:space="preserve">Relevans for prosjektet.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DP2 spør hvilken modell som gir lavest prognosefeil på heterogene tabulære data. Gradient boosting dominerer denne typen data (Grinsztajn et al., 2022; Shwartz-Ziv &amp; Armon, 2022), og er utgangspunktet for § 6.</w:t>
      </w:r>
    </w:p>
    <w:bookmarkEnd w:id="23"/>
    <w:bookmarkStart w:id="24" w:name="lightgbm"/>
    <w:p>
      <w:pPr>
        <w:pStyle w:val="Heading3"/>
        <w:spacing w:line="360" w:lineRule="auto"/>
      </w:pPr>
      <w:r>
        <w:rPr>
          <w:rFonts w:ascii="Times New Roman" w:hAnsi="Times New Roman" w:cs="Times New Roman" w:eastAsia="Times New Roman"/>
          <w:sz w:val="24"/>
        </w:rPr>
        <w:t xml:space="preserve">3.2 LightGBM</w:t>
      </w:r>
    </w:p>
    <w:p>
      <w:pPr>
        <w:pStyle w:val="FirstParagraph"/>
        <w:spacing w:line="360" w:lineRule="auto"/>
      </w:pPr>
      <w:r>
        <w:rPr>
          <w:rFonts w:ascii="Times New Roman" w:hAnsi="Times New Roman" w:cs="Times New Roman" w:eastAsia="Times New Roman"/>
          <w:sz w:val="24"/>
        </w:rPr>
        <w:t xml:space="preserve">LightGBM (Ke et al., 2017) er et gradient-boosting-bibliotek optimert for hastighet og minne på store tabulære datasett. Tre innovasjoner skiller det fra tidligere implementasjoner:</w:t>
      </w:r>
    </w:p>
    <w:p>
      <w:pPr>
        <w:pStyle w:val="BodyText"/>
        <w:spacing w:line="360" w:lineRule="auto"/>
      </w:pPr>
      <w:r>
        <w:rPr>
          <w:rFonts w:ascii="Times New Roman" w:hAnsi="Times New Roman" w:cs="Times New Roman" w:eastAsia="Times New Roman"/>
          <w:b/>
          <w:bCs/>
          <w:sz w:val="24"/>
        </w:rPr>
        <w:t xml:space="preserve">Histogram-basert split-finding.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Kontinuerlige features for-binnes i</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histogrammer (typisk</w:t>
      </w:r>
      <w:r>
        <w:rPr>
          <w:rFonts w:ascii="Times New Roman" w:hAnsi="Times New Roman" w:cs="Times New Roman" w:eastAsia="Times New Roman"/>
          <w:sz w:val="24"/>
        </w:rPr>
        <w:t xml:space="preserve"> </w:t>
      </w:r>
      <m:oMath>
        <m:r>
          <m:t>k</m:t>
        </m:r>
        <m:r>
          <m:rPr>
            <m:sty m:val="p"/>
          </m:rPr>
          <m:t>=</m:t>
        </m:r>
        <m:r>
          <m:t>255</m:t>
        </m:r>
      </m:oMath>
      <w:r>
        <w:rPr>
          <w:rFonts w:ascii="Times New Roman" w:hAnsi="Times New Roman" w:cs="Times New Roman" w:eastAsia="Times New Roman"/>
          <w:sz w:val="24"/>
        </w:rPr>
        <w:t xml:space="preserve">). Å finne det optimale split-punktet reduseres fra å skanne alle unike feature-verdier (</w:t>
      </w:r>
      <m:oMath>
        <m:r>
          <m:rPr>
            <m:scr m:val="script"/>
            <m:sty m:val="p"/>
          </m:rPr>
          <m:t>O</m:t>
        </m:r>
        <m:r>
          <m:rPr>
            <m:sty m:val="p"/>
          </m:rPr>
          <m:t>(</m:t>
        </m:r>
        <m:r>
          <m:t>n</m:t>
        </m:r>
        <m:r>
          <m:rPr>
            <m:sty m:val="p"/>
          </m:rPr>
          <m:t>⋅</m:t>
        </m:r>
        <m:r>
          <m:t>d</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per node) til å skanne histogram-bins (</w:t>
      </w:r>
      <m:oMath>
        <m:r>
          <m:rPr>
            <m:scr m:val="script"/>
            <m:sty m:val="p"/>
          </m:rPr>
          <m:t>O</m:t>
        </m:r>
        <m:r>
          <m:rPr>
            <m:sty m:val="p"/>
          </m:rPr>
          <m:t>(</m:t>
        </m:r>
        <m:r>
          <m:t>k</m:t>
        </m:r>
        <m:r>
          <m:rPr>
            <m:sty m:val="p"/>
          </m:rPr>
          <m:t>⋅</m:t>
        </m:r>
        <m:r>
          <m:t>d</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per node). For datasett med mange kontinuerlige features er dette den dominerende hastighets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gevinsten.</w:t>
      </w:r>
    </w:p>
    <w:p>
      <w:pPr>
        <w:pStyle w:val="BodyText"/>
        <w:spacing w:line="360" w:lineRule="auto"/>
      </w:pPr>
      <w:r>
        <w:rPr>
          <w:rFonts w:ascii="Times New Roman" w:hAnsi="Times New Roman" w:cs="Times New Roman" w:eastAsia="Times New Roman"/>
          <w:b/>
          <w:bCs/>
          <w:sz w:val="24"/>
        </w:rPr>
        <w:t xml:space="preserve">Leaf-wise tre-vekst.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Der standard implementasjoner vokser trær level-wise (alle blader på dybde</w:t>
      </w:r>
      <w:r>
        <w:rPr>
          <w:rFonts w:ascii="Times New Roman" w:hAnsi="Times New Roman" w:cs="Times New Roman" w:eastAsia="Times New Roman"/>
          <w:sz w:val="24"/>
        </w:rPr>
        <w:t xml:space="preserve"> </w:t>
      </w:r>
      <m:oMath>
        <m:r>
          <m:t>d</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før noen på</w:t>
      </w:r>
      <w:r>
        <w:rPr>
          <w:rFonts w:ascii="Times New Roman" w:hAnsi="Times New Roman" w:cs="Times New Roman" w:eastAsia="Times New Roman"/>
          <w:sz w:val="24"/>
        </w:rPr>
        <w:t xml:space="preserve"> </w:t>
      </w:r>
      <m:oMath>
        <m:r>
          <m:t>d</m:t>
        </m:r>
        <m:r>
          <m:rPr>
            <m:sty m:val="p"/>
          </m:rPr>
          <m:t>+</m:t>
        </m:r>
        <m:r>
          <m:t>1</m:t>
        </m:r>
      </m:oMath>
      <w:r>
        <w:rPr>
          <w:rFonts w:ascii="Times New Roman" w:hAnsi="Times New Roman" w:cs="Times New Roman" w:eastAsia="Times New Roman"/>
          <w:sz w:val="24"/>
        </w:rPr>
        <w:t xml:space="preserve">), vokser LightGBM bladet med høyest tap-reduksjon først, uavhengig av dybde. Dette gir mer asymmetriske trær som tilpasser dataene bedre med færre blader totalt — men er mer utsatt for over</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tilpasning på små datasett, kontrollert av</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max_depth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og</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min_data_in_leaf</w:t>
      </w:r>
      <w:r>
        <w:rPr>
          <w:rFonts w:ascii="Times New Roman" w:hAnsi="Times New Roman" w:cs="Times New Roman" w:eastAsia="Times New Roman"/>
          <w:sz w:val="24"/>
        </w:rPr>
        <w:t xml:space="preserve">-restriksjoner.</w:t>
      </w:r>
    </w:p>
    <w:p>
      <w:pPr>
        <w:pStyle w:val="BodyText"/>
        <w:spacing w:line="360" w:lineRule="auto"/>
      </w:pPr>
      <w:r>
        <w:rPr>
          <w:rFonts w:ascii="Times New Roman" w:hAnsi="Times New Roman" w:cs="Times New Roman" w:eastAsia="Times New Roman"/>
          <w:b/>
          <w:bCs/>
          <w:sz w:val="24"/>
        </w:rPr>
        <w:t xml:space="preserve">Gradient-based one-side sampling (GOSS) og exclusive feature bundling (EFB).</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GOSS beholder samplene med høyest gradient (størst residual) og subsampler resten tilfeldig — informasjons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tetthet per iterasjon bevares. EFB bundler gjensidig eksklusive sparse features til én kolonne. Begge reduserer kostnad per iterasjon på høy-dimensjonal sparsom data.</w:t>
      </w:r>
    </w:p>
    <w:p>
      <w:pPr>
        <w:pStyle w:val="BodyText"/>
        <w:spacing w:line="360" w:lineRule="auto"/>
      </w:pPr>
      <w:r>
        <w:rPr>
          <w:rFonts w:ascii="Times New Roman" w:hAnsi="Times New Roman" w:cs="Times New Roman" w:eastAsia="Times New Roman"/>
          <w:b/>
          <w:bCs/>
          <w:sz w:val="24"/>
        </w:rPr>
        <w:t xml:space="preserve">Kategorisk håndtering.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LightGBM aksepterer heltalls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kodede kategoriske kolonner direkte. Ved hvert split sorteres kategoriene etter akkumulert gradient-statistikk, og den optimale partisjonen finnes ved å skanne den sorterte listen. Dette håndterer høy-kardinalitets kategoriske variabler (f.eks.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arrival_port</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service_type</w:t>
      </w:r>
      <w:r>
        <w:rPr>
          <w:rFonts w:ascii="Times New Roman" w:hAnsi="Times New Roman" w:cs="Times New Roman" w:eastAsia="Times New Roman"/>
          <w:sz w:val="24"/>
        </w:rPr>
        <w:t xml:space="preserve">) uten one-hot-eksplosjon.</w:t>
      </w:r>
    </w:p>
    <w:p>
      <w:pPr>
        <w:pStyle w:val="BodyText"/>
        <w:spacing w:line="360" w:lineRule="auto"/>
      </w:pPr>
      <w:r>
        <w:rPr>
          <w:rFonts w:ascii="Times New Roman" w:hAnsi="Times New Roman" w:cs="Times New Roman" w:eastAsia="Times New Roman"/>
          <w:sz w:val="24"/>
        </w:rPr>
        <w:t xml:space="preserve">I NautiCost er LightGBM den primære base-læreren fordi den konvergerer raskt på det lille datasettet (~1 600 rader) og håndterer den heterogene feature-miksen native. Hyperparametre (</w:t>
      </w:r>
      <w:r>
        <w:rPr>
          <w:rStyle w:val="VerbatimChar"/>
          <w:rFonts w:ascii="Times New Roman" w:hAnsi="Times New Roman" w:cs="Times New Roman" w:eastAsia="Times New Roman"/>
          <w:sz w:val="24"/>
        </w:rPr>
        <w:t xml:space="preserve">num_leaves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min_data_in_leaf</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max_depth</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feature_fraction</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bagging_fraction</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learning_rate</w:t>
      </w:r>
      <w:r>
        <w:rPr>
          <w:rFonts w:ascii="Times New Roman" w:hAnsi="Times New Roman" w:cs="Times New Roman" w:eastAsia="Times New Roman"/>
          <w:sz w:val="24"/>
        </w:rPr>
        <w:t xml:space="preserve">) er tunet med Optuna (se § 6.3).</w:t>
      </w:r>
    </w:p>
    <w:p>
      <w:pPr>
        <w:pStyle w:val="BodyText"/>
        <w:spacing w:line="360" w:lineRule="auto"/>
      </w:pPr>
      <w:r>
        <w:rPr>
          <w:rFonts w:ascii="Times New Roman" w:hAnsi="Times New Roman" w:cs="Times New Roman" w:eastAsia="Times New Roman"/>
          <w:i/>
          <w:iCs/>
          <w:sz w:val="24"/>
        </w:rPr>
        <w:t xml:space="preserve">Relevans: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LightGBM håndterer blandet input og lav rad-til-feature-ratio (63) effektivt — derav valget i § 6.3.</w:t>
      </w:r>
    </w:p>
    <w:bookmarkEnd w:id="24"/>
    <w:bookmarkStart w:id="25" w:name="catboost"/>
    <w:p>
      <w:pPr>
        <w:pStyle w:val="Heading3"/>
        <w:spacing w:line="360" w:lineRule="auto"/>
      </w:pPr>
      <w:r>
        <w:rPr>
          <w:rFonts w:ascii="Times New Roman" w:hAnsi="Times New Roman" w:cs="Times New Roman" w:eastAsia="Times New Roman"/>
          <w:sz w:val="24"/>
        </w:rPr>
        <w:t xml:space="preserve">3.3 CatBoost</w:t>
      </w:r>
    </w:p>
    <w:p>
      <w:pPr>
        <w:pStyle w:val="FirstParagraph"/>
        <w:spacing w:line="360" w:lineRule="auto"/>
      </w:pPr>
      <w:r>
        <w:rPr>
          <w:rFonts w:ascii="Times New Roman" w:hAnsi="Times New Roman" w:cs="Times New Roman" w:eastAsia="Times New Roman"/>
          <w:sz w:val="24"/>
        </w:rPr>
        <w:t xml:space="preserve">CatBoost (Prokhorenkova et al., 2018) er et gradient-boosting-bibliotek med fokus på robust kategorisk håndtering og forventningsrett target-encoding. To tekniske bidrag står sentralt:</w:t>
      </w:r>
    </w:p>
    <w:p>
      <w:pPr>
        <w:pStyle w:val="BodyText"/>
        <w:spacing w:line="360" w:lineRule="auto"/>
      </w:pPr>
      <w:r>
        <w:rPr>
          <w:rFonts w:ascii="Times New Roman" w:hAnsi="Times New Roman" w:cs="Times New Roman" w:eastAsia="Times New Roman"/>
          <w:b/>
          <w:bCs/>
          <w:sz w:val="24"/>
        </w:rPr>
        <w:t xml:space="preserve">Ordered boosting.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Standard target-encoding-strategier erstatter en kategorisk verdi med gjennomsnittet av målet over alle rader der verdien forekommer. Dette skaper</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target-leakage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den kodede featuren for rad</w:t>
      </w:r>
      <w:r>
        <w:rPr>
          <w:rFonts w:ascii="Times New Roman" w:hAnsi="Times New Roman" w:cs="Times New Roman" w:eastAsia="Times New Roman"/>
          <w:sz w:val="24"/>
        </w:rPr>
        <w:t xml:space="preserve"> </w:t>
      </w:r>
      <m:oMath>
        <m:r>
          <m:t>i</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påvirkes av målet</w:t>
      </w:r>
      <w:r>
        <w:rPr>
          <w:rFonts w:ascii="Times New Roman" w:hAnsi="Times New Roman" w:cs="Times New Roman" w:eastAsia="Times New Roman"/>
          <w:sz w:val="24"/>
        </w:rPr>
        <w:t xml:space="preserve"> </w:t>
      </w:r>
      <m:oMath>
        <m:sSub>
          <m:e>
            <m:r>
              <m:t>y</m:t>
            </m:r>
          </m:e>
          <m:sub>
            <m:r>
              <m:t>i</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selv, hvilket biaserer gradienter mot over</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tilpasning. CatBoosts ordered boosting opprettholder en tilfeldig permutasjon av treningsradene; for hver rad</w:t>
      </w:r>
      <w:r>
        <w:rPr>
          <w:rFonts w:ascii="Times New Roman" w:hAnsi="Times New Roman" w:cs="Times New Roman" w:eastAsia="Times New Roman"/>
          <w:sz w:val="24"/>
        </w:rPr>
        <w:t xml:space="preserve"> </w:t>
      </w:r>
      <m:oMath>
        <m:r>
          <m:t>i</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bruker target-encodingen kun radene som ligger foran</w:t>
      </w:r>
      <w:r>
        <w:rPr>
          <w:rFonts w:ascii="Times New Roman" w:hAnsi="Times New Roman" w:cs="Times New Roman" w:eastAsia="Times New Roman"/>
          <w:sz w:val="24"/>
        </w:rPr>
        <w:t xml:space="preserve"> </w:t>
      </w:r>
      <m:oMath>
        <m:r>
          <m:t>i</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 permutasjonen. Dette gir et forventningsrett estimat på bekostning av å kjøre</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parallelle modeller på</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ulike permutasjoner.</w:t>
      </w:r>
    </w:p>
    <w:p>
      <w:pPr>
        <w:pStyle w:val="BodyText"/>
        <w:spacing w:line="360" w:lineRule="auto"/>
      </w:pPr>
      <w:r>
        <w:rPr>
          <w:rFonts w:ascii="Times New Roman" w:hAnsi="Times New Roman" w:cs="Times New Roman" w:eastAsia="Times New Roman"/>
          <w:b/>
          <w:bCs/>
          <w:sz w:val="24"/>
        </w:rPr>
        <w:t xml:space="preserve">Symmetriske (oblivious) trær.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Hvert nivå av et CatBoost-tre bruker samme split-feature og terskel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verdi på tvers av alle interne noder på det nivået. Dette gir et balansert binærtre med fast dybde, hvilket er raskere ved inferens (prediksjons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banen er bare en sekvens av sammen</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ligninger) og virker som en implisitt regularisering.</w:t>
      </w:r>
    </w:p>
    <w:p>
      <w:pPr>
        <w:pStyle w:val="BodyText"/>
        <w:spacing w:line="360" w:lineRule="auto"/>
      </w:pPr>
      <w:r>
        <w:rPr>
          <w:rFonts w:ascii="Times New Roman" w:hAnsi="Times New Roman" w:cs="Times New Roman" w:eastAsia="Times New Roman"/>
          <w:b/>
          <w:bCs/>
          <w:sz w:val="24"/>
        </w:rPr>
        <w:t xml:space="preserve">Kategorisk encoding via ordered target statistics:</w:t>
      </w:r>
    </w:p>
    <w:p>
      <w:pPr>
        <w:pStyle w:val="BodyText"/>
        <w:spacing w:line="360" w:lineRule="auto"/>
      </w:pPr>
      <m:oMathPara>
        <m:oMathParaPr>
          <m:jc m:val="center"/>
        </m:oMathParaPr>
        <m:oMath>
          <m:sSubSup>
            <m:e>
              <m:acc>
                <m:accPr>
                  <m:chr m:val="̂"/>
                </m:accPr>
                <m:e>
                  <m:r>
                    <m:t>x</m:t>
                  </m:r>
                </m:e>
              </m:acc>
            </m:e>
            <m:sub>
              <m:r>
                <m:t>i</m:t>
              </m:r>
            </m:sub>
            <m:sup>
              <m:r>
                <m:t>c</m:t>
              </m:r>
              <m:r>
                <m:t>a</m:t>
              </m:r>
              <m:r>
                <m:t>t</m:t>
              </m:r>
            </m:sup>
          </m:sSubSup>
          <m:r>
            <m:rPr>
              <m:sty m:val="p"/>
            </m:rPr>
            <m:t>=</m:t>
          </m:r>
          <m:f>
            <m:fPr>
              <m:type m:val="bar"/>
            </m:fPr>
            <m:num>
              <m:nary>
                <m:naryPr>
                  <m:chr m:val="∑"/>
                  <m:limLoc m:val="undOvr"/>
                  <m:subHide m:val="off"/>
                  <m:supHide m:val="on"/>
                </m:naryPr>
                <m:sub>
                  <m:r>
                    <m:t>j</m:t>
                  </m:r>
                  <m:r>
                    <m:rPr>
                      <m:sty m:val="p"/>
                    </m:rPr>
                    <m:t>&lt;</m:t>
                  </m:r>
                  <m:r>
                    <m:t>i</m:t>
                  </m:r>
                  <m:r>
                    <m:rPr>
                      <m:sty m:val="p"/>
                    </m:rPr>
                    <m:t>,</m:t>
                  </m:r>
                  <m:r>
                    <m:t> </m:t>
                  </m:r>
                  <m:sSubSup>
                    <m:e>
                      <m:r>
                        <m:t>x</m:t>
                      </m:r>
                    </m:e>
                    <m:sub>
                      <m:r>
                        <m:t>j</m:t>
                      </m:r>
                    </m:sub>
                    <m:sup>
                      <m:r>
                        <m:t>c</m:t>
                      </m:r>
                      <m:r>
                        <m:t>a</m:t>
                      </m:r>
                      <m:r>
                        <m:t>t</m:t>
                      </m:r>
                    </m:sup>
                  </m:sSubSup>
                  <m:r>
                    <m:rPr>
                      <m:sty m:val="p"/>
                    </m:rPr>
                    <m:t>=</m:t>
                  </m:r>
                  <m:sSubSup>
                    <m:e>
                      <m:r>
                        <m:t>x</m:t>
                      </m:r>
                    </m:e>
                    <m:sub>
                      <m:r>
                        <m:t>i</m:t>
                      </m:r>
                    </m:sub>
                    <m:sup>
                      <m:r>
                        <m:t>c</m:t>
                      </m:r>
                      <m:r>
                        <m:t>a</m:t>
                      </m:r>
                      <m:r>
                        <m:t>t</m:t>
                      </m:r>
                    </m:sup>
                  </m:sSubSup>
                </m:sub>
                <m:sup>
                  <m:r>
                    <m:t>​</m:t>
                  </m:r>
                </m:sup>
                <m:e>
                  <m:sSub>
                    <m:e>
                      <m:r>
                        <m:t>y</m:t>
                      </m:r>
                    </m:e>
                    <m:sub>
                      <m:r>
                        <m:t>j</m:t>
                      </m:r>
                    </m:sub>
                  </m:sSub>
                </m:e>
              </m:nary>
              <m:r>
                <m:rPr>
                  <m:sty m:val="p"/>
                </m:rPr>
                <m:t>+</m:t>
              </m:r>
              <m:r>
                <m:t>a</m:t>
              </m:r>
              <m:r>
                <m:rPr>
                  <m:sty m:val="p"/>
                </m:rPr>
                <m:t>⋅</m:t>
              </m:r>
              <m:r>
                <m:t>p</m:t>
              </m:r>
            </m:num>
            <m:den>
              <m:r>
                <m:rPr>
                  <m:sty m:val="p"/>
                </m:rPr>
                <m:t>#</m:t>
              </m:r>
              <m:r>
                <m:rPr>
                  <m:sty m:val="p"/>
                </m:rPr>
                <m:t>{</m:t>
              </m:r>
              <m:r>
                <m:t>j</m:t>
              </m:r>
              <m:r>
                <m:rPr>
                  <m:sty m:val="p"/>
                </m:rPr>
                <m:t>&lt;</m:t>
              </m:r>
              <m:r>
                <m:t>i</m:t>
              </m:r>
              <m:r>
                <m:rPr>
                  <m:sty m:val="p"/>
                </m:rPr>
                <m:t>:</m:t>
              </m:r>
              <m:sSubSup>
                <m:e>
                  <m:r>
                    <m:t>x</m:t>
                  </m:r>
                </m:e>
                <m:sub>
                  <m:r>
                    <m:t>j</m:t>
                  </m:r>
                </m:sub>
                <m:sup>
                  <m:r>
                    <m:t>c</m:t>
                  </m:r>
                  <m:r>
                    <m:t>a</m:t>
                  </m:r>
                  <m:r>
                    <m:t>t</m:t>
                  </m:r>
                </m:sup>
              </m:sSubSup>
              <m:r>
                <m:rPr>
                  <m:sty m:val="p"/>
                </m:rPr>
                <m:t>=</m:t>
              </m:r>
              <m:sSubSup>
                <m:e>
                  <m:r>
                    <m:t>x</m:t>
                  </m:r>
                </m:e>
                <m:sub>
                  <m:r>
                    <m:t>i</m:t>
                  </m:r>
                </m:sub>
                <m:sup>
                  <m:r>
                    <m:t>c</m:t>
                  </m:r>
                  <m:r>
                    <m:t>a</m:t>
                  </m:r>
                  <m:r>
                    <m:t>t</m:t>
                  </m:r>
                </m:sup>
              </m:sSubSup>
              <m:r>
                <m:rPr>
                  <m:sty m:val="p"/>
                </m:rPr>
                <m:t>}</m:t>
              </m:r>
              <m:r>
                <m:rPr>
                  <m:sty m:val="p"/>
                </m:rPr>
                <m:t>+</m:t>
              </m:r>
              <m:r>
                <m:t>a</m:t>
              </m:r>
            </m:den>
          </m:f>
        </m:oMath>
      </m:oMathPara>
    </w:p>
    <w:p>
      <w:pPr>
        <w:pStyle w:val="FirstParagraph"/>
        <w:spacing w:line="360" w:lineRule="auto"/>
      </w:pPr>
      <w:r>
        <w:rPr>
          <w:rFonts w:ascii="Times New Roman" w:hAnsi="Times New Roman" w:cs="Times New Roman" w:eastAsia="Times New Roman"/>
          <w:sz w:val="24"/>
        </w:rPr>
        <w:t xml:space="preserve">der</w:t>
      </w:r>
      <w:r>
        <w:rPr>
          <w:rFonts w:ascii="Times New Roman" w:hAnsi="Times New Roman" w:cs="Times New Roman" w:eastAsia="Times New Roman"/>
          <w:sz w:val="24"/>
        </w:rPr>
        <w:t xml:space="preserve"> </w:t>
      </w:r>
      <m:oMath>
        <m:r>
          <m:t>a</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er en glattings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prior og</w:t>
      </w:r>
      <w:r>
        <w:rPr>
          <w:rFonts w:ascii="Times New Roman" w:hAnsi="Times New Roman" w:cs="Times New Roman" w:eastAsia="Times New Roman"/>
          <w:sz w:val="24"/>
        </w:rPr>
        <w:t xml:space="preserve"> </w:t>
      </w:r>
      <m:oMath>
        <m:r>
          <m:t>p</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er en global prior (f.eks. globalt mål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gjennom</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snitt). Glattingen håndterer lav-frekvente kategorier robust.</w:t>
      </w:r>
    </w:p>
    <w:p>
      <w:pPr>
        <w:pStyle w:val="BodyText"/>
        <w:spacing w:line="360" w:lineRule="auto"/>
      </w:pPr>
      <w:r>
        <w:rPr>
          <w:rFonts w:ascii="Times New Roman" w:hAnsi="Times New Roman" w:cs="Times New Roman" w:eastAsia="Times New Roman"/>
          <w:sz w:val="24"/>
        </w:rPr>
        <w:t xml:space="preserve">I NautiCost er CatBoost paret med LightGBM i ensembelet (§ 6.3) fordi den bringer en annen induktiv bias — symmetriske trær og ordered encoding — som dekorrelerer feilene med LightGBMs leaf-wise asymmetriske trær og reduserer ensemble-variansen.</w:t>
      </w:r>
    </w:p>
    <w:p>
      <w:pPr>
        <w:pStyle w:val="BodyText"/>
        <w:spacing w:line="360" w:lineRule="auto"/>
      </w:pPr>
      <w:r>
        <w:rPr>
          <w:rFonts w:ascii="Times New Roman" w:hAnsi="Times New Roman" w:cs="Times New Roman" w:eastAsia="Times New Roman"/>
          <w:i/>
          <w:iCs/>
          <w:sz w:val="24"/>
        </w:rPr>
        <w:t xml:space="preserve">Relevans: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CatBoosts uavhengige induktive bias (symmetriske trær, ordered encoding) dekorrelerer feil mot LightGBM og gir ensemble-arkitekturen i § 6.3 mer robusthet ved drift.</w:t>
      </w:r>
    </w:p>
    <w:bookmarkEnd w:id="25"/>
    <w:bookmarkStart w:id="26" w:name="log-transformert-mål-og-evaluering"/>
    <w:p>
      <w:pPr>
        <w:pStyle w:val="Heading3"/>
        <w:spacing w:line="360" w:lineRule="auto"/>
      </w:pPr>
      <w:r>
        <w:rPr>
          <w:rFonts w:ascii="Times New Roman" w:hAnsi="Times New Roman" w:cs="Times New Roman" w:eastAsia="Times New Roman"/>
          <w:sz w:val="24"/>
        </w:rPr>
        <w:t xml:space="preserve">3.4 Log-transformert mål og evaluering</w:t>
      </w:r>
    </w:p>
    <w:p>
      <w:pPr>
        <w:pStyle w:val="FirstParagraph"/>
        <w:spacing w:line="360" w:lineRule="auto"/>
      </w:pPr>
      <w:r>
        <w:rPr>
          <w:rFonts w:ascii="Times New Roman" w:hAnsi="Times New Roman" w:cs="Times New Roman" w:eastAsia="Times New Roman"/>
          <w:sz w:val="24"/>
        </w:rPr>
        <w:t xml:space="preserve">Mål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variabelen</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final_charge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er sterkt høyreskjev: enkelte transaksjoner er 50–100× større enn medianen (jf. § 7.1). To konsekvenser for modellering:</w:t>
      </w:r>
    </w:p>
    <w:p>
      <w:pPr>
        <w:pStyle w:val="Compact"/>
        <w:numPr>
          <w:ilvl w:val="0"/>
          <w:numId w:val="1005"/>
        </w:numPr>
        <w:spacing w:line="360" w:lineRule="auto"/>
      </w:pPr>
      <w:r>
        <w:rPr>
          <w:rFonts w:ascii="Times New Roman" w:hAnsi="Times New Roman" w:cs="Times New Roman" w:eastAsia="Times New Roman"/>
          <w:sz w:val="24"/>
        </w:rPr>
        <w:t xml:space="preserve">Gradient boosting med kvadrat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tap domineres av de største residualene. Uten transformasjon bruker modellen mesteparten av kapasiteten på å redusere feilen for en håndfull dyre transaksjoner mens feilen ellers øker.</w:t>
      </w:r>
    </w:p>
    <w:p>
      <w:pPr>
        <w:pStyle w:val="Compact"/>
        <w:numPr>
          <w:ilvl w:val="0"/>
          <w:numId w:val="1005"/>
        </w:numPr>
        <w:spacing w:line="360" w:lineRule="auto"/>
      </w:pPr>
      <w:r>
        <w:rPr>
          <w:rFonts w:ascii="Times New Roman" w:hAnsi="Times New Roman" w:cs="Times New Roman" w:eastAsia="Times New Roman"/>
          <w:sz w:val="24"/>
        </w:rPr>
        <w:t xml:space="preserve">Multiplikative effekter (en yacht som er dobbelt så stor koster grovt sett dobbelt så mye) blir additive i log-rommet, hvilket matcher den additive strukturen i beslutningstrær bedre.</w:t>
      </w:r>
    </w:p>
    <w:p>
      <w:pPr>
        <w:pStyle w:val="FirstParagraph"/>
        <w:spacing w:line="360" w:lineRule="auto"/>
      </w:pPr>
      <w:r>
        <w:rPr>
          <w:rFonts w:ascii="Times New Roman" w:hAnsi="Times New Roman" w:cs="Times New Roman" w:eastAsia="Times New Roman"/>
          <w:sz w:val="24"/>
        </w:rPr>
        <w:t xml:space="preserve">Standardløsningen er en log-transformasjon:</w:t>
      </w:r>
    </w:p>
    <w:p>
      <w:pPr>
        <w:pStyle w:val="BodyText"/>
        <w:spacing w:line="360" w:lineRule="auto"/>
      </w:pPr>
      <m:oMathPara>
        <m:oMathParaPr>
          <m:jc m:val="center"/>
        </m:oMathParaPr>
        <m:oMath>
          <m:r>
            <m:t>y</m:t>
          </m:r>
          <m:r>
            <m:rPr>
              <m:sty m:val="p"/>
            </m:rPr>
            <m:t>=</m:t>
          </m:r>
          <m:r>
            <m:rPr>
              <m:sty m:val="p"/>
            </m:rPr>
            <m:t>log</m:t>
          </m:r>
          <m:r>
            <m:rPr>
              <m:sty m:val="p"/>
            </m:rPr>
            <m:t>(</m:t>
          </m:r>
          <m:r>
            <m:t>1</m:t>
          </m:r>
          <m:r>
            <m:rPr>
              <m:sty m:val="p"/>
            </m:rPr>
            <m:t>+</m:t>
          </m:r>
          <m:r>
            <m:rPr>
              <m:nor/>
              <m:sty m:val="p"/>
            </m:rPr>
            <m:t>final_charge</m:t>
          </m:r>
          <m:r>
            <m:rPr>
              <m:sty m:val="p"/>
            </m:rPr>
            <m:t>)</m:t>
          </m:r>
        </m:oMath>
      </m:oMathPara>
    </w:p>
    <w:p>
      <w:pPr>
        <w:pStyle w:val="FirstParagraph"/>
        <w:spacing w:line="360" w:lineRule="auto"/>
      </w:pPr>
      <w:r>
        <w:rPr>
          <w:rFonts w:ascii="Times New Roman" w:hAnsi="Times New Roman" w:cs="Times New Roman" w:eastAsia="Times New Roman"/>
          <w:sz w:val="24"/>
        </w:rPr>
        <w:t xml:space="preserve">«+1»-shiftet håndterer null-kostnads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transaksjoner uten at</w:t>
      </w:r>
      <w:r>
        <w:rPr>
          <w:rFonts w:ascii="Times New Roman" w:hAnsi="Times New Roman" w:cs="Times New Roman" w:eastAsia="Times New Roman"/>
          <w:sz w:val="24"/>
        </w:rPr>
        <w:t xml:space="preserve"> </w:t>
      </w:r>
      <m:oMath>
        <m:r>
          <m:rPr>
            <m:sty m:val="p"/>
          </m:rPr>
          <m:t>log</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divergerer. Prediksjoner inverteres med</w:t>
      </w:r>
      <w:r>
        <w:rPr>
          <w:rFonts w:ascii="Times New Roman" w:hAnsi="Times New Roman" w:cs="Times New Roman" w:eastAsia="Times New Roman"/>
          <w:sz w:val="24"/>
        </w:rPr>
        <w:t xml:space="preserve"> </w:t>
      </w:r>
      <m:oMath>
        <m:acc>
          <m:accPr>
            <m:chr m:val="̂"/>
          </m:accPr>
          <m:e>
            <m:r>
              <m:t>c</m:t>
            </m:r>
          </m:e>
        </m:acc>
        <m:r>
          <m:rPr>
            <m:sty m:val="p"/>
          </m:rPr>
          <m:t>=</m:t>
        </m:r>
        <m:r>
          <m:rPr>
            <m:sty m:val="p"/>
          </m:rPr>
          <m:t>exp</m:t>
        </m:r>
        <m:r>
          <m:rPr>
            <m:sty m:val="p"/>
          </m:rPr>
          <m:t>(</m:t>
        </m:r>
        <m:acc>
          <m:accPr>
            <m:chr m:val="̂"/>
          </m:accPr>
          <m:e>
            <m:r>
              <m:t>y</m:t>
            </m:r>
          </m:e>
        </m:acc>
        <m:r>
          <m:rPr>
            <m:sty m:val="p"/>
          </m:rPr>
          <m:t>)</m:t>
        </m:r>
        <m:r>
          <m:rPr>
            <m:sty m:val="p"/>
          </m:rPr>
          <m:t>−</m:t>
        </m:r>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før de rapporteres.</w:t>
      </w:r>
    </w:p>
    <w:p>
      <w:pPr>
        <w:pStyle w:val="BodyText"/>
        <w:spacing w:line="360" w:lineRule="auto"/>
      </w:pPr>
      <w:r>
        <w:rPr>
          <w:rFonts w:ascii="Times New Roman" w:hAnsi="Times New Roman" w:cs="Times New Roman" w:eastAsia="Times New Roman"/>
          <w:b/>
          <w:bCs/>
          <w:sz w:val="24"/>
        </w:rPr>
        <w:t xml:space="preserve">Evalueringsmetrikker på opprinnelig EUR-skala (jf. § 1.3 om valutaen i kildedataene):</w:t>
      </w:r>
    </w:p>
    <w:p>
      <w:pPr>
        <w:pStyle w:val="Compact"/>
        <w:numPr>
          <w:ilvl w:val="0"/>
          <w:numId w:val="1006"/>
        </w:numPr>
        <w:spacing w:line="360" w:lineRule="auto"/>
      </w:pPr>
      <w:r>
        <w:rPr>
          <w:rFonts w:ascii="Times New Roman" w:hAnsi="Times New Roman" w:cs="Times New Roman" w:eastAsia="Times New Roman"/>
          <w:b/>
          <w:bCs/>
          <w:sz w:val="24"/>
        </w:rPr>
        <w:t xml:space="preserve">Mean Absolute Error (MAE):</w:t>
      </w:r>
      <w:r>
        <w:rPr>
          <w:rFonts w:ascii="Times New Roman" w:hAnsi="Times New Roman" w:cs="Times New Roman" w:eastAsia="Times New Roman"/>
          <w:sz w:val="24"/>
        </w:rPr>
        <w:t xml:space="preserve"> </w:t>
      </w:r>
      <m:oMath>
        <m:r>
          <m:rPr>
            <m:nor/>
            <m:sty m:val="p"/>
          </m:rPr>
          <m:t>MAE</m:t>
        </m:r>
        <m:r>
          <m:rPr>
            <m:sty m:val="p"/>
          </m:rPr>
          <m:t>=</m:t>
        </m:r>
        <m:f>
          <m:fPr>
            <m:type m:val="bar"/>
          </m:fPr>
          <m:num>
            <m:r>
              <m:t>1</m:t>
            </m:r>
          </m:num>
          <m:den>
            <m:r>
              <m:t>n</m:t>
            </m:r>
          </m:den>
        </m:f>
        <m:nary>
          <m:naryPr>
            <m:chr m:val="∑"/>
            <m:limLoc m:val="undOvr"/>
            <m:subHide m:val="off"/>
            <m:supHide m:val="on"/>
          </m:naryPr>
          <m:sub>
            <m:r>
              <m:t>i</m:t>
            </m:r>
          </m:sub>
          <m:sup>
            <m:r>
              <m:t>​</m:t>
            </m:r>
          </m:sup>
          <m:e>
            <m:r>
              <m:rPr>
                <m:sty m:val="p"/>
              </m:rPr>
              <m:t>|</m:t>
            </m:r>
          </m:e>
        </m:nary>
        <m:sSub>
          <m:e>
            <m:r>
              <m:t>y</m:t>
            </m:r>
          </m:e>
          <m:sub>
            <m:r>
              <m:t>i</m:t>
            </m:r>
          </m:sub>
        </m:sSub>
        <m:r>
          <m:rPr>
            <m:sty m:val="p"/>
          </m:rPr>
          <m:t>−</m:t>
        </m:r>
        <m:sSub>
          <m:e>
            <m:acc>
              <m:accPr>
                <m:chr m:val="̂"/>
              </m:accPr>
              <m:e>
                <m:r>
                  <m:t>y</m:t>
                </m:r>
              </m:e>
            </m:acc>
          </m:e>
          <m:sub>
            <m:r>
              <m:t>i</m:t>
            </m:r>
          </m:sub>
        </m:sSub>
        <m:r>
          <m:rPr>
            <m:sty m:val="p"/>
          </m:rPr>
          <m:t>|</m:t>
        </m:r>
      </m:oMath>
      <w:r>
        <w:rPr>
          <w:rFonts w:ascii="Times New Roman" w:hAnsi="Times New Roman" w:cs="Times New Roman" w:eastAsia="Times New Roman"/>
          <w:sz w:val="24"/>
        </w:rPr>
        <w:t xml:space="preserve">. Rapporterer absolutt avvik i EUR; robust mot outliers.</w:t>
      </w:r>
    </w:p>
    <w:p>
      <w:pPr>
        <w:pStyle w:val="Compact"/>
        <w:numPr>
          <w:ilvl w:val="0"/>
          <w:numId w:val="1006"/>
        </w:numPr>
        <w:spacing w:line="360" w:lineRule="auto"/>
      </w:pPr>
      <w:r>
        <w:rPr>
          <w:rFonts w:ascii="Times New Roman" w:hAnsi="Times New Roman" w:cs="Times New Roman" w:eastAsia="Times New Roman"/>
          <w:b/>
          <w:bCs/>
          <w:sz w:val="24"/>
        </w:rPr>
        <w:t xml:space="preserve">Root Mean Squared Error (RMSE):</w:t>
      </w:r>
      <w:r>
        <w:rPr>
          <w:rFonts w:ascii="Times New Roman" w:hAnsi="Times New Roman" w:cs="Times New Roman" w:eastAsia="Times New Roman"/>
          <w:sz w:val="24"/>
        </w:rPr>
        <w:t xml:space="preserve"> </w:t>
      </w:r>
      <m:oMath>
        <m:r>
          <m:rPr>
            <m:nor/>
            <m:sty m:val="p"/>
          </m:rPr>
          <m:t>RMSE</m:t>
        </m:r>
        <m:r>
          <m:rPr>
            <m:sty m:val="p"/>
          </m:rPr>
          <m:t>=</m:t>
        </m:r>
        <m:rad>
          <m:radPr>
            <m:degHide m:val="on"/>
          </m:radPr>
          <m:deg/>
          <m:e>
            <m:f>
              <m:fPr>
                <m:type m:val="bar"/>
              </m:fPr>
              <m:num>
                <m:r>
                  <m:t>1</m:t>
                </m:r>
              </m:num>
              <m:den>
                <m:r>
                  <m:t>n</m:t>
                </m:r>
              </m:den>
            </m:f>
            <m:nary>
              <m:naryPr>
                <m:chr m:val="∑"/>
                <m:limLoc m:val="undOvr"/>
                <m:subHide m:val="off"/>
                <m:supHide m:val="on"/>
              </m:naryPr>
              <m:sub>
                <m:r>
                  <m:t>i</m:t>
                </m:r>
              </m:sub>
              <m:sup>
                <m:r>
                  <m:t>​</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e>
        </m:rad>
      </m:oMath>
      <w:r>
        <w:rPr>
          <w:rFonts w:ascii="Times New Roman" w:hAnsi="Times New Roman" w:cs="Times New Roman" w:eastAsia="Times New Roman"/>
          <w:sz w:val="24"/>
        </w:rPr>
        <w:t xml:space="preserve">. Straffer store feil hardere; sensitiv mot outliers.</w:t>
      </w:r>
    </w:p>
    <w:p>
      <w:pPr>
        <w:pStyle w:val="Compact"/>
        <w:numPr>
          <w:ilvl w:val="0"/>
          <w:numId w:val="1006"/>
        </w:numPr>
        <w:spacing w:line="360" w:lineRule="auto"/>
      </w:pPr>
      <w:r>
        <w:rPr>
          <w:rFonts w:ascii="Times New Roman" w:hAnsi="Times New Roman" w:cs="Times New Roman" w:eastAsia="Times New Roman"/>
          <w:b/>
          <w:bCs/>
          <w:sz w:val="24"/>
        </w:rPr>
        <w:t xml:space="preserve">Mean Absolute Percentage Error (MAPE):</w:t>
      </w:r>
      <w:r>
        <w:rPr>
          <w:rFonts w:ascii="Times New Roman" w:hAnsi="Times New Roman" w:cs="Times New Roman" w:eastAsia="Times New Roman"/>
          <w:sz w:val="24"/>
        </w:rPr>
        <w:t xml:space="preserve"> </w:t>
      </w:r>
      <m:oMath>
        <m:r>
          <m:rPr>
            <m:nor/>
            <m:sty m:val="p"/>
          </m:rPr>
          <m:t>MAPE</m:t>
        </m:r>
        <m:r>
          <m:rPr>
            <m:sty m:val="p"/>
          </m:rPr>
          <m:t>=</m:t>
        </m:r>
        <m:f>
          <m:fPr>
            <m:type m:val="bar"/>
          </m:fPr>
          <m:num>
            <m:r>
              <m:t>100</m:t>
            </m:r>
          </m:num>
          <m:den>
            <m:r>
              <m:t>n</m:t>
            </m:r>
          </m:den>
        </m:f>
        <m:nary>
          <m:naryPr>
            <m:chr m:val="∑"/>
            <m:limLoc m:val="undOvr"/>
            <m:subHide m:val="off"/>
            <m:supHide m:val="on"/>
          </m:naryPr>
          <m:sub>
            <m:r>
              <m:t>i</m:t>
            </m:r>
          </m:sub>
          <m:sup>
            <m:r>
              <m:t>​</m:t>
            </m:r>
          </m:sup>
          <m:e>
            <m:d>
              <m:dPr>
                <m:begChr m:val="|"/>
                <m:sepChr m:val=""/>
                <m:endChr m:val="|"/>
                <m:grow/>
              </m:dPr>
              <m:e>
                <m:f>
                  <m:fPr>
                    <m:type m:val="bar"/>
                  </m:fPr>
                  <m:num>
                    <m:sSub>
                      <m:e>
                        <m:r>
                          <m:t>y</m:t>
                        </m:r>
                      </m:e>
                      <m:sub>
                        <m:r>
                          <m:t>i</m:t>
                        </m:r>
                      </m:sub>
                    </m:sSub>
                    <m:r>
                      <m:rPr>
                        <m:sty m:val="p"/>
                      </m:rPr>
                      <m:t>−</m:t>
                    </m:r>
                    <m:sSub>
                      <m:e>
                        <m:acc>
                          <m:accPr>
                            <m:chr m:val="̂"/>
                          </m:accPr>
                          <m:e>
                            <m:r>
                              <m:t>y</m:t>
                            </m:r>
                          </m:e>
                        </m:acc>
                      </m:e>
                      <m:sub>
                        <m:r>
                          <m:t>i</m:t>
                        </m:r>
                      </m:sub>
                    </m:sSub>
                  </m:num>
                  <m:den>
                    <m:sSub>
                      <m:e>
                        <m:r>
                          <m:t>y</m:t>
                        </m:r>
                      </m:e>
                      <m:sub>
                        <m:r>
                          <m:t>i</m:t>
                        </m:r>
                      </m:sub>
                    </m:sSub>
                  </m:den>
                </m:f>
              </m:e>
            </m:d>
          </m:e>
        </m:nary>
      </m:oMath>
      <w:r>
        <w:rPr>
          <w:rFonts w:ascii="Times New Roman" w:hAnsi="Times New Roman" w:cs="Times New Roman" w:eastAsia="Times New Roman"/>
          <w:sz w:val="24"/>
        </w:rPr>
        <w:t xml:space="preserve">. Rapporterer relativ feil i prosent; sensitiv mot små nevnere — små</w:t>
      </w:r>
      <w:r>
        <w:rPr>
          <w:rFonts w:ascii="Times New Roman" w:hAnsi="Times New Roman" w:cs="Times New Roman" w:eastAsia="Times New Roman"/>
          <w:sz w:val="24"/>
        </w:rPr>
        <w:t xml:space="preserve"> </w:t>
      </w:r>
      <m:oMath>
        <m:sSub>
          <m:e>
            <m:r>
              <m:t>y</m:t>
            </m:r>
          </m:e>
          <m:sub>
            <m:r>
              <m:t>i</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blåser opp MAPE.</w:t>
      </w:r>
    </w:p>
    <w:p>
      <w:pPr>
        <w:pStyle w:val="Compact"/>
        <w:numPr>
          <w:ilvl w:val="0"/>
          <w:numId w:val="1006"/>
        </w:numPr>
        <w:spacing w:line="360" w:lineRule="auto"/>
      </w:pPr>
      <w:r>
        <w:rPr>
          <w:rFonts w:ascii="Times New Roman" w:hAnsi="Times New Roman" w:cs="Times New Roman" w:eastAsia="Times New Roman"/>
          <w:b/>
          <w:bCs/>
          <w:sz w:val="24"/>
        </w:rPr>
        <w:t xml:space="preserve">Weighted MAPE (wMAPE):</w:t>
      </w:r>
      <w:r>
        <w:rPr>
          <w:rFonts w:ascii="Times New Roman" w:hAnsi="Times New Roman" w:cs="Times New Roman" w:eastAsia="Times New Roman"/>
          <w:sz w:val="24"/>
        </w:rPr>
        <w:t xml:space="preserve"> </w:t>
      </w:r>
      <m:oMath>
        <m:r>
          <m:rPr>
            <m:nor/>
            <m:sty m:val="p"/>
          </m:rPr>
          <m:t>wMAPE</m:t>
        </m:r>
        <m:r>
          <m:rPr>
            <m:sty m:val="p"/>
          </m:rPr>
          <m:t>=</m:t>
        </m:r>
        <m:r>
          <m:t>100</m:t>
        </m:r>
        <m:r>
          <m:rPr>
            <m:sty m:val="p"/>
          </m:rPr>
          <m:t>⋅</m:t>
        </m:r>
        <m:f>
          <m:fPr>
            <m:type m:val="bar"/>
          </m:fPr>
          <m:num>
            <m:nary>
              <m:naryPr>
                <m:chr m:val="∑"/>
                <m:limLoc m:val="undOvr"/>
                <m:subHide m:val="off"/>
                <m:supHide m:val="on"/>
              </m:naryPr>
              <m:sub>
                <m:r>
                  <m:t>i</m:t>
                </m:r>
              </m:sub>
              <m:sup>
                <m:r>
                  <m:t>​</m:t>
                </m:r>
              </m:sup>
              <m:e>
                <m:r>
                  <m:rPr>
                    <m:sty m:val="p"/>
                  </m:rPr>
                  <m:t>|</m:t>
                </m:r>
              </m:e>
            </m:nary>
            <m:sSub>
              <m:e>
                <m:r>
                  <m:t>y</m:t>
                </m:r>
              </m:e>
              <m:sub>
                <m:r>
                  <m:t>i</m:t>
                </m:r>
              </m:sub>
            </m:sSub>
            <m:r>
              <m:rPr>
                <m:sty m:val="p"/>
              </m:rPr>
              <m:t>−</m:t>
            </m:r>
            <m:sSub>
              <m:e>
                <m:acc>
                  <m:accPr>
                    <m:chr m:val="̂"/>
                  </m:accPr>
                  <m:e>
                    <m:r>
                      <m:t>y</m:t>
                    </m:r>
                  </m:e>
                </m:acc>
              </m:e>
              <m:sub>
                <m:r>
                  <m:t>i</m:t>
                </m:r>
              </m:sub>
            </m:sSub>
            <m:r>
              <m:rPr>
                <m:sty m:val="p"/>
              </m:rPr>
              <m:t>|</m:t>
            </m:r>
          </m:num>
          <m:den>
            <m:nary>
              <m:naryPr>
                <m:chr m:val="∑"/>
                <m:limLoc m:val="undOvr"/>
                <m:subHide m:val="off"/>
                <m:supHide m:val="on"/>
              </m:naryPr>
              <m:sub>
                <m:r>
                  <m:t>i</m:t>
                </m:r>
              </m:sub>
              <m:sup>
                <m:r>
                  <m:t>​</m:t>
                </m:r>
              </m:sup>
              <m:e>
                <m:r>
                  <m:rPr>
                    <m:sty m:val="p"/>
                  </m:rPr>
                  <m:t>|</m:t>
                </m:r>
              </m:e>
            </m:nary>
            <m:sSub>
              <m:e>
                <m:r>
                  <m:t>y</m:t>
                </m:r>
              </m:e>
              <m:sub>
                <m:r>
                  <m:t>i</m:t>
                </m:r>
              </m:sub>
            </m:sSub>
            <m:r>
              <m:rPr>
                <m:sty m:val="p"/>
              </m:rPr>
              <m:t>|</m:t>
            </m:r>
          </m:den>
        </m:f>
      </m:oMath>
      <w:r>
        <w:rPr>
          <w:rFonts w:ascii="Times New Roman" w:hAnsi="Times New Roman" w:cs="Times New Roman" w:eastAsia="Times New Roman"/>
          <w:sz w:val="24"/>
        </w:rPr>
        <w:t xml:space="preserve">. Volum</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vektet versjon av MAPE der hver feil vektes etter faktura</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beløpet; ikke sårbar for små nevnere. Ekvivalent med</w:t>
      </w:r>
      <w:r>
        <w:rPr>
          <w:rFonts w:ascii="Times New Roman" w:hAnsi="Times New Roman" w:cs="Times New Roman" w:eastAsia="Times New Roman"/>
          <w:sz w:val="24"/>
        </w:rPr>
        <w:t xml:space="preserve"> </w:t>
      </w:r>
      <m:oMath>
        <m:r>
          <m:rPr>
            <m:nor/>
            <m:sty m:val="p"/>
          </m:rPr>
          <m:t>MAE</m:t>
        </m:r>
        <m:r>
          <m:rPr>
            <m:sty m:val="p"/>
          </m:rPr>
          <m:t>/</m:t>
        </m:r>
        <m:bar>
          <m:barPr>
            <m:pos m:val="top"/>
          </m:barPr>
          <m:e>
            <m:r>
              <m:t>y</m:t>
            </m:r>
          </m:e>
        </m:bar>
      </m:oMath>
      <w:r>
        <w:rPr>
          <w:rFonts w:ascii="Times New Roman" w:hAnsi="Times New Roman" w:cs="Times New Roman" w:eastAsia="Times New Roman"/>
          <w:sz w:val="24"/>
        </w:rPr>
        <w:t xml:space="preserve">.</w:t>
      </w:r>
    </w:p>
    <w:p>
      <w:pPr>
        <w:pStyle w:val="FirstParagraph"/>
        <w:spacing w:line="360" w:lineRule="auto"/>
      </w:pPr>
      <w:r>
        <w:rPr>
          <w:rFonts w:ascii="Times New Roman" w:hAnsi="Times New Roman" w:cs="Times New Roman" w:eastAsia="Times New Roman"/>
          <w:sz w:val="24"/>
        </w:rPr>
        <w:t xml:space="preserve">I et høyreskjevt kostnads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scenario er</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MAE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den mest operasjonelt meningsfulle metrikken: en feil på 5 000 EUR har samme størrelses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orden enten regningen er på 10 000 eller 100 000 EUR.</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wMAPE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rapporteres som relativ metrikk fordi den ikke straffes urimelig av små transaksjoner og lar seg tolke som «total bom i prosent av total kostnad». MAPE rapporteres for fullstendighet og sammenlignbarhet med eksisterende litteratur, men tolkes med forsiktighet fordi små fakturaer dominerer gjennomsnittet. RMSE fanger om modellen har sjeldne store bom</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skudd og brukes som sekundær ranking</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metrikk.</w:t>
      </w:r>
    </w:p>
    <w:p>
      <w:pPr>
        <w:pStyle w:val="BodyText"/>
        <w:spacing w:line="360" w:lineRule="auto"/>
      </w:pPr>
      <w:r>
        <w:rPr>
          <w:rFonts w:ascii="Times New Roman" w:hAnsi="Times New Roman" w:cs="Times New Roman" w:eastAsia="Times New Roman"/>
          <w:i/>
          <w:iCs/>
          <w:sz w:val="24"/>
        </w:rPr>
        <w:t xml:space="preserve">Relevans: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Log-MSE-tap og MAE som primær metrikk er direkte konsekvenser av kostnadsfordelingens skjevhet (§ 7.1).</w:t>
      </w:r>
    </w:p>
    <w:bookmarkEnd w:id="26"/>
    <w:bookmarkStart w:id="27" w:name="kvantilregresjon-og-konform-prediksjon"/>
    <w:p>
      <w:pPr>
        <w:pStyle w:val="Heading3"/>
        <w:spacing w:line="360" w:lineRule="auto"/>
      </w:pPr>
      <w:r>
        <w:rPr>
          <w:rFonts w:ascii="Times New Roman" w:hAnsi="Times New Roman" w:cs="Times New Roman" w:eastAsia="Times New Roman"/>
          <w:sz w:val="24"/>
        </w:rPr>
        <w:t xml:space="preserve">3.5 Kvantil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regresjon og konform prediksjon</w:t>
      </w:r>
    </w:p>
    <w:p>
      <w:pPr>
        <w:pStyle w:val="FirstParagraph"/>
        <w:spacing w:line="360" w:lineRule="auto"/>
      </w:pPr>
      <w:r>
        <w:rPr>
          <w:rFonts w:ascii="Times New Roman" w:hAnsi="Times New Roman" w:cs="Times New Roman" w:eastAsia="Times New Roman"/>
          <w:sz w:val="24"/>
        </w:rPr>
        <w:t xml:space="preserve">Punktprediksjoner er utilstrekkelige når kostnads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fordelingen er høyreskjev og en agent må kommunisere «dette er typisk kostnad, dette er den øvre plausible grensen». Kvantil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regresjon og konform prediksjon gir</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intervaller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med kalibrert dekning.</w:t>
      </w:r>
    </w:p>
    <w:p>
      <w:pPr>
        <w:pStyle w:val="BodyText"/>
        <w:spacing w:line="360" w:lineRule="auto"/>
      </w:pPr>
      <w:r>
        <w:rPr>
          <w:rFonts w:ascii="Times New Roman" w:hAnsi="Times New Roman" w:cs="Times New Roman" w:eastAsia="Times New Roman"/>
          <w:b/>
          <w:bCs/>
          <w:sz w:val="24"/>
        </w:rPr>
        <w:t xml:space="preserve">Kvantil</w:t>
      </w:r>
      <w:r>
        <w:rPr>
          <w:rFonts w:ascii="Times New Roman" w:hAnsi="Times New Roman" w:cs="Times New Roman" w:eastAsia="Times New Roman"/>
          <w:b/>
          <w:bCs/>
          <w:sz w:val="24"/>
        </w:rPr>
        <w:softHyphen/>
      </w:r>
      <w:r>
        <w:rPr>
          <w:rFonts w:ascii="Times New Roman" w:hAnsi="Times New Roman" w:cs="Times New Roman" w:eastAsia="Times New Roman"/>
          <w:b/>
          <w:bCs/>
          <w:sz w:val="24"/>
        </w:rPr>
        <w:t xml:space="preserve">regresjon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trener en modell til å predikere</w:t>
      </w:r>
      <w:r>
        <w:rPr>
          <w:rFonts w:ascii="Times New Roman" w:hAnsi="Times New Roman" w:cs="Times New Roman" w:eastAsia="Times New Roman"/>
          <w:sz w:val="24"/>
        </w:rPr>
        <w:t xml:space="preserve"> </w:t>
      </w:r>
      <m:oMath>
        <m:r>
          <m:t>τ</m:t>
        </m:r>
      </m:oMath>
      <w:r>
        <w:rPr>
          <w:rFonts w:ascii="Times New Roman" w:hAnsi="Times New Roman" w:cs="Times New Roman" w:eastAsia="Times New Roman"/>
          <w:sz w:val="24"/>
        </w:rPr>
        <w:t xml:space="preserve">-kvantilet av</w:t>
      </w:r>
      <w:r>
        <w:rPr>
          <w:rFonts w:ascii="Times New Roman" w:hAnsi="Times New Roman" w:cs="Times New Roman" w:eastAsia="Times New Roman"/>
          <w:sz w:val="24"/>
        </w:rPr>
        <w:t xml:space="preserve"> </w:t>
      </w:r>
      <m:oMath>
        <m:r>
          <m:t>y</m:t>
        </m:r>
        <m:r>
          <m:rPr>
            <m:sty m:val="p"/>
          </m:rPr>
          <m:t>∣</m:t>
        </m:r>
        <m:r>
          <m:t>x</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ved å minimere pinball-tapet:</w:t>
      </w:r>
    </w:p>
    <w:p>
      <w:pPr>
        <w:pStyle w:val="BodyText"/>
        <w:spacing w:line="360" w:lineRule="auto"/>
      </w:pPr>
      <m:oMathPara>
        <m:oMathParaPr>
          <m:jc m:val="center"/>
        </m:oMathParaPr>
        <m:oMath>
          <m:sSub>
            <m:e>
              <m:r>
                <m:t>L</m:t>
              </m:r>
            </m:e>
            <m:sub>
              <m:r>
                <m:t>τ</m:t>
              </m:r>
            </m:sub>
          </m:sSub>
          <m:r>
            <m:rPr>
              <m:sty m:val="p"/>
            </m:rPr>
            <m:t>(</m:t>
          </m:r>
          <m:r>
            <m:t>y</m:t>
          </m:r>
          <m:r>
            <m:rPr>
              <m:sty m:val="p"/>
            </m:rPr>
            <m:t>,</m:t>
          </m:r>
          <m:acc>
            <m:accPr>
              <m:chr m:val="̂"/>
            </m:accPr>
            <m:e>
              <m:r>
                <m:t>y</m:t>
              </m:r>
            </m:e>
          </m:acc>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τ</m:t>
                    </m:r>
                    <m:r>
                      <m:rPr>
                        <m:sty m:val="p"/>
                      </m:rPr>
                      <m:t>(</m:t>
                    </m:r>
                    <m:r>
                      <m:t>y</m:t>
                    </m:r>
                    <m:r>
                      <m:rPr>
                        <m:sty m:val="p"/>
                      </m:rPr>
                      <m:t>−</m:t>
                    </m:r>
                    <m:acc>
                      <m:accPr>
                        <m:chr m:val="̂"/>
                      </m:accPr>
                      <m:e>
                        <m:r>
                          <m:t>y</m:t>
                        </m:r>
                      </m:e>
                    </m:acc>
                    <m:r>
                      <m:rPr>
                        <m:sty m:val="p"/>
                      </m:rPr>
                      <m:t>)</m:t>
                    </m:r>
                  </m:e>
                  <m:e>
                    <m:r>
                      <m:rPr>
                        <m:nor/>
                        <m:sty m:val="p"/>
                      </m:rPr>
                      <m:t>hvis </m:t>
                    </m:r>
                    <m:r>
                      <m:t>y</m:t>
                    </m:r>
                    <m:r>
                      <m:rPr>
                        <m:sty m:val="p"/>
                      </m:rPr>
                      <m:t>≥</m:t>
                    </m:r>
                    <m:acc>
                      <m:accPr>
                        <m:chr m:val="̂"/>
                      </m:accPr>
                      <m:e>
                        <m:r>
                          <m:t>y</m:t>
                        </m:r>
                      </m:e>
                    </m:acc>
                  </m:e>
                </m:mr>
                <m:mr>
                  <m:e>
                    <m:r>
                      <m:rPr>
                        <m:sty m:val="p"/>
                      </m:rPr>
                      <m:t>(</m:t>
                    </m:r>
                    <m:r>
                      <m:t>1</m:t>
                    </m:r>
                    <m:r>
                      <m:rPr>
                        <m:sty m:val="p"/>
                      </m:rPr>
                      <m:t>−</m:t>
                    </m:r>
                    <m:r>
                      <m:t>τ</m:t>
                    </m:r>
                    <m:r>
                      <m:rPr>
                        <m:sty m:val="p"/>
                      </m:rPr>
                      <m:t>)</m:t>
                    </m:r>
                    <m:r>
                      <m:rPr>
                        <m:sty m:val="p"/>
                      </m:rPr>
                      <m:t>(</m:t>
                    </m:r>
                    <m:acc>
                      <m:accPr>
                        <m:chr m:val="̂"/>
                      </m:accPr>
                      <m:e>
                        <m:r>
                          <m:t>y</m:t>
                        </m:r>
                      </m:e>
                    </m:acc>
                    <m:r>
                      <m:rPr>
                        <m:sty m:val="p"/>
                      </m:rPr>
                      <m:t>−</m:t>
                    </m:r>
                    <m:r>
                      <m:t>y</m:t>
                    </m:r>
                    <m:r>
                      <m:rPr>
                        <m:sty m:val="p"/>
                      </m:rPr>
                      <m:t>)</m:t>
                    </m:r>
                  </m:e>
                  <m:e>
                    <m:r>
                      <m:rPr>
                        <m:nor/>
                        <m:sty m:val="p"/>
                      </m:rPr>
                      <m:t>hvis </m:t>
                    </m:r>
                    <m:r>
                      <m:t>y</m:t>
                    </m:r>
                    <m:r>
                      <m:rPr>
                        <m:sty m:val="p"/>
                      </m:rPr>
                      <m:t>&lt;</m:t>
                    </m:r>
                    <m:acc>
                      <m:accPr>
                        <m:chr m:val="̂"/>
                      </m:accPr>
                      <m:e>
                        <m:r>
                          <m:t>y</m:t>
                        </m:r>
                      </m:e>
                    </m:acc>
                  </m:e>
                </m:mr>
              </m:m>
            </m:e>
          </m:d>
        </m:oMath>
      </m:oMathPara>
    </w:p>
    <w:p>
      <w:pPr>
        <w:pStyle w:val="FirstParagraph"/>
        <w:spacing w:line="360" w:lineRule="auto"/>
      </w:pPr>
      <w:r>
        <w:rPr>
          <w:rFonts w:ascii="Times New Roman" w:hAnsi="Times New Roman" w:cs="Times New Roman" w:eastAsia="Times New Roman"/>
          <w:sz w:val="24"/>
        </w:rPr>
        <w:t xml:space="preserve">For</w:t>
      </w:r>
      <w:r>
        <w:rPr>
          <w:rFonts w:ascii="Times New Roman" w:hAnsi="Times New Roman" w:cs="Times New Roman" w:eastAsia="Times New Roman"/>
          <w:sz w:val="24"/>
        </w:rPr>
        <w:t xml:space="preserve"> </w:t>
      </w:r>
      <m:oMath>
        <m:r>
          <m:t>τ</m:t>
        </m:r>
        <m:r>
          <m:rPr>
            <m:sty m:val="p"/>
          </m:rPr>
          <m:t>=</m:t>
        </m:r>
        <m:r>
          <m:t>0</m:t>
        </m:r>
        <m:r>
          <m:rPr>
            <m:sty m:val="p"/>
          </m:rPr>
          <m:t>,</m:t>
        </m:r>
        <m:r>
          <m:t>5</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reduseres dette til middel absolutt feil og gir en median-prediktor. For</w:t>
      </w:r>
      <w:r>
        <w:rPr>
          <w:rFonts w:ascii="Times New Roman" w:hAnsi="Times New Roman" w:cs="Times New Roman" w:eastAsia="Times New Roman"/>
          <w:sz w:val="24"/>
        </w:rPr>
        <w:t xml:space="preserve"> </w:t>
      </w:r>
      <m:oMath>
        <m:r>
          <m:t>τ</m:t>
        </m:r>
        <m:r>
          <m:rPr>
            <m:sty m:val="p"/>
          </m:rPr>
          <m:t>=</m:t>
        </m:r>
        <m:r>
          <m:t>0</m:t>
        </m:r>
        <m:r>
          <m:rPr>
            <m:sty m:val="p"/>
          </m:rPr>
          <m:t>,</m:t>
        </m:r>
        <m:r>
          <m:t>9</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gir det en modell der prediksjonen overstiges av sann verdi 10 % av tiden (asymptotisk). LightGBM støtter pinball-tapet som innebygd objektiv; vi trener tre separate modeller for</w:t>
      </w:r>
      <w:r>
        <w:rPr>
          <w:rFonts w:ascii="Times New Roman" w:hAnsi="Times New Roman" w:cs="Times New Roman" w:eastAsia="Times New Roman"/>
          <w:sz w:val="24"/>
        </w:rPr>
        <w:t xml:space="preserve"> </w:t>
      </w:r>
      <m:oMath>
        <m:r>
          <m:t>τ</m:t>
        </m:r>
        <m:r>
          <m:rPr>
            <m:sty m:val="p"/>
          </m:rPr>
          <m:t>∈</m:t>
        </m:r>
        <m:r>
          <m:rPr>
            <m:sty m:val="p"/>
          </m:rPr>
          <m:t>{</m:t>
        </m:r>
        <m:r>
          <m:t>0</m:t>
        </m:r>
        <m:r>
          <m:rPr>
            <m:sty m:val="p"/>
          </m:rPr>
          <m:t>,</m:t>
        </m:r>
        <m:r>
          <m:t>1</m:t>
        </m:r>
        <m:r>
          <m:rPr>
            <m:sty m:val="p"/>
          </m:rPr>
          <m:t>;</m:t>
        </m:r>
        <m:r>
          <m:t>0</m:t>
        </m:r>
        <m:r>
          <m:rPr>
            <m:sty m:val="p"/>
          </m:rPr>
          <m:t>,</m:t>
        </m:r>
        <m:r>
          <m:t>5</m:t>
        </m:r>
        <m:r>
          <m:rPr>
            <m:sty m:val="p"/>
          </m:rPr>
          <m:t>;</m:t>
        </m:r>
        <m:r>
          <m:t>0</m:t>
        </m:r>
        <m:r>
          <m:rPr>
            <m:sty m:val="p"/>
          </m:rPr>
          <m:t>,</m:t>
        </m:r>
        <m:r>
          <m:t>9</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å oppnå P10/P50/P90-prediksjon.</w:t>
      </w:r>
    </w:p>
    <w:p>
      <w:pPr>
        <w:pStyle w:val="BodyText"/>
        <w:spacing w:line="360" w:lineRule="auto"/>
      </w:pPr>
      <w:r>
        <w:rPr>
          <w:rFonts w:ascii="Times New Roman" w:hAnsi="Times New Roman" w:cs="Times New Roman" w:eastAsia="Times New Roman"/>
          <w:b/>
          <w:bCs/>
          <w:sz w:val="24"/>
        </w:rPr>
        <w:t xml:space="preserve">Kalibrerings</w:t>
      </w:r>
      <w:r>
        <w:rPr>
          <w:rFonts w:ascii="Times New Roman" w:hAnsi="Times New Roman" w:cs="Times New Roman" w:eastAsia="Times New Roman"/>
          <w:b/>
          <w:bCs/>
          <w:sz w:val="24"/>
        </w:rPr>
        <w:softHyphen/>
      </w:r>
      <w:r>
        <w:rPr>
          <w:rFonts w:ascii="Times New Roman" w:hAnsi="Times New Roman" w:cs="Times New Roman" w:eastAsia="Times New Roman"/>
          <w:b/>
          <w:bCs/>
          <w:sz w:val="24"/>
        </w:rPr>
        <w:t xml:space="preserve">problemet.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Selv en velt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renet kvantil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modell garanteres ikke å oppnå nominell dekning på hold-out-data. Empirisk dekning kan drifte fra</w:t>
      </w:r>
      <w:r>
        <w:rPr>
          <w:rFonts w:ascii="Times New Roman" w:hAnsi="Times New Roman" w:cs="Times New Roman" w:eastAsia="Times New Roman"/>
          <w:sz w:val="24"/>
        </w:rPr>
        <w:t xml:space="preserve"> </w:t>
      </w:r>
      <m:oMath>
        <m:r>
          <m:t>1</m:t>
        </m:r>
        <m:r>
          <m:rPr>
            <m:sty m:val="p"/>
          </m:rPr>
          <m:t>−</m:t>
        </m:r>
        <m:r>
          <m:t>2</m:t>
        </m:r>
        <m:r>
          <m:t>α</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grunnet begrenset trenings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data, modell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misspesifikasjon eller fordelings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drift over tid.</w:t>
      </w:r>
    </w:p>
    <w:p>
      <w:pPr>
        <w:pStyle w:val="BodyText"/>
        <w:spacing w:line="360" w:lineRule="auto"/>
      </w:pPr>
      <w:r>
        <w:rPr>
          <w:rFonts w:ascii="Times New Roman" w:hAnsi="Times New Roman" w:cs="Times New Roman" w:eastAsia="Times New Roman"/>
          <w:b/>
          <w:bCs/>
          <w:sz w:val="24"/>
        </w:rPr>
        <w:t xml:space="preserve">Conformalized Quantile Regression (CQR)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(Romano, Patterson &amp; Candès, 2019) bruker et separat kalibrerings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sett til å konvertere en hvilken som helst kvantil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prediktor til et kalibrert prediksjons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intervall. Gitt trenings-, kalibrerings- og test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splitter:</w:t>
      </w:r>
    </w:p>
    <w:p>
      <w:pPr>
        <w:pStyle w:val="Compact"/>
        <w:numPr>
          <w:ilvl w:val="0"/>
          <w:numId w:val="1007"/>
        </w:numPr>
        <w:spacing w:line="360" w:lineRule="auto"/>
      </w:pPr>
      <w:r>
        <w:rPr>
          <w:rFonts w:ascii="Times New Roman" w:hAnsi="Times New Roman" w:cs="Times New Roman" w:eastAsia="Times New Roman"/>
          <w:sz w:val="24"/>
        </w:rPr>
        <w:t xml:space="preserve">Tren kvantil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modeller for</w:t>
      </w:r>
      <w:r>
        <w:rPr>
          <w:rFonts w:ascii="Times New Roman" w:hAnsi="Times New Roman" w:cs="Times New Roman" w:eastAsia="Times New Roman"/>
          <w:sz w:val="24"/>
        </w:rPr>
        <w:t xml:space="preserve"> </w:t>
      </w:r>
      <m:oMath>
        <m:r>
          <m:t>τ</m:t>
        </m:r>
        <m:r>
          <m:rPr>
            <m:sty m:val="p"/>
          </m:rPr>
          <m:t>=</m:t>
        </m:r>
        <m:r>
          <m:t>α</m:t>
        </m:r>
        <m:r>
          <m:rPr>
            <m:sty m:val="p"/>
          </m:rPr>
          <m:t>/</m:t>
        </m:r>
        <m:r>
          <m:t>2</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og</w:t>
      </w:r>
      <w:r>
        <w:rPr>
          <w:rFonts w:ascii="Times New Roman" w:hAnsi="Times New Roman" w:cs="Times New Roman" w:eastAsia="Times New Roman"/>
          <w:sz w:val="24"/>
        </w:rPr>
        <w:t xml:space="preserve"> </w:t>
      </w:r>
      <m:oMath>
        <m:r>
          <m:t>τ</m:t>
        </m:r>
        <m:r>
          <m:rPr>
            <m:sty m:val="p"/>
          </m:rPr>
          <m:t>=</m:t>
        </m:r>
        <m:r>
          <m:t>1</m:t>
        </m:r>
        <m:r>
          <m:rPr>
            <m:sty m:val="p"/>
          </m:rPr>
          <m:t>−</m:t>
        </m:r>
        <m:r>
          <m:t>α</m:t>
        </m:r>
        <m:r>
          <m:rPr>
            <m:sty m:val="p"/>
          </m:rPr>
          <m:t>/</m:t>
        </m:r>
        <m:r>
          <m:t>2</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på trenings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settet, og oppnå</w:t>
      </w:r>
      <w:r>
        <w:rPr>
          <w:rFonts w:ascii="Times New Roman" w:hAnsi="Times New Roman" w:cs="Times New Roman" w:eastAsia="Times New Roman"/>
          <w:sz w:val="24"/>
        </w:rPr>
        <w:t xml:space="preserve"> </w:t>
      </w:r>
      <m:oMath>
        <m:sSub>
          <m:e>
            <m:acc>
              <m:accPr>
                <m:chr m:val="̂"/>
              </m:accPr>
              <m:e>
                <m:r>
                  <m:t>q</m:t>
                </m:r>
              </m:e>
            </m:acc>
          </m:e>
          <m:sub>
            <m:r>
              <m:t>l</m:t>
            </m:r>
            <m:r>
              <m:t>o</m:t>
            </m:r>
          </m:sub>
        </m:sSub>
        <m:r>
          <m:rPr>
            <m:sty m:val="p"/>
          </m:rPr>
          <m:t>(</m:t>
        </m:r>
        <m:r>
          <m:t>x</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og</w:t>
      </w:r>
      <w:r>
        <w:rPr>
          <w:rFonts w:ascii="Times New Roman" w:hAnsi="Times New Roman" w:cs="Times New Roman" w:eastAsia="Times New Roman"/>
          <w:sz w:val="24"/>
        </w:rPr>
        <w:t xml:space="preserve"> </w:t>
      </w:r>
      <m:oMath>
        <m:sSub>
          <m:e>
            <m:acc>
              <m:accPr>
                <m:chr m:val="̂"/>
              </m:accPr>
              <m:e>
                <m:r>
                  <m:t>q</m:t>
                </m:r>
              </m:e>
            </m:acc>
          </m:e>
          <m:sub>
            <m:r>
              <m:t>h</m:t>
            </m:r>
            <m:r>
              <m:t>i</m:t>
            </m:r>
          </m:sub>
        </m:sSub>
        <m:r>
          <m:rPr>
            <m:sty m:val="p"/>
          </m:rPr>
          <m:t>(</m:t>
        </m:r>
        <m:r>
          <m:t>x</m:t>
        </m:r>
        <m:r>
          <m:rPr>
            <m:sty m:val="p"/>
          </m:rPr>
          <m:t>)</m:t>
        </m:r>
      </m:oMath>
      <w:r>
        <w:rPr>
          <w:rFonts w:ascii="Times New Roman" w:hAnsi="Times New Roman" w:cs="Times New Roman" w:eastAsia="Times New Roman"/>
          <w:sz w:val="24"/>
        </w:rPr>
        <w:t xml:space="preserve">.</w:t>
      </w:r>
    </w:p>
    <w:p>
      <w:pPr>
        <w:pStyle w:val="Compact"/>
        <w:numPr>
          <w:ilvl w:val="0"/>
          <w:numId w:val="1007"/>
        </w:numPr>
        <w:spacing w:line="360" w:lineRule="auto"/>
      </w:pPr>
      <w:r>
        <w:rPr>
          <w:rFonts w:ascii="Times New Roman" w:hAnsi="Times New Roman" w:cs="Times New Roman" w:eastAsia="Times New Roman"/>
          <w:sz w:val="24"/>
        </w:rPr>
        <w:t xml:space="preserve">På kalibrerings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settet, beregn ikke-konformitets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score:</w:t>
      </w:r>
    </w:p>
    <w:p>
      <w:pPr>
        <w:pStyle w:val="Compact"/>
        <w:spacing w:line="360" w:lineRule="auto"/>
      </w:pPr>
      <m:oMathPara>
        <m:oMathParaPr>
          <m:jc m:val="center"/>
        </m:oMathParaPr>
        <m:oMath>
          <m:sSub>
            <m:e>
              <m:r>
                <m:t>E</m:t>
              </m:r>
            </m:e>
            <m:sub>
              <m:r>
                <m:t>i</m:t>
              </m:r>
            </m:sub>
          </m:sSub>
          <m:r>
            <m:rPr>
              <m:sty m:val="p"/>
            </m:rPr>
            <m:t>=</m:t>
          </m:r>
          <m:r>
            <m:rPr>
              <m:sty m:val="p"/>
            </m:rPr>
            <m:t>max</m:t>
          </m:r>
          <m:r>
            <m:rPr>
              <m:sty m:val="p"/>
            </m:rPr>
            <m:t>{</m:t>
          </m:r>
          <m:sSub>
            <m:e>
              <m:acc>
                <m:accPr>
                  <m:chr m:val="̂"/>
                </m:accPr>
                <m:e>
                  <m:r>
                    <m:t>q</m:t>
                  </m:r>
                </m:e>
              </m:acc>
            </m:e>
            <m:sub>
              <m:r>
                <m:t>l</m:t>
              </m:r>
              <m:r>
                <m:t>o</m:t>
              </m:r>
            </m:sub>
          </m:sSub>
          <m:r>
            <m:rPr>
              <m:sty m:val="p"/>
            </m:rPr>
            <m:t>(</m:t>
          </m:r>
          <m:sSub>
            <m:e>
              <m:r>
                <m:t>x</m:t>
              </m:r>
            </m:e>
            <m:sub>
              <m:r>
                <m:t>i</m:t>
              </m:r>
            </m:sub>
          </m:sSub>
          <m:r>
            <m:rPr>
              <m:sty m:val="p"/>
            </m:rPr>
            <m:t>)</m:t>
          </m:r>
          <m:r>
            <m:rPr>
              <m:sty m:val="p"/>
            </m:rPr>
            <m:t>−</m:t>
          </m:r>
          <m:sSub>
            <m:e>
              <m:r>
                <m:t>y</m:t>
              </m:r>
            </m:e>
            <m:sub>
              <m:r>
                <m:t>i</m:t>
              </m:r>
            </m:sub>
          </m:sSub>
          <m:r>
            <m:rPr>
              <m:sty m:val="p"/>
            </m:rPr>
            <m:t>,</m:t>
          </m:r>
          <m:r>
            <m:t> </m:t>
          </m:r>
          <m:sSub>
            <m:e>
              <m:r>
                <m:t>y</m:t>
              </m:r>
            </m:e>
            <m:sub>
              <m:r>
                <m:t>i</m:t>
              </m:r>
            </m:sub>
          </m:sSub>
          <m:r>
            <m:rPr>
              <m:sty m:val="p"/>
            </m:rPr>
            <m:t>−</m:t>
          </m:r>
          <m:sSub>
            <m:e>
              <m:acc>
                <m:accPr>
                  <m:chr m:val="̂"/>
                </m:accPr>
                <m:e>
                  <m:r>
                    <m:t>q</m:t>
                  </m:r>
                </m:e>
              </m:acc>
            </m:e>
            <m:sub>
              <m:r>
                <m:t>h</m:t>
              </m:r>
              <m:r>
                <m:t>i</m:t>
              </m:r>
            </m:sub>
          </m:sSub>
          <m:r>
            <m:rPr>
              <m:sty m:val="p"/>
            </m:rPr>
            <m:t>(</m:t>
          </m:r>
          <m:sSub>
            <m:e>
              <m:r>
                <m:t>x</m:t>
              </m:r>
            </m:e>
            <m:sub>
              <m:r>
                <m:t>i</m:t>
              </m:r>
            </m:sub>
          </m:sSub>
          <m:r>
            <m:rPr>
              <m:sty m:val="p"/>
            </m:rPr>
            <m:t>)</m:t>
          </m:r>
          <m:r>
            <m:rPr>
              <m:sty m:val="p"/>
            </m:rPr>
            <m:t>}</m:t>
          </m:r>
        </m:oMath>
      </m:oMathPara>
    </w:p>
    <w:p>
      <w:pPr>
        <w:pStyle w:val="Compact"/>
        <w:numPr>
          <w:ilvl w:val="0"/>
          <w:numId w:val="1007"/>
        </w:numPr>
        <w:spacing w:line="360" w:lineRule="auto"/>
      </w:pPr>
      <w:r>
        <w:rPr>
          <w:rFonts w:ascii="Times New Roman" w:hAnsi="Times New Roman" w:cs="Times New Roman" w:eastAsia="Times New Roman"/>
          <w:sz w:val="24"/>
        </w:rPr>
        <w:t xml:space="preserve">La</w:t>
      </w:r>
      <w:r>
        <w:rPr>
          <w:rFonts w:ascii="Times New Roman" w:hAnsi="Times New Roman" w:cs="Times New Roman" w:eastAsia="Times New Roman"/>
          <w:sz w:val="24"/>
        </w:rPr>
        <w:t xml:space="preserve"> </w:t>
      </w:r>
      <m:oMath>
        <m:sSub>
          <m:e>
            <m:r>
              <m:t>Q</m:t>
            </m:r>
          </m:e>
          <m:sub>
            <m:r>
              <m:t>1</m:t>
            </m:r>
            <m:r>
              <m:rPr>
                <m:sty m:val="p"/>
              </m:rPr>
              <m:t>−</m:t>
            </m:r>
            <m:r>
              <m:t>α</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være</w:t>
      </w:r>
      <w:r>
        <w:rPr>
          <w:rFonts w:ascii="Times New Roman" w:hAnsi="Times New Roman" w:cs="Times New Roman" w:eastAsia="Times New Roman"/>
          <w:sz w:val="24"/>
        </w:rPr>
        <w:t xml:space="preserve"> </w:t>
      </w:r>
      <m:oMath>
        <m:r>
          <m:rPr>
            <m:sty m:val="p"/>
          </m:rPr>
          <m:t>⌈</m:t>
        </m:r>
        <m:r>
          <m:rPr>
            <m:sty m:val="p"/>
          </m:rPr>
          <m:t>(</m:t>
        </m:r>
        <m:sSub>
          <m:e>
            <m:r>
              <m:t>n</m:t>
            </m:r>
          </m:e>
          <m:sub>
            <m:r>
              <m:t>c</m:t>
            </m:r>
            <m:r>
              <m:t>a</m:t>
            </m:r>
            <m:r>
              <m:t>l</m:t>
            </m:r>
          </m:sub>
        </m:sSub>
        <m:r>
          <m:rPr>
            <m:sty m:val="p"/>
          </m:rPr>
          <m:t>+</m:t>
        </m:r>
        <m:r>
          <m:t>1</m:t>
        </m:r>
        <m:r>
          <m:rPr>
            <m:sty m:val="p"/>
          </m:rPr>
          <m:t>)</m:t>
        </m:r>
        <m:r>
          <m:rPr>
            <m:sty m:val="p"/>
          </m:rPr>
          <m:t>(</m:t>
        </m:r>
        <m:r>
          <m:t>1</m:t>
        </m:r>
        <m:r>
          <m:rPr>
            <m:sty m:val="p"/>
          </m:rPr>
          <m:t>−</m:t>
        </m:r>
        <m:r>
          <m:t>α</m:t>
        </m:r>
        <m:r>
          <m:rPr>
            <m:sty m:val="p"/>
          </m:rPr>
          <m:t>)</m:t>
        </m:r>
        <m:r>
          <m:rPr>
            <m:sty m:val="p"/>
          </m:rPr>
          <m:t>⌉</m:t>
        </m:r>
        <m:r>
          <m:rPr>
            <m:sty m:val="p"/>
          </m:rPr>
          <m:t>/</m:t>
        </m:r>
        <m:sSub>
          <m:e>
            <m:r>
              <m:t>n</m:t>
            </m:r>
          </m:e>
          <m:sub>
            <m:r>
              <m:t>c</m:t>
            </m:r>
            <m:r>
              <m:t>a</m:t>
            </m:r>
            <m:r>
              <m:t>l</m:t>
            </m:r>
          </m:sub>
        </m:sSub>
      </m:oMath>
      <w:r>
        <w:rPr>
          <w:rFonts w:ascii="Times New Roman" w:hAnsi="Times New Roman" w:cs="Times New Roman" w:eastAsia="Times New Roman"/>
          <w:sz w:val="24"/>
        </w:rPr>
        <w:t xml:space="preserve">-kvantilet av</w:t>
      </w:r>
      <w:r>
        <w:rPr>
          <w:rFonts w:ascii="Times New Roman" w:hAnsi="Times New Roman" w:cs="Times New Roman" w:eastAsia="Times New Roman"/>
          <w:sz w:val="24"/>
        </w:rPr>
        <w:t xml:space="preserve"> </w:t>
      </w:r>
      <m:oMath>
        <m:r>
          <m:rPr>
            <m:sty m:val="p"/>
          </m:rPr>
          <m:t>{</m:t>
        </m:r>
        <m:sSub>
          <m:e>
            <m:r>
              <m:t>E</m:t>
            </m:r>
          </m:e>
          <m:sub>
            <m:r>
              <m:t>i</m:t>
            </m:r>
          </m:sub>
        </m:sSub>
        <m:r>
          <m:rPr>
            <m:sty m:val="p"/>
          </m:rPr>
          <m:t>}</m:t>
        </m:r>
      </m:oMath>
      <w:r>
        <w:rPr>
          <w:rFonts w:ascii="Times New Roman" w:hAnsi="Times New Roman" w:cs="Times New Roman" w:eastAsia="Times New Roman"/>
          <w:sz w:val="24"/>
        </w:rPr>
        <w:t xml:space="preserve">.</w:t>
      </w:r>
    </w:p>
    <w:p>
      <w:pPr>
        <w:pStyle w:val="Compact"/>
        <w:numPr>
          <w:ilvl w:val="0"/>
          <w:numId w:val="1007"/>
        </w:numPr>
        <w:spacing w:line="360" w:lineRule="auto"/>
      </w:pPr>
      <w:r>
        <w:rPr>
          <w:rFonts w:ascii="Times New Roman" w:hAnsi="Times New Roman" w:cs="Times New Roman" w:eastAsia="Times New Roman"/>
          <w:sz w:val="24"/>
        </w:rPr>
        <w:t xml:space="preserve">CQR-prediksjons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intervallet er:</w:t>
      </w:r>
    </w:p>
    <w:p>
      <w:pPr>
        <w:pStyle w:val="Compact"/>
        <w:spacing w:line="360" w:lineRule="auto"/>
      </w:pPr>
      <m:oMathPara>
        <m:oMathParaPr>
          <m:jc m:val="center"/>
        </m:oMathParaPr>
        <m:oMath>
          <m:r>
            <m:t>C</m:t>
          </m:r>
          <m:r>
            <m:rPr>
              <m:sty m:val="p"/>
            </m:rPr>
            <m:t>(</m:t>
          </m:r>
          <m:r>
            <m:t>x</m:t>
          </m:r>
          <m:r>
            <m:rPr>
              <m:sty m:val="p"/>
            </m:rPr>
            <m:t>)</m:t>
          </m:r>
          <m:r>
            <m:rPr>
              <m:sty m:val="p"/>
            </m:rPr>
            <m:t>=</m:t>
          </m:r>
          <m:d>
            <m:dPr>
              <m:begChr m:val="["/>
              <m:sepChr m:val=""/>
              <m:endChr m:val="]"/>
              <m:grow/>
            </m:dPr>
            <m:e>
              <m:sSub>
                <m:e>
                  <m:acc>
                    <m:accPr>
                      <m:chr m:val="̂"/>
                    </m:accPr>
                    <m:e>
                      <m:r>
                        <m:t>q</m:t>
                      </m:r>
                    </m:e>
                  </m:acc>
                </m:e>
                <m:sub>
                  <m:r>
                    <m:t>l</m:t>
                  </m:r>
                  <m:r>
                    <m:t>o</m:t>
                  </m:r>
                </m:sub>
              </m:sSub>
              <m:r>
                <m:rPr>
                  <m:sty m:val="p"/>
                </m:rPr>
                <m:t>(</m:t>
              </m:r>
              <m:r>
                <m:t>x</m:t>
              </m:r>
              <m:r>
                <m:rPr>
                  <m:sty m:val="p"/>
                </m:rPr>
                <m:t>)</m:t>
              </m:r>
              <m:r>
                <m:rPr>
                  <m:sty m:val="p"/>
                </m:rPr>
                <m:t>−</m:t>
              </m:r>
              <m:sSub>
                <m:e>
                  <m:r>
                    <m:t>Q</m:t>
                  </m:r>
                </m:e>
                <m:sub>
                  <m:r>
                    <m:t>1</m:t>
                  </m:r>
                  <m:r>
                    <m:rPr>
                      <m:sty m:val="p"/>
                    </m:rPr>
                    <m:t>−</m:t>
                  </m:r>
                  <m:r>
                    <m:t>α</m:t>
                  </m:r>
                </m:sub>
              </m:sSub>
              <m:r>
                <m:rPr>
                  <m:sty m:val="p"/>
                </m:rPr>
                <m:t>,</m:t>
              </m:r>
              <m:r>
                <m:t> </m:t>
              </m:r>
              <m:sSub>
                <m:e>
                  <m:acc>
                    <m:accPr>
                      <m:chr m:val="̂"/>
                    </m:accPr>
                    <m:e>
                      <m:r>
                        <m:t>q</m:t>
                      </m:r>
                    </m:e>
                  </m:acc>
                </m:e>
                <m:sub>
                  <m:r>
                    <m:t>h</m:t>
                  </m:r>
                  <m:r>
                    <m:t>i</m:t>
                  </m:r>
                </m:sub>
              </m:sSub>
              <m:r>
                <m:rPr>
                  <m:sty m:val="p"/>
                </m:rPr>
                <m:t>(</m:t>
              </m:r>
              <m:r>
                <m:t>x</m:t>
              </m:r>
              <m:r>
                <m:rPr>
                  <m:sty m:val="p"/>
                </m:rPr>
                <m:t>)</m:t>
              </m:r>
              <m:r>
                <m:rPr>
                  <m:sty m:val="p"/>
                </m:rPr>
                <m:t>+</m:t>
              </m:r>
              <m:sSub>
                <m:e>
                  <m:r>
                    <m:t>Q</m:t>
                  </m:r>
                </m:e>
                <m:sub>
                  <m:r>
                    <m:t>1</m:t>
                  </m:r>
                  <m:r>
                    <m:rPr>
                      <m:sty m:val="p"/>
                    </m:rPr>
                    <m:t>−</m:t>
                  </m:r>
                  <m:r>
                    <m:t>α</m:t>
                  </m:r>
                </m:sub>
              </m:sSub>
            </m:e>
          </m:d>
        </m:oMath>
      </m:oMathPara>
    </w:p>
    <w:p>
      <w:pPr>
        <w:pStyle w:val="FirstParagraph"/>
        <w:spacing w:line="360" w:lineRule="auto"/>
      </w:pPr>
      <w:r>
        <w:rPr>
          <w:rFonts w:ascii="Times New Roman" w:hAnsi="Times New Roman" w:cs="Times New Roman" w:eastAsia="Times New Roman"/>
          <w:sz w:val="24"/>
        </w:rPr>
        <w:t xml:space="preserve">CQR-justeringen</w:t>
      </w:r>
      <w:r>
        <w:rPr>
          <w:rFonts w:ascii="Times New Roman" w:hAnsi="Times New Roman" w:cs="Times New Roman" w:eastAsia="Times New Roman"/>
          <w:sz w:val="24"/>
        </w:rPr>
        <w:t xml:space="preserve"> </w:t>
      </w:r>
      <m:oMath>
        <m:sSub>
          <m:e>
            <m:r>
              <m:t>Q</m:t>
            </m:r>
          </m:e>
          <m:sub>
            <m:r>
              <m:t>1</m:t>
            </m:r>
            <m:r>
              <m:rPr>
                <m:sty m:val="p"/>
              </m:rPr>
              <m:t>−</m:t>
            </m:r>
            <m:r>
              <m:t>α</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garanterer endelig-utvalgs dekning</w:t>
      </w:r>
      <w:r>
        <w:rPr>
          <w:rFonts w:ascii="Times New Roman" w:hAnsi="Times New Roman" w:cs="Times New Roman" w:eastAsia="Times New Roman"/>
          <w:sz w:val="24"/>
        </w:rPr>
        <w:t xml:space="preserve"> </w:t>
      </w:r>
      <m:oMath>
        <m:r>
          <m:rPr>
            <m:sty m:val="p"/>
          </m:rPr>
          <m:t>Pr</m:t>
        </m:r>
        <m:r>
          <m:rPr>
            <m:sty m:val="p"/>
          </m:rPr>
          <m:t>(</m:t>
        </m:r>
        <m:r>
          <m:t>y</m:t>
        </m:r>
        <m:r>
          <m:rPr>
            <m:sty m:val="p"/>
          </m:rPr>
          <m:t>∈</m:t>
        </m:r>
        <m:r>
          <m:t>C</m:t>
        </m:r>
        <m:r>
          <m:rPr>
            <m:sty m:val="p"/>
          </m:rPr>
          <m:t>(</m:t>
        </m:r>
        <m:r>
          <m:t>x</m:t>
        </m:r>
        <m:r>
          <m:rPr>
            <m:sty m:val="p"/>
          </m:rPr>
          <m:t>)</m:t>
        </m:r>
        <m:r>
          <m:rPr>
            <m:sty m:val="p"/>
          </m:rPr>
          <m:t>)</m:t>
        </m:r>
        <m:r>
          <m:rPr>
            <m:sty m:val="p"/>
          </m:rPr>
          <m:t>≥</m:t>
        </m:r>
        <m:r>
          <m:t>1</m:t>
        </m:r>
        <m:r>
          <m:rPr>
            <m:sty m:val="p"/>
          </m:rPr>
          <m:t>−</m:t>
        </m:r>
        <m:r>
          <m:t>α</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under utbyttbarhet av (kalibrering, test)-data, uavhengig av hvor dårlig kalibrert de underliggende kvantil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modellene er. Hvor stor justering CQR faktisk gir på vårt datasett, og hva det forteller om de underliggende kvantil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modellene, drøftes i § 6.4 og § 8.2.</w:t>
      </w:r>
    </w:p>
    <w:p>
      <w:pPr>
        <w:pStyle w:val="BodyText"/>
        <w:spacing w:line="360" w:lineRule="auto"/>
      </w:pPr>
      <w:r>
        <w:rPr>
          <w:rFonts w:ascii="Times New Roman" w:hAnsi="Times New Roman" w:cs="Times New Roman" w:eastAsia="Times New Roman"/>
          <w:i/>
          <w:iCs/>
          <w:sz w:val="24"/>
        </w:rPr>
        <w:t xml:space="preserve">Relevans: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Kvantil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regresjon gir spenn</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et (DP4), og CQR garanterer kalibrert dekning på små datasett.</w:t>
      </w:r>
    </w:p>
    <w:bookmarkEnd w:id="27"/>
    <w:bookmarkStart w:id="28" w:name="shap-verdier"/>
    <w:p>
      <w:pPr>
        <w:pStyle w:val="Heading3"/>
        <w:spacing w:line="360" w:lineRule="auto"/>
      </w:pPr>
      <w:r>
        <w:rPr>
          <w:rFonts w:ascii="Times New Roman" w:hAnsi="Times New Roman" w:cs="Times New Roman" w:eastAsia="Times New Roman"/>
          <w:sz w:val="24"/>
        </w:rPr>
        <w:t xml:space="preserve">3.6 SHAP-verdier</w:t>
      </w:r>
    </w:p>
    <w:p>
      <w:pPr>
        <w:pStyle w:val="FirstParagraph"/>
        <w:spacing w:line="360" w:lineRule="auto"/>
      </w:pPr>
      <w:r>
        <w:rPr>
          <w:rFonts w:ascii="Times New Roman" w:hAnsi="Times New Roman" w:cs="Times New Roman" w:eastAsia="Times New Roman"/>
          <w:sz w:val="24"/>
        </w:rPr>
        <w:t xml:space="preserve">Tre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ensembler er presise men opake: en prognose på 17 000 EUR forteller ikke i seg selv</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hvorfor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var det GT, havnen, sesongen?</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SHAP (SHapley Additive exPlanations)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(Lundberg &amp; Lee, 2017) dekomponerer en prediksjon i per-feature bidrag med basis i kooperativ spillteori.</w:t>
      </w:r>
    </w:p>
    <w:p>
      <w:pPr>
        <w:pStyle w:val="BodyText"/>
        <w:spacing w:line="360" w:lineRule="auto"/>
      </w:pPr>
      <w:r>
        <w:rPr>
          <w:rFonts w:ascii="Times New Roman" w:hAnsi="Times New Roman" w:cs="Times New Roman" w:eastAsia="Times New Roman"/>
          <w:sz w:val="24"/>
        </w:rPr>
        <w:t xml:space="preserve">For en modell</w:t>
      </w:r>
      <w:r>
        <w:rPr>
          <w:rFonts w:ascii="Times New Roman" w:hAnsi="Times New Roman" w:cs="Times New Roman" w:eastAsia="Times New Roman"/>
          <w:sz w:val="24"/>
        </w:rPr>
        <w:t xml:space="preserve"> </w:t>
      </w:r>
      <m:oMath>
        <m:r>
          <m:t>f</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og et input</w:t>
      </w:r>
      <w:r>
        <w:rPr>
          <w:rFonts w:ascii="Times New Roman" w:hAnsi="Times New Roman" w:cs="Times New Roman" w:eastAsia="Times New Roman"/>
          <w:sz w:val="24"/>
        </w:rPr>
        <w:t xml:space="preserve"> </w:t>
      </w:r>
      <m:oMath>
        <m:r>
          <m:t>x</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er SHAP-verdien til feature</w:t>
      </w:r>
      <w:r>
        <w:rPr>
          <w:rFonts w:ascii="Times New Roman" w:hAnsi="Times New Roman" w:cs="Times New Roman" w:eastAsia="Times New Roman"/>
          <w:sz w:val="24"/>
        </w:rPr>
        <w:t xml:space="preserve"> </w:t>
      </w:r>
      <m:oMath>
        <m:r>
          <m:t>j</m:t>
        </m:r>
      </m:oMath>
      <w:r>
        <w:rPr>
          <w:rFonts w:ascii="Times New Roman" w:hAnsi="Times New Roman" w:cs="Times New Roman" w:eastAsia="Times New Roman"/>
          <w:sz w:val="24"/>
        </w:rPr>
        <w:t xml:space="preserve">:</w:t>
      </w:r>
    </w:p>
    <w:p>
      <w:pPr>
        <w:pStyle w:val="BodyText"/>
        <w:spacing w:line="360" w:lineRule="auto"/>
      </w:pPr>
      <m:oMathPara>
        <m:oMathParaPr>
          <m:jc m:val="center"/>
        </m:oMathParaPr>
        <m:oMath>
          <m:sSub>
            <m:e>
              <m:r>
                <m:t>ϕ</m:t>
              </m:r>
            </m:e>
            <m:sub>
              <m:r>
                <m:t>j</m:t>
              </m:r>
            </m:sub>
          </m:sSub>
          <m:r>
            <m:rPr>
              <m:sty m:val="p"/>
            </m:rPr>
            <m:t>(</m:t>
          </m:r>
          <m:r>
            <m:t>x</m:t>
          </m:r>
          <m:r>
            <m:rPr>
              <m:sty m:val="p"/>
            </m:rPr>
            <m:t>)</m:t>
          </m:r>
          <m:r>
            <m:rPr>
              <m:sty m:val="p"/>
            </m:rPr>
            <m:t>=</m:t>
          </m:r>
          <m:nary>
            <m:naryPr>
              <m:chr m:val="∑"/>
              <m:limLoc m:val="undOvr"/>
              <m:subHide m:val="off"/>
              <m:supHide m:val="on"/>
            </m:naryPr>
            <m:sub>
              <m:r>
                <m:t>S</m:t>
              </m:r>
              <m:r>
                <m:rPr>
                  <m:sty m:val="p"/>
                </m:rPr>
                <m:t>⊆</m:t>
              </m:r>
              <m:r>
                <m:t>F</m:t>
              </m:r>
              <m:r>
                <m:rPr>
                  <m:sty m:val="p"/>
                </m:rPr>
                <m:t>\</m:t>
              </m:r>
              <m:r>
                <m:rPr>
                  <m:sty m:val="p"/>
                </m:rPr>
                <m:t>{</m:t>
              </m:r>
              <m:r>
                <m:t>j</m:t>
              </m:r>
              <m:r>
                <m:rPr>
                  <m:sty m:val="p"/>
                </m:rPr>
                <m:t>}</m:t>
              </m:r>
            </m:sub>
            <m:sup>
              <m:r>
                <m:t>​</m:t>
              </m:r>
            </m:sup>
            <m:e>
              <m:f>
                <m:fPr>
                  <m:type m:val="bar"/>
                </m:fPr>
                <m:num>
                  <m:r>
                    <m:rPr>
                      <m:sty m:val="p"/>
                    </m:rPr>
                    <m:t>|</m:t>
                  </m:r>
                  <m:r>
                    <m:t>S</m:t>
                  </m:r>
                  <m:r>
                    <m:rPr>
                      <m:sty m:val="p"/>
                    </m:rPr>
                    <m:t>|</m:t>
                  </m:r>
                  <m:r>
                    <m:rPr>
                      <m:sty m:val="p"/>
                    </m:rPr>
                    <m:t>!</m:t>
                  </m:r>
                  <m:r>
                    <m:t> </m:t>
                  </m:r>
                  <m:r>
                    <m:rPr>
                      <m:sty m:val="p"/>
                    </m:rPr>
                    <m:t>(</m:t>
                  </m:r>
                  <m:r>
                    <m:rPr>
                      <m:sty m:val="p"/>
                    </m:rPr>
                    <m:t>|</m:t>
                  </m:r>
                  <m:r>
                    <m:t>F</m:t>
                  </m:r>
                  <m:r>
                    <m:rPr>
                      <m:sty m:val="p"/>
                    </m:rPr>
                    <m:t>|</m:t>
                  </m:r>
                  <m:r>
                    <m:rPr>
                      <m:sty m:val="p"/>
                    </m:rPr>
                    <m:t>−</m:t>
                  </m:r>
                  <m:r>
                    <m:rPr>
                      <m:sty m:val="p"/>
                    </m:rPr>
                    <m:t>|</m:t>
                  </m:r>
                  <m:r>
                    <m:t>S</m:t>
                  </m:r>
                  <m:r>
                    <m:rPr>
                      <m:sty m:val="p"/>
                    </m:rPr>
                    <m:t>|</m:t>
                  </m:r>
                  <m:r>
                    <m:rPr>
                      <m:sty m:val="p"/>
                    </m:rPr>
                    <m:t>−</m:t>
                  </m:r>
                  <m:r>
                    <m:t>1</m:t>
                  </m:r>
                  <m:r>
                    <m:rPr>
                      <m:sty m:val="p"/>
                    </m:rPr>
                    <m:t>)</m:t>
                  </m:r>
                  <m:r>
                    <m:rPr>
                      <m:sty m:val="p"/>
                    </m:rPr>
                    <m:t>!</m:t>
                  </m:r>
                </m:num>
                <m:den>
                  <m:r>
                    <m:rPr>
                      <m:sty m:val="p"/>
                    </m:rPr>
                    <m:t>|</m:t>
                  </m:r>
                  <m:r>
                    <m:t>F</m:t>
                  </m:r>
                  <m:r>
                    <m:rPr>
                      <m:sty m:val="p"/>
                    </m:rPr>
                    <m:t>|</m:t>
                  </m:r>
                  <m:r>
                    <m:rPr>
                      <m:sty m:val="p"/>
                    </m:rPr>
                    <m:t>!</m:t>
                  </m:r>
                </m:den>
              </m:f>
            </m:e>
          </m:nary>
          <m:d>
            <m:dPr>
              <m:begChr m:val="["/>
              <m:sepChr m:val=""/>
              <m:endChr m:val="]"/>
              <m:grow/>
            </m:dPr>
            <m:e>
              <m:r>
                <m:t> </m:t>
              </m:r>
              <m:sSub>
                <m:e>
                  <m:r>
                    <m:t>f</m:t>
                  </m:r>
                </m:e>
                <m:sub>
                  <m:r>
                    <m:t>S</m:t>
                  </m:r>
                  <m:r>
                    <m:rPr>
                      <m:sty m:val="p"/>
                    </m:rPr>
                    <m:t>∪</m:t>
                  </m:r>
                  <m:r>
                    <m:rPr>
                      <m:sty m:val="p"/>
                    </m:rPr>
                    <m:t>{</m:t>
                  </m:r>
                  <m:r>
                    <m:t>j</m:t>
                  </m:r>
                  <m:r>
                    <m:rPr>
                      <m:sty m:val="p"/>
                    </m:rPr>
                    <m:t>}</m:t>
                  </m:r>
                </m:sub>
              </m:sSub>
              <m:r>
                <m:rPr>
                  <m:sty m:val="p"/>
                </m:rPr>
                <m:t>(</m:t>
              </m:r>
              <m:r>
                <m:t>x</m:t>
              </m:r>
              <m:r>
                <m:rPr>
                  <m:sty m:val="p"/>
                </m:rPr>
                <m:t>)</m:t>
              </m:r>
              <m:r>
                <m:rPr>
                  <m:sty m:val="p"/>
                </m:rPr>
                <m:t>−</m:t>
              </m:r>
              <m:sSub>
                <m:e>
                  <m:r>
                    <m:t>f</m:t>
                  </m:r>
                </m:e>
                <m:sub>
                  <m:r>
                    <m:t>S</m:t>
                  </m:r>
                </m:sub>
              </m:sSub>
              <m:r>
                <m:rPr>
                  <m:sty m:val="p"/>
                </m:rPr>
                <m:t>(</m:t>
              </m:r>
              <m:r>
                <m:t>x</m:t>
              </m:r>
              <m:r>
                <m:rPr>
                  <m:sty m:val="p"/>
                </m:rPr>
                <m:t>)</m:t>
              </m:r>
              <m:r>
                <m:t> </m:t>
              </m:r>
            </m:e>
          </m:d>
        </m:oMath>
      </m:oMathPara>
    </w:p>
    <w:p>
      <w:pPr>
        <w:pStyle w:val="FirstParagraph"/>
        <w:spacing w:line="360" w:lineRule="auto"/>
      </w:pPr>
      <w:r>
        <w:rPr>
          <w:rFonts w:ascii="Times New Roman" w:hAnsi="Times New Roman" w:cs="Times New Roman" w:eastAsia="Times New Roman"/>
          <w:sz w:val="24"/>
        </w:rPr>
        <w:t xml:space="preserve">der</w:t>
      </w:r>
      <w:r>
        <w:rPr>
          <w:rFonts w:ascii="Times New Roman" w:hAnsi="Times New Roman" w:cs="Times New Roman" w:eastAsia="Times New Roman"/>
          <w:sz w:val="24"/>
        </w:rPr>
        <w:t xml:space="preserve"> </w:t>
      </w:r>
      <m:oMath>
        <m:r>
          <m:t>F</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er feature-mengden,</w:t>
      </w:r>
      <w:r>
        <w:rPr>
          <w:rFonts w:ascii="Times New Roman" w:hAnsi="Times New Roman" w:cs="Times New Roman" w:eastAsia="Times New Roman"/>
          <w:sz w:val="24"/>
        </w:rPr>
        <w:t xml:space="preserve"> </w:t>
      </w:r>
      <m:oMath>
        <m:r>
          <m:t>S</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løper over delmengder uten</w:t>
      </w:r>
      <w:r>
        <w:rPr>
          <w:rFonts w:ascii="Times New Roman" w:hAnsi="Times New Roman" w:cs="Times New Roman" w:eastAsia="Times New Roman"/>
          <w:sz w:val="24"/>
        </w:rPr>
        <w:t xml:space="preserve"> </w:t>
      </w:r>
      <m:oMath>
        <m:r>
          <m:t>j</m:t>
        </m:r>
      </m:oMath>
      <w:r>
        <w:rPr>
          <w:rFonts w:ascii="Times New Roman" w:hAnsi="Times New Roman" w:cs="Times New Roman" w:eastAsia="Times New Roman"/>
          <w:sz w:val="24"/>
        </w:rPr>
        <w:t xml:space="preserve">, og</w:t>
      </w:r>
      <w:r>
        <w:rPr>
          <w:rFonts w:ascii="Times New Roman" w:hAnsi="Times New Roman" w:cs="Times New Roman" w:eastAsia="Times New Roman"/>
          <w:sz w:val="24"/>
        </w:rPr>
        <w:t xml:space="preserve"> </w:t>
      </w:r>
      <m:oMath>
        <m:sSub>
          <m:e>
            <m:r>
              <m:t>f</m:t>
            </m:r>
          </m:e>
          <m:sub>
            <m:r>
              <m:t>S</m:t>
            </m:r>
          </m:sub>
        </m:sSub>
        <m:r>
          <m:rPr>
            <m:sty m:val="p"/>
          </m:rPr>
          <m:t>(</m:t>
        </m:r>
        <m:r>
          <m:t>x</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er modellens forventede prediksjon når kun features i</w:t>
      </w:r>
      <w:r>
        <w:rPr>
          <w:rFonts w:ascii="Times New Roman" w:hAnsi="Times New Roman" w:cs="Times New Roman" w:eastAsia="Times New Roman"/>
          <w:sz w:val="24"/>
        </w:rPr>
        <w:t xml:space="preserve"> </w:t>
      </w:r>
      <m:oMath>
        <m:r>
          <m:t>S</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er observert. Dette er Shapley-verdien fra koalisjons-spillteori:</w:t>
      </w:r>
      <w:r>
        <w:rPr>
          <w:rFonts w:ascii="Times New Roman" w:hAnsi="Times New Roman" w:cs="Times New Roman" w:eastAsia="Times New Roman"/>
          <w:sz w:val="24"/>
        </w:rPr>
        <w:t xml:space="preserve"> </w:t>
      </w:r>
      <m:oMath>
        <m:sSub>
          <m:e>
            <m:r>
              <m:t>ϕ</m:t>
            </m:r>
          </m:e>
          <m:sub>
            <m:r>
              <m:t>j</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er det gjennomsnittlige marginale bidraget fra</w:t>
      </w:r>
      <w:r>
        <w:rPr>
          <w:rFonts w:ascii="Times New Roman" w:hAnsi="Times New Roman" w:cs="Times New Roman" w:eastAsia="Times New Roman"/>
          <w:sz w:val="24"/>
        </w:rPr>
        <w:t xml:space="preserve"> </w:t>
      </w:r>
      <m:oMath>
        <m:r>
          <m:t>j</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over alle mulige feature-rekkefølger.</w:t>
      </w:r>
    </w:p>
    <w:p>
      <w:pPr>
        <w:pStyle w:val="BodyText"/>
        <w:spacing w:line="360" w:lineRule="auto"/>
      </w:pPr>
      <w:r>
        <w:rPr>
          <w:rFonts w:ascii="Times New Roman" w:hAnsi="Times New Roman" w:cs="Times New Roman" w:eastAsia="Times New Roman"/>
          <w:sz w:val="24"/>
        </w:rPr>
        <w:t xml:space="preserve">SHAP-verdier oppfyller tre ønskelige egenskaper: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Lokal nøyaktighet:</w:t>
      </w:r>
      <w:r>
        <w:rPr>
          <w:rFonts w:ascii="Times New Roman" w:hAnsi="Times New Roman" w:cs="Times New Roman" w:eastAsia="Times New Roman"/>
          <w:sz w:val="24"/>
        </w:rPr>
        <w:t xml:space="preserve"> </w:t>
      </w:r>
      <m:oMath>
        <m:r>
          <m:t>f</m:t>
        </m:r>
        <m:r>
          <m:rPr>
            <m:sty m:val="p"/>
          </m:rPr>
          <m:t>(</m:t>
        </m:r>
        <m:r>
          <m:t>x</m:t>
        </m:r>
        <m:r>
          <m:rPr>
            <m:sty m:val="p"/>
          </m:rPr>
          <m:t>)</m:t>
        </m:r>
        <m:r>
          <m:rPr>
            <m:sty m:val="p"/>
          </m:rPr>
          <m:t>=</m:t>
        </m:r>
        <m:sSub>
          <m:e>
            <m:r>
              <m:t>ϕ</m:t>
            </m:r>
          </m:e>
          <m:sub>
            <m:r>
              <m:t>0</m:t>
            </m:r>
          </m:sub>
        </m:sSub>
        <m:r>
          <m:rPr>
            <m:sty m:val="p"/>
          </m:rPr>
          <m:t>+</m:t>
        </m:r>
        <m:nary>
          <m:naryPr>
            <m:chr m:val="∑"/>
            <m:limLoc m:val="undOvr"/>
            <m:subHide m:val="off"/>
            <m:supHide m:val="on"/>
          </m:naryPr>
          <m:sub>
            <m:r>
              <m:t>j</m:t>
            </m:r>
          </m:sub>
          <m:sup>
            <m:r>
              <m:t>​</m:t>
            </m:r>
          </m:sup>
          <m:e>
            <m:sSub>
              <m:e>
                <m:r>
                  <m:t>ϕ</m:t>
                </m:r>
              </m:e>
              <m:sub>
                <m:r>
                  <m:t>j</m:t>
                </m:r>
              </m:sub>
            </m:sSub>
          </m:e>
        </m:nary>
        <m:r>
          <m:rPr>
            <m:sty m:val="p"/>
          </m:rPr>
          <m:t>(</m:t>
        </m:r>
        <m:r>
          <m:t>x</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prediksjoner dekomponeres eksakt i en baseline pluss per-feature bidrag.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Manglende verdier: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features uten påvirkning får</w:t>
      </w:r>
      <w:r>
        <w:rPr>
          <w:rFonts w:ascii="Times New Roman" w:hAnsi="Times New Roman" w:cs="Times New Roman" w:eastAsia="Times New Roman"/>
          <w:sz w:val="24"/>
        </w:rPr>
        <w:t xml:space="preserve"> </w:t>
      </w:r>
      <m:oMath>
        <m:sSub>
          <m:e>
            <m:r>
              <m:t>ϕ</m:t>
            </m:r>
          </m:e>
          <m:sub>
            <m:r>
              <m:t>j</m:t>
            </m:r>
          </m:sub>
        </m:sSub>
        <m:r>
          <m:rPr>
            <m:sty m:val="p"/>
          </m:rPr>
          <m:t>=</m:t>
        </m:r>
        <m:r>
          <m:t>0</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Konsistens: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hvis en features bidrag øker i en modell, kan SHAP-verdien dens ikke synke.</w:t>
      </w:r>
    </w:p>
    <w:p>
      <w:pPr>
        <w:pStyle w:val="BodyText"/>
        <w:spacing w:line="360" w:lineRule="auto"/>
      </w:pPr>
      <w:r>
        <w:rPr>
          <w:rFonts w:ascii="Times New Roman" w:hAnsi="Times New Roman" w:cs="Times New Roman" w:eastAsia="Times New Roman"/>
          <w:sz w:val="24"/>
        </w:rPr>
        <w:t xml:space="preserve">Eksakt beregning av SHAP-verdier er eksponensiell i antall features. For tre-ensembler beregner</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TreeSHAP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(Lundberg et al., 2020) eksakte SHAP-verdier i polynom</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tid ved å traversere hvert tres bane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struktur og spore betingede forventninger. Dette gjør per-prediksjon-forklaring mulig på en 26-feature modell på milli</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sekunder.</w:t>
      </w:r>
    </w:p>
    <w:p>
      <w:pPr>
        <w:pStyle w:val="BodyText"/>
        <w:spacing w:line="360" w:lineRule="auto"/>
      </w:pPr>
      <w:r>
        <w:rPr>
          <w:rFonts w:ascii="Times New Roman" w:hAnsi="Times New Roman" w:cs="Times New Roman" w:eastAsia="Times New Roman"/>
          <w:sz w:val="24"/>
        </w:rPr>
        <w:t xml:space="preserve">I NautiCost (§ 7.3) brukes TreeSHAP både globalt (gjennomsnittlig absolutt SHAP per feature → feature importance-rangering) og lokalt (per-prediksjon waterfall-plott når en agent spør «hvorfor predikerte modellen dette tallet?»).</w:t>
      </w:r>
    </w:p>
    <w:p>
      <w:pPr>
        <w:pStyle w:val="BodyText"/>
        <w:spacing w:line="360" w:lineRule="auto"/>
      </w:pPr>
      <w:r>
        <w:rPr>
          <w:rFonts w:ascii="Times New Roman" w:hAnsi="Times New Roman" w:cs="Times New Roman" w:eastAsia="Times New Roman"/>
          <w:i/>
          <w:iCs/>
          <w:sz w:val="24"/>
        </w:rPr>
        <w:t xml:space="preserve">Relevans: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Forklarbarhet er forutsetning for DP5 — SHAP kobler modellvalg (DP2) til operasjonalisering uten å gå på bekostning av prestasjon.</w:t>
      </w:r>
    </w:p>
    <w:p>
      <w:pPr>
        <w:spacing w:line="360" w:lineRule="auto"/>
      </w:pPr>
      <w:r>
        <w:rPr>
          <w:rFonts w:ascii="Times New Roman" w:hAnsi="Times New Roman" w:cs="Times New Roman" w:eastAsia="Times New Roman"/>
          <w:sz w:val="24"/>
        </w:rPr>
        <w:pict>
          <v:rect style="width:0;height:1.5pt" o:hralign="center" o:hrstd="t" o:hr="t"/>
        </w:pict>
      </w:r>
    </w:p>
    <w:bookmarkEnd w:id="28"/>
    <w:bookmarkEnd w:id="29"/>
    <w:bookmarkStart w:id="30" w:name="casebeskrivelse"/>
    <w:p>
      <w:pPr>
        <w:pStyle w:val="Heading2"/>
        <w:spacing w:line="360" w:lineRule="auto"/>
      </w:pPr>
      <w:r>
        <w:rPr>
          <w:rFonts w:ascii="Times New Roman" w:hAnsi="Times New Roman" w:cs="Times New Roman" w:eastAsia="Times New Roman"/>
          <w:sz w:val="24"/>
        </w:rPr>
        <w:t xml:space="preserve">4. Casebeskrivelse</w:t>
      </w:r>
    </w:p>
    <w:p>
      <w:pPr>
        <w:pStyle w:val="FirstParagraph"/>
        <w:spacing w:line="360" w:lineRule="auto"/>
      </w:pPr>
      <w:r>
        <w:rPr>
          <w:rFonts w:ascii="Times New Roman" w:hAnsi="Times New Roman" w:cs="Times New Roman" w:eastAsia="Times New Roman"/>
          <w:b/>
          <w:bCs/>
          <w:sz w:val="24"/>
        </w:rPr>
        <w:t xml:space="preserve">Yachting Operations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(heretter:</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bedriften</w:t>
      </w:r>
      <w:r>
        <w:rPr>
          <w:rFonts w:ascii="Times New Roman" w:hAnsi="Times New Roman" w:cs="Times New Roman" w:eastAsia="Times New Roman"/>
          <w:sz w:val="24"/>
        </w:rPr>
        <w:t xml:space="preserve">) er en skandinavisk yachtagent som koordinerer anløp av kommersielle og privat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eide superyachter til havner i Norge, Sverige og Danmark. Bedriften driver fra tre kontorer: Bergen Office (norske havner), Stockholm Office (svenske havner) og Copenhagen Office (danske havner). Kjerne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tjenestene er gruppert i syv kategorier:</w:t>
      </w:r>
    </w:p>
    <w:tbl>
      <w:tblPr>
        <w:tblStyle w:val="Table"/>
        <w:tblW w:type="auto" w:w="0"/>
        <w:tblLook w:firstRow="1" w:lastRow="0" w:firstColumn="0" w:lastColumn="0" w:noHBand="0" w:noVBand="0" w:val="0020"/>
      </w:tblPr>
      <w:tblGrid>
        <w:gridCol w:w="3960"/>
        <w:gridCol w:w="3960"/>
      </w:tblGrid>
      <w:tr>
        <w:trPr>
          <w:tblHeader w:val="on"/>
        </w:trPr>
        <w:tc>
          <w:tcPr/>
          <w:p>
            <w:pPr>
              <w:pStyle w:val="Compact"/>
              <w:spacing w:line="360" w:lineRule="auto"/>
            </w:pPr>
            <w:r>
              <w:rPr>
                <w:rFonts w:ascii="Times New Roman" w:hAnsi="Times New Roman" w:cs="Times New Roman" w:eastAsia="Times New Roman"/>
                <w:sz w:val="24"/>
              </w:rPr>
              <w:t xml:space="preserve">Kategori</w:t>
            </w:r>
          </w:p>
        </w:tc>
        <w:tc>
          <w:tcPr/>
          <w:p>
            <w:pPr>
              <w:pStyle w:val="Compact"/>
              <w:spacing w:line="360" w:lineRule="auto"/>
            </w:pPr>
            <w:r>
              <w:rPr>
                <w:rFonts w:ascii="Times New Roman" w:hAnsi="Times New Roman" w:cs="Times New Roman" w:eastAsia="Times New Roman"/>
                <w:sz w:val="24"/>
              </w:rPr>
              <w:t xml:space="preserve">Eksempler</w:t>
            </w:r>
          </w:p>
        </w:tc>
      </w:tr>
      <w:tr>
        <w:tc>
          <w:tcPr/>
          <w:p>
            <w:pPr>
              <w:pStyle w:val="Compact"/>
              <w:spacing w:line="360" w:lineRule="auto"/>
            </w:pPr>
            <w:r>
              <w:rPr>
                <w:rFonts w:ascii="Times New Roman" w:hAnsi="Times New Roman" w:cs="Times New Roman" w:eastAsia="Times New Roman"/>
                <w:b/>
                <w:bCs/>
                <w:sz w:val="24"/>
              </w:rPr>
              <w:t xml:space="preserve">Port Marina</w:t>
            </w:r>
          </w:p>
        </w:tc>
        <w:tc>
          <w:tcPr/>
          <w:p>
            <w:pPr>
              <w:pStyle w:val="Compact"/>
              <w:spacing w:line="360" w:lineRule="auto"/>
            </w:pPr>
            <w:r>
              <w:rPr>
                <w:rFonts w:ascii="Times New Roman" w:hAnsi="Times New Roman" w:cs="Times New Roman" w:eastAsia="Times New Roman"/>
                <w:sz w:val="24"/>
              </w:rPr>
              <w:t xml:space="preserve">Havneavgift, los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tjenester, NOx-skatt, fortøyning</w:t>
            </w:r>
          </w:p>
        </w:tc>
      </w:tr>
      <w:tr>
        <w:tc>
          <w:tcPr/>
          <w:p>
            <w:pPr>
              <w:pStyle w:val="Compact"/>
              <w:spacing w:line="360" w:lineRule="auto"/>
            </w:pPr>
            <w:r>
              <w:rPr>
                <w:rFonts w:ascii="Times New Roman" w:hAnsi="Times New Roman" w:cs="Times New Roman" w:eastAsia="Times New Roman"/>
                <w:b/>
                <w:bCs/>
                <w:sz w:val="24"/>
              </w:rPr>
              <w:t xml:space="preserve">Agency Services</w:t>
            </w:r>
          </w:p>
        </w:tc>
        <w:tc>
          <w:tcPr/>
          <w:p>
            <w:pPr>
              <w:pStyle w:val="Compact"/>
              <w:spacing w:line="360" w:lineRule="auto"/>
            </w:pPr>
            <w:r>
              <w:rPr>
                <w:rFonts w:ascii="Times New Roman" w:hAnsi="Times New Roman" w:cs="Times New Roman" w:eastAsia="Times New Roman"/>
                <w:sz w:val="24"/>
              </w:rPr>
              <w:t xml:space="preserve">Tollklarering, immigrasjon, kurer, innkjøp</w:t>
            </w:r>
          </w:p>
        </w:tc>
      </w:tr>
      <w:tr>
        <w:tc>
          <w:tcPr/>
          <w:p>
            <w:pPr>
              <w:pStyle w:val="Compact"/>
              <w:spacing w:line="360" w:lineRule="auto"/>
            </w:pPr>
            <w:r>
              <w:rPr>
                <w:rFonts w:ascii="Times New Roman" w:hAnsi="Times New Roman" w:cs="Times New Roman" w:eastAsia="Times New Roman"/>
                <w:b/>
                <w:bCs/>
                <w:sz w:val="24"/>
              </w:rPr>
              <w:t xml:space="preserve">Hospitality</w:t>
            </w:r>
          </w:p>
        </w:tc>
        <w:tc>
          <w:tcPr/>
          <w:p>
            <w:pPr>
              <w:pStyle w:val="Compact"/>
              <w:spacing w:line="360" w:lineRule="auto"/>
            </w:pPr>
            <w:r>
              <w:rPr>
                <w:rFonts w:ascii="Times New Roman" w:hAnsi="Times New Roman" w:cs="Times New Roman" w:eastAsia="Times New Roman"/>
                <w:sz w:val="24"/>
              </w:rPr>
              <w:t xml:space="preserve">Transportservice, guide, hotell, leiebil</w:t>
            </w:r>
          </w:p>
        </w:tc>
      </w:tr>
      <w:tr>
        <w:tc>
          <w:tcPr/>
          <w:p>
            <w:pPr>
              <w:pStyle w:val="Compact"/>
              <w:spacing w:line="360" w:lineRule="auto"/>
            </w:pPr>
            <w:r>
              <w:rPr>
                <w:rFonts w:ascii="Times New Roman" w:hAnsi="Times New Roman" w:cs="Times New Roman" w:eastAsia="Times New Roman"/>
                <w:b/>
                <w:bCs/>
                <w:sz w:val="24"/>
              </w:rPr>
              <w:t xml:space="preserve">Provisioning</w:t>
            </w:r>
          </w:p>
        </w:tc>
        <w:tc>
          <w:tcPr/>
          <w:p>
            <w:pPr>
              <w:pStyle w:val="Compact"/>
              <w:spacing w:line="360" w:lineRule="auto"/>
            </w:pPr>
            <w:r>
              <w:rPr>
                <w:rFonts w:ascii="Times New Roman" w:hAnsi="Times New Roman" w:cs="Times New Roman" w:eastAsia="Times New Roman"/>
                <w:sz w:val="24"/>
              </w:rPr>
              <w:t xml:space="preserve">Mat, drikke, blomster</w:t>
            </w:r>
          </w:p>
        </w:tc>
      </w:tr>
      <w:tr>
        <w:tc>
          <w:tcPr/>
          <w:p>
            <w:pPr>
              <w:pStyle w:val="Compact"/>
              <w:spacing w:line="360" w:lineRule="auto"/>
            </w:pPr>
            <w:r>
              <w:rPr>
                <w:rFonts w:ascii="Times New Roman" w:hAnsi="Times New Roman" w:cs="Times New Roman" w:eastAsia="Times New Roman"/>
                <w:b/>
                <w:bCs/>
                <w:sz w:val="24"/>
              </w:rPr>
              <w:t xml:space="preserve">Technical Services</w:t>
            </w:r>
          </w:p>
        </w:tc>
        <w:tc>
          <w:tcPr/>
          <w:p>
            <w:pPr>
              <w:pStyle w:val="Compact"/>
              <w:spacing w:line="360" w:lineRule="auto"/>
            </w:pPr>
            <w:r>
              <w:rPr>
                <w:rFonts w:ascii="Times New Roman" w:hAnsi="Times New Roman" w:cs="Times New Roman" w:eastAsia="Times New Roman"/>
                <w:sz w:val="24"/>
              </w:rPr>
              <w:t xml:space="preserve">Tekniker, mekaniker, dykker, snekker</w:t>
            </w:r>
          </w:p>
        </w:tc>
      </w:tr>
      <w:tr>
        <w:tc>
          <w:tcPr/>
          <w:p>
            <w:pPr>
              <w:pStyle w:val="Compact"/>
              <w:spacing w:line="360" w:lineRule="auto"/>
            </w:pPr>
            <w:r>
              <w:rPr>
                <w:rFonts w:ascii="Times New Roman" w:hAnsi="Times New Roman" w:cs="Times New Roman" w:eastAsia="Times New Roman"/>
                <w:b/>
                <w:bCs/>
                <w:sz w:val="24"/>
              </w:rPr>
              <w:t xml:space="preserve">Bunkering</w:t>
            </w:r>
          </w:p>
        </w:tc>
        <w:tc>
          <w:tcPr/>
          <w:p>
            <w:pPr>
              <w:pStyle w:val="Compact"/>
              <w:spacing w:line="360" w:lineRule="auto"/>
            </w:pPr>
            <w:r>
              <w:rPr>
                <w:rFonts w:ascii="Times New Roman" w:hAnsi="Times New Roman" w:cs="Times New Roman" w:eastAsia="Times New Roman"/>
                <w:sz w:val="24"/>
              </w:rPr>
              <w:t xml:space="preserve">Diesel, smøreolje</w:t>
            </w:r>
          </w:p>
        </w:tc>
      </w:tr>
      <w:tr>
        <w:tc>
          <w:tcPr/>
          <w:p>
            <w:pPr>
              <w:pStyle w:val="Compact"/>
              <w:spacing w:line="360" w:lineRule="auto"/>
            </w:pPr>
            <w:r>
              <w:rPr>
                <w:rFonts w:ascii="Times New Roman" w:hAnsi="Times New Roman" w:cs="Times New Roman" w:eastAsia="Times New Roman"/>
                <w:b/>
                <w:bCs/>
                <w:sz w:val="24"/>
              </w:rPr>
              <w:t xml:space="preserve">Agency Fee</w:t>
            </w:r>
          </w:p>
        </w:tc>
        <w:tc>
          <w:tcPr/>
          <w:p>
            <w:pPr>
              <w:pStyle w:val="Compact"/>
              <w:spacing w:line="360" w:lineRule="auto"/>
            </w:pPr>
            <w:r>
              <w:rPr>
                <w:rFonts w:ascii="Times New Roman" w:hAnsi="Times New Roman" w:cs="Times New Roman" w:eastAsia="Times New Roman"/>
                <w:sz w:val="24"/>
              </w:rPr>
              <w:t xml:space="preserve">Selve agent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honoraret</w:t>
            </w:r>
          </w:p>
        </w:tc>
      </w:tr>
    </w:tbl>
    <w:p>
      <w:pPr>
        <w:pStyle w:val="BodyText"/>
        <w:spacing w:line="360" w:lineRule="auto"/>
      </w:pPr>
      <w:r>
        <w:rPr>
          <w:rFonts w:ascii="Times New Roman" w:hAnsi="Times New Roman" w:cs="Times New Roman" w:eastAsia="Times New Roman"/>
          <w:sz w:val="24"/>
        </w:rPr>
        <w:t xml:space="preserve">Tjeneste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miksen varierer betydelig mellom havner: Tromsø har en høy andel agent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tjenester knyttet til toll og innkjøp, Stockholm domineres av hospitality, og Bergen har den bredeste tjeneste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paletten med 38 forskjellige tjeneste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typer i datasettet.</w:t>
      </w:r>
    </w:p>
    <w:p>
      <w:pPr>
        <w:pStyle w:val="BodyText"/>
        <w:spacing w:line="360" w:lineRule="auto"/>
      </w:pPr>
      <w:r>
        <w:rPr>
          <w:rFonts w:ascii="Times New Roman" w:hAnsi="Times New Roman" w:cs="Times New Roman" w:eastAsia="Times New Roman"/>
          <w:sz w:val="24"/>
        </w:rPr>
        <w:t xml:space="preserve">Yachtene som behandles er i størrelses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spennet 51,9–2 407 GT, der norske myndigheter krever los (</w:t>
      </w:r>
      <w:r>
        <w:rPr>
          <w:rStyle w:val="VerbatimChar"/>
          <w:rFonts w:ascii="Times New Roman" w:hAnsi="Times New Roman" w:cs="Times New Roman" w:eastAsia="Times New Roman"/>
          <w:sz w:val="24"/>
        </w:rPr>
        <w:t xml:space="preserve">Loskrav = Ja</w:t>
      </w:r>
      <w:r>
        <w:rPr>
          <w:rFonts w:ascii="Times New Roman" w:hAnsi="Times New Roman" w:cs="Times New Roman" w:eastAsia="Times New Roman"/>
          <w:sz w:val="24"/>
        </w:rPr>
        <w:t xml:space="preserve">) for fartøy med LOA &gt; 70 m. Bedriften kategoriserer fartøy i tre størrelser:</w:t>
      </w:r>
    </w:p>
    <w:p>
      <w:pPr>
        <w:pStyle w:val="Compact"/>
        <w:numPr>
          <w:ilvl w:val="0"/>
          <w:numId w:val="1008"/>
        </w:numPr>
        <w:spacing w:line="360" w:lineRule="auto"/>
      </w:pPr>
      <w:r>
        <w:rPr>
          <w:rFonts w:ascii="Times New Roman" w:hAnsi="Times New Roman" w:cs="Times New Roman" w:eastAsia="Times New Roman"/>
          <w:b/>
          <w:bCs/>
          <w:sz w:val="24"/>
        </w:rPr>
        <w:t xml:space="preserve">Liten: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GT &lt; 98</w:t>
      </w:r>
    </w:p>
    <w:p>
      <w:pPr>
        <w:pStyle w:val="Compact"/>
        <w:numPr>
          <w:ilvl w:val="0"/>
          <w:numId w:val="1008"/>
        </w:numPr>
        <w:spacing w:line="360" w:lineRule="auto"/>
      </w:pPr>
      <w:r>
        <w:rPr>
          <w:rFonts w:ascii="Times New Roman" w:hAnsi="Times New Roman" w:cs="Times New Roman" w:eastAsia="Times New Roman"/>
          <w:b/>
          <w:bCs/>
          <w:sz w:val="24"/>
        </w:rPr>
        <w:t xml:space="preserve">Mellomstor: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98 ≤ GT ≤ 1000</w:t>
      </w:r>
    </w:p>
    <w:p>
      <w:pPr>
        <w:pStyle w:val="Compact"/>
        <w:numPr>
          <w:ilvl w:val="0"/>
          <w:numId w:val="1008"/>
        </w:numPr>
        <w:spacing w:line="360" w:lineRule="auto"/>
      </w:pPr>
      <w:r>
        <w:rPr>
          <w:rFonts w:ascii="Times New Roman" w:hAnsi="Times New Roman" w:cs="Times New Roman" w:eastAsia="Times New Roman"/>
          <w:b/>
          <w:bCs/>
          <w:sz w:val="24"/>
        </w:rPr>
        <w:t xml:space="preserve">Stor: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GT &gt; 1000</w:t>
      </w:r>
    </w:p>
    <w:p>
      <w:pPr>
        <w:pStyle w:val="FirstParagraph"/>
        <w:spacing w:line="360" w:lineRule="auto"/>
      </w:pPr>
      <w:r>
        <w:rPr>
          <w:rFonts w:ascii="Times New Roman" w:hAnsi="Times New Roman" w:cs="Times New Roman" w:eastAsia="Times New Roman"/>
          <w:sz w:val="24"/>
        </w:rPr>
        <w:t xml:space="preserve">I dag utarbeides forhånds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estimater manuelt og varierer i kvalitet mellom koordinatorer. Bedriften ønsker et internt verktøy som gir et raskt, konsistent og forklarbart kostnads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estimat — det er behovet NautiCost dekker.</w:t>
      </w:r>
    </w:p>
    <w:p>
      <w:pPr>
        <w:spacing w:line="360" w:lineRule="auto"/>
      </w:pPr>
      <w:r>
        <w:rPr>
          <w:rFonts w:ascii="Times New Roman" w:hAnsi="Times New Roman" w:cs="Times New Roman" w:eastAsia="Times New Roman"/>
          <w:sz w:val="24"/>
        </w:rPr>
        <w:pict>
          <v:rect style="width:0;height:1.5pt" o:hralign="center" o:hrstd="t" o:hr="t"/>
        </w:pict>
      </w:r>
    </w:p>
    <w:bookmarkEnd w:id="30"/>
    <w:bookmarkStart w:id="39" w:name="metode-og-data"/>
    <w:p>
      <w:pPr>
        <w:pStyle w:val="Heading2"/>
        <w:spacing w:line="360" w:lineRule="auto"/>
      </w:pPr>
      <w:r>
        <w:rPr>
          <w:rFonts w:ascii="Times New Roman" w:hAnsi="Times New Roman" w:cs="Times New Roman" w:eastAsia="Times New Roman"/>
          <w:sz w:val="24"/>
        </w:rPr>
        <w:t xml:space="preserve">5. Metode og data</w:t>
      </w:r>
    </w:p>
    <w:bookmarkStart w:id="31" w:name="prosessmapping-mot-pensumkompendiet"/>
    <w:p>
      <w:pPr>
        <w:pStyle w:val="Heading3"/>
        <w:spacing w:line="360" w:lineRule="auto"/>
      </w:pPr>
      <w:r>
        <w:rPr>
          <w:rFonts w:ascii="Times New Roman" w:hAnsi="Times New Roman" w:cs="Times New Roman" w:eastAsia="Times New Roman"/>
          <w:sz w:val="24"/>
        </w:rPr>
        <w:t xml:space="preserve">5.0 Prosess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mapping mot pensum</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kompendiet</w:t>
      </w:r>
    </w:p>
    <w:p>
      <w:pPr>
        <w:pStyle w:val="FirstParagraph"/>
        <w:spacing w:line="360" w:lineRule="auto"/>
      </w:pPr>
      <w:r>
        <w:rPr>
          <w:rFonts w:ascii="Times New Roman" w:hAnsi="Times New Roman" w:cs="Times New Roman" w:eastAsia="Times New Roman"/>
          <w:sz w:val="24"/>
        </w:rPr>
        <w:t xml:space="preserve">Pensum</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kompendiet (Pettersen &amp; Rekdal, 2026, § i.4) foreskriver en femtrinns prosess for et kvantitativt logistikk</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prosjekt. NautiCost følger denne prosessen, og tabellen under viser hvilke kapitler som realiserer hvert steg: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spacing w:line="360" w:lineRule="auto"/>
            </w:pPr>
            <w:r>
              <w:rPr>
                <w:rFonts w:ascii="Times New Roman" w:hAnsi="Times New Roman" w:cs="Times New Roman" w:eastAsia="Times New Roman"/>
                <w:sz w:val="24"/>
              </w:rPr>
              <w:t xml:space="preserve">Prosess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steg (kompendiet § i.4)</w:t>
            </w:r>
          </w:p>
        </w:tc>
        <w:tc>
          <w:tcPr/>
          <w:p>
            <w:pPr>
              <w:pStyle w:val="Compact"/>
              <w:spacing w:line="360" w:lineRule="auto"/>
            </w:pPr>
            <w:r>
              <w:rPr>
                <w:rFonts w:ascii="Times New Roman" w:hAnsi="Times New Roman" w:cs="Times New Roman" w:eastAsia="Times New Roman"/>
                <w:sz w:val="24"/>
              </w:rPr>
              <w:t xml:space="preserve">Realisert i NautiCost-rapporten</w:t>
            </w:r>
          </w:p>
        </w:tc>
      </w:tr>
      <w:tr>
        <w:tc>
          <w:tcPr/>
          <w:p>
            <w:pPr>
              <w:pStyle w:val="Compact"/>
              <w:spacing w:line="360" w:lineRule="auto"/>
            </w:pPr>
            <w:r>
              <w:rPr>
                <w:rFonts w:ascii="Times New Roman" w:hAnsi="Times New Roman" w:cs="Times New Roman" w:eastAsia="Times New Roman"/>
                <w:sz w:val="24"/>
              </w:rPr>
              <w:t xml:space="preserve">Steg 1: Datainnsamling</w:t>
            </w:r>
          </w:p>
        </w:tc>
        <w:tc>
          <w:tcPr/>
          <w:p>
            <w:pPr>
              <w:pStyle w:val="Compact"/>
              <w:spacing w:line="360" w:lineRule="auto"/>
            </w:pPr>
            <w:r>
              <w:rPr>
                <w:rFonts w:ascii="Times New Roman" w:hAnsi="Times New Roman" w:cs="Times New Roman" w:eastAsia="Times New Roman"/>
                <w:sz w:val="24"/>
              </w:rPr>
              <w:t xml:space="preserve">§ 5.2 datakilder, § 5.3 datapreparering</w:t>
            </w:r>
          </w:p>
        </w:tc>
      </w:tr>
      <w:tr>
        <w:tc>
          <w:tcPr/>
          <w:p>
            <w:pPr>
              <w:pStyle w:val="Compact"/>
              <w:spacing w:line="360" w:lineRule="auto"/>
            </w:pPr>
            <w:r>
              <w:rPr>
                <w:rFonts w:ascii="Times New Roman" w:hAnsi="Times New Roman" w:cs="Times New Roman" w:eastAsia="Times New Roman"/>
                <w:sz w:val="24"/>
              </w:rPr>
              <w:t xml:space="preserve">Steg 2: Sjekk av antakelser</w:t>
            </w:r>
          </w:p>
        </w:tc>
        <w:tc>
          <w:tcPr/>
          <w:p>
            <w:pPr>
              <w:pStyle w:val="Compact"/>
              <w:spacing w:line="360" w:lineRule="auto"/>
            </w:pPr>
            <w:r>
              <w:rPr>
                <w:rFonts w:ascii="Times New Roman" w:hAnsi="Times New Roman" w:cs="Times New Roman" w:eastAsia="Times New Roman"/>
                <w:sz w:val="24"/>
              </w:rPr>
              <w:t xml:space="preserve">§ 5.7 antakelses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diagnostikk, § 7.4 residual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analyse</w:t>
            </w:r>
          </w:p>
        </w:tc>
      </w:tr>
      <w:tr>
        <w:tc>
          <w:tcPr/>
          <w:p>
            <w:pPr>
              <w:pStyle w:val="Compact"/>
              <w:spacing w:line="360" w:lineRule="auto"/>
            </w:pPr>
            <w:r>
              <w:rPr>
                <w:rFonts w:ascii="Times New Roman" w:hAnsi="Times New Roman" w:cs="Times New Roman" w:eastAsia="Times New Roman"/>
                <w:sz w:val="24"/>
              </w:rPr>
              <w:t xml:space="preserve">Steg 3: Løsning (modell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estimering)</w:t>
            </w:r>
          </w:p>
        </w:tc>
        <w:tc>
          <w:tcPr/>
          <w:p>
            <w:pPr>
              <w:pStyle w:val="Compact"/>
              <w:spacing w:line="360" w:lineRule="auto"/>
            </w:pPr>
            <w:r>
              <w:rPr>
                <w:rFonts w:ascii="Times New Roman" w:hAnsi="Times New Roman" w:cs="Times New Roman" w:eastAsia="Times New Roman"/>
                <w:sz w:val="24"/>
              </w:rPr>
              <w:t xml:space="preserve">§ 6.3 ensemble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modell, § 6.4 kvantil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modell, § 6.5 hybrid kalibrering</w:t>
            </w:r>
          </w:p>
        </w:tc>
      </w:tr>
      <w:tr>
        <w:tc>
          <w:tcPr/>
          <w:p>
            <w:pPr>
              <w:pStyle w:val="Compact"/>
              <w:spacing w:line="360" w:lineRule="auto"/>
            </w:pPr>
            <w:r>
              <w:rPr>
                <w:rFonts w:ascii="Times New Roman" w:hAnsi="Times New Roman" w:cs="Times New Roman" w:eastAsia="Times New Roman"/>
                <w:sz w:val="24"/>
              </w:rPr>
              <w:t xml:space="preserve">Steg 4: Sjekk av løsning</w:t>
            </w:r>
          </w:p>
        </w:tc>
        <w:tc>
          <w:tcPr/>
          <w:p>
            <w:pPr>
              <w:pStyle w:val="Compact"/>
              <w:spacing w:line="360" w:lineRule="auto"/>
            </w:pPr>
            <w:r>
              <w:rPr>
                <w:rFonts w:ascii="Times New Roman" w:hAnsi="Times New Roman" w:cs="Times New Roman" w:eastAsia="Times New Roman"/>
                <w:sz w:val="24"/>
              </w:rPr>
              <w:t xml:space="preserve">§ 8 resultater (valideringssett-metrikker + endelig testsett-evaluering), § 8.2 kvantil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dekning</w:t>
            </w:r>
          </w:p>
        </w:tc>
      </w:tr>
      <w:tr>
        <w:tc>
          <w:tcPr/>
          <w:p>
            <w:pPr>
              <w:pStyle w:val="Compact"/>
              <w:spacing w:line="360" w:lineRule="auto"/>
            </w:pPr>
            <w:r>
              <w:rPr>
                <w:rFonts w:ascii="Times New Roman" w:hAnsi="Times New Roman" w:cs="Times New Roman" w:eastAsia="Times New Roman"/>
                <w:sz w:val="24"/>
              </w:rPr>
              <w:t xml:space="preserve">Steg 5: Anvendelse</w:t>
            </w:r>
          </w:p>
        </w:tc>
        <w:tc>
          <w:tcPr/>
          <w:p>
            <w:pPr>
              <w:pStyle w:val="Compact"/>
              <w:spacing w:line="360" w:lineRule="auto"/>
            </w:pPr>
            <w:r>
              <w:rPr>
                <w:rFonts w:ascii="Times New Roman" w:hAnsi="Times New Roman" w:cs="Times New Roman" w:eastAsia="Times New Roman"/>
                <w:sz w:val="24"/>
              </w:rPr>
              <w:t xml:space="preserve">§ 6.5 hybrid kalibrering på anløpsnivå, § 8.4 operasjonell ytelse, § 9.5 brukertest</w:t>
            </w:r>
          </w:p>
        </w:tc>
      </w:tr>
    </w:tbl>
    <w:p>
      <w:pPr>
        <w:pStyle w:val="BodyText"/>
        <w:spacing w:line="360" w:lineRule="auto"/>
      </w:pPr>
      <w:r>
        <w:rPr>
          <w:rFonts w:ascii="Times New Roman" w:hAnsi="Times New Roman" w:cs="Times New Roman" w:eastAsia="Times New Roman"/>
          <w:sz w:val="24"/>
        </w:rPr>
        <w:t xml:space="preserve">Mappingen sikrer at lesere som har pensum</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kompendiet kan navigere rapporten med kjent rammeverk, og at de fem trinnene er dekket før vi konkluderer i § 10.</w:t>
      </w:r>
    </w:p>
    <w:bookmarkEnd w:id="31"/>
    <w:bookmarkStart w:id="32" w:name="forskningsdesign"/>
    <w:p>
      <w:pPr>
        <w:pStyle w:val="Heading3"/>
        <w:spacing w:line="360" w:lineRule="auto"/>
      </w:pPr>
      <w:r>
        <w:rPr>
          <w:rFonts w:ascii="Times New Roman" w:hAnsi="Times New Roman" w:cs="Times New Roman" w:eastAsia="Times New Roman"/>
          <w:sz w:val="24"/>
        </w:rPr>
        <w:t xml:space="preserve">5.1 Forskningsdesign</w:t>
      </w:r>
    </w:p>
    <w:p>
      <w:pPr>
        <w:pStyle w:val="FirstParagraph"/>
        <w:spacing w:line="360" w:lineRule="auto"/>
      </w:pPr>
      <w:r>
        <w:rPr>
          <w:rFonts w:ascii="Times New Roman" w:hAnsi="Times New Roman" w:cs="Times New Roman" w:eastAsia="Times New Roman"/>
          <w:sz w:val="24"/>
        </w:rPr>
        <w:t xml:space="preserve">Prosjektet følger et anvendt-prediktivt forskningsdesign: vi formulerer kostnads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estimering som et superviseret regresjonsproblem på transaksjonsnivå, med tids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basert split for å unngå data</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lekkasje, og evaluerer modellen mot operasjonelt relevante feilmetrikker (MAE i EUR — kildedataenes egen valuta, jf. § 1.3 — samt P25–P75-dekning).</w:t>
      </w:r>
    </w:p>
    <w:bookmarkEnd w:id="32"/>
    <w:bookmarkStart w:id="33" w:name="datakilder"/>
    <w:p>
      <w:pPr>
        <w:pStyle w:val="Heading3"/>
        <w:spacing w:line="360" w:lineRule="auto"/>
      </w:pPr>
      <w:r>
        <w:rPr>
          <w:rFonts w:ascii="Times New Roman" w:hAnsi="Times New Roman" w:cs="Times New Roman" w:eastAsia="Times New Roman"/>
          <w:sz w:val="24"/>
        </w:rPr>
        <w:t xml:space="preserve">5.2 Datakilder</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spacing w:line="360" w:lineRule="auto"/>
            </w:pPr>
            <w:r>
              <w:rPr>
                <w:rFonts w:ascii="Times New Roman" w:hAnsi="Times New Roman" w:cs="Times New Roman" w:eastAsia="Times New Roman"/>
                <w:sz w:val="24"/>
              </w:rPr>
              <w:t xml:space="preserve">Fil</w:t>
            </w:r>
          </w:p>
        </w:tc>
        <w:tc>
          <w:tcPr/>
          <w:p>
            <w:pPr>
              <w:pStyle w:val="Compact"/>
              <w:spacing w:line="360" w:lineRule="auto"/>
            </w:pPr>
            <w:r>
              <w:rPr>
                <w:rFonts w:ascii="Times New Roman" w:hAnsi="Times New Roman" w:cs="Times New Roman" w:eastAsia="Times New Roman"/>
                <w:sz w:val="24"/>
              </w:rPr>
              <w:t xml:space="preserve">Innhold</w:t>
            </w:r>
          </w:p>
        </w:tc>
        <w:tc>
          <w:tcPr/>
          <w:p>
            <w:pPr>
              <w:pStyle w:val="Compact"/>
              <w:spacing w:line="360" w:lineRule="auto"/>
              <w:jc w:val="right"/>
            </w:pPr>
            <w:r>
              <w:rPr>
                <w:rFonts w:ascii="Times New Roman" w:hAnsi="Times New Roman" w:cs="Times New Roman" w:eastAsia="Times New Roman"/>
                <w:sz w:val="24"/>
              </w:rPr>
              <w:t xml:space="preserve">Rader</w:t>
            </w:r>
          </w:p>
        </w:tc>
      </w:tr>
      <w:tr>
        <w:tc>
          <w:tcPr/>
          <w:p>
            <w:pPr>
              <w:pStyle w:val="Compact"/>
              <w:spacing w:line="360" w:lineRule="auto"/>
            </w:pPr>
            <w:r>
              <w:rPr>
                <w:rStyle w:val="VerbatimChar"/>
                <w:rFonts w:ascii="Times New Roman" w:hAnsi="Times New Roman" w:cs="Times New Roman" w:eastAsia="Times New Roman"/>
                <w:sz w:val="24"/>
              </w:rPr>
              <w:t xml:space="preserve">Rådata Nauticost.xlsx</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(sheet 1)</w:t>
            </w:r>
          </w:p>
        </w:tc>
        <w:tc>
          <w:tcPr/>
          <w:p>
            <w:pPr>
              <w:pStyle w:val="Compact"/>
              <w:spacing w:line="360" w:lineRule="auto"/>
            </w:pPr>
            <w:r>
              <w:rPr>
                <w:rFonts w:ascii="Times New Roman" w:hAnsi="Times New Roman" w:cs="Times New Roman" w:eastAsia="Times New Roman"/>
                <w:sz w:val="24"/>
              </w:rPr>
              <w:t xml:space="preserve">Originale faktura</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transaksjoner 2020–2025</w:t>
            </w:r>
          </w:p>
        </w:tc>
        <w:tc>
          <w:tcPr/>
          <w:p>
            <w:pPr>
              <w:pStyle w:val="Compact"/>
              <w:spacing w:line="360" w:lineRule="auto"/>
              <w:jc w:val="right"/>
            </w:pPr>
            <w:r>
              <w:rPr>
                <w:rFonts w:ascii="Times New Roman" w:hAnsi="Times New Roman" w:cs="Times New Roman" w:eastAsia="Times New Roman"/>
                <w:sz w:val="24"/>
              </w:rPr>
              <w:t xml:space="preserve">932</w:t>
            </w:r>
          </w:p>
        </w:tc>
      </w:tr>
      <w:tr>
        <w:tc>
          <w:tcPr/>
          <w:p>
            <w:pPr>
              <w:pStyle w:val="Compact"/>
              <w:spacing w:line="360" w:lineRule="auto"/>
            </w:pPr>
            <w:r>
              <w:rPr>
                <w:rStyle w:val="VerbatimChar"/>
                <w:rFonts w:ascii="Times New Roman" w:hAnsi="Times New Roman" w:cs="Times New Roman" w:eastAsia="Times New Roman"/>
                <w:sz w:val="24"/>
              </w:rPr>
              <w:t xml:space="preserve">Kostnader_MM.csv</w:t>
            </w:r>
          </w:p>
        </w:tc>
        <w:tc>
          <w:tcPr/>
          <w:p>
            <w:pPr>
              <w:pStyle w:val="Compact"/>
              <w:spacing w:line="360" w:lineRule="auto"/>
            </w:pPr>
            <w:r>
              <w:rPr>
                <w:rFonts w:ascii="Times New Roman" w:hAnsi="Times New Roman" w:cs="Times New Roman" w:eastAsia="Times New Roman"/>
                <w:sz w:val="24"/>
              </w:rPr>
              <w:t xml:space="preserve">Eksportert transaksjons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data (inkl. subtotaler)</w:t>
            </w:r>
          </w:p>
        </w:tc>
        <w:tc>
          <w:tcPr/>
          <w:p>
            <w:pPr>
              <w:pStyle w:val="Compact"/>
              <w:spacing w:line="360" w:lineRule="auto"/>
              <w:jc w:val="right"/>
            </w:pPr>
            <w:r>
              <w:rPr>
                <w:rFonts w:ascii="Times New Roman" w:hAnsi="Times New Roman" w:cs="Times New Roman" w:eastAsia="Times New Roman"/>
                <w:sz w:val="24"/>
              </w:rPr>
              <w:t xml:space="preserve">3 325</w:t>
            </w:r>
          </w:p>
        </w:tc>
      </w:tr>
      <w:tr>
        <w:tc>
          <w:tcPr/>
          <w:p>
            <w:pPr>
              <w:pStyle w:val="Compact"/>
              <w:spacing w:line="360" w:lineRule="auto"/>
            </w:pPr>
            <w:r>
              <w:rPr>
                <w:rStyle w:val="VerbatimChar"/>
                <w:rFonts w:ascii="Times New Roman" w:hAnsi="Times New Roman" w:cs="Times New Roman" w:eastAsia="Times New Roman"/>
                <w:sz w:val="24"/>
              </w:rPr>
              <w:t xml:space="preserve">costs_clean.csv</w:t>
            </w:r>
          </w:p>
        </w:tc>
        <w:tc>
          <w:tcPr/>
          <w:p>
            <w:pPr>
              <w:pStyle w:val="Compact"/>
              <w:spacing w:line="360" w:lineRule="auto"/>
            </w:pPr>
            <w:r>
              <w:rPr>
                <w:rFonts w:ascii="Times New Roman" w:hAnsi="Times New Roman" w:cs="Times New Roman" w:eastAsia="Times New Roman"/>
                <w:sz w:val="24"/>
              </w:rPr>
              <w:t xml:space="preserve">Renset transaksjons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data fra</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data_prep.ipynb</w:t>
            </w:r>
          </w:p>
        </w:tc>
        <w:tc>
          <w:tcPr/>
          <w:p>
            <w:pPr>
              <w:pStyle w:val="Compact"/>
              <w:spacing w:line="360" w:lineRule="auto"/>
              <w:jc w:val="right"/>
            </w:pPr>
            <w:r>
              <w:rPr>
                <w:rFonts w:ascii="Times New Roman" w:hAnsi="Times New Roman" w:cs="Times New Roman" w:eastAsia="Times New Roman"/>
                <w:sz w:val="24"/>
              </w:rPr>
              <w:t xml:space="preserve">1 654</w:t>
            </w:r>
          </w:p>
        </w:tc>
      </w:tr>
      <w:tr>
        <w:tc>
          <w:tcPr/>
          <w:p>
            <w:pPr>
              <w:pStyle w:val="Compact"/>
              <w:spacing w:line="360" w:lineRule="auto"/>
            </w:pPr>
            <w:r>
              <w:rPr>
                <w:rStyle w:val="VerbatimChar"/>
                <w:rFonts w:ascii="Times New Roman" w:hAnsi="Times New Roman" w:cs="Times New Roman" w:eastAsia="Times New Roman"/>
                <w:sz w:val="24"/>
              </w:rPr>
              <w:t xml:space="preserve">costs_merged.csv</w:t>
            </w:r>
          </w:p>
        </w:tc>
        <w:tc>
          <w:tcPr/>
          <w:p>
            <w:pPr>
              <w:pStyle w:val="Compact"/>
              <w:spacing w:line="360" w:lineRule="auto"/>
            </w:pPr>
            <w:r>
              <w:rPr>
                <w:rFonts w:ascii="Times New Roman" w:hAnsi="Times New Roman" w:cs="Times New Roman" w:eastAsia="Times New Roman"/>
                <w:sz w:val="24"/>
              </w:rPr>
              <w:t xml:space="preserve">Transaksjoner sammenstilt med yacht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spesifikasjoner</w:t>
            </w:r>
          </w:p>
        </w:tc>
        <w:tc>
          <w:tcPr/>
          <w:p>
            <w:pPr>
              <w:pStyle w:val="Compact"/>
              <w:spacing w:line="360" w:lineRule="auto"/>
              <w:jc w:val="right"/>
            </w:pPr>
            <w:r>
              <w:rPr>
                <w:rFonts w:ascii="Times New Roman" w:hAnsi="Times New Roman" w:cs="Times New Roman" w:eastAsia="Times New Roman"/>
                <w:sz w:val="24"/>
              </w:rPr>
              <w:t xml:space="preserve">1 654 (1 633 med gyldig pris)</w:t>
            </w:r>
          </w:p>
        </w:tc>
      </w:tr>
      <w:tr>
        <w:tc>
          <w:tcPr/>
          <w:p>
            <w:pPr>
              <w:pStyle w:val="Compact"/>
              <w:spacing w:line="360" w:lineRule="auto"/>
            </w:pPr>
            <w:r>
              <w:rPr>
                <w:rStyle w:val="VerbatimChar"/>
                <w:rFonts w:ascii="Times New Roman" w:hAnsi="Times New Roman" w:cs="Times New Roman" w:eastAsia="Times New Roman"/>
                <w:sz w:val="24"/>
              </w:rPr>
              <w:t xml:space="preserve">Yacht-specs.csv</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specs_clean.csv</w:t>
            </w:r>
          </w:p>
        </w:tc>
        <w:tc>
          <w:tcPr/>
          <w:p>
            <w:pPr>
              <w:pStyle w:val="Compact"/>
              <w:spacing w:line="360" w:lineRule="auto"/>
            </w:pPr>
            <w:r>
              <w:rPr>
                <w:rFonts w:ascii="Times New Roman" w:hAnsi="Times New Roman" w:cs="Times New Roman" w:eastAsia="Times New Roman"/>
                <w:sz w:val="24"/>
              </w:rPr>
              <w:t xml:space="preserve">17 unike yachter (19 spec-rader, noen revideres over tid)</w:t>
            </w:r>
          </w:p>
        </w:tc>
        <w:tc>
          <w:tcPr/>
          <w:p>
            <w:pPr>
              <w:pStyle w:val="Compact"/>
              <w:spacing w:line="360" w:lineRule="auto"/>
              <w:jc w:val="right"/>
            </w:pPr>
            <w:r>
              <w:rPr>
                <w:rFonts w:ascii="Times New Roman" w:hAnsi="Times New Roman" w:cs="Times New Roman" w:eastAsia="Times New Roman"/>
                <w:sz w:val="24"/>
              </w:rPr>
              <w:t xml:space="preserve">19</w:t>
            </w:r>
          </w:p>
        </w:tc>
      </w:tr>
      <w:tr>
        <w:tc>
          <w:tcPr/>
          <w:p>
            <w:pPr>
              <w:pStyle w:val="Compact"/>
              <w:spacing w:line="360" w:lineRule="auto"/>
            </w:pPr>
            <w:r>
              <w:rPr>
                <w:rStyle w:val="VerbatimChar"/>
                <w:rFonts w:ascii="Times New Roman" w:hAnsi="Times New Roman" w:cs="Times New Roman" w:eastAsia="Times New Roman"/>
                <w:sz w:val="24"/>
              </w:rPr>
              <w:t xml:space="preserve">cockpit_clean.csv</w:t>
            </w:r>
          </w:p>
        </w:tc>
        <w:tc>
          <w:tcPr/>
          <w:p>
            <w:pPr>
              <w:pStyle w:val="Compact"/>
              <w:spacing w:line="360" w:lineRule="auto"/>
            </w:pPr>
            <w:r>
              <w:rPr>
                <w:rFonts w:ascii="Times New Roman" w:hAnsi="Times New Roman" w:cs="Times New Roman" w:eastAsia="Times New Roman"/>
                <w:sz w:val="24"/>
              </w:rPr>
              <w:t xml:space="preserve">Aggregerte cockpit-tall 2020–2025</w:t>
            </w:r>
          </w:p>
        </w:tc>
        <w:tc>
          <w:tcPr/>
          <w:p>
            <w:pPr>
              <w:pStyle w:val="Compact"/>
              <w:spacing w:line="360" w:lineRule="auto"/>
              <w:jc w:val="right"/>
            </w:pPr>
            <w:r>
              <w:rPr>
                <w:rFonts w:ascii="Times New Roman" w:hAnsi="Times New Roman" w:cs="Times New Roman" w:eastAsia="Times New Roman"/>
                <w:sz w:val="24"/>
              </w:rPr>
              <w:t xml:space="preserve">6</w:t>
            </w:r>
          </w:p>
        </w:tc>
      </w:tr>
    </w:tbl>
    <w:bookmarkEnd w:id="33"/>
    <w:bookmarkStart w:id="34" w:name="datapreparering"/>
    <w:p>
      <w:pPr>
        <w:pStyle w:val="Heading3"/>
        <w:spacing w:line="360" w:lineRule="auto"/>
      </w:pPr>
      <w:r>
        <w:rPr>
          <w:rFonts w:ascii="Times New Roman" w:hAnsi="Times New Roman" w:cs="Times New Roman" w:eastAsia="Times New Roman"/>
          <w:sz w:val="24"/>
        </w:rPr>
        <w:t xml:space="preserve">5.3 Datapreparering</w:t>
      </w:r>
    </w:p>
    <w:p>
      <w:pPr>
        <w:pStyle w:val="FirstParagraph"/>
        <w:spacing w:line="360" w:lineRule="auto"/>
      </w:pPr>
      <w:r>
        <w:rPr>
          <w:rFonts w:ascii="Times New Roman" w:hAnsi="Times New Roman" w:cs="Times New Roman" w:eastAsia="Times New Roman"/>
          <w:sz w:val="24"/>
        </w:rPr>
        <w:t xml:space="preserve">Datapreparering er gjennomført i</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data_prep.ipynb</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og består av:</w:t>
      </w:r>
    </w:p>
    <w:p>
      <w:pPr>
        <w:pStyle w:val="Compact"/>
        <w:numPr>
          <w:ilvl w:val="0"/>
          <w:numId w:val="1009"/>
        </w:numPr>
        <w:spacing w:line="360" w:lineRule="auto"/>
      </w:pPr>
      <w:r>
        <w:rPr>
          <w:rFonts w:ascii="Times New Roman" w:hAnsi="Times New Roman" w:cs="Times New Roman" w:eastAsia="Times New Roman"/>
          <w:b/>
          <w:bCs/>
          <w:sz w:val="24"/>
        </w:rPr>
        <w:t xml:space="preserve">Innlesing og typing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av</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Rådata Nauticost.xlsx</w:t>
      </w:r>
      <w:r>
        <w:rPr>
          <w:rFonts w:ascii="Times New Roman" w:hAnsi="Times New Roman" w:cs="Times New Roman" w:eastAsia="Times New Roman"/>
          <w:sz w:val="24"/>
        </w:rPr>
        <w:t xml:space="preserve">, parsing av datofelt og numeriske beløp.</w:t>
      </w:r>
    </w:p>
    <w:p>
      <w:pPr>
        <w:pStyle w:val="Compact"/>
        <w:numPr>
          <w:ilvl w:val="0"/>
          <w:numId w:val="1009"/>
        </w:numPr>
        <w:spacing w:line="360" w:lineRule="auto"/>
      </w:pPr>
      <w:r>
        <w:rPr>
          <w:rFonts w:ascii="Times New Roman" w:hAnsi="Times New Roman" w:cs="Times New Roman" w:eastAsia="Times New Roman"/>
          <w:b/>
          <w:bCs/>
          <w:sz w:val="24"/>
        </w:rPr>
        <w:t xml:space="preserve">Datakvalitets</w:t>
      </w:r>
      <w:r>
        <w:rPr>
          <w:rFonts w:ascii="Times New Roman" w:hAnsi="Times New Roman" w:cs="Times New Roman" w:eastAsia="Times New Roman"/>
          <w:b/>
          <w:bCs/>
          <w:sz w:val="24"/>
        </w:rPr>
        <w:softHyphen/>
      </w:r>
      <w:r>
        <w:rPr>
          <w:rFonts w:ascii="Times New Roman" w:hAnsi="Times New Roman" w:cs="Times New Roman" w:eastAsia="Times New Roman"/>
          <w:b/>
          <w:bCs/>
          <w:sz w:val="24"/>
        </w:rPr>
        <w:t xml:space="preserve">flagging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via en</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flag</w:t>
      </w:r>
      <w:r>
        <w:rPr>
          <w:rFonts w:ascii="Times New Roman" w:hAnsi="Times New Roman" w:cs="Times New Roman" w:eastAsia="Times New Roman"/>
          <w:sz w:val="24"/>
        </w:rPr>
        <w:t xml:space="preserve">-kolonne for rader med inkonsistente felt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verdier (negative beløp, manglende yacht-ID, sluttdato før startdato).</w:t>
      </w:r>
    </w:p>
    <w:p>
      <w:pPr>
        <w:pStyle w:val="Compact"/>
        <w:numPr>
          <w:ilvl w:val="0"/>
          <w:numId w:val="1009"/>
        </w:numPr>
        <w:spacing w:line="360" w:lineRule="auto"/>
      </w:pPr>
      <w:r>
        <w:rPr>
          <w:rFonts w:ascii="Times New Roman" w:hAnsi="Times New Roman" w:cs="Times New Roman" w:eastAsia="Times New Roman"/>
          <w:b/>
          <w:bCs/>
          <w:sz w:val="24"/>
        </w:rPr>
        <w:t xml:space="preserve">Yacht-kobling: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transaksjoner kobles til yacht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spesifikasjoner (GT, LOA, beam, draft, fuel) via yacht-ID.</w:t>
      </w:r>
    </w:p>
    <w:p>
      <w:pPr>
        <w:pStyle w:val="Compact"/>
        <w:numPr>
          <w:ilvl w:val="0"/>
          <w:numId w:val="1009"/>
        </w:numPr>
        <w:spacing w:line="360" w:lineRule="auto"/>
      </w:pPr>
      <w:r>
        <w:rPr>
          <w:rFonts w:ascii="Times New Roman" w:hAnsi="Times New Roman" w:cs="Times New Roman" w:eastAsia="Times New Roman"/>
          <w:b/>
          <w:bCs/>
          <w:sz w:val="24"/>
        </w:rPr>
        <w:t xml:space="preserve">Avledede felt: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size_category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loskrav</w:t>
      </w:r>
      <w:r>
        <w:rPr>
          <w:rFonts w:ascii="Times New Roman" w:hAnsi="Times New Roman" w:cs="Times New Roman" w:eastAsia="Times New Roman"/>
          <w:sz w:val="24"/>
        </w:rPr>
        <w:t xml:space="preserve">, samt tids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variabler (måned, kvartal, dag-i-uka).</w:t>
      </w:r>
    </w:p>
    <w:p>
      <w:pPr>
        <w:pStyle w:val="Compact"/>
        <w:numPr>
          <w:ilvl w:val="0"/>
          <w:numId w:val="1009"/>
        </w:numPr>
        <w:spacing w:line="360" w:lineRule="auto"/>
      </w:pPr>
      <w:r>
        <w:rPr>
          <w:rFonts w:ascii="Times New Roman" w:hAnsi="Times New Roman" w:cs="Times New Roman" w:eastAsia="Times New Roman"/>
          <w:b/>
          <w:bCs/>
          <w:sz w:val="24"/>
        </w:rPr>
        <w:t xml:space="preserve">Filtrering: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rader med manglende eller ikke-positiv</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final_charge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fjernes (jf. antakelse A3).</w:t>
      </w:r>
    </w:p>
    <w:bookmarkEnd w:id="34"/>
    <w:bookmarkStart w:id="35" w:name="datasplit-og-evalueringsprotokoll"/>
    <w:p>
      <w:pPr>
        <w:pStyle w:val="Heading3"/>
        <w:spacing w:line="360" w:lineRule="auto"/>
      </w:pPr>
      <w:r>
        <w:rPr>
          <w:rFonts w:ascii="Times New Roman" w:hAnsi="Times New Roman" w:cs="Times New Roman" w:eastAsia="Times New Roman"/>
          <w:sz w:val="24"/>
        </w:rPr>
        <w:t xml:space="preserve">5.4 Datasplit og evalueringsprotokoll</w:t>
      </w:r>
    </w:p>
    <w:p>
      <w:pPr>
        <w:pStyle w:val="FirstParagraph"/>
        <w:spacing w:line="360" w:lineRule="auto"/>
      </w:pPr>
      <w:r>
        <w:rPr>
          <w:rFonts w:ascii="Times New Roman" w:hAnsi="Times New Roman" w:cs="Times New Roman" w:eastAsia="Times New Roman"/>
          <w:sz w:val="24"/>
        </w:rPr>
        <w:t xml:space="preserve">Splittet er</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tidsbasert</w:t>
      </w:r>
      <w:r>
        <w:rPr>
          <w:rFonts w:ascii="Times New Roman" w:hAnsi="Times New Roman" w:cs="Times New Roman" w:eastAsia="Times New Roman"/>
          <w:sz w:val="24"/>
        </w:rPr>
        <w:t xml:space="preserve">, ikke tilfeldig, for å speile reell prognose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bruk. Rollen til hvert sett er bevisst skilt mellom</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modellutvikling</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modellseleksjon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og</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endelig evaluering</w:t>
      </w:r>
      <w:r>
        <w:rPr>
          <w:rFonts w:ascii="Times New Roman" w:hAnsi="Times New Roman" w:cs="Times New Roman" w:eastAsia="Times New Roman"/>
          <w:sz w:val="24"/>
        </w:rPr>
        <w:t xml:space="preserve">:</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spacing w:line="360" w:lineRule="auto"/>
            </w:pPr>
            <w:r>
              <w:rPr>
                <w:rFonts w:ascii="Times New Roman" w:hAnsi="Times New Roman" w:cs="Times New Roman" w:eastAsia="Times New Roman"/>
                <w:sz w:val="24"/>
              </w:rPr>
              <w:t xml:space="preserve">Sett</w:t>
            </w:r>
          </w:p>
        </w:tc>
        <w:tc>
          <w:tcPr/>
          <w:p>
            <w:pPr>
              <w:pStyle w:val="Compact"/>
              <w:spacing w:line="360" w:lineRule="auto"/>
            </w:pPr>
            <w:r>
              <w:rPr>
                <w:rFonts w:ascii="Times New Roman" w:hAnsi="Times New Roman" w:cs="Times New Roman" w:eastAsia="Times New Roman"/>
                <w:sz w:val="24"/>
              </w:rPr>
              <w:t xml:space="preserve">Periode</w:t>
            </w:r>
          </w:p>
        </w:tc>
        <w:tc>
          <w:tcPr/>
          <w:p>
            <w:pPr>
              <w:pStyle w:val="Compact"/>
              <w:spacing w:line="360" w:lineRule="auto"/>
              <w:jc w:val="right"/>
            </w:pPr>
            <w:r>
              <w:rPr>
                <w:rFonts w:ascii="Times New Roman" w:hAnsi="Times New Roman" w:cs="Times New Roman" w:eastAsia="Times New Roman"/>
                <w:sz w:val="24"/>
              </w:rPr>
              <w:t xml:space="preserve">Rader</w:t>
            </w:r>
          </w:p>
        </w:tc>
        <w:tc>
          <w:tcPr/>
          <w:p>
            <w:pPr>
              <w:pStyle w:val="Compact"/>
              <w:spacing w:line="360" w:lineRule="auto"/>
            </w:pPr>
            <w:r>
              <w:rPr>
                <w:rFonts w:ascii="Times New Roman" w:hAnsi="Times New Roman" w:cs="Times New Roman" w:eastAsia="Times New Roman"/>
                <w:sz w:val="24"/>
              </w:rPr>
              <w:t xml:space="preserve">Rolle</w:t>
            </w:r>
          </w:p>
        </w:tc>
      </w:tr>
      <w:tr>
        <w:tc>
          <w:tcPr/>
          <w:p>
            <w:pPr>
              <w:pStyle w:val="Compact"/>
              <w:spacing w:line="360" w:lineRule="auto"/>
            </w:pPr>
            <w:r>
              <w:rPr>
                <w:rFonts w:ascii="Times New Roman" w:hAnsi="Times New Roman" w:cs="Times New Roman" w:eastAsia="Times New Roman"/>
                <w:sz w:val="24"/>
              </w:rPr>
              <w:t xml:space="preserve">Treningssett</w:t>
            </w:r>
          </w:p>
        </w:tc>
        <w:tc>
          <w:tcPr/>
          <w:p>
            <w:pPr>
              <w:pStyle w:val="Compact"/>
              <w:spacing w:line="360" w:lineRule="auto"/>
            </w:pPr>
            <w:r>
              <w:rPr>
                <w:rFonts w:ascii="Times New Roman" w:hAnsi="Times New Roman" w:cs="Times New Roman" w:eastAsia="Times New Roman"/>
                <w:sz w:val="24"/>
              </w:rPr>
              <w:t xml:space="preserve">≤ 2023</w:t>
            </w:r>
          </w:p>
        </w:tc>
        <w:tc>
          <w:tcPr/>
          <w:p>
            <w:pPr>
              <w:pStyle w:val="Compact"/>
              <w:spacing w:line="360" w:lineRule="auto"/>
              <w:jc w:val="right"/>
            </w:pPr>
            <w:r>
              <w:rPr>
                <w:rFonts w:ascii="Times New Roman" w:hAnsi="Times New Roman" w:cs="Times New Roman" w:eastAsia="Times New Roman"/>
                <w:sz w:val="24"/>
              </w:rPr>
              <w:t xml:space="preserve">487</w:t>
            </w:r>
          </w:p>
        </w:tc>
        <w:tc>
          <w:tcPr/>
          <w:p>
            <w:pPr>
              <w:pStyle w:val="Compact"/>
              <w:spacing w:line="360" w:lineRule="auto"/>
            </w:pPr>
            <w:r>
              <w:rPr>
                <w:rFonts w:ascii="Times New Roman" w:hAnsi="Times New Roman" w:cs="Times New Roman" w:eastAsia="Times New Roman"/>
                <w:sz w:val="24"/>
              </w:rPr>
              <w:t xml:space="preserve">Modellutvikling: trene base-modellene, lære feature-engineering-statistikker (aggregat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features beregnet kun her, jf. § 5.5).</w:t>
            </w:r>
          </w:p>
        </w:tc>
      </w:tr>
      <w:tr>
        <w:tc>
          <w:tcPr/>
          <w:p>
            <w:pPr>
              <w:pStyle w:val="Compact"/>
              <w:spacing w:line="360" w:lineRule="auto"/>
            </w:pPr>
            <w:r>
              <w:rPr>
                <w:rFonts w:ascii="Times New Roman" w:hAnsi="Times New Roman" w:cs="Times New Roman" w:eastAsia="Times New Roman"/>
                <w:sz w:val="24"/>
              </w:rPr>
              <w:t xml:space="preserve">Valideringssett</w:t>
            </w:r>
          </w:p>
        </w:tc>
        <w:tc>
          <w:tcPr/>
          <w:p>
            <w:pPr>
              <w:pStyle w:val="Compact"/>
              <w:spacing w:line="360" w:lineRule="auto"/>
            </w:pPr>
            <w:r>
              <w:rPr>
                <w:rFonts w:ascii="Times New Roman" w:hAnsi="Times New Roman" w:cs="Times New Roman" w:eastAsia="Times New Roman"/>
                <w:sz w:val="24"/>
              </w:rPr>
              <w:t xml:space="preserve">2024</w:t>
            </w:r>
          </w:p>
        </w:tc>
        <w:tc>
          <w:tcPr/>
          <w:p>
            <w:pPr>
              <w:pStyle w:val="Compact"/>
              <w:spacing w:line="360" w:lineRule="auto"/>
              <w:jc w:val="right"/>
            </w:pPr>
            <w:r>
              <w:rPr>
                <w:rFonts w:ascii="Times New Roman" w:hAnsi="Times New Roman" w:cs="Times New Roman" w:eastAsia="Times New Roman"/>
                <w:sz w:val="24"/>
              </w:rPr>
              <w:t xml:space="preserve">490</w:t>
            </w:r>
          </w:p>
        </w:tc>
        <w:tc>
          <w:tcPr/>
          <w:p>
            <w:pPr>
              <w:pStyle w:val="Compact"/>
              <w:spacing w:line="360" w:lineRule="auto"/>
            </w:pPr>
            <w:r>
              <w:rPr>
                <w:rFonts w:ascii="Times New Roman" w:hAnsi="Times New Roman" w:cs="Times New Roman" w:eastAsia="Times New Roman"/>
                <w:sz w:val="24"/>
              </w:rPr>
              <w:t xml:space="preserve">Modellseleksjon: velge hyperparametre (Optuna), ensemble-vekt</w:t>
            </w:r>
            <w:r>
              <w:rPr>
                <w:rFonts w:ascii="Times New Roman" w:hAnsi="Times New Roman" w:cs="Times New Roman" w:eastAsia="Times New Roman"/>
                <w:sz w:val="24"/>
              </w:rPr>
              <w:t xml:space="preserve"> </w:t>
            </w:r>
            <m:oMath>
              <m:r>
                <m:t>w</m:t>
              </m:r>
            </m:oMath>
            <w:r>
              <w:rPr>
                <w:rFonts w:ascii="Times New Roman" w:hAnsi="Times New Roman" w:cs="Times New Roman" w:eastAsia="Times New Roman"/>
                <w:sz w:val="24"/>
              </w:rPr>
              <w:t xml:space="preserve">, kvantil-objektivterskler og CQR-kalibreringsterskel; sammenligne kandidat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modeller (jf. § 8.1).</w:t>
            </w:r>
          </w:p>
        </w:tc>
      </w:tr>
      <w:tr>
        <w:tc>
          <w:tcPr/>
          <w:p>
            <w:pPr>
              <w:pStyle w:val="Compact"/>
              <w:spacing w:line="360" w:lineRule="auto"/>
            </w:pPr>
            <w:r>
              <w:rPr>
                <w:rFonts w:ascii="Times New Roman" w:hAnsi="Times New Roman" w:cs="Times New Roman" w:eastAsia="Times New Roman"/>
                <w:sz w:val="24"/>
              </w:rPr>
              <w:t xml:space="preserve">Testsett</w:t>
            </w:r>
          </w:p>
        </w:tc>
        <w:tc>
          <w:tcPr/>
          <w:p>
            <w:pPr>
              <w:pStyle w:val="Compact"/>
              <w:spacing w:line="360" w:lineRule="auto"/>
            </w:pPr>
            <w:r>
              <w:rPr>
                <w:rFonts w:ascii="Times New Roman" w:hAnsi="Times New Roman" w:cs="Times New Roman" w:eastAsia="Times New Roman"/>
                <w:sz w:val="24"/>
              </w:rPr>
              <w:t xml:space="preserve">2025</w:t>
            </w:r>
          </w:p>
        </w:tc>
        <w:tc>
          <w:tcPr/>
          <w:p>
            <w:pPr>
              <w:pStyle w:val="Compact"/>
              <w:spacing w:line="360" w:lineRule="auto"/>
              <w:jc w:val="right"/>
            </w:pPr>
            <w:r>
              <w:rPr>
                <w:rFonts w:ascii="Times New Roman" w:hAnsi="Times New Roman" w:cs="Times New Roman" w:eastAsia="Times New Roman"/>
                <w:sz w:val="24"/>
              </w:rPr>
              <w:t xml:space="preserve">670</w:t>
            </w:r>
          </w:p>
        </w:tc>
        <w:tc>
          <w:tcPr/>
          <w:p>
            <w:pPr>
              <w:pStyle w:val="Compact"/>
              <w:spacing w:line="360" w:lineRule="auto"/>
            </w:pPr>
            <w:r>
              <w:rPr>
                <w:rFonts w:ascii="Times New Roman" w:hAnsi="Times New Roman" w:cs="Times New Roman" w:eastAsia="Times New Roman"/>
                <w:sz w:val="24"/>
              </w:rPr>
              <w:t xml:space="preserve">Endelig, uavhengig evaluering av den utvalgte produksjons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modellen (jf. § 8.1.1). Brukes ikke til seleksjon eller hyperparameter</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valg.</w:t>
            </w:r>
          </w:p>
        </w:tc>
      </w:tr>
    </w:tbl>
    <w:p>
      <w:pPr>
        <w:pStyle w:val="BodyText"/>
        <w:spacing w:line="360" w:lineRule="auto"/>
      </w:pPr>
      <w:r>
        <w:rPr>
          <w:rFonts w:ascii="Times New Roman" w:hAnsi="Times New Roman" w:cs="Times New Roman" w:eastAsia="Times New Roman"/>
          <w:sz w:val="24"/>
        </w:rPr>
        <w:t xml:space="preserve">Året 2026 er holdt utenfor modellutviklingen og brukes som overvåkningssett etter hvert som nye fakturaer kommer inn (kun 7 rader pr. april 2026, og dermed ikke meningsfullt for evaluering på det tidspunktet).</w:t>
      </w:r>
    </w:p>
    <w:p>
      <w:pPr>
        <w:pStyle w:val="BodyText"/>
        <w:spacing w:line="360" w:lineRule="auto"/>
      </w:pPr>
      <w:r>
        <w:rPr>
          <w:rFonts w:ascii="Times New Roman" w:hAnsi="Times New Roman" w:cs="Times New Roman" w:eastAsia="Times New Roman"/>
          <w:b/>
          <w:bCs/>
          <w:sz w:val="24"/>
        </w:rPr>
        <w:t xml:space="preserve">Refit av produksjons</w:t>
      </w:r>
      <w:r>
        <w:rPr>
          <w:rFonts w:ascii="Times New Roman" w:hAnsi="Times New Roman" w:cs="Times New Roman" w:eastAsia="Times New Roman"/>
          <w:b/>
          <w:bCs/>
          <w:sz w:val="24"/>
        </w:rPr>
        <w:softHyphen/>
      </w:r>
      <w:r>
        <w:rPr>
          <w:rFonts w:ascii="Times New Roman" w:hAnsi="Times New Roman" w:cs="Times New Roman" w:eastAsia="Times New Roman"/>
          <w:b/>
          <w:bCs/>
          <w:sz w:val="24"/>
        </w:rPr>
        <w:t xml:space="preserve">modellen.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Etter at modellseleksjonen er fullført, refittes den endelige produksjons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modellen i</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model_meta_final.joblib</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på</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hele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perioden 2020–2025 — altså treningssett, valideringssett og testsett samlet (1 626 rader, 21 færre enn split-summen 1 647 fordi rader med manglende avledede aggregat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features faller bort i feature engineering-steget). Begrunnelsen for å trekke testsettet inn i treningen er at modellen deployes i produksjon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etter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seleksjonen er konkludert, og at maksimering av treningsdata på det tidspunktet gir lavest forventet generaliserings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feil ved deploy. Dette er en standard praksis (jf. Hastie, Tibshirani &amp; Friedman, 2009), men har en konkret konsekvens:</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rapporterte testsett-tall i § 8.1.1 gjelder den prefit’ede modellen (ensemble trent på ≤ 2024), ikke den refit’ede produksjons</w:t>
      </w:r>
      <w:r>
        <w:rPr>
          <w:rFonts w:ascii="Times New Roman" w:hAnsi="Times New Roman" w:cs="Times New Roman" w:eastAsia="Times New Roman"/>
          <w:b/>
          <w:bCs/>
          <w:sz w:val="24"/>
        </w:rPr>
        <w:softHyphen/>
      </w:r>
      <w:r>
        <w:rPr>
          <w:rFonts w:ascii="Times New Roman" w:hAnsi="Times New Roman" w:cs="Times New Roman" w:eastAsia="Times New Roman"/>
          <w:b/>
          <w:bCs/>
          <w:sz w:val="24"/>
        </w:rPr>
        <w:t xml:space="preserve">modellen.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Produksjons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modellen har dermed ingen uavhengig holdout-måling før neste tids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vindu (2026+) gir tilstrekkelig data. Dette diskuteres som begrensning i § 10.</w:t>
      </w:r>
    </w:p>
    <w:bookmarkEnd w:id="35"/>
    <w:bookmarkStart w:id="36" w:name="feature-engineering"/>
    <w:p>
      <w:pPr>
        <w:pStyle w:val="Heading3"/>
        <w:spacing w:line="360" w:lineRule="auto"/>
      </w:pPr>
      <w:r>
        <w:rPr>
          <w:rFonts w:ascii="Times New Roman" w:hAnsi="Times New Roman" w:cs="Times New Roman" w:eastAsia="Times New Roman"/>
          <w:sz w:val="24"/>
        </w:rPr>
        <w:t xml:space="preserve">5.5 Feature engineering</w:t>
      </w:r>
    </w:p>
    <w:p>
      <w:pPr>
        <w:pStyle w:val="FirstParagraph"/>
        <w:spacing w:line="360" w:lineRule="auto"/>
      </w:pPr>
      <w:r>
        <w:rPr>
          <w:rFonts w:ascii="Times New Roman" w:hAnsi="Times New Roman" w:cs="Times New Roman" w:eastAsia="Times New Roman"/>
          <w:sz w:val="24"/>
        </w:rPr>
        <w:t xml:space="preserve">Totalt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26 prediktor</w:t>
      </w:r>
      <w:r>
        <w:rPr>
          <w:rFonts w:ascii="Times New Roman" w:hAnsi="Times New Roman" w:cs="Times New Roman" w:eastAsia="Times New Roman"/>
          <w:b/>
          <w:bCs/>
          <w:sz w:val="24"/>
        </w:rPr>
        <w:softHyphen/>
      </w:r>
      <w:r>
        <w:rPr>
          <w:rFonts w:ascii="Times New Roman" w:hAnsi="Times New Roman" w:cs="Times New Roman" w:eastAsia="Times New Roman"/>
          <w:b/>
          <w:bCs/>
          <w:sz w:val="24"/>
        </w:rPr>
        <w:t xml:space="preserve">variabler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er konstruert (jf.</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build_features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predict_voyage.py</w:t>
      </w:r>
      <w:r>
        <w:rPr>
          <w:rFonts w:ascii="Times New Roman" w:hAnsi="Times New Roman" w:cs="Times New Roman" w:eastAsia="Times New Roman"/>
          <w:sz w:val="24"/>
        </w:rPr>
        <w:t xml:space="preserve">):</w:t>
      </w:r>
    </w:p>
    <w:p>
      <w:pPr>
        <w:pStyle w:val="Compact"/>
        <w:numPr>
          <w:ilvl w:val="0"/>
          <w:numId w:val="1010"/>
        </w:numPr>
        <w:spacing w:line="360" w:lineRule="auto"/>
      </w:pPr>
      <w:r>
        <w:rPr>
          <w:rFonts w:ascii="Times New Roman" w:hAnsi="Times New Roman" w:cs="Times New Roman" w:eastAsia="Times New Roman"/>
          <w:b/>
          <w:bCs/>
          <w:sz w:val="24"/>
        </w:rPr>
        <w:t xml:space="preserve">Yacht</w:t>
      </w:r>
      <w:r>
        <w:rPr>
          <w:rFonts w:ascii="Times New Roman" w:hAnsi="Times New Roman" w:cs="Times New Roman" w:eastAsia="Times New Roman"/>
          <w:b/>
          <w:bCs/>
          <w:sz w:val="24"/>
        </w:rPr>
        <w:softHyphen/>
      </w:r>
      <w:r>
        <w:rPr>
          <w:rFonts w:ascii="Times New Roman" w:hAnsi="Times New Roman" w:cs="Times New Roman" w:eastAsia="Times New Roman"/>
          <w:b/>
          <w:bCs/>
          <w:sz w:val="24"/>
        </w:rPr>
        <w:t xml:space="preserve">spesifikasjoner: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gt</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loa_m</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beam_m</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draft_m</w:t>
      </w:r>
      <w:r>
        <w:rPr>
          <w:rFonts w:ascii="Times New Roman" w:hAnsi="Times New Roman" w:cs="Times New Roman" w:eastAsia="Times New Roman"/>
          <w:sz w:val="24"/>
        </w:rPr>
        <w:t xml:space="preserve">.</w:t>
      </w:r>
    </w:p>
    <w:p>
      <w:pPr>
        <w:pStyle w:val="Compact"/>
        <w:numPr>
          <w:ilvl w:val="0"/>
          <w:numId w:val="1010"/>
        </w:numPr>
        <w:spacing w:line="360" w:lineRule="auto"/>
      </w:pPr>
      <w:r>
        <w:rPr>
          <w:rFonts w:ascii="Times New Roman" w:hAnsi="Times New Roman" w:cs="Times New Roman" w:eastAsia="Times New Roman"/>
          <w:b/>
          <w:bCs/>
          <w:sz w:val="24"/>
        </w:rPr>
        <w:t xml:space="preserve">Avledede yacht</w:t>
      </w:r>
      <w:r>
        <w:rPr>
          <w:rFonts w:ascii="Times New Roman" w:hAnsi="Times New Roman" w:cs="Times New Roman" w:eastAsia="Times New Roman"/>
          <w:b/>
          <w:bCs/>
          <w:sz w:val="24"/>
        </w:rPr>
        <w:softHyphen/>
      </w:r>
      <w:r>
        <w:rPr>
          <w:rFonts w:ascii="Times New Roman" w:hAnsi="Times New Roman" w:cs="Times New Roman" w:eastAsia="Times New Roman"/>
          <w:b/>
          <w:bCs/>
          <w:sz w:val="24"/>
        </w:rPr>
        <w:t xml:space="preserve">felt: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size_category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loskrav</w:t>
      </w:r>
      <w:r>
        <w:rPr>
          <w:rFonts w:ascii="Times New Roman" w:hAnsi="Times New Roman" w:cs="Times New Roman" w:eastAsia="Times New Roman"/>
          <w:sz w:val="24"/>
        </w:rPr>
        <w:t xml:space="preserve">.</w:t>
      </w:r>
    </w:p>
    <w:p>
      <w:pPr>
        <w:pStyle w:val="Compact"/>
        <w:numPr>
          <w:ilvl w:val="0"/>
          <w:numId w:val="1010"/>
        </w:numPr>
        <w:spacing w:line="360" w:lineRule="auto"/>
      </w:pPr>
      <w:r>
        <w:rPr>
          <w:rFonts w:ascii="Times New Roman" w:hAnsi="Times New Roman" w:cs="Times New Roman" w:eastAsia="Times New Roman"/>
          <w:b/>
          <w:bCs/>
          <w:sz w:val="24"/>
        </w:rPr>
        <w:t xml:space="preserve">Reise</w:t>
      </w:r>
      <w:r>
        <w:rPr>
          <w:rFonts w:ascii="Times New Roman" w:hAnsi="Times New Roman" w:cs="Times New Roman" w:eastAsia="Times New Roman"/>
          <w:b/>
          <w:bCs/>
          <w:sz w:val="24"/>
        </w:rPr>
        <w:softHyphen/>
      </w:r>
      <w:r>
        <w:rPr>
          <w:rFonts w:ascii="Times New Roman" w:hAnsi="Times New Roman" w:cs="Times New Roman" w:eastAsia="Times New Roman"/>
          <w:b/>
          <w:bCs/>
          <w:sz w:val="24"/>
        </w:rPr>
        <w:t xml:space="preserve">parametere: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arrival_port</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office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month</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stay_days</w:t>
      </w:r>
      <w:r>
        <w:rPr>
          <w:rFonts w:ascii="Times New Roman" w:hAnsi="Times New Roman" w:cs="Times New Roman" w:eastAsia="Times New Roman"/>
          <w:sz w:val="24"/>
        </w:rPr>
        <w:t xml:space="preserve">.</w:t>
      </w:r>
    </w:p>
    <w:p>
      <w:pPr>
        <w:pStyle w:val="Compact"/>
        <w:numPr>
          <w:ilvl w:val="0"/>
          <w:numId w:val="1010"/>
        </w:numPr>
        <w:spacing w:line="360" w:lineRule="auto"/>
      </w:pPr>
      <w:r>
        <w:rPr>
          <w:rFonts w:ascii="Times New Roman" w:hAnsi="Times New Roman" w:cs="Times New Roman" w:eastAsia="Times New Roman"/>
          <w:b/>
          <w:bCs/>
          <w:sz w:val="24"/>
        </w:rPr>
        <w:t xml:space="preserve">Tjeneste</w:t>
      </w:r>
      <w:r>
        <w:rPr>
          <w:rFonts w:ascii="Times New Roman" w:hAnsi="Times New Roman" w:cs="Times New Roman" w:eastAsia="Times New Roman"/>
          <w:b/>
          <w:bCs/>
          <w:sz w:val="24"/>
        </w:rPr>
        <w:softHyphen/>
      </w:r>
      <w:r>
        <w:rPr>
          <w:rFonts w:ascii="Times New Roman" w:hAnsi="Times New Roman" w:cs="Times New Roman" w:eastAsia="Times New Roman"/>
          <w:b/>
          <w:bCs/>
          <w:sz w:val="24"/>
        </w:rPr>
        <w:t xml:space="preserve">kontekst: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service_type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service_category</w:t>
      </w:r>
      <w:r>
        <w:rPr>
          <w:rFonts w:ascii="Times New Roman" w:hAnsi="Times New Roman" w:cs="Times New Roman" w:eastAsia="Times New Roman"/>
          <w:sz w:val="24"/>
        </w:rPr>
        <w:t xml:space="preserve">.</w:t>
      </w:r>
    </w:p>
    <w:p>
      <w:pPr>
        <w:pStyle w:val="Compact"/>
        <w:numPr>
          <w:ilvl w:val="0"/>
          <w:numId w:val="1010"/>
        </w:numPr>
        <w:spacing w:line="360" w:lineRule="auto"/>
      </w:pPr>
      <w:r>
        <w:rPr>
          <w:rFonts w:ascii="Times New Roman" w:hAnsi="Times New Roman" w:cs="Times New Roman" w:eastAsia="Times New Roman"/>
          <w:b/>
          <w:bCs/>
          <w:sz w:val="24"/>
        </w:rPr>
        <w:t xml:space="preserve">Tids</w:t>
      </w:r>
      <w:r>
        <w:rPr>
          <w:rFonts w:ascii="Times New Roman" w:hAnsi="Times New Roman" w:cs="Times New Roman" w:eastAsia="Times New Roman"/>
          <w:b/>
          <w:bCs/>
          <w:sz w:val="24"/>
        </w:rPr>
        <w:softHyphen/>
      </w:r>
      <w:r>
        <w:rPr>
          <w:rFonts w:ascii="Times New Roman" w:hAnsi="Times New Roman" w:cs="Times New Roman" w:eastAsia="Times New Roman"/>
          <w:b/>
          <w:bCs/>
          <w:sz w:val="24"/>
        </w:rPr>
        <w:t xml:space="preserve">features: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quarter</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is_summer</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is_shoulder</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day_of_week</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week_of_year</w:t>
      </w:r>
      <w:r>
        <w:rPr>
          <w:rFonts w:ascii="Times New Roman" w:hAnsi="Times New Roman" w:cs="Times New Roman" w:eastAsia="Times New Roman"/>
          <w:sz w:val="24"/>
        </w:rPr>
        <w:t xml:space="preserve">.</w:t>
      </w:r>
    </w:p>
    <w:p>
      <w:pPr>
        <w:pStyle w:val="Compact"/>
        <w:numPr>
          <w:ilvl w:val="0"/>
          <w:numId w:val="1010"/>
        </w:numPr>
        <w:spacing w:line="360" w:lineRule="auto"/>
      </w:pPr>
      <w:r>
        <w:rPr>
          <w:rFonts w:ascii="Times New Roman" w:hAnsi="Times New Roman" w:cs="Times New Roman" w:eastAsia="Times New Roman"/>
          <w:b/>
          <w:bCs/>
          <w:sz w:val="24"/>
        </w:rPr>
        <w:t xml:space="preserve">Interaksjoner: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gt × stay_days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loa_m × stay_days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fuel_lph × stay_days</w:t>
      </w:r>
      <w:r>
        <w:rPr>
          <w:rFonts w:ascii="Times New Roman" w:hAnsi="Times New Roman" w:cs="Times New Roman" w:eastAsia="Times New Roman"/>
          <w:sz w:val="24"/>
        </w:rPr>
        <w:t xml:space="preserve">.</w:t>
      </w:r>
    </w:p>
    <w:p>
      <w:pPr>
        <w:pStyle w:val="Compact"/>
        <w:numPr>
          <w:ilvl w:val="0"/>
          <w:numId w:val="1010"/>
        </w:numPr>
        <w:spacing w:line="360" w:lineRule="auto"/>
      </w:pPr>
      <w:r>
        <w:rPr>
          <w:rFonts w:ascii="Times New Roman" w:hAnsi="Times New Roman" w:cs="Times New Roman" w:eastAsia="Times New Roman"/>
          <w:b/>
          <w:bCs/>
          <w:sz w:val="24"/>
        </w:rPr>
        <w:t xml:space="preserve">Aggregat</w:t>
      </w:r>
      <w:r>
        <w:rPr>
          <w:rFonts w:ascii="Times New Roman" w:hAnsi="Times New Roman" w:cs="Times New Roman" w:eastAsia="Times New Roman"/>
          <w:b/>
          <w:bCs/>
          <w:sz w:val="24"/>
        </w:rPr>
        <w:softHyphen/>
      </w:r>
      <w:r>
        <w:rPr>
          <w:rFonts w:ascii="Times New Roman" w:hAnsi="Times New Roman" w:cs="Times New Roman" w:eastAsia="Times New Roman"/>
          <w:b/>
          <w:bCs/>
          <w:sz w:val="24"/>
        </w:rPr>
        <w:t xml:space="preserve">statistikk:</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size_svc_mean_charge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size_svc_median_charge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size_svc_count</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port_mean_charge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port_median_charge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alle i EUR, og beregnet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kun på trenings</w:t>
      </w:r>
      <w:r>
        <w:rPr>
          <w:rFonts w:ascii="Times New Roman" w:hAnsi="Times New Roman" w:cs="Times New Roman" w:eastAsia="Times New Roman"/>
          <w:b/>
          <w:bCs/>
          <w:sz w:val="24"/>
        </w:rPr>
        <w:softHyphen/>
      </w:r>
      <w:r>
        <w:rPr>
          <w:rFonts w:ascii="Times New Roman" w:hAnsi="Times New Roman" w:cs="Times New Roman" w:eastAsia="Times New Roman"/>
          <w:b/>
          <w:bCs/>
          <w:sz w:val="24"/>
        </w:rPr>
        <w:t xml:space="preserve">settet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å unngå target leakage. Merk at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size_*</w:t>
      </w:r>
      <w:r>
        <w:rPr>
          <w:rFonts w:ascii="Times New Roman" w:hAnsi="Times New Roman" w:cs="Times New Roman" w:eastAsia="Times New Roman"/>
          <w:sz w:val="24"/>
        </w:rPr>
        <w:t xml:space="preserve">-aggregatene er poolet på tvers av Norge, Sverige og Danmark — en avgrensning vi kommer tilbake til i § 9.5.</w:t>
      </w:r>
    </w:p>
    <w:p>
      <w:pPr>
        <w:pStyle w:val="Compact"/>
        <w:numPr>
          <w:ilvl w:val="0"/>
          <w:numId w:val="1010"/>
        </w:numPr>
        <w:spacing w:line="360" w:lineRule="auto"/>
      </w:pPr>
      <w:r>
        <w:rPr>
          <w:rFonts w:ascii="Times New Roman" w:hAnsi="Times New Roman" w:cs="Times New Roman" w:eastAsia="Times New Roman"/>
          <w:b/>
          <w:bCs/>
          <w:sz w:val="24"/>
        </w:rPr>
        <w:t xml:space="preserve">Tekstmål: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lengde av faktura</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kommentar (</w:t>
      </w:r>
      <w:r>
        <w:rPr>
          <w:rStyle w:val="VerbatimChar"/>
          <w:rFonts w:ascii="Times New Roman" w:hAnsi="Times New Roman" w:cs="Times New Roman" w:eastAsia="Times New Roman"/>
          <w:sz w:val="24"/>
        </w:rPr>
        <w:t xml:space="preserve">cmt_len</w:t>
      </w:r>
      <w:r>
        <w:rPr>
          <w:rFonts w:ascii="Times New Roman" w:hAnsi="Times New Roman" w:cs="Times New Roman" w:eastAsia="Times New Roman"/>
          <w:sz w:val="24"/>
        </w:rPr>
        <w:t xml:space="preserve">).</w:t>
      </w:r>
    </w:p>
    <w:bookmarkEnd w:id="36"/>
    <w:bookmarkStart w:id="37" w:name="verktøy-og-reproduserbarhet"/>
    <w:p>
      <w:pPr>
        <w:pStyle w:val="Heading3"/>
        <w:spacing w:line="360" w:lineRule="auto"/>
      </w:pPr>
      <w:r>
        <w:rPr>
          <w:rFonts w:ascii="Times New Roman" w:hAnsi="Times New Roman" w:cs="Times New Roman" w:eastAsia="Times New Roman"/>
          <w:sz w:val="24"/>
        </w:rPr>
        <w:t xml:space="preserve">5.6 Verktøy og reproduserbarhet</w:t>
      </w:r>
    </w:p>
    <w:p>
      <w:pPr>
        <w:pStyle w:val="FirstParagraph"/>
        <w:spacing w:line="360" w:lineRule="auto"/>
      </w:pPr>
      <w:r>
        <w:rPr>
          <w:rFonts w:ascii="Times New Roman" w:hAnsi="Times New Roman" w:cs="Times New Roman" w:eastAsia="Times New Roman"/>
          <w:sz w:val="24"/>
        </w:rPr>
        <w:t xml:space="preserve">Pipeline er implementert i Python 3.11 med pandas, scikit-learn, LightGBM 4.x, CatBoost 1.2, og Optuna for hyper</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parameter</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søk. Alle modell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artefakter er lagret i</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013 fase 3 - review/artifacts/</w:t>
      </w:r>
      <w:r>
        <w:rPr>
          <w:rFonts w:ascii="Times New Roman" w:hAnsi="Times New Roman" w:cs="Times New Roman" w:eastAsia="Times New Roman"/>
          <w:sz w:val="24"/>
        </w:rPr>
        <w:t xml:space="preserve">. Backend</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tjenesten er bygget med FastAPI og frontend med Next.js 14. Hele arbeidsflyten — inkludert AI-bistand i Claude Code — er versjons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kontrollert på GitHub i samsvar med god vitenskapelig praksis.</w:t>
      </w:r>
    </w:p>
    <w:bookmarkEnd w:id="37"/>
    <w:bookmarkStart w:id="38" w:name="antakelsessjekk-kompendiet-steg-2"/>
    <w:p>
      <w:pPr>
        <w:pStyle w:val="Heading3"/>
        <w:spacing w:line="360" w:lineRule="auto"/>
      </w:pPr>
      <w:r>
        <w:rPr>
          <w:rFonts w:ascii="Times New Roman" w:hAnsi="Times New Roman" w:cs="Times New Roman" w:eastAsia="Times New Roman"/>
          <w:sz w:val="24"/>
        </w:rPr>
        <w:t xml:space="preserve">5.7 Antakelses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sjekk (kompendiet steg 2)</w:t>
      </w:r>
    </w:p>
    <w:p>
      <w:pPr>
        <w:pStyle w:val="FirstParagraph"/>
        <w:spacing w:line="360" w:lineRule="auto"/>
      </w:pPr>
      <w:r>
        <w:rPr>
          <w:rFonts w:ascii="Times New Roman" w:hAnsi="Times New Roman" w:cs="Times New Roman" w:eastAsia="Times New Roman"/>
          <w:sz w:val="24"/>
        </w:rPr>
        <w:t xml:space="preserve">Selv om tre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ensembler er robuste mot mange klassiske brudd på regresjons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antakelser (linearitet, normalitet, homoskedastisitet), foreskriver pensum</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kompendiet (§ i.4.2) at antakelsene skal verifiseres eksplisitt før modellen brukes. Vi rapporterer tre sjekker, alle utført på trenings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settet (≤ 2023):</w:t>
      </w:r>
    </w:p>
    <w:p>
      <w:pPr>
        <w:numPr>
          <w:ilvl w:val="0"/>
          <w:numId w:val="1011"/>
        </w:numPr>
        <w:spacing w:line="360" w:lineRule="auto"/>
      </w:pPr>
      <w:r>
        <w:rPr>
          <w:rFonts w:ascii="Times New Roman" w:hAnsi="Times New Roman" w:cs="Times New Roman" w:eastAsia="Times New Roman"/>
          <w:b/>
          <w:bCs/>
          <w:sz w:val="24"/>
        </w:rPr>
        <w:t xml:space="preserve">Skjevhet i mål</w:t>
      </w:r>
      <w:r>
        <w:rPr>
          <w:rFonts w:ascii="Times New Roman" w:hAnsi="Times New Roman" w:cs="Times New Roman" w:eastAsia="Times New Roman"/>
          <w:b/>
          <w:bCs/>
          <w:sz w:val="24"/>
        </w:rPr>
        <w:softHyphen/>
      </w:r>
      <w:r>
        <w:rPr>
          <w:rFonts w:ascii="Times New Roman" w:hAnsi="Times New Roman" w:cs="Times New Roman" w:eastAsia="Times New Roman"/>
          <w:b/>
          <w:bCs/>
          <w:sz w:val="24"/>
        </w:rPr>
        <w:t xml:space="preserve">variabelen.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Som rapportert i § 7.1 er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final_charge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sterkt høyreskjev (snitt &gt; 3× median, P95/P50 ≈ 12). Log-transformasjonen (§ 6.1) reduserer skjevheten fra ~5,8 til ~0,4 målt med skewness-koeffisienten, hvilket er innenfor det området L2-tap håndterer godt. Antakelse om at log-skala gir tilnærmet symmetrisk feilfordeling holder dermed empirisk (jf. residual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plottet i § 7.4).</w:t>
      </w:r>
    </w:p>
    <w:p>
      <w:pPr>
        <w:numPr>
          <w:ilvl w:val="0"/>
          <w:numId w:val="1011"/>
        </w:numPr>
        <w:spacing w:line="360" w:lineRule="auto"/>
      </w:pPr>
      <w:r>
        <w:rPr>
          <w:rFonts w:ascii="Times New Roman" w:hAnsi="Times New Roman" w:cs="Times New Roman" w:eastAsia="Times New Roman"/>
          <w:b/>
          <w:bCs/>
          <w:sz w:val="24"/>
        </w:rPr>
        <w:t xml:space="preserve">Heteroskedastisitet.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Bruschagan-test (uformelt: residualer vs. predikert verdi i log-rom) viser at residual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variansen ikke er konstant over hele predikert-spennet — store predikerte verdier (Provisioning og Port Marina for Stor-yachter) har større absolutte residualer enn små predikerte verdier. Dette er en av grunnene til at kvantil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regresjon og CQR-kalibrering (§ 6.4) er valgt: konstante prediksjons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bånd ville vært feil, og kvantil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modellene tilpasser seg heteroskedastisiteten.</w:t>
      </w:r>
    </w:p>
    <w:p>
      <w:pPr>
        <w:numPr>
          <w:ilvl w:val="0"/>
          <w:numId w:val="1011"/>
        </w:numPr>
        <w:spacing w:line="360" w:lineRule="auto"/>
      </w:pPr>
      <w:r>
        <w:rPr>
          <w:rFonts w:ascii="Times New Roman" w:hAnsi="Times New Roman" w:cs="Times New Roman" w:eastAsia="Times New Roman"/>
          <w:b/>
          <w:bCs/>
          <w:sz w:val="24"/>
        </w:rPr>
        <w:t xml:space="preserve">Multikollinearitet.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Variance Inflation Factor (VIF) for de numeriske featurene viser at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gt</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loa_m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og</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fuel_lph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er sterkt korrelerte (alle VIF &gt; 10, par-Pearson &gt; 0,9). Notebook-cellen som dropper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log_gt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 = 0,94 med</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gt</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fuel_lph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 = 0,999 med</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gt</w:t>
      </w:r>
      <w:r>
        <w:rPr>
          <w:rFonts w:ascii="Times New Roman" w:hAnsi="Times New Roman" w:cs="Times New Roman" w:eastAsia="Times New Roman"/>
          <w:sz w:val="24"/>
        </w:rPr>
        <w:t xml:space="preserve">) og noen redundante aggregat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features eliminerer de mest ekstreme tilfellene. Resterende moderate multikollinearitet (VIF ≈ 3–5 for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loa_m × stay_days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og lignende interaksjons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features) er akseptert fordi tre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ensembler ikke er sensitive for kollineære features på samme måte som lineær regresjon — en feature med VIF = 5 i et tre vil bare bli valgt sjeldnere ved split, ikke gi numerisk ustabilitet.</w:t>
      </w:r>
    </w:p>
    <w:p>
      <w:pPr>
        <w:pStyle w:val="FirstParagraph"/>
        <w:spacing w:line="360" w:lineRule="auto"/>
      </w:pPr>
      <w:r>
        <w:rPr>
          <w:rFonts w:ascii="Times New Roman" w:hAnsi="Times New Roman" w:cs="Times New Roman" w:eastAsia="Times New Roman"/>
          <w:sz w:val="24"/>
        </w:rPr>
        <w:t xml:space="preserve">Konklusjonen er at antakelses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bruddet som ville vært mest skadelig — sterk skjevhet i mål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variabelen — er adressert via log-transformasjon, og at heteroskedastisitet er håndtert via kvantil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modellering snarere enn ignorert. Antakelsene er dermed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“tilstrekkelig oppfylt”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 kompendiets forstand (§ i.4.2), og resultatene i § 8 skal leses i lys av denne sjekken.</w:t>
      </w:r>
    </w:p>
    <w:p>
      <w:pPr>
        <w:spacing w:line="360" w:lineRule="auto"/>
      </w:pPr>
      <w:r>
        <w:rPr>
          <w:rFonts w:ascii="Times New Roman" w:hAnsi="Times New Roman" w:cs="Times New Roman" w:eastAsia="Times New Roman"/>
          <w:sz w:val="24"/>
        </w:rPr>
        <w:pict>
          <v:rect style="width:0;height:1.5pt" o:hralign="center" o:hrstd="t" o:hr="t"/>
        </w:pict>
      </w:r>
    </w:p>
    <w:bookmarkEnd w:id="38"/>
    <w:bookmarkEnd w:id="39"/>
    <w:bookmarkStart w:id="45" w:name="modell"/>
    <w:p>
      <w:pPr>
        <w:pStyle w:val="Heading2"/>
        <w:spacing w:line="360" w:lineRule="auto"/>
      </w:pPr>
      <w:r>
        <w:rPr>
          <w:rFonts w:ascii="Times New Roman" w:hAnsi="Times New Roman" w:cs="Times New Roman" w:eastAsia="Times New Roman"/>
          <w:sz w:val="24"/>
        </w:rPr>
        <w:t xml:space="preserve">6. Modell</w:t>
      </w:r>
    </w:p>
    <w:bookmarkStart w:id="40" w:name="målvariabel-og-tap"/>
    <w:p>
      <w:pPr>
        <w:pStyle w:val="Heading3"/>
        <w:spacing w:line="360" w:lineRule="auto"/>
      </w:pPr>
      <w:r>
        <w:rPr>
          <w:rFonts w:ascii="Times New Roman" w:hAnsi="Times New Roman" w:cs="Times New Roman" w:eastAsia="Times New Roman"/>
          <w:sz w:val="24"/>
        </w:rPr>
        <w:t xml:space="preserve">6.1 Mål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variabel og tap</w:t>
      </w:r>
    </w:p>
    <w:p>
      <w:pPr>
        <w:pStyle w:val="FirstParagraph"/>
        <w:spacing w:line="360" w:lineRule="auto"/>
      </w:pPr>
      <w:r>
        <w:rPr>
          <w:rFonts w:ascii="Times New Roman" w:hAnsi="Times New Roman" w:cs="Times New Roman" w:eastAsia="Times New Roman"/>
          <w:sz w:val="24"/>
        </w:rPr>
        <w:t xml:space="preserve">Mål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variabelen er kostnaden per transaksjon,</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final_charge</w:t>
      </w:r>
      <w:r>
        <w:rPr>
          <w:rFonts w:ascii="Times New Roman" w:hAnsi="Times New Roman" w:cs="Times New Roman" w:eastAsia="Times New Roman"/>
          <w:sz w:val="24"/>
        </w:rPr>
        <w:t xml:space="preserve">, log-transformert:</w:t>
      </w:r>
    </w:p>
    <w:p>
      <w:pPr>
        <w:pStyle w:val="BodyText"/>
        <w:spacing w:line="360" w:lineRule="auto"/>
      </w:pPr>
      <m:oMathPara>
        <m:oMathParaPr>
          <m:jc m:val="center"/>
        </m:oMathParaPr>
        <m:oMath>
          <m:r>
            <m:t>y</m:t>
          </m:r>
          <m:r>
            <m:rPr>
              <m:sty m:val="p"/>
            </m:rPr>
            <m:t>=</m:t>
          </m:r>
          <m:r>
            <m:rPr>
              <m:sty m:val="p"/>
            </m:rPr>
            <m:t>log</m:t>
          </m:r>
          <m:r>
            <m:rPr>
              <m:sty m:val="p"/>
            </m:rPr>
            <m:t>(</m:t>
          </m:r>
          <m:r>
            <m:t>1</m:t>
          </m:r>
          <m:r>
            <m:rPr>
              <m:sty m:val="p"/>
            </m:rPr>
            <m:t>+</m:t>
          </m:r>
          <m:r>
            <m:rPr>
              <m:nor/>
              <m:sty m:val="p"/>
            </m:rPr>
            <m:t>final_charge</m:t>
          </m:r>
          <m:r>
            <m:rPr>
              <m:sty m:val="p"/>
            </m:rPr>
            <m:t>)</m:t>
          </m:r>
        </m:oMath>
      </m:oMathPara>
    </w:p>
    <w:p>
      <w:pPr>
        <w:pStyle w:val="FirstParagraph"/>
        <w:spacing w:line="360" w:lineRule="auto"/>
      </w:pPr>
      <w:r>
        <w:rPr>
          <w:rFonts w:ascii="Times New Roman" w:hAnsi="Times New Roman" w:cs="Times New Roman" w:eastAsia="Times New Roman"/>
          <w:sz w:val="24"/>
        </w:rPr>
        <w:t xml:space="preserve">Modellene optimerer L2-tap i log-rommet; predikerte verdier inverteres med</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expm1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ved evaluering.</w:t>
      </w:r>
    </w:p>
    <w:bookmarkEnd w:id="40"/>
    <w:bookmarkStart w:id="41" w:name="baselinemodeller"/>
    <w:p>
      <w:pPr>
        <w:pStyle w:val="Heading3"/>
        <w:spacing w:line="360" w:lineRule="auto"/>
      </w:pPr>
      <w:r>
        <w:rPr>
          <w:rFonts w:ascii="Times New Roman" w:hAnsi="Times New Roman" w:cs="Times New Roman" w:eastAsia="Times New Roman"/>
          <w:sz w:val="24"/>
        </w:rPr>
        <w:t xml:space="preserve">6.2 Baseline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modeller</w:t>
      </w:r>
    </w:p>
    <w:p>
      <w:pPr>
        <w:pStyle w:val="FirstParagraph"/>
        <w:spacing w:line="360" w:lineRule="auto"/>
      </w:pPr>
      <w:r>
        <w:rPr>
          <w:rFonts w:ascii="Times New Roman" w:hAnsi="Times New Roman" w:cs="Times New Roman" w:eastAsia="Times New Roman"/>
          <w:sz w:val="24"/>
        </w:rPr>
        <w:t xml:space="preserve">To baselines etableres for å kalibrere forventningene:</w:t>
      </w:r>
    </w:p>
    <w:p>
      <w:pPr>
        <w:pStyle w:val="Compact"/>
        <w:numPr>
          <w:ilvl w:val="0"/>
          <w:numId w:val="1012"/>
        </w:numPr>
        <w:spacing w:line="360" w:lineRule="auto"/>
      </w:pPr>
      <w:r>
        <w:rPr>
          <w:rFonts w:ascii="Times New Roman" w:hAnsi="Times New Roman" w:cs="Times New Roman" w:eastAsia="Times New Roman"/>
          <w:b/>
          <w:bCs/>
          <w:sz w:val="24"/>
        </w:rPr>
        <w:t xml:space="preserve">Median</w:t>
      </w:r>
      <w:r>
        <w:rPr>
          <w:rFonts w:ascii="Times New Roman" w:hAnsi="Times New Roman" w:cs="Times New Roman" w:eastAsia="Times New Roman"/>
          <w:b/>
          <w:bCs/>
          <w:sz w:val="24"/>
        </w:rPr>
        <w:softHyphen/>
      </w:r>
      <w:r>
        <w:rPr>
          <w:rFonts w:ascii="Times New Roman" w:hAnsi="Times New Roman" w:cs="Times New Roman" w:eastAsia="Times New Roman"/>
          <w:b/>
          <w:bCs/>
          <w:sz w:val="24"/>
        </w:rPr>
        <w:t xml:space="preserve">baseline: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prediker median av</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(size_category, service_category)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på treningssettet.</w:t>
      </w:r>
    </w:p>
    <w:p>
      <w:pPr>
        <w:pStyle w:val="Compact"/>
        <w:numPr>
          <w:ilvl w:val="0"/>
          <w:numId w:val="1012"/>
        </w:numPr>
        <w:spacing w:line="360" w:lineRule="auto"/>
      </w:pPr>
      <w:r>
        <w:rPr>
          <w:rFonts w:ascii="Times New Roman" w:hAnsi="Times New Roman" w:cs="Times New Roman" w:eastAsia="Times New Roman"/>
          <w:b/>
          <w:bCs/>
          <w:sz w:val="24"/>
        </w:rPr>
        <w:t xml:space="preserve">Ridge</w:t>
      </w:r>
      <w:r>
        <w:rPr>
          <w:rFonts w:ascii="Times New Roman" w:hAnsi="Times New Roman" w:cs="Times New Roman" w:eastAsia="Times New Roman"/>
          <w:b/>
          <w:bCs/>
          <w:sz w:val="24"/>
        </w:rPr>
        <w:softHyphen/>
      </w:r>
      <w:r>
        <w:rPr>
          <w:rFonts w:ascii="Times New Roman" w:hAnsi="Times New Roman" w:cs="Times New Roman" w:eastAsia="Times New Roman"/>
          <w:b/>
          <w:bCs/>
          <w:sz w:val="24"/>
        </w:rPr>
        <w:t xml:space="preserve">regresjon: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lineær modell med one-hot-kodede kategorier og standardiserte numeriske features.</w:t>
      </w:r>
    </w:p>
    <w:bookmarkEnd w:id="41"/>
    <w:bookmarkStart w:id="42" w:name="hovedmodell-lightgbm-catboost-ensemble"/>
    <w:p>
      <w:pPr>
        <w:pStyle w:val="Heading3"/>
        <w:spacing w:line="360" w:lineRule="auto"/>
      </w:pPr>
      <w:r>
        <w:rPr>
          <w:rFonts w:ascii="Times New Roman" w:hAnsi="Times New Roman" w:cs="Times New Roman" w:eastAsia="Times New Roman"/>
          <w:sz w:val="24"/>
        </w:rPr>
        <w:t xml:space="preserve">6.3 Hovedmodell — LightGBM + CatBoost ensemble</w:t>
      </w:r>
    </w:p>
    <w:p>
      <w:pPr>
        <w:pStyle w:val="FirstParagraph"/>
        <w:spacing w:line="360" w:lineRule="auto"/>
      </w:pPr>
      <w:r>
        <w:rPr>
          <w:rFonts w:ascii="Times New Roman" w:hAnsi="Times New Roman" w:cs="Times New Roman" w:eastAsia="Times New Roman"/>
          <w:sz w:val="24"/>
        </w:rPr>
        <w:t xml:space="preserve">Den endelige modellen er et veid gjennomsnitt i log-rommet av to gradient-boosting-modeller:</w:t>
      </w:r>
    </w:p>
    <w:p>
      <w:pPr>
        <w:pStyle w:val="BodyText"/>
        <w:spacing w:line="360" w:lineRule="auto"/>
      </w:pPr>
      <m:oMathPara>
        <m:oMathParaPr>
          <m:jc m:val="center"/>
        </m:oMathParaPr>
        <m:oMath>
          <m:sSub>
            <m:e>
              <m:acc>
                <m:accPr>
                  <m:chr m:val="̂"/>
                </m:accPr>
                <m:e>
                  <m:r>
                    <m:t>y</m:t>
                  </m:r>
                </m:e>
              </m:acc>
            </m:e>
            <m:sub>
              <m:r>
                <m:rPr>
                  <m:nor/>
                  <m:sty m:val="p"/>
                </m:rPr>
                <m:t>ens</m:t>
              </m:r>
            </m:sub>
          </m:sSub>
          <m:r>
            <m:rPr>
              <m:sty m:val="p"/>
            </m:rPr>
            <m:t>=</m:t>
          </m:r>
          <m:r>
            <m:t>w</m:t>
          </m:r>
          <m:r>
            <m:rPr>
              <m:sty m:val="p"/>
            </m:rPr>
            <m:t>⋅</m:t>
          </m:r>
          <m:sSub>
            <m:e>
              <m:acc>
                <m:accPr>
                  <m:chr m:val="̂"/>
                </m:accPr>
                <m:e>
                  <m:r>
                    <m:t>y</m:t>
                  </m:r>
                </m:e>
              </m:acc>
            </m:e>
            <m:sub>
              <m:r>
                <m:rPr>
                  <m:nor/>
                  <m:sty m:val="p"/>
                </m:rPr>
                <m:t>LGB</m:t>
              </m:r>
            </m:sub>
          </m:sSub>
          <m:r>
            <m:rPr>
              <m:sty m:val="p"/>
            </m:rPr>
            <m:t>+</m:t>
          </m:r>
          <m:r>
            <m:rPr>
              <m:sty m:val="p"/>
            </m:rPr>
            <m:t>(</m:t>
          </m:r>
          <m:r>
            <m:t>1</m:t>
          </m:r>
          <m:r>
            <m:rPr>
              <m:sty m:val="p"/>
            </m:rPr>
            <m:t>−</m:t>
          </m:r>
          <m:r>
            <m:t>w</m:t>
          </m:r>
          <m:r>
            <m:rPr>
              <m:sty m:val="p"/>
            </m:rPr>
            <m:t>)</m:t>
          </m:r>
          <m:r>
            <m:rPr>
              <m:sty m:val="p"/>
            </m:rPr>
            <m:t>⋅</m:t>
          </m:r>
          <m:sSub>
            <m:e>
              <m:acc>
                <m:accPr>
                  <m:chr m:val="̂"/>
                </m:accPr>
                <m:e>
                  <m:r>
                    <m:t>y</m:t>
                  </m:r>
                </m:e>
              </m:acc>
            </m:e>
            <m:sub>
              <m:r>
                <m:rPr>
                  <m:nor/>
                  <m:sty m:val="p"/>
                </m:rPr>
                <m:t>CB</m:t>
              </m:r>
            </m:sub>
          </m:sSub>
          <m:r>
            <m:rPr>
              <m:sty m:val="p"/>
            </m:rPr>
            <m:t>,</m:t>
          </m:r>
          <m:r>
            <m:t> </m:t>
          </m:r>
          <m:r>
            <m:t>w</m:t>
          </m:r>
          <m:r>
            <m:rPr>
              <m:sty m:val="p"/>
            </m:rPr>
            <m:t>∈</m:t>
          </m:r>
          <m:r>
            <m:rPr>
              <m:sty m:val="p"/>
            </m:rPr>
            <m:t>[</m:t>
          </m:r>
          <m:r>
            <m:t>0</m:t>
          </m:r>
          <m:r>
            <m:rPr>
              <m:sty m:val="p"/>
            </m:rPr>
            <m:t>,</m:t>
          </m:r>
          <m:r>
            <m:t>1</m:t>
          </m:r>
          <m:r>
            <m:rPr>
              <m:sty m:val="p"/>
            </m:rPr>
            <m:t>]</m:t>
          </m:r>
        </m:oMath>
      </m:oMathPara>
    </w:p>
    <w:p>
      <w:pPr>
        <w:pStyle w:val="FirstParagraph"/>
        <w:spacing w:line="360" w:lineRule="auto"/>
      </w:pPr>
      <w:r>
        <w:rPr>
          <w:rFonts w:ascii="Times New Roman" w:hAnsi="Times New Roman" w:cs="Times New Roman" w:eastAsia="Times New Roman"/>
          <w:sz w:val="24"/>
        </w:rPr>
        <w:t xml:space="preserve">der vekten</w:t>
      </w:r>
      <w:r>
        <w:rPr>
          <w:rFonts w:ascii="Times New Roman" w:hAnsi="Times New Roman" w:cs="Times New Roman" w:eastAsia="Times New Roman"/>
          <w:sz w:val="24"/>
        </w:rPr>
        <w:t xml:space="preserve"> </w:t>
      </w:r>
      <m:oMath>
        <m:r>
          <m:t>w</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velges ved gridsøk på valideringssettet og er lagret i</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model_meta_final.joblib</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Style w:val="VerbatimChar"/>
          <w:rFonts w:ascii="Times New Roman" w:hAnsi="Times New Roman" w:cs="Times New Roman" w:eastAsia="Times New Roman"/>
          <w:sz w:val="24"/>
        </w:rPr>
        <w:t xml:space="preserve">ensemble_weight = 0.30</w:t>
      </w:r>
      <w:r>
        <w:rPr>
          <w:rFonts w:ascii="Times New Roman" w:hAnsi="Times New Roman" w:cs="Times New Roman" w:eastAsia="Times New Roman"/>
          <w:sz w:val="24"/>
        </w:rPr>
        <w:t xml:space="preserve">, dvs. 30 % LightGBM + 70 % CatBoost).</w:t>
      </w:r>
    </w:p>
    <w:p>
      <w:pPr>
        <w:pStyle w:val="BodyText"/>
        <w:spacing w:line="360" w:lineRule="auto"/>
      </w:pPr>
      <w:r>
        <w:rPr>
          <w:rFonts w:ascii="Times New Roman" w:hAnsi="Times New Roman" w:cs="Times New Roman" w:eastAsia="Times New Roman"/>
          <w:sz w:val="24"/>
        </w:rPr>
        <w:t xml:space="preserve">Hyperparametre for LightGBM er funnet med Optuna (80 trials, 5-fold kryssvalidering på trening + validering) og lagret i</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best_params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alpha = 3.35, learning_rate = 0.032, num_leaves = 32, min_data_in_leaf = 47, max_depth = 6, feature_fraction = 0.85, bagging_fraction = 0.83</w:t>
      </w:r>
      <w:r>
        <w:rPr>
          <w:rFonts w:ascii="Times New Roman" w:hAnsi="Times New Roman" w:cs="Times New Roman" w:eastAsia="Times New Roman"/>
          <w:sz w:val="24"/>
        </w:rPr>
        <w:t xml:space="preserve">. CatBoost trenes med native håndtering av kategoriske kolonner. Begge modellene bruker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early_stopping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på valideringssettet i avstemmings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fasen, og refittes deretter på hele datasettet (2020–2025) med</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best_iteration = 390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før produksjon.</w:t>
      </w:r>
    </w:p>
    <w:bookmarkEnd w:id="42"/>
    <w:bookmarkStart w:id="43" w:name="kvantilmodell-og-konform-kalibrering"/>
    <w:p>
      <w:pPr>
        <w:pStyle w:val="Heading3"/>
        <w:spacing w:line="360" w:lineRule="auto"/>
      </w:pPr>
      <w:r>
        <w:rPr>
          <w:rFonts w:ascii="Times New Roman" w:hAnsi="Times New Roman" w:cs="Times New Roman" w:eastAsia="Times New Roman"/>
          <w:sz w:val="24"/>
        </w:rPr>
        <w:t xml:space="preserve">6.4 Kvantil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modell og konform kalibrering</w:t>
      </w:r>
    </w:p>
    <w:p>
      <w:pPr>
        <w:pStyle w:val="FirstParagraph"/>
        <w:spacing w:line="360" w:lineRule="auto"/>
      </w:pPr>
      <w:r>
        <w:rPr>
          <w:rFonts w:ascii="Times New Roman" w:hAnsi="Times New Roman" w:cs="Times New Roman" w:eastAsia="Times New Roman"/>
          <w:sz w:val="24"/>
        </w:rPr>
        <w:t xml:space="preserve">For å gi P10/P50/P90-prediksjoner trenes tre LightGBM-modeller separat med kvantil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objektivet (pinball loss). Disse kalibreres deretter med</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Conformalized Quantile Regression (CQR)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(Romano et al., 2019) på et hold-out kalibreringssett. Empirisk dekning på valideringssettet er</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80,0 %</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etter CQR-justering (mot nominelt 80 %), og avviker fra rå dekning på 79,8 % med kun en CQR-korreksjon på 3 EUR — kvantil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modellene er altså godt kalibrert allerede før justering. Forbeholdene rundt betinget dekning når en sentral kostnads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driver er u</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observert drøftes i § 9.2.</w:t>
      </w:r>
    </w:p>
    <w:bookmarkEnd w:id="43"/>
    <w:bookmarkStart w:id="44" w:name="hybrid-kalibrering-på-anløpsnivå"/>
    <w:p>
      <w:pPr>
        <w:pStyle w:val="Heading3"/>
        <w:spacing w:line="360" w:lineRule="auto"/>
      </w:pPr>
      <w:r>
        <w:rPr>
          <w:rFonts w:ascii="Times New Roman" w:hAnsi="Times New Roman" w:cs="Times New Roman" w:eastAsia="Times New Roman"/>
          <w:sz w:val="24"/>
        </w:rPr>
        <w:t xml:space="preserve">6.5 Hybrid kalibrering på anløpsnivå</w:t>
      </w:r>
    </w:p>
    <w:p>
      <w:pPr>
        <w:pStyle w:val="FirstParagraph"/>
        <w:spacing w:line="360" w:lineRule="auto"/>
      </w:pPr>
      <w:r>
        <w:rPr>
          <w:rFonts w:ascii="Times New Roman" w:hAnsi="Times New Roman" w:cs="Times New Roman" w:eastAsia="Times New Roman"/>
          <w:sz w:val="24"/>
        </w:rPr>
        <w:t xml:space="preserve">Transaksjons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modellen produserer urealistisk lave totaler hvis predikerte transaksjons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beløp summeres direkte. For å unngå dette brukes en hybrid kalibrerings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strategi (jf.</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predict_port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predict_voyage.py</w:t>
      </w:r>
      <w:r>
        <w:rPr>
          <w:rFonts w:ascii="Times New Roman" w:hAnsi="Times New Roman" w:cs="Times New Roman" w:eastAsia="Times New Roman"/>
          <w:sz w:val="24"/>
        </w:rPr>
        <w:t xml:space="preserve">):</w:t>
      </w:r>
    </w:p>
    <w:p>
      <w:pPr>
        <w:numPr>
          <w:ilvl w:val="0"/>
          <w:numId w:val="1013"/>
        </w:numPr>
        <w:spacing w:line="360" w:lineRule="auto"/>
      </w:pPr>
      <w:r>
        <w:rPr>
          <w:rFonts w:ascii="Times New Roman" w:hAnsi="Times New Roman" w:cs="Times New Roman" w:eastAsia="Times New Roman"/>
          <w:sz w:val="24"/>
        </w:rPr>
        <w:t xml:space="preserve">Generer transaksjonsrader fra</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PORT_TEMPLATES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valgt havn.</w:t>
      </w:r>
    </w:p>
    <w:p>
      <w:pPr>
        <w:numPr>
          <w:ilvl w:val="0"/>
          <w:numId w:val="1013"/>
        </w:numPr>
        <w:spacing w:line="360" w:lineRule="auto"/>
      </w:pPr>
      <w:r>
        <w:rPr>
          <w:rFonts w:ascii="Times New Roman" w:hAnsi="Times New Roman" w:cs="Times New Roman" w:eastAsia="Times New Roman"/>
          <w:sz w:val="24"/>
        </w:rPr>
        <w:t xml:space="preserve">Beregn predikert beløp per rad og vekt med forventet antall transaksjoner.</w:t>
      </w:r>
    </w:p>
    <w:p>
      <w:pPr>
        <w:numPr>
          <w:ilvl w:val="0"/>
          <w:numId w:val="1013"/>
        </w:numPr>
        <w:spacing w:line="360" w:lineRule="auto"/>
      </w:pPr>
      <w:r>
        <w:rPr>
          <w:rFonts w:ascii="Times New Roman" w:hAnsi="Times New Roman" w:cs="Times New Roman" w:eastAsia="Times New Roman"/>
          <w:sz w:val="24"/>
        </w:rPr>
        <w:t xml:space="preserve">Sammenlign med et havn-størrelse-spesifikt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baseline-prediksjon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(lagret i</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baseline_predictions.joblib</w:t>
      </w:r>
      <w:r>
        <w:rPr>
          <w:rFonts w:ascii="Times New Roman" w:hAnsi="Times New Roman" w:cs="Times New Roman" w:eastAsia="Times New Roman"/>
          <w:sz w:val="24"/>
        </w:rPr>
        <w:t xml:space="preserve">).</w:t>
      </w:r>
    </w:p>
    <w:p>
      <w:pPr>
        <w:numPr>
          <w:ilvl w:val="0"/>
          <w:numId w:val="1013"/>
        </w:numPr>
        <w:spacing w:line="360" w:lineRule="auto"/>
      </w:pPr>
      <w:r>
        <w:rPr>
          <w:rFonts w:ascii="Times New Roman" w:hAnsi="Times New Roman" w:cs="Times New Roman" w:eastAsia="Times New Roman"/>
          <w:b/>
          <w:bCs/>
          <w:sz w:val="24"/>
        </w:rPr>
        <w:t xml:space="preserve">Anker estimatet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til empirisk medianpris (P50) per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(havn, size_category)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fra</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HISTORICAL_RANGES</w:t>
      </w:r>
      <w:r>
        <w:rPr>
          <w:rFonts w:ascii="Times New Roman" w:hAnsi="Times New Roman" w:cs="Times New Roman" w:eastAsia="Times New Roman"/>
          <w:sz w:val="24"/>
        </w:rPr>
        <w:t xml:space="preserve">, og skaler proporsjonalt med modell-til-baseline-forholdet:</w:t>
      </w:r>
    </w:p>
    <w:p>
      <w:pPr>
        <w:pStyle w:val="BodyText"/>
        <w:spacing w:line="360" w:lineRule="auto"/>
      </w:pPr>
      <m:oMathPara>
        <m:oMathParaPr>
          <m:jc m:val="center"/>
        </m:oMathParaPr>
        <m:oMath>
          <m:acc>
            <m:accPr>
              <m:chr m:val="̂"/>
            </m:accPr>
            <m:e>
              <m:r>
                <m:rPr>
                  <m:nor/>
                  <m:sty m:val="p"/>
                </m:rPr>
                <m:t>Total</m:t>
              </m:r>
            </m:e>
          </m:acc>
          <m:r>
            <m:rPr>
              <m:sty m:val="p"/>
            </m:rPr>
            <m:t>=</m:t>
          </m:r>
          <m:sSub>
            <m:e>
              <m:r>
                <m:rPr>
                  <m:nor/>
                  <m:sty m:val="p"/>
                </m:rPr>
                <m:t>P50</m:t>
              </m:r>
            </m:e>
            <m:sub>
              <m:r>
                <m:rPr>
                  <m:nor/>
                  <m:sty m:val="p"/>
                </m:rPr>
                <m:t>historisk</m:t>
              </m:r>
            </m:sub>
          </m:sSub>
          <m:r>
            <m:rPr>
              <m:sty m:val="p"/>
            </m:rPr>
            <m:t>⋅</m:t>
          </m:r>
          <m:f>
            <m:fPr>
              <m:type m:val="bar"/>
            </m:fPr>
            <m:num>
              <m:sSub>
                <m:e>
                  <m:acc>
                    <m:accPr>
                      <m:chr m:val="̂"/>
                    </m:accPr>
                    <m:e>
                      <m:r>
                        <m:rPr>
                          <m:nor/>
                          <m:sty m:val="p"/>
                        </m:rPr>
                        <m:t>Total</m:t>
                      </m:r>
                    </m:e>
                  </m:acc>
                </m:e>
                <m:sub>
                  <m:r>
                    <m:rPr>
                      <m:nor/>
                      <m:sty m:val="p"/>
                    </m:rPr>
                    <m:t>modell</m:t>
                  </m:r>
                </m:sub>
              </m:sSub>
            </m:num>
            <m:den>
              <m:sSub>
                <m:e>
                  <m:r>
                    <m:rPr>
                      <m:nor/>
                      <m:sty m:val="p"/>
                    </m:rPr>
                    <m:t>Baseline</m:t>
                  </m:r>
                </m:e>
                <m:sub>
                  <m:r>
                    <m:rPr>
                      <m:nor/>
                      <m:sty m:val="p"/>
                    </m:rPr>
                    <m:t>modell</m:t>
                  </m:r>
                </m:sub>
              </m:sSub>
            </m:den>
          </m:f>
        </m:oMath>
      </m:oMathPara>
    </w:p>
    <w:p>
      <w:pPr>
        <w:pStyle w:val="FirstParagraph"/>
        <w:spacing w:line="360" w:lineRule="auto"/>
      </w:pPr>
      <w:r>
        <w:rPr>
          <w:rFonts w:ascii="Times New Roman" w:hAnsi="Times New Roman" w:cs="Times New Roman" w:eastAsia="Times New Roman"/>
          <w:sz w:val="24"/>
        </w:rPr>
        <w:t xml:space="preserve">På landsnivå tas et trafikk</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vektet gjennomsnitt over alle havner i landet.</w:t>
      </w:r>
    </w:p>
    <w:p>
      <w:pPr>
        <w:spacing w:line="360" w:lineRule="auto"/>
      </w:pPr>
      <w:r>
        <w:rPr>
          <w:rFonts w:ascii="Times New Roman" w:hAnsi="Times New Roman" w:cs="Times New Roman" w:eastAsia="Times New Roman"/>
          <w:sz w:val="24"/>
        </w:rPr>
        <w:pict>
          <v:rect style="width:0;height:1.5pt" o:hralign="center" o:hrstd="t" o:hr="t"/>
        </w:pict>
      </w:r>
    </w:p>
    <w:bookmarkEnd w:id="44"/>
    <w:bookmarkEnd w:id="45"/>
    <w:bookmarkStart w:id="74" w:name="analyse"/>
    <w:p>
      <w:pPr>
        <w:pStyle w:val="Heading2"/>
        <w:spacing w:line="360" w:lineRule="auto"/>
      </w:pPr>
      <w:r>
        <w:rPr>
          <w:rFonts w:ascii="Times New Roman" w:hAnsi="Times New Roman" w:cs="Times New Roman" w:eastAsia="Times New Roman"/>
          <w:sz w:val="24"/>
        </w:rPr>
        <w:t xml:space="preserve">7. Analyse</w:t>
      </w:r>
    </w:p>
    <w:p>
      <w:pPr>
        <w:pStyle w:val="FirstParagraph"/>
        <w:spacing w:line="360" w:lineRule="auto"/>
      </w:pPr>
      <w:r>
        <w:rPr>
          <w:rFonts w:ascii="Times New Roman" w:hAnsi="Times New Roman" w:cs="Times New Roman" w:eastAsia="Times New Roman"/>
          <w:sz w:val="24"/>
        </w:rPr>
        <w:t xml:space="preserve">Analysen i dette kapittelet er basert på 1 626 transaksjoner i</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costs_merged.csv</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etter feature engineering (§ 5.5). Figurer er produsert i</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eda_nauticost.ipynb</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og</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modeling_nauticost.ipynb</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og er reproduserbare gjennom å kjøre notebookene mot artefaktene i</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013 fase 3 - review/artifacts/</w:t>
      </w:r>
      <w:r>
        <w:rPr>
          <w:rFonts w:ascii="Times New Roman" w:hAnsi="Times New Roman" w:cs="Times New Roman" w:eastAsia="Times New Roman"/>
          <w:sz w:val="24"/>
        </w:rPr>
        <w:t xml:space="preserve">. Figurtekstene under er bevisst skrevet stand-alone — alle nøkkeltall som diskusjonen senere bygger på, gjengis i teksten her, slik at rapporten kan leses uten å åpne notebookene.</w:t>
      </w:r>
    </w:p>
    <w:bookmarkStart w:id="55" w:name="beskrivende-statistikk"/>
    <w:p>
      <w:pPr>
        <w:pStyle w:val="Heading3"/>
        <w:spacing w:line="360" w:lineRule="auto"/>
      </w:pPr>
      <w:r>
        <w:rPr>
          <w:rFonts w:ascii="Times New Roman" w:hAnsi="Times New Roman" w:cs="Times New Roman" w:eastAsia="Times New Roman"/>
          <w:sz w:val="24"/>
        </w:rPr>
        <w:t xml:space="preserve">7.1 Beskrivende statistikk</w:t>
      </w:r>
    </w:p>
    <w:p>
      <w:pPr>
        <w:pStyle w:val="CaptionedFigure"/>
        <w:spacing w:line="360" w:lineRule="auto"/>
      </w:pPr>
      <w:r>
        <w:rPr>
          <w:rFonts w:ascii="Times New Roman" w:hAnsi="Times New Roman" w:cs="Times New Roman" w:eastAsia="Times New Roman"/>
          <w:sz w:val="24"/>
        </w:rPr>
        <w:drawing>
          <wp:inline>
            <wp:extent cx="5334000" cy="3288699"/>
            <wp:effectExtent b="0" l="0" r="0" t="0"/>
            <wp:docPr descr="Figur 7.1: Distribusjon av final_charge (log-skala) — høyreskjev kostnadsfordeling som motiverer log-transformasjonen i § 6.1" title="" id="47" name="Picture"/>
            <a:graphic>
              <a:graphicData uri="http://schemas.openxmlformats.org/drawingml/2006/picture">
                <pic:pic>
                  <pic:nvPicPr>
                    <pic:cNvPr descr="figures/figur_7_1_kostnadsfordeling.png" id="48" name="Picture"/>
                    <pic:cNvPicPr>
                      <a:picLocks noChangeArrowheads="1" noChangeAspect="1"/>
                    </pic:cNvPicPr>
                  </pic:nvPicPr>
                  <pic:blipFill>
                    <a:blip r:embed="rId46"/>
                    <a:stretch>
                      <a:fillRect/>
                    </a:stretch>
                  </pic:blipFill>
                  <pic:spPr bwMode="auto">
                    <a:xfrm>
                      <a:off x="0" y="0"/>
                      <a:ext cx="5334000" cy="3288699"/>
                    </a:xfrm>
                    <a:prstGeom prst="rect">
                      <a:avLst/>
                    </a:prstGeom>
                    <a:noFill/>
                    <a:ln w="9525">
                      <a:noFill/>
                      <a:headEnd/>
                      <a:tailEnd/>
                    </a:ln>
                  </pic:spPr>
                </pic:pic>
              </a:graphicData>
            </a:graphic>
          </wp:inline>
        </w:drawing>
      </w:r>
    </w:p>
    <w:p>
      <w:pPr>
        <w:pStyle w:val="ImageCaption"/>
        <w:spacing w:line="360" w:lineRule="auto"/>
      </w:pPr>
      <w:r>
        <w:rPr>
          <w:rFonts w:ascii="Times New Roman" w:hAnsi="Times New Roman" w:cs="Times New Roman" w:eastAsia="Times New Roman"/>
          <w:sz w:val="24"/>
        </w:rPr>
        <w:t xml:space="preserve">Figur 7.1: Distribusjon av</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final_charge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(log-skala) — høyreskjev kostnadsfordeling som motiverer log-transformasjonen i § 6.1</w:t>
      </w:r>
    </w:p>
    <w:p>
      <w:pPr>
        <w:pStyle w:val="BodyText"/>
        <w:spacing w:line="360" w:lineRule="auto"/>
      </w:pPr>
      <w:r>
        <w:rPr>
          <w:rFonts w:ascii="Times New Roman" w:hAnsi="Times New Roman" w:cs="Times New Roman" w:eastAsia="Times New Roman"/>
          <w:b/>
          <w:bCs/>
          <w:sz w:val="24"/>
        </w:rPr>
        <w:t xml:space="preserve">Figur 7.1.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Distribusjon av</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final_charge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(log-skala) viser den forventede høyreskjeve fordelingen: median 7 513 EUR, P25 = 2 039 EUR, P75 = 21 950 EUR, P95 = 91 248 EUR, snitt 25 045 EUR. At snittet er over tre ganger medianen, og at P95/P50 ≈ 12, bekrefter empirisk behovet for log-transformasjonen i § 6.1 — uten den ville fire–fem ekstreme transaksjoner dominere L2-tapet.</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(Plott i</w:t>
      </w:r>
      <w:r>
        <w:rPr>
          <w:rFonts w:ascii="Times New Roman" w:hAnsi="Times New Roman" w:cs="Times New Roman" w:eastAsia="Times New Roman"/>
          <w:i/>
          <w:iCs/>
          <w:sz w:val="24"/>
        </w:rPr>
        <w:t xml:space="preserve"> </w:t>
      </w:r>
      <w:r>
        <w:rPr>
          <w:rStyle w:val="VerbatimChar"/>
          <w:rFonts w:ascii="Times New Roman" w:hAnsi="Times New Roman" w:cs="Times New Roman" w:eastAsia="Times New Roman"/>
          <w:i/>
          <w:iCs/>
          <w:sz w:val="24"/>
        </w:rPr>
        <w:t xml:space="preserve">eda_nauticost.ipynb</w:t>
      </w:r>
      <w:r>
        <w:rPr>
          <w:rFonts w:ascii="Times New Roman" w:hAnsi="Times New Roman" w:cs="Times New Roman" w:eastAsia="Times New Roman"/>
          <w:i/>
          <w:iCs/>
          <w:sz w:val="24"/>
        </w:rPr>
        <w:t xml:space="preserve">, seksjon 3.2; rådata i</w:t>
      </w:r>
      <w:r>
        <w:rPr>
          <w:rFonts w:ascii="Times New Roman" w:hAnsi="Times New Roman" w:cs="Times New Roman" w:eastAsia="Times New Roman"/>
          <w:i/>
          <w:iCs/>
          <w:sz w:val="24"/>
        </w:rPr>
        <w:t xml:space="preserve"> </w:t>
      </w:r>
      <w:r>
        <w:rPr>
          <w:rStyle w:val="VerbatimChar"/>
          <w:rFonts w:ascii="Times New Roman" w:hAnsi="Times New Roman" w:cs="Times New Roman" w:eastAsia="Times New Roman"/>
          <w:i/>
          <w:iCs/>
          <w:sz w:val="24"/>
        </w:rPr>
        <w:t xml:space="preserve">costs_clean.csv</w:t>
      </w:r>
      <w:r>
        <w:rPr>
          <w:rFonts w:ascii="Times New Roman" w:hAnsi="Times New Roman" w:cs="Times New Roman" w:eastAsia="Times New Roman"/>
          <w:i/>
          <w:iCs/>
          <w:sz w:val="24"/>
        </w:rPr>
        <w:t xml:space="preserve">; reprodusert i</w:t>
      </w:r>
      <w:r>
        <w:rPr>
          <w:rFonts w:ascii="Times New Roman" w:hAnsi="Times New Roman" w:cs="Times New Roman" w:eastAsia="Times New Roman"/>
          <w:i/>
          <w:iCs/>
          <w:sz w:val="24"/>
        </w:rPr>
        <w:t xml:space="preserve"> </w:t>
      </w:r>
      <w:r>
        <w:rPr>
          <w:rStyle w:val="VerbatimChar"/>
          <w:rFonts w:ascii="Times New Roman" w:hAnsi="Times New Roman" w:cs="Times New Roman" w:eastAsia="Times New Roman"/>
          <w:i/>
          <w:iCs/>
          <w:sz w:val="24"/>
        </w:rPr>
        <w:t xml:space="preserve">013 fase 3 - review/generate_figures.py</w:t>
      </w:r>
      <w:r>
        <w:rPr>
          <w:rFonts w:ascii="Times New Roman" w:hAnsi="Times New Roman" w:cs="Times New Roman" w:eastAsia="Times New Roman"/>
          <w:i/>
          <w:iCs/>
          <w:sz w:val="24"/>
        </w:rPr>
        <w:t xml:space="preserve">.)</w:t>
      </w:r>
    </w:p>
    <w:p>
      <w:pPr>
        <w:pStyle w:val="CaptionedFigure"/>
        <w:spacing w:line="360" w:lineRule="auto"/>
      </w:pPr>
      <w:r>
        <w:rPr>
          <w:rFonts w:ascii="Times New Roman" w:hAnsi="Times New Roman" w:cs="Times New Roman" w:eastAsia="Times New Roman"/>
          <w:sz w:val="24"/>
        </w:rPr>
        <w:drawing>
          <wp:inline>
            <wp:extent cx="5334000" cy="2389866"/>
            <wp:effectExtent b="0" l="0" r="0" t="0"/>
            <wp:docPr descr="Figur 7.2: Antall transaksjoner per havn og år (2020–2025) — viser trafikkvolum og datatilfang per havn" title="" id="50" name="Picture"/>
            <a:graphic>
              <a:graphicData uri="http://schemas.openxmlformats.org/drawingml/2006/picture">
                <pic:pic>
                  <pic:nvPicPr>
                    <pic:cNvPr descr="figures/figur_7_2_havn_per_aar.png" id="51" name="Picture"/>
                    <pic:cNvPicPr>
                      <a:picLocks noChangeArrowheads="1" noChangeAspect="1"/>
                    </pic:cNvPicPr>
                  </pic:nvPicPr>
                  <pic:blipFill>
                    <a:blip r:embed="rId49"/>
                    <a:stretch>
                      <a:fillRect/>
                    </a:stretch>
                  </pic:blipFill>
                  <pic:spPr bwMode="auto">
                    <a:xfrm>
                      <a:off x="0" y="0"/>
                      <a:ext cx="5334000" cy="2389866"/>
                    </a:xfrm>
                    <a:prstGeom prst="rect">
                      <a:avLst/>
                    </a:prstGeom>
                    <a:noFill/>
                    <a:ln w="9525">
                      <a:noFill/>
                      <a:headEnd/>
                      <a:tailEnd/>
                    </a:ln>
                  </pic:spPr>
                </pic:pic>
              </a:graphicData>
            </a:graphic>
          </wp:inline>
        </w:drawing>
      </w:r>
    </w:p>
    <w:p>
      <w:pPr>
        <w:pStyle w:val="ImageCaption"/>
        <w:spacing w:line="360" w:lineRule="auto"/>
      </w:pPr>
      <w:r>
        <w:rPr>
          <w:rFonts w:ascii="Times New Roman" w:hAnsi="Times New Roman" w:cs="Times New Roman" w:eastAsia="Times New Roman"/>
          <w:sz w:val="24"/>
        </w:rPr>
        <w:t xml:space="preserve">Figur 7.2: Antall transaksjoner per havn og år (2020–2025) — viser trafikkvolum og datatilfang per havn</w:t>
      </w:r>
    </w:p>
    <w:p>
      <w:pPr>
        <w:pStyle w:val="BodyText"/>
        <w:spacing w:line="360" w:lineRule="auto"/>
      </w:pPr>
      <w:r>
        <w:rPr>
          <w:rFonts w:ascii="Times New Roman" w:hAnsi="Times New Roman" w:cs="Times New Roman" w:eastAsia="Times New Roman"/>
          <w:b/>
          <w:bCs/>
          <w:sz w:val="24"/>
        </w:rPr>
        <w:t xml:space="preserve">Figur 7.2.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Antall transaksjoner per havn og per år (2020–2025). Bergen og Tromsø dominerer trafikken med henholdsvis 614 og 389 anløpsrelaterte transaksjoner over perioden; Stavanger og Kristiansand har kun 3 og 8 anløp, og statistiske aggregater på (havn, størrelse) er derfor ikke definert for disse to havnene (jf.</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HISTORICAL_RANGES</w:t>
      </w:r>
      <w:r>
        <w:rPr>
          <w:rFonts w:ascii="Times New Roman" w:hAnsi="Times New Roman" w:cs="Times New Roman" w:eastAsia="Times New Roman"/>
          <w:sz w:val="24"/>
        </w:rPr>
        <w:t xml:space="preserve">-tabellen i</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model.py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(Plott i</w:t>
      </w:r>
      <w:r>
        <w:rPr>
          <w:rFonts w:ascii="Times New Roman" w:hAnsi="Times New Roman" w:cs="Times New Roman" w:eastAsia="Times New Roman"/>
          <w:i/>
          <w:iCs/>
          <w:sz w:val="24"/>
        </w:rPr>
        <w:t xml:space="preserve"> </w:t>
      </w:r>
      <w:r>
        <w:rPr>
          <w:rStyle w:val="VerbatimChar"/>
          <w:rFonts w:ascii="Times New Roman" w:hAnsi="Times New Roman" w:cs="Times New Roman" w:eastAsia="Times New Roman"/>
          <w:i/>
          <w:iCs/>
          <w:sz w:val="24"/>
        </w:rPr>
        <w:t xml:space="preserve">eda_nauticost.ipynb</w:t>
      </w:r>
      <w:r>
        <w:rPr>
          <w:rFonts w:ascii="Times New Roman" w:hAnsi="Times New Roman" w:cs="Times New Roman" w:eastAsia="Times New Roman"/>
          <w:i/>
          <w:iCs/>
          <w:sz w:val="24"/>
        </w:rPr>
        <w:t xml:space="preserve">, seksjon 3.2.)</w:t>
      </w:r>
    </w:p>
    <w:p>
      <w:pPr>
        <w:pStyle w:val="CaptionedFigure"/>
        <w:spacing w:line="360" w:lineRule="auto"/>
      </w:pPr>
      <w:r>
        <w:rPr>
          <w:rFonts w:ascii="Times New Roman" w:hAnsi="Times New Roman" w:cs="Times New Roman" w:eastAsia="Times New Roman"/>
          <w:sz w:val="24"/>
        </w:rPr>
        <w:drawing>
          <wp:inline>
            <wp:extent cx="5334000" cy="2634650"/>
            <wp:effectExtent b="0" l="0" r="0" t="0"/>
            <wp:docPr descr="Figur 7.3: Kostnad per tjenestekategori, fordelt på størrelseskategori (Liten / Mellomstor / Stor)" title="" id="53" name="Picture"/>
            <a:graphic>
              <a:graphicData uri="http://schemas.openxmlformats.org/drawingml/2006/picture">
                <pic:pic>
                  <pic:nvPicPr>
                    <pic:cNvPr descr="figures/figur_7_3_tjeneste_x_storrelse.png" id="54" name="Picture"/>
                    <pic:cNvPicPr>
                      <a:picLocks noChangeArrowheads="1" noChangeAspect="1"/>
                    </pic:cNvPicPr>
                  </pic:nvPicPr>
                  <pic:blipFill>
                    <a:blip r:embed="rId52"/>
                    <a:stretch>
                      <a:fillRect/>
                    </a:stretch>
                  </pic:blipFill>
                  <pic:spPr bwMode="auto">
                    <a:xfrm>
                      <a:off x="0" y="0"/>
                      <a:ext cx="5334000" cy="2634650"/>
                    </a:xfrm>
                    <a:prstGeom prst="rect">
                      <a:avLst/>
                    </a:prstGeom>
                    <a:noFill/>
                    <a:ln w="9525">
                      <a:noFill/>
                      <a:headEnd/>
                      <a:tailEnd/>
                    </a:ln>
                  </pic:spPr>
                </pic:pic>
              </a:graphicData>
            </a:graphic>
          </wp:inline>
        </w:drawing>
      </w:r>
    </w:p>
    <w:p>
      <w:pPr>
        <w:pStyle w:val="ImageCaption"/>
        <w:spacing w:line="360" w:lineRule="auto"/>
      </w:pPr>
      <w:r>
        <w:rPr>
          <w:rFonts w:ascii="Times New Roman" w:hAnsi="Times New Roman" w:cs="Times New Roman" w:eastAsia="Times New Roman"/>
          <w:sz w:val="24"/>
        </w:rPr>
        <w:t xml:space="preserve">Figur 7.3: Kostnad per tjenestekategori, fordelt på størrelseskategori (Liten / Mellomstor / Stor)</w:t>
      </w:r>
    </w:p>
    <w:p>
      <w:pPr>
        <w:pStyle w:val="BodyText"/>
        <w:spacing w:line="360" w:lineRule="auto"/>
      </w:pPr>
      <w:r>
        <w:rPr>
          <w:rFonts w:ascii="Times New Roman" w:hAnsi="Times New Roman" w:cs="Times New Roman" w:eastAsia="Times New Roman"/>
          <w:b/>
          <w:bCs/>
          <w:sz w:val="24"/>
        </w:rPr>
        <w:t xml:space="preserve">Figur 7.3.</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Kostnad per tjeneste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kategori, fordelt på størrelses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kategori. Provisioning og Port Marina dominerer total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kostnaden for Stor-yachter (typisk 30–40 % hver), Hospitality er hovedkategori for mellomstore, og Liten-kategorien har en flatere fordeling med Agency Services som største enkeltkategori.</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(Plott i</w:t>
      </w:r>
      <w:r>
        <w:rPr>
          <w:rFonts w:ascii="Times New Roman" w:hAnsi="Times New Roman" w:cs="Times New Roman" w:eastAsia="Times New Roman"/>
          <w:i/>
          <w:iCs/>
          <w:sz w:val="24"/>
        </w:rPr>
        <w:t xml:space="preserve"> </w:t>
      </w:r>
      <w:r>
        <w:rPr>
          <w:rStyle w:val="VerbatimChar"/>
          <w:rFonts w:ascii="Times New Roman" w:hAnsi="Times New Roman" w:cs="Times New Roman" w:eastAsia="Times New Roman"/>
          <w:i/>
          <w:iCs/>
          <w:sz w:val="24"/>
        </w:rPr>
        <w:t xml:space="preserve">eda_nauticost.ipynb</w:t>
      </w:r>
      <w:r>
        <w:rPr>
          <w:rFonts w:ascii="Times New Roman" w:hAnsi="Times New Roman" w:cs="Times New Roman" w:eastAsia="Times New Roman"/>
          <w:i/>
          <w:iCs/>
          <w:sz w:val="24"/>
        </w:rPr>
        <w:t xml:space="preserve">, seksjon 3.3.)</w:t>
      </w:r>
    </w:p>
    <w:bookmarkEnd w:id="55"/>
    <w:bookmarkStart w:id="62" w:name="korrelasjoner-og-feature-importance"/>
    <w:p>
      <w:pPr>
        <w:pStyle w:val="Heading3"/>
        <w:spacing w:line="360" w:lineRule="auto"/>
      </w:pPr>
      <w:r>
        <w:rPr>
          <w:rFonts w:ascii="Times New Roman" w:hAnsi="Times New Roman" w:cs="Times New Roman" w:eastAsia="Times New Roman"/>
          <w:sz w:val="24"/>
        </w:rPr>
        <w:t xml:space="preserve">7.2 Korrelasjoner og feature importance</w:t>
      </w:r>
    </w:p>
    <w:p>
      <w:pPr>
        <w:pStyle w:val="CaptionedFigure"/>
        <w:spacing w:line="360" w:lineRule="auto"/>
      </w:pPr>
      <w:r>
        <w:rPr>
          <w:rFonts w:ascii="Times New Roman" w:hAnsi="Times New Roman" w:cs="Times New Roman" w:eastAsia="Times New Roman"/>
          <w:sz w:val="24"/>
        </w:rPr>
        <w:drawing>
          <wp:inline>
            <wp:extent cx="5334000" cy="3294926"/>
            <wp:effectExtent b="0" l="0" r="0" t="0"/>
            <wp:docPr descr="Figur 7.4: Spearman-korrelasjon mellom numeriske features og log-kostnad — GT, LOA og fuel­konsum er moderat positivt korrelert" title="" id="57" name="Picture"/>
            <a:graphic>
              <a:graphicData uri="http://schemas.openxmlformats.org/drawingml/2006/picture">
                <pic:pic>
                  <pic:nvPicPr>
                    <pic:cNvPr descr="figures/figur_7_4_spearman.png" id="58" name="Picture"/>
                    <pic:cNvPicPr>
                      <a:picLocks noChangeArrowheads="1" noChangeAspect="1"/>
                    </pic:cNvPicPr>
                  </pic:nvPicPr>
                  <pic:blipFill>
                    <a:blip r:embed="rId56"/>
                    <a:stretch>
                      <a:fillRect/>
                    </a:stretch>
                  </pic:blipFill>
                  <pic:spPr bwMode="auto">
                    <a:xfrm>
                      <a:off x="0" y="0"/>
                      <a:ext cx="5334000" cy="3294926"/>
                    </a:xfrm>
                    <a:prstGeom prst="rect">
                      <a:avLst/>
                    </a:prstGeom>
                    <a:noFill/>
                    <a:ln w="9525">
                      <a:noFill/>
                      <a:headEnd/>
                      <a:tailEnd/>
                    </a:ln>
                  </pic:spPr>
                </pic:pic>
              </a:graphicData>
            </a:graphic>
          </wp:inline>
        </w:drawing>
      </w:r>
    </w:p>
    <w:p>
      <w:pPr>
        <w:pStyle w:val="ImageCaption"/>
        <w:spacing w:line="360" w:lineRule="auto"/>
      </w:pPr>
      <w:r>
        <w:rPr>
          <w:rFonts w:ascii="Times New Roman" w:hAnsi="Times New Roman" w:cs="Times New Roman" w:eastAsia="Times New Roman"/>
          <w:sz w:val="24"/>
        </w:rPr>
        <w:t xml:space="preserve">Figur 7.4: Spearman-korrelasjon mellom numeriske features og log-kostnad — GT, LOA og fuel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konsum er moderat positivt korrelert</w:t>
      </w:r>
    </w:p>
    <w:p>
      <w:pPr>
        <w:pStyle w:val="BodyText"/>
        <w:spacing w:line="360" w:lineRule="auto"/>
      </w:pPr>
      <w:r>
        <w:rPr>
          <w:rFonts w:ascii="Times New Roman" w:hAnsi="Times New Roman" w:cs="Times New Roman" w:eastAsia="Times New Roman"/>
          <w:b/>
          <w:bCs/>
          <w:sz w:val="24"/>
        </w:rPr>
        <w:t xml:space="preserve">Figur 7.4.</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Spearman-korrelasjon mellom numeriske features og log-kostnad. GT (ρ = 0,38), LOA (ρ = 0,35) og fuel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konsum (ρ = 0,31) er positivt korrelert med kostnad; korrelasjonene er moderate fordi yacht-størrelse alene ikke determinerer kostnaden (tjeneste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miks og sesong påvirker minst like sterkt).</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(Plott i</w:t>
      </w:r>
      <w:r>
        <w:rPr>
          <w:rFonts w:ascii="Times New Roman" w:hAnsi="Times New Roman" w:cs="Times New Roman" w:eastAsia="Times New Roman"/>
          <w:i/>
          <w:iCs/>
          <w:sz w:val="24"/>
        </w:rPr>
        <w:t xml:space="preserve"> </w:t>
      </w:r>
      <w:r>
        <w:rPr>
          <w:rStyle w:val="VerbatimChar"/>
          <w:rFonts w:ascii="Times New Roman" w:hAnsi="Times New Roman" w:cs="Times New Roman" w:eastAsia="Times New Roman"/>
          <w:i/>
          <w:iCs/>
          <w:sz w:val="24"/>
        </w:rPr>
        <w:t xml:space="preserve">eda_nauticost.ipynb</w:t>
      </w:r>
      <w:r>
        <w:rPr>
          <w:rFonts w:ascii="Times New Roman" w:hAnsi="Times New Roman" w:cs="Times New Roman" w:eastAsia="Times New Roman"/>
          <w:i/>
          <w:iCs/>
          <w:sz w:val="24"/>
        </w:rPr>
        <w:t xml:space="preserve">, seksjon 4.)</w:t>
      </w:r>
    </w:p>
    <w:p>
      <w:pPr>
        <w:pStyle w:val="CaptionedFigure"/>
        <w:spacing w:line="360" w:lineRule="auto"/>
      </w:pPr>
      <w:r>
        <w:rPr>
          <w:rFonts w:ascii="Times New Roman" w:hAnsi="Times New Roman" w:cs="Times New Roman" w:eastAsia="Times New Roman"/>
          <w:sz w:val="24"/>
        </w:rPr>
        <w:drawing>
          <wp:inline>
            <wp:extent cx="5334000" cy="3528031"/>
            <wp:effectExtent b="0" l="0" r="0" t="0"/>
            <wp:docPr descr="Figur 7.5: Top-15 feature importance fra LightGBM (gain-andel) — service_type og størrelse-baserte aggregat­statistikker dominerer" title="" id="60" name="Picture"/>
            <a:graphic>
              <a:graphicData uri="http://schemas.openxmlformats.org/drawingml/2006/picture">
                <pic:pic>
                  <pic:nvPicPr>
                    <pic:cNvPr descr="figures/figur_7_5_feature_importance.png" id="61" name="Picture"/>
                    <pic:cNvPicPr>
                      <a:picLocks noChangeArrowheads="1" noChangeAspect="1"/>
                    </pic:cNvPicPr>
                  </pic:nvPicPr>
                  <pic:blipFill>
                    <a:blip r:embed="rId59"/>
                    <a:stretch>
                      <a:fillRect/>
                    </a:stretch>
                  </pic:blipFill>
                  <pic:spPr bwMode="auto">
                    <a:xfrm>
                      <a:off x="0" y="0"/>
                      <a:ext cx="5334000" cy="3528031"/>
                    </a:xfrm>
                    <a:prstGeom prst="rect">
                      <a:avLst/>
                    </a:prstGeom>
                    <a:noFill/>
                    <a:ln w="9525">
                      <a:noFill/>
                      <a:headEnd/>
                      <a:tailEnd/>
                    </a:ln>
                  </pic:spPr>
                </pic:pic>
              </a:graphicData>
            </a:graphic>
          </wp:inline>
        </w:drawing>
      </w:r>
    </w:p>
    <w:p>
      <w:pPr>
        <w:pStyle w:val="ImageCaption"/>
        <w:spacing w:line="360" w:lineRule="auto"/>
      </w:pPr>
      <w:r>
        <w:rPr>
          <w:rFonts w:ascii="Times New Roman" w:hAnsi="Times New Roman" w:cs="Times New Roman" w:eastAsia="Times New Roman"/>
          <w:sz w:val="24"/>
        </w:rPr>
        <w:t xml:space="preserve">Figur 7.5: Top-15 feature importance fra LightGBM (gain-andel) —</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service_type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og størrelse-baserte aggregat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statistikker dominerer</w:t>
      </w:r>
    </w:p>
    <w:p>
      <w:pPr>
        <w:pStyle w:val="BodyText"/>
        <w:spacing w:line="360" w:lineRule="auto"/>
      </w:pPr>
      <w:r>
        <w:rPr>
          <w:rFonts w:ascii="Times New Roman" w:hAnsi="Times New Roman" w:cs="Times New Roman" w:eastAsia="Times New Roman"/>
          <w:b/>
          <w:bCs/>
          <w:sz w:val="24"/>
        </w:rPr>
        <w:t xml:space="preserve">Figur 7.5.</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Top-15 feature importance fra LightGBM (gain). De fem viktigste featurene er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service_type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(gain-andel ≈ 32 %),</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size_svc_median_charge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18 %),</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size_svc_mean_charge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11 %),</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cmt_len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6 %) og</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week_of_year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5 %). At aggregat-statistikkene rangerer høyt bekrefter at feature engineering-steget i § 5.5 tilfører reell signal, og at modellen i praksis lærer et hierarki: tjenestetype velger et baseline-prisnivå, og yacht- og tids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features modulerer det baselinet.</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(Plott i</w:t>
      </w:r>
      <w:r>
        <w:rPr>
          <w:rFonts w:ascii="Times New Roman" w:hAnsi="Times New Roman" w:cs="Times New Roman" w:eastAsia="Times New Roman"/>
          <w:i/>
          <w:iCs/>
          <w:sz w:val="24"/>
        </w:rPr>
        <w:t xml:space="preserve"> </w:t>
      </w:r>
      <w:r>
        <w:rPr>
          <w:rStyle w:val="VerbatimChar"/>
          <w:rFonts w:ascii="Times New Roman" w:hAnsi="Times New Roman" w:cs="Times New Roman" w:eastAsia="Times New Roman"/>
          <w:i/>
          <w:iCs/>
          <w:sz w:val="24"/>
        </w:rPr>
        <w:t xml:space="preserve">modeling_nauticost.ipynb</w:t>
      </w:r>
      <w:r>
        <w:rPr>
          <w:rFonts w:ascii="Times New Roman" w:hAnsi="Times New Roman" w:cs="Times New Roman" w:eastAsia="Times New Roman"/>
          <w:i/>
          <w:iCs/>
          <w:sz w:val="24"/>
        </w:rPr>
        <w:t xml:space="preserve">, seksjon 6; reprodusert i</w:t>
      </w:r>
      <w:r>
        <w:rPr>
          <w:rFonts w:ascii="Times New Roman" w:hAnsi="Times New Roman" w:cs="Times New Roman" w:eastAsia="Times New Roman"/>
          <w:i/>
          <w:iCs/>
          <w:sz w:val="24"/>
        </w:rPr>
        <w:t xml:space="preserve"> </w:t>
      </w:r>
      <w:r>
        <w:rPr>
          <w:rStyle w:val="VerbatimChar"/>
          <w:rFonts w:ascii="Times New Roman" w:hAnsi="Times New Roman" w:cs="Times New Roman" w:eastAsia="Times New Roman"/>
          <w:i/>
          <w:iCs/>
          <w:sz w:val="24"/>
        </w:rPr>
        <w:t xml:space="preserve">generate_figures.py</w:t>
      </w:r>
      <w:r>
        <w:rPr>
          <w:rFonts w:ascii="Times New Roman" w:hAnsi="Times New Roman" w:cs="Times New Roman" w:eastAsia="Times New Roman"/>
          <w:i/>
          <w:iCs/>
          <w:sz w:val="24"/>
        </w:rPr>
        <w:t xml:space="preserve">.)</w:t>
      </w:r>
    </w:p>
    <w:bookmarkEnd w:id="62"/>
    <w:bookmarkStart w:id="69" w:name="shap-analyse"/>
    <w:p>
      <w:pPr>
        <w:pStyle w:val="Heading3"/>
        <w:spacing w:line="360" w:lineRule="auto"/>
      </w:pPr>
      <w:r>
        <w:rPr>
          <w:rFonts w:ascii="Times New Roman" w:hAnsi="Times New Roman" w:cs="Times New Roman" w:eastAsia="Times New Roman"/>
          <w:sz w:val="24"/>
        </w:rPr>
        <w:t xml:space="preserve">7.3 SHAP-analyse</w:t>
      </w:r>
    </w:p>
    <w:p>
      <w:pPr>
        <w:pStyle w:val="CaptionedFigure"/>
        <w:spacing w:line="360" w:lineRule="auto"/>
      </w:pPr>
      <w:r>
        <w:rPr>
          <w:rFonts w:ascii="Times New Roman" w:hAnsi="Times New Roman" w:cs="Times New Roman" w:eastAsia="Times New Roman"/>
          <w:sz w:val="24"/>
        </w:rPr>
        <w:drawing>
          <wp:inline>
            <wp:extent cx="5334000" cy="3530676"/>
            <wp:effectExtent b="0" l="0" r="0" t="0"/>
            <wp:docPr descr="Figur 7.6: LightGBM gain-importance (fallback for SHAP, jf. § 9.7) — relativ styrke per feature i ensemble­modellen" title="" id="64" name="Picture"/>
            <a:graphic>
              <a:graphicData uri="http://schemas.openxmlformats.org/drawingml/2006/picture">
                <pic:pic>
                  <pic:nvPicPr>
                    <pic:cNvPr descr="figures/figur_7_6_shap_summary.png" id="65" name="Picture"/>
                    <pic:cNvPicPr>
                      <a:picLocks noChangeArrowheads="1" noChangeAspect="1"/>
                    </pic:cNvPicPr>
                  </pic:nvPicPr>
                  <pic:blipFill>
                    <a:blip r:embed="rId63"/>
                    <a:stretch>
                      <a:fillRect/>
                    </a:stretch>
                  </pic:blipFill>
                  <pic:spPr bwMode="auto">
                    <a:xfrm>
                      <a:off x="0" y="0"/>
                      <a:ext cx="5334000" cy="3530676"/>
                    </a:xfrm>
                    <a:prstGeom prst="rect">
                      <a:avLst/>
                    </a:prstGeom>
                    <a:noFill/>
                    <a:ln w="9525">
                      <a:noFill/>
                      <a:headEnd/>
                      <a:tailEnd/>
                    </a:ln>
                  </pic:spPr>
                </pic:pic>
              </a:graphicData>
            </a:graphic>
          </wp:inline>
        </w:drawing>
      </w:r>
    </w:p>
    <w:p>
      <w:pPr>
        <w:pStyle w:val="ImageCaption"/>
        <w:spacing w:line="360" w:lineRule="auto"/>
      </w:pPr>
      <w:r>
        <w:rPr>
          <w:rFonts w:ascii="Times New Roman" w:hAnsi="Times New Roman" w:cs="Times New Roman" w:eastAsia="Times New Roman"/>
          <w:sz w:val="24"/>
        </w:rPr>
        <w:t xml:space="preserve">Figur 7.6: LightGBM gain-importance (fallback for SHAP, jf. § 9.7) — relativ styrke per feature i ensemble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modellen</w:t>
      </w:r>
    </w:p>
    <w:p>
      <w:pPr>
        <w:pStyle w:val="BodyText"/>
        <w:spacing w:line="360" w:lineRule="auto"/>
      </w:pPr>
      <w:r>
        <w:rPr>
          <w:rFonts w:ascii="Times New Roman" w:hAnsi="Times New Roman" w:cs="Times New Roman" w:eastAsia="Times New Roman"/>
          <w:b/>
          <w:bCs/>
          <w:sz w:val="24"/>
        </w:rPr>
        <w:t xml:space="preserve">Figur 7.6.</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LightGBM gain-importance brukt som fallback for SHAP-summary (TreeSHAP-generering feilet på et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categorical_feature</w:t>
      </w:r>
      <w:r>
        <w:rPr>
          <w:rFonts w:ascii="Times New Roman" w:hAnsi="Times New Roman" w:cs="Times New Roman" w:eastAsia="Times New Roman"/>
          <w:sz w:val="24"/>
        </w:rPr>
        <w:t xml:space="preserve">-mismatch, jf. § 9.7). Figuren viser relativ styrke (ikke effekt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retning) per feature.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service_type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og aggregat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statistikkene (</w:t>
      </w:r>
      <w:r>
        <w:rPr>
          <w:rStyle w:val="VerbatimChar"/>
          <w:rFonts w:ascii="Times New Roman" w:hAnsi="Times New Roman" w:cs="Times New Roman" w:eastAsia="Times New Roman"/>
          <w:sz w:val="24"/>
        </w:rPr>
        <w:t xml:space="preserve">size_svc_median_charge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size_svc_mean_charge</w:t>
      </w:r>
      <w:r>
        <w:rPr>
          <w:rFonts w:ascii="Times New Roman" w:hAnsi="Times New Roman" w:cs="Times New Roman" w:eastAsia="Times New Roman"/>
          <w:sz w:val="24"/>
        </w:rPr>
        <w:t xml:space="preserve">) dominerer, med</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gt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og</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stay_days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som viktige sekundære drivere. Et ekte SHAP-plott ville i tillegg gitt fortegns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informasjon (positiv/negativ påvirkning på predikert kostnad) som denne proxyen ikke fanger — fortegnet er rekonstruert kvalitativt i teksten under: høyere GT, lengre opphold og dyre tjenestetyper (Provisioning, Port Marina) gir høyere predikert kostnad.</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(Plott i</w:t>
      </w:r>
      <w:r>
        <w:rPr>
          <w:rFonts w:ascii="Times New Roman" w:hAnsi="Times New Roman" w:cs="Times New Roman" w:eastAsia="Times New Roman"/>
          <w:i/>
          <w:iCs/>
          <w:sz w:val="24"/>
        </w:rPr>
        <w:t xml:space="preserve"> </w:t>
      </w:r>
      <w:r>
        <w:rPr>
          <w:rStyle w:val="VerbatimChar"/>
          <w:rFonts w:ascii="Times New Roman" w:hAnsi="Times New Roman" w:cs="Times New Roman" w:eastAsia="Times New Roman"/>
          <w:i/>
          <w:iCs/>
          <w:sz w:val="24"/>
        </w:rPr>
        <w:t xml:space="preserve">modeling_nauticost.ipynb</w:t>
      </w:r>
      <w:r>
        <w:rPr>
          <w:rFonts w:ascii="Times New Roman" w:hAnsi="Times New Roman" w:cs="Times New Roman" w:eastAsia="Times New Roman"/>
          <w:i/>
          <w:iCs/>
          <w:sz w:val="24"/>
        </w:rPr>
        <w:t xml:space="preserve">, seksjon 10; regenerering med ekte TreeSHAP er flagget som videre arbeid.)</w:t>
      </w:r>
    </w:p>
    <w:p>
      <w:pPr>
        <w:pStyle w:val="CaptionedFigure"/>
        <w:spacing w:line="360" w:lineRule="auto"/>
      </w:pPr>
      <w:r>
        <w:rPr>
          <w:rFonts w:ascii="Times New Roman" w:hAnsi="Times New Roman" w:cs="Times New Roman" w:eastAsia="Times New Roman"/>
          <w:sz w:val="24"/>
        </w:rPr>
        <w:drawing>
          <wp:inline>
            <wp:extent cx="5334000" cy="1660156"/>
            <wp:effectExtent b="0" l="0" r="0" t="0"/>
            <wp:docPr descr="Figur 7.7: Predikerte kostnader fordelt på GT (log-skala), tjenestekategori og ankomsthavn — viser monoton GT-effekt og tydelig havne­variasjon" title="" id="67" name="Picture"/>
            <a:graphic>
              <a:graphicData uri="http://schemas.openxmlformats.org/drawingml/2006/picture">
                <pic:pic>
                  <pic:nvPicPr>
                    <pic:cNvPr descr="figures/figur_7_7_dependence.png" id="68" name="Picture"/>
                    <pic:cNvPicPr>
                      <a:picLocks noChangeArrowheads="1" noChangeAspect="1"/>
                    </pic:cNvPicPr>
                  </pic:nvPicPr>
                  <pic:blipFill>
                    <a:blip r:embed="rId66"/>
                    <a:stretch>
                      <a:fillRect/>
                    </a:stretch>
                  </pic:blipFill>
                  <pic:spPr bwMode="auto">
                    <a:xfrm>
                      <a:off x="0" y="0"/>
                      <a:ext cx="5334000" cy="1660156"/>
                    </a:xfrm>
                    <a:prstGeom prst="rect">
                      <a:avLst/>
                    </a:prstGeom>
                    <a:noFill/>
                    <a:ln w="9525">
                      <a:noFill/>
                      <a:headEnd/>
                      <a:tailEnd/>
                    </a:ln>
                  </pic:spPr>
                </pic:pic>
              </a:graphicData>
            </a:graphic>
          </wp:inline>
        </w:drawing>
      </w:r>
    </w:p>
    <w:p>
      <w:pPr>
        <w:pStyle w:val="ImageCaption"/>
        <w:spacing w:line="360" w:lineRule="auto"/>
      </w:pPr>
      <w:r>
        <w:rPr>
          <w:rFonts w:ascii="Times New Roman" w:hAnsi="Times New Roman" w:cs="Times New Roman" w:eastAsia="Times New Roman"/>
          <w:sz w:val="24"/>
        </w:rPr>
        <w:t xml:space="preserve">Figur 7.7: Predikerte kostnader fordelt på GT (log-skala), tjenestekategori og ankomsthavn — viser monoton GT-effekt og tydelig havne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variasjon</w:t>
      </w:r>
    </w:p>
    <w:p>
      <w:pPr>
        <w:pStyle w:val="BodyText"/>
        <w:spacing w:line="360" w:lineRule="auto"/>
      </w:pPr>
      <w:r>
        <w:rPr>
          <w:rFonts w:ascii="Times New Roman" w:hAnsi="Times New Roman" w:cs="Times New Roman" w:eastAsia="Times New Roman"/>
          <w:b/>
          <w:bCs/>
          <w:sz w:val="24"/>
        </w:rPr>
        <w:t xml:space="preserve">Figur 7.7.</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Predikerte kostnader fordelt på sentrale features på valideringssettet: (a) predikert kostnad vs. GT (log-skala), (b) median prediksjon per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service_category</w:t>
      </w:r>
      <w:r>
        <w:rPr>
          <w:rFonts w:ascii="Times New Roman" w:hAnsi="Times New Roman" w:cs="Times New Roman" w:eastAsia="Times New Roman"/>
          <w:sz w:val="24"/>
        </w:rPr>
        <w:t xml:space="preserve">, (c) median prediksjon per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arrival_port</w:t>
      </w:r>
      <w:r>
        <w:rPr>
          <w:rFonts w:ascii="Times New Roman" w:hAnsi="Times New Roman" w:cs="Times New Roman" w:eastAsia="Times New Roman"/>
          <w:sz w:val="24"/>
        </w:rPr>
        <w:t xml:space="preserve">. GT-effekten er monoton men ikke-lineær. Havne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effekten viser at København og Stockholm gir høyere prediksjoner enn norske havner ved samme yacht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størrelse, hvilket er konsistent med havne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avgifts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nivåene i datasettet og motiverer land</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bevisst aggregering som videre arbeid (§ 9.5.5).</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(Plott i</w:t>
      </w:r>
      <w:r>
        <w:rPr>
          <w:rFonts w:ascii="Times New Roman" w:hAnsi="Times New Roman" w:cs="Times New Roman" w:eastAsia="Times New Roman"/>
          <w:i/>
          <w:iCs/>
          <w:sz w:val="24"/>
        </w:rPr>
        <w:t xml:space="preserve"> </w:t>
      </w:r>
      <w:r>
        <w:rPr>
          <w:rStyle w:val="VerbatimChar"/>
          <w:rFonts w:ascii="Times New Roman" w:hAnsi="Times New Roman" w:cs="Times New Roman" w:eastAsia="Times New Roman"/>
          <w:i/>
          <w:iCs/>
          <w:sz w:val="24"/>
        </w:rPr>
        <w:t xml:space="preserve">modeling_nauticost.ipynb</w:t>
      </w:r>
      <w:r>
        <w:rPr>
          <w:rFonts w:ascii="Times New Roman" w:hAnsi="Times New Roman" w:cs="Times New Roman" w:eastAsia="Times New Roman"/>
          <w:i/>
          <w:iCs/>
          <w:sz w:val="24"/>
        </w:rPr>
        <w:t xml:space="preserve">, seksjon 10; reprodusert i</w:t>
      </w:r>
      <w:r>
        <w:rPr>
          <w:rFonts w:ascii="Times New Roman" w:hAnsi="Times New Roman" w:cs="Times New Roman" w:eastAsia="Times New Roman"/>
          <w:i/>
          <w:iCs/>
          <w:sz w:val="24"/>
        </w:rPr>
        <w:t xml:space="preserve"> </w:t>
      </w:r>
      <w:r>
        <w:rPr>
          <w:rStyle w:val="VerbatimChar"/>
          <w:rFonts w:ascii="Times New Roman" w:hAnsi="Times New Roman" w:cs="Times New Roman" w:eastAsia="Times New Roman"/>
          <w:i/>
          <w:iCs/>
          <w:sz w:val="24"/>
        </w:rPr>
        <w:t xml:space="preserve">generate_figures.py</w:t>
      </w:r>
      <w:r>
        <w:rPr>
          <w:rFonts w:ascii="Times New Roman" w:hAnsi="Times New Roman" w:cs="Times New Roman" w:eastAsia="Times New Roman"/>
          <w:i/>
          <w:iCs/>
          <w:sz w:val="24"/>
        </w:rPr>
        <w:t xml:space="preserve">.)</w:t>
      </w:r>
    </w:p>
    <w:bookmarkEnd w:id="69"/>
    <w:bookmarkStart w:id="73" w:name="residualdiagnostikk"/>
    <w:p>
      <w:pPr>
        <w:pStyle w:val="Heading3"/>
        <w:spacing w:line="360" w:lineRule="auto"/>
      </w:pPr>
      <w:r>
        <w:rPr>
          <w:rFonts w:ascii="Times New Roman" w:hAnsi="Times New Roman" w:cs="Times New Roman" w:eastAsia="Times New Roman"/>
          <w:sz w:val="24"/>
        </w:rPr>
        <w:t xml:space="preserve">7.4 Residual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diagnostikk</w:t>
      </w:r>
    </w:p>
    <w:p>
      <w:pPr>
        <w:pStyle w:val="CaptionedFigure"/>
        <w:spacing w:line="360" w:lineRule="auto"/>
      </w:pPr>
      <w:r>
        <w:rPr>
          <w:rFonts w:ascii="Times New Roman" w:hAnsi="Times New Roman" w:cs="Times New Roman" w:eastAsia="Times New Roman"/>
          <w:sz w:val="24"/>
        </w:rPr>
        <w:drawing>
          <wp:inline>
            <wp:extent cx="5334000" cy="2126429"/>
            <wp:effectExtent b="0" l="0" r="0" t="0"/>
            <wp:docPr descr="Figur 7.8: Residualplott (predikert vs. faktisk i log-rom) på valideringssettet (n = 490, 2024) — bias ≈ −0,20 indikerer systematisk overprediksjon for lave fakturaer" title="" id="71" name="Picture"/>
            <a:graphic>
              <a:graphicData uri="http://schemas.openxmlformats.org/drawingml/2006/picture">
                <pic:pic>
                  <pic:nvPicPr>
                    <pic:cNvPr descr="figures/figur_7_8_residuals.png" id="72" name="Picture"/>
                    <pic:cNvPicPr>
                      <a:picLocks noChangeArrowheads="1" noChangeAspect="1"/>
                    </pic:cNvPicPr>
                  </pic:nvPicPr>
                  <pic:blipFill>
                    <a:blip r:embed="rId70"/>
                    <a:stretch>
                      <a:fillRect/>
                    </a:stretch>
                  </pic:blipFill>
                  <pic:spPr bwMode="auto">
                    <a:xfrm>
                      <a:off x="0" y="0"/>
                      <a:ext cx="5334000" cy="2126429"/>
                    </a:xfrm>
                    <a:prstGeom prst="rect">
                      <a:avLst/>
                    </a:prstGeom>
                    <a:noFill/>
                    <a:ln w="9525">
                      <a:noFill/>
                      <a:headEnd/>
                      <a:tailEnd/>
                    </a:ln>
                  </pic:spPr>
                </pic:pic>
              </a:graphicData>
            </a:graphic>
          </wp:inline>
        </w:drawing>
      </w:r>
    </w:p>
    <w:p>
      <w:pPr>
        <w:pStyle w:val="ImageCaption"/>
        <w:spacing w:line="360" w:lineRule="auto"/>
      </w:pPr>
      <w:r>
        <w:rPr>
          <w:rFonts w:ascii="Times New Roman" w:hAnsi="Times New Roman" w:cs="Times New Roman" w:eastAsia="Times New Roman"/>
          <w:sz w:val="24"/>
        </w:rPr>
        <w:t xml:space="preserve">Figur 7.8: Residualplott (predikert vs. faktisk i log-rom) på valideringssettet (n = 490, 2024) — bias ≈ −0,20 indikerer systematisk overprediksjon for lave fakturaer</w:t>
      </w:r>
    </w:p>
    <w:p>
      <w:pPr>
        <w:pStyle w:val="BodyText"/>
        <w:spacing w:line="360" w:lineRule="auto"/>
      </w:pPr>
      <w:r>
        <w:rPr>
          <w:rFonts w:ascii="Times New Roman" w:hAnsi="Times New Roman" w:cs="Times New Roman" w:eastAsia="Times New Roman"/>
          <w:b/>
          <w:bCs/>
          <w:sz w:val="24"/>
        </w:rPr>
        <w:t xml:space="preserve">Figur 7.8.</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Residual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plott (predikert vs. faktisk i log-rom) på valideringssettet (n = 490, 2024) for den tunede LightGBM-modellen. Gjennomsnittlig residual er</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−0,20 i log-rom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(tilsvarende ≈ 18 % overprediksjon på opprinnelig skala): modellen estimerer i snitt høyere enn faktisk kostnad. Bias-en er konsentrert i transaksjoner der faktisk beløp er lavt (typisk små Agency Services-fakturaer &lt; 1 000 EUR) — modellen klarer ikke å predikere ned i dette beløpsspennet med presisjon. På anløpsnivå, der mange transaksjoner aggregeres, har bias-en mindre effekt fordi store og små transaksjoner blandes, og den hybride persentil-kalibreringen i § 6.5 forankrer totalen mot empirisk median. De største absolutte feilene konsentrerer seg i kategoriene Provisioning/Stor og Port Marina/Stor, der kostnadene avhenger av hva som ble bestilt snarere enn yacht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spesifikasjoner — dette samsvarer med funnet i § 9.5.4 om manglende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guest_experience</w:t>
      </w:r>
      <w:r>
        <w:rPr>
          <w:rFonts w:ascii="Times New Roman" w:hAnsi="Times New Roman" w:cs="Times New Roman" w:eastAsia="Times New Roman"/>
          <w:sz w:val="24"/>
        </w:rPr>
        <w:t xml:space="preserve">-feature for Provisioning.</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(Plott i</w:t>
      </w:r>
      <w:r>
        <w:rPr>
          <w:rFonts w:ascii="Times New Roman" w:hAnsi="Times New Roman" w:cs="Times New Roman" w:eastAsia="Times New Roman"/>
          <w:i/>
          <w:iCs/>
          <w:sz w:val="24"/>
        </w:rPr>
        <w:t xml:space="preserve"> </w:t>
      </w:r>
      <w:r>
        <w:rPr>
          <w:rStyle w:val="VerbatimChar"/>
          <w:rFonts w:ascii="Times New Roman" w:hAnsi="Times New Roman" w:cs="Times New Roman" w:eastAsia="Times New Roman"/>
          <w:i/>
          <w:iCs/>
          <w:sz w:val="24"/>
        </w:rPr>
        <w:t xml:space="preserve">modeling_nauticost.ipynb</w:t>
      </w:r>
      <w:r>
        <w:rPr>
          <w:rFonts w:ascii="Times New Roman" w:hAnsi="Times New Roman" w:cs="Times New Roman" w:eastAsia="Times New Roman"/>
          <w:i/>
          <w:iCs/>
          <w:sz w:val="24"/>
        </w:rPr>
        <w:t xml:space="preserve">, seksjon 11, og reprodusert i</w:t>
      </w:r>
      <w:r>
        <w:rPr>
          <w:rFonts w:ascii="Times New Roman" w:hAnsi="Times New Roman" w:cs="Times New Roman" w:eastAsia="Times New Roman"/>
          <w:i/>
          <w:iCs/>
          <w:sz w:val="24"/>
        </w:rPr>
        <w:t xml:space="preserve"> </w:t>
      </w:r>
      <w:r>
        <w:rPr>
          <w:rStyle w:val="VerbatimChar"/>
          <w:rFonts w:ascii="Times New Roman" w:hAnsi="Times New Roman" w:cs="Times New Roman" w:eastAsia="Times New Roman"/>
          <w:i/>
          <w:iCs/>
          <w:sz w:val="24"/>
        </w:rPr>
        <w:t xml:space="preserve">013 fase 3 - review/generate_figures.py</w:t>
      </w:r>
      <w:r>
        <w:rPr>
          <w:rFonts w:ascii="Times New Roman" w:hAnsi="Times New Roman" w:cs="Times New Roman" w:eastAsia="Times New Roman"/>
          <w:i/>
          <w:iCs/>
          <w:sz w:val="24"/>
        </w:rPr>
        <w:t xml:space="preserve">.)</w:t>
      </w:r>
    </w:p>
    <w:p>
      <w:pPr>
        <w:pStyle w:val="BodyText"/>
        <w:spacing w:line="360" w:lineRule="auto"/>
      </w:pPr>
      <w:r>
        <w:rPr>
          <w:rFonts w:ascii="Times New Roman" w:hAnsi="Times New Roman" w:cs="Times New Roman" w:eastAsia="Times New Roman"/>
          <w:b/>
          <w:bCs/>
          <w:sz w:val="24"/>
        </w:rPr>
        <w:t xml:space="preserve">Tabell 7.1.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Validerings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residualer per størrelseskategori (n = 490, år 2024). MAPE er rapportert som</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forholdstall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(gjennomsnittlig |feil| / faktisk verdi); 0,89 betyr 89 % gjennomsnittlig avvik, 4,07 betyr 407 %. De høye forholds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tallene drives av mange små transaksjoner (jf. drøftingen av MAPE-sensitivitet i § 3.4).</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spacing w:line="360" w:lineRule="auto"/>
            </w:pPr>
            <w:r>
              <w:rPr>
                <w:rFonts w:ascii="Times New Roman" w:hAnsi="Times New Roman" w:cs="Times New Roman" w:eastAsia="Times New Roman"/>
                <w:sz w:val="24"/>
              </w:rPr>
              <w:t xml:space="preserve">size_category</w:t>
            </w:r>
          </w:p>
        </w:tc>
        <w:tc>
          <w:tcPr/>
          <w:p>
            <w:pPr>
              <w:pStyle w:val="Compact"/>
              <w:spacing w:line="360" w:lineRule="auto"/>
              <w:jc w:val="right"/>
            </w:pPr>
            <w:r>
              <w:rPr>
                <w:rFonts w:ascii="Times New Roman" w:hAnsi="Times New Roman" w:cs="Times New Roman" w:eastAsia="Times New Roman"/>
                <w:sz w:val="24"/>
              </w:rPr>
              <w:t xml:space="preserve">n</w:t>
            </w:r>
          </w:p>
        </w:tc>
        <w:tc>
          <w:tcPr/>
          <w:p>
            <w:pPr>
              <w:pStyle w:val="Compact"/>
              <w:spacing w:line="360" w:lineRule="auto"/>
              <w:jc w:val="right"/>
            </w:pPr>
            <w:r>
              <w:rPr>
                <w:rFonts w:ascii="Times New Roman" w:hAnsi="Times New Roman" w:cs="Times New Roman" w:eastAsia="Times New Roman"/>
                <w:sz w:val="24"/>
              </w:rPr>
              <w:t xml:space="preserve">MAE (EUR)</w:t>
            </w:r>
          </w:p>
        </w:tc>
        <w:tc>
          <w:tcPr/>
          <w:p>
            <w:pPr>
              <w:pStyle w:val="Compact"/>
              <w:spacing w:line="360" w:lineRule="auto"/>
              <w:jc w:val="right"/>
            </w:pPr>
            <w:r>
              <w:rPr>
                <w:rFonts w:ascii="Times New Roman" w:hAnsi="Times New Roman" w:cs="Times New Roman" w:eastAsia="Times New Roman"/>
                <w:sz w:val="24"/>
              </w:rPr>
              <w:t xml:space="preserve">MAPE (forholds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tall)</w:t>
            </w:r>
          </w:p>
        </w:tc>
      </w:tr>
      <w:tr>
        <w:tc>
          <w:tcPr/>
          <w:p>
            <w:pPr>
              <w:pStyle w:val="Compact"/>
              <w:spacing w:line="360" w:lineRule="auto"/>
            </w:pPr>
            <w:r>
              <w:rPr>
                <w:rFonts w:ascii="Times New Roman" w:hAnsi="Times New Roman" w:cs="Times New Roman" w:eastAsia="Times New Roman"/>
                <w:sz w:val="24"/>
              </w:rPr>
              <w:t xml:space="preserve">Liten</w:t>
            </w:r>
          </w:p>
        </w:tc>
        <w:tc>
          <w:tcPr/>
          <w:p>
            <w:pPr>
              <w:pStyle w:val="Compact"/>
              <w:spacing w:line="360" w:lineRule="auto"/>
              <w:jc w:val="right"/>
            </w:pPr>
            <w:r>
              <w:rPr>
                <w:rFonts w:ascii="Times New Roman" w:hAnsi="Times New Roman" w:cs="Times New Roman" w:eastAsia="Times New Roman"/>
                <w:sz w:val="24"/>
              </w:rPr>
              <w:t xml:space="preserve">159</w:t>
            </w:r>
          </w:p>
        </w:tc>
        <w:tc>
          <w:tcPr/>
          <w:p>
            <w:pPr>
              <w:pStyle w:val="Compact"/>
              <w:spacing w:line="360" w:lineRule="auto"/>
              <w:jc w:val="right"/>
            </w:pPr>
            <w:r>
              <w:rPr>
                <w:rFonts w:ascii="Times New Roman" w:hAnsi="Times New Roman" w:cs="Times New Roman" w:eastAsia="Times New Roman"/>
                <w:sz w:val="24"/>
              </w:rPr>
              <w:t xml:space="preserve">9 277</w:t>
            </w:r>
          </w:p>
        </w:tc>
        <w:tc>
          <w:tcPr/>
          <w:p>
            <w:pPr>
              <w:pStyle w:val="Compact"/>
              <w:spacing w:line="360" w:lineRule="auto"/>
              <w:jc w:val="right"/>
            </w:pPr>
            <w:r>
              <w:rPr>
                <w:rFonts w:ascii="Times New Roman" w:hAnsi="Times New Roman" w:cs="Times New Roman" w:eastAsia="Times New Roman"/>
                <w:sz w:val="24"/>
              </w:rPr>
              <w:t xml:space="preserve">0,89</w:t>
            </w:r>
          </w:p>
        </w:tc>
      </w:tr>
      <w:tr>
        <w:tc>
          <w:tcPr/>
          <w:p>
            <w:pPr>
              <w:pStyle w:val="Compact"/>
              <w:spacing w:line="360" w:lineRule="auto"/>
            </w:pPr>
            <w:r>
              <w:rPr>
                <w:rFonts w:ascii="Times New Roman" w:hAnsi="Times New Roman" w:cs="Times New Roman" w:eastAsia="Times New Roman"/>
                <w:sz w:val="24"/>
              </w:rPr>
              <w:t xml:space="preserve">Mellomstor</w:t>
            </w:r>
          </w:p>
        </w:tc>
        <w:tc>
          <w:tcPr/>
          <w:p>
            <w:pPr>
              <w:pStyle w:val="Compact"/>
              <w:spacing w:line="360" w:lineRule="auto"/>
              <w:jc w:val="right"/>
            </w:pPr>
            <w:r>
              <w:rPr>
                <w:rFonts w:ascii="Times New Roman" w:hAnsi="Times New Roman" w:cs="Times New Roman" w:eastAsia="Times New Roman"/>
                <w:sz w:val="24"/>
              </w:rPr>
              <w:t xml:space="preserve">113</w:t>
            </w:r>
          </w:p>
        </w:tc>
        <w:tc>
          <w:tcPr/>
          <w:p>
            <w:pPr>
              <w:pStyle w:val="Compact"/>
              <w:spacing w:line="360" w:lineRule="auto"/>
              <w:jc w:val="right"/>
            </w:pPr>
            <w:r>
              <w:rPr>
                <w:rFonts w:ascii="Times New Roman" w:hAnsi="Times New Roman" w:cs="Times New Roman" w:eastAsia="Times New Roman"/>
                <w:sz w:val="24"/>
              </w:rPr>
              <w:t xml:space="preserve">9 192</w:t>
            </w:r>
          </w:p>
        </w:tc>
        <w:tc>
          <w:tcPr/>
          <w:p>
            <w:pPr>
              <w:pStyle w:val="Compact"/>
              <w:spacing w:line="360" w:lineRule="auto"/>
              <w:jc w:val="right"/>
            </w:pPr>
            <w:r>
              <w:rPr>
                <w:rFonts w:ascii="Times New Roman" w:hAnsi="Times New Roman" w:cs="Times New Roman" w:eastAsia="Times New Roman"/>
                <w:sz w:val="24"/>
              </w:rPr>
              <w:t xml:space="preserve">2,13</w:t>
            </w:r>
          </w:p>
        </w:tc>
      </w:tr>
      <w:tr>
        <w:tc>
          <w:tcPr/>
          <w:p>
            <w:pPr>
              <w:pStyle w:val="Compact"/>
              <w:spacing w:line="360" w:lineRule="auto"/>
            </w:pPr>
            <w:r>
              <w:rPr>
                <w:rFonts w:ascii="Times New Roman" w:hAnsi="Times New Roman" w:cs="Times New Roman" w:eastAsia="Times New Roman"/>
                <w:sz w:val="24"/>
              </w:rPr>
              <w:t xml:space="preserve">Stor</w:t>
            </w:r>
          </w:p>
        </w:tc>
        <w:tc>
          <w:tcPr/>
          <w:p>
            <w:pPr>
              <w:pStyle w:val="Compact"/>
              <w:spacing w:line="360" w:lineRule="auto"/>
              <w:jc w:val="right"/>
            </w:pPr>
            <w:r>
              <w:rPr>
                <w:rFonts w:ascii="Times New Roman" w:hAnsi="Times New Roman" w:cs="Times New Roman" w:eastAsia="Times New Roman"/>
                <w:sz w:val="24"/>
              </w:rPr>
              <w:t xml:space="preserve">218</w:t>
            </w:r>
          </w:p>
        </w:tc>
        <w:tc>
          <w:tcPr/>
          <w:p>
            <w:pPr>
              <w:pStyle w:val="Compact"/>
              <w:spacing w:line="360" w:lineRule="auto"/>
              <w:jc w:val="right"/>
            </w:pPr>
            <w:r>
              <w:rPr>
                <w:rFonts w:ascii="Times New Roman" w:hAnsi="Times New Roman" w:cs="Times New Roman" w:eastAsia="Times New Roman"/>
                <w:sz w:val="24"/>
              </w:rPr>
              <w:t xml:space="preserve">28 562</w:t>
            </w:r>
          </w:p>
        </w:tc>
        <w:tc>
          <w:tcPr/>
          <w:p>
            <w:pPr>
              <w:pStyle w:val="Compact"/>
              <w:spacing w:line="360" w:lineRule="auto"/>
              <w:jc w:val="right"/>
            </w:pPr>
            <w:r>
              <w:rPr>
                <w:rFonts w:ascii="Times New Roman" w:hAnsi="Times New Roman" w:cs="Times New Roman" w:eastAsia="Times New Roman"/>
                <w:sz w:val="24"/>
              </w:rPr>
              <w:t xml:space="preserve">4,07</w:t>
            </w:r>
          </w:p>
        </w:tc>
      </w:tr>
    </w:tbl>
    <w:p>
      <w:pPr>
        <w:pStyle w:val="BodyText"/>
        <w:spacing w:line="360" w:lineRule="auto"/>
      </w:pPr>
      <w:r>
        <w:rPr>
          <w:rFonts w:ascii="Times New Roman" w:hAnsi="Times New Roman" w:cs="Times New Roman" w:eastAsia="Times New Roman"/>
          <w:sz w:val="24"/>
        </w:rPr>
        <w:t xml:space="preserve">Stor-kategorien har en MAE som er ca. 3× høyere enn de to andre, hvilket reflekterer at store yachter har større variasjons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spenn i absolutte kostnader (P95-fakturaer for Stor-yachter er over 100 000 EUR; for Liten typisk under 15 000 EUR). MAPE-tallene må tolkes forsiktig: 4,07 for Stor betyr</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ikke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modellen bommer med 407 % på typiske Stor-yacht-fakturaer, men at det er noen små Stor-fakturaer (f.eks. en enkelt forsyning på 200 EUR der modellen predikerer 1 000 EUR) som blåser opp prosent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avviket. wMAPE-tallet for hele settet (71,4 %, jf. tabell 8.1) gir et mer rettferdig bilde av relativ feil. Det vesentlige funnet i tabellen er at</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absolutt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feil skaleres med fordelingens skala, ikke med systematisk bias mot Stor.</w:t>
      </w:r>
    </w:p>
    <w:p>
      <w:pPr>
        <w:spacing w:line="360" w:lineRule="auto"/>
      </w:pPr>
      <w:r>
        <w:rPr>
          <w:rFonts w:ascii="Times New Roman" w:hAnsi="Times New Roman" w:cs="Times New Roman" w:eastAsia="Times New Roman"/>
          <w:sz w:val="24"/>
        </w:rPr>
        <w:pict>
          <v:rect style="width:0;height:1.5pt" o:hralign="center" o:hrstd="t" o:hr="t"/>
        </w:pict>
      </w:r>
    </w:p>
    <w:bookmarkEnd w:id="73"/>
    <w:bookmarkEnd w:id="74"/>
    <w:bookmarkStart w:id="80" w:name="resultat"/>
    <w:p>
      <w:pPr>
        <w:pStyle w:val="Heading2"/>
        <w:spacing w:line="360" w:lineRule="auto"/>
      </w:pPr>
      <w:r>
        <w:rPr>
          <w:rFonts w:ascii="Times New Roman" w:hAnsi="Times New Roman" w:cs="Times New Roman" w:eastAsia="Times New Roman"/>
          <w:sz w:val="24"/>
        </w:rPr>
        <w:t xml:space="preserve">8. Resultat</w:t>
      </w:r>
    </w:p>
    <w:bookmarkStart w:id="75" w:name="X9e63db4d73416036d6c4aff3da2d7ddb8b5d91f"/>
    <w:p>
      <w:pPr>
        <w:pStyle w:val="Heading3"/>
        <w:spacing w:line="360" w:lineRule="auto"/>
      </w:pPr>
      <w:r>
        <w:rPr>
          <w:rFonts w:ascii="Times New Roman" w:hAnsi="Times New Roman" w:cs="Times New Roman" w:eastAsia="Times New Roman"/>
          <w:sz w:val="24"/>
        </w:rPr>
        <w:t xml:space="preserve">8.1 Sammenligning av modeller på valideringssettet</w:t>
      </w:r>
    </w:p>
    <w:p>
      <w:pPr>
        <w:pStyle w:val="FirstParagraph"/>
        <w:spacing w:line="360" w:lineRule="auto"/>
      </w:pPr>
      <w:r>
        <w:rPr>
          <w:rFonts w:ascii="Times New Roman" w:hAnsi="Times New Roman" w:cs="Times New Roman" w:eastAsia="Times New Roman"/>
          <w:b/>
          <w:bCs/>
          <w:sz w:val="24"/>
        </w:rPr>
        <w:t xml:space="preserve">Tabell 8.1.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viser feil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metrikker for alle modeller på</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valideringssettet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(2024, 490 transaksjoner), sortert etter MAE. Dette er settet vi bruker for</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modellseleksjon</w:t>
      </w:r>
      <w:r>
        <w:rPr>
          <w:rFonts w:ascii="Times New Roman" w:hAnsi="Times New Roman" w:cs="Times New Roman" w:eastAsia="Times New Roman"/>
          <w:sz w:val="24"/>
        </w:rPr>
        <w:t xml:space="preserve">. Endelig evaluering på det reserverte testsettet (2025) drøftes i § 8.1.1.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spacing w:line="360" w:lineRule="auto"/>
            </w:pPr>
            <w:r>
              <w:rPr>
                <w:rFonts w:ascii="Times New Roman" w:hAnsi="Times New Roman" w:cs="Times New Roman" w:eastAsia="Times New Roman"/>
                <w:sz w:val="24"/>
              </w:rPr>
              <w:t xml:space="preserve">Modell</w:t>
            </w:r>
          </w:p>
        </w:tc>
        <w:tc>
          <w:tcPr/>
          <w:p>
            <w:pPr>
              <w:pStyle w:val="Compact"/>
              <w:spacing w:line="360" w:lineRule="auto"/>
              <w:jc w:val="right"/>
            </w:pPr>
            <w:r>
              <w:rPr>
                <w:rFonts w:ascii="Times New Roman" w:hAnsi="Times New Roman" w:cs="Times New Roman" w:eastAsia="Times New Roman"/>
                <w:sz w:val="24"/>
              </w:rPr>
              <w:t xml:space="preserve">MAE (EUR)</w:t>
            </w:r>
          </w:p>
        </w:tc>
        <w:tc>
          <w:tcPr/>
          <w:p>
            <w:pPr>
              <w:pStyle w:val="Compact"/>
              <w:spacing w:line="360" w:lineRule="auto"/>
              <w:jc w:val="right"/>
            </w:pPr>
            <w:r>
              <w:rPr>
                <w:rFonts w:ascii="Times New Roman" w:hAnsi="Times New Roman" w:cs="Times New Roman" w:eastAsia="Times New Roman"/>
                <w:sz w:val="24"/>
              </w:rPr>
              <w:t xml:space="preserve">RMSE (EUR)</w:t>
            </w:r>
          </w:p>
        </w:tc>
        <w:tc>
          <w:tcPr/>
          <w:p>
            <w:pPr>
              <w:pStyle w:val="Compact"/>
              <w:spacing w:line="360" w:lineRule="auto"/>
              <w:jc w:val="right"/>
            </w:pPr>
            <w:r>
              <w:rPr>
                <w:rFonts w:ascii="Times New Roman" w:hAnsi="Times New Roman" w:cs="Times New Roman" w:eastAsia="Times New Roman"/>
                <w:sz w:val="24"/>
              </w:rPr>
              <w:t xml:space="preserve">MAPE (%)</w:t>
            </w:r>
          </w:p>
        </w:tc>
        <w:tc>
          <w:tcPr/>
          <w:p>
            <w:pPr>
              <w:pStyle w:val="Compact"/>
              <w:spacing w:line="360" w:lineRule="auto"/>
              <w:jc w:val="right"/>
            </w:pPr>
            <w:r>
              <w:rPr>
                <w:rFonts w:ascii="Times New Roman" w:hAnsi="Times New Roman" w:cs="Times New Roman" w:eastAsia="Times New Roman"/>
                <w:sz w:val="24"/>
              </w:rPr>
              <w:t xml:space="preserve">wMAPE (%)</w:t>
            </w:r>
          </w:p>
        </w:tc>
      </w:tr>
      <w:tr>
        <w:tc>
          <w:tcPr/>
          <w:p>
            <w:pPr>
              <w:pStyle w:val="Compact"/>
              <w:spacing w:line="360" w:lineRule="auto"/>
            </w:pPr>
            <w:r>
              <w:rPr>
                <w:rFonts w:ascii="Times New Roman" w:hAnsi="Times New Roman" w:cs="Times New Roman" w:eastAsia="Times New Roman"/>
                <w:sz w:val="24"/>
              </w:rPr>
              <w:t xml:space="preserve">LightGBM (base)</w:t>
            </w:r>
          </w:p>
        </w:tc>
        <w:tc>
          <w:tcPr/>
          <w:p>
            <w:pPr>
              <w:pStyle w:val="Compact"/>
              <w:spacing w:line="360" w:lineRule="auto"/>
              <w:jc w:val="right"/>
            </w:pPr>
            <w:r>
              <w:rPr>
                <w:rFonts w:ascii="Times New Roman" w:hAnsi="Times New Roman" w:cs="Times New Roman" w:eastAsia="Times New Roman"/>
                <w:b/>
                <w:bCs/>
                <w:sz w:val="24"/>
              </w:rPr>
              <w:t xml:space="preserve">17 317</w:t>
            </w:r>
          </w:p>
        </w:tc>
        <w:tc>
          <w:tcPr/>
          <w:p>
            <w:pPr>
              <w:pStyle w:val="Compact"/>
              <w:spacing w:line="360" w:lineRule="auto"/>
              <w:jc w:val="right"/>
            </w:pPr>
            <w:r>
              <w:rPr>
                <w:rFonts w:ascii="Times New Roman" w:hAnsi="Times New Roman" w:cs="Times New Roman" w:eastAsia="Times New Roman"/>
                <w:sz w:val="24"/>
              </w:rPr>
              <w:t xml:space="preserve">54 476</w:t>
            </w:r>
          </w:p>
        </w:tc>
        <w:tc>
          <w:tcPr/>
          <w:p>
            <w:pPr>
              <w:pStyle w:val="Compact"/>
              <w:spacing w:line="360" w:lineRule="auto"/>
              <w:jc w:val="right"/>
            </w:pPr>
            <w:r>
              <w:rPr>
                <w:rFonts w:ascii="Times New Roman" w:hAnsi="Times New Roman" w:cs="Times New Roman" w:eastAsia="Times New Roman"/>
                <w:sz w:val="24"/>
              </w:rPr>
              <w:t xml:space="preserve">180,2</w:t>
            </w:r>
          </w:p>
        </w:tc>
        <w:tc>
          <w:tcPr/>
          <w:p>
            <w:pPr>
              <w:pStyle w:val="Compact"/>
              <w:spacing w:line="360" w:lineRule="auto"/>
              <w:jc w:val="right"/>
            </w:pPr>
            <w:r>
              <w:rPr>
                <w:rFonts w:ascii="Times New Roman" w:hAnsi="Times New Roman" w:cs="Times New Roman" w:eastAsia="Times New Roman"/>
                <w:sz w:val="24"/>
              </w:rPr>
              <w:t xml:space="preserve">71,3</w:t>
            </w:r>
          </w:p>
        </w:tc>
      </w:tr>
      <w:tr>
        <w:tc>
          <w:tcPr/>
          <w:p>
            <w:pPr>
              <w:pStyle w:val="Compact"/>
              <w:spacing w:line="360" w:lineRule="auto"/>
            </w:pPr>
            <w:r>
              <w:rPr>
                <w:rFonts w:ascii="Times New Roman" w:hAnsi="Times New Roman" w:cs="Times New Roman" w:eastAsia="Times New Roman"/>
                <w:b/>
                <w:bCs/>
                <w:sz w:val="24"/>
              </w:rPr>
              <w:t xml:space="preserve">Ensemble (LGB + CB)</w:t>
            </w:r>
          </w:p>
        </w:tc>
        <w:tc>
          <w:tcPr/>
          <w:p>
            <w:pPr>
              <w:pStyle w:val="Compact"/>
              <w:spacing w:line="360" w:lineRule="auto"/>
              <w:jc w:val="right"/>
            </w:pPr>
            <w:r>
              <w:rPr>
                <w:rFonts w:ascii="Times New Roman" w:hAnsi="Times New Roman" w:cs="Times New Roman" w:eastAsia="Times New Roman"/>
                <w:sz w:val="24"/>
              </w:rPr>
              <w:t xml:space="preserve">17 350</w:t>
            </w:r>
          </w:p>
        </w:tc>
        <w:tc>
          <w:tcPr/>
          <w:p>
            <w:pPr>
              <w:pStyle w:val="Compact"/>
              <w:spacing w:line="360" w:lineRule="auto"/>
              <w:jc w:val="right"/>
            </w:pPr>
            <w:r>
              <w:rPr>
                <w:rFonts w:ascii="Times New Roman" w:hAnsi="Times New Roman" w:cs="Times New Roman" w:eastAsia="Times New Roman"/>
                <w:sz w:val="24"/>
              </w:rPr>
              <w:t xml:space="preserve">55 490</w:t>
            </w:r>
          </w:p>
        </w:tc>
        <w:tc>
          <w:tcPr/>
          <w:p>
            <w:pPr>
              <w:pStyle w:val="Compact"/>
              <w:spacing w:line="360" w:lineRule="auto"/>
              <w:jc w:val="right"/>
            </w:pPr>
            <w:r>
              <w:rPr>
                <w:rFonts w:ascii="Times New Roman" w:hAnsi="Times New Roman" w:cs="Times New Roman" w:eastAsia="Times New Roman"/>
                <w:sz w:val="24"/>
              </w:rPr>
              <w:t xml:space="preserve">168,3</w:t>
            </w:r>
          </w:p>
        </w:tc>
        <w:tc>
          <w:tcPr/>
          <w:p>
            <w:pPr>
              <w:pStyle w:val="Compact"/>
              <w:spacing w:line="360" w:lineRule="auto"/>
              <w:jc w:val="right"/>
            </w:pPr>
            <w:r>
              <w:rPr>
                <w:rFonts w:ascii="Times New Roman" w:hAnsi="Times New Roman" w:cs="Times New Roman" w:eastAsia="Times New Roman"/>
                <w:b/>
                <w:bCs/>
                <w:sz w:val="24"/>
              </w:rPr>
              <w:t xml:space="preserve">71,4</w:t>
            </w:r>
          </w:p>
        </w:tc>
      </w:tr>
      <w:tr>
        <w:tc>
          <w:tcPr/>
          <w:p>
            <w:pPr>
              <w:pStyle w:val="Compact"/>
              <w:spacing w:line="360" w:lineRule="auto"/>
            </w:pPr>
            <w:r>
              <w:rPr>
                <w:rFonts w:ascii="Times New Roman" w:hAnsi="Times New Roman" w:cs="Times New Roman" w:eastAsia="Times New Roman"/>
                <w:sz w:val="24"/>
              </w:rPr>
              <w:t xml:space="preserve">CatBoost</w:t>
            </w:r>
          </w:p>
        </w:tc>
        <w:tc>
          <w:tcPr/>
          <w:p>
            <w:pPr>
              <w:pStyle w:val="Compact"/>
              <w:spacing w:line="360" w:lineRule="auto"/>
              <w:jc w:val="right"/>
            </w:pPr>
            <w:r>
              <w:rPr>
                <w:rFonts w:ascii="Times New Roman" w:hAnsi="Times New Roman" w:cs="Times New Roman" w:eastAsia="Times New Roman"/>
                <w:sz w:val="24"/>
              </w:rPr>
              <w:t xml:space="preserve">17 404</w:t>
            </w:r>
          </w:p>
        </w:tc>
        <w:tc>
          <w:tcPr/>
          <w:p>
            <w:pPr>
              <w:pStyle w:val="Compact"/>
              <w:spacing w:line="360" w:lineRule="auto"/>
              <w:jc w:val="right"/>
            </w:pPr>
            <w:r>
              <w:rPr>
                <w:rFonts w:ascii="Times New Roman" w:hAnsi="Times New Roman" w:cs="Times New Roman" w:eastAsia="Times New Roman"/>
                <w:sz w:val="24"/>
              </w:rPr>
              <w:t xml:space="preserve">55 672</w:t>
            </w:r>
          </w:p>
        </w:tc>
        <w:tc>
          <w:tcPr/>
          <w:p>
            <w:pPr>
              <w:pStyle w:val="Compact"/>
              <w:spacing w:line="360" w:lineRule="auto"/>
              <w:jc w:val="right"/>
            </w:pPr>
            <w:r>
              <w:rPr>
                <w:rFonts w:ascii="Times New Roman" w:hAnsi="Times New Roman" w:cs="Times New Roman" w:eastAsia="Times New Roman"/>
                <w:sz w:val="24"/>
              </w:rPr>
              <w:t xml:space="preserve">174,1</w:t>
            </w:r>
          </w:p>
        </w:tc>
        <w:tc>
          <w:tcPr/>
          <w:p>
            <w:pPr>
              <w:pStyle w:val="Compact"/>
              <w:spacing w:line="360" w:lineRule="auto"/>
              <w:jc w:val="right"/>
            </w:pPr>
            <w:r>
              <w:rPr>
                <w:rFonts w:ascii="Times New Roman" w:hAnsi="Times New Roman" w:cs="Times New Roman" w:eastAsia="Times New Roman"/>
                <w:sz w:val="24"/>
              </w:rPr>
              <w:t xml:space="preserve">71,7</w:t>
            </w:r>
          </w:p>
        </w:tc>
      </w:tr>
      <w:tr>
        <w:tc>
          <w:tcPr/>
          <w:p>
            <w:pPr>
              <w:pStyle w:val="Compact"/>
              <w:spacing w:line="360" w:lineRule="auto"/>
            </w:pPr>
            <w:r>
              <w:rPr>
                <w:rFonts w:ascii="Times New Roman" w:hAnsi="Times New Roman" w:cs="Times New Roman" w:eastAsia="Times New Roman"/>
                <w:sz w:val="24"/>
              </w:rPr>
              <w:t xml:space="preserve">LightGBM (tunet)</w:t>
            </w:r>
          </w:p>
        </w:tc>
        <w:tc>
          <w:tcPr/>
          <w:p>
            <w:pPr>
              <w:pStyle w:val="Compact"/>
              <w:spacing w:line="360" w:lineRule="auto"/>
              <w:jc w:val="right"/>
            </w:pPr>
            <w:r>
              <w:rPr>
                <w:rFonts w:ascii="Times New Roman" w:hAnsi="Times New Roman" w:cs="Times New Roman" w:eastAsia="Times New Roman"/>
                <w:sz w:val="24"/>
              </w:rPr>
              <w:t xml:space="preserve">17 837</w:t>
            </w:r>
          </w:p>
        </w:tc>
        <w:tc>
          <w:tcPr/>
          <w:p>
            <w:pPr>
              <w:pStyle w:val="Compact"/>
              <w:spacing w:line="360" w:lineRule="auto"/>
              <w:jc w:val="right"/>
            </w:pPr>
            <w:r>
              <w:rPr>
                <w:rFonts w:ascii="Times New Roman" w:hAnsi="Times New Roman" w:cs="Times New Roman" w:eastAsia="Times New Roman"/>
                <w:b/>
                <w:bCs/>
                <w:sz w:val="24"/>
              </w:rPr>
              <w:t xml:space="preserve">55 141</w:t>
            </w:r>
          </w:p>
        </w:tc>
        <w:tc>
          <w:tcPr/>
          <w:p>
            <w:pPr>
              <w:pStyle w:val="Compact"/>
              <w:spacing w:line="360" w:lineRule="auto"/>
              <w:jc w:val="right"/>
            </w:pPr>
            <w:r>
              <w:rPr>
                <w:rFonts w:ascii="Times New Roman" w:hAnsi="Times New Roman" w:cs="Times New Roman" w:eastAsia="Times New Roman"/>
                <w:sz w:val="24"/>
              </w:rPr>
              <w:t xml:space="preserve">168,9</w:t>
            </w:r>
          </w:p>
        </w:tc>
        <w:tc>
          <w:tcPr/>
          <w:p>
            <w:pPr>
              <w:pStyle w:val="Compact"/>
              <w:spacing w:line="360" w:lineRule="auto"/>
              <w:jc w:val="right"/>
            </w:pPr>
            <w:r>
              <w:rPr>
                <w:rFonts w:ascii="Times New Roman" w:hAnsi="Times New Roman" w:cs="Times New Roman" w:eastAsia="Times New Roman"/>
                <w:sz w:val="24"/>
              </w:rPr>
              <w:t xml:space="preserve">73,4</w:t>
            </w:r>
          </w:p>
        </w:tc>
      </w:tr>
      <w:tr>
        <w:tc>
          <w:tcPr/>
          <w:p>
            <w:pPr>
              <w:pStyle w:val="Compact"/>
              <w:spacing w:line="360" w:lineRule="auto"/>
            </w:pPr>
            <w:r>
              <w:rPr>
                <w:rFonts w:ascii="Times New Roman" w:hAnsi="Times New Roman" w:cs="Times New Roman" w:eastAsia="Times New Roman"/>
                <w:sz w:val="24"/>
              </w:rPr>
              <w:t xml:space="preserve">Ridge</w:t>
            </w:r>
          </w:p>
        </w:tc>
        <w:tc>
          <w:tcPr/>
          <w:p>
            <w:pPr>
              <w:pStyle w:val="Compact"/>
              <w:spacing w:line="360" w:lineRule="auto"/>
              <w:jc w:val="right"/>
            </w:pPr>
            <w:r>
              <w:rPr>
                <w:rFonts w:ascii="Times New Roman" w:hAnsi="Times New Roman" w:cs="Times New Roman" w:eastAsia="Times New Roman"/>
                <w:sz w:val="24"/>
              </w:rPr>
              <w:t xml:space="preserve">18 251</w:t>
            </w:r>
          </w:p>
        </w:tc>
        <w:tc>
          <w:tcPr/>
          <w:p>
            <w:pPr>
              <w:pStyle w:val="Compact"/>
              <w:spacing w:line="360" w:lineRule="auto"/>
              <w:jc w:val="right"/>
            </w:pPr>
            <w:r>
              <w:rPr>
                <w:rFonts w:ascii="Times New Roman" w:hAnsi="Times New Roman" w:cs="Times New Roman" w:eastAsia="Times New Roman"/>
                <w:sz w:val="24"/>
              </w:rPr>
              <w:t xml:space="preserve">55 842</w:t>
            </w:r>
          </w:p>
        </w:tc>
        <w:tc>
          <w:tcPr/>
          <w:p>
            <w:pPr>
              <w:pStyle w:val="Compact"/>
              <w:spacing w:line="360" w:lineRule="auto"/>
              <w:jc w:val="right"/>
            </w:pPr>
            <w:r>
              <w:rPr>
                <w:rFonts w:ascii="Times New Roman" w:hAnsi="Times New Roman" w:cs="Times New Roman" w:eastAsia="Times New Roman"/>
                <w:b/>
                <w:bCs/>
                <w:sz w:val="24"/>
              </w:rPr>
              <w:t xml:space="preserve">152,7</w:t>
            </w:r>
          </w:p>
        </w:tc>
        <w:tc>
          <w:tcPr/>
          <w:p>
            <w:pPr>
              <w:pStyle w:val="Compact"/>
              <w:spacing w:line="360" w:lineRule="auto"/>
              <w:jc w:val="right"/>
            </w:pPr>
            <w:r>
              <w:rPr>
                <w:rFonts w:ascii="Times New Roman" w:hAnsi="Times New Roman" w:cs="Times New Roman" w:eastAsia="Times New Roman"/>
                <w:sz w:val="24"/>
              </w:rPr>
              <w:t xml:space="preserve">75,1</w:t>
            </w:r>
          </w:p>
        </w:tc>
      </w:tr>
      <w:tr>
        <w:tc>
          <w:tcPr/>
          <w:p>
            <w:pPr>
              <w:pStyle w:val="Compact"/>
              <w:spacing w:line="360" w:lineRule="auto"/>
            </w:pPr>
            <w:r>
              <w:rPr>
                <w:rFonts w:ascii="Times New Roman" w:hAnsi="Times New Roman" w:cs="Times New Roman" w:eastAsia="Times New Roman"/>
                <w:sz w:val="24"/>
              </w:rPr>
              <w:t xml:space="preserve">Median</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baseline</w:t>
            </w:r>
          </w:p>
        </w:tc>
        <w:tc>
          <w:tcPr/>
          <w:p>
            <w:pPr>
              <w:pStyle w:val="Compact"/>
              <w:spacing w:line="360" w:lineRule="auto"/>
              <w:jc w:val="right"/>
            </w:pPr>
            <w:r>
              <w:rPr>
                <w:rFonts w:ascii="Times New Roman" w:hAnsi="Times New Roman" w:cs="Times New Roman" w:eastAsia="Times New Roman"/>
                <w:sz w:val="24"/>
              </w:rPr>
              <w:t xml:space="preserve">21 800</w:t>
            </w:r>
          </w:p>
        </w:tc>
        <w:tc>
          <w:tcPr/>
          <w:p>
            <w:pPr>
              <w:pStyle w:val="Compact"/>
              <w:spacing w:line="360" w:lineRule="auto"/>
              <w:jc w:val="right"/>
            </w:pPr>
            <w:r>
              <w:rPr>
                <w:rFonts w:ascii="Times New Roman" w:hAnsi="Times New Roman" w:cs="Times New Roman" w:eastAsia="Times New Roman"/>
                <w:sz w:val="24"/>
              </w:rPr>
              <w:t xml:space="preserve">60 128</w:t>
            </w:r>
          </w:p>
        </w:tc>
        <w:tc>
          <w:tcPr/>
          <w:p>
            <w:pPr>
              <w:pStyle w:val="Compact"/>
              <w:spacing w:line="360" w:lineRule="auto"/>
              <w:jc w:val="right"/>
            </w:pPr>
            <w:r>
              <w:rPr>
                <w:rFonts w:ascii="Times New Roman" w:hAnsi="Times New Roman" w:cs="Times New Roman" w:eastAsia="Times New Roman"/>
                <w:sz w:val="24"/>
              </w:rPr>
              <w:t xml:space="preserve">300,8</w:t>
            </w:r>
          </w:p>
        </w:tc>
        <w:tc>
          <w:tcPr/>
          <w:p>
            <w:pPr>
              <w:pStyle w:val="Compact"/>
              <w:spacing w:line="360" w:lineRule="auto"/>
              <w:jc w:val="right"/>
            </w:pPr>
            <w:r>
              <w:rPr>
                <w:rFonts w:ascii="Times New Roman" w:hAnsi="Times New Roman" w:cs="Times New Roman" w:eastAsia="Times New Roman"/>
                <w:sz w:val="24"/>
              </w:rPr>
              <w:t xml:space="preserve">89,8</w:t>
            </w:r>
          </w:p>
        </w:tc>
      </w:tr>
    </w:tbl>
    <w:p>
      <w:pPr>
        <w:pStyle w:val="BodyText"/>
        <w:spacing w:line="360" w:lineRule="auto"/>
      </w:pPr>
      <w:r>
        <w:rPr>
          <w:rFonts w:ascii="Times New Roman" w:hAnsi="Times New Roman" w:cs="Times New Roman" w:eastAsia="Times New Roman"/>
          <w:i/>
          <w:iCs/>
          <w:sz w:val="24"/>
        </w:rPr>
        <w:t xml:space="preserve">Kilde: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013 fase 3 - review/artifacts/metrics.csv</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(MAE/RMSE/MAPE) og</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metrics_with_wmape.csv</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(wMAPE = Σǀerrǀ/Σactual = MAE/mean(actual), basert på mean(actual) = 24 289 EUR på val=2024). Tallene er i EUR fordi de er beregnet direkte fra modellens log-transformerte output, som er trent på</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final_charge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 EUR (jf. § 1.3). wMAPE er valutauavhengig (forholds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tall) og påvirkes ikke av enhets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valget.</w:t>
      </w:r>
    </w:p>
    <w:p>
      <w:pPr>
        <w:pStyle w:val="BodyText"/>
        <w:spacing w:line="360" w:lineRule="auto"/>
      </w:pPr>
      <w:r>
        <w:rPr>
          <w:rFonts w:ascii="Times New Roman" w:hAnsi="Times New Roman" w:cs="Times New Roman" w:eastAsia="Times New Roman"/>
          <w:sz w:val="24"/>
        </w:rPr>
        <w:t xml:space="preserve">Ensemble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modellen reduserer MAE med</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20 %</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 forhold til median</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baseline og</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5 %</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 forhold til ridge. På valideringssettet er LightGBM (base) og ensemble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modellen praktisk talt like (33 EUR forskjell, eller 0,2 % MAE), og forskjellen er innenfor støy</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nivået på 490 transaksjoner. Ensemble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modellen velges likevel som produksjons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modell fordi den reduserer varians på tvers av kvantiler/folder og er mer robust mot at en av basis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modellene skulle drifte ved re-trening; at den også oppnår lavest MAPE (168,3 %) er et sekundært argument, siden MAE i EUR er den primære operasjonelle metrikken (jf. § 9.4).</w:t>
      </w:r>
    </w:p>
    <w:p>
      <w:pPr>
        <w:pStyle w:val="BodyText"/>
        <w:spacing w:line="360" w:lineRule="auto"/>
      </w:pPr>
      <w:r>
        <w:rPr>
          <w:rFonts w:ascii="Times New Roman" w:hAnsi="Times New Roman" w:cs="Times New Roman" w:eastAsia="Times New Roman"/>
          <w:sz w:val="24"/>
        </w:rPr>
        <w:t xml:space="preserve">Ridge-modellen har paradoksalt nok lavest MAPE (152,7 %) til tross for høyest MAE blant ML-modellene. Forklaringen er at MAPE vekter relative feil: Ridge underestimerer mindre på de mange små transaksjonene (der prosent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avviket dominerer), men bommer mer i absolutte beløp på de store transaksjonene som MAE fanger opp.</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wMAPE (volum</w:t>
      </w:r>
      <w:r>
        <w:rPr>
          <w:rFonts w:ascii="Times New Roman" w:hAnsi="Times New Roman" w:cs="Times New Roman" w:eastAsia="Times New Roman"/>
          <w:b/>
          <w:bCs/>
          <w:sz w:val="24"/>
        </w:rPr>
        <w:softHyphen/>
      </w:r>
      <w:r>
        <w:rPr>
          <w:rFonts w:ascii="Times New Roman" w:hAnsi="Times New Roman" w:cs="Times New Roman" w:eastAsia="Times New Roman"/>
          <w:b/>
          <w:bCs/>
          <w:sz w:val="24"/>
        </w:rPr>
        <w:t xml:space="preserve">vektet MAPE)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løser denne skjev</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heten ved å vekte feilen etter beløp i stedet for antall: målt på wMAPE er Ensemble best (71,4 %), Ridge dårligst blant ML-modellene (75,1 %), og median</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baseline 89,8 %. Differansen mellom MAPE (168,3 %) og wMAPE (71,4 %) for ensemble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modellen illustrerer hvor sterkt små transaksjoner blåser opp den uveide MAPE-en.</w:t>
      </w:r>
    </w:p>
    <w:p>
      <w:pPr>
        <w:pStyle w:val="BodyText"/>
        <w:spacing w:line="360" w:lineRule="auto"/>
      </w:pPr>
      <w:r>
        <w:rPr>
          <w:rFonts w:ascii="Times New Roman" w:hAnsi="Times New Roman" w:cs="Times New Roman" w:eastAsia="Times New Roman"/>
          <w:b/>
          <w:bCs/>
          <w:sz w:val="24"/>
        </w:rPr>
        <w:t xml:space="preserve">Statistisk signifikans.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Forskjellen mellom LightGBM (base) og Ensemble på MAE er 33 EUR (0,19 %) — for å vurdere om dette er reell forskjell eller støy, ble det beregnet et 95 % bootstrap</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konfidens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intervall for</w:t>
      </w:r>
      <w:r>
        <w:rPr>
          <w:rFonts w:ascii="Times New Roman" w:hAnsi="Times New Roman" w:cs="Times New Roman" w:eastAsia="Times New Roman"/>
          <w:sz w:val="24"/>
        </w:rPr>
        <w:t xml:space="preserve"> </w:t>
      </w:r>
      <m:oMath>
        <m:r>
          <m:rPr>
            <m:sty m:val="p"/>
          </m:rPr>
          <m:t>Δ</m:t>
        </m:r>
        <m:r>
          <m:rPr>
            <m:nor/>
            <m:sty m:val="p"/>
          </m:rPr>
          <m:t>MAE</m:t>
        </m:r>
        <m:r>
          <m:rPr>
            <m:sty m:val="p"/>
          </m:rPr>
          <m:t>=</m:t>
        </m:r>
        <m:sSub>
          <m:e>
            <m:r>
              <m:rPr>
                <m:nor/>
                <m:sty m:val="p"/>
              </m:rPr>
              <m:t>MAE</m:t>
            </m:r>
          </m:e>
          <m:sub>
            <m:r>
              <m:rPr>
                <m:nor/>
                <m:sty m:val="p"/>
              </m:rPr>
              <m:t>base</m:t>
            </m:r>
          </m:sub>
        </m:sSub>
        <m:r>
          <m:rPr>
            <m:sty m:val="p"/>
          </m:rPr>
          <m:t>−</m:t>
        </m:r>
        <m:sSub>
          <m:e>
            <m:r>
              <m:rPr>
                <m:nor/>
                <m:sty m:val="p"/>
              </m:rPr>
              <m:t>MAE</m:t>
            </m:r>
          </m:e>
          <m:sub>
            <m:r>
              <m:rPr>
                <m:nor/>
                <m:sty m:val="p"/>
              </m:rPr>
              <m:t>ens</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ved 1 000 bootstrap-utvalg av valideringssettet. Resultatet er</w:t>
      </w:r>
      <w:r>
        <w:rPr>
          <w:rFonts w:ascii="Times New Roman" w:hAnsi="Times New Roman" w:cs="Times New Roman" w:eastAsia="Times New Roman"/>
          <w:sz w:val="24"/>
        </w:rPr>
        <w:t xml:space="preserve"> </w:t>
      </w:r>
      <m:oMath>
        <m:r>
          <m:rPr>
            <m:sty m:val="p"/>
          </m:rPr>
          <m:t>Δ</m:t>
        </m:r>
        <m:r>
          <m:rPr>
            <m:nor/>
            <m:sty m:val="p"/>
          </m:rPr>
          <m:t>MAE</m:t>
        </m:r>
        <m:r>
          <m:rPr>
            <m:sty m:val="p"/>
          </m:rPr>
          <m:t>=</m:t>
        </m:r>
        <m:r>
          <m:rPr>
            <m:sty m:val="p"/>
          </m:rPr>
          <m:t>−</m:t>
        </m:r>
        <m:r>
          <m:t>33</m:t>
        </m:r>
        <m:r>
          <m:rPr>
            <m:sty m:val="p"/>
          </m:rPr>
          <m:t>±</m:t>
        </m:r>
        <m:r>
          <m:t>870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EUR (95 % KI:</w:t>
      </w:r>
      <w:r>
        <w:rPr>
          <w:rFonts w:ascii="Times New Roman" w:hAnsi="Times New Roman" w:cs="Times New Roman" w:eastAsia="Times New Roman"/>
          <w:sz w:val="24"/>
        </w:rPr>
        <w:t xml:space="preserve"> </w:t>
      </w:r>
      <m:oMath>
        <m:r>
          <m:rPr>
            <m:sty m:val="p"/>
          </m:rPr>
          <m:t>[</m:t>
        </m:r>
        <m:r>
          <m:rPr>
            <m:sty m:val="p"/>
          </m:rPr>
          <m:t>−</m:t>
        </m:r>
        <m:r>
          <m:t>1</m:t>
        </m:r>
        <m:r>
          <m:t> </m:t>
        </m:r>
        <m:r>
          <m:t>720</m:t>
        </m:r>
        <m:r>
          <m:rPr>
            <m:sty m:val="p"/>
          </m:rPr>
          <m:t>;</m:t>
        </m:r>
        <m:r>
          <m:t> </m:t>
        </m:r>
        <m:r>
          <m:t>1</m:t>
        </m:r>
        <m:r>
          <m:t> </m:t>
        </m:r>
        <m:r>
          <m:t>650</m:t>
        </m:r>
        <m:r>
          <m:rPr>
            <m:sty m:val="p"/>
          </m:rPr>
          <m:t>]</m:t>
        </m:r>
      </m:oMath>
      <w:r>
        <w:rPr>
          <w:rFonts w:ascii="Times New Roman" w:hAnsi="Times New Roman" w:cs="Times New Roman" w:eastAsia="Times New Roman"/>
          <w:sz w:val="24"/>
        </w:rPr>
        <w:t xml:space="preserve">), som omslutter null og dermed</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ikke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er statistisk signifikant. På samme måte er Ensemble vs. CatBoost ikke signifikant (Δ = 54 EUR; KI omslutter null). De tre gradient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boosting-modellene er dermed praktisk talt likeverdige på validerings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settet — i tråd med Shwartz-Ziv &amp; Armon (2022). Forskjellen mellom Ensemble og median</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baseline er derimot klart signifikant (</w:t>
      </w:r>
      <m:oMath>
        <m:r>
          <m:rPr>
            <m:sty m:val="p"/>
          </m:rPr>
          <m:t>Δ</m:t>
        </m:r>
        <m:r>
          <m:rPr>
            <m:sty m:val="p"/>
          </m:rPr>
          <m:t>=</m:t>
        </m:r>
        <m:r>
          <m:t>4</m:t>
        </m:r>
        <m:r>
          <m:t> </m:t>
        </m:r>
        <m:r>
          <m:t>450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EUR; KI:</w:t>
      </w:r>
      <w:r>
        <w:rPr>
          <w:rFonts w:ascii="Times New Roman" w:hAnsi="Times New Roman" w:cs="Times New Roman" w:eastAsia="Times New Roman"/>
          <w:sz w:val="24"/>
        </w:rPr>
        <w:t xml:space="preserve"> </w:t>
      </w:r>
      <m:oMath>
        <m:r>
          <m:rPr>
            <m:sty m:val="p"/>
          </m:rPr>
          <m:t>[</m:t>
        </m:r>
        <m:r>
          <m:t>3</m:t>
        </m:r>
        <m:r>
          <m:t> </m:t>
        </m:r>
        <m:r>
          <m:t>100</m:t>
        </m:r>
        <m:r>
          <m:rPr>
            <m:sty m:val="p"/>
          </m:rPr>
          <m:t>;</m:t>
        </m:r>
        <m:r>
          <m:t> </m:t>
        </m:r>
        <m:r>
          <m:t>5</m:t>
        </m:r>
        <m:r>
          <m:t> </m:t>
        </m:r>
        <m:r>
          <m:t>860</m:t>
        </m:r>
        <m:r>
          <m:rPr>
            <m:sty m:val="p"/>
          </m:rPr>
          <m:t>]</m:t>
        </m:r>
      </m:oMath>
      <w:r>
        <w:rPr>
          <w:rFonts w:ascii="Times New Roman" w:hAnsi="Times New Roman" w:cs="Times New Roman" w:eastAsia="Times New Roman"/>
          <w:sz w:val="24"/>
        </w:rPr>
        <w:t xml:space="preserve">). Konklusjonen er at modellvalget mellom de tre gradient-boosting-variantene må gjøres på sekundære kriterier (varians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robusthet, drift-toleranse) — ikke på MAE-tallene alene, som er innenfor støy</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båndet.</w:t>
      </w:r>
    </w:p>
    <w:bookmarkEnd w:id="75"/>
    <w:bookmarkStart w:id="76" w:name="endelig-evaluering-på-testsettet-2025"/>
    <w:p>
      <w:pPr>
        <w:pStyle w:val="Heading3"/>
        <w:spacing w:line="360" w:lineRule="auto"/>
      </w:pPr>
      <w:r>
        <w:rPr>
          <w:rFonts w:ascii="Times New Roman" w:hAnsi="Times New Roman" w:cs="Times New Roman" w:eastAsia="Times New Roman"/>
          <w:sz w:val="24"/>
        </w:rPr>
        <w:t xml:space="preserve">8.1.1 Endelig evaluering på testsettet (2025)</w:t>
      </w:r>
    </w:p>
    <w:p>
      <w:pPr>
        <w:pStyle w:val="FirstParagraph"/>
        <w:spacing w:line="360" w:lineRule="auto"/>
      </w:pPr>
      <w:r>
        <w:rPr>
          <w:rFonts w:ascii="Times New Roman" w:hAnsi="Times New Roman" w:cs="Times New Roman" w:eastAsia="Times New Roman"/>
          <w:sz w:val="24"/>
        </w:rPr>
        <w:t xml:space="preserve">For å gi et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uavhengig generaliserings</w:t>
      </w:r>
      <w:r>
        <w:rPr>
          <w:rFonts w:ascii="Times New Roman" w:hAnsi="Times New Roman" w:cs="Times New Roman" w:eastAsia="Times New Roman"/>
          <w:b/>
          <w:bCs/>
          <w:sz w:val="24"/>
        </w:rPr>
        <w:softHyphen/>
      </w:r>
      <w:r>
        <w:rPr>
          <w:rFonts w:ascii="Times New Roman" w:hAnsi="Times New Roman" w:cs="Times New Roman" w:eastAsia="Times New Roman"/>
          <w:b/>
          <w:bCs/>
          <w:sz w:val="24"/>
        </w:rPr>
        <w:t xml:space="preserve">anslag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ble testsettet (2025, 670 transaksjoner før feature-engineering, 649 etter) evaluert etter at modell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seleksjonen var konkludert. Pipeline (gjengitt i skriptet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013 fase 3 - review/eval_test_2025.py</w:t>
      </w:r>
      <w:r>
        <w:rPr>
          <w:rFonts w:ascii="Times New Roman" w:hAnsi="Times New Roman" w:cs="Times New Roman" w:eastAsia="Times New Roman"/>
          <w:sz w:val="24"/>
        </w:rPr>
        <w:t xml:space="preserve">): de samme model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klassene som i § 8.1, trent på trenings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settet (≤ 2023) med early stopping på val=2024 for å replisere prefit-modellen som modell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seleksjonen ble gjort på, deretter evaluert på det helt urørte testsettet (2025). Aggregat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features (</w:t>
      </w:r>
      <w:r>
        <w:rPr>
          <w:rStyle w:val="VerbatimChar"/>
          <w:rFonts w:ascii="Times New Roman" w:hAnsi="Times New Roman" w:cs="Times New Roman" w:eastAsia="Times New Roman"/>
          <w:sz w:val="24"/>
        </w:rPr>
        <w:t xml:space="preserve">size_svc_*</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port_*</w:t>
      </w:r>
      <w:r>
        <w:rPr>
          <w:rFonts w:ascii="Times New Roman" w:hAnsi="Times New Roman" w:cs="Times New Roman" w:eastAsia="Times New Roman"/>
          <w:sz w:val="24"/>
        </w:rPr>
        <w:t xml:space="preserve">) er som tidligere beregnet kun på ≤ 2023 for å unngå target leakage. Resultater er lagret i</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artifacts/metrics_test_2025.csv</w:t>
      </w:r>
      <w:r>
        <w:rPr>
          <w:rFonts w:ascii="Times New Roman" w:hAnsi="Times New Roman" w:cs="Times New Roman" w:eastAsia="Times New Roman"/>
          <w:sz w:val="24"/>
        </w:rPr>
        <w:t xml:space="preserve">.</w:t>
      </w:r>
    </w:p>
    <w:p>
      <w:pPr>
        <w:pStyle w:val="BodyText"/>
        <w:spacing w:line="360" w:lineRule="auto"/>
      </w:pPr>
      <w:r>
        <w:rPr>
          <w:rFonts w:ascii="Times New Roman" w:hAnsi="Times New Roman" w:cs="Times New Roman" w:eastAsia="Times New Roman"/>
          <w:b/>
          <w:bCs/>
          <w:sz w:val="24"/>
        </w:rPr>
        <w:t xml:space="preserve">Tabell 8.2.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Endelige test-sett-metrikker (2025, n = 649 transaksjoner; mean(actual) = 25 632 EUR), sortert etter MAE. Sammenlignet med tilsvarende valideringsmetrikker fra tabell 8.1.</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spacing w:line="360" w:lineRule="auto"/>
            </w:pPr>
            <w:r>
              <w:rPr>
                <w:rFonts w:ascii="Times New Roman" w:hAnsi="Times New Roman" w:cs="Times New Roman" w:eastAsia="Times New Roman"/>
                <w:sz w:val="24"/>
              </w:rPr>
              <w:t xml:space="preserve">Modell</w:t>
            </w:r>
          </w:p>
        </w:tc>
        <w:tc>
          <w:tcPr/>
          <w:p>
            <w:pPr>
              <w:pStyle w:val="Compact"/>
              <w:spacing w:line="360" w:lineRule="auto"/>
              <w:jc w:val="right"/>
            </w:pPr>
            <w:r>
              <w:rPr>
                <w:rFonts w:ascii="Times New Roman" w:hAnsi="Times New Roman" w:cs="Times New Roman" w:eastAsia="Times New Roman"/>
                <w:sz w:val="24"/>
              </w:rPr>
              <w:t xml:space="preserve">MAE (test, EUR)</w:t>
            </w:r>
          </w:p>
        </w:tc>
        <w:tc>
          <w:tcPr/>
          <w:p>
            <w:pPr>
              <w:pStyle w:val="Compact"/>
              <w:spacing w:line="360" w:lineRule="auto"/>
              <w:jc w:val="right"/>
            </w:pPr>
            <w:r>
              <w:rPr>
                <w:rFonts w:ascii="Times New Roman" w:hAnsi="Times New Roman" w:cs="Times New Roman" w:eastAsia="Times New Roman"/>
                <w:sz w:val="24"/>
              </w:rPr>
              <w:t xml:space="preserve">RMSE (test, EUR)</w:t>
            </w:r>
          </w:p>
        </w:tc>
        <w:tc>
          <w:tcPr/>
          <w:p>
            <w:pPr>
              <w:pStyle w:val="Compact"/>
              <w:spacing w:line="360" w:lineRule="auto"/>
              <w:jc w:val="right"/>
            </w:pPr>
            <w:r>
              <w:rPr>
                <w:rFonts w:ascii="Times New Roman" w:hAnsi="Times New Roman" w:cs="Times New Roman" w:eastAsia="Times New Roman"/>
                <w:sz w:val="24"/>
              </w:rPr>
              <w:t xml:space="preserve">wMAPE (test, %)</w:t>
            </w:r>
          </w:p>
        </w:tc>
        <w:tc>
          <w:tcPr/>
          <w:p>
            <w:pPr>
              <w:pStyle w:val="Compact"/>
              <w:spacing w:line="360" w:lineRule="auto"/>
              <w:jc w:val="right"/>
            </w:pPr>
            <w:r>
              <w:rPr>
                <w:rFonts w:ascii="Times New Roman" w:hAnsi="Times New Roman" w:cs="Times New Roman" w:eastAsia="Times New Roman"/>
                <w:sz w:val="24"/>
              </w:rPr>
              <w:t xml:space="preserve">Δ MAE (val→test)</w:t>
            </w:r>
          </w:p>
        </w:tc>
      </w:tr>
      <w:tr>
        <w:tc>
          <w:tcPr/>
          <w:p>
            <w:pPr>
              <w:pStyle w:val="Compact"/>
              <w:spacing w:line="360" w:lineRule="auto"/>
            </w:pPr>
            <w:r>
              <w:rPr>
                <w:rFonts w:ascii="Times New Roman" w:hAnsi="Times New Roman" w:cs="Times New Roman" w:eastAsia="Times New Roman"/>
                <w:b/>
                <w:bCs/>
                <w:sz w:val="24"/>
              </w:rPr>
              <w:t xml:space="preserve">LightGBM (base)</w:t>
            </w:r>
          </w:p>
        </w:tc>
        <w:tc>
          <w:tcPr/>
          <w:p>
            <w:pPr>
              <w:pStyle w:val="Compact"/>
              <w:spacing w:line="360" w:lineRule="auto"/>
              <w:jc w:val="right"/>
            </w:pPr>
            <w:r>
              <w:rPr>
                <w:rFonts w:ascii="Times New Roman" w:hAnsi="Times New Roman" w:cs="Times New Roman" w:eastAsia="Times New Roman"/>
                <w:b/>
                <w:bCs/>
                <w:sz w:val="24"/>
              </w:rPr>
              <w:t xml:space="preserve">18 765</w:t>
            </w:r>
          </w:p>
        </w:tc>
        <w:tc>
          <w:tcPr/>
          <w:p>
            <w:pPr>
              <w:pStyle w:val="Compact"/>
              <w:spacing w:line="360" w:lineRule="auto"/>
              <w:jc w:val="right"/>
            </w:pPr>
            <w:r>
              <w:rPr>
                <w:rFonts w:ascii="Times New Roman" w:hAnsi="Times New Roman" w:cs="Times New Roman" w:eastAsia="Times New Roman"/>
                <w:sz w:val="24"/>
              </w:rPr>
              <w:t xml:space="preserve">60 382</w:t>
            </w:r>
          </w:p>
        </w:tc>
        <w:tc>
          <w:tcPr/>
          <w:p>
            <w:pPr>
              <w:pStyle w:val="Compact"/>
              <w:spacing w:line="360" w:lineRule="auto"/>
              <w:jc w:val="right"/>
            </w:pPr>
            <w:r>
              <w:rPr>
                <w:rFonts w:ascii="Times New Roman" w:hAnsi="Times New Roman" w:cs="Times New Roman" w:eastAsia="Times New Roman"/>
                <w:b/>
                <w:bCs/>
                <w:sz w:val="24"/>
              </w:rPr>
              <w:t xml:space="preserve">73,2</w:t>
            </w:r>
          </w:p>
        </w:tc>
        <w:tc>
          <w:tcPr/>
          <w:p>
            <w:pPr>
              <w:pStyle w:val="Compact"/>
              <w:spacing w:line="360" w:lineRule="auto"/>
              <w:jc w:val="right"/>
            </w:pPr>
            <w:r>
              <w:rPr>
                <w:rFonts w:ascii="Times New Roman" w:hAnsi="Times New Roman" w:cs="Times New Roman" w:eastAsia="Times New Roman"/>
                <w:sz w:val="24"/>
              </w:rPr>
              <w:t xml:space="preserve">+1 448 (+8 %)</w:t>
            </w:r>
          </w:p>
        </w:tc>
      </w:tr>
      <w:tr>
        <w:tc>
          <w:tcPr/>
          <w:p>
            <w:pPr>
              <w:pStyle w:val="Compact"/>
              <w:spacing w:line="360" w:lineRule="auto"/>
            </w:pPr>
            <w:r>
              <w:rPr>
                <w:rFonts w:ascii="Times New Roman" w:hAnsi="Times New Roman" w:cs="Times New Roman" w:eastAsia="Times New Roman"/>
                <w:sz w:val="24"/>
              </w:rPr>
              <w:t xml:space="preserve">Ensemble (LGB + CB)</w:t>
            </w:r>
          </w:p>
        </w:tc>
        <w:tc>
          <w:tcPr/>
          <w:p>
            <w:pPr>
              <w:pStyle w:val="Compact"/>
              <w:spacing w:line="360" w:lineRule="auto"/>
              <w:jc w:val="right"/>
            </w:pPr>
            <w:r>
              <w:rPr>
                <w:rFonts w:ascii="Times New Roman" w:hAnsi="Times New Roman" w:cs="Times New Roman" w:eastAsia="Times New Roman"/>
                <w:sz w:val="24"/>
              </w:rPr>
              <w:t xml:space="preserve">19 051</w:t>
            </w:r>
          </w:p>
        </w:tc>
        <w:tc>
          <w:tcPr/>
          <w:p>
            <w:pPr>
              <w:pStyle w:val="Compact"/>
              <w:spacing w:line="360" w:lineRule="auto"/>
              <w:jc w:val="right"/>
            </w:pPr>
            <w:r>
              <w:rPr>
                <w:rFonts w:ascii="Times New Roman" w:hAnsi="Times New Roman" w:cs="Times New Roman" w:eastAsia="Times New Roman"/>
                <w:b/>
                <w:bCs/>
                <w:sz w:val="24"/>
              </w:rPr>
              <w:t xml:space="preserve">61 032</w:t>
            </w:r>
          </w:p>
        </w:tc>
        <w:tc>
          <w:tcPr/>
          <w:p>
            <w:pPr>
              <w:pStyle w:val="Compact"/>
              <w:spacing w:line="360" w:lineRule="auto"/>
              <w:jc w:val="right"/>
            </w:pPr>
            <w:r>
              <w:rPr>
                <w:rFonts w:ascii="Times New Roman" w:hAnsi="Times New Roman" w:cs="Times New Roman" w:eastAsia="Times New Roman"/>
                <w:sz w:val="24"/>
              </w:rPr>
              <w:t xml:space="preserve">74,3</w:t>
            </w:r>
          </w:p>
        </w:tc>
        <w:tc>
          <w:tcPr/>
          <w:p>
            <w:pPr>
              <w:pStyle w:val="Compact"/>
              <w:spacing w:line="360" w:lineRule="auto"/>
              <w:jc w:val="right"/>
            </w:pPr>
            <w:r>
              <w:rPr>
                <w:rFonts w:ascii="Times New Roman" w:hAnsi="Times New Roman" w:cs="Times New Roman" w:eastAsia="Times New Roman"/>
                <w:sz w:val="24"/>
              </w:rPr>
              <w:t xml:space="preserve">+1 701 (+10 %)</w:t>
            </w:r>
          </w:p>
        </w:tc>
      </w:tr>
      <w:tr>
        <w:tc>
          <w:tcPr/>
          <w:p>
            <w:pPr>
              <w:pStyle w:val="Compact"/>
              <w:spacing w:line="360" w:lineRule="auto"/>
            </w:pPr>
            <w:r>
              <w:rPr>
                <w:rFonts w:ascii="Times New Roman" w:hAnsi="Times New Roman" w:cs="Times New Roman" w:eastAsia="Times New Roman"/>
                <w:sz w:val="24"/>
              </w:rPr>
              <w:t xml:space="preserve">CatBoost</w:t>
            </w:r>
          </w:p>
        </w:tc>
        <w:tc>
          <w:tcPr/>
          <w:p>
            <w:pPr>
              <w:pStyle w:val="Compact"/>
              <w:spacing w:line="360" w:lineRule="auto"/>
              <w:jc w:val="right"/>
            </w:pPr>
            <w:r>
              <w:rPr>
                <w:rFonts w:ascii="Times New Roman" w:hAnsi="Times New Roman" w:cs="Times New Roman" w:eastAsia="Times New Roman"/>
                <w:sz w:val="24"/>
              </w:rPr>
              <w:t xml:space="preserve">19 065</w:t>
            </w:r>
          </w:p>
        </w:tc>
        <w:tc>
          <w:tcPr/>
          <w:p>
            <w:pPr>
              <w:pStyle w:val="Compact"/>
              <w:spacing w:line="360" w:lineRule="auto"/>
              <w:jc w:val="right"/>
            </w:pPr>
            <w:r>
              <w:rPr>
                <w:rFonts w:ascii="Times New Roman" w:hAnsi="Times New Roman" w:cs="Times New Roman" w:eastAsia="Times New Roman"/>
                <w:sz w:val="24"/>
              </w:rPr>
              <w:t xml:space="preserve">60 888</w:t>
            </w:r>
          </w:p>
        </w:tc>
        <w:tc>
          <w:tcPr/>
          <w:p>
            <w:pPr>
              <w:pStyle w:val="Compact"/>
              <w:spacing w:line="360" w:lineRule="auto"/>
              <w:jc w:val="right"/>
            </w:pPr>
            <w:r>
              <w:rPr>
                <w:rFonts w:ascii="Times New Roman" w:hAnsi="Times New Roman" w:cs="Times New Roman" w:eastAsia="Times New Roman"/>
                <w:sz w:val="24"/>
              </w:rPr>
              <w:t xml:space="preserve">74,4</w:t>
            </w:r>
          </w:p>
        </w:tc>
        <w:tc>
          <w:tcPr/>
          <w:p>
            <w:pPr>
              <w:pStyle w:val="Compact"/>
              <w:spacing w:line="360" w:lineRule="auto"/>
              <w:jc w:val="right"/>
            </w:pPr>
            <w:r>
              <w:rPr>
                <w:rFonts w:ascii="Times New Roman" w:hAnsi="Times New Roman" w:cs="Times New Roman" w:eastAsia="Times New Roman"/>
                <w:sz w:val="24"/>
              </w:rPr>
              <w:t xml:space="preserve">+1 661 (+10 %)</w:t>
            </w:r>
          </w:p>
        </w:tc>
      </w:tr>
      <w:tr>
        <w:tc>
          <w:tcPr/>
          <w:p>
            <w:pPr>
              <w:pStyle w:val="Compact"/>
              <w:spacing w:line="360" w:lineRule="auto"/>
            </w:pPr>
            <w:r>
              <w:rPr>
                <w:rFonts w:ascii="Times New Roman" w:hAnsi="Times New Roman" w:cs="Times New Roman" w:eastAsia="Times New Roman"/>
                <w:sz w:val="24"/>
              </w:rPr>
              <w:t xml:space="preserve">LightGBM (tunet)</w:t>
            </w:r>
          </w:p>
        </w:tc>
        <w:tc>
          <w:tcPr/>
          <w:p>
            <w:pPr>
              <w:pStyle w:val="Compact"/>
              <w:spacing w:line="360" w:lineRule="auto"/>
              <w:jc w:val="right"/>
            </w:pPr>
            <w:r>
              <w:rPr>
                <w:rFonts w:ascii="Times New Roman" w:hAnsi="Times New Roman" w:cs="Times New Roman" w:eastAsia="Times New Roman"/>
                <w:sz w:val="24"/>
              </w:rPr>
              <w:t xml:space="preserve">19 331</w:t>
            </w:r>
          </w:p>
        </w:tc>
        <w:tc>
          <w:tcPr/>
          <w:p>
            <w:pPr>
              <w:pStyle w:val="Compact"/>
              <w:spacing w:line="360" w:lineRule="auto"/>
              <w:jc w:val="right"/>
            </w:pPr>
            <w:r>
              <w:rPr>
                <w:rFonts w:ascii="Times New Roman" w:hAnsi="Times New Roman" w:cs="Times New Roman" w:eastAsia="Times New Roman"/>
                <w:sz w:val="24"/>
              </w:rPr>
              <w:t xml:space="preserve">61 324</w:t>
            </w:r>
          </w:p>
        </w:tc>
        <w:tc>
          <w:tcPr/>
          <w:p>
            <w:pPr>
              <w:pStyle w:val="Compact"/>
              <w:spacing w:line="360" w:lineRule="auto"/>
              <w:jc w:val="right"/>
            </w:pPr>
            <w:r>
              <w:rPr>
                <w:rFonts w:ascii="Times New Roman" w:hAnsi="Times New Roman" w:cs="Times New Roman" w:eastAsia="Times New Roman"/>
                <w:sz w:val="24"/>
              </w:rPr>
              <w:t xml:space="preserve">75,4</w:t>
            </w:r>
          </w:p>
        </w:tc>
        <w:tc>
          <w:tcPr/>
          <w:p>
            <w:pPr>
              <w:pStyle w:val="Compact"/>
              <w:spacing w:line="360" w:lineRule="auto"/>
              <w:jc w:val="right"/>
            </w:pPr>
            <w:r>
              <w:rPr>
                <w:rFonts w:ascii="Times New Roman" w:hAnsi="Times New Roman" w:cs="Times New Roman" w:eastAsia="Times New Roman"/>
                <w:sz w:val="24"/>
              </w:rPr>
              <w:t xml:space="preserve">+1 494 (+8 %)</w:t>
            </w:r>
          </w:p>
        </w:tc>
      </w:tr>
      <w:tr>
        <w:tc>
          <w:tcPr/>
          <w:p>
            <w:pPr>
              <w:pStyle w:val="Compact"/>
              <w:spacing w:line="360" w:lineRule="auto"/>
            </w:pPr>
            <w:r>
              <w:rPr>
                <w:rFonts w:ascii="Times New Roman" w:hAnsi="Times New Roman" w:cs="Times New Roman" w:eastAsia="Times New Roman"/>
                <w:sz w:val="24"/>
              </w:rPr>
              <w:t xml:space="preserve">Median</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baseline</w:t>
            </w:r>
          </w:p>
        </w:tc>
        <w:tc>
          <w:tcPr/>
          <w:p>
            <w:pPr>
              <w:pStyle w:val="Compact"/>
              <w:spacing w:line="360" w:lineRule="auto"/>
              <w:jc w:val="right"/>
            </w:pPr>
            <w:r>
              <w:rPr>
                <w:rFonts w:ascii="Times New Roman" w:hAnsi="Times New Roman" w:cs="Times New Roman" w:eastAsia="Times New Roman"/>
                <w:sz w:val="24"/>
              </w:rPr>
              <w:t xml:space="preserve">23 157</w:t>
            </w:r>
          </w:p>
        </w:tc>
        <w:tc>
          <w:tcPr/>
          <w:p>
            <w:pPr>
              <w:pStyle w:val="Compact"/>
              <w:spacing w:line="360" w:lineRule="auto"/>
              <w:jc w:val="right"/>
            </w:pPr>
            <w:r>
              <w:rPr>
                <w:rFonts w:ascii="Times New Roman" w:hAnsi="Times New Roman" w:cs="Times New Roman" w:eastAsia="Times New Roman"/>
                <w:sz w:val="24"/>
              </w:rPr>
              <w:t xml:space="preserve">65 706</w:t>
            </w:r>
          </w:p>
        </w:tc>
        <w:tc>
          <w:tcPr/>
          <w:p>
            <w:pPr>
              <w:pStyle w:val="Compact"/>
              <w:spacing w:line="360" w:lineRule="auto"/>
              <w:jc w:val="right"/>
            </w:pPr>
            <w:r>
              <w:rPr>
                <w:rFonts w:ascii="Times New Roman" w:hAnsi="Times New Roman" w:cs="Times New Roman" w:eastAsia="Times New Roman"/>
                <w:sz w:val="24"/>
              </w:rPr>
              <w:t xml:space="preserve">90,3</w:t>
            </w:r>
          </w:p>
        </w:tc>
        <w:tc>
          <w:tcPr/>
          <w:p>
            <w:pPr>
              <w:pStyle w:val="Compact"/>
              <w:spacing w:line="360" w:lineRule="auto"/>
              <w:jc w:val="right"/>
            </w:pPr>
            <w:r>
              <w:rPr>
                <w:rFonts w:ascii="Times New Roman" w:hAnsi="Times New Roman" w:cs="Times New Roman" w:eastAsia="Times New Roman"/>
                <w:sz w:val="24"/>
              </w:rPr>
              <w:t xml:space="preserve">+1 357 (+6 %)</w:t>
            </w:r>
          </w:p>
        </w:tc>
      </w:tr>
      <w:tr>
        <w:tc>
          <w:tcPr/>
          <w:p>
            <w:pPr>
              <w:pStyle w:val="Compact"/>
              <w:spacing w:line="360" w:lineRule="auto"/>
            </w:pPr>
            <w:r>
              <w:rPr>
                <w:rFonts w:ascii="Times New Roman" w:hAnsi="Times New Roman" w:cs="Times New Roman" w:eastAsia="Times New Roman"/>
                <w:sz w:val="24"/>
              </w:rPr>
              <w:t xml:space="preserve">Ridge</w:t>
            </w:r>
          </w:p>
        </w:tc>
        <w:tc>
          <w:tcPr/>
          <w:p>
            <w:pPr>
              <w:pStyle w:val="Compact"/>
              <w:spacing w:line="360" w:lineRule="auto"/>
              <w:jc w:val="right"/>
            </w:pPr>
            <w:r>
              <w:rPr>
                <w:rFonts w:ascii="Times New Roman" w:hAnsi="Times New Roman" w:cs="Times New Roman" w:eastAsia="Times New Roman"/>
                <w:sz w:val="24"/>
              </w:rPr>
              <w:t xml:space="preserve">43 120</w:t>
            </w:r>
          </w:p>
        </w:tc>
        <w:tc>
          <w:tcPr/>
          <w:p>
            <w:pPr>
              <w:pStyle w:val="Compact"/>
              <w:spacing w:line="360" w:lineRule="auto"/>
              <w:jc w:val="right"/>
            </w:pPr>
            <w:r>
              <w:rPr>
                <w:rFonts w:ascii="Times New Roman" w:hAnsi="Times New Roman" w:cs="Times New Roman" w:eastAsia="Times New Roman"/>
                <w:sz w:val="24"/>
              </w:rPr>
              <w:t xml:space="preserve">369 462</w:t>
            </w:r>
          </w:p>
        </w:tc>
        <w:tc>
          <w:tcPr/>
          <w:p>
            <w:pPr>
              <w:pStyle w:val="Compact"/>
              <w:spacing w:line="360" w:lineRule="auto"/>
              <w:jc w:val="right"/>
            </w:pPr>
            <w:r>
              <w:rPr>
                <w:rFonts w:ascii="Times New Roman" w:hAnsi="Times New Roman" w:cs="Times New Roman" w:eastAsia="Times New Roman"/>
                <w:sz w:val="24"/>
              </w:rPr>
              <w:t xml:space="preserve">168,2</w:t>
            </w:r>
          </w:p>
        </w:tc>
        <w:tc>
          <w:tcPr/>
          <w:p>
            <w:pPr>
              <w:pStyle w:val="Compact"/>
              <w:spacing w:line="360" w:lineRule="auto"/>
              <w:jc w:val="right"/>
            </w:pPr>
            <w:r>
              <w:rPr>
                <w:rFonts w:ascii="Times New Roman" w:hAnsi="Times New Roman" w:cs="Times New Roman" w:eastAsia="Times New Roman"/>
                <w:sz w:val="24"/>
              </w:rPr>
              <w:t xml:space="preserve">+24 869 (+136 %)</w:t>
            </w:r>
          </w:p>
        </w:tc>
      </w:tr>
    </w:tbl>
    <w:p>
      <w:pPr>
        <w:pStyle w:val="BodyText"/>
        <w:spacing w:line="360" w:lineRule="auto"/>
      </w:pPr>
      <w:r>
        <w:rPr>
          <w:rFonts w:ascii="Times New Roman" w:hAnsi="Times New Roman" w:cs="Times New Roman" w:eastAsia="Times New Roman"/>
          <w:i/>
          <w:iCs/>
          <w:sz w:val="24"/>
        </w:rPr>
        <w:t xml:space="preserve">Kilde: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013 fase 3 - review/artifacts/metrics_test_2025.csv</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(generert ved</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eval_test_2025.py</w:t>
      </w:r>
      <w:r>
        <w:rPr>
          <w:rFonts w:ascii="Times New Roman" w:hAnsi="Times New Roman" w:cs="Times New Roman" w:eastAsia="Times New Roman"/>
          <w:sz w:val="24"/>
        </w:rPr>
        <w:t xml:space="preserve">, kjørt 2026-05-12).</w:t>
      </w:r>
    </w:p>
    <w:p>
      <w:pPr>
        <w:pStyle w:val="BodyText"/>
        <w:spacing w:line="360" w:lineRule="auto"/>
      </w:pPr>
      <w:r>
        <w:rPr>
          <w:rFonts w:ascii="Times New Roman" w:hAnsi="Times New Roman" w:cs="Times New Roman" w:eastAsia="Times New Roman"/>
          <w:sz w:val="24"/>
        </w:rPr>
        <w:t xml:space="preserve">Tre observasjoner er sentrale:</w:t>
      </w:r>
    </w:p>
    <w:p>
      <w:pPr>
        <w:pStyle w:val="Compact"/>
        <w:numPr>
          <w:ilvl w:val="0"/>
          <w:numId w:val="1014"/>
        </w:numPr>
        <w:spacing w:line="360" w:lineRule="auto"/>
      </w:pPr>
      <w:r>
        <w:rPr>
          <w:rFonts w:ascii="Times New Roman" w:hAnsi="Times New Roman" w:cs="Times New Roman" w:eastAsia="Times New Roman"/>
          <w:b/>
          <w:bCs/>
          <w:sz w:val="24"/>
        </w:rPr>
        <w:t xml:space="preserve">Generaliseringen holder.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Ensemble-modellen oppnår MAE = 19 051 EUR på testsettet, ≈ 10 % høyere enn val-MAE (17 350). Dette er forventet etter modell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seleksjon: når hyperparametre og ensemble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vekt er valgt for å minimere val-MAE, vil et uavhengig testsett vise noe høyere feil. Veksten er moderat og innenfor det som er rapportert for tilsvarende studier (Jang et al., 2023, rapporterer 8–12 % degradering val→test).</w:t>
      </w:r>
    </w:p>
    <w:p>
      <w:pPr>
        <w:pStyle w:val="Compact"/>
        <w:numPr>
          <w:ilvl w:val="0"/>
          <w:numId w:val="1014"/>
        </w:numPr>
        <w:spacing w:line="360" w:lineRule="auto"/>
      </w:pPr>
      <w:r>
        <w:rPr>
          <w:rFonts w:ascii="Times New Roman" w:hAnsi="Times New Roman" w:cs="Times New Roman" w:eastAsia="Times New Roman"/>
          <w:b/>
          <w:bCs/>
          <w:sz w:val="24"/>
        </w:rPr>
        <w:t xml:space="preserve">Ridge eksploderer på test.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Ridge-RMSE på test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settet er 369 462 EUR — over 6× høyere enn på val. Dette skyldes en håndfull ekstreme 2025-transaksjoner som er utenfor rangen Ridge ble trent på (de største faktura</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beløpene i 2025 er ≈ 30 % høyere enn maks i ≤ 2023). Lineær ekstrapolasjon utenfor trenings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rangen feiler systematisk, og dette er et empirisk argument for valg av tre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ensemble framfor lineære alternativer i et regime med drift mot større fakturaer over tid.</w:t>
      </w:r>
    </w:p>
    <w:p>
      <w:pPr>
        <w:pStyle w:val="Compact"/>
        <w:numPr>
          <w:ilvl w:val="0"/>
          <w:numId w:val="1014"/>
        </w:numPr>
        <w:spacing w:line="360" w:lineRule="auto"/>
      </w:pPr>
      <w:r>
        <w:rPr>
          <w:rFonts w:ascii="Times New Roman" w:hAnsi="Times New Roman" w:cs="Times New Roman" w:eastAsia="Times New Roman"/>
          <w:b/>
          <w:bCs/>
          <w:sz w:val="24"/>
        </w:rPr>
        <w:t xml:space="preserve">Ranking mellom gradient-boosting-modeller endres.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På testsettet er LightGBM (base) marginalt best (MAE = 18 765, wMAPE = 73,2), tett etterfulgt av Ensemble og CatBoost (innenfor 0,3 pp wMAPE). Som i § 8.1 er disse forskjellene innenfor bootstrap-støy. Vi beholder Ensemble som produksjons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modell på grunn av varians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reduksjonen drøftet i § 6.3, ikke fordi den vinner på rå test-MAE.</w:t>
      </w:r>
    </w:p>
    <w:p>
      <w:pPr>
        <w:pStyle w:val="FirstParagraph"/>
        <w:spacing w:line="360" w:lineRule="auto"/>
      </w:pPr>
      <w:r>
        <w:rPr>
          <w:rFonts w:ascii="Times New Roman" w:hAnsi="Times New Roman" w:cs="Times New Roman" w:eastAsia="Times New Roman"/>
          <w:b/>
          <w:bCs/>
          <w:sz w:val="24"/>
        </w:rPr>
        <w:t xml:space="preserve">Forholdet mellom prefit- og produksjons</w:t>
      </w:r>
      <w:r>
        <w:rPr>
          <w:rFonts w:ascii="Times New Roman" w:hAnsi="Times New Roman" w:cs="Times New Roman" w:eastAsia="Times New Roman"/>
          <w:b/>
          <w:bCs/>
          <w:sz w:val="24"/>
        </w:rPr>
        <w:softHyphen/>
      </w:r>
      <w:r>
        <w:rPr>
          <w:rFonts w:ascii="Times New Roman" w:hAnsi="Times New Roman" w:cs="Times New Roman" w:eastAsia="Times New Roman"/>
          <w:b/>
          <w:bCs/>
          <w:sz w:val="24"/>
        </w:rPr>
        <w:t xml:space="preserve">modellen.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Tabellene over gjelder</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prefit-modellen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(trent på trenings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settet ≤ 2023). Produksjons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modellen i</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model_meta_final.joblib</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er refittet på hele 2020–2025 (1 626 rader) — inkludert testsettet — fordi deployen skjer</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etter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modell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seleksjon og uavhengig testevaluering er konkludert, og maksimering av trenings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data på deploy</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tidspunktet gir lavest forventet generaliserings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feil for fremtidige (2026+) prediksjoner (Hastie, Tibshirani &amp; Friedman, 2009, § 7.10). Refit-modellen har dermed ingen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uavhengig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holdout-måling før neste tidsvindu genererer nok data. Test-sett-tallene i tabell 8.2 gjelder altså den underliggende model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klassen og dens generaliserings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evne —</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ikke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den deployede modellen som i tillegg har 670 ekstra trenings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rader. Dette samsvarer med peer-reviewens påpekning av at</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“valideringssettet brukes til modellseleksjon, mens testsettet er reservert for endelig validering”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(G10/Julie, 2026-05-07).</w:t>
      </w:r>
    </w:p>
    <w:bookmarkEnd w:id="76"/>
    <w:bookmarkStart w:id="77" w:name="kvantildekning"/>
    <w:p>
      <w:pPr>
        <w:pStyle w:val="Heading3"/>
        <w:spacing w:line="360" w:lineRule="auto"/>
      </w:pPr>
      <w:r>
        <w:rPr>
          <w:rFonts w:ascii="Times New Roman" w:hAnsi="Times New Roman" w:cs="Times New Roman" w:eastAsia="Times New Roman"/>
          <w:sz w:val="24"/>
        </w:rPr>
        <w:t xml:space="preserve">8.2 Kvantil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dekning</w:t>
      </w:r>
    </w:p>
    <w:p>
      <w:pPr>
        <w:pStyle w:val="FirstParagraph"/>
        <w:spacing w:line="360" w:lineRule="auto"/>
      </w:pPr>
      <w:r>
        <w:rPr>
          <w:rFonts w:ascii="Times New Roman" w:hAnsi="Times New Roman" w:cs="Times New Roman" w:eastAsia="Times New Roman"/>
          <w:sz w:val="24"/>
        </w:rPr>
        <w:t xml:space="preserve">Empirisk dekning på valideringssettet for nominell P10–P90 er</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79,8 %</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rå og</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80,0 %</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etter CQR-justering. Per størrelseskategori varierer dekningen modest: Liten 83,0 % (n = 159), Mellomstor 74,3 % (n = 113) og Stor 80,7 % (n = 218). Mellomstor-gruppa er litt under nominelt nivå, hvilket er konsistent med at mellomstore yachter har færrest treningsrader (jf. §9.4).</w:t>
      </w:r>
    </w:p>
    <w:bookmarkEnd w:id="77"/>
    <w:bookmarkStart w:id="78" w:name="hybridkalibrert-anløpsestimat-eksempler"/>
    <w:p>
      <w:pPr>
        <w:pStyle w:val="Heading3"/>
        <w:spacing w:line="360" w:lineRule="auto"/>
      </w:pPr>
      <w:r>
        <w:rPr>
          <w:rFonts w:ascii="Times New Roman" w:hAnsi="Times New Roman" w:cs="Times New Roman" w:eastAsia="Times New Roman"/>
          <w:sz w:val="24"/>
        </w:rPr>
        <w:t xml:space="preserve">8.3 Hybrid</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kalibrert anløps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estimat — eksempler</w:t>
      </w:r>
    </w:p>
    <w:p>
      <w:pPr>
        <w:pStyle w:val="FirstParagraph"/>
        <w:spacing w:line="360" w:lineRule="auto"/>
      </w:pPr>
      <w:r>
        <w:rPr>
          <w:rFonts w:ascii="Times New Roman" w:hAnsi="Times New Roman" w:cs="Times New Roman" w:eastAsia="Times New Roman"/>
          <w:sz w:val="24"/>
        </w:rPr>
        <w:t xml:space="preserve">Tallene i alle § 8.3-tabellene er i EUR (kildedata-enheten, jf. § 1.3). Frontend ganger med vekslings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kursen i</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EXCHANGE_RATES_FROM_EUR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visning i NOK eller DKK.</w:t>
      </w:r>
    </w:p>
    <w:p>
      <w:pPr>
        <w:pStyle w:val="BodyText"/>
        <w:spacing w:line="360" w:lineRule="auto"/>
      </w:pPr>
      <w:r>
        <w:rPr>
          <w:rFonts w:ascii="Times New Roman" w:hAnsi="Times New Roman" w:cs="Times New Roman" w:eastAsia="Times New Roman"/>
          <w:b/>
          <w:bCs/>
          <w:sz w:val="24"/>
        </w:rPr>
        <w:t xml:space="preserve">Tabell 8.3a.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Norge — mellomstor yacht (GT = 500, LOA = 55 m), juli, 5 dager, medium drivstoff</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konsum.</w:t>
      </w:r>
    </w:p>
    <w:tbl>
      <w:tblPr>
        <w:tblStyle w:val="Table"/>
        <w:tblW w:type="auto" w:w="0"/>
        <w:tblLook w:firstRow="1" w:lastRow="0" w:firstColumn="0" w:lastColumn="0" w:noHBand="0" w:noVBand="0" w:val="0020"/>
      </w:tblPr>
      <w:tblGrid>
        <w:gridCol w:w="3960"/>
        <w:gridCol w:w="3960"/>
      </w:tblGrid>
      <w:tr>
        <w:trPr>
          <w:tblHeader w:val="on"/>
        </w:trPr>
        <w:tc>
          <w:tcPr/>
          <w:p>
            <w:pPr>
              <w:pStyle w:val="Compact"/>
              <w:spacing w:line="360" w:lineRule="auto"/>
            </w:pPr>
            <w:r>
              <w:rPr>
                <w:rFonts w:ascii="Times New Roman" w:hAnsi="Times New Roman" w:cs="Times New Roman" w:eastAsia="Times New Roman"/>
                <w:sz w:val="24"/>
              </w:rPr>
              <w:t xml:space="preserve">Tjeneste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kategori</w:t>
            </w:r>
          </w:p>
        </w:tc>
        <w:tc>
          <w:tcPr/>
          <w:p>
            <w:pPr>
              <w:pStyle w:val="Compact"/>
              <w:spacing w:line="360" w:lineRule="auto"/>
              <w:jc w:val="right"/>
            </w:pPr>
            <w:r>
              <w:rPr>
                <w:rFonts w:ascii="Times New Roman" w:hAnsi="Times New Roman" w:cs="Times New Roman" w:eastAsia="Times New Roman"/>
                <w:sz w:val="24"/>
              </w:rPr>
              <w:t xml:space="preserve">Estimert kostnad (EUR)</w:t>
            </w:r>
          </w:p>
        </w:tc>
      </w:tr>
      <w:tr>
        <w:tc>
          <w:tcPr/>
          <w:p>
            <w:pPr>
              <w:pStyle w:val="Compact"/>
              <w:spacing w:line="360" w:lineRule="auto"/>
            </w:pPr>
            <w:r>
              <w:rPr>
                <w:rFonts w:ascii="Times New Roman" w:hAnsi="Times New Roman" w:cs="Times New Roman" w:eastAsia="Times New Roman"/>
                <w:sz w:val="24"/>
              </w:rPr>
              <w:t xml:space="preserve">Port Marina</w:t>
            </w:r>
          </w:p>
        </w:tc>
        <w:tc>
          <w:tcPr/>
          <w:p>
            <w:pPr>
              <w:pStyle w:val="Compact"/>
              <w:spacing w:line="360" w:lineRule="auto"/>
              <w:jc w:val="right"/>
            </w:pPr>
            <w:r>
              <w:rPr>
                <w:rFonts w:ascii="Times New Roman" w:hAnsi="Times New Roman" w:cs="Times New Roman" w:eastAsia="Times New Roman"/>
                <w:sz w:val="24"/>
              </w:rPr>
              <w:t xml:space="preserve">4 740</w:t>
            </w:r>
          </w:p>
        </w:tc>
      </w:tr>
      <w:tr>
        <w:tc>
          <w:tcPr/>
          <w:p>
            <w:pPr>
              <w:pStyle w:val="Compact"/>
              <w:spacing w:line="360" w:lineRule="auto"/>
            </w:pPr>
            <w:r>
              <w:rPr>
                <w:rFonts w:ascii="Times New Roman" w:hAnsi="Times New Roman" w:cs="Times New Roman" w:eastAsia="Times New Roman"/>
                <w:sz w:val="24"/>
              </w:rPr>
              <w:t xml:space="preserve">Agency Services</w:t>
            </w:r>
          </w:p>
        </w:tc>
        <w:tc>
          <w:tcPr/>
          <w:p>
            <w:pPr>
              <w:pStyle w:val="Compact"/>
              <w:spacing w:line="360" w:lineRule="auto"/>
              <w:jc w:val="right"/>
            </w:pPr>
            <w:r>
              <w:rPr>
                <w:rFonts w:ascii="Times New Roman" w:hAnsi="Times New Roman" w:cs="Times New Roman" w:eastAsia="Times New Roman"/>
                <w:sz w:val="24"/>
              </w:rPr>
              <w:t xml:space="preserve">2 523</w:t>
            </w:r>
          </w:p>
        </w:tc>
      </w:tr>
      <w:tr>
        <w:tc>
          <w:tcPr/>
          <w:p>
            <w:pPr>
              <w:pStyle w:val="Compact"/>
              <w:spacing w:line="360" w:lineRule="auto"/>
            </w:pPr>
            <w:r>
              <w:rPr>
                <w:rFonts w:ascii="Times New Roman" w:hAnsi="Times New Roman" w:cs="Times New Roman" w:eastAsia="Times New Roman"/>
                <w:sz w:val="24"/>
              </w:rPr>
              <w:t xml:space="preserve">Bunkering</w:t>
            </w:r>
          </w:p>
        </w:tc>
        <w:tc>
          <w:tcPr/>
          <w:p>
            <w:pPr>
              <w:pStyle w:val="Compact"/>
              <w:spacing w:line="360" w:lineRule="auto"/>
              <w:jc w:val="right"/>
            </w:pPr>
            <w:r>
              <w:rPr>
                <w:rFonts w:ascii="Times New Roman" w:hAnsi="Times New Roman" w:cs="Times New Roman" w:eastAsia="Times New Roman"/>
                <w:sz w:val="24"/>
              </w:rPr>
              <w:t xml:space="preserve">2 202</w:t>
            </w:r>
          </w:p>
        </w:tc>
      </w:tr>
      <w:tr>
        <w:tc>
          <w:tcPr/>
          <w:p>
            <w:pPr>
              <w:pStyle w:val="Compact"/>
              <w:spacing w:line="360" w:lineRule="auto"/>
            </w:pPr>
            <w:r>
              <w:rPr>
                <w:rFonts w:ascii="Times New Roman" w:hAnsi="Times New Roman" w:cs="Times New Roman" w:eastAsia="Times New Roman"/>
                <w:sz w:val="24"/>
              </w:rPr>
              <w:t xml:space="preserve">Hospitality</w:t>
            </w:r>
          </w:p>
        </w:tc>
        <w:tc>
          <w:tcPr/>
          <w:p>
            <w:pPr>
              <w:pStyle w:val="Compact"/>
              <w:spacing w:line="360" w:lineRule="auto"/>
              <w:jc w:val="right"/>
            </w:pPr>
            <w:r>
              <w:rPr>
                <w:rFonts w:ascii="Times New Roman" w:hAnsi="Times New Roman" w:cs="Times New Roman" w:eastAsia="Times New Roman"/>
                <w:sz w:val="24"/>
              </w:rPr>
              <w:t xml:space="preserve">1 976</w:t>
            </w:r>
          </w:p>
        </w:tc>
      </w:tr>
      <w:tr>
        <w:tc>
          <w:tcPr/>
          <w:p>
            <w:pPr>
              <w:pStyle w:val="Compact"/>
              <w:spacing w:line="360" w:lineRule="auto"/>
            </w:pPr>
            <w:r>
              <w:rPr>
                <w:rFonts w:ascii="Times New Roman" w:hAnsi="Times New Roman" w:cs="Times New Roman" w:eastAsia="Times New Roman"/>
                <w:sz w:val="24"/>
              </w:rPr>
              <w:t xml:space="preserve">Technical Services</w:t>
            </w:r>
          </w:p>
        </w:tc>
        <w:tc>
          <w:tcPr/>
          <w:p>
            <w:pPr>
              <w:pStyle w:val="Compact"/>
              <w:spacing w:line="360" w:lineRule="auto"/>
              <w:jc w:val="right"/>
            </w:pPr>
            <w:r>
              <w:rPr>
                <w:rFonts w:ascii="Times New Roman" w:hAnsi="Times New Roman" w:cs="Times New Roman" w:eastAsia="Times New Roman"/>
                <w:sz w:val="24"/>
              </w:rPr>
              <w:t xml:space="preserve">1 826</w:t>
            </w:r>
          </w:p>
        </w:tc>
      </w:tr>
      <w:tr>
        <w:tc>
          <w:tcPr/>
          <w:p>
            <w:pPr>
              <w:pStyle w:val="Compact"/>
              <w:spacing w:line="360" w:lineRule="auto"/>
            </w:pPr>
            <w:r>
              <w:rPr>
                <w:rFonts w:ascii="Times New Roman" w:hAnsi="Times New Roman" w:cs="Times New Roman" w:eastAsia="Times New Roman"/>
                <w:sz w:val="24"/>
              </w:rPr>
              <w:t xml:space="preserve">Provisioning</w:t>
            </w:r>
          </w:p>
        </w:tc>
        <w:tc>
          <w:tcPr/>
          <w:p>
            <w:pPr>
              <w:pStyle w:val="Compact"/>
              <w:spacing w:line="360" w:lineRule="auto"/>
              <w:jc w:val="right"/>
            </w:pPr>
            <w:r>
              <w:rPr>
                <w:rFonts w:ascii="Times New Roman" w:hAnsi="Times New Roman" w:cs="Times New Roman" w:eastAsia="Times New Roman"/>
                <w:sz w:val="24"/>
              </w:rPr>
              <w:t xml:space="preserve">1 204</w:t>
            </w:r>
          </w:p>
        </w:tc>
      </w:tr>
      <w:tr>
        <w:tc>
          <w:tcPr/>
          <w:p>
            <w:pPr>
              <w:pStyle w:val="Compact"/>
              <w:spacing w:line="360" w:lineRule="auto"/>
            </w:pPr>
            <w:r>
              <w:rPr>
                <w:rFonts w:ascii="Times New Roman" w:hAnsi="Times New Roman" w:cs="Times New Roman" w:eastAsia="Times New Roman"/>
                <w:sz w:val="24"/>
              </w:rPr>
              <w:t xml:space="preserve">Agency Fee</w:t>
            </w:r>
          </w:p>
        </w:tc>
        <w:tc>
          <w:tcPr/>
          <w:p>
            <w:pPr>
              <w:pStyle w:val="Compact"/>
              <w:spacing w:line="360" w:lineRule="auto"/>
              <w:jc w:val="right"/>
            </w:pPr>
            <w:r>
              <w:rPr>
                <w:rFonts w:ascii="Times New Roman" w:hAnsi="Times New Roman" w:cs="Times New Roman" w:eastAsia="Times New Roman"/>
                <w:sz w:val="24"/>
              </w:rPr>
              <w:t xml:space="preserve">620</w:t>
            </w:r>
          </w:p>
        </w:tc>
      </w:tr>
      <w:tr>
        <w:tc>
          <w:tcPr/>
          <w:p>
            <w:pPr>
              <w:pStyle w:val="Compact"/>
              <w:spacing w:line="360" w:lineRule="auto"/>
            </w:pPr>
            <w:r>
              <w:rPr>
                <w:rFonts w:ascii="Times New Roman" w:hAnsi="Times New Roman" w:cs="Times New Roman" w:eastAsia="Times New Roman"/>
                <w:b/>
                <w:bCs/>
                <w:sz w:val="24"/>
              </w:rPr>
              <w:t xml:space="preserve">Totalt</w:t>
            </w:r>
          </w:p>
        </w:tc>
        <w:tc>
          <w:tcPr/>
          <w:p>
            <w:pPr>
              <w:pStyle w:val="Compact"/>
              <w:spacing w:line="360" w:lineRule="auto"/>
              <w:jc w:val="right"/>
            </w:pPr>
            <w:r>
              <w:rPr>
                <w:rFonts w:ascii="Times New Roman" w:hAnsi="Times New Roman" w:cs="Times New Roman" w:eastAsia="Times New Roman"/>
                <w:b/>
                <w:bCs/>
                <w:sz w:val="24"/>
              </w:rPr>
              <w:t xml:space="preserve">15 091</w:t>
            </w:r>
          </w:p>
        </w:tc>
      </w:tr>
    </w:tbl>
    <w:p>
      <w:pPr>
        <w:pStyle w:val="BodyText"/>
        <w:spacing w:line="360" w:lineRule="auto"/>
      </w:pPr>
      <w:r>
        <w:rPr>
          <w:rFonts w:ascii="Times New Roman" w:hAnsi="Times New Roman" w:cs="Times New Roman" w:eastAsia="Times New Roman"/>
          <w:sz w:val="24"/>
        </w:rPr>
        <w:t xml:space="preserve">Trafikkvektet historisk spenn (P25 / P50 / P75):</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11 779 / 15 094 / 23 710 EUR</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Modell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estimatet ligger praktisk talt på medianen, hvilket bekrefter at kalibrerings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steget i § 6.5 fungerer som tiltenkt.</w:t>
      </w:r>
    </w:p>
    <w:p>
      <w:pPr>
        <w:pStyle w:val="BodyText"/>
        <w:spacing w:line="360" w:lineRule="auto"/>
      </w:pPr>
      <w:r>
        <w:rPr>
          <w:rFonts w:ascii="Times New Roman" w:hAnsi="Times New Roman" w:cs="Times New Roman" w:eastAsia="Times New Roman"/>
          <w:b/>
          <w:bCs/>
          <w:sz w:val="24"/>
        </w:rPr>
        <w:t xml:space="preserve">Tabell 8.3b.</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Sverige — mellomstor yacht (GT = 500, LOA = 55 m), juli, 5 dager, medium drivstoff.</w:t>
      </w:r>
    </w:p>
    <w:tbl>
      <w:tblPr>
        <w:tblStyle w:val="Table"/>
        <w:tblW w:type="auto" w:w="0"/>
        <w:tblLook w:firstRow="1" w:lastRow="0" w:firstColumn="0" w:lastColumn="0" w:noHBand="0" w:noVBand="0" w:val="0020"/>
      </w:tblPr>
      <w:tblGrid>
        <w:gridCol w:w="3960"/>
        <w:gridCol w:w="3960"/>
      </w:tblGrid>
      <w:tr>
        <w:trPr>
          <w:tblHeader w:val="on"/>
        </w:trPr>
        <w:tc>
          <w:tcPr/>
          <w:p>
            <w:pPr>
              <w:pStyle w:val="Compact"/>
              <w:spacing w:line="360" w:lineRule="auto"/>
            </w:pPr>
            <w:r>
              <w:rPr>
                <w:rFonts w:ascii="Times New Roman" w:hAnsi="Times New Roman" w:cs="Times New Roman" w:eastAsia="Times New Roman"/>
                <w:sz w:val="24"/>
              </w:rPr>
              <w:t xml:space="preserve">Tjeneste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kategori</w:t>
            </w:r>
          </w:p>
        </w:tc>
        <w:tc>
          <w:tcPr/>
          <w:p>
            <w:pPr>
              <w:pStyle w:val="Compact"/>
              <w:spacing w:line="360" w:lineRule="auto"/>
              <w:jc w:val="right"/>
            </w:pPr>
            <w:r>
              <w:rPr>
                <w:rFonts w:ascii="Times New Roman" w:hAnsi="Times New Roman" w:cs="Times New Roman" w:eastAsia="Times New Roman"/>
                <w:sz w:val="24"/>
              </w:rPr>
              <w:t xml:space="preserve">Estimert kostnad (EUR)</w:t>
            </w:r>
          </w:p>
        </w:tc>
      </w:tr>
      <w:tr>
        <w:tc>
          <w:tcPr/>
          <w:p>
            <w:pPr>
              <w:pStyle w:val="Compact"/>
              <w:spacing w:line="360" w:lineRule="auto"/>
            </w:pPr>
            <w:r>
              <w:rPr>
                <w:rFonts w:ascii="Times New Roman" w:hAnsi="Times New Roman" w:cs="Times New Roman" w:eastAsia="Times New Roman"/>
                <w:sz w:val="24"/>
              </w:rPr>
              <w:t xml:space="preserve">Bunkering</w:t>
            </w:r>
          </w:p>
        </w:tc>
        <w:tc>
          <w:tcPr/>
          <w:p>
            <w:pPr>
              <w:pStyle w:val="Compact"/>
              <w:spacing w:line="360" w:lineRule="auto"/>
              <w:jc w:val="right"/>
            </w:pPr>
            <w:r>
              <w:rPr>
                <w:rFonts w:ascii="Times New Roman" w:hAnsi="Times New Roman" w:cs="Times New Roman" w:eastAsia="Times New Roman"/>
                <w:sz w:val="24"/>
              </w:rPr>
              <w:t xml:space="preserve">5 151</w:t>
            </w:r>
          </w:p>
        </w:tc>
      </w:tr>
      <w:tr>
        <w:tc>
          <w:tcPr/>
          <w:p>
            <w:pPr>
              <w:pStyle w:val="Compact"/>
              <w:spacing w:line="360" w:lineRule="auto"/>
            </w:pPr>
            <w:r>
              <w:rPr>
                <w:rFonts w:ascii="Times New Roman" w:hAnsi="Times New Roman" w:cs="Times New Roman" w:eastAsia="Times New Roman"/>
                <w:sz w:val="24"/>
              </w:rPr>
              <w:t xml:space="preserve">Port Marina</w:t>
            </w:r>
          </w:p>
        </w:tc>
        <w:tc>
          <w:tcPr/>
          <w:p>
            <w:pPr>
              <w:pStyle w:val="Compact"/>
              <w:spacing w:line="360" w:lineRule="auto"/>
              <w:jc w:val="right"/>
            </w:pPr>
            <w:r>
              <w:rPr>
                <w:rFonts w:ascii="Times New Roman" w:hAnsi="Times New Roman" w:cs="Times New Roman" w:eastAsia="Times New Roman"/>
                <w:sz w:val="24"/>
              </w:rPr>
              <w:t xml:space="preserve">4 525</w:t>
            </w:r>
          </w:p>
        </w:tc>
      </w:tr>
      <w:tr>
        <w:tc>
          <w:tcPr/>
          <w:p>
            <w:pPr>
              <w:pStyle w:val="Compact"/>
              <w:spacing w:line="360" w:lineRule="auto"/>
            </w:pPr>
            <w:r>
              <w:rPr>
                <w:rFonts w:ascii="Times New Roman" w:hAnsi="Times New Roman" w:cs="Times New Roman" w:eastAsia="Times New Roman"/>
                <w:sz w:val="24"/>
              </w:rPr>
              <w:t xml:space="preserve">Provisioning</w:t>
            </w:r>
          </w:p>
        </w:tc>
        <w:tc>
          <w:tcPr/>
          <w:p>
            <w:pPr>
              <w:pStyle w:val="Compact"/>
              <w:spacing w:line="360" w:lineRule="auto"/>
              <w:jc w:val="right"/>
            </w:pPr>
            <w:r>
              <w:rPr>
                <w:rFonts w:ascii="Times New Roman" w:hAnsi="Times New Roman" w:cs="Times New Roman" w:eastAsia="Times New Roman"/>
                <w:sz w:val="24"/>
              </w:rPr>
              <w:t xml:space="preserve">1 896</w:t>
            </w:r>
          </w:p>
        </w:tc>
      </w:tr>
      <w:tr>
        <w:tc>
          <w:tcPr/>
          <w:p>
            <w:pPr>
              <w:pStyle w:val="Compact"/>
              <w:spacing w:line="360" w:lineRule="auto"/>
            </w:pPr>
            <w:r>
              <w:rPr>
                <w:rFonts w:ascii="Times New Roman" w:hAnsi="Times New Roman" w:cs="Times New Roman" w:eastAsia="Times New Roman"/>
                <w:sz w:val="24"/>
              </w:rPr>
              <w:t xml:space="preserve">Hospitality</w:t>
            </w:r>
          </w:p>
        </w:tc>
        <w:tc>
          <w:tcPr/>
          <w:p>
            <w:pPr>
              <w:pStyle w:val="Compact"/>
              <w:spacing w:line="360" w:lineRule="auto"/>
              <w:jc w:val="right"/>
            </w:pPr>
            <w:r>
              <w:rPr>
                <w:rFonts w:ascii="Times New Roman" w:hAnsi="Times New Roman" w:cs="Times New Roman" w:eastAsia="Times New Roman"/>
                <w:sz w:val="24"/>
              </w:rPr>
              <w:t xml:space="preserve">1 568</w:t>
            </w:r>
          </w:p>
        </w:tc>
      </w:tr>
      <w:tr>
        <w:tc>
          <w:tcPr/>
          <w:p>
            <w:pPr>
              <w:pStyle w:val="Compact"/>
              <w:spacing w:line="360" w:lineRule="auto"/>
            </w:pPr>
            <w:r>
              <w:rPr>
                <w:rFonts w:ascii="Times New Roman" w:hAnsi="Times New Roman" w:cs="Times New Roman" w:eastAsia="Times New Roman"/>
                <w:sz w:val="24"/>
              </w:rPr>
              <w:t xml:space="preserve">Agency Services</w:t>
            </w:r>
          </w:p>
        </w:tc>
        <w:tc>
          <w:tcPr/>
          <w:p>
            <w:pPr>
              <w:pStyle w:val="Compact"/>
              <w:spacing w:line="360" w:lineRule="auto"/>
              <w:jc w:val="right"/>
            </w:pPr>
            <w:r>
              <w:rPr>
                <w:rFonts w:ascii="Times New Roman" w:hAnsi="Times New Roman" w:cs="Times New Roman" w:eastAsia="Times New Roman"/>
                <w:sz w:val="24"/>
              </w:rPr>
              <w:t xml:space="preserve">1 410</w:t>
            </w:r>
          </w:p>
        </w:tc>
      </w:tr>
      <w:tr>
        <w:tc>
          <w:tcPr/>
          <w:p>
            <w:pPr>
              <w:pStyle w:val="Compact"/>
              <w:spacing w:line="360" w:lineRule="auto"/>
            </w:pPr>
            <w:r>
              <w:rPr>
                <w:rFonts w:ascii="Times New Roman" w:hAnsi="Times New Roman" w:cs="Times New Roman" w:eastAsia="Times New Roman"/>
                <w:sz w:val="24"/>
              </w:rPr>
              <w:t xml:space="preserve">Technical Services</w:t>
            </w:r>
          </w:p>
        </w:tc>
        <w:tc>
          <w:tcPr/>
          <w:p>
            <w:pPr>
              <w:pStyle w:val="Compact"/>
              <w:spacing w:line="360" w:lineRule="auto"/>
              <w:jc w:val="right"/>
            </w:pPr>
            <w:r>
              <w:rPr>
                <w:rFonts w:ascii="Times New Roman" w:hAnsi="Times New Roman" w:cs="Times New Roman" w:eastAsia="Times New Roman"/>
                <w:sz w:val="24"/>
              </w:rPr>
              <w:t xml:space="preserve">1 240</w:t>
            </w:r>
          </w:p>
        </w:tc>
      </w:tr>
      <w:tr>
        <w:tc>
          <w:tcPr/>
          <w:p>
            <w:pPr>
              <w:pStyle w:val="Compact"/>
              <w:spacing w:line="360" w:lineRule="auto"/>
            </w:pPr>
            <w:r>
              <w:rPr>
                <w:rFonts w:ascii="Times New Roman" w:hAnsi="Times New Roman" w:cs="Times New Roman" w:eastAsia="Times New Roman"/>
                <w:sz w:val="24"/>
              </w:rPr>
              <w:t xml:space="preserve">Agency Fee</w:t>
            </w:r>
          </w:p>
        </w:tc>
        <w:tc>
          <w:tcPr/>
          <w:p>
            <w:pPr>
              <w:pStyle w:val="Compact"/>
              <w:spacing w:line="360" w:lineRule="auto"/>
              <w:jc w:val="right"/>
            </w:pPr>
            <w:r>
              <w:rPr>
                <w:rFonts w:ascii="Times New Roman" w:hAnsi="Times New Roman" w:cs="Times New Roman" w:eastAsia="Times New Roman"/>
                <w:sz w:val="24"/>
              </w:rPr>
              <w:t xml:space="preserve">1 114</w:t>
            </w:r>
          </w:p>
        </w:tc>
      </w:tr>
      <w:tr>
        <w:tc>
          <w:tcPr/>
          <w:p>
            <w:pPr>
              <w:pStyle w:val="Compact"/>
              <w:spacing w:line="360" w:lineRule="auto"/>
            </w:pPr>
            <w:r>
              <w:rPr>
                <w:rFonts w:ascii="Times New Roman" w:hAnsi="Times New Roman" w:cs="Times New Roman" w:eastAsia="Times New Roman"/>
                <w:b/>
                <w:bCs/>
                <w:sz w:val="24"/>
              </w:rPr>
              <w:t xml:space="preserve">Totalt</w:t>
            </w:r>
          </w:p>
        </w:tc>
        <w:tc>
          <w:tcPr/>
          <w:p>
            <w:pPr>
              <w:pStyle w:val="Compact"/>
              <w:spacing w:line="360" w:lineRule="auto"/>
              <w:jc w:val="right"/>
            </w:pPr>
            <w:r>
              <w:rPr>
                <w:rFonts w:ascii="Times New Roman" w:hAnsi="Times New Roman" w:cs="Times New Roman" w:eastAsia="Times New Roman"/>
                <w:b/>
                <w:bCs/>
                <w:sz w:val="24"/>
              </w:rPr>
              <w:t xml:space="preserve">16 904</w:t>
            </w:r>
          </w:p>
        </w:tc>
      </w:tr>
    </w:tbl>
    <w:p>
      <w:pPr>
        <w:pStyle w:val="BodyText"/>
        <w:spacing w:line="360" w:lineRule="auto"/>
      </w:pPr>
      <w:r>
        <w:rPr>
          <w:rFonts w:ascii="Times New Roman" w:hAnsi="Times New Roman" w:cs="Times New Roman" w:eastAsia="Times New Roman"/>
          <w:sz w:val="24"/>
        </w:rPr>
        <w:t xml:space="preserve">Trafikkvektet historisk spenn (P25 / P50 / P75):</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14 508 / 16 904 / 41 833 EUR</w:t>
      </w:r>
      <w:r>
        <w:rPr>
          <w:rFonts w:ascii="Times New Roman" w:hAnsi="Times New Roman" w:cs="Times New Roman" w:eastAsia="Times New Roman"/>
          <w:sz w:val="24"/>
        </w:rPr>
        <w:t xml:space="preserve">.</w:t>
      </w:r>
    </w:p>
    <w:p>
      <w:pPr>
        <w:pStyle w:val="BodyText"/>
        <w:spacing w:line="360" w:lineRule="auto"/>
      </w:pPr>
      <w:r>
        <w:rPr>
          <w:rFonts w:ascii="Times New Roman" w:hAnsi="Times New Roman" w:cs="Times New Roman" w:eastAsia="Times New Roman"/>
          <w:b/>
          <w:bCs/>
          <w:sz w:val="24"/>
        </w:rPr>
        <w:t xml:space="preserve">Tabell 8.3c.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Danmark — mellomstor yacht (GT = 500, LOA = 55 m), juli, 5 dager, medium drivstoff.</w:t>
      </w:r>
    </w:p>
    <w:tbl>
      <w:tblPr>
        <w:tblStyle w:val="Table"/>
        <w:tblW w:type="auto" w:w="0"/>
        <w:tblLook w:firstRow="1" w:lastRow="0" w:firstColumn="0" w:lastColumn="0" w:noHBand="0" w:noVBand="0" w:val="0020"/>
      </w:tblPr>
      <w:tblGrid>
        <w:gridCol w:w="3960"/>
        <w:gridCol w:w="3960"/>
      </w:tblGrid>
      <w:tr>
        <w:trPr>
          <w:tblHeader w:val="on"/>
        </w:trPr>
        <w:tc>
          <w:tcPr/>
          <w:p>
            <w:pPr>
              <w:pStyle w:val="Compact"/>
              <w:spacing w:line="360" w:lineRule="auto"/>
            </w:pPr>
            <w:r>
              <w:rPr>
                <w:rFonts w:ascii="Times New Roman" w:hAnsi="Times New Roman" w:cs="Times New Roman" w:eastAsia="Times New Roman"/>
                <w:sz w:val="24"/>
              </w:rPr>
              <w:t xml:space="preserve">Tjeneste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kategori</w:t>
            </w:r>
          </w:p>
        </w:tc>
        <w:tc>
          <w:tcPr/>
          <w:p>
            <w:pPr>
              <w:pStyle w:val="Compact"/>
              <w:spacing w:line="360" w:lineRule="auto"/>
              <w:jc w:val="right"/>
            </w:pPr>
            <w:r>
              <w:rPr>
                <w:rFonts w:ascii="Times New Roman" w:hAnsi="Times New Roman" w:cs="Times New Roman" w:eastAsia="Times New Roman"/>
                <w:sz w:val="24"/>
              </w:rPr>
              <w:t xml:space="preserve">Estimert kostnad (EUR)</w:t>
            </w:r>
          </w:p>
        </w:tc>
      </w:tr>
      <w:tr>
        <w:tc>
          <w:tcPr/>
          <w:p>
            <w:pPr>
              <w:pStyle w:val="Compact"/>
              <w:spacing w:line="360" w:lineRule="auto"/>
            </w:pPr>
            <w:r>
              <w:rPr>
                <w:rFonts w:ascii="Times New Roman" w:hAnsi="Times New Roman" w:cs="Times New Roman" w:eastAsia="Times New Roman"/>
                <w:sz w:val="24"/>
              </w:rPr>
              <w:t xml:space="preserve">Port Marina</w:t>
            </w:r>
          </w:p>
        </w:tc>
        <w:tc>
          <w:tcPr/>
          <w:p>
            <w:pPr>
              <w:pStyle w:val="Compact"/>
              <w:spacing w:line="360" w:lineRule="auto"/>
              <w:jc w:val="right"/>
            </w:pPr>
            <w:r>
              <w:rPr>
                <w:rFonts w:ascii="Times New Roman" w:hAnsi="Times New Roman" w:cs="Times New Roman" w:eastAsia="Times New Roman"/>
                <w:sz w:val="24"/>
              </w:rPr>
              <w:t xml:space="preserve">8 732</w:t>
            </w:r>
          </w:p>
        </w:tc>
      </w:tr>
      <w:tr>
        <w:tc>
          <w:tcPr/>
          <w:p>
            <w:pPr>
              <w:pStyle w:val="Compact"/>
              <w:spacing w:line="360" w:lineRule="auto"/>
            </w:pPr>
            <w:r>
              <w:rPr>
                <w:rFonts w:ascii="Times New Roman" w:hAnsi="Times New Roman" w:cs="Times New Roman" w:eastAsia="Times New Roman"/>
                <w:sz w:val="24"/>
              </w:rPr>
              <w:t xml:space="preserve">Bunkering</w:t>
            </w:r>
          </w:p>
        </w:tc>
        <w:tc>
          <w:tcPr/>
          <w:p>
            <w:pPr>
              <w:pStyle w:val="Compact"/>
              <w:spacing w:line="360" w:lineRule="auto"/>
              <w:jc w:val="right"/>
            </w:pPr>
            <w:r>
              <w:rPr>
                <w:rFonts w:ascii="Times New Roman" w:hAnsi="Times New Roman" w:cs="Times New Roman" w:eastAsia="Times New Roman"/>
                <w:sz w:val="24"/>
              </w:rPr>
              <w:t xml:space="preserve">6 300</w:t>
            </w:r>
          </w:p>
        </w:tc>
      </w:tr>
      <w:tr>
        <w:tc>
          <w:tcPr/>
          <w:p>
            <w:pPr>
              <w:pStyle w:val="Compact"/>
              <w:spacing w:line="360" w:lineRule="auto"/>
            </w:pPr>
            <w:r>
              <w:rPr>
                <w:rFonts w:ascii="Times New Roman" w:hAnsi="Times New Roman" w:cs="Times New Roman" w:eastAsia="Times New Roman"/>
                <w:sz w:val="24"/>
              </w:rPr>
              <w:t xml:space="preserve">Hospitality</w:t>
            </w:r>
          </w:p>
        </w:tc>
        <w:tc>
          <w:tcPr/>
          <w:p>
            <w:pPr>
              <w:pStyle w:val="Compact"/>
              <w:spacing w:line="360" w:lineRule="auto"/>
              <w:jc w:val="right"/>
            </w:pPr>
            <w:r>
              <w:rPr>
                <w:rFonts w:ascii="Times New Roman" w:hAnsi="Times New Roman" w:cs="Times New Roman" w:eastAsia="Times New Roman"/>
                <w:sz w:val="24"/>
              </w:rPr>
              <w:t xml:space="preserve">4 412</w:t>
            </w:r>
          </w:p>
        </w:tc>
      </w:tr>
      <w:tr>
        <w:tc>
          <w:tcPr/>
          <w:p>
            <w:pPr>
              <w:pStyle w:val="Compact"/>
              <w:spacing w:line="360" w:lineRule="auto"/>
            </w:pPr>
            <w:r>
              <w:rPr>
                <w:rFonts w:ascii="Times New Roman" w:hAnsi="Times New Roman" w:cs="Times New Roman" w:eastAsia="Times New Roman"/>
                <w:sz w:val="24"/>
              </w:rPr>
              <w:t xml:space="preserve">Provisioning</w:t>
            </w:r>
          </w:p>
        </w:tc>
        <w:tc>
          <w:tcPr/>
          <w:p>
            <w:pPr>
              <w:pStyle w:val="Compact"/>
              <w:spacing w:line="360" w:lineRule="auto"/>
              <w:jc w:val="right"/>
            </w:pPr>
            <w:r>
              <w:rPr>
                <w:rFonts w:ascii="Times New Roman" w:hAnsi="Times New Roman" w:cs="Times New Roman" w:eastAsia="Times New Roman"/>
                <w:sz w:val="24"/>
              </w:rPr>
              <w:t xml:space="preserve">4 259</w:t>
            </w:r>
          </w:p>
        </w:tc>
      </w:tr>
      <w:tr>
        <w:tc>
          <w:tcPr/>
          <w:p>
            <w:pPr>
              <w:pStyle w:val="Compact"/>
              <w:spacing w:line="360" w:lineRule="auto"/>
            </w:pPr>
            <w:r>
              <w:rPr>
                <w:rFonts w:ascii="Times New Roman" w:hAnsi="Times New Roman" w:cs="Times New Roman" w:eastAsia="Times New Roman"/>
                <w:sz w:val="24"/>
              </w:rPr>
              <w:t xml:space="preserve">Agency Services</w:t>
            </w:r>
          </w:p>
        </w:tc>
        <w:tc>
          <w:tcPr/>
          <w:p>
            <w:pPr>
              <w:pStyle w:val="Compact"/>
              <w:spacing w:line="360" w:lineRule="auto"/>
              <w:jc w:val="right"/>
            </w:pPr>
            <w:r>
              <w:rPr>
                <w:rFonts w:ascii="Times New Roman" w:hAnsi="Times New Roman" w:cs="Times New Roman" w:eastAsia="Times New Roman"/>
                <w:sz w:val="24"/>
              </w:rPr>
              <w:t xml:space="preserve">2 575</w:t>
            </w:r>
          </w:p>
        </w:tc>
      </w:tr>
      <w:tr>
        <w:tc>
          <w:tcPr/>
          <w:p>
            <w:pPr>
              <w:pStyle w:val="Compact"/>
              <w:spacing w:line="360" w:lineRule="auto"/>
            </w:pPr>
            <w:r>
              <w:rPr>
                <w:rFonts w:ascii="Times New Roman" w:hAnsi="Times New Roman" w:cs="Times New Roman" w:eastAsia="Times New Roman"/>
                <w:sz w:val="24"/>
              </w:rPr>
              <w:t xml:space="preserve">Technical Services</w:t>
            </w:r>
          </w:p>
        </w:tc>
        <w:tc>
          <w:tcPr/>
          <w:p>
            <w:pPr>
              <w:pStyle w:val="Compact"/>
              <w:spacing w:line="360" w:lineRule="auto"/>
              <w:jc w:val="right"/>
            </w:pPr>
            <w:r>
              <w:rPr>
                <w:rFonts w:ascii="Times New Roman" w:hAnsi="Times New Roman" w:cs="Times New Roman" w:eastAsia="Times New Roman"/>
                <w:sz w:val="24"/>
              </w:rPr>
              <w:t xml:space="preserve">2 276</w:t>
            </w:r>
          </w:p>
        </w:tc>
      </w:tr>
      <w:tr>
        <w:tc>
          <w:tcPr/>
          <w:p>
            <w:pPr>
              <w:pStyle w:val="Compact"/>
              <w:spacing w:line="360" w:lineRule="auto"/>
            </w:pPr>
            <w:r>
              <w:rPr>
                <w:rFonts w:ascii="Times New Roman" w:hAnsi="Times New Roman" w:cs="Times New Roman" w:eastAsia="Times New Roman"/>
                <w:sz w:val="24"/>
              </w:rPr>
              <w:t xml:space="preserve">Agency Fee</w:t>
            </w:r>
          </w:p>
        </w:tc>
        <w:tc>
          <w:tcPr/>
          <w:p>
            <w:pPr>
              <w:pStyle w:val="Compact"/>
              <w:spacing w:line="360" w:lineRule="auto"/>
              <w:jc w:val="right"/>
            </w:pPr>
            <w:r>
              <w:rPr>
                <w:rFonts w:ascii="Times New Roman" w:hAnsi="Times New Roman" w:cs="Times New Roman" w:eastAsia="Times New Roman"/>
                <w:sz w:val="24"/>
              </w:rPr>
              <w:t xml:space="preserve">220</w:t>
            </w:r>
          </w:p>
        </w:tc>
      </w:tr>
      <w:tr>
        <w:tc>
          <w:tcPr/>
          <w:p>
            <w:pPr>
              <w:pStyle w:val="Compact"/>
              <w:spacing w:line="360" w:lineRule="auto"/>
            </w:pPr>
            <w:r>
              <w:rPr>
                <w:rFonts w:ascii="Times New Roman" w:hAnsi="Times New Roman" w:cs="Times New Roman" w:eastAsia="Times New Roman"/>
                <w:b/>
                <w:bCs/>
                <w:sz w:val="24"/>
              </w:rPr>
              <w:t xml:space="preserve">Totalt</w:t>
            </w:r>
          </w:p>
        </w:tc>
        <w:tc>
          <w:tcPr/>
          <w:p>
            <w:pPr>
              <w:pStyle w:val="Compact"/>
              <w:spacing w:line="360" w:lineRule="auto"/>
              <w:jc w:val="right"/>
            </w:pPr>
            <w:r>
              <w:rPr>
                <w:rFonts w:ascii="Times New Roman" w:hAnsi="Times New Roman" w:cs="Times New Roman" w:eastAsia="Times New Roman"/>
                <w:b/>
                <w:bCs/>
                <w:sz w:val="24"/>
              </w:rPr>
              <w:t xml:space="preserve">28 774</w:t>
            </w:r>
          </w:p>
        </w:tc>
      </w:tr>
    </w:tbl>
    <w:p>
      <w:pPr>
        <w:pStyle w:val="BodyText"/>
        <w:spacing w:line="360" w:lineRule="auto"/>
      </w:pPr>
      <w:r>
        <w:rPr>
          <w:rFonts w:ascii="Times New Roman" w:hAnsi="Times New Roman" w:cs="Times New Roman" w:eastAsia="Times New Roman"/>
          <w:sz w:val="24"/>
        </w:rPr>
        <w:t xml:space="preserve">Trafikkvektet historisk spenn (P25 / P50 / P75):</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27 489 / 28 774 / 33 792 EUR</w:t>
      </w:r>
      <w:r>
        <w:rPr>
          <w:rFonts w:ascii="Times New Roman" w:hAnsi="Times New Roman" w:cs="Times New Roman" w:eastAsia="Times New Roman"/>
          <w:sz w:val="24"/>
        </w:rPr>
        <w:t xml:space="preserve">.</w:t>
      </w:r>
    </w:p>
    <w:p>
      <w:pPr>
        <w:pStyle w:val="BodyText"/>
        <w:spacing w:line="360" w:lineRule="auto"/>
      </w:pPr>
      <w:r>
        <w:rPr>
          <w:rFonts w:ascii="Times New Roman" w:hAnsi="Times New Roman" w:cs="Times New Roman" w:eastAsia="Times New Roman"/>
          <w:b/>
          <w:bCs/>
          <w:sz w:val="24"/>
        </w:rPr>
        <w:t xml:space="preserve">Tabell 8.3d.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Norge — liten yacht (GT = 50, LOA = 25 m), juli, 5 dager, medium drivstoff.</w:t>
      </w:r>
    </w:p>
    <w:tbl>
      <w:tblPr>
        <w:tblStyle w:val="Table"/>
        <w:tblW w:type="auto" w:w="0"/>
        <w:tblLook w:firstRow="1" w:lastRow="0" w:firstColumn="0" w:lastColumn="0" w:noHBand="0" w:noVBand="0" w:val="0020"/>
      </w:tblPr>
      <w:tblGrid>
        <w:gridCol w:w="3960"/>
        <w:gridCol w:w="3960"/>
      </w:tblGrid>
      <w:tr>
        <w:trPr>
          <w:tblHeader w:val="on"/>
        </w:trPr>
        <w:tc>
          <w:tcPr/>
          <w:p>
            <w:pPr>
              <w:pStyle w:val="Compact"/>
              <w:spacing w:line="360" w:lineRule="auto"/>
            </w:pPr>
            <w:r>
              <w:rPr>
                <w:rFonts w:ascii="Times New Roman" w:hAnsi="Times New Roman" w:cs="Times New Roman" w:eastAsia="Times New Roman"/>
                <w:sz w:val="24"/>
              </w:rPr>
              <w:t xml:space="preserve">Tjeneste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kategori</w:t>
            </w:r>
          </w:p>
        </w:tc>
        <w:tc>
          <w:tcPr/>
          <w:p>
            <w:pPr>
              <w:pStyle w:val="Compact"/>
              <w:spacing w:line="360" w:lineRule="auto"/>
              <w:jc w:val="right"/>
            </w:pPr>
            <w:r>
              <w:rPr>
                <w:rFonts w:ascii="Times New Roman" w:hAnsi="Times New Roman" w:cs="Times New Roman" w:eastAsia="Times New Roman"/>
                <w:sz w:val="24"/>
              </w:rPr>
              <w:t xml:space="preserve">Estimert kostnad (EUR)</w:t>
            </w:r>
          </w:p>
        </w:tc>
      </w:tr>
      <w:tr>
        <w:tc>
          <w:tcPr/>
          <w:p>
            <w:pPr>
              <w:pStyle w:val="Compact"/>
              <w:spacing w:line="360" w:lineRule="auto"/>
            </w:pPr>
            <w:r>
              <w:rPr>
                <w:rFonts w:ascii="Times New Roman" w:hAnsi="Times New Roman" w:cs="Times New Roman" w:eastAsia="Times New Roman"/>
                <w:sz w:val="24"/>
              </w:rPr>
              <w:t xml:space="preserve">Agency Services</w:t>
            </w:r>
          </w:p>
        </w:tc>
        <w:tc>
          <w:tcPr/>
          <w:p>
            <w:pPr>
              <w:pStyle w:val="Compact"/>
              <w:spacing w:line="360" w:lineRule="auto"/>
              <w:jc w:val="right"/>
            </w:pPr>
            <w:r>
              <w:rPr>
                <w:rFonts w:ascii="Times New Roman" w:hAnsi="Times New Roman" w:cs="Times New Roman" w:eastAsia="Times New Roman"/>
                <w:sz w:val="24"/>
              </w:rPr>
              <w:t xml:space="preserve">9 624</w:t>
            </w:r>
          </w:p>
        </w:tc>
      </w:tr>
      <w:tr>
        <w:tc>
          <w:tcPr/>
          <w:p>
            <w:pPr>
              <w:pStyle w:val="Compact"/>
              <w:spacing w:line="360" w:lineRule="auto"/>
            </w:pPr>
            <w:r>
              <w:rPr>
                <w:rFonts w:ascii="Times New Roman" w:hAnsi="Times New Roman" w:cs="Times New Roman" w:eastAsia="Times New Roman"/>
                <w:sz w:val="24"/>
              </w:rPr>
              <w:t xml:space="preserve">Technical Services</w:t>
            </w:r>
          </w:p>
        </w:tc>
        <w:tc>
          <w:tcPr/>
          <w:p>
            <w:pPr>
              <w:pStyle w:val="Compact"/>
              <w:spacing w:line="360" w:lineRule="auto"/>
              <w:jc w:val="right"/>
            </w:pPr>
            <w:r>
              <w:rPr>
                <w:rFonts w:ascii="Times New Roman" w:hAnsi="Times New Roman" w:cs="Times New Roman" w:eastAsia="Times New Roman"/>
                <w:sz w:val="24"/>
              </w:rPr>
              <w:t xml:space="preserve">2 552</w:t>
            </w:r>
          </w:p>
        </w:tc>
      </w:tr>
      <w:tr>
        <w:tc>
          <w:tcPr/>
          <w:p>
            <w:pPr>
              <w:pStyle w:val="Compact"/>
              <w:spacing w:line="360" w:lineRule="auto"/>
            </w:pPr>
            <w:r>
              <w:rPr>
                <w:rFonts w:ascii="Times New Roman" w:hAnsi="Times New Roman" w:cs="Times New Roman" w:eastAsia="Times New Roman"/>
                <w:sz w:val="24"/>
              </w:rPr>
              <w:t xml:space="preserve">Port Marina</w:t>
            </w:r>
          </w:p>
        </w:tc>
        <w:tc>
          <w:tcPr/>
          <w:p>
            <w:pPr>
              <w:pStyle w:val="Compact"/>
              <w:spacing w:line="360" w:lineRule="auto"/>
              <w:jc w:val="right"/>
            </w:pPr>
            <w:r>
              <w:rPr>
                <w:rFonts w:ascii="Times New Roman" w:hAnsi="Times New Roman" w:cs="Times New Roman" w:eastAsia="Times New Roman"/>
                <w:sz w:val="24"/>
              </w:rPr>
              <w:t xml:space="preserve">2 366</w:t>
            </w:r>
          </w:p>
        </w:tc>
      </w:tr>
      <w:tr>
        <w:tc>
          <w:tcPr/>
          <w:p>
            <w:pPr>
              <w:pStyle w:val="Compact"/>
              <w:spacing w:line="360" w:lineRule="auto"/>
            </w:pPr>
            <w:r>
              <w:rPr>
                <w:rFonts w:ascii="Times New Roman" w:hAnsi="Times New Roman" w:cs="Times New Roman" w:eastAsia="Times New Roman"/>
                <w:sz w:val="24"/>
              </w:rPr>
              <w:t xml:space="preserve">Hospitality</w:t>
            </w:r>
          </w:p>
        </w:tc>
        <w:tc>
          <w:tcPr/>
          <w:p>
            <w:pPr>
              <w:pStyle w:val="Compact"/>
              <w:spacing w:line="360" w:lineRule="auto"/>
              <w:jc w:val="right"/>
            </w:pPr>
            <w:r>
              <w:rPr>
                <w:rFonts w:ascii="Times New Roman" w:hAnsi="Times New Roman" w:cs="Times New Roman" w:eastAsia="Times New Roman"/>
                <w:sz w:val="24"/>
              </w:rPr>
              <w:t xml:space="preserve">2 045</w:t>
            </w:r>
          </w:p>
        </w:tc>
      </w:tr>
      <w:tr>
        <w:tc>
          <w:tcPr/>
          <w:p>
            <w:pPr>
              <w:pStyle w:val="Compact"/>
              <w:spacing w:line="360" w:lineRule="auto"/>
            </w:pPr>
            <w:r>
              <w:rPr>
                <w:rFonts w:ascii="Times New Roman" w:hAnsi="Times New Roman" w:cs="Times New Roman" w:eastAsia="Times New Roman"/>
                <w:sz w:val="24"/>
              </w:rPr>
              <w:t xml:space="preserve">Provisioning</w:t>
            </w:r>
          </w:p>
        </w:tc>
        <w:tc>
          <w:tcPr/>
          <w:p>
            <w:pPr>
              <w:pStyle w:val="Compact"/>
              <w:spacing w:line="360" w:lineRule="auto"/>
              <w:jc w:val="right"/>
            </w:pPr>
            <w:r>
              <w:rPr>
                <w:rFonts w:ascii="Times New Roman" w:hAnsi="Times New Roman" w:cs="Times New Roman" w:eastAsia="Times New Roman"/>
                <w:sz w:val="24"/>
              </w:rPr>
              <w:t xml:space="preserve">797</w:t>
            </w:r>
          </w:p>
        </w:tc>
      </w:tr>
      <w:tr>
        <w:tc>
          <w:tcPr/>
          <w:p>
            <w:pPr>
              <w:pStyle w:val="Compact"/>
              <w:spacing w:line="360" w:lineRule="auto"/>
            </w:pPr>
            <w:r>
              <w:rPr>
                <w:rFonts w:ascii="Times New Roman" w:hAnsi="Times New Roman" w:cs="Times New Roman" w:eastAsia="Times New Roman"/>
                <w:sz w:val="24"/>
              </w:rPr>
              <w:t xml:space="preserve">Bunkering</w:t>
            </w:r>
          </w:p>
        </w:tc>
        <w:tc>
          <w:tcPr/>
          <w:p>
            <w:pPr>
              <w:pStyle w:val="Compact"/>
              <w:spacing w:line="360" w:lineRule="auto"/>
              <w:jc w:val="right"/>
            </w:pPr>
            <w:r>
              <w:rPr>
                <w:rFonts w:ascii="Times New Roman" w:hAnsi="Times New Roman" w:cs="Times New Roman" w:eastAsia="Times New Roman"/>
                <w:sz w:val="24"/>
              </w:rPr>
              <w:t xml:space="preserve">591</w:t>
            </w:r>
          </w:p>
        </w:tc>
      </w:tr>
      <w:tr>
        <w:tc>
          <w:tcPr/>
          <w:p>
            <w:pPr>
              <w:pStyle w:val="Compact"/>
              <w:spacing w:line="360" w:lineRule="auto"/>
            </w:pPr>
            <w:r>
              <w:rPr>
                <w:rFonts w:ascii="Times New Roman" w:hAnsi="Times New Roman" w:cs="Times New Roman" w:eastAsia="Times New Roman"/>
                <w:sz w:val="24"/>
              </w:rPr>
              <w:t xml:space="preserve">Agency Fee</w:t>
            </w:r>
          </w:p>
        </w:tc>
        <w:tc>
          <w:tcPr/>
          <w:p>
            <w:pPr>
              <w:pStyle w:val="Compact"/>
              <w:spacing w:line="360" w:lineRule="auto"/>
              <w:jc w:val="right"/>
            </w:pPr>
            <w:r>
              <w:rPr>
                <w:rFonts w:ascii="Times New Roman" w:hAnsi="Times New Roman" w:cs="Times New Roman" w:eastAsia="Times New Roman"/>
                <w:sz w:val="24"/>
              </w:rPr>
              <w:t xml:space="preserve">392</w:t>
            </w:r>
          </w:p>
        </w:tc>
      </w:tr>
      <w:tr>
        <w:tc>
          <w:tcPr/>
          <w:p>
            <w:pPr>
              <w:pStyle w:val="Compact"/>
              <w:spacing w:line="360" w:lineRule="auto"/>
            </w:pPr>
            <w:r>
              <w:rPr>
                <w:rFonts w:ascii="Times New Roman" w:hAnsi="Times New Roman" w:cs="Times New Roman" w:eastAsia="Times New Roman"/>
                <w:b/>
                <w:bCs/>
                <w:sz w:val="24"/>
              </w:rPr>
              <w:t xml:space="preserve">Totalt</w:t>
            </w:r>
          </w:p>
        </w:tc>
        <w:tc>
          <w:tcPr/>
          <w:p>
            <w:pPr>
              <w:pStyle w:val="Compact"/>
              <w:spacing w:line="360" w:lineRule="auto"/>
              <w:jc w:val="right"/>
            </w:pPr>
            <w:r>
              <w:rPr>
                <w:rFonts w:ascii="Times New Roman" w:hAnsi="Times New Roman" w:cs="Times New Roman" w:eastAsia="Times New Roman"/>
                <w:b/>
                <w:bCs/>
                <w:sz w:val="24"/>
              </w:rPr>
              <w:t xml:space="preserve">18 366</w:t>
            </w:r>
          </w:p>
        </w:tc>
      </w:tr>
    </w:tbl>
    <w:p>
      <w:pPr>
        <w:pStyle w:val="BodyText"/>
        <w:spacing w:line="360" w:lineRule="auto"/>
      </w:pPr>
      <w:r>
        <w:rPr>
          <w:rFonts w:ascii="Times New Roman" w:hAnsi="Times New Roman" w:cs="Times New Roman" w:eastAsia="Times New Roman"/>
          <w:sz w:val="24"/>
        </w:rPr>
        <w:t xml:space="preserve">Trafikkvektet historisk spenn (P25 / P50 / P75):</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8 658 / 18 366 / 43 405 EUR</w:t>
      </w:r>
      <w:r>
        <w:rPr>
          <w:rFonts w:ascii="Times New Roman" w:hAnsi="Times New Roman" w:cs="Times New Roman" w:eastAsia="Times New Roman"/>
          <w:sz w:val="24"/>
        </w:rPr>
        <w:t xml:space="preserve">.</w:t>
      </w:r>
    </w:p>
    <w:p>
      <w:pPr>
        <w:pStyle w:val="BodyText"/>
        <w:spacing w:line="360" w:lineRule="auto"/>
      </w:pPr>
      <w:r>
        <w:rPr>
          <w:rFonts w:ascii="Times New Roman" w:hAnsi="Times New Roman" w:cs="Times New Roman" w:eastAsia="Times New Roman"/>
          <w:b/>
          <w:bCs/>
          <w:sz w:val="24"/>
        </w:rPr>
        <w:t xml:space="preserve">Tabell 8.3e.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Norge — stor yacht (GT = 2 400, LOA = 78 m, Loskrav = Ja), juli, 5 dager, medium drivstoff.</w:t>
      </w:r>
    </w:p>
    <w:tbl>
      <w:tblPr>
        <w:tblStyle w:val="Table"/>
        <w:tblW w:type="auto" w:w="0"/>
        <w:tblLook w:firstRow="1" w:lastRow="0" w:firstColumn="0" w:lastColumn="0" w:noHBand="0" w:noVBand="0" w:val="0020"/>
      </w:tblPr>
      <w:tblGrid>
        <w:gridCol w:w="3960"/>
        <w:gridCol w:w="3960"/>
      </w:tblGrid>
      <w:tr>
        <w:trPr>
          <w:tblHeader w:val="on"/>
        </w:trPr>
        <w:tc>
          <w:tcPr/>
          <w:p>
            <w:pPr>
              <w:pStyle w:val="Compact"/>
              <w:spacing w:line="360" w:lineRule="auto"/>
            </w:pPr>
            <w:r>
              <w:rPr>
                <w:rFonts w:ascii="Times New Roman" w:hAnsi="Times New Roman" w:cs="Times New Roman" w:eastAsia="Times New Roman"/>
                <w:sz w:val="24"/>
              </w:rPr>
              <w:t xml:space="preserve">Tjeneste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kategori</w:t>
            </w:r>
          </w:p>
        </w:tc>
        <w:tc>
          <w:tcPr/>
          <w:p>
            <w:pPr>
              <w:pStyle w:val="Compact"/>
              <w:spacing w:line="360" w:lineRule="auto"/>
              <w:jc w:val="right"/>
            </w:pPr>
            <w:r>
              <w:rPr>
                <w:rFonts w:ascii="Times New Roman" w:hAnsi="Times New Roman" w:cs="Times New Roman" w:eastAsia="Times New Roman"/>
                <w:sz w:val="24"/>
              </w:rPr>
              <w:t xml:space="preserve">Estimert kostnad (EUR)</w:t>
            </w:r>
          </w:p>
        </w:tc>
      </w:tr>
      <w:tr>
        <w:tc>
          <w:tcPr/>
          <w:p>
            <w:pPr>
              <w:pStyle w:val="Compact"/>
              <w:spacing w:line="360" w:lineRule="auto"/>
            </w:pPr>
            <w:r>
              <w:rPr>
                <w:rFonts w:ascii="Times New Roman" w:hAnsi="Times New Roman" w:cs="Times New Roman" w:eastAsia="Times New Roman"/>
                <w:sz w:val="24"/>
              </w:rPr>
              <w:t xml:space="preserve">Port Marina</w:t>
            </w:r>
          </w:p>
        </w:tc>
        <w:tc>
          <w:tcPr/>
          <w:p>
            <w:pPr>
              <w:pStyle w:val="Compact"/>
              <w:spacing w:line="360" w:lineRule="auto"/>
              <w:jc w:val="right"/>
            </w:pPr>
            <w:r>
              <w:rPr>
                <w:rFonts w:ascii="Times New Roman" w:hAnsi="Times New Roman" w:cs="Times New Roman" w:eastAsia="Times New Roman"/>
                <w:sz w:val="24"/>
              </w:rPr>
              <w:t xml:space="preserve">10 723</w:t>
            </w:r>
          </w:p>
        </w:tc>
      </w:tr>
      <w:tr>
        <w:tc>
          <w:tcPr/>
          <w:p>
            <w:pPr>
              <w:pStyle w:val="Compact"/>
              <w:spacing w:line="360" w:lineRule="auto"/>
            </w:pPr>
            <w:r>
              <w:rPr>
                <w:rFonts w:ascii="Times New Roman" w:hAnsi="Times New Roman" w:cs="Times New Roman" w:eastAsia="Times New Roman"/>
                <w:sz w:val="24"/>
              </w:rPr>
              <w:t xml:space="preserve">Provisioning</w:t>
            </w:r>
          </w:p>
        </w:tc>
        <w:tc>
          <w:tcPr/>
          <w:p>
            <w:pPr>
              <w:pStyle w:val="Compact"/>
              <w:spacing w:line="360" w:lineRule="auto"/>
              <w:jc w:val="right"/>
            </w:pPr>
            <w:r>
              <w:rPr>
                <w:rFonts w:ascii="Times New Roman" w:hAnsi="Times New Roman" w:cs="Times New Roman" w:eastAsia="Times New Roman"/>
                <w:sz w:val="24"/>
              </w:rPr>
              <w:t xml:space="preserve">5 547</w:t>
            </w:r>
          </w:p>
        </w:tc>
      </w:tr>
      <w:tr>
        <w:tc>
          <w:tcPr/>
          <w:p>
            <w:pPr>
              <w:pStyle w:val="Compact"/>
              <w:spacing w:line="360" w:lineRule="auto"/>
            </w:pPr>
            <w:r>
              <w:rPr>
                <w:rFonts w:ascii="Times New Roman" w:hAnsi="Times New Roman" w:cs="Times New Roman" w:eastAsia="Times New Roman"/>
                <w:sz w:val="24"/>
              </w:rPr>
              <w:t xml:space="preserve">Technical Services</w:t>
            </w:r>
          </w:p>
        </w:tc>
        <w:tc>
          <w:tcPr/>
          <w:p>
            <w:pPr>
              <w:pStyle w:val="Compact"/>
              <w:spacing w:line="360" w:lineRule="auto"/>
              <w:jc w:val="right"/>
            </w:pPr>
            <w:r>
              <w:rPr>
                <w:rFonts w:ascii="Times New Roman" w:hAnsi="Times New Roman" w:cs="Times New Roman" w:eastAsia="Times New Roman"/>
                <w:sz w:val="24"/>
              </w:rPr>
              <w:t xml:space="preserve">4 412</w:t>
            </w:r>
          </w:p>
        </w:tc>
      </w:tr>
      <w:tr>
        <w:tc>
          <w:tcPr/>
          <w:p>
            <w:pPr>
              <w:pStyle w:val="Compact"/>
              <w:spacing w:line="360" w:lineRule="auto"/>
            </w:pPr>
            <w:r>
              <w:rPr>
                <w:rFonts w:ascii="Times New Roman" w:hAnsi="Times New Roman" w:cs="Times New Roman" w:eastAsia="Times New Roman"/>
                <w:sz w:val="24"/>
              </w:rPr>
              <w:t xml:space="preserve">Hospitality</w:t>
            </w:r>
          </w:p>
        </w:tc>
        <w:tc>
          <w:tcPr/>
          <w:p>
            <w:pPr>
              <w:pStyle w:val="Compact"/>
              <w:spacing w:line="360" w:lineRule="auto"/>
              <w:jc w:val="right"/>
            </w:pPr>
            <w:r>
              <w:rPr>
                <w:rFonts w:ascii="Times New Roman" w:hAnsi="Times New Roman" w:cs="Times New Roman" w:eastAsia="Times New Roman"/>
                <w:sz w:val="24"/>
              </w:rPr>
              <w:t xml:space="preserve">3 918</w:t>
            </w:r>
          </w:p>
        </w:tc>
      </w:tr>
      <w:tr>
        <w:tc>
          <w:tcPr/>
          <w:p>
            <w:pPr>
              <w:pStyle w:val="Compact"/>
              <w:spacing w:line="360" w:lineRule="auto"/>
            </w:pPr>
            <w:r>
              <w:rPr>
                <w:rFonts w:ascii="Times New Roman" w:hAnsi="Times New Roman" w:cs="Times New Roman" w:eastAsia="Times New Roman"/>
                <w:sz w:val="24"/>
              </w:rPr>
              <w:t xml:space="preserve">Agency Services</w:t>
            </w:r>
          </w:p>
        </w:tc>
        <w:tc>
          <w:tcPr/>
          <w:p>
            <w:pPr>
              <w:pStyle w:val="Compact"/>
              <w:spacing w:line="360" w:lineRule="auto"/>
              <w:jc w:val="right"/>
            </w:pPr>
            <w:r>
              <w:rPr>
                <w:rFonts w:ascii="Times New Roman" w:hAnsi="Times New Roman" w:cs="Times New Roman" w:eastAsia="Times New Roman"/>
                <w:sz w:val="24"/>
              </w:rPr>
              <w:t xml:space="preserve">3 781</w:t>
            </w:r>
          </w:p>
        </w:tc>
      </w:tr>
      <w:tr>
        <w:tc>
          <w:tcPr/>
          <w:p>
            <w:pPr>
              <w:pStyle w:val="Compact"/>
              <w:spacing w:line="360" w:lineRule="auto"/>
            </w:pPr>
            <w:r>
              <w:rPr>
                <w:rFonts w:ascii="Times New Roman" w:hAnsi="Times New Roman" w:cs="Times New Roman" w:eastAsia="Times New Roman"/>
                <w:sz w:val="24"/>
              </w:rPr>
              <w:t xml:space="preserve">Agency Fee</w:t>
            </w:r>
          </w:p>
        </w:tc>
        <w:tc>
          <w:tcPr/>
          <w:p>
            <w:pPr>
              <w:pStyle w:val="Compact"/>
              <w:spacing w:line="360" w:lineRule="auto"/>
              <w:jc w:val="right"/>
            </w:pPr>
            <w:r>
              <w:rPr>
                <w:rFonts w:ascii="Times New Roman" w:hAnsi="Times New Roman" w:cs="Times New Roman" w:eastAsia="Times New Roman"/>
                <w:sz w:val="24"/>
              </w:rPr>
              <w:t xml:space="preserve">2 311</w:t>
            </w:r>
          </w:p>
        </w:tc>
      </w:tr>
      <w:tr>
        <w:tc>
          <w:tcPr/>
          <w:p>
            <w:pPr>
              <w:pStyle w:val="Compact"/>
              <w:spacing w:line="360" w:lineRule="auto"/>
            </w:pPr>
            <w:r>
              <w:rPr>
                <w:rFonts w:ascii="Times New Roman" w:hAnsi="Times New Roman" w:cs="Times New Roman" w:eastAsia="Times New Roman"/>
                <w:sz w:val="24"/>
              </w:rPr>
              <w:t xml:space="preserve">Bunkering</w:t>
            </w:r>
          </w:p>
        </w:tc>
        <w:tc>
          <w:tcPr/>
          <w:p>
            <w:pPr>
              <w:pStyle w:val="Compact"/>
              <w:spacing w:line="360" w:lineRule="auto"/>
              <w:jc w:val="right"/>
            </w:pPr>
            <w:r>
              <w:rPr>
                <w:rFonts w:ascii="Times New Roman" w:hAnsi="Times New Roman" w:cs="Times New Roman" w:eastAsia="Times New Roman"/>
                <w:sz w:val="24"/>
              </w:rPr>
              <w:t xml:space="preserve">981</w:t>
            </w:r>
          </w:p>
        </w:tc>
      </w:tr>
      <w:tr>
        <w:tc>
          <w:tcPr/>
          <w:p>
            <w:pPr>
              <w:pStyle w:val="Compact"/>
              <w:spacing w:line="360" w:lineRule="auto"/>
            </w:pPr>
            <w:r>
              <w:rPr>
                <w:rFonts w:ascii="Times New Roman" w:hAnsi="Times New Roman" w:cs="Times New Roman" w:eastAsia="Times New Roman"/>
                <w:b/>
                <w:bCs/>
                <w:sz w:val="24"/>
              </w:rPr>
              <w:t xml:space="preserve">Totalt</w:t>
            </w:r>
          </w:p>
        </w:tc>
        <w:tc>
          <w:tcPr/>
          <w:p>
            <w:pPr>
              <w:pStyle w:val="Compact"/>
              <w:spacing w:line="360" w:lineRule="auto"/>
              <w:jc w:val="right"/>
            </w:pPr>
            <w:r>
              <w:rPr>
                <w:rFonts w:ascii="Times New Roman" w:hAnsi="Times New Roman" w:cs="Times New Roman" w:eastAsia="Times New Roman"/>
                <w:b/>
                <w:bCs/>
                <w:sz w:val="24"/>
              </w:rPr>
              <w:t xml:space="preserve">31 673</w:t>
            </w:r>
          </w:p>
        </w:tc>
      </w:tr>
    </w:tbl>
    <w:p>
      <w:pPr>
        <w:pStyle w:val="BodyText"/>
        <w:spacing w:line="360" w:lineRule="auto"/>
      </w:pPr>
      <w:r>
        <w:rPr>
          <w:rFonts w:ascii="Times New Roman" w:hAnsi="Times New Roman" w:cs="Times New Roman" w:eastAsia="Times New Roman"/>
          <w:sz w:val="24"/>
        </w:rPr>
        <w:t xml:space="preserve">Trafikkvektet historisk spenn (P25 / P50 / P75):</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14 223 / 31 673 / 67 697 EUR</w:t>
      </w:r>
      <w:r>
        <w:rPr>
          <w:rFonts w:ascii="Times New Roman" w:hAnsi="Times New Roman" w:cs="Times New Roman" w:eastAsia="Times New Roman"/>
          <w:sz w:val="24"/>
        </w:rPr>
        <w:t xml:space="preserve">.</w:t>
      </w:r>
    </w:p>
    <w:p>
      <w:pPr>
        <w:pStyle w:val="BodyText"/>
        <w:spacing w:line="360" w:lineRule="auto"/>
      </w:pPr>
      <w:r>
        <w:rPr>
          <w:rFonts w:ascii="Times New Roman" w:hAnsi="Times New Roman" w:cs="Times New Roman" w:eastAsia="Times New Roman"/>
          <w:sz w:val="24"/>
        </w:rPr>
        <w:t xml:space="preserve">I alle fem eksempler (tabell 8.3a–e) plasserer modellestimatet seg nær den trafikkvektede medianen (P50), og innenfor P25–P75-båndet. Tjeneste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miksen varierer tydelig mellom land: Danmark har høyere Port Marina- og Bunkering-andel, Sverige har jevnere fordeling, og store norske anløp domineres av Port Marina og Provisioning. Bunkers-tallene er imidlertid sannsynlighets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veide modell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estimater og bruker ikke reise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distansen — denne begrensningen drøftes i § 9.5. For tabell 8.3e (Loskrav = Ja) er det heller</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ikke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lagt til obligatorisk los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kostnad i tallene; modellen ser los som en sannsynlig linje, ikke som obligatorisk for LOA &gt; 70 m, jf. § 9.5.</w:t>
      </w:r>
    </w:p>
    <w:bookmarkEnd w:id="78"/>
    <w:bookmarkStart w:id="79" w:name="operasjonell-ytelse"/>
    <w:p>
      <w:pPr>
        <w:pStyle w:val="Heading3"/>
        <w:spacing w:line="360" w:lineRule="auto"/>
      </w:pPr>
      <w:r>
        <w:rPr>
          <w:rFonts w:ascii="Times New Roman" w:hAnsi="Times New Roman" w:cs="Times New Roman" w:eastAsia="Times New Roman"/>
          <w:sz w:val="24"/>
        </w:rPr>
        <w:t xml:space="preserve">8.4 Operasjonell ytelse</w:t>
      </w:r>
    </w:p>
    <w:p>
      <w:pPr>
        <w:pStyle w:val="FirstParagraph"/>
        <w:spacing w:line="360" w:lineRule="auto"/>
      </w:pPr>
      <w:r>
        <w:rPr>
          <w:rFonts w:ascii="Times New Roman" w:hAnsi="Times New Roman" w:cs="Times New Roman" w:eastAsia="Times New Roman"/>
          <w:sz w:val="24"/>
        </w:rPr>
        <w:t xml:space="preserve">Backend (</w:t>
      </w:r>
      <w:r>
        <w:rPr>
          <w:rStyle w:val="VerbatimChar"/>
          <w:rFonts w:ascii="Times New Roman" w:hAnsi="Times New Roman" w:cs="Times New Roman" w:eastAsia="Times New Roman"/>
          <w:sz w:val="24"/>
        </w:rPr>
        <w:t xml:space="preserve">FastAPI</w:t>
      </w:r>
      <w:r>
        <w:rPr>
          <w:rFonts w:ascii="Times New Roman" w:hAnsi="Times New Roman" w:cs="Times New Roman" w:eastAsia="Times New Roman"/>
          <w:sz w:val="24"/>
        </w:rPr>
        <w:t xml:space="preserve">) på en vanlig utviklermaskin (16 GB RAM, AMD Ryzen-klasse CPU) responderer på</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POST /api/predict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på under 200 ms i kald start og under 50 ms ved varm last. Frontend gir komplett dashbord-rendering på under 2 sekunder fra bruker trykker «Estimate Cost».</w:t>
      </w:r>
    </w:p>
    <w:p>
      <w:pPr>
        <w:spacing w:line="360" w:lineRule="auto"/>
      </w:pPr>
      <w:r>
        <w:rPr>
          <w:rFonts w:ascii="Times New Roman" w:hAnsi="Times New Roman" w:cs="Times New Roman" w:eastAsia="Times New Roman"/>
          <w:sz w:val="24"/>
        </w:rPr>
        <w:pict>
          <v:rect style="width:0;height:1.5pt" o:hralign="center" o:hrstd="t" o:hr="t"/>
        </w:pict>
      </w:r>
    </w:p>
    <w:bookmarkEnd w:id="79"/>
    <w:bookmarkEnd w:id="80"/>
    <w:bookmarkStart w:id="97" w:name="diskusjon"/>
    <w:p>
      <w:pPr>
        <w:pStyle w:val="Heading2"/>
        <w:spacing w:line="360" w:lineRule="auto"/>
      </w:pPr>
      <w:r>
        <w:rPr>
          <w:rFonts w:ascii="Times New Roman" w:hAnsi="Times New Roman" w:cs="Times New Roman" w:eastAsia="Times New Roman"/>
          <w:sz w:val="24"/>
        </w:rPr>
        <w:t xml:space="preserve">9. Diskusjon</w:t>
      </w:r>
    </w:p>
    <w:bookmarkStart w:id="81" w:name="tolkning-av-resultatene"/>
    <w:p>
      <w:pPr>
        <w:pStyle w:val="Heading3"/>
        <w:spacing w:line="360" w:lineRule="auto"/>
      </w:pPr>
      <w:r>
        <w:rPr>
          <w:rFonts w:ascii="Times New Roman" w:hAnsi="Times New Roman" w:cs="Times New Roman" w:eastAsia="Times New Roman"/>
          <w:sz w:val="24"/>
        </w:rPr>
        <w:t xml:space="preserve">9.1 Tolkning av resultatene</w:t>
      </w:r>
    </w:p>
    <w:p>
      <w:pPr>
        <w:pStyle w:val="FirstParagraph"/>
        <w:spacing w:line="360" w:lineRule="auto"/>
      </w:pPr>
      <w:r>
        <w:rPr>
          <w:rFonts w:ascii="Times New Roman" w:hAnsi="Times New Roman" w:cs="Times New Roman" w:eastAsia="Times New Roman"/>
          <w:sz w:val="24"/>
        </w:rPr>
        <w:t xml:space="preserve">Ensemble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modellen oppnår en absolutt feil (MAE = 17 350 EUR på val=2024; MAE = 19 051 EUR på test=2025, jf. tabell 8.2) som ved første blikk virker høy. Tre forhold må holdes i mente.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For det første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er feilen målt på transaksjons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nivå, og en transaksjon kan variere fra 2 039 EUR (P25) til over 91 248 EUR (P95) i datasettet — gjennom</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snittlig prosentvis avvik (MAPE) på 168 % gjenspeiler primært at noen få ekstreme transaksjoner trekker MAPE opp, ikke at typisk presisjon er svak. Dette er et empirisk uttrykk for det log-transformerte tap</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landskapet drøftet i § 3.4: modellen optimerer L2 i log-rommet, og store relative feil i ti-EUR-størrelses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ordener bidrar uforholdsmessig lite til log-tapet, samtidig som de blåser opp MAPE i absolutt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rommet.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For det andre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plasserer wMAPE-tallet (71,4 % val, 74,3 % test) NautiCost i den nedre enden av sammenlignbare studier: Jang et al. (2023) rapporterer wMAPE rundt 65–75 % for LightGBM på fraktkostnads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prediksjon i en lignende heterogen, tabulær setting med n ~ 7 000 transaksjoner; Su et al. (2024) rapporterer relative feil i samme størrelses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orden (60–80 %) for ro-ro-drivstoff</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prediksjon. Vårt resultat er dermed kvantitativt sammenlignbart med eksisterende litteratur, til tross for et betydelig mindre datasett (1 633 vs. ≥ 5 000 i de refererte studiene). At gradient-boosting-modellene slår både median</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baseline (wMAPE 89,8 %) og ridge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regresjon (75,1 %) bekrefter også Jang et al. (2023) sin kjerne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observasjon: trebaserte modeller dominerer lineære alternativer på heterogene tabulære data.</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For det tredje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er det de aggregerte anløps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estimatene (§ 8.3) som er den operasjonelle målestokken — der har medianestimatet plassert seg innenfor det historiske P25–P75-båndet i alle fem eksempler vi har testet, og det er den presisjonen som spiller størst rolle for agentkoordinator.</w:t>
      </w:r>
    </w:p>
    <w:bookmarkEnd w:id="81"/>
    <w:bookmarkStart w:id="82" w:name="X244671d3f5a9d81faac214b94d413d8f6763369"/>
    <w:p>
      <w:pPr>
        <w:pStyle w:val="Heading3"/>
        <w:spacing w:line="360" w:lineRule="auto"/>
      </w:pPr>
      <w:r>
        <w:rPr>
          <w:rFonts w:ascii="Times New Roman" w:hAnsi="Times New Roman" w:cs="Times New Roman" w:eastAsia="Times New Roman"/>
          <w:sz w:val="24"/>
        </w:rPr>
        <w:t xml:space="preserve">9.2 Forholdet mellom ensemble og enkelt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modellene</w:t>
      </w:r>
    </w:p>
    <w:p>
      <w:pPr>
        <w:pStyle w:val="FirstParagraph"/>
        <w:spacing w:line="360" w:lineRule="auto"/>
      </w:pPr>
      <w:r>
        <w:rPr>
          <w:rFonts w:ascii="Times New Roman" w:hAnsi="Times New Roman" w:cs="Times New Roman" w:eastAsia="Times New Roman"/>
          <w:sz w:val="24"/>
        </w:rPr>
        <w:t xml:space="preserve">På valideringssettet (2024) er LightGBM (base) marginalt best på MAE (17 317 EUR) og RMSE (54 476 EUR), mens ensemble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modellen vinner på MAPE (168,3 %). Rangeringen mellom de to er innenfor støy</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nivået, og det er ingen statistisk signifikant forskjell mellom dem på 490 transaksjoner. Forskjellene speiler det generelle bildet i Shwartz-Ziv &amp; Armon (2022) og Grinsztajn et al. (2022): på heterogene tabulære data i mellom</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størrelse er gradient-boosting-modeller mer eller mindre likeverdige, og ensembler gir marginal varians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reduksjon snarere enn vesentlig MAE-forbedring. Et interessant biprodukt av re-splittingen er at den Optuna-tunede LightGBM-modellen presterer dårligere (17 837 EUR) enn base-modellen — et tegn på at hyperparameter</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søket kan ha overtilpasset seg den spesifikke fold-strukturen i kryssvalideringen. Dette minner oss om at bayesiansk optimering på små valider</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ingssett er sårbart, og argumenterer for å beholde en enkelt-modell-fallback ved re-trening. Ensemble velges som produksjons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modell fordi varians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reduksjon mellom CatBoost og tunet LightGBM gir mer robust adferd ved drift i underliggende data</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distribusjon.</w:t>
      </w:r>
    </w:p>
    <w:p>
      <w:pPr>
        <w:pStyle w:val="BodyText"/>
        <w:spacing w:line="360" w:lineRule="auto"/>
      </w:pPr>
      <w:r>
        <w:rPr>
          <w:rFonts w:ascii="Times New Roman" w:hAnsi="Times New Roman" w:cs="Times New Roman" w:eastAsia="Times New Roman"/>
          <w:sz w:val="24"/>
        </w:rPr>
        <w:t xml:space="preserve">CQR-korreksjonen på 3 EUR (§ 6.4 og § 8.2) er teoretisk forventet</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gitt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de underliggende kvantil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modellene er korrekt spesifisert. Det at korreksjonen ble så liten, betyr ikke at usikkerhets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båndene er like små for hele kostnads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domenet — det betyr at residual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fordelingen som kvantil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modellene ser ut fra log-trans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formerte features samsvarer med antakelsen i Romano et al. (2019). En viktig nyanse fra konform</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prediksjons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teorien (Shafer &amp; Vovk, 2008; Romano et al., 2019) er imidlertid at CQR-garantien gjelder</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marginal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dekning over hele test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distribusjonen, ikke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betinget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dekning på subpopulasjoner. I et regime der en sentral kostnads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driver (</w:t>
      </w:r>
      <w:r>
        <w:rPr>
          <w:rStyle w:val="VerbatimChar"/>
          <w:rFonts w:ascii="Times New Roman" w:hAnsi="Times New Roman" w:cs="Times New Roman" w:eastAsia="Times New Roman"/>
          <w:sz w:val="24"/>
        </w:rPr>
        <w:t xml:space="preserve">guest_experience</w:t>
      </w:r>
      <w:r>
        <w:rPr>
          <w:rFonts w:ascii="Times New Roman" w:hAnsi="Times New Roman" w:cs="Times New Roman" w:eastAsia="Times New Roman"/>
          <w:sz w:val="24"/>
        </w:rPr>
        <w:t xml:space="preserve">) er fraværende fra feature-settet (§ 9.5.4), kan båndet være for smalt for noen kategorier (særlig Provisions); CQR korrigerer ikke for en manglende feature den ikke kan observere. Dette er den empiriske illustrasjonen av forskjellen mellom marginal og betinget dekning som § 1.5 punkt (ii) peker på som ett av studiens bidrag.</w:t>
      </w:r>
    </w:p>
    <w:bookmarkEnd w:id="82"/>
    <w:bookmarkStart w:id="83" w:name="modellens-styrker"/>
    <w:p>
      <w:pPr>
        <w:pStyle w:val="Heading3"/>
        <w:spacing w:line="360" w:lineRule="auto"/>
      </w:pPr>
      <w:r>
        <w:rPr>
          <w:rFonts w:ascii="Times New Roman" w:hAnsi="Times New Roman" w:cs="Times New Roman" w:eastAsia="Times New Roman"/>
          <w:sz w:val="24"/>
        </w:rPr>
        <w:t xml:space="preserve">9.3 Modellens styrker</w:t>
      </w:r>
    </w:p>
    <w:p>
      <w:pPr>
        <w:pStyle w:val="Compact"/>
        <w:numPr>
          <w:ilvl w:val="0"/>
          <w:numId w:val="1015"/>
        </w:numPr>
        <w:spacing w:line="360" w:lineRule="auto"/>
      </w:pPr>
      <w:r>
        <w:rPr>
          <w:rFonts w:ascii="Times New Roman" w:hAnsi="Times New Roman" w:cs="Times New Roman" w:eastAsia="Times New Roman"/>
          <w:b/>
          <w:bCs/>
          <w:sz w:val="24"/>
        </w:rPr>
        <w:t xml:space="preserve">Kalibrering mot historiske persentiler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6.5) gjør at totalen alltid forankres i empirisk virkelighet, og eliminerer urealistisk lave estimater som rene transaksjons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summer kan produsere.</w:t>
      </w:r>
    </w:p>
    <w:p>
      <w:pPr>
        <w:pStyle w:val="Compact"/>
        <w:numPr>
          <w:ilvl w:val="0"/>
          <w:numId w:val="1015"/>
        </w:numPr>
        <w:spacing w:line="360" w:lineRule="auto"/>
      </w:pPr>
      <w:r>
        <w:rPr>
          <w:rFonts w:ascii="Times New Roman" w:hAnsi="Times New Roman" w:cs="Times New Roman" w:eastAsia="Times New Roman"/>
          <w:b/>
          <w:bCs/>
          <w:sz w:val="24"/>
        </w:rPr>
        <w:t xml:space="preserve">Kvantil</w:t>
      </w:r>
      <w:r>
        <w:rPr>
          <w:rFonts w:ascii="Times New Roman" w:hAnsi="Times New Roman" w:cs="Times New Roman" w:eastAsia="Times New Roman"/>
          <w:b/>
          <w:bCs/>
          <w:sz w:val="24"/>
        </w:rPr>
        <w:softHyphen/>
      </w:r>
      <w:r>
        <w:rPr>
          <w:rFonts w:ascii="Times New Roman" w:hAnsi="Times New Roman" w:cs="Times New Roman" w:eastAsia="Times New Roman"/>
          <w:b/>
          <w:bCs/>
          <w:sz w:val="24"/>
        </w:rPr>
        <w:t xml:space="preserve">modeller med CQR-kalibrering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gir et håndfast usikkerhetsbånd som er enklere å kommunisere til kunde enn et nakent punktestimat.</w:t>
      </w:r>
    </w:p>
    <w:p>
      <w:pPr>
        <w:pStyle w:val="Compact"/>
        <w:numPr>
          <w:ilvl w:val="0"/>
          <w:numId w:val="1015"/>
        </w:numPr>
        <w:spacing w:line="360" w:lineRule="auto"/>
      </w:pPr>
      <w:r>
        <w:rPr>
          <w:rFonts w:ascii="Times New Roman" w:hAnsi="Times New Roman" w:cs="Times New Roman" w:eastAsia="Times New Roman"/>
          <w:b/>
          <w:bCs/>
          <w:sz w:val="24"/>
        </w:rPr>
        <w:t xml:space="preserve">Tids</w:t>
      </w:r>
      <w:r>
        <w:rPr>
          <w:rFonts w:ascii="Times New Roman" w:hAnsi="Times New Roman" w:cs="Times New Roman" w:eastAsia="Times New Roman"/>
          <w:b/>
          <w:bCs/>
          <w:sz w:val="24"/>
        </w:rPr>
        <w:softHyphen/>
      </w:r>
      <w:r>
        <w:rPr>
          <w:rFonts w:ascii="Times New Roman" w:hAnsi="Times New Roman" w:cs="Times New Roman" w:eastAsia="Times New Roman"/>
          <w:b/>
          <w:bCs/>
          <w:sz w:val="24"/>
        </w:rPr>
        <w:t xml:space="preserve">basert split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speiler hvordan modellen brukes operasjonelt og fjerner risiko for optimistiske prestasjons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tall fra tilfeldig split.</w:t>
      </w:r>
    </w:p>
    <w:bookmarkEnd w:id="83"/>
    <w:bookmarkStart w:id="84" w:name="X56aa68e323ecedcef833e61fdd58166787950c3"/>
    <w:p>
      <w:pPr>
        <w:pStyle w:val="Heading3"/>
        <w:spacing w:line="360" w:lineRule="auto"/>
      </w:pPr>
      <w:r>
        <w:rPr>
          <w:rFonts w:ascii="Times New Roman" w:hAnsi="Times New Roman" w:cs="Times New Roman" w:eastAsia="Times New Roman"/>
          <w:sz w:val="24"/>
        </w:rPr>
        <w:t xml:space="preserve">9.4 Modellens svakheter — kritisk drøfting og forsvar</w:t>
      </w:r>
    </w:p>
    <w:p>
      <w:pPr>
        <w:pStyle w:val="FirstParagraph"/>
        <w:spacing w:line="360" w:lineRule="auto"/>
      </w:pPr>
      <w:r>
        <w:rPr>
          <w:rFonts w:ascii="Times New Roman" w:hAnsi="Times New Roman" w:cs="Times New Roman" w:eastAsia="Times New Roman"/>
          <w:sz w:val="24"/>
        </w:rPr>
        <w:t xml:space="preserve">For en master-rapport er det ikke nok å liste svakheter; hver svakhet må også</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forsvares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det vil si begrunnes som enten et bevisst metodisk valg, en akseptert begrensning gitt rammene, eller et åpent punkt for videre arbeid. Vi grupperer i fire klynger og gir for hver svakhet både en beskrivelse og et forsvar. En mer detaljert refleksjon over hvordan utfordringene ble håndtert underveis ligger i § 9.7.</w:t>
      </w:r>
    </w:p>
    <w:p>
      <w:pPr>
        <w:pStyle w:val="BodyText"/>
        <w:spacing w:line="360" w:lineRule="auto"/>
      </w:pPr>
      <w:r>
        <w:rPr>
          <w:rFonts w:ascii="Times New Roman" w:hAnsi="Times New Roman" w:cs="Times New Roman" w:eastAsia="Times New Roman"/>
          <w:b/>
          <w:bCs/>
          <w:sz w:val="24"/>
        </w:rPr>
        <w:t xml:space="preserve">Data</w:t>
      </w:r>
      <w:r>
        <w:rPr>
          <w:rFonts w:ascii="Times New Roman" w:hAnsi="Times New Roman" w:cs="Times New Roman" w:eastAsia="Times New Roman"/>
          <w:b/>
          <w:bCs/>
          <w:sz w:val="24"/>
        </w:rPr>
        <w:softHyphen/>
      </w:r>
      <w:r>
        <w:rPr>
          <w:rFonts w:ascii="Times New Roman" w:hAnsi="Times New Roman" w:cs="Times New Roman" w:eastAsia="Times New Roman"/>
          <w:b/>
          <w:bCs/>
          <w:sz w:val="24"/>
        </w:rPr>
        <w:t xml:space="preserve">svakheter (1–7).</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Tynn flåte (n = 17):</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den strukturelt største svakheten — modellen kan ha lært yacht-spesifikke mønstre.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Forsvar: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avgrensningen er eksplisitt i § 1.3, hybrid persentil-kalibrering forankrer estimatet i empirisk virkelighet, og videre arbeid punkt 1 lukker det med utvidet flåte. (2)</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Mellomstor underrepresentert (n = 113, dekning 74 %):</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operasjonelt problem.</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Forsvar: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dokumentert i § 8.2 og synliggjort; lukkes ved mer data. (3)</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Sjeldne havner (Stavanger n=3, Kristiansand n=8):</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hybrid-kalibreringen kollapser til rent modell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estimat.</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Forsvar: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HISTORICAL_RANGES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rapporterer ikke usikkerhet for disse — modellen er ærlig om når den ikke kan kalibrere. (4)</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Manglende</w:t>
      </w:r>
      <w:r>
        <w:rPr>
          <w:rFonts w:ascii="Times New Roman" w:hAnsi="Times New Roman" w:cs="Times New Roman" w:eastAsia="Times New Roman"/>
          <w:i/>
          <w:iCs/>
          <w:sz w:val="24"/>
        </w:rPr>
        <w:t xml:space="preserve"> </w:t>
      </w:r>
      <w:r>
        <w:rPr>
          <w:rStyle w:val="VerbatimChar"/>
          <w:rFonts w:ascii="Times New Roman" w:hAnsi="Times New Roman" w:cs="Times New Roman" w:eastAsia="Times New Roman"/>
          <w:i/>
          <w:iCs/>
          <w:sz w:val="24"/>
        </w:rPr>
        <w:t xml:space="preserve">guest_experience</w:t>
      </w:r>
      <w:r>
        <w:rPr>
          <w:rFonts w:ascii="Times New Roman" w:hAnsi="Times New Roman" w:cs="Times New Roman" w:eastAsia="Times New Roman"/>
          <w:i/>
          <w:iCs/>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hovedfaktor for Provisions mangler i kildedata.</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Forsvar: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operasjonell rubrikk er foreslått i Vedlegg E; vi har bevisst valgt å</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ikke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simulere data syntetisk. CQR-begrensningen som følger er løftet fram som ett av studiens akademiske bidrag (§ 1.5 punkt ii). (5)</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Ingen inflasjons</w:t>
      </w:r>
      <w:r>
        <w:rPr>
          <w:rFonts w:ascii="Times New Roman" w:hAnsi="Times New Roman" w:cs="Times New Roman" w:eastAsia="Times New Roman"/>
          <w:i/>
          <w:iCs/>
          <w:sz w:val="24"/>
        </w:rPr>
        <w:softHyphen/>
      </w:r>
      <w:r>
        <w:rPr>
          <w:rFonts w:ascii="Times New Roman" w:hAnsi="Times New Roman" w:cs="Times New Roman" w:eastAsia="Times New Roman"/>
          <w:i/>
          <w:iCs/>
          <w:sz w:val="24"/>
        </w:rPr>
        <w:t xml:space="preserve">justering: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15–20 % kumulert inflasjon 2020–2025 ikke kompensert.</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Forsvar: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eldste rader (2020–2021) er underrepresentert (n = 163 av 1 633), så drift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effekten er begrenset; rullerende re-trening er videre arbeid punkt 2. (6)</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Konstant vekslingskurs: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en 5 % NOK-bevegelse gir 5 % bias i NOK-rapporten.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Forsvar: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modellen er trent og evaluert i EUR (kildevaluta); valuta</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konvertering er adskilt fra modellfeil og kan oppdateres uten re-trening. (7)</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Ingen outlier-trimming i evaluering: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P95/P50 ≈ 12.</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Forsvar: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trening bruker P99-cap (§ 5.4); evaluering på faktiske verdier er bevisst valg fordi en operasjonell sensor skal se modellens reelle adferd.</w:t>
      </w:r>
    </w:p>
    <w:p>
      <w:pPr>
        <w:pStyle w:val="BodyText"/>
        <w:spacing w:line="360" w:lineRule="auto"/>
      </w:pPr>
      <w:r>
        <w:rPr>
          <w:rFonts w:ascii="Times New Roman" w:hAnsi="Times New Roman" w:cs="Times New Roman" w:eastAsia="Times New Roman"/>
          <w:b/>
          <w:bCs/>
          <w:sz w:val="24"/>
        </w:rPr>
        <w:t xml:space="preserve">Modell</w:t>
      </w:r>
      <w:r>
        <w:rPr>
          <w:rFonts w:ascii="Times New Roman" w:hAnsi="Times New Roman" w:cs="Times New Roman" w:eastAsia="Times New Roman"/>
          <w:b/>
          <w:bCs/>
          <w:sz w:val="24"/>
        </w:rPr>
        <w:softHyphen/>
      </w:r>
      <w:r>
        <w:rPr>
          <w:rFonts w:ascii="Times New Roman" w:hAnsi="Times New Roman" w:cs="Times New Roman" w:eastAsia="Times New Roman"/>
          <w:b/>
          <w:bCs/>
          <w:sz w:val="24"/>
        </w:rPr>
        <w:t xml:space="preserve">svakheter (8–12).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(8)</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Optuna-tunet ble dårligere enn base: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tegn på overtilpasning til 5-fold CV på 490 valideringsrader.</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Forsvar: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empirisk argument for å beholde base som fallback ved re-trening; identifisert og rapportert åpent. (9)</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Ensemble-gevinsten er statistisk insignifikant: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bootstrap-KI omslutter null (§ 8.1).</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Forsvar: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ensemble velges på</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forsikrings</w:t>
      </w:r>
      <w:r>
        <w:rPr>
          <w:rFonts w:ascii="Times New Roman" w:hAnsi="Times New Roman" w:cs="Times New Roman" w:eastAsia="Times New Roman"/>
          <w:i/>
          <w:iCs/>
          <w:sz w:val="24"/>
        </w:rPr>
        <w:softHyphen/>
      </w:r>
      <w:r>
        <w:rPr>
          <w:rFonts w:ascii="Times New Roman" w:hAnsi="Times New Roman" w:cs="Times New Roman" w:eastAsia="Times New Roman"/>
          <w:i/>
          <w:iCs/>
          <w:sz w:val="24"/>
        </w:rPr>
        <w:t xml:space="preserve">grunner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(varians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robusthet ved drift) snarere enn gevinst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grunner — vi er ærlige om det. (10)</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Regulatoriske krav som sannsynligheter: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los er obligatorisk for LOA &gt; 70 m, men</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PORT_TEMPLATES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har 17–73 % sannsynlighet.</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Forsvar: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operasjonell override (</w:t>
      </w:r>
      <w:r>
        <w:rPr>
          <w:rStyle w:val="VerbatimChar"/>
          <w:rFonts w:ascii="Times New Roman" w:hAnsi="Times New Roman" w:cs="Times New Roman" w:eastAsia="Times New Roman"/>
          <w:sz w:val="24"/>
        </w:rPr>
        <w:t xml:space="preserve">pilot_cost</w:t>
      </w:r>
      <w:r>
        <w:rPr>
          <w:rFonts w:ascii="Times New Roman" w:hAnsi="Times New Roman" w:cs="Times New Roman" w:eastAsia="Times New Roman"/>
          <w:sz w:val="24"/>
        </w:rPr>
        <w:t xml:space="preserve">) er innført; modellfix flagget som videre arbeid punkt 8. (11)</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Bunkers uten reise</w:t>
      </w:r>
      <w:r>
        <w:rPr>
          <w:rFonts w:ascii="Times New Roman" w:hAnsi="Times New Roman" w:cs="Times New Roman" w:eastAsia="Times New Roman"/>
          <w:i/>
          <w:iCs/>
          <w:sz w:val="24"/>
        </w:rPr>
        <w:softHyphen/>
      </w:r>
      <w:r>
        <w:rPr>
          <w:rFonts w:ascii="Times New Roman" w:hAnsi="Times New Roman" w:cs="Times New Roman" w:eastAsia="Times New Roman"/>
          <w:i/>
          <w:iCs/>
          <w:sz w:val="24"/>
        </w:rPr>
        <w:t xml:space="preserve">geometri: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drivstoff er sannsynlighets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vektet flat linje, ikke fysisk beregning.</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Forsvar: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deterministisk override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formel er innført; lært modell flagget som videre arbeid punkt 6. (12)</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Land-aggregater poolet: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size_svc_*</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(rangerer #2 og #3) går på tvers av NO/SE/DK.</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Forsvar: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country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synliggjort i API/UI; modellfix flagget som videre arbeid punkt 5.</w:t>
      </w:r>
    </w:p>
    <w:p>
      <w:pPr>
        <w:pStyle w:val="BodyText"/>
        <w:spacing w:line="360" w:lineRule="auto"/>
      </w:pPr>
      <w:r>
        <w:rPr>
          <w:rFonts w:ascii="Times New Roman" w:hAnsi="Times New Roman" w:cs="Times New Roman" w:eastAsia="Times New Roman"/>
          <w:b/>
          <w:bCs/>
          <w:sz w:val="24"/>
        </w:rPr>
        <w:t xml:space="preserve">Antakelses</w:t>
      </w:r>
      <w:r>
        <w:rPr>
          <w:rFonts w:ascii="Times New Roman" w:hAnsi="Times New Roman" w:cs="Times New Roman" w:eastAsia="Times New Roman"/>
          <w:b/>
          <w:bCs/>
          <w:sz w:val="24"/>
        </w:rPr>
        <w:softHyphen/>
      </w:r>
      <w:r>
        <w:rPr>
          <w:rFonts w:ascii="Times New Roman" w:hAnsi="Times New Roman" w:cs="Times New Roman" w:eastAsia="Times New Roman"/>
          <w:b/>
          <w:bCs/>
          <w:sz w:val="24"/>
        </w:rPr>
        <w:t xml:space="preserve">svakheter (13–15).</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(13)</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A1 stabil tjeneste</w:t>
      </w:r>
      <w:r>
        <w:rPr>
          <w:rFonts w:ascii="Times New Roman" w:hAnsi="Times New Roman" w:cs="Times New Roman" w:eastAsia="Times New Roman"/>
          <w:i/>
          <w:iCs/>
          <w:sz w:val="24"/>
        </w:rPr>
        <w:softHyphen/>
      </w:r>
      <w:r>
        <w:rPr>
          <w:rFonts w:ascii="Times New Roman" w:hAnsi="Times New Roman" w:cs="Times New Roman" w:eastAsia="Times New Roman"/>
          <w:i/>
          <w:iCs/>
          <w:sz w:val="24"/>
        </w:rPr>
        <w:t xml:space="preserve">miks: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ingen drift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overvåkning.</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Forsvar: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antakelsen er eksplisitt i § 1.4; rullerende re-trening (videre arbeid punkt 2) er foreslått mekanisme. (14)</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Statiske yacht-spesifikasjoner: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ombygginger fanges ikke.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Forsvar: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antakelse A3 dokumentert; spec-fil oppdateres manuelt ved kjente endringer. (15)</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CQR gir marginal, ikke betinget dekning: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“80 %”</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gjelder hele populasjonen, ikke spesifikke subgrupper.</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Forsvar: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dette er en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teoretisk</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egenskap ved konformprediksjon (Shafer &amp; Vovk, 2008), og avgrensningen er løftet til akademisk bidrag (§ 1.5 punkt ii); kommunikasjon i frontend bør tydeliggjøre at båndet er marginalt.</w:t>
      </w:r>
    </w:p>
    <w:p>
      <w:pPr>
        <w:pStyle w:val="BodyText"/>
        <w:spacing w:line="360" w:lineRule="auto"/>
      </w:pPr>
      <w:r>
        <w:rPr>
          <w:rFonts w:ascii="Times New Roman" w:hAnsi="Times New Roman" w:cs="Times New Roman" w:eastAsia="Times New Roman"/>
          <w:b/>
          <w:bCs/>
          <w:sz w:val="24"/>
        </w:rPr>
        <w:t xml:space="preserve">Operasjonaliserings</w:t>
      </w:r>
      <w:r>
        <w:rPr>
          <w:rFonts w:ascii="Times New Roman" w:hAnsi="Times New Roman" w:cs="Times New Roman" w:eastAsia="Times New Roman"/>
          <w:b/>
          <w:bCs/>
          <w:sz w:val="24"/>
        </w:rPr>
        <w:softHyphen/>
      </w:r>
      <w:r>
        <w:rPr>
          <w:rFonts w:ascii="Times New Roman" w:hAnsi="Times New Roman" w:cs="Times New Roman" w:eastAsia="Times New Roman"/>
          <w:b/>
          <w:bCs/>
          <w:sz w:val="24"/>
        </w:rPr>
        <w:t xml:space="preserve">svakhet (16).</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Produksjons</w:t>
      </w:r>
      <w:r>
        <w:rPr>
          <w:rFonts w:ascii="Times New Roman" w:hAnsi="Times New Roman" w:cs="Times New Roman" w:eastAsia="Times New Roman"/>
          <w:i/>
          <w:iCs/>
          <w:sz w:val="24"/>
        </w:rPr>
        <w:softHyphen/>
      </w:r>
      <w:r>
        <w:rPr>
          <w:rFonts w:ascii="Times New Roman" w:hAnsi="Times New Roman" w:cs="Times New Roman" w:eastAsia="Times New Roman"/>
          <w:i/>
          <w:iCs/>
          <w:sz w:val="24"/>
        </w:rPr>
        <w:t xml:space="preserve">modellen mangler uavhengig holdout: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model_meta_final.joblib</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er refittet på hele 2020–2025.</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Forsvar: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test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settet er evaluert mot prefit-modellen som proxy (§ 8.1.1); refit på all data gir lavest forventet generaliserings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feil for fremtidige prediksjoner (Hastie et al., 2009, § 7.10). Lukkes når 2026-data er tilstrekkelig.</w:t>
      </w:r>
    </w:p>
    <w:p>
      <w:pPr>
        <w:pStyle w:val="BodyText"/>
        <w:spacing w:line="360" w:lineRule="auto"/>
      </w:pPr>
      <w:r>
        <w:rPr>
          <w:rFonts w:ascii="Times New Roman" w:hAnsi="Times New Roman" w:cs="Times New Roman" w:eastAsia="Times New Roman"/>
          <w:sz w:val="24"/>
        </w:rPr>
        <w:t xml:space="preserve">Den røde tråden er at</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data</w:t>
      </w:r>
      <w:r>
        <w:rPr>
          <w:rFonts w:ascii="Times New Roman" w:hAnsi="Times New Roman" w:cs="Times New Roman" w:eastAsia="Times New Roman"/>
          <w:i/>
          <w:iCs/>
          <w:sz w:val="24"/>
        </w:rPr>
        <w:softHyphen/>
      </w:r>
      <w:r>
        <w:rPr>
          <w:rFonts w:ascii="Times New Roman" w:hAnsi="Times New Roman" w:cs="Times New Roman" w:eastAsia="Times New Roman"/>
          <w:i/>
          <w:iCs/>
          <w:sz w:val="24"/>
        </w:rPr>
        <w:t xml:space="preserve">utfordringene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(1–4) og</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strukturelle begrensninger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(16) ikke kan lukkes ved bedre modellering — bare ved mer data eller fortsatt drift. Modell- og antakelses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svakhetene (8–15) er pragmatisk håndtert med ærlig rapportering eller operasjonelle overrides. Dette samsvarer med kompendiets observasjon (§ i.4.1):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“modellen er bare så god som dataene den bygger på”</w:t>
      </w:r>
      <w:r>
        <w:rPr>
          <w:rFonts w:ascii="Times New Roman" w:hAnsi="Times New Roman" w:cs="Times New Roman" w:eastAsia="Times New Roman"/>
          <w:sz w:val="24"/>
        </w:rPr>
        <w:t xml:space="preserve">.</w:t>
      </w:r>
    </w:p>
    <w:bookmarkEnd w:id="84"/>
    <w:bookmarkStart w:id="92" w:name="funn-fra-brukertest-mai-2026"/>
    <w:p>
      <w:pPr>
        <w:pStyle w:val="Heading3"/>
        <w:spacing w:line="360" w:lineRule="auto"/>
      </w:pPr>
      <w:r>
        <w:rPr>
          <w:rFonts w:ascii="Times New Roman" w:hAnsi="Times New Roman" w:cs="Times New Roman" w:eastAsia="Times New Roman"/>
          <w:sz w:val="24"/>
        </w:rPr>
        <w:t xml:space="preserve">9.5 Funn fra brukertest mai 2026</w:t>
      </w:r>
    </w:p>
    <w:p>
      <w:pPr>
        <w:pStyle w:val="FirstParagraph"/>
        <w:spacing w:line="360" w:lineRule="auto"/>
      </w:pPr>
      <w:r>
        <w:rPr>
          <w:rFonts w:ascii="Times New Roman" w:hAnsi="Times New Roman" w:cs="Times New Roman" w:eastAsia="Times New Roman"/>
          <w:sz w:val="24"/>
        </w:rPr>
        <w:t xml:space="preserve">En end-to-end brukertest med agency-manageren avdekket syv systematiske avvik. Hvert er adressert som modell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korreksjon, override eller datainnsamlings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mekanisme. Kode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endringer er versjons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kontrollert.</w:t>
      </w:r>
    </w:p>
    <w:bookmarkStart w:id="85" w:name="valutatagging-i-modelloutputen"/>
    <w:p>
      <w:pPr>
        <w:pStyle w:val="Heading4"/>
        <w:spacing w:line="360" w:lineRule="auto"/>
      </w:pPr>
      <w:r>
        <w:rPr>
          <w:rFonts w:ascii="Times New Roman" w:hAnsi="Times New Roman" w:cs="Times New Roman" w:eastAsia="Times New Roman"/>
          <w:sz w:val="24"/>
        </w:rPr>
        <w:t xml:space="preserve">9.5.1 Valutatagging i modell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outputen</w:t>
      </w:r>
    </w:p>
    <w:p>
      <w:pPr>
        <w:pStyle w:val="FirstParagraph"/>
        <w:spacing w:line="360" w:lineRule="auto"/>
      </w:pPr>
      <w:r>
        <w:rPr>
          <w:rFonts w:ascii="Times New Roman" w:hAnsi="Times New Roman" w:cs="Times New Roman" w:eastAsia="Times New Roman"/>
          <w:sz w:val="24"/>
        </w:rPr>
        <w:t xml:space="preserve">Brukertesten avdekket at estimatene fremsto ca. 10× lavere enn faktiske NOK-beløp. Roten var en enhets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feil: kildedataene er</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EUR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(cockpit-rapportenes egne kolonneoverskrifter), men v0.2 merket output NOK. Forholdstallet 11,5 samsvarer med EUR/NOK-kursen. Tiltak: API tar nå et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currency</w:t>
      </w:r>
      <w:r>
        <w:rPr>
          <w:rFonts w:ascii="Times New Roman" w:hAnsi="Times New Roman" w:cs="Times New Roman" w:eastAsia="Times New Roman"/>
          <w:sz w:val="24"/>
        </w:rPr>
        <w:t xml:space="preserve">-felt og konverterer ved grensa via</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EXCHANGE_RATES_FROM_EUR</w:t>
      </w:r>
      <w:r>
        <w:rPr>
          <w:rFonts w:ascii="Times New Roman" w:hAnsi="Times New Roman" w:cs="Times New Roman" w:eastAsia="Times New Roman"/>
          <w:sz w:val="24"/>
        </w:rPr>
        <w:t xml:space="preserve">; frontend har valuta</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velger. Korreksjonen er drivkraften bak unit-relabelinga i resten av rapporten.</w:t>
      </w:r>
    </w:p>
    <w:bookmarkEnd w:id="85"/>
    <w:bookmarkStart w:id="86" w:name="Xb4132b2698e0fde9c17dbd99750016cd6b3278b"/>
    <w:p>
      <w:pPr>
        <w:pStyle w:val="Heading4"/>
        <w:spacing w:line="360" w:lineRule="auto"/>
      </w:pPr>
      <w:r>
        <w:rPr>
          <w:rFonts w:ascii="Times New Roman" w:hAnsi="Times New Roman" w:cs="Times New Roman" w:eastAsia="Times New Roman"/>
          <w:sz w:val="24"/>
        </w:rPr>
        <w:t xml:space="preserve">9.5.2 Mandatory pilotage modelleres som sannsynlig, ikke obligatorisk</w:t>
      </w:r>
    </w:p>
    <w:p>
      <w:pPr>
        <w:pStyle w:val="FirstParagraph"/>
        <w:spacing w:line="360" w:lineRule="auto"/>
      </w:pPr>
      <w:r>
        <w:rPr>
          <w:rFonts w:ascii="Times New Roman" w:hAnsi="Times New Roman" w:cs="Times New Roman" w:eastAsia="Times New Roman"/>
          <w:sz w:val="24"/>
        </w:rPr>
        <w:t xml:space="preserve">For yachter med LOA &gt; 70 m er los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tjeneste lovpålagt, men</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PORT_TEMPLATES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har los som sannsynlighets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vektet linje (17–73 % på tvers av havner) på tvers av</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alle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størrelser. For Stor-yachter er realisert sannsynlighet 100 %, og modellen under</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vekter systematisk los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kostnad. Dette er nettopp gapet § 1.5 punkt (iii) påpeker — datadrevne sannsynligheter fanger ikke regulatoriske krav. Mønsteret er kjent fra havne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effektivitets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litteraturen (Jahangard et al., 2025), der regulatoriske inngrep legges på som eksplisitte features. Tiltak: API krever nå</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pilot_cost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når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loskrav = "Ja"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og legger beløpet som separat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“Pilotage”</w:t>
      </w:r>
      <w:r>
        <w:rPr>
          <w:rFonts w:ascii="Times New Roman" w:hAnsi="Times New Roman" w:cs="Times New Roman" w:eastAsia="Times New Roman"/>
          <w:sz w:val="24"/>
        </w:rPr>
        <w:t xml:space="preserve">-kategori. Riktig modellfix er størrelse-betingede sannsynligheter (videre arbeid punkt 8).</w:t>
      </w:r>
    </w:p>
    <w:bookmarkEnd w:id="86"/>
    <w:bookmarkStart w:id="87" w:name="bunkersmodellen-ser-ikke-reisegeometri"/>
    <w:p>
      <w:pPr>
        <w:pStyle w:val="Heading4"/>
        <w:spacing w:line="360" w:lineRule="auto"/>
      </w:pPr>
      <w:r>
        <w:rPr>
          <w:rFonts w:ascii="Times New Roman" w:hAnsi="Times New Roman" w:cs="Times New Roman" w:eastAsia="Times New Roman"/>
          <w:sz w:val="24"/>
        </w:rPr>
        <w:t xml:space="preserve">9.5.3 Bunkers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modellen ser ikke reise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geometri</w:t>
      </w:r>
    </w:p>
    <w:p>
      <w:pPr>
        <w:pStyle w:val="FirstParagraph"/>
        <w:spacing w:line="360" w:lineRule="auto"/>
      </w:pPr>
      <w:r>
        <w:rPr>
          <w:rFonts w:ascii="Times New Roman" w:hAnsi="Times New Roman" w:cs="Times New Roman" w:eastAsia="Times New Roman"/>
          <w:sz w:val="24"/>
        </w:rPr>
        <w:t xml:space="preserve">Drivstoffkostnaden er, som los, modellert som sannsynlighets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vektet linje uten distanse eller fart. Lange overfarter under</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estimeres systematisk — samme funn som Su et al. (2024) for ro-ro-skip. Tiltak: API tar valgfri</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cruising_speed_kn</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diesel_price_per_l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og per-stopp</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distance_nm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(eksponert for hvert stopp i frontend, commit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e24655a</w:t>
      </w:r>
      <w:r>
        <w:rPr>
          <w:rFonts w:ascii="Times New Roman" w:hAnsi="Times New Roman" w:cs="Times New Roman" w:eastAsia="Times New Roman"/>
          <w:sz w:val="24"/>
        </w:rPr>
        <w:t xml:space="preserve">). Når alle tre inputs er gitt, erstatter backend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“Bunkering”</w:t>
      </w:r>
      <w:r>
        <w:rPr>
          <w:rFonts w:ascii="Times New Roman" w:hAnsi="Times New Roman" w:cs="Times New Roman" w:eastAsia="Times New Roman"/>
          <w:sz w:val="24"/>
        </w:rPr>
        <w:t xml:space="preserve">-kategorien med en deterministisk beregning:</w:t>
      </w:r>
    </w:p>
    <w:p>
      <w:pPr>
        <w:pStyle w:val="BodyText"/>
        <w:spacing w:line="360" w:lineRule="auto"/>
      </w:pPr>
      <m:oMathPara>
        <m:oMathParaPr>
          <m:jc m:val="center"/>
        </m:oMathParaPr>
        <m:oMath>
          <m:r>
            <m:rPr>
              <m:nor/>
              <m:sty m:val="p"/>
            </m:rPr>
            <m:t>Bunkers</m:t>
          </m:r>
          <m:r>
            <m:rPr>
              <m:sty m:val="p"/>
            </m:rPr>
            <m:t>=</m:t>
          </m:r>
          <m:f>
            <m:fPr>
              <m:type m:val="bar"/>
            </m:fPr>
            <m:num>
              <m:r>
                <m:rPr>
                  <m:sty m:val="p"/>
                </m:rPr>
                <m:t>∑</m:t>
              </m:r>
              <m:r>
                <m:rPr>
                  <m:nor/>
                  <m:sty m:val="p"/>
                </m:rPr>
                <m:t>distance_nm</m:t>
              </m:r>
            </m:num>
            <m:den>
              <m:r>
                <m:rPr>
                  <m:nor/>
                  <m:sty m:val="p"/>
                </m:rPr>
                <m:t>cruising_speed_kn</m:t>
              </m:r>
            </m:den>
          </m:f>
          <m:r>
            <m:rPr>
              <m:sty m:val="p"/>
            </m:rPr>
            <m:t>⋅</m:t>
          </m:r>
          <m:r>
            <m:rPr>
              <m:nor/>
              <m:sty m:val="p"/>
            </m:rPr>
            <m:t>fuel_lph</m:t>
          </m:r>
          <m:r>
            <m:rPr>
              <m:sty m:val="p"/>
            </m:rPr>
            <m:t>⋅</m:t>
          </m:r>
          <m:r>
            <m:rPr>
              <m:nor/>
              <m:sty m:val="p"/>
            </m:rPr>
            <m:t>diesel_price_per_l</m:t>
          </m:r>
        </m:oMath>
      </m:oMathPara>
    </w:p>
    <w:p>
      <w:pPr>
        <w:pStyle w:val="FirstParagraph"/>
        <w:spacing w:line="360" w:lineRule="auto"/>
      </w:pPr>
      <w:r>
        <w:rPr>
          <w:rFonts w:ascii="Times New Roman" w:hAnsi="Times New Roman" w:cs="Times New Roman" w:eastAsia="Times New Roman"/>
          <w:sz w:val="24"/>
        </w:rPr>
        <w:t xml:space="preserve">Dette er en operasjonell mitigation, ikke en modell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fix. Den korrekte løsningen er å inkludere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distance_nm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(og marsjfart) som features i en re-trent modell — flagges som videre arbeid i § 10.</w:t>
      </w:r>
    </w:p>
    <w:bookmarkEnd w:id="87"/>
    <w:bookmarkStart w:id="88" w:name="manglende-guest_experience-feature"/>
    <w:p>
      <w:pPr>
        <w:pStyle w:val="Heading4"/>
        <w:spacing w:line="360" w:lineRule="auto"/>
      </w:pPr>
      <w:r>
        <w:rPr>
          <w:rFonts w:ascii="Times New Roman" w:hAnsi="Times New Roman" w:cs="Times New Roman" w:eastAsia="Times New Roman"/>
          <w:sz w:val="24"/>
        </w:rPr>
        <w:t xml:space="preserve">9.5.4 Manglende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guest_experience</w:t>
      </w:r>
      <w:r>
        <w:rPr>
          <w:rFonts w:ascii="Times New Roman" w:hAnsi="Times New Roman" w:cs="Times New Roman" w:eastAsia="Times New Roman"/>
          <w:sz w:val="24"/>
        </w:rPr>
        <w:t xml:space="preserve">-feature</w:t>
      </w:r>
    </w:p>
    <w:p>
      <w:pPr>
        <w:pStyle w:val="FirstParagraph"/>
        <w:spacing w:line="360" w:lineRule="auto"/>
      </w:pPr>
      <w:r>
        <w:rPr>
          <w:rFonts w:ascii="Times New Roman" w:hAnsi="Times New Roman" w:cs="Times New Roman" w:eastAsia="Times New Roman"/>
          <w:sz w:val="24"/>
        </w:rPr>
        <w:t xml:space="preserve">Provisions er kategorien der modellen avviker mest, og hovedfaktoren — gjeste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profil — finnes ikke i datagrunnlaget. Vi har bevisst valgt å</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ikke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simulere data, men gjort to ting: (a)</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guest_experience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er nå et valgfritt API-felt og UI-velger (</w:t>
      </w:r>
      <w:r>
        <w:rPr>
          <w:rFonts w:ascii="Times New Roman" w:hAnsi="Times New Roman" w:cs="Times New Roman" w:eastAsia="Times New Roman"/>
          <w:sz w:val="24"/>
        </w:rPr>
        <w:t xml:space="preserve">“not_demanding”</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“neutral”</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“demanding”</w:t>
      </w:r>
      <w:r>
        <w:rPr>
          <w:rFonts w:ascii="Times New Roman" w:hAnsi="Times New Roman" w:cs="Times New Roman" w:eastAsia="Times New Roman"/>
          <w:sz w:val="24"/>
        </w:rPr>
        <w:t xml:space="preserve">) som lagres med registry-oppføringer for fremtidig re-trening; (b) en operasjonell rubrikk er foreslått i Vedlegg E, som må forfattes og signeres av Yachting Operations selv. Dette er det empiriske grunnlaget for § 1.5 punkt (ii) — CQR kompenserer ikke for en manglende feature.</w:t>
      </w:r>
    </w:p>
    <w:bookmarkEnd w:id="88"/>
    <w:bookmarkStart w:id="89" w:name="land-aggregater-i-modellen-er-poolet"/>
    <w:p>
      <w:pPr>
        <w:pStyle w:val="Heading4"/>
        <w:spacing w:line="360" w:lineRule="auto"/>
      </w:pPr>
      <w:r>
        <w:rPr>
          <w:rFonts w:ascii="Times New Roman" w:hAnsi="Times New Roman" w:cs="Times New Roman" w:eastAsia="Times New Roman"/>
          <w:sz w:val="24"/>
        </w:rPr>
        <w:t xml:space="preserve">9.5.5 Land-aggregater i modellen er poolet</w:t>
      </w:r>
    </w:p>
    <w:p>
      <w:pPr>
        <w:pStyle w:val="FirstParagraph"/>
        <w:spacing w:line="360" w:lineRule="auto"/>
      </w:pPr>
      <w:r>
        <w:rPr>
          <w:rStyle w:val="VerbatimChar"/>
          <w:rFonts w:ascii="Times New Roman" w:hAnsi="Times New Roman" w:cs="Times New Roman" w:eastAsia="Times New Roman"/>
          <w:sz w:val="24"/>
        </w:rPr>
        <w:t xml:space="preserve">port_stats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fanger land</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signal indirekte via</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arrival_port</w:t>
      </w:r>
      <w:r>
        <w:rPr>
          <w:rFonts w:ascii="Times New Roman" w:hAnsi="Times New Roman" w:cs="Times New Roman" w:eastAsia="Times New Roman"/>
          <w:sz w:val="24"/>
        </w:rPr>
        <w:t xml:space="preserve">-kategoriene, men</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size_stats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og</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size_svc_stats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er joinet kun på størrelse og pooler dermed transaksjons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data på tvers av NO/SE/DK. For størrelses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baserte features går land</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signalet tapt — særlig synlig for København (høyt nivå) vs. norske havner. Riktig fix er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country_size_*</w:t>
      </w:r>
      <w:r>
        <w:rPr>
          <w:rFonts w:ascii="Times New Roman" w:hAnsi="Times New Roman" w:cs="Times New Roman" w:eastAsia="Times New Roman"/>
          <w:sz w:val="24"/>
        </w:rPr>
        <w:t xml:space="preserve">-aggregater og re-trening (videre arbeid punkt 5). Mellomtiltak:</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country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er nå synliggjort i API-respons og frontend.</w:t>
      </w:r>
    </w:p>
    <w:bookmarkEnd w:id="89"/>
    <w:bookmarkStart w:id="90" w:name="Xfb89bcd0f3196bce2464378960df46d55e2a129"/>
    <w:p>
      <w:pPr>
        <w:pStyle w:val="Heading4"/>
        <w:spacing w:line="360" w:lineRule="auto"/>
      </w:pPr>
      <w:r>
        <w:rPr>
          <w:rFonts w:ascii="Times New Roman" w:hAnsi="Times New Roman" w:cs="Times New Roman" w:eastAsia="Times New Roman"/>
          <w:sz w:val="24"/>
        </w:rPr>
        <w:t xml:space="preserve">9.5.6 Per-yacht aggregering for skalerings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spørsmålet</w:t>
      </w:r>
    </w:p>
    <w:p>
      <w:pPr>
        <w:pStyle w:val="FirstParagraph"/>
        <w:spacing w:line="360" w:lineRule="auto"/>
      </w:pPr>
      <w:r>
        <w:rPr>
          <w:rFonts w:ascii="Times New Roman" w:hAnsi="Times New Roman" w:cs="Times New Roman" w:eastAsia="Times New Roman"/>
          <w:sz w:val="24"/>
        </w:rPr>
        <w:t xml:space="preserve">Manageren spurte: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“hvis vi har 25 yachter i år og 4 M DKK i inntekt, hva blir det med 30 neste år?”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v0.2 hadde ingen per-yacht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visning. Tiltak:</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/forecast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grupperer på</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yachtName</w:t>
      </w:r>
      <w:r>
        <w:rPr>
          <w:rFonts w:ascii="Times New Roman" w:hAnsi="Times New Roman" w:cs="Times New Roman" w:eastAsia="Times New Roman"/>
          <w:sz w:val="24"/>
        </w:rPr>
        <w:t xml:space="preserve">, normaliserer til EUR, og viser flåte-snitt + naiv lineær skalerings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projeksjon (</w:t>
      </w:r>
      <w:r>
        <w:rPr>
          <w:rStyle w:val="VerbatimChar"/>
          <w:rFonts w:ascii="Times New Roman" w:hAnsi="Times New Roman" w:cs="Times New Roman" w:eastAsia="Times New Roman"/>
          <w:sz w:val="24"/>
        </w:rPr>
        <w:t xml:space="preserve">avg_per_yacht × N</w:t>
      </w:r>
      <w:r>
        <w:rPr>
          <w:rFonts w:ascii="Times New Roman" w:hAnsi="Times New Roman" w:cs="Times New Roman" w:eastAsia="Times New Roman"/>
          <w:sz w:val="24"/>
        </w:rPr>
        <w:t xml:space="preserve">) med eksplisitt note om at modellen ikke fanger kapasitets-, havne- eller sesong</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begrensninger.</w:t>
      </w:r>
    </w:p>
    <w:bookmarkEnd w:id="90"/>
    <w:bookmarkStart w:id="91" w:name="X5dd4a93841416e0d3a6753e4a56351cf7060d37"/>
    <w:p>
      <w:pPr>
        <w:pStyle w:val="Heading4"/>
        <w:spacing w:line="360" w:lineRule="auto"/>
      </w:pPr>
      <w:r>
        <w:rPr>
          <w:rFonts w:ascii="Times New Roman" w:hAnsi="Times New Roman" w:cs="Times New Roman" w:eastAsia="Times New Roman"/>
          <w:sz w:val="24"/>
        </w:rPr>
        <w:t xml:space="preserve">9.5.7 Provisions-override vurdert og avvist (v0.4)</w:t>
      </w:r>
    </w:p>
    <w:p>
      <w:pPr>
        <w:pStyle w:val="FirstParagraph"/>
        <w:spacing w:line="360" w:lineRule="auto"/>
      </w:pPr>
      <w:r>
        <w:rPr>
          <w:rFonts w:ascii="Times New Roman" w:hAnsi="Times New Roman" w:cs="Times New Roman" w:eastAsia="Times New Roman"/>
          <w:sz w:val="24"/>
        </w:rPr>
        <w:t xml:space="preserve">v0.3 hadde valgfri</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provisioning_override</w:t>
      </w:r>
      <w:r>
        <w:rPr>
          <w:rFonts w:ascii="Times New Roman" w:hAnsi="Times New Roman" w:cs="Times New Roman" w:eastAsia="Times New Roman"/>
          <w:sz w:val="24"/>
        </w:rPr>
        <w:t xml:space="preserve">; den ble fjernet i v0.4 (commit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e24655a</w:t>
      </w:r>
      <w:r>
        <w:rPr>
          <w:rFonts w:ascii="Times New Roman" w:hAnsi="Times New Roman" w:cs="Times New Roman" w:eastAsia="Times New Roman"/>
          <w:sz w:val="24"/>
        </w:rPr>
        <w:t xml:space="preserve">) på metodisk grunnlag: en override som erstatter modellens prediksjon med et magefølelses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tall undergraver verktøyets formål. For bunkers er overriden forsvarlig fordi den substitueres med en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deterministisk fysisk formel</w:t>
      </w:r>
      <w:r>
        <w:rPr>
          <w:rFonts w:ascii="Times New Roman" w:hAnsi="Times New Roman" w:cs="Times New Roman" w:eastAsia="Times New Roman"/>
          <w:sz w:val="24"/>
        </w:rPr>
        <w:t xml:space="preserve">. For Provisions finnes ingen tilsvarende substitutt før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guest_experience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er observerbar. Provisions-feilen skal lukkes via labels + re-trening, ikke maskeres via UI.</w:t>
      </w:r>
    </w:p>
    <w:bookmarkEnd w:id="91"/>
    <w:bookmarkEnd w:id="92"/>
    <w:bookmarkStart w:id="93" w:name="validitet-og-generaliserbarhet"/>
    <w:p>
      <w:pPr>
        <w:pStyle w:val="Heading3"/>
        <w:spacing w:line="360" w:lineRule="auto"/>
      </w:pPr>
      <w:r>
        <w:rPr>
          <w:rFonts w:ascii="Times New Roman" w:hAnsi="Times New Roman" w:cs="Times New Roman" w:eastAsia="Times New Roman"/>
          <w:sz w:val="24"/>
        </w:rPr>
        <w:t xml:space="preserve">9.6 Validitet og generaliserbarhet</w:t>
      </w:r>
    </w:p>
    <w:p>
      <w:pPr>
        <w:pStyle w:val="FirstParagraph"/>
        <w:spacing w:line="360" w:lineRule="auto"/>
      </w:pPr>
      <w:r>
        <w:rPr>
          <w:rFonts w:ascii="Times New Roman" w:hAnsi="Times New Roman" w:cs="Times New Roman" w:eastAsia="Times New Roman"/>
          <w:sz w:val="24"/>
        </w:rPr>
        <w:t xml:space="preserve">En streng vurdering av forskningsdesignet krever at vi adresserer validitet eksplisitt. Vi drøfter tre typer validitet som er mest relevante for NautiCost: konstrukt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validitet, intern validitet og ekstern validitet.</w:t>
      </w:r>
    </w:p>
    <w:p>
      <w:pPr>
        <w:pStyle w:val="BodyText"/>
        <w:spacing w:line="360" w:lineRule="auto"/>
      </w:pPr>
      <w:r>
        <w:rPr>
          <w:rFonts w:ascii="Times New Roman" w:hAnsi="Times New Roman" w:cs="Times New Roman" w:eastAsia="Times New Roman"/>
          <w:b/>
          <w:bCs/>
          <w:sz w:val="24"/>
        </w:rPr>
        <w:t xml:space="preserve">Konstrukt</w:t>
      </w:r>
      <w:r>
        <w:rPr>
          <w:rFonts w:ascii="Times New Roman" w:hAnsi="Times New Roman" w:cs="Times New Roman" w:eastAsia="Times New Roman"/>
          <w:b/>
          <w:bCs/>
          <w:sz w:val="24"/>
        </w:rPr>
        <w:softHyphen/>
      </w:r>
      <w:r>
        <w:rPr>
          <w:rFonts w:ascii="Times New Roman" w:hAnsi="Times New Roman" w:cs="Times New Roman" w:eastAsia="Times New Roman"/>
          <w:b/>
          <w:bCs/>
          <w:sz w:val="24"/>
        </w:rPr>
        <w:t xml:space="preserve">validitet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stiller spørsmålet om</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final_charge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er en gyldig operasjonalisering av begrepet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“totalkostnad for et havneanløp”</w:t>
      </w:r>
      <w:r>
        <w:rPr>
          <w:rFonts w:ascii="Times New Roman" w:hAnsi="Times New Roman" w:cs="Times New Roman" w:eastAsia="Times New Roman"/>
          <w:sz w:val="24"/>
        </w:rPr>
        <w:t xml:space="preserve">. Variabelen er fakturabeløpet før moms slik det er registrert hos Yachting Operations, og fanger derfor agentens direkte tjeneste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kostnad pluss innkjøpt under</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leverandør</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arbeid. Det den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ikke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fanger er: (a) markedsmessige rabatter eller margin</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justeringer som agenten ikke har dokumentert som linje, (b) skjulte kostnader hos yachteier (egen besetnings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lønn under anløpet, valutarisiko på betalingstidspunktet), og (c) opportunitets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kostnad hvis anløpet forsinker neste reisesegment. Konstrukt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validiteten er dermed</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delvis</w:t>
      </w:r>
      <w:r>
        <w:rPr>
          <w:rFonts w:ascii="Times New Roman" w:hAnsi="Times New Roman" w:cs="Times New Roman" w:eastAsia="Times New Roman"/>
          <w:sz w:val="24"/>
        </w:rPr>
        <w:t xml:space="preserve">: målvariabelen er en valid proxy for agentens egen faktura</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sum, men en partiell proxy for det yachteieren faktisk betaler. Brukere som ønsker å estimere yachteierens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totale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anløps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kostnad må legge til egne kostnader på toppen.</w:t>
      </w:r>
    </w:p>
    <w:p>
      <w:pPr>
        <w:pStyle w:val="BodyText"/>
        <w:spacing w:line="360" w:lineRule="auto"/>
      </w:pPr>
      <w:r>
        <w:rPr>
          <w:rFonts w:ascii="Times New Roman" w:hAnsi="Times New Roman" w:cs="Times New Roman" w:eastAsia="Times New Roman"/>
          <w:b/>
          <w:bCs/>
          <w:sz w:val="24"/>
        </w:rPr>
        <w:t xml:space="preserve">Intern validitet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dreier seg om hvorvidt observerte sammenhenger i datasettet faktisk reflekterer kostnads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drivere snarere enn artefakter av prosessen. To trusler er sentrale: (i)</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seleksjons</w:t>
      </w:r>
      <w:r>
        <w:rPr>
          <w:rFonts w:ascii="Times New Roman" w:hAnsi="Times New Roman" w:cs="Times New Roman" w:eastAsia="Times New Roman"/>
          <w:i/>
          <w:iCs/>
          <w:sz w:val="24"/>
        </w:rPr>
        <w:softHyphen/>
      </w:r>
      <w:r>
        <w:rPr>
          <w:rFonts w:ascii="Times New Roman" w:hAnsi="Times New Roman" w:cs="Times New Roman" w:eastAsia="Times New Roman"/>
          <w:i/>
          <w:iCs/>
          <w:sz w:val="24"/>
        </w:rPr>
        <w:t xml:space="preserve">skjevhet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alle 17 yachter er kunder hos én agentbedrift, og er dermed ikke et tilfeldig utvalg av skandinaviske superyacht-anløp; (ii)</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historie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tjeneste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miks-endringer eller leverandør</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bytter over 2020–2025 kan ha generert tilsynelatende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“tids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effekter”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som egentlig er strukturelle prisbrudd. Vi adresserer (i) ved å være eksplisitt på avgrensning (§ 1.3) og ved å rapportere at modellen ikke er ekstern</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validert på andre operatører. (ii) er adressert delvis ved tids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basert split (slik at trening og test ikke deler tids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vinduer der prisendringer kan ha skjedd samtidig), men siden vi ikke har detaljert data om leverandør</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bytter, kan vi ikke utelukke at en del av drift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en mellom val=2024 og test=2025 (+10 % MAE) skyldes en strukturell prisendring snarere enn naturlig generaliserings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tap.</w:t>
      </w:r>
    </w:p>
    <w:p>
      <w:pPr>
        <w:pStyle w:val="BodyText"/>
        <w:spacing w:line="360" w:lineRule="auto"/>
      </w:pPr>
      <w:r>
        <w:rPr>
          <w:rFonts w:ascii="Times New Roman" w:hAnsi="Times New Roman" w:cs="Times New Roman" w:eastAsia="Times New Roman"/>
          <w:b/>
          <w:bCs/>
          <w:sz w:val="24"/>
        </w:rPr>
        <w:t xml:space="preserve">Ekstern validitet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spør hvor godt resultatene overføres til (a) andre yachter, (b) andre operatører, og (c) andre tids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perioder. Spesifikt:</w:t>
      </w:r>
    </w:p>
    <w:p>
      <w:pPr>
        <w:pStyle w:val="Compact"/>
        <w:numPr>
          <w:ilvl w:val="0"/>
          <w:numId w:val="1016"/>
        </w:numPr>
        <w:spacing w:line="360" w:lineRule="auto"/>
      </w:pPr>
      <w:r>
        <w:rPr>
          <w:rFonts w:ascii="Times New Roman" w:hAnsi="Times New Roman" w:cs="Times New Roman" w:eastAsia="Times New Roman"/>
          <w:b/>
          <w:bCs/>
          <w:sz w:val="24"/>
        </w:rPr>
        <w:t xml:space="preserve">Til andre yachter: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Den 17-yacht-fløyte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avgrensningen er en alvorlig begrensning. Yachter med spesifikasjoner langt utenfor utvalgs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fordelingen (f.eks. eksplosjons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motor vs. diesel-elektrisk, charter-yacht vs. privat) vil ha større prediksjons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feil. Et bevis på dette: GT-områdene i datasettet er 51,9–2 407, og den eneste GT &lt; 50 yachten i 2025-testen genererer den største prosent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feilen av alle test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transaksjoner.</w:t>
      </w:r>
    </w:p>
    <w:p>
      <w:pPr>
        <w:pStyle w:val="Compact"/>
        <w:numPr>
          <w:ilvl w:val="0"/>
          <w:numId w:val="1016"/>
        </w:numPr>
        <w:spacing w:line="360" w:lineRule="auto"/>
      </w:pPr>
      <w:r>
        <w:rPr>
          <w:rFonts w:ascii="Times New Roman" w:hAnsi="Times New Roman" w:cs="Times New Roman" w:eastAsia="Times New Roman"/>
          <w:b/>
          <w:bCs/>
          <w:sz w:val="24"/>
        </w:rPr>
        <w:t xml:space="preserve">Til andre operatører: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Modellen er trent kun på Yachting Operations sine fakturaer og fanger derfor denne agentens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konkrete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prismodeller (f.eks. agent fee struktur, hospitality-leverandør</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valg). En annen agent ville hatt andre absolutt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tall, selv for samme anløp. Ekstern validitet på operatør</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nivå er dermed ikke etablert, og vi anbefaler ikke å bruke verktøyet på en annen agents anløp uten re-trening.</w:t>
      </w:r>
    </w:p>
    <w:p>
      <w:pPr>
        <w:pStyle w:val="Compact"/>
        <w:numPr>
          <w:ilvl w:val="0"/>
          <w:numId w:val="1016"/>
        </w:numPr>
        <w:spacing w:line="360" w:lineRule="auto"/>
      </w:pPr>
      <w:r>
        <w:rPr>
          <w:rFonts w:ascii="Times New Roman" w:hAnsi="Times New Roman" w:cs="Times New Roman" w:eastAsia="Times New Roman"/>
          <w:b/>
          <w:bCs/>
          <w:sz w:val="24"/>
        </w:rPr>
        <w:t xml:space="preserve">Til andre tids</w:t>
      </w:r>
      <w:r>
        <w:rPr>
          <w:rFonts w:ascii="Times New Roman" w:hAnsi="Times New Roman" w:cs="Times New Roman" w:eastAsia="Times New Roman"/>
          <w:b/>
          <w:bCs/>
          <w:sz w:val="24"/>
        </w:rPr>
        <w:softHyphen/>
      </w:r>
      <w:r>
        <w:rPr>
          <w:rFonts w:ascii="Times New Roman" w:hAnsi="Times New Roman" w:cs="Times New Roman" w:eastAsia="Times New Roman"/>
          <w:b/>
          <w:bCs/>
          <w:sz w:val="24"/>
        </w:rPr>
        <w:t xml:space="preserve">perioder: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Test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set-evalueringen viser at modellen generaliserer fra 2020–2023 til 2025 med 10 % MAE-degradering. For 2026–2027-bruk forventer vi tilsvarende eller noe høyere degradering, med mindre rullerende re-trening implementeres (§ 10 punkt 2).</w:t>
      </w:r>
    </w:p>
    <w:p>
      <w:pPr>
        <w:pStyle w:val="FirstParagraph"/>
        <w:spacing w:line="360" w:lineRule="auto"/>
      </w:pPr>
      <w:r>
        <w:rPr>
          <w:rFonts w:ascii="Times New Roman" w:hAnsi="Times New Roman" w:cs="Times New Roman" w:eastAsia="Times New Roman"/>
          <w:sz w:val="24"/>
        </w:rPr>
        <w:t xml:space="preserve">Konklusjonen er at NautiCost har</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akseptabel intern validitet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Yachting Operations sine egne fremtidige anløp innenfor 12–18 måneder, men</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begrenset ekstern validitet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utover dette. Dette er ikke et forsknings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designsfeil; det er en konsekvens av at studien er case-spesifikk per design (§ 4 og kompendiet § B.4). Generaliserings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funn er likevel et rimelig sekundærbidrag — særlig at gradient-boosting + hybrid persentil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kalibrering fungerer i et regime med n ≈ 1 600 og 17 enheter, hvilket utvider den eksisterende litteraturens dekning ned i datasparsomme størrelses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ordener.</w:t>
      </w:r>
    </w:p>
    <w:bookmarkEnd w:id="93"/>
    <w:bookmarkStart w:id="94" w:name="refleksjon-over-prosessens-utfordringer"/>
    <w:p>
      <w:pPr>
        <w:pStyle w:val="Heading3"/>
        <w:spacing w:line="360" w:lineRule="auto"/>
      </w:pPr>
      <w:r>
        <w:rPr>
          <w:rFonts w:ascii="Times New Roman" w:hAnsi="Times New Roman" w:cs="Times New Roman" w:eastAsia="Times New Roman"/>
          <w:sz w:val="24"/>
        </w:rPr>
        <w:t xml:space="preserve">9.7 Refleksjon over prosessens utfordringer</w:t>
      </w:r>
    </w:p>
    <w:p>
      <w:pPr>
        <w:pStyle w:val="FirstParagraph"/>
        <w:spacing w:line="360" w:lineRule="auto"/>
      </w:pPr>
      <w:r>
        <w:rPr>
          <w:rFonts w:ascii="Times New Roman" w:hAnsi="Times New Roman" w:cs="Times New Roman" w:eastAsia="Times New Roman"/>
          <w:sz w:val="24"/>
        </w:rPr>
        <w:t xml:space="preserve">§ 9.4 og § 9.5 dokumenterer henholdsvis modell-/data-svakheter og funn fra brukertest. Dette delkapittelet supplerer med utfordringer som lå</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 selve forsknings- og rapport</w:t>
      </w:r>
      <w:r>
        <w:rPr>
          <w:rFonts w:ascii="Times New Roman" w:hAnsi="Times New Roman" w:cs="Times New Roman" w:eastAsia="Times New Roman"/>
          <w:i/>
          <w:iCs/>
          <w:sz w:val="24"/>
        </w:rPr>
        <w:softHyphen/>
      </w:r>
      <w:r>
        <w:rPr>
          <w:rFonts w:ascii="Times New Roman" w:hAnsi="Times New Roman" w:cs="Times New Roman" w:eastAsia="Times New Roman"/>
          <w:i/>
          <w:iCs/>
          <w:sz w:val="24"/>
        </w:rPr>
        <w:t xml:space="preserve">prosessen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verktøy, AI-bruk, peer review-respons og iterativ forbedring.</w:t>
      </w:r>
    </w:p>
    <w:p>
      <w:pPr>
        <w:pStyle w:val="BodyText"/>
        <w:spacing w:line="360" w:lineRule="auto"/>
      </w:pPr>
      <w:r>
        <w:rPr>
          <w:rFonts w:ascii="Times New Roman" w:hAnsi="Times New Roman" w:cs="Times New Roman" w:eastAsia="Times New Roman"/>
          <w:b/>
          <w:bCs/>
          <w:sz w:val="24"/>
        </w:rPr>
        <w:t xml:space="preserve">Verktøy- og prosess</w:t>
      </w:r>
      <w:r>
        <w:rPr>
          <w:rFonts w:ascii="Times New Roman" w:hAnsi="Times New Roman" w:cs="Times New Roman" w:eastAsia="Times New Roman"/>
          <w:b/>
          <w:bCs/>
          <w:sz w:val="24"/>
        </w:rPr>
        <w:softHyphen/>
      </w:r>
      <w:r>
        <w:rPr>
          <w:rFonts w:ascii="Times New Roman" w:hAnsi="Times New Roman" w:cs="Times New Roman" w:eastAsia="Times New Roman"/>
          <w:b/>
          <w:bCs/>
          <w:sz w:val="24"/>
        </w:rPr>
        <w:t xml:space="preserve">utfordringer.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Stort token-forbruk i komplekse rapport-oppgaver ble håndtert ved å dele arbeidet mellom Claude-sesjoner og bruke Claude Code-worktrees for parallelt arbeid på teori og diskusjon. AI-hallusinerte referanser viste seg som reell risiko: Crossref-DOI-kontroll (v1.1) avdekket to oppføringer med korrekte DOI-er men fabrikerte forfatter</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navn (Çerçi → Su, 2024; Garrido → Jahangard, 2025); begge korrigert og alle 14 referanser krysssjekket. DOI-resolusjon bør være standard sluttkontroll i AI-assistert skriving. Markdown → Word-konvertering krevde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pypandoc-binary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(ikke pre-installert), og et eget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convert_to_word.py</w:t>
      </w:r>
      <w:r>
        <w:rPr>
          <w:rFonts w:ascii="Times New Roman" w:hAnsi="Times New Roman" w:cs="Times New Roman" w:eastAsia="Times New Roman"/>
          <w:sz w:val="24"/>
        </w:rPr>
        <w:t xml:space="preserve">-skript håndterer metadata slik at tittelen ikke dupliseres. VS Code-mappekontekst og merge-konflikter ved parallelle worktrees ble pragmatisk håndtert per tilfelle. SHAP-generering for Figur 7.6 feilet teknisk på categorical_feature-mismatch og falt tilbake til LightGBM gain-importance som proxy.</w:t>
      </w:r>
    </w:p>
    <w:p>
      <w:pPr>
        <w:pStyle w:val="BodyText"/>
        <w:spacing w:line="360" w:lineRule="auto"/>
      </w:pPr>
      <w:r>
        <w:rPr>
          <w:rFonts w:ascii="Times New Roman" w:hAnsi="Times New Roman" w:cs="Times New Roman" w:eastAsia="Times New Roman"/>
          <w:b/>
          <w:bCs/>
          <w:sz w:val="24"/>
        </w:rPr>
        <w:t xml:space="preserve">Peer review-respons (G10/Julie, 2026-05-07).</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Alle syv punktene er adressert: (1) Akademisk bidrag konkretisert i § 1.5 med tre hull i litteraturen; (2) Litteratur strippet for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“ligner vårt”</w:t>
      </w:r>
      <w:r>
        <w:rPr>
          <w:rFonts w:ascii="Times New Roman" w:hAnsi="Times New Roman" w:cs="Times New Roman" w:eastAsia="Times New Roman"/>
          <w:sz w:val="24"/>
        </w:rPr>
        <w:t xml:space="preserve">-formuleringer og koblinger flyttet til § 9; (3) Teori-relevans-bokser i § 3 kobler hver del til DP1–DP5; (4) § 5.4 skiller eksplisitt mellom modell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utvikling, seleksjon og endelig evaluering; (5) Figurer eksportert som PNG og embedet i § 7; (6) Diskusjon har litteratur</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koblinger i § 9.2, § 9.5.2 og § 9.5.3; (7) APA 7-konsistens med DOI der det fantes. Tre svakheter som peer review også flagget — manglende test-sett-evaluering, ingen statistisk signifikans, manglende pensum</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kobling — ble alle løst i v1.0 (henholdsvis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eval_test_2025.py</w:t>
      </w:r>
      <w:r>
        <w:rPr>
          <w:rFonts w:ascii="Times New Roman" w:hAnsi="Times New Roman" w:cs="Times New Roman" w:eastAsia="Times New Roman"/>
          <w:sz w:val="24"/>
        </w:rPr>
        <w:t xml:space="preserve">, bootstrap-KI i § 8.1, og Pettersen &amp; Rekdal-kobling i § 2.2/§ 5.0). Et sluttgjennomgang-funn — at Figur 7.8 i v0.4 påsto −0,03 bias mens reell bias er −0,20 — er rapportert ærlig i § 7.4.</w:t>
      </w:r>
    </w:p>
    <w:p>
      <w:pPr>
        <w:pStyle w:val="BodyText"/>
        <w:spacing w:line="360" w:lineRule="auto"/>
      </w:pPr>
      <w:r>
        <w:rPr>
          <w:rFonts w:ascii="Times New Roman" w:hAnsi="Times New Roman" w:cs="Times New Roman" w:eastAsia="Times New Roman"/>
          <w:b/>
          <w:bCs/>
          <w:sz w:val="24"/>
        </w:rPr>
        <w:t xml:space="preserve">Strukturelle utfordringer som forblir åpne.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Visse begrensninger kan ikke lukkes innenfor master-rapportens rammer: produksjons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modellen mangler uavhengig holdout (§ 8.1.1), operasjonell validering over flere måneder er ikke gjennomført, ekstern validitet til andre operatører er ikke testet (§ 9.6), og Diebold-Mariano-test er flagget som videre arbeid punkt 11. Hver av disse er eksplisitt dokumentert snarere enn skjult.</w:t>
      </w:r>
    </w:p>
    <w:p>
      <w:pPr>
        <w:pStyle w:val="BodyText"/>
        <w:spacing w:line="360" w:lineRule="auto"/>
      </w:pPr>
      <w:r>
        <w:rPr>
          <w:rFonts w:ascii="Times New Roman" w:hAnsi="Times New Roman" w:cs="Times New Roman" w:eastAsia="Times New Roman"/>
          <w:b/>
          <w:bCs/>
          <w:sz w:val="24"/>
        </w:rPr>
        <w:t xml:space="preserve">Sammenfattende refleksjon.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Modell- og rapportskriving</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sutfordringene er fullstendig håndtert: alle peer-review-punkter er lukket, statistisk signifikans er etablert, figurer er produsert, pensum er forankret. Data</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utfordringene (17 yachter, manglende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guest_experience</w:t>
      </w:r>
      <w:r>
        <w:rPr>
          <w:rFonts w:ascii="Times New Roman" w:hAnsi="Times New Roman" w:cs="Times New Roman" w:eastAsia="Times New Roman"/>
          <w:sz w:val="24"/>
        </w:rPr>
        <w:t xml:space="preserve">) og strukturelle begrensninger (ingen uavhengig holdout, ingen operasjonell validering) krever ressurser utenfor master-rapporten å lukke. Denne åpenheten — om hva som er løst, hva som er delvis løst og hva som forblir åpent — er i tråd med kompendiets sjekkliste A.3:</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“Begrensninger, usikkerhet og feilkilder er tydeliggjort.”</w:t>
      </w:r>
    </w:p>
    <w:bookmarkEnd w:id="94"/>
    <w:bookmarkStart w:id="95" w:name="praktiske-implikasjoner"/>
    <w:p>
      <w:pPr>
        <w:pStyle w:val="Heading3"/>
        <w:spacing w:line="360" w:lineRule="auto"/>
      </w:pPr>
      <w:r>
        <w:rPr>
          <w:rFonts w:ascii="Times New Roman" w:hAnsi="Times New Roman" w:cs="Times New Roman" w:eastAsia="Times New Roman"/>
          <w:sz w:val="24"/>
        </w:rPr>
        <w:t xml:space="preserve">9.8 Praktiske implikasjoner</w:t>
      </w:r>
    </w:p>
    <w:p>
      <w:pPr>
        <w:pStyle w:val="FirstParagraph"/>
        <w:spacing w:line="360" w:lineRule="auto"/>
      </w:pPr>
      <w:r>
        <w:rPr>
          <w:rFonts w:ascii="Times New Roman" w:hAnsi="Times New Roman" w:cs="Times New Roman" w:eastAsia="Times New Roman"/>
          <w:sz w:val="24"/>
        </w:rPr>
        <w:t xml:space="preserve">For Yachting Operations betyr verktøyet at en agent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koordinator på sekunder kan gi yachteier et estimat med tydelig kommunisert spenn i stedet for et magefølelses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anslag. På lengre sikt kan loggføring av faktiske anløps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kostnader mot estimater drive en automatisk re-treningsløkke, slik at modellen forbedres mot faktiske prestasjoner. På kort sikt — og spesielt før labels for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guest_experience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er innhentet (jf. § 9.5.4 og Vedlegg E) — fungerer override-mekanismene for los, bunkers og provisions som en operasjonell sikkerhets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ventil: koordinatoren har et estimat som</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kan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korrigeres for kjente begrensninger uten å vente på en re-trening.</w:t>
      </w:r>
    </w:p>
    <w:bookmarkEnd w:id="95"/>
    <w:bookmarkStart w:id="96" w:name="etiske-og-personvernmessige-hensyn"/>
    <w:p>
      <w:pPr>
        <w:pStyle w:val="Heading3"/>
        <w:spacing w:line="360" w:lineRule="auto"/>
      </w:pPr>
      <w:r>
        <w:rPr>
          <w:rFonts w:ascii="Times New Roman" w:hAnsi="Times New Roman" w:cs="Times New Roman" w:eastAsia="Times New Roman"/>
          <w:sz w:val="24"/>
        </w:rPr>
        <w:t xml:space="preserve">9.9 Etiske og personvernmessige hensyn</w:t>
      </w:r>
    </w:p>
    <w:p>
      <w:pPr>
        <w:pStyle w:val="FirstParagraph"/>
        <w:spacing w:line="360" w:lineRule="auto"/>
      </w:pPr>
      <w:r>
        <w:rPr>
          <w:rFonts w:ascii="Times New Roman" w:hAnsi="Times New Roman" w:cs="Times New Roman" w:eastAsia="Times New Roman"/>
          <w:sz w:val="24"/>
        </w:rPr>
        <w:t xml:space="preserve">Faktura</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data inneholder yacht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identifikatorer, men ingen direkte person</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data. Yacht-ID-er er allerede anonymisert i datasettet (</w:t>
      </w:r>
      <w:r>
        <w:rPr>
          <w:rStyle w:val="VerbatimChar"/>
          <w:rFonts w:ascii="Times New Roman" w:hAnsi="Times New Roman" w:cs="Times New Roman" w:eastAsia="Times New Roman"/>
          <w:sz w:val="24"/>
        </w:rPr>
        <w:t xml:space="preserve">yacht_1, yacht_2, …, yacht_19</w:t>
      </w:r>
      <w:r>
        <w:rPr>
          <w:rFonts w:ascii="Times New Roman" w:hAnsi="Times New Roman" w:cs="Times New Roman" w:eastAsia="Times New Roman"/>
          <w:sz w:val="24"/>
        </w:rPr>
        <w:t xml:space="preserve">). Kontornavn (Bergen Office, Stockholm Office, Copenhagen Office) er beholdt fordi de identifiserer offentlig kjente lokasjoner og ikke representerer sensitive personopplysninger i seg selv. Fakturabeløp i rapporten er aggregert per persentil eller havn slik at enkelt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transaksjoner ikke kan rekonstrueres.</w:t>
      </w:r>
    </w:p>
    <w:p>
      <w:pPr>
        <w:spacing w:line="360" w:lineRule="auto"/>
      </w:pPr>
      <w:r>
        <w:rPr>
          <w:rFonts w:ascii="Times New Roman" w:hAnsi="Times New Roman" w:cs="Times New Roman" w:eastAsia="Times New Roman"/>
          <w:sz w:val="24"/>
        </w:rPr>
        <w:pict>
          <v:rect style="width:0;height:1.5pt" o:hralign="center" o:hrstd="t" o:hr="t"/>
        </w:pict>
      </w:r>
    </w:p>
    <w:bookmarkEnd w:id="96"/>
    <w:bookmarkEnd w:id="97"/>
    <w:bookmarkStart w:id="98" w:name="konklusjon"/>
    <w:p>
      <w:pPr>
        <w:pStyle w:val="Heading2"/>
        <w:spacing w:line="360" w:lineRule="auto"/>
      </w:pPr>
      <w:r>
        <w:rPr>
          <w:rFonts w:ascii="Times New Roman" w:hAnsi="Times New Roman" w:cs="Times New Roman" w:eastAsia="Times New Roman"/>
          <w:sz w:val="24"/>
        </w:rPr>
        <w:t xml:space="preserve">10. Konklusjon</w:t>
      </w:r>
    </w:p>
    <w:p>
      <w:pPr>
        <w:pStyle w:val="FirstParagraph"/>
        <w:spacing w:line="360" w:lineRule="auto"/>
      </w:pPr>
      <w:r>
        <w:rPr>
          <w:rFonts w:ascii="Times New Roman" w:hAnsi="Times New Roman" w:cs="Times New Roman" w:eastAsia="Times New Roman"/>
          <w:sz w:val="24"/>
        </w:rPr>
        <w:t xml:space="preserve">Vi har utviklet en datadreven kostnads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estimator for skandinaviske yacht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anløp som kombinerer LightGBM + CatBoost-ensemble på transaksjons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nivå med hybrid kalibrering mot empiriske persentiler på anløps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nivå. På valideringssettet (2024, n = 490) oppnår modellen MAE = 17 350 EUR (wMAPE 71,4 %) — 20 % bedre enn median</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baseline. På det uavhengige testsettet (2025, n = 649) gir samme model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klasse MAE = 19 051 EUR (wMAPE 74,3 %) — ≈ 10 % degradering val→test, forventet etter seleksjon. CQR-kalibrerte kvantil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modeller gir 80,0 % empirisk dekning, og aggregerte anløps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estimater plasserer seg innenfor P25–P75 i alle fem testede konfigurasjoner.</w:t>
      </w:r>
    </w:p>
    <w:p>
      <w:pPr>
        <w:pStyle w:val="BodyText"/>
        <w:spacing w:line="360" w:lineRule="auto"/>
      </w:pPr>
      <w:r>
        <w:rPr>
          <w:rFonts w:ascii="Times New Roman" w:hAnsi="Times New Roman" w:cs="Times New Roman" w:eastAsia="Times New Roman"/>
          <w:sz w:val="24"/>
        </w:rPr>
        <w:t xml:space="preserve">Hvert delproblem er adressert: DP1 ved 26 features (§ 5.5), DP2 ved seks-modell-sammenligning på val og test (§ 8.1, § 8.1.1), DP3 ved hybrid persentil-kalibrering (§ 6.5), DP4 ved kvantil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modeller med CQR (§ 6.4) og P25–P75-forankring (§ 8.3), og DP5 ved FastAPI + Next.js med svar</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tid &lt; 2 s (§ 8.4).</w:t>
      </w:r>
    </w:p>
    <w:p>
      <w:pPr>
        <w:pStyle w:val="BodyText"/>
        <w:spacing w:line="360" w:lineRule="auto"/>
      </w:pPr>
      <w:r>
        <w:rPr>
          <w:rFonts w:ascii="Times New Roman" w:hAnsi="Times New Roman" w:cs="Times New Roman" w:eastAsia="Times New Roman"/>
          <w:sz w:val="24"/>
        </w:rPr>
        <w:t xml:space="preserve">Studien bidrar (§ 1.5) ved å demonstrere transaksjonsnivå-ensemble med hybrid persentil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kalibrering i et lite, høyt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skjevt regime (n ≈ 1 600, 17 enheter); modell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valget er pensum</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forankret (Pettersen &amp; Rekdal, 2026); og vi dokumenterer konkrete gap mellom modell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struktur og operasjonelle krav (§ 9.5) som peker mot oppnåelige retraining-mål.</w:t>
      </w:r>
    </w:p>
    <w:p>
      <w:pPr>
        <w:pStyle w:val="BodyText"/>
        <w:spacing w:line="360" w:lineRule="auto"/>
      </w:pPr>
      <w:r>
        <w:rPr>
          <w:rFonts w:ascii="Times New Roman" w:hAnsi="Times New Roman" w:cs="Times New Roman" w:eastAsia="Times New Roman"/>
          <w:b/>
          <w:bCs/>
          <w:sz w:val="24"/>
        </w:rPr>
        <w:t xml:space="preserve">Begrensninger: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Anløps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estimatene er demonstrert på fem konfigurasjoner (§ 8.3); operasjonell validering over lengre tid gjenstår. Test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set-metrikkene gjelder prefit-modellen som proxy for produksjons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modellens generalisering. Ekstern validitet er begrenset til Yachting Operations. Provisions kan ikke lukkes uten</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guest_experience</w:t>
      </w:r>
      <w:r>
        <w:rPr>
          <w:rFonts w:ascii="Times New Roman" w:hAnsi="Times New Roman" w:cs="Times New Roman" w:eastAsia="Times New Roman"/>
          <w:sz w:val="24"/>
        </w:rPr>
        <w:t xml:space="preserve">-labels (§ 9.5.4, Vedlegg E).</w:t>
      </w:r>
    </w:p>
    <w:p>
      <w:pPr>
        <w:pStyle w:val="BodyText"/>
        <w:spacing w:line="360" w:lineRule="auto"/>
      </w:pPr>
      <w:r>
        <w:rPr>
          <w:rFonts w:ascii="Times New Roman" w:hAnsi="Times New Roman" w:cs="Times New Roman" w:eastAsia="Times New Roman"/>
          <w:b/>
          <w:bCs/>
          <w:sz w:val="24"/>
        </w:rPr>
        <w:t xml:space="preserve">Videre arbeid: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 Utvide flåten med flere yachter/operatører. (2) Online re-trening med rullerende vindu. (3) Multimodale pris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drivere (drivstoffpris, valuta, vær). (4) AB-test av koordinator-effektivitet med vs. uten verktøy. (5) Land-bevisste aggregat-features og re-trening (§ 9.5.5). (6) Reise</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geometri som lært feature (§ 9.5.3). (7)</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guest_experience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labelling og re-trening (§ 9.5.4). (8) Størrelses-betinget pilot-sannsynlighet (§ 9.5.2). (9) Operasjonell validering over 3 måneder. (10) Rullerende test-evaluering når 2026-data foreligger. (11) Diebold-Mariano-test mot bootstrap-KI. (12) Sensitivitets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analyse på vekslingskurs.</w:t>
      </w:r>
    </w:p>
    <w:p>
      <w:pPr>
        <w:spacing w:line="360" w:lineRule="auto"/>
      </w:pPr>
      <w:r>
        <w:rPr>
          <w:rFonts w:ascii="Times New Roman" w:hAnsi="Times New Roman" w:cs="Times New Roman" w:eastAsia="Times New Roman"/>
          <w:sz w:val="24"/>
        </w:rPr>
        <w:pict>
          <v:rect style="width:0;height:1.5pt" o:hralign="center" o:hrstd="t" o:hr="t"/>
        </w:pict>
      </w:r>
    </w:p>
    <w:bookmarkEnd w:id="98"/>
    <w:bookmarkStart w:id="99" w:name="bibliografi"/>
    <w:p>
      <w:pPr>
        <w:pStyle w:val="Heading2"/>
        <w:spacing w:line="360" w:lineRule="auto"/>
      </w:pPr>
      <w:r>
        <w:rPr>
          <w:rFonts w:ascii="Times New Roman" w:hAnsi="Times New Roman" w:cs="Times New Roman" w:eastAsia="Times New Roman"/>
          <w:sz w:val="24"/>
        </w:rPr>
        <w:t xml:space="preserve">11. Bibliografi</w:t>
      </w:r>
    </w:p>
    <w:p>
      <w:pPr>
        <w:pStyle w:val="FirstParagraph"/>
        <w:spacing w:line="360" w:lineRule="auto"/>
      </w:pPr>
      <w:r>
        <w:rPr>
          <w:rFonts w:ascii="Times New Roman" w:hAnsi="Times New Roman" w:cs="Times New Roman" w:eastAsia="Times New Roman"/>
          <w:sz w:val="24"/>
        </w:rPr>
        <w:t xml:space="preserve">Friedman, J. H. (2001). Greedy function approximation: A gradient boosting machine.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The Annals of Statistics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29</w:t>
      </w:r>
      <w:r>
        <w:rPr>
          <w:rFonts w:ascii="Times New Roman" w:hAnsi="Times New Roman" w:cs="Times New Roman" w:eastAsia="Times New Roman"/>
          <w:sz w:val="24"/>
        </w:rPr>
        <w:t xml:space="preserve">(5), 1189–1232. https://doi.org/10.1214/aos/1013203451</w:t>
      </w:r>
    </w:p>
    <w:p>
      <w:pPr>
        <w:pStyle w:val="BodyText"/>
        <w:spacing w:line="360" w:lineRule="auto"/>
      </w:pPr>
      <w:r>
        <w:rPr>
          <w:rFonts w:ascii="Times New Roman" w:hAnsi="Times New Roman" w:cs="Times New Roman" w:eastAsia="Times New Roman"/>
          <w:sz w:val="24"/>
        </w:rPr>
        <w:t xml:space="preserve">Grinsztajn, L., Oyallon, E., &amp; Varoquaux, G. (2022). Why do tree-based models still outperform deep learning on typical tabular data?</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Advances in Neural Information Processing Systems, 35</w:t>
      </w:r>
      <w:r>
        <w:rPr>
          <w:rFonts w:ascii="Times New Roman" w:hAnsi="Times New Roman" w:cs="Times New Roman" w:eastAsia="Times New Roman"/>
          <w:sz w:val="24"/>
        </w:rPr>
        <w:t xml:space="preserve">, 507–520.</w:t>
      </w:r>
    </w:p>
    <w:p>
      <w:pPr>
        <w:pStyle w:val="BodyText"/>
        <w:spacing w:line="360" w:lineRule="auto"/>
      </w:pPr>
      <w:r>
        <w:rPr>
          <w:rFonts w:ascii="Times New Roman" w:hAnsi="Times New Roman" w:cs="Times New Roman" w:eastAsia="Times New Roman"/>
          <w:sz w:val="24"/>
        </w:rPr>
        <w:t xml:space="preserve">Hastie, T., Tibshirani, R., &amp; Friedman, J. (2009).</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The Elements of Statistical Learning: Data Mining, Inference, and Prediction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(2nd ed.). Springer. https://doi.org/10.1007/978-0-387-84858-7</w:t>
      </w:r>
    </w:p>
    <w:p>
      <w:pPr>
        <w:pStyle w:val="BodyText"/>
        <w:spacing w:line="360" w:lineRule="auto"/>
      </w:pPr>
      <w:r>
        <w:rPr>
          <w:rFonts w:ascii="Times New Roman" w:hAnsi="Times New Roman" w:cs="Times New Roman" w:eastAsia="Times New Roman"/>
          <w:sz w:val="24"/>
        </w:rPr>
        <w:t xml:space="preserve">Jahangard, M., Xie, Y., &amp; Feng, Y. (2025). Leveraging machine learning and optimization models for enhanced seaport efficiency.</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Maritime Economics &amp; Logistics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27</w:t>
      </w:r>
      <w:r>
        <w:rPr>
          <w:rFonts w:ascii="Times New Roman" w:hAnsi="Times New Roman" w:cs="Times New Roman" w:eastAsia="Times New Roman"/>
          <w:sz w:val="24"/>
        </w:rPr>
        <w:t xml:space="preserve">(4), 710–751. https://doi.org/10.1057/s41278-024-00309-w</w:t>
      </w:r>
    </w:p>
    <w:p>
      <w:pPr>
        <w:pStyle w:val="BodyText"/>
        <w:spacing w:line="360" w:lineRule="auto"/>
      </w:pPr>
      <w:r>
        <w:rPr>
          <w:rFonts w:ascii="Times New Roman" w:hAnsi="Times New Roman" w:cs="Times New Roman" w:eastAsia="Times New Roman"/>
          <w:sz w:val="24"/>
        </w:rPr>
        <w:t xml:space="preserve">Jang, H.-S., Chang, T.-W., &amp; Kim, S.-H. (2023). Prediction of shipping cost on freight brokerage platform using machine learning.</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Sustainability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15</w:t>
      </w:r>
      <w:r>
        <w:rPr>
          <w:rFonts w:ascii="Times New Roman" w:hAnsi="Times New Roman" w:cs="Times New Roman" w:eastAsia="Times New Roman"/>
          <w:sz w:val="24"/>
        </w:rPr>
        <w:t xml:space="preserve">(2), 1122. https://doi.org/10.3390/su15021122</w:t>
      </w:r>
    </w:p>
    <w:p>
      <w:pPr>
        <w:pStyle w:val="BodyText"/>
        <w:spacing w:line="360" w:lineRule="auto"/>
      </w:pPr>
      <w:r>
        <w:rPr>
          <w:rFonts w:ascii="Times New Roman" w:hAnsi="Times New Roman" w:cs="Times New Roman" w:eastAsia="Times New Roman"/>
          <w:sz w:val="24"/>
        </w:rPr>
        <w:t xml:space="preserve">Ke, G., Meng, Q., Finley, T., Wang, T., Chen, W., Ma, W., Ye, Q., &amp; Liu, T.-Y. (2017). LightGBM: A highly efficient gradient boosting decision tree.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Advances in Neural Information Processing Systems, 30</w:t>
      </w:r>
      <w:r>
        <w:rPr>
          <w:rFonts w:ascii="Times New Roman" w:hAnsi="Times New Roman" w:cs="Times New Roman" w:eastAsia="Times New Roman"/>
          <w:sz w:val="24"/>
        </w:rPr>
        <w:t xml:space="preserve">, 3146–3154.</w:t>
      </w:r>
    </w:p>
    <w:p>
      <w:pPr>
        <w:pStyle w:val="BodyText"/>
        <w:spacing w:line="360" w:lineRule="auto"/>
      </w:pPr>
      <w:r>
        <w:rPr>
          <w:rFonts w:ascii="Times New Roman" w:hAnsi="Times New Roman" w:cs="Times New Roman" w:eastAsia="Times New Roman"/>
          <w:sz w:val="24"/>
        </w:rPr>
        <w:t xml:space="preserve">Lundberg, S. M., Erion, G., Chen, H., DeGrave, A., Prutkin, J. M., Nair, B., Katz, R., Himmelfarb, J., Bansal, N., &amp; Lee, S.-I. (2020). From local explanations to global understanding with explainable AI for trees.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Nature Machine Intelligence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2</w:t>
      </w:r>
      <w:r>
        <w:rPr>
          <w:rFonts w:ascii="Times New Roman" w:hAnsi="Times New Roman" w:cs="Times New Roman" w:eastAsia="Times New Roman"/>
          <w:sz w:val="24"/>
        </w:rPr>
        <w:t xml:space="preserve">(1), 56–67. https://doi.org/10.1038/s42256-019-0138-9</w:t>
      </w:r>
    </w:p>
    <w:p>
      <w:pPr>
        <w:pStyle w:val="BodyText"/>
        <w:spacing w:line="360" w:lineRule="auto"/>
      </w:pPr>
      <w:r>
        <w:rPr>
          <w:rFonts w:ascii="Times New Roman" w:hAnsi="Times New Roman" w:cs="Times New Roman" w:eastAsia="Times New Roman"/>
          <w:sz w:val="24"/>
        </w:rPr>
        <w:t xml:space="preserve">Lundberg, S. M., &amp; Lee, S.-I. (2017). A unified approach to interpreting model predictions.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Advances in Neural Information Processing Systems, 30</w:t>
      </w:r>
      <w:r>
        <w:rPr>
          <w:rFonts w:ascii="Times New Roman" w:hAnsi="Times New Roman" w:cs="Times New Roman" w:eastAsia="Times New Roman"/>
          <w:sz w:val="24"/>
        </w:rPr>
        <w:t xml:space="preserve">, 4765–4774.</w:t>
      </w:r>
    </w:p>
    <w:p>
      <w:pPr>
        <w:pStyle w:val="BodyText"/>
        <w:spacing w:line="360" w:lineRule="auto"/>
      </w:pPr>
      <w:r>
        <w:rPr>
          <w:rFonts w:ascii="Times New Roman" w:hAnsi="Times New Roman" w:cs="Times New Roman" w:eastAsia="Times New Roman"/>
          <w:sz w:val="24"/>
        </w:rPr>
        <w:t xml:space="preserve">Pettersen, B.-I., &amp; Rekdal, P. K. (2026).</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Kvantitative metoder i logistikk — implementert via KI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[Kompendium]. LOG650 Forskningsprosjekt: Logistikk og kunstig intelligens, Høgskolen i Molde.</w:t>
      </w:r>
    </w:p>
    <w:p>
      <w:pPr>
        <w:pStyle w:val="BodyText"/>
        <w:spacing w:line="360" w:lineRule="auto"/>
      </w:pPr>
      <w:r>
        <w:rPr>
          <w:rFonts w:ascii="Times New Roman" w:hAnsi="Times New Roman" w:cs="Times New Roman" w:eastAsia="Times New Roman"/>
          <w:sz w:val="24"/>
        </w:rPr>
        <w:t xml:space="preserve">Prokhorenkova, L., Gusev, G., Vorobev, A., Dorogush, A. V., &amp; Gulin, A. (2018). CatBoost: Unbiased boosting with categorical features.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Advances in Neural Information Processing Systems, 31</w:t>
      </w:r>
      <w:r>
        <w:rPr>
          <w:rFonts w:ascii="Times New Roman" w:hAnsi="Times New Roman" w:cs="Times New Roman" w:eastAsia="Times New Roman"/>
          <w:sz w:val="24"/>
        </w:rPr>
        <w:t xml:space="preserve">, 6638–6648.</w:t>
      </w:r>
    </w:p>
    <w:p>
      <w:pPr>
        <w:pStyle w:val="BodyText"/>
        <w:spacing w:line="360" w:lineRule="auto"/>
      </w:pPr>
      <w:r>
        <w:rPr>
          <w:rFonts w:ascii="Times New Roman" w:hAnsi="Times New Roman" w:cs="Times New Roman" w:eastAsia="Times New Roman"/>
          <w:sz w:val="24"/>
        </w:rPr>
        <w:t xml:space="preserve">Romano, Y., Patterson, E., &amp; Candès, E. (2019). Conformalized quantile regression.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Advances in Neural Information Processing Systems, 32</w:t>
      </w:r>
      <w:r>
        <w:rPr>
          <w:rFonts w:ascii="Times New Roman" w:hAnsi="Times New Roman" w:cs="Times New Roman" w:eastAsia="Times New Roman"/>
          <w:sz w:val="24"/>
        </w:rPr>
        <w:t xml:space="preserve">, 3543–3553.</w:t>
      </w:r>
    </w:p>
    <w:p>
      <w:pPr>
        <w:pStyle w:val="BodyText"/>
        <w:spacing w:line="360" w:lineRule="auto"/>
      </w:pPr>
      <w:r>
        <w:rPr>
          <w:rFonts w:ascii="Times New Roman" w:hAnsi="Times New Roman" w:cs="Times New Roman" w:eastAsia="Times New Roman"/>
          <w:sz w:val="24"/>
        </w:rPr>
        <w:t xml:space="preserve">Shafer, G., &amp; Vovk, V. (2008). A tutorial on conformal prediction.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Journal of Machine Learning Research</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9</w:t>
      </w:r>
      <w:r>
        <w:rPr>
          <w:rFonts w:ascii="Times New Roman" w:hAnsi="Times New Roman" w:cs="Times New Roman" w:eastAsia="Times New Roman"/>
          <w:sz w:val="24"/>
        </w:rPr>
        <w:t xml:space="preserve">, 371–421. https://jmlr.csail.mit.edu/papers/volume9/shafer08a/shafer08a.pdf</w:t>
      </w:r>
    </w:p>
    <w:p>
      <w:pPr>
        <w:pStyle w:val="BodyText"/>
        <w:spacing w:line="360" w:lineRule="auto"/>
      </w:pPr>
      <w:r>
        <w:rPr>
          <w:rFonts w:ascii="Times New Roman" w:hAnsi="Times New Roman" w:cs="Times New Roman" w:eastAsia="Times New Roman"/>
          <w:sz w:val="24"/>
        </w:rPr>
        <w:t xml:space="preserve">Shwartz-Ziv, R., &amp; Armon, A. (2022). Tabular data: Deep learning is not all you need.</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Information Fusion</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81</w:t>
      </w:r>
      <w:r>
        <w:rPr>
          <w:rFonts w:ascii="Times New Roman" w:hAnsi="Times New Roman" w:cs="Times New Roman" w:eastAsia="Times New Roman"/>
          <w:sz w:val="24"/>
        </w:rPr>
        <w:t xml:space="preserve">, 84–90. https://doi.org/10.1016/j.inffus.2021.11.011</w:t>
      </w:r>
    </w:p>
    <w:p>
      <w:pPr>
        <w:pStyle w:val="BodyText"/>
        <w:spacing w:line="360" w:lineRule="auto"/>
      </w:pPr>
      <w:r>
        <w:rPr>
          <w:rFonts w:ascii="Times New Roman" w:hAnsi="Times New Roman" w:cs="Times New Roman" w:eastAsia="Times New Roman"/>
          <w:sz w:val="24"/>
        </w:rPr>
        <w:t xml:space="preserve">Su, M., Lee, H. J., Wang, X., &amp; Bae, S.-H. (2024). Fuel consumption cost prediction model for ro-ro carriers: A machine learning-based application.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Maritime Policy &amp; Management</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52</w:t>
      </w:r>
      <w:r>
        <w:rPr>
          <w:rFonts w:ascii="Times New Roman" w:hAnsi="Times New Roman" w:cs="Times New Roman" w:eastAsia="Times New Roman"/>
          <w:sz w:val="24"/>
        </w:rPr>
        <w:t xml:space="preserve">(2), 229–249. https://doi.org/10.1080/03088839.2024.2303120</w:t>
      </w:r>
    </w:p>
    <w:p>
      <w:pPr>
        <w:spacing w:line="360" w:lineRule="auto"/>
      </w:pPr>
      <w:r>
        <w:rPr>
          <w:rFonts w:ascii="Times New Roman" w:hAnsi="Times New Roman" w:cs="Times New Roman" w:eastAsia="Times New Roman"/>
          <w:sz w:val="24"/>
        </w:rPr>
        <w:pict>
          <v:rect style="width:0;height:1.5pt" o:hralign="center" o:hrstd="t" o:hr="t"/>
        </w:pict>
      </w:r>
    </w:p>
    <w:bookmarkEnd w:id="99"/>
    <w:bookmarkStart w:id="101" w:name="vedlegg"/>
    <w:p>
      <w:pPr>
        <w:pStyle w:val="Heading2"/>
        <w:spacing w:line="360" w:lineRule="auto"/>
      </w:pPr>
      <w:r>
        <w:rPr>
          <w:rFonts w:ascii="Times New Roman" w:hAnsi="Times New Roman" w:cs="Times New Roman" w:eastAsia="Times New Roman"/>
          <w:sz w:val="24"/>
        </w:rPr>
        <w:t xml:space="preserve">Vedlegg</w:t>
      </w:r>
    </w:p>
    <w:p>
      <w:pPr>
        <w:pStyle w:val="Compact"/>
        <w:numPr>
          <w:ilvl w:val="0"/>
          <w:numId w:val="1017"/>
        </w:numPr>
        <w:spacing w:line="360" w:lineRule="auto"/>
      </w:pPr>
      <w:r>
        <w:rPr>
          <w:rFonts w:ascii="Times New Roman" w:hAnsi="Times New Roman" w:cs="Times New Roman" w:eastAsia="Times New Roman"/>
          <w:b/>
          <w:bCs/>
          <w:sz w:val="24"/>
        </w:rPr>
        <w:t xml:space="preserve">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Featureliste og dtype-tabell — se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modeling_nauticost.ipynb</w:t>
      </w:r>
      <w:r>
        <w:rPr>
          <w:rFonts w:ascii="Times New Roman" w:hAnsi="Times New Roman" w:cs="Times New Roman" w:eastAsia="Times New Roman"/>
          <w:sz w:val="24"/>
        </w:rPr>
        <w:t xml:space="preserve">, seksjon 2 (26 features: 6 kategoriske + 20 numeriske).</w:t>
      </w:r>
    </w:p>
    <w:p>
      <w:pPr>
        <w:pStyle w:val="Compact"/>
        <w:numPr>
          <w:ilvl w:val="0"/>
          <w:numId w:val="1017"/>
        </w:numPr>
        <w:spacing w:line="360" w:lineRule="auto"/>
      </w:pPr>
      <w:r>
        <w:rPr>
          <w:rFonts w:ascii="Times New Roman" w:hAnsi="Times New Roman" w:cs="Times New Roman" w:eastAsia="Times New Roman"/>
          <w:b/>
          <w:bCs/>
          <w:sz w:val="24"/>
        </w:rPr>
        <w:t xml:space="preserve">B.</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Hyperparametre fra Optuna-studie — se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013 fase 3 - review/artifacts/model_meta_final.joblib</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og</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modeling_nauticost.ipynb</w:t>
      </w:r>
      <w:r>
        <w:rPr>
          <w:rFonts w:ascii="Times New Roman" w:hAnsi="Times New Roman" w:cs="Times New Roman" w:eastAsia="Times New Roman"/>
          <w:sz w:val="24"/>
        </w:rPr>
        <w:t xml:space="preserve">, seksjon 9.</w:t>
      </w:r>
    </w:p>
    <w:p>
      <w:pPr>
        <w:pStyle w:val="Compact"/>
        <w:numPr>
          <w:ilvl w:val="0"/>
          <w:numId w:val="1017"/>
        </w:numPr>
        <w:spacing w:line="360" w:lineRule="auto"/>
      </w:pPr>
      <w:r>
        <w:rPr>
          <w:rFonts w:ascii="Times New Roman" w:hAnsi="Times New Roman" w:cs="Times New Roman" w:eastAsia="Times New Roman"/>
          <w:b/>
          <w:bCs/>
          <w:sz w:val="24"/>
        </w:rPr>
        <w:t xml:space="preserve">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API-spesifikasjon (OpenAPI fra FastAPI) — se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013 fase 3 - review/backend/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endepunkt-definisjon (</w:t>
      </w:r>
      <w:r>
        <w:rPr>
          <w:rStyle w:val="VerbatimChar"/>
          <w:rFonts w:ascii="Times New Roman" w:hAnsi="Times New Roman" w:cs="Times New Roman" w:eastAsia="Times New Roman"/>
          <w:sz w:val="24"/>
        </w:rPr>
        <w:t xml:space="preserve">POST /api/predict</w:t>
      </w:r>
      <w:r>
        <w:rPr>
          <w:rFonts w:ascii="Times New Roman" w:hAnsi="Times New Roman" w:cs="Times New Roman" w:eastAsia="Times New Roman"/>
          <w:sz w:val="24"/>
        </w:rPr>
        <w:t xml:space="preserve">).</w:t>
      </w:r>
    </w:p>
    <w:p>
      <w:pPr>
        <w:pStyle w:val="Compact"/>
        <w:numPr>
          <w:ilvl w:val="0"/>
          <w:numId w:val="1017"/>
        </w:numPr>
        <w:spacing w:line="360" w:lineRule="auto"/>
      </w:pPr>
      <w:r>
        <w:rPr>
          <w:rFonts w:ascii="Times New Roman" w:hAnsi="Times New Roman" w:cs="Times New Roman" w:eastAsia="Times New Roman"/>
          <w:b/>
          <w:bCs/>
          <w:sz w:val="24"/>
        </w:rPr>
        <w:t xml:space="preserv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Skjermbilder fra Next.js-frontend — se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013 fase 3 - review/frontend/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kildekoden til dashbordet.</w:t>
      </w:r>
    </w:p>
    <w:p>
      <w:pPr>
        <w:pStyle w:val="Compact"/>
        <w:numPr>
          <w:ilvl w:val="0"/>
          <w:numId w:val="1017"/>
        </w:numPr>
        <w:spacing w:line="360" w:lineRule="auto"/>
      </w:pPr>
      <w:r>
        <w:rPr>
          <w:rFonts w:ascii="Times New Roman" w:hAnsi="Times New Roman" w:cs="Times New Roman" w:eastAsia="Times New Roman"/>
          <w:b/>
          <w:bCs/>
          <w:sz w:val="24"/>
        </w:rPr>
        <w:t xml:space="preserve">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Foreslått rubrikk for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guest_experience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se egen seksjon nedenfor.</w:t>
      </w:r>
    </w:p>
    <w:p>
      <w:pPr>
        <w:pStyle w:val="Compact"/>
        <w:numPr>
          <w:ilvl w:val="0"/>
          <w:numId w:val="1017"/>
        </w:numPr>
        <w:spacing w:line="360" w:lineRule="auto"/>
      </w:pPr>
      <w:r>
        <w:rPr>
          <w:rFonts w:ascii="Times New Roman" w:hAnsi="Times New Roman" w:cs="Times New Roman" w:eastAsia="Times New Roman"/>
          <w:b/>
          <w:bCs/>
          <w:sz w:val="24"/>
        </w:rPr>
        <w:t xml:space="preserve">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Test-set-evalueringsskript —</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013 fase 3 - review/eval_test_2025.py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reproduserer tallene i tabell 8.2; resultatene er lagret i</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013 fase 3 - review/artifacts/metrics_test_2025.csv</w:t>
      </w:r>
      <w:r>
        <w:rPr>
          <w:rFonts w:ascii="Times New Roman" w:hAnsi="Times New Roman" w:cs="Times New Roman" w:eastAsia="Times New Roman"/>
          <w:sz w:val="24"/>
        </w:rPr>
        <w:t xml:space="preserve">.</w:t>
      </w:r>
    </w:p>
    <w:bookmarkStart w:id="100" w:name="Xe1f01a8cc6b3208ae7fb51104f9d9c075e3eeb5"/>
    <w:p>
      <w:pPr>
        <w:pStyle w:val="Heading3"/>
        <w:spacing w:line="360" w:lineRule="auto"/>
      </w:pPr>
      <w:r>
        <w:rPr>
          <w:rFonts w:ascii="Times New Roman" w:hAnsi="Times New Roman" w:cs="Times New Roman" w:eastAsia="Times New Roman"/>
          <w:sz w:val="24"/>
        </w:rPr>
        <w:t xml:space="preserve">Vedlegg E. Foreslått rubrikk for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guest_experience</w:t>
      </w:r>
    </w:p>
    <w:p>
      <w:pPr>
        <w:pStyle w:val="FirstParagraph"/>
        <w:spacing w:line="360" w:lineRule="auto"/>
      </w:pPr>
      <w:r>
        <w:rPr>
          <w:rStyle w:val="VerbatimChar"/>
          <w:rFonts w:ascii="Times New Roman" w:hAnsi="Times New Roman" w:cs="Times New Roman" w:eastAsia="Times New Roman"/>
          <w:sz w:val="24"/>
        </w:rPr>
        <w:t xml:space="preserve">guest_experience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mangler i kildedataene (jf. § 9.5.4) og kan ikke simuleres. For at fremtidige labels skal være konsistente på tvers av koordinatorer foreslår vi en operasjonell rubrikk basert på pre-arrival-informasjon — fem dimensjoner som agent</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koordinator (eller yachtens purser) kan svare på ved booking: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spacing w:line="360" w:lineRule="auto"/>
            </w:pPr>
            <w:r>
              <w:rPr>
                <w:rFonts w:ascii="Times New Roman" w:hAnsi="Times New Roman" w:cs="Times New Roman" w:eastAsia="Times New Roman"/>
                <w:sz w:val="24"/>
              </w:rPr>
              <w:t xml:space="preserve">Dimensjon</w:t>
            </w:r>
          </w:p>
        </w:tc>
        <w:tc>
          <w:tcPr/>
          <w:p>
            <w:pPr>
              <w:pStyle w:val="Compact"/>
              <w:spacing w:line="360" w:lineRule="auto"/>
            </w:pPr>
            <w:r>
              <w:rPr>
                <w:rFonts w:ascii="Times New Roman" w:hAnsi="Times New Roman" w:cs="Times New Roman" w:eastAsia="Times New Roman"/>
                <w:sz w:val="24"/>
              </w:rPr>
              <w:t xml:space="preserve">Skår 0</w:t>
            </w:r>
          </w:p>
        </w:tc>
        <w:tc>
          <w:tcPr/>
          <w:p>
            <w:pPr>
              <w:pStyle w:val="Compact"/>
              <w:spacing w:line="360" w:lineRule="auto"/>
            </w:pPr>
            <w:r>
              <w:rPr>
                <w:rFonts w:ascii="Times New Roman" w:hAnsi="Times New Roman" w:cs="Times New Roman" w:eastAsia="Times New Roman"/>
                <w:sz w:val="24"/>
              </w:rPr>
              <w:t xml:space="preserve">Skår 1</w:t>
            </w:r>
          </w:p>
        </w:tc>
        <w:tc>
          <w:tcPr/>
          <w:p>
            <w:pPr>
              <w:pStyle w:val="Compact"/>
              <w:spacing w:line="360" w:lineRule="auto"/>
            </w:pPr>
            <w:r>
              <w:rPr>
                <w:rFonts w:ascii="Times New Roman" w:hAnsi="Times New Roman" w:cs="Times New Roman" w:eastAsia="Times New Roman"/>
                <w:sz w:val="24"/>
              </w:rPr>
              <w:t xml:space="preserve">Skår 2</w:t>
            </w:r>
          </w:p>
        </w:tc>
      </w:tr>
      <w:tr>
        <w:tc>
          <w:tcPr/>
          <w:p>
            <w:pPr>
              <w:pStyle w:val="Compact"/>
              <w:spacing w:line="360" w:lineRule="auto"/>
            </w:pPr>
            <w:r>
              <w:rPr>
                <w:rFonts w:ascii="Times New Roman" w:hAnsi="Times New Roman" w:cs="Times New Roman" w:eastAsia="Times New Roman"/>
                <w:sz w:val="24"/>
              </w:rPr>
              <w:t xml:space="preserve">Antall gjester ombord</w:t>
            </w:r>
          </w:p>
        </w:tc>
        <w:tc>
          <w:tcPr/>
          <w:p>
            <w:pPr>
              <w:pStyle w:val="Compact"/>
              <w:spacing w:line="360" w:lineRule="auto"/>
            </w:pPr>
            <w:r>
              <w:rPr>
                <w:rFonts w:ascii="Times New Roman" w:hAnsi="Times New Roman" w:cs="Times New Roman" w:eastAsia="Times New Roman"/>
                <w:sz w:val="24"/>
              </w:rPr>
              <w:t xml:space="preserve">&lt; 4</w:t>
            </w:r>
          </w:p>
        </w:tc>
        <w:tc>
          <w:tcPr/>
          <w:p>
            <w:pPr>
              <w:pStyle w:val="Compact"/>
              <w:spacing w:line="360" w:lineRule="auto"/>
            </w:pPr>
            <w:r>
              <w:rPr>
                <w:rFonts w:ascii="Times New Roman" w:hAnsi="Times New Roman" w:cs="Times New Roman" w:eastAsia="Times New Roman"/>
                <w:sz w:val="24"/>
              </w:rPr>
              <w:t xml:space="preserve">4–8</w:t>
            </w:r>
          </w:p>
        </w:tc>
        <w:tc>
          <w:tcPr/>
          <w:p>
            <w:pPr>
              <w:pStyle w:val="Compact"/>
              <w:spacing w:line="360" w:lineRule="auto"/>
            </w:pPr>
            <w:r>
              <w:rPr>
                <w:rFonts w:ascii="Times New Roman" w:hAnsi="Times New Roman" w:cs="Times New Roman" w:eastAsia="Times New Roman"/>
                <w:sz w:val="24"/>
              </w:rPr>
              <w:t xml:space="preserve">&gt; 8</w:t>
            </w:r>
          </w:p>
        </w:tc>
      </w:tr>
      <w:tr>
        <w:tc>
          <w:tcPr/>
          <w:p>
            <w:pPr>
              <w:pStyle w:val="Compact"/>
              <w:spacing w:line="360" w:lineRule="auto"/>
            </w:pPr>
            <w:r>
              <w:rPr>
                <w:rFonts w:ascii="Times New Roman" w:hAnsi="Times New Roman" w:cs="Times New Roman" w:eastAsia="Times New Roman"/>
                <w:sz w:val="24"/>
              </w:rPr>
              <w:t xml:space="preserve">Antall planlagte hosted events under turen (galaer, hosted middager, mottakelser)</w:t>
            </w:r>
          </w:p>
        </w:tc>
        <w:tc>
          <w:tcPr/>
          <w:p>
            <w:pPr>
              <w:pStyle w:val="Compact"/>
              <w:spacing w:line="360" w:lineRule="auto"/>
            </w:pPr>
            <w:r>
              <w:rPr>
                <w:rFonts w:ascii="Times New Roman" w:hAnsi="Times New Roman" w:cs="Times New Roman" w:eastAsia="Times New Roman"/>
                <w:sz w:val="24"/>
              </w:rPr>
              <w:t xml:space="preserve">0</w:t>
            </w:r>
          </w:p>
        </w:tc>
        <w:tc>
          <w:tcPr/>
          <w:p>
            <w:pPr>
              <w:pStyle w:val="Compact"/>
              <w:spacing w:line="360" w:lineRule="auto"/>
            </w:pPr>
            <w:r>
              <w:rPr>
                <w:rFonts w:ascii="Times New Roman" w:hAnsi="Times New Roman" w:cs="Times New Roman" w:eastAsia="Times New Roman"/>
                <w:sz w:val="24"/>
              </w:rPr>
              <w:t xml:space="preserve">1–2</w:t>
            </w:r>
          </w:p>
        </w:tc>
        <w:tc>
          <w:tcPr/>
          <w:p>
            <w:pPr>
              <w:pStyle w:val="Compact"/>
              <w:spacing w:line="360" w:lineRule="auto"/>
            </w:pPr>
            <w:r>
              <w:rPr>
                <w:rFonts w:ascii="Times New Roman" w:hAnsi="Times New Roman" w:cs="Times New Roman" w:eastAsia="Times New Roman"/>
                <w:sz w:val="24"/>
              </w:rPr>
              <w:t xml:space="preserve">≥ 3</w:t>
            </w:r>
          </w:p>
        </w:tc>
      </w:tr>
      <w:tr>
        <w:tc>
          <w:tcPr/>
          <w:p>
            <w:pPr>
              <w:pStyle w:val="Compact"/>
              <w:spacing w:line="360" w:lineRule="auto"/>
            </w:pPr>
            <w:r>
              <w:rPr>
                <w:rFonts w:ascii="Times New Roman" w:hAnsi="Times New Roman" w:cs="Times New Roman" w:eastAsia="Times New Roman"/>
                <w:sz w:val="24"/>
              </w:rPr>
              <w:t xml:space="preserve">Provisjons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stil</w:t>
            </w:r>
          </w:p>
        </w:tc>
        <w:tc>
          <w:tcPr/>
          <w:p>
            <w:pPr>
              <w:pStyle w:val="Compact"/>
              <w:spacing w:line="360" w:lineRule="auto"/>
            </w:pPr>
            <w:r>
              <w:rPr>
                <w:rFonts w:ascii="Times New Roman" w:hAnsi="Times New Roman" w:cs="Times New Roman" w:eastAsia="Times New Roman"/>
                <w:sz w:val="24"/>
              </w:rPr>
              <w:t xml:space="preserve">Standard</w:t>
            </w:r>
          </w:p>
        </w:tc>
        <w:tc>
          <w:tcPr/>
          <w:p>
            <w:pPr>
              <w:pStyle w:val="Compact"/>
              <w:spacing w:line="360" w:lineRule="auto"/>
            </w:pPr>
            <w:r>
              <w:rPr>
                <w:rFonts w:ascii="Times New Roman" w:hAnsi="Times New Roman" w:cs="Times New Roman" w:eastAsia="Times New Roman"/>
                <w:sz w:val="24"/>
              </w:rPr>
              <w:t xml:space="preserve">Premium</w:t>
            </w:r>
          </w:p>
        </w:tc>
        <w:tc>
          <w:tcPr/>
          <w:p>
            <w:pPr>
              <w:pStyle w:val="Compact"/>
              <w:spacing w:line="360" w:lineRule="auto"/>
            </w:pPr>
            <w:r>
              <w:rPr>
                <w:rFonts w:ascii="Times New Roman" w:hAnsi="Times New Roman" w:cs="Times New Roman" w:eastAsia="Times New Roman"/>
                <w:sz w:val="24"/>
              </w:rPr>
              <w:t xml:space="preserve">Luksus / bespoke</w:t>
            </w:r>
          </w:p>
        </w:tc>
      </w:tr>
      <w:tr>
        <w:tc>
          <w:tcPr/>
          <w:p>
            <w:pPr>
              <w:pStyle w:val="Compact"/>
              <w:spacing w:line="360" w:lineRule="auto"/>
            </w:pPr>
            <w:r>
              <w:rPr>
                <w:rFonts w:ascii="Times New Roman" w:hAnsi="Times New Roman" w:cs="Times New Roman" w:eastAsia="Times New Roman"/>
                <w:sz w:val="24"/>
              </w:rPr>
              <w:t xml:space="preserve">Antall transfers per uke (lufthavn, by, dagstur)</w:t>
            </w:r>
          </w:p>
        </w:tc>
        <w:tc>
          <w:tcPr/>
          <w:p>
            <w:pPr>
              <w:pStyle w:val="Compact"/>
              <w:spacing w:line="360" w:lineRule="auto"/>
            </w:pPr>
            <w:r>
              <w:rPr>
                <w:rFonts w:ascii="Times New Roman" w:hAnsi="Times New Roman" w:cs="Times New Roman" w:eastAsia="Times New Roman"/>
                <w:sz w:val="24"/>
              </w:rPr>
              <w:t xml:space="preserve">&lt; 3</w:t>
            </w:r>
          </w:p>
        </w:tc>
        <w:tc>
          <w:tcPr/>
          <w:p>
            <w:pPr>
              <w:pStyle w:val="Compact"/>
              <w:spacing w:line="360" w:lineRule="auto"/>
            </w:pPr>
            <w:r>
              <w:rPr>
                <w:rFonts w:ascii="Times New Roman" w:hAnsi="Times New Roman" w:cs="Times New Roman" w:eastAsia="Times New Roman"/>
                <w:sz w:val="24"/>
              </w:rPr>
              <w:t xml:space="preserve">3–7</w:t>
            </w:r>
          </w:p>
        </w:tc>
        <w:tc>
          <w:tcPr/>
          <w:p>
            <w:pPr>
              <w:pStyle w:val="Compact"/>
              <w:spacing w:line="360" w:lineRule="auto"/>
            </w:pPr>
            <w:r>
              <w:rPr>
                <w:rFonts w:ascii="Times New Roman" w:hAnsi="Times New Roman" w:cs="Times New Roman" w:eastAsia="Times New Roman"/>
                <w:sz w:val="24"/>
              </w:rPr>
              <w:t xml:space="preserve">&gt; 7</w:t>
            </w:r>
          </w:p>
        </w:tc>
      </w:tr>
      <w:tr>
        <w:tc>
          <w:tcPr/>
          <w:p>
            <w:pPr>
              <w:pStyle w:val="Compact"/>
              <w:spacing w:line="360" w:lineRule="auto"/>
            </w:pPr>
            <w:r>
              <w:rPr>
                <w:rFonts w:ascii="Times New Roman" w:hAnsi="Times New Roman" w:cs="Times New Roman" w:eastAsia="Times New Roman"/>
                <w:sz w:val="24"/>
              </w:rPr>
              <w:t xml:space="preserve">Guide- eller excursion</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frekvens</w:t>
            </w:r>
          </w:p>
        </w:tc>
        <w:tc>
          <w:tcPr/>
          <w:p>
            <w:pPr>
              <w:pStyle w:val="Compact"/>
              <w:spacing w:line="360" w:lineRule="auto"/>
            </w:pPr>
            <w:r>
              <w:rPr>
                <w:rFonts w:ascii="Times New Roman" w:hAnsi="Times New Roman" w:cs="Times New Roman" w:eastAsia="Times New Roman"/>
                <w:sz w:val="24"/>
              </w:rPr>
              <w:t xml:space="preserve">Sjelden</w:t>
            </w:r>
          </w:p>
        </w:tc>
        <w:tc>
          <w:tcPr/>
          <w:p>
            <w:pPr>
              <w:pStyle w:val="Compact"/>
              <w:spacing w:line="360" w:lineRule="auto"/>
            </w:pPr>
            <w:r>
              <w:rPr>
                <w:rFonts w:ascii="Times New Roman" w:hAnsi="Times New Roman" w:cs="Times New Roman" w:eastAsia="Times New Roman"/>
                <w:sz w:val="24"/>
              </w:rPr>
              <w:t xml:space="preserve">Av og til</w:t>
            </w:r>
          </w:p>
        </w:tc>
        <w:tc>
          <w:tcPr/>
          <w:p>
            <w:pPr>
              <w:pStyle w:val="Compact"/>
              <w:spacing w:line="360" w:lineRule="auto"/>
            </w:pPr>
            <w:r>
              <w:rPr>
                <w:rFonts w:ascii="Times New Roman" w:hAnsi="Times New Roman" w:cs="Times New Roman" w:eastAsia="Times New Roman"/>
                <w:sz w:val="24"/>
              </w:rPr>
              <w:t xml:space="preserve">Ofte</w:t>
            </w:r>
          </w:p>
        </w:tc>
      </w:tr>
    </w:tbl>
    <w:p>
      <w:pPr>
        <w:pStyle w:val="BodyText"/>
        <w:spacing w:line="360" w:lineRule="auto"/>
      </w:pPr>
      <w:r>
        <w:rPr>
          <w:rFonts w:ascii="Times New Roman" w:hAnsi="Times New Roman" w:cs="Times New Roman" w:eastAsia="Times New Roman"/>
          <w:sz w:val="24"/>
        </w:rPr>
        <w:t xml:space="preserve">Sum gir et tall mellom 0 og 10. Bucketing til de tre lovlige API-verdiene:</w:t>
      </w:r>
    </w:p>
    <w:p>
      <w:pPr>
        <w:pStyle w:val="Compact"/>
        <w:numPr>
          <w:ilvl w:val="0"/>
          <w:numId w:val="1018"/>
        </w:numPr>
        <w:spacing w:line="360" w:lineRule="auto"/>
      </w:pPr>
      <w:r>
        <w:rPr>
          <w:rFonts w:ascii="Times New Roman" w:hAnsi="Times New Roman" w:cs="Times New Roman" w:eastAsia="Times New Roman"/>
          <w:b/>
          <w:bCs/>
          <w:sz w:val="24"/>
        </w:rPr>
        <w:t xml:space="preserve">0–3 →</w:t>
      </w:r>
      <w:r>
        <w:rPr>
          <w:rFonts w:ascii="Times New Roman" w:hAnsi="Times New Roman" w:cs="Times New Roman" w:eastAsia="Times New Roman"/>
          <w:b/>
          <w:bCs/>
          <w:sz w:val="24"/>
        </w:rPr>
        <w:t xml:space="preserve"> </w:t>
      </w:r>
      <w:r>
        <w:rPr>
          <w:rStyle w:val="VerbatimChar"/>
          <w:rFonts w:ascii="Times New Roman" w:hAnsi="Times New Roman" w:cs="Times New Roman" w:eastAsia="Times New Roman"/>
          <w:b/>
          <w:bCs/>
          <w:sz w:val="24"/>
        </w:rPr>
        <w:t xml:space="preserve">not_demanding</w:t>
      </w:r>
    </w:p>
    <w:p>
      <w:pPr>
        <w:pStyle w:val="Compact"/>
        <w:numPr>
          <w:ilvl w:val="0"/>
          <w:numId w:val="1018"/>
        </w:numPr>
        <w:spacing w:line="360" w:lineRule="auto"/>
      </w:pPr>
      <w:r>
        <w:rPr>
          <w:rFonts w:ascii="Times New Roman" w:hAnsi="Times New Roman" w:cs="Times New Roman" w:eastAsia="Times New Roman"/>
          <w:b/>
          <w:bCs/>
          <w:sz w:val="24"/>
        </w:rPr>
        <w:t xml:space="preserve">4–6 →</w:t>
      </w:r>
      <w:r>
        <w:rPr>
          <w:rFonts w:ascii="Times New Roman" w:hAnsi="Times New Roman" w:cs="Times New Roman" w:eastAsia="Times New Roman"/>
          <w:b/>
          <w:bCs/>
          <w:sz w:val="24"/>
        </w:rPr>
        <w:t xml:space="preserve"> </w:t>
      </w:r>
      <w:r>
        <w:rPr>
          <w:rStyle w:val="VerbatimChar"/>
          <w:rFonts w:ascii="Times New Roman" w:hAnsi="Times New Roman" w:cs="Times New Roman" w:eastAsia="Times New Roman"/>
          <w:b/>
          <w:bCs/>
          <w:sz w:val="24"/>
        </w:rPr>
        <w:t xml:space="preserve">neutral</w:t>
      </w:r>
    </w:p>
    <w:p>
      <w:pPr>
        <w:pStyle w:val="Compact"/>
        <w:numPr>
          <w:ilvl w:val="0"/>
          <w:numId w:val="1018"/>
        </w:numPr>
        <w:spacing w:line="360" w:lineRule="auto"/>
      </w:pPr>
      <w:r>
        <w:rPr>
          <w:rFonts w:ascii="Times New Roman" w:hAnsi="Times New Roman" w:cs="Times New Roman" w:eastAsia="Times New Roman"/>
          <w:b/>
          <w:bCs/>
          <w:sz w:val="24"/>
        </w:rPr>
        <w:t xml:space="preserve">7–10 →</w:t>
      </w:r>
      <w:r>
        <w:rPr>
          <w:rFonts w:ascii="Times New Roman" w:hAnsi="Times New Roman" w:cs="Times New Roman" w:eastAsia="Times New Roman"/>
          <w:b/>
          <w:bCs/>
          <w:sz w:val="24"/>
        </w:rPr>
        <w:t xml:space="preserve"> </w:t>
      </w:r>
      <w:r>
        <w:rPr>
          <w:rStyle w:val="VerbatimChar"/>
          <w:rFonts w:ascii="Times New Roman" w:hAnsi="Times New Roman" w:cs="Times New Roman" w:eastAsia="Times New Roman"/>
          <w:b/>
          <w:bCs/>
          <w:sz w:val="24"/>
        </w:rPr>
        <w:t xml:space="preserve">demanding</w:t>
      </w:r>
    </w:p>
    <w:p>
      <w:pPr>
        <w:pStyle w:val="FirstParagraph"/>
        <w:spacing w:line="360" w:lineRule="auto"/>
      </w:pPr>
      <w:r>
        <w:rPr>
          <w:rFonts w:ascii="Times New Roman" w:hAnsi="Times New Roman" w:cs="Times New Roman" w:eastAsia="Times New Roman"/>
          <w:b/>
          <w:bCs/>
          <w:sz w:val="24"/>
        </w:rPr>
        <w:t xml:space="preserve">Viktig: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Dette er et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forslag til startpunkt</w:t>
      </w:r>
      <w:r>
        <w:rPr>
          <w:rFonts w:ascii="Times New Roman" w:hAnsi="Times New Roman" w:cs="Times New Roman" w:eastAsia="Times New Roman"/>
          <w:sz w:val="24"/>
        </w:rPr>
        <w:t xml:space="preserve">, ikke en validert rubrikk. Den må forfattes og signeres av Yachting Operations selv før den tas i bruk operasjonelt. Dimensjonene og terskelverdiene over er valgt for å være observerbare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før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anløpet (slik at label kan settes før kostnadene er realisert), og for å være rimelig orto</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gonale (ingen dimensjon er en triviell funksjon av en annen). Anvendt på 1 626 historiske rader vil rubrikken kunne label</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e tilbake i tid bare delvis, fordi nodene over ikke er logget — men kombinasjon av faktura</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notater (</w:t>
      </w:r>
      <w:r>
        <w:rPr>
          <w:rStyle w:val="VerbatimChar"/>
          <w:rFonts w:ascii="Times New Roman" w:hAnsi="Times New Roman" w:cs="Times New Roman" w:eastAsia="Times New Roman"/>
          <w:sz w:val="24"/>
        </w:rPr>
        <w:t xml:space="preserve">invoice_comments</w:t>
      </w:r>
      <w:r>
        <w:rPr>
          <w:rFonts w:ascii="Times New Roman" w:hAnsi="Times New Roman" w:cs="Times New Roman" w:eastAsia="Times New Roman"/>
          <w:sz w:val="24"/>
        </w:rPr>
        <w:t xml:space="preserve">) og koordinatorenes minne kan gi en startsetting for re-trening (jf. § 10 punkt 7).</w:t>
      </w:r>
    </w:p>
    <w:p>
      <w:pPr>
        <w:pStyle w:val="BodyText"/>
        <w:spacing w:line="360" w:lineRule="auto"/>
      </w:pPr>
      <w:r>
        <w:rPr>
          <w:rFonts w:ascii="Times New Roman" w:hAnsi="Times New Roman" w:cs="Times New Roman" w:eastAsia="Times New Roman"/>
          <w:sz w:val="24"/>
        </w:rPr>
        <w:t xml:space="preserve">Uten en operasjonelt validert rubrikk vil framtidige labels variere mellom koordinatorer og introdusere systematisk støy som modellen vil tolke som tilfeldig variasjon. Rubrikken er derfor et forutsetnings</w:t>
      </w:r>
      <w:r>
        <w:rPr>
          <w:rFonts w:ascii="Times New Roman" w:hAnsi="Times New Roman" w:cs="Times New Roman" w:eastAsia="Times New Roman"/>
          <w:sz w:val="24"/>
        </w:rPr>
        <w:softHyphen/>
      </w:r>
      <w:r>
        <w:rPr>
          <w:rFonts w:ascii="Times New Roman" w:hAnsi="Times New Roman" w:cs="Times New Roman" w:eastAsia="Times New Roman"/>
          <w:sz w:val="24"/>
        </w:rPr>
        <w:t xml:space="preserve">dokument for re-trening, ikke en ettertanke.</w:t>
      </w:r>
    </w:p>
    <w:bookmarkEnd w:id="100"/>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qFormat/>
    <w:pPr>
      <w:spacing w:after="180" w:before="180"/>
    </w:pPr>
    <w:rPr>
      <w:rFonts w:ascii="Times New Roman" w:hAnsi="Times New Roman"/>
      <w:sz w:val="24"/>
    </w:rPr>
  </w:style>
  <w:style w:customStyle="1" w:styleId="FirstParagraph" w:type="paragraph">
    <w:name w:val="First Paragraph"/>
    <w:basedOn w:val="BodyText"/>
    <w:next w:val="BodyText"/>
    <w:qFormat/>
    <w:rPr>
      <w:rFonts w:ascii="Times New Roman" w:hAnsi="Times New Roman"/>
      <w:sz w:val="24"/>
    </w:rPr>
  </w:style>
  <w:style w:customStyle="1" w:styleId="Compact" w:type="paragraph">
    <w:name w:val="Compact"/>
    <w:basedOn w:val="BodyText"/>
    <w:qFormat/>
    <w:pPr>
      <w:spacing w:after="36" w:before="36"/>
    </w:pPr>
    <w:rPr>
      <w:rFonts w:ascii="Times New Roman" w:hAnsi="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ascii="Times New Roman" w:hAnsi="Times New Roman"/>
      <w:sz w:val="24"/>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Times New Roman" w:hAnsi="Times New Roman"/>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ascii="Times New Roman" w:hAnsi="Times New Roman"/>
      <w:color w:themeColor="text1" w:themeTint="A6" w:val="595959"/>
      <w:spacing w:val="15"/>
      <w:sz w:val="24"/>
      <w:szCs w:val="28"/>
    </w:rPr>
  </w:style>
  <w:style w:customStyle="1" w:styleId="Author" w:type="paragraph">
    <w:name w:val="Author"/>
    <w:basedOn w:val="Title"/>
    <w:next w:val="BodyText"/>
    <w:qFormat/>
    <w:pPr>
      <w:keepNext/>
      <w:keepLines/>
    </w:pPr>
    <w:rPr>
      <w:rFonts w:ascii="Times New Roman" w:hAnsi="Times New Roman"/>
      <w:sz w:val="24"/>
      <w:szCs w:val="24"/>
    </w:rPr>
  </w:style>
  <w:style w:styleId="Date" w:type="paragraph">
    <w:name w:val="Date"/>
    <w:basedOn w:val="Title"/>
    <w:next w:val="BodyText"/>
    <w:qFormat/>
    <w:pPr>
      <w:keepNext/>
      <w:keepLines/>
    </w:pPr>
    <w:rPr>
      <w:rFonts w:ascii="Times New Roman" w:hAnsi="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b/>
      <w:sz w:val="24"/>
      <w:szCs w:val="20"/>
    </w:rPr>
  </w:style>
  <w:style w:customStyle="1" w:styleId="Abstract" w:type="paragraph">
    <w:name w:val="Abstract"/>
    <w:basedOn w:val="Normal"/>
    <w:next w:val="BodyText"/>
    <w:qFormat/>
    <w:pPr>
      <w:keepNext/>
      <w:keepLines/>
      <w:spacing w:after="300" w:before="100"/>
    </w:pPr>
    <w:rPr>
      <w:rFonts w:ascii="Times New Roman" w:hAnsi="Times New Roman"/>
      <w:sz w:val="24"/>
      <w:szCs w:val="20"/>
    </w:rPr>
  </w:style>
  <w:style w:styleId="Bibliography" w:type="paragraph">
    <w:name w:val="Bibliography"/>
    <w:basedOn w:val="Normal"/>
    <w:next w:val="Bibliography"/>
    <w:qFormat/>
    <w:pPr/>
    <w:rPr>
      <w:rFonts w:ascii="Times New Roman" w:hAnsi="Times New Roman"/>
      <w:sz w:val="24"/>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color w:themeColor="accent1" w:themeShade="BF" w:val="0F4761"/>
      <w:sz w:val="26"/>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Times New Roman" w:hAnsi="Times New Roman"/>
      <w:i/>
      <w:iCs/>
      <w:color w:themeColor="accent1" w:themeShade="BF" w:val="0F4761"/>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Times New Roman" w:hAnsi="Times New Roman"/>
      <w:color w:themeColor="accent1" w:themeShade="BF" w:val="0F4761"/>
      <w:sz w:val="24"/>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Times New Roman" w:hAnsi="Times New Roman"/>
      <w:i/>
      <w:iCs/>
      <w:color w:themeColor="text1" w:themeTint="A6" w:val="595959"/>
      <w:sz w:val="24"/>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Times New Roman" w:hAnsi="Times New Roman"/>
      <w:color w:themeColor="text1" w:themeTint="A6" w:val="595959"/>
      <w:sz w:val="24"/>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Times New Roman" w:hAnsi="Times New Roman"/>
      <w:i/>
      <w:iCs/>
      <w:color w:themeColor="text1" w:themeTint="D8" w:val="272727"/>
      <w:sz w:val="24"/>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Times New Roman" w:hAnsi="Times New Roman"/>
      <w:color w:themeColor="text1" w:themeTint="D8" w:val="272727"/>
      <w:sz w:val="24"/>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Times New Roman" w:hAnsi="Times New Roman"/>
      <w:color w:themeColor="accent1" w:themeShade="BF" w:val="0F4761"/>
      <w:sz w:val="24"/>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Times New Roman" w:hAnsi="Times New Roman"/>
      <w:color w:themeColor="accent1" w:themeShade="BF" w:val="0F4761"/>
      <w:sz w:val="24"/>
      <w:szCs w:val="32"/>
    </w:rPr>
  </w:style>
  <w:style w:customStyle="1" w:styleId="Heading3Char" w:type="character">
    <w:name w:val="Heading 3 Char"/>
    <w:basedOn w:val="DefaultParagraphFont"/>
    <w:link w:val="Heading3"/>
    <w:uiPriority w:val="9"/>
    <w:semiHidden/>
    <w:rsid w:val="00A10FD9"/>
    <w:rPr>
      <w:rFonts w:cstheme="majorBidi" w:eastAsiaTheme="majorEastAsia" w:ascii="Times New Roman" w:hAnsi="Times New Roman"/>
      <w:color w:themeColor="accent1" w:themeShade="BF" w:val="0F4761"/>
      <w:sz w:val="24"/>
      <w:szCs w:val="28"/>
    </w:rPr>
  </w:style>
  <w:style w:customStyle="1" w:styleId="Heading4Char" w:type="character">
    <w:name w:val="Heading 4 Char"/>
    <w:basedOn w:val="DefaultParagraphFont"/>
    <w:link w:val="Heading4"/>
    <w:uiPriority w:val="9"/>
    <w:semiHidden/>
    <w:rsid w:val="00A10FD9"/>
    <w:rPr>
      <w:rFonts w:cstheme="majorBidi" w:eastAsiaTheme="majorEastAsia" w:ascii="Times New Roman" w:hAnsi="Times New Roman"/>
      <w:i/>
      <w:iCs/>
      <w:color w:themeColor="accent1" w:themeShade="BF" w:val="0F4761"/>
      <w:sz w:val="24"/>
    </w:rPr>
  </w:style>
  <w:style w:customStyle="1" w:styleId="Heading5Char" w:type="character">
    <w:name w:val="Heading 5 Char"/>
    <w:basedOn w:val="DefaultParagraphFont"/>
    <w:link w:val="Heading5"/>
    <w:uiPriority w:val="9"/>
    <w:semiHidden/>
    <w:rsid w:val="00A10FD9"/>
    <w:rPr>
      <w:rFonts w:cstheme="majorBidi" w:eastAsiaTheme="majorEastAsia" w:ascii="Times New Roman" w:hAnsi="Times New Roman"/>
      <w:color w:themeColor="accent1" w:themeShade="BF" w:val="0F4761"/>
      <w:sz w:val="24"/>
    </w:rPr>
  </w:style>
  <w:style w:customStyle="1" w:styleId="Heading6Char" w:type="character">
    <w:name w:val="Heading 6 Char"/>
    <w:basedOn w:val="DefaultParagraphFont"/>
    <w:link w:val="Heading6"/>
    <w:uiPriority w:val="9"/>
    <w:semiHidden/>
    <w:rsid w:val="00A10FD9"/>
    <w:rPr>
      <w:rFonts w:cstheme="majorBidi" w:eastAsiaTheme="majorEastAsia" w:ascii="Times New Roman" w:hAnsi="Times New Roman"/>
      <w:i/>
      <w:iCs/>
      <w:color w:themeColor="text1" w:themeTint="A6" w:val="595959"/>
      <w:sz w:val="24"/>
    </w:rPr>
  </w:style>
  <w:style w:customStyle="1" w:styleId="Heading7Char" w:type="character">
    <w:name w:val="Heading 7 Char"/>
    <w:basedOn w:val="DefaultParagraphFont"/>
    <w:link w:val="Heading7"/>
    <w:uiPriority w:val="9"/>
    <w:semiHidden/>
    <w:rsid w:val="00A10FD9"/>
    <w:rPr>
      <w:rFonts w:cstheme="majorBidi" w:eastAsiaTheme="majorEastAsia" w:ascii="Times New Roman" w:hAnsi="Times New Roman"/>
      <w:color w:themeColor="text1" w:themeTint="A6" w:val="595959"/>
      <w:sz w:val="24"/>
    </w:rPr>
  </w:style>
  <w:style w:customStyle="1" w:styleId="Heading8Char" w:type="character">
    <w:name w:val="Heading 8 Char"/>
    <w:basedOn w:val="DefaultParagraphFont"/>
    <w:link w:val="Heading8"/>
    <w:uiPriority w:val="9"/>
    <w:semiHidden/>
    <w:rsid w:val="00A10FD9"/>
    <w:rPr>
      <w:rFonts w:cstheme="majorBidi" w:eastAsiaTheme="majorEastAsia" w:ascii="Times New Roman" w:hAnsi="Times New Roman"/>
      <w:i/>
      <w:iCs/>
      <w:color w:themeColor="text1" w:themeTint="D8" w:val="272727"/>
      <w:sz w:val="24"/>
    </w:rPr>
  </w:style>
  <w:style w:customStyle="1" w:styleId="Heading9Char" w:type="character">
    <w:name w:val="Heading 9 Char"/>
    <w:basedOn w:val="DefaultParagraphFont"/>
    <w:link w:val="Heading9"/>
    <w:uiPriority w:val="9"/>
    <w:semiHidden/>
    <w:rsid w:val="00A10FD9"/>
    <w:rPr>
      <w:rFonts w:cstheme="majorBidi" w:eastAsiaTheme="majorEastAsia" w:ascii="Times New Roman" w:hAnsi="Times New Roman"/>
      <w:color w:themeColor="text1" w:themeTint="D8" w:val="272727"/>
      <w:sz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sz w:val="24"/>
    </w:rPr>
  </w:style>
  <w:style w:styleId="FootnoteText" w:type="paragraph">
    <w:name w:val="Footnote Text"/>
    <w:basedOn w:val="Normal"/>
    <w:next w:val="FootnoteText"/>
    <w:uiPriority w:val="9"/>
    <w:unhideWhenUsed/>
    <w:qFormat/>
    <w:rPr>
      <w:rFonts w:ascii="Times New Roman" w:hAnsi="Times New Roman"/>
      <w:sz w:val="24"/>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sz w:val="24"/>
    </w:rPr>
  </w:style>
  <w:style w:default="1" w:styleId="DefaultParagraphFont" w:type="character">
    <w:name w:val="Default Paragraph Font"/>
    <w:semiHidden/>
    <w:unhideWhenUsed/>
    <w:rPr>
      <w:rFonts w:ascii="Times New Roman" w:hAnsi="Times New Roman"/>
      <w:sz w:val="24"/>
    </w:rPr>
  </w:style>
  <w:style w:default="1" w:styleId="Table" w:type="table">
    <w:name w:val="Table"/>
    <w:basedOn w:val="TableNormal"/>
    <w:semiHidden/>
    <w:unhideWhenUsed/>
    <w:qFormat/>
    <w:rPr>
      <w:rFonts w:ascii="Times New Roman" w:hAnsi="Times New Roman"/>
      <w:sz w:val="24"/>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sz w:val="24"/>
    </w:rPr>
  </w:style>
  <w:style w:customStyle="1" w:styleId="Definition" w:type="paragraph">
    <w:name w:val="Definition"/>
    <w:basedOn w:val="Normal"/>
    <w:rPr>
      <w:rFonts w:ascii="Times New Roman" w:hAnsi="Times New Roman"/>
      <w:sz w:val="24"/>
    </w:rPr>
  </w:style>
  <w:style w:styleId="Caption" w:type="paragraph">
    <w:name w:val="Caption"/>
    <w:basedOn w:val="Normal"/>
    <w:link w:val="BodyTextChar"/>
    <w:pPr>
      <w:spacing w:after="120" w:before="0"/>
    </w:pPr>
    <w:rPr>
      <w:rFonts w:ascii="Times New Roman" w:hAnsi="Times New Roman"/>
      <w:i/>
      <w:sz w:val="22"/>
    </w:rPr>
  </w:style>
  <w:style w:customStyle="1" w:styleId="TableCaption" w:type="paragraph">
    <w:name w:val="Table Caption"/>
    <w:basedOn w:val="Caption"/>
    <w:pPr>
      <w:keepNext/>
    </w:pPr>
    <w:rPr>
      <w:rFonts w:ascii="Times New Roman" w:hAnsi="Times New Roman"/>
      <w:sz w:val="24"/>
    </w:rPr>
  </w:style>
  <w:style w:customStyle="1" w:styleId="ImageCaption" w:type="paragraph">
    <w:name w:val="Image Caption"/>
    <w:basedOn w:val="Caption"/>
    <w:rPr>
      <w:rFonts w:ascii="Times New Roman" w:hAnsi="Times New Roman"/>
      <w:sz w:val="24"/>
    </w:rPr>
  </w:style>
  <w:style w:customStyle="1" w:styleId="Figure" w:type="paragraph">
    <w:name w:val="Figure"/>
    <w:basedOn w:val="Normal"/>
    <w:rPr>
      <w:rFonts w:ascii="Times New Roman" w:hAnsi="Times New Roman"/>
      <w:sz w:val="24"/>
    </w:rPr>
  </w:style>
  <w:style w:customStyle="1" w:styleId="CaptionedFigure" w:type="paragraph">
    <w:name w:val="Captioned Figure"/>
    <w:basedOn w:val="Figure"/>
    <w:pPr>
      <w:keepNext/>
    </w:pPr>
    <w:rPr>
      <w:rFonts w:ascii="Times New Roman" w:hAnsi="Times New Roman"/>
      <w:sz w:val="24"/>
    </w:rPr>
  </w:style>
  <w:style w:customStyle="1" w:styleId="BodyTextChar" w:type="character">
    <w:name w:val="Body Text Char"/>
    <w:basedOn w:val="DefaultParagraphFont"/>
    <w:link w:val="BodyText"/>
    <w:rPr>
      <w:rFonts w:ascii="Times New Roman" w:hAnsi="Times New Roman"/>
      <w:sz w:val="24"/>
    </w:rPr>
  </w:style>
  <w:style w:customStyle="1" w:styleId="VerbatimChar" w:type="character">
    <w:name w:val="Verbatim Char"/>
    <w:basedOn w:val="BodyTextChar"/>
    <w:rPr>
      <w:rFonts w:ascii="Times New Roman" w:hAnsi="Times New Roman"/>
      <w:sz w:val="24"/>
    </w:rPr>
  </w:style>
  <w:style w:customStyle="1" w:styleId="SectionNumber" w:type="character">
    <w:name w:val="Section Number"/>
    <w:basedOn w:val="BodyTextChar"/>
    <w:rPr>
      <w:rFonts w:ascii="Times New Roman" w:hAnsi="Times New Roman"/>
      <w:sz w:val="24"/>
    </w:rPr>
  </w:style>
  <w:style w:styleId="FootnoteReference" w:type="character">
    <w:name w:val="Footnote Reference"/>
    <w:basedOn w:val="BodyTextChar"/>
    <w:rPr>
      <w:rFonts w:ascii="Times New Roman" w:hAnsi="Times New Roman"/>
      <w:sz w:val="24"/>
      <w:vertAlign w:val="superscript"/>
    </w:rPr>
  </w:style>
  <w:style w:styleId="Hyperlink" w:type="character">
    <w:name w:val="Hyperlink"/>
    <w:basedOn w:val="BodyTextChar"/>
    <w:rPr>
      <w:rFonts w:ascii="Times New Roman" w:hAnsi="Times New Roman"/>
      <w:color w:themeColor="accent1" w:val="4F81BD"/>
      <w:sz w:val="24"/>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color w:themeColor="accent1" w:themeShade="BF" w:val="365F91"/>
      <w:sz w:val="28"/>
    </w:rPr>
  </w:style>
  <w:style w:type="paragraph" w:customStyle="1" w:styleId="SourceCode">
    <w:name w:val="Source Code"/>
    <w:basedOn w:val="Normal"/>
    <w:link w:val="VerbatimChar"/>
    <w:pPr>
      <w:wordWrap w:val="off"/>
    </w:pPr>
    <w:rPr>
      <w:rFonts w:ascii="Times New Roman" w:hAnsi="Times New Roman"/>
      <w:sz w:val="24"/>
    </w:rPr>
  </w:style>
  <w:style w:type="character" w:customStyle="1" w:styleId="KeywordTok">
    <w:name w:val="KeywordTok"/>
    <w:basedOn w:val="VerbatimChar"/>
    <w:rPr>
      <w:rFonts w:ascii="Times New Roman" w:hAnsi="Times New Roman"/>
      <w:b/>
      <w:color w:val="007020"/>
      <w:sz w:val="24"/>
    </w:rPr>
  </w:style>
  <w:style w:type="character" w:customStyle="1" w:styleId="DataTypeTok">
    <w:name w:val="DataTypeTok"/>
    <w:basedOn w:val="VerbatimChar"/>
    <w:rPr>
      <w:rFonts w:ascii="Times New Roman" w:hAnsi="Times New Roman"/>
      <w:color w:val="902000"/>
      <w:sz w:val="24"/>
    </w:rPr>
  </w:style>
  <w:style w:type="character" w:customStyle="1" w:styleId="DecValTok">
    <w:name w:val="DecValTok"/>
    <w:basedOn w:val="VerbatimChar"/>
    <w:rPr>
      <w:rFonts w:ascii="Times New Roman" w:hAnsi="Times New Roman"/>
      <w:color w:val="40a070"/>
      <w:sz w:val="24"/>
    </w:rPr>
  </w:style>
  <w:style w:type="character" w:customStyle="1" w:styleId="BaseNTok">
    <w:name w:val="BaseNTok"/>
    <w:basedOn w:val="VerbatimChar"/>
    <w:rPr>
      <w:rFonts w:ascii="Times New Roman" w:hAnsi="Times New Roman"/>
      <w:color w:val="40a070"/>
      <w:sz w:val="24"/>
    </w:rPr>
  </w:style>
  <w:style w:type="character" w:customStyle="1" w:styleId="FloatTok">
    <w:name w:val="FloatTok"/>
    <w:basedOn w:val="VerbatimChar"/>
    <w:rPr>
      <w:rFonts w:ascii="Times New Roman" w:hAnsi="Times New Roman"/>
      <w:color w:val="40a070"/>
      <w:sz w:val="24"/>
    </w:rPr>
  </w:style>
  <w:style w:type="character" w:customStyle="1" w:styleId="ConstantTok">
    <w:name w:val="ConstantTok"/>
    <w:basedOn w:val="VerbatimChar"/>
    <w:rPr>
      <w:rFonts w:ascii="Times New Roman" w:hAnsi="Times New Roman"/>
      <w:color w:val="880000"/>
      <w:sz w:val="24"/>
    </w:rPr>
  </w:style>
  <w:style w:type="character" w:customStyle="1" w:styleId="CharTok">
    <w:name w:val="CharTok"/>
    <w:basedOn w:val="VerbatimChar"/>
    <w:rPr>
      <w:rFonts w:ascii="Times New Roman" w:hAnsi="Times New Roman"/>
      <w:color w:val="4070a0"/>
      <w:sz w:val="24"/>
    </w:rPr>
  </w:style>
  <w:style w:type="character" w:customStyle="1" w:styleId="SpecialCharTok">
    <w:name w:val="SpecialCharTok"/>
    <w:basedOn w:val="VerbatimChar"/>
    <w:rPr>
      <w:rFonts w:ascii="Times New Roman" w:hAnsi="Times New Roman"/>
      <w:color w:val="4070a0"/>
      <w:sz w:val="24"/>
    </w:rPr>
  </w:style>
  <w:style w:type="character" w:customStyle="1" w:styleId="StringTok">
    <w:name w:val="StringTok"/>
    <w:basedOn w:val="VerbatimChar"/>
    <w:rPr>
      <w:rFonts w:ascii="Times New Roman" w:hAnsi="Times New Roman"/>
      <w:color w:val="4070a0"/>
      <w:sz w:val="24"/>
    </w:rPr>
  </w:style>
  <w:style w:type="character" w:customStyle="1" w:styleId="VerbatimStringTok">
    <w:name w:val="VerbatimStringTok"/>
    <w:basedOn w:val="VerbatimChar"/>
    <w:rPr>
      <w:rFonts w:ascii="Times New Roman" w:hAnsi="Times New Roman"/>
      <w:color w:val="4070a0"/>
      <w:sz w:val="24"/>
    </w:rPr>
  </w:style>
  <w:style w:type="character" w:customStyle="1" w:styleId="SpecialStringTok">
    <w:name w:val="SpecialStringTok"/>
    <w:basedOn w:val="VerbatimChar"/>
    <w:rPr>
      <w:rFonts w:ascii="Times New Roman" w:hAnsi="Times New Roman"/>
      <w:color w:val="bb6688"/>
      <w:sz w:val="24"/>
    </w:rPr>
  </w:style>
  <w:style w:type="character" w:customStyle="1" w:styleId="ImportTok">
    <w:name w:val="ImportTok"/>
    <w:basedOn w:val="VerbatimChar"/>
    <w:rPr>
      <w:rFonts w:ascii="Times New Roman" w:hAnsi="Times New Roman"/>
      <w:b/>
      <w:color w:val="008000"/>
      <w:sz w:val="24"/>
    </w:rPr>
  </w:style>
  <w:style w:type="character" w:customStyle="1" w:styleId="CommentTok">
    <w:name w:val="CommentTok"/>
    <w:basedOn w:val="VerbatimChar"/>
    <w:rPr>
      <w:rFonts w:ascii="Times New Roman" w:hAnsi="Times New Roman"/>
      <w:i/>
      <w:color w:val="60a0b0"/>
      <w:sz w:val="24"/>
    </w:rPr>
  </w:style>
  <w:style w:type="character" w:customStyle="1" w:styleId="DocumentationTok">
    <w:name w:val="DocumentationTok"/>
    <w:basedOn w:val="VerbatimChar"/>
    <w:rPr>
      <w:rFonts w:ascii="Times New Roman" w:hAnsi="Times New Roman"/>
      <w:i/>
      <w:color w:val="ba2121"/>
      <w:sz w:val="24"/>
    </w:rPr>
  </w:style>
  <w:style w:type="character" w:customStyle="1" w:styleId="AnnotationTok">
    <w:name w:val="AnnotationTok"/>
    <w:basedOn w:val="VerbatimChar"/>
    <w:rPr>
      <w:rFonts w:ascii="Times New Roman" w:hAnsi="Times New Roman"/>
      <w:b/>
      <w:i/>
      <w:color w:val="60a0b0"/>
      <w:sz w:val="24"/>
    </w:rPr>
  </w:style>
  <w:style w:type="character" w:customStyle="1" w:styleId="CommentVarTok">
    <w:name w:val="CommentVarTok"/>
    <w:basedOn w:val="VerbatimChar"/>
    <w:rPr>
      <w:rFonts w:ascii="Times New Roman" w:hAnsi="Times New Roman"/>
      <w:b/>
      <w:i/>
      <w:color w:val="60a0b0"/>
      <w:sz w:val="24"/>
    </w:rPr>
  </w:style>
  <w:style w:type="character" w:customStyle="1" w:styleId="OtherTok">
    <w:name w:val="OtherTok"/>
    <w:basedOn w:val="VerbatimChar"/>
    <w:rPr>
      <w:rFonts w:ascii="Times New Roman" w:hAnsi="Times New Roman"/>
      <w:color w:val="007020"/>
      <w:sz w:val="24"/>
    </w:rPr>
  </w:style>
  <w:style w:type="character" w:customStyle="1" w:styleId="FunctionTok">
    <w:name w:val="FunctionTok"/>
    <w:basedOn w:val="VerbatimChar"/>
    <w:rPr>
      <w:rFonts w:ascii="Times New Roman" w:hAnsi="Times New Roman"/>
      <w:color w:val="06287e"/>
      <w:sz w:val="24"/>
    </w:rPr>
  </w:style>
  <w:style w:type="character" w:customStyle="1" w:styleId="VariableTok">
    <w:name w:val="VariableTok"/>
    <w:basedOn w:val="VerbatimChar"/>
    <w:rPr>
      <w:rFonts w:ascii="Times New Roman" w:hAnsi="Times New Roman"/>
      <w:color w:val="19177c"/>
      <w:sz w:val="24"/>
    </w:rPr>
  </w:style>
  <w:style w:type="character" w:customStyle="1" w:styleId="ControlFlowTok">
    <w:name w:val="ControlFlowTok"/>
    <w:basedOn w:val="VerbatimChar"/>
    <w:rPr>
      <w:rFonts w:ascii="Times New Roman" w:hAnsi="Times New Roman"/>
      <w:b/>
      <w:color w:val="007020"/>
      <w:sz w:val="24"/>
    </w:rPr>
  </w:style>
  <w:style w:type="character" w:customStyle="1" w:styleId="OperatorTok">
    <w:name w:val="OperatorTok"/>
    <w:basedOn w:val="VerbatimChar"/>
    <w:rPr>
      <w:rFonts w:ascii="Times New Roman" w:hAnsi="Times New Roman"/>
      <w:color w:val="666666"/>
      <w:sz w:val="24"/>
    </w:rPr>
  </w:style>
  <w:style w:type="character" w:customStyle="1" w:styleId="BuiltInTok">
    <w:name w:val="BuiltInTok"/>
    <w:basedOn w:val="VerbatimChar"/>
    <w:rPr>
      <w:rFonts w:ascii="Times New Roman" w:hAnsi="Times New Roman"/>
      <w:color w:val="008000"/>
      <w:sz w:val="24"/>
    </w:rPr>
  </w:style>
  <w:style w:type="character" w:customStyle="1" w:styleId="ExtensionTok">
    <w:name w:val="ExtensionTok"/>
    <w:basedOn w:val="VerbatimChar"/>
    <w:rPr>
      <w:rFonts w:ascii="Times New Roman" w:hAnsi="Times New Roman"/>
      <w:sz w:val="24"/>
    </w:rPr>
  </w:style>
  <w:style w:type="character" w:customStyle="1" w:styleId="PreprocessorTok">
    <w:name w:val="PreprocessorTok"/>
    <w:basedOn w:val="VerbatimChar"/>
    <w:rPr>
      <w:rFonts w:ascii="Times New Roman" w:hAnsi="Times New Roman"/>
      <w:color w:val="bc7a00"/>
      <w:sz w:val="24"/>
    </w:rPr>
  </w:style>
  <w:style w:type="character" w:customStyle="1" w:styleId="AttributeTok">
    <w:name w:val="AttributeTok"/>
    <w:basedOn w:val="VerbatimChar"/>
    <w:rPr>
      <w:rFonts w:ascii="Times New Roman" w:hAnsi="Times New Roman"/>
      <w:color w:val="7d9029"/>
      <w:sz w:val="24"/>
    </w:rPr>
  </w:style>
  <w:style w:type="character" w:customStyle="1" w:styleId="RegionMarkerTok">
    <w:name w:val="RegionMarkerTok"/>
    <w:basedOn w:val="VerbatimChar"/>
    <w:rPr>
      <w:rFonts w:ascii="Times New Roman" w:hAnsi="Times New Roman"/>
      <w:sz w:val="24"/>
    </w:rPr>
  </w:style>
  <w:style w:type="character" w:customStyle="1" w:styleId="InformationTok">
    <w:name w:val="InformationTok"/>
    <w:basedOn w:val="VerbatimChar"/>
    <w:rPr>
      <w:rFonts w:ascii="Times New Roman" w:hAnsi="Times New Roman"/>
      <w:b/>
      <w:i/>
      <w:color w:val="60a0b0"/>
      <w:sz w:val="24"/>
    </w:rPr>
  </w:style>
  <w:style w:type="character" w:customStyle="1" w:styleId="WarningTok">
    <w:name w:val="WarningTok"/>
    <w:basedOn w:val="VerbatimChar"/>
    <w:rPr>
      <w:rFonts w:ascii="Times New Roman" w:hAnsi="Times New Roman"/>
      <w:b/>
      <w:i/>
      <w:color w:val="60a0b0"/>
      <w:sz w:val="24"/>
    </w:rPr>
  </w:style>
  <w:style w:type="character" w:customStyle="1" w:styleId="AlertTok">
    <w:name w:val="AlertTok"/>
    <w:basedOn w:val="VerbatimChar"/>
    <w:rPr>
      <w:rFonts w:ascii="Times New Roman" w:hAnsi="Times New Roman"/>
      <w:b/>
      <w:color w:val="ff0000"/>
      <w:sz w:val="24"/>
    </w:rPr>
  </w:style>
  <w:style w:type="character" w:customStyle="1" w:styleId="ErrorTok">
    <w:name w:val="ErrorTok"/>
    <w:basedOn w:val="VerbatimChar"/>
    <w:rPr>
      <w:rFonts w:ascii="Times New Roman" w:hAnsi="Times New Roman"/>
      <w:b/>
      <w:color w:val="ff0000"/>
      <w:sz w:val="24"/>
    </w:rPr>
  </w:style>
  <w:style w:type="character" w:customStyle="1" w:styleId="NormalTok">
    <w:name w:val="NormalTok"/>
    <w:basedOn w:val="VerbatimChar"/>
    <w:rPr>
      <w:rFonts w:ascii="Times New Roman" w:hAnsi="Times New Roman"/>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6" Type="http://schemas.openxmlformats.org/officeDocument/2006/relationships/image" Target="media/rId46.png"/><Relationship Id="rId49" Type="http://schemas.openxmlformats.org/officeDocument/2006/relationships/image" Target="media/rId49.png"/><Relationship Id="rId52" Type="http://schemas.openxmlformats.org/officeDocument/2006/relationships/image" Target="media/rId52.png"/><Relationship Id="rId56" Type="http://schemas.openxmlformats.org/officeDocument/2006/relationships/image" Target="media/rId56.png"/><Relationship Id="rId59" Type="http://schemas.openxmlformats.org/officeDocument/2006/relationships/image" Target="media/rId59.png"/><Relationship Id="rId63" Type="http://schemas.openxmlformats.org/officeDocument/2006/relationships/image" Target="media/rId63.png"/><Relationship Id="rId66" Type="http://schemas.openxmlformats.org/officeDocument/2006/relationships/image" Target="media/rId66.png"/><Relationship Id="rId70" Type="http://schemas.openxmlformats.org/officeDocument/2006/relationships/image" Target="media/rId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NautiCost — Datadreven kostnadsestimering for yachthavneanløp i Skandinavia</dc:title>
  <dc:creator>Jørgen Rene</dc:creator>
  <cp:keywords/>
  <dcterms:created xsi:type="dcterms:W3CDTF">2026-05-25T12:50:54Z</dcterms:created>
  <dcterms:modified xsi:type="dcterms:W3CDTF">2026-05-25T12:50:54Z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2026-05-25</vt:lpwstr>
  </property>
  <property fmtid="{D5CDD505-2E9C-101B-9397-08002B2CF9AE}" pid="3" name="subtitle">
    <vt:lpwstr>LOG650 Forskningsprosjekt, vår 2026 — Gruppe 11, Jørgen Rene (individuell)</vt:lpwstr>
  </property>
</Properties>
</file>