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A2A44"/>
          <w:sz w:val="56"/>
        </w:rPr>
        <w:t>Feynman-hjelpedokument</w:t>
      </w:r>
    </w:p>
    <w:p>
      <w:pPr>
        <w:jc w:val="center"/>
      </w:pPr>
      <w:r>
        <w:rPr>
          <w:color w:val="0B3D8C"/>
          <w:sz w:val="32"/>
        </w:rPr>
        <w:t>LOG650 Forskningsprosjekt</w:t>
      </w:r>
    </w:p>
    <w:p>
      <w:pPr>
        <w:spacing w:after="400"/>
        <w:jc w:val="center"/>
      </w:pPr>
      <w:r>
        <w:rPr>
          <w:i/>
          <w:sz w:val="26"/>
        </w:rPr>
        <w:t>Fra lokalt forsyningslager til regional sentralforsyning:</w:t>
        <w:br/>
        <w:t>Multikriterieklassifisering og klyngeanalyse for</w:t>
        <w:br/>
        <w:t>identifisering av overføringskandidater ved Helse Bergen</w:t>
      </w:r>
    </w:p>
    <w:p>
      <w:pPr>
        <w:spacing w:before="600"/>
        <w:jc w:val="center"/>
      </w:pPr>
      <w:r>
        <w:rPr>
          <w:color w:val="555555"/>
          <w:sz w:val="22"/>
        </w:rPr>
        <w:t>Dette dokumentet forklarer rapporten, alle formler, figurer og tabeller</w:t>
        <w:br/>
        <w:t>med Feynman-teknikken: som om du forklarer det til noen uten forkunnskaper.</w:t>
      </w:r>
    </w:p>
    <w:p>
      <w:r>
        <w:br w:type="page"/>
      </w:r>
    </w:p>
    <w:p>
      <w:pPr>
        <w:pStyle w:val="Heading1"/>
      </w:pPr>
      <w:r>
        <w:t>Innhold</w:t>
      </w:r>
    </w:p>
    <w:p>
      <w:pPr>
        <w:spacing w:after="40"/>
        <w:ind w:left="283"/>
      </w:pPr>
      <w:r>
        <w:rPr>
          <w:b/>
          <w:sz w:val="22"/>
        </w:rPr>
        <w:t>Del 1 – Hva handler rapporten om? (Helheten)</w:t>
      </w:r>
    </w:p>
    <w:p>
      <w:pPr>
        <w:spacing w:after="40"/>
        <w:ind w:left="283"/>
      </w:pPr>
      <w:r>
        <w:rPr>
          <w:b/>
          <w:sz w:val="22"/>
        </w:rPr>
        <w:t>Del 2 – Hele rapporten, del for del</w:t>
      </w:r>
    </w:p>
    <w:p>
      <w:pPr>
        <w:spacing w:after="40"/>
        <w:ind w:left="850"/>
      </w:pPr>
      <w:r>
        <w:rPr>
          <w:sz w:val="22"/>
        </w:rPr>
        <w:t>Forord og sammendrag</w:t>
      </w:r>
    </w:p>
    <w:p>
      <w:pPr>
        <w:spacing w:after="40"/>
        <w:ind w:left="850"/>
      </w:pPr>
      <w:r>
        <w:rPr>
          <w:sz w:val="22"/>
        </w:rPr>
        <w:t>Kapittel 1–9</w:t>
      </w:r>
    </w:p>
    <w:p>
      <w:pPr>
        <w:spacing w:after="40"/>
        <w:ind w:left="850"/>
      </w:pPr>
      <w:r>
        <w:rPr>
          <w:sz w:val="22"/>
        </w:rPr>
        <w:t>Vedlegg A–C</w:t>
      </w:r>
    </w:p>
    <w:p>
      <w:pPr>
        <w:spacing w:after="40"/>
        <w:ind w:left="283"/>
      </w:pPr>
      <w:r>
        <w:rPr>
          <w:b/>
          <w:sz w:val="22"/>
        </w:rPr>
        <w:t>Del 3 – Alle formler forklart</w:t>
      </w:r>
    </w:p>
    <w:p>
      <w:pPr>
        <w:spacing w:after="40"/>
        <w:ind w:left="850"/>
      </w:pPr>
      <w:r>
        <w:rPr>
          <w:sz w:val="22"/>
        </w:rPr>
        <w:t>3.1 ABC-analyse (verdiklassifisering)</w:t>
      </w:r>
    </w:p>
    <w:p>
      <w:pPr>
        <w:spacing w:after="40"/>
        <w:ind w:left="850"/>
      </w:pPr>
      <w:r>
        <w:rPr>
          <w:sz w:val="22"/>
        </w:rPr>
        <w:t>3.2 XYZ-klassifisering (variasjonskoeffisient)</w:t>
      </w:r>
    </w:p>
    <w:p>
      <w:pPr>
        <w:spacing w:after="40"/>
        <w:ind w:left="850"/>
      </w:pPr>
      <w:r>
        <w:rPr>
          <w:sz w:val="22"/>
        </w:rPr>
        <w:t>3.3 EOQ – Wilson-modellen (optimal bestillingsmengde)</w:t>
      </w:r>
    </w:p>
    <w:p>
      <w:pPr>
        <w:spacing w:after="40"/>
        <w:ind w:left="850"/>
      </w:pPr>
      <w:r>
        <w:rPr>
          <w:sz w:val="22"/>
        </w:rPr>
        <w:t>3.4 Avviksformel (hvor mye bestiller vi feil?)</w:t>
      </w:r>
    </w:p>
    <w:p>
      <w:pPr>
        <w:spacing w:after="40"/>
        <w:ind w:left="850"/>
      </w:pPr>
      <w:r>
        <w:rPr>
          <w:sz w:val="22"/>
        </w:rPr>
        <w:t>3.5 Totalkostnadsfunksjon</w:t>
      </w:r>
    </w:p>
    <w:p>
      <w:pPr>
        <w:spacing w:after="40"/>
        <w:ind w:left="850"/>
      </w:pPr>
      <w:r>
        <w:rPr>
          <w:sz w:val="22"/>
        </w:rPr>
        <w:t>3.6 Besparelsesformel</w:t>
      </w:r>
    </w:p>
    <w:p>
      <w:pPr>
        <w:spacing w:after="40"/>
        <w:ind w:left="850"/>
      </w:pPr>
      <w:r>
        <w:rPr>
          <w:sz w:val="22"/>
        </w:rPr>
        <w:t>3.7 K-means featurevektor</w:t>
      </w:r>
    </w:p>
    <w:p>
      <w:pPr>
        <w:spacing w:after="40"/>
        <w:ind w:left="850"/>
      </w:pPr>
      <w:r>
        <w:rPr>
          <w:sz w:val="22"/>
        </w:rPr>
        <w:t>3.8 Silhouette-score</w:t>
      </w:r>
    </w:p>
    <w:p>
      <w:pPr>
        <w:spacing w:after="40"/>
        <w:ind w:left="283"/>
      </w:pPr>
      <w:r>
        <w:rPr>
          <w:b/>
          <w:sz w:val="22"/>
        </w:rPr>
        <w:t>Del 4 – Alle figurer forklart (Figur 1–12)</w:t>
      </w:r>
    </w:p>
    <w:p>
      <w:pPr>
        <w:spacing w:after="40"/>
        <w:ind w:left="283"/>
      </w:pPr>
      <w:r>
        <w:rPr>
          <w:b/>
          <w:sz w:val="22"/>
        </w:rPr>
        <w:t>Del 5 – Alle tabeller forklart (Tabell 1–15)</w:t>
      </w:r>
    </w:p>
    <w:p>
      <w:pPr>
        <w:spacing w:after="40"/>
        <w:ind w:left="283"/>
      </w:pPr>
      <w:r>
        <w:rPr>
          <w:b/>
          <w:sz w:val="22"/>
        </w:rPr>
        <w:t>Del 6 – Ordliste og nøkkelbegreper</w:t>
      </w:r>
    </w:p>
    <w:p>
      <w:r>
        <w:br w:type="page"/>
      </w:r>
    </w:p>
    <w:p>
      <w:pPr>
        <w:pStyle w:val="Heading1"/>
      </w:pPr>
      <w:r>
        <w:t>Del 1 – Hva handler rapporten om?</w:t>
      </w:r>
    </w:p>
    <w:p>
      <w:r>
        <w:rPr>
          <w:rFonts w:ascii="Calibri" w:hAnsi="Calibri"/>
          <w:sz w:val="22"/>
        </w:rPr>
        <w:t>Feynman-teknikken sier: Hvis du ikke kan forklare noe enkelt, forstår du det ikke godt nok. Denne delen forklarer hele rapporten som om du aldri har hørt om lagerstyring, SAP eller statistikk.</w:t>
      </w:r>
    </w:p>
    <w:p>
      <w:pPr>
        <w:pStyle w:val="Heading2"/>
      </w:pPr>
      <w:r>
        <w:t>Den korte versjonen</w:t>
      </w:r>
    </w:p>
    <w:p>
      <w:r>
        <w:rPr>
          <w:rFonts w:ascii="Calibri" w:hAnsi="Calibri"/>
          <w:sz w:val="22"/>
        </w:rPr>
        <w:t>Helse Bergen (Haukeland sykehus) har et lager med over 700 ulike varer – hansker, sprøyter, bandasjer og annet medisinsk forbruksmateriell. Akkurat nå bestiller de alt lokalt, men det finnes et nytt regionalt sentrallager (HVFS) som kan ta over noen av varene. Spørsmålet er: HVILKE varer bør flyttes til sentrallageret, og HVOR MYE penger kan sykehuset spare på det?</w:t>
      </w:r>
    </w:p>
    <w:p>
      <w:pPr>
        <w:spacing w:before="80" w:after="160"/>
        <w:ind w:left="283"/>
      </w:pPr>
      <w:r>
        <w:rPr>
          <w:b/>
          <w:color w:val="1E7D45"/>
          <w:sz w:val="22"/>
        </w:rPr>
        <w:t xml:space="preserve">Tenk det slik: </w:t>
      </w:r>
      <w:r>
        <w:rPr>
          <w:i/>
          <w:color w:val="333333"/>
          <w:sz w:val="22"/>
        </w:rPr>
        <w:t>Tenk på det som en familie som handler dagligvarer. Noen ting kjøper du hver uke i nærbutikken (melk, brød). Andre ting er billigere i storpakninger fra Costco (dopapir, vaskemiddel). Rapporten prøver å finne ut hvilke «sykehus-varer» som bør kjøpes lokalt og hvilke som bør komme fra «Costco-lageret» (HVFS).</w:t>
      </w:r>
    </w:p>
    <w:p>
      <w:pPr>
        <w:pStyle w:val="Heading2"/>
      </w:pPr>
      <w:r>
        <w:t>Hva gjør rapporten konkret?</w:t>
      </w:r>
    </w:p>
    <w:p>
      <w:r>
        <w:rPr>
          <w:rFonts w:ascii="Calibri" w:hAnsi="Calibri"/>
          <w:sz w:val="22"/>
        </w:rPr>
        <w:t>Rapporten bruker fire analysemetoder – tenk på dem som fire ulike «tester» hver vare må gjennom:</w:t>
      </w:r>
    </w:p>
    <w:p>
      <w:r>
        <w:rPr>
          <w:rFonts w:ascii="Calibri" w:hAnsi="Calibri"/>
          <w:b/>
          <w:sz w:val="22"/>
        </w:rPr>
        <w:t>1. ABC-analyse (Verditest)</w:t>
      </w:r>
    </w:p>
    <w:p>
      <w:pPr>
        <w:ind w:left="567"/>
      </w:pPr>
      <w:r>
        <w:rPr>
          <w:rFonts w:ascii="Calibri" w:hAnsi="Calibri"/>
          <w:sz w:val="22"/>
        </w:rPr>
        <w:t>Sorterer varene etter hvor mye penger de binder opp. A-varer = de dyreste 80 % av verdien. C-varer = de billigste.</w:t>
      </w:r>
    </w:p>
    <w:p>
      <w:r>
        <w:rPr>
          <w:rFonts w:ascii="Calibri" w:hAnsi="Calibri"/>
          <w:b/>
          <w:sz w:val="22"/>
        </w:rPr>
        <w:t>2. XYZ-klassifisering (Forutsigbarhetstest)</w:t>
      </w:r>
    </w:p>
    <w:p>
      <w:pPr>
        <w:ind w:left="567"/>
      </w:pPr>
      <w:r>
        <w:rPr>
          <w:rFonts w:ascii="Calibri" w:hAnsi="Calibri"/>
          <w:sz w:val="22"/>
        </w:rPr>
        <w:t>Måler hvor jevnt forbruket er. X = stabilt forbruk (f.eks. hansker brukes hver dag). Z = uforutsigbart.</w:t>
      </w:r>
    </w:p>
    <w:p>
      <w:r>
        <w:rPr>
          <w:rFonts w:ascii="Calibri" w:hAnsi="Calibri"/>
          <w:b/>
          <w:sz w:val="22"/>
        </w:rPr>
        <w:t>3. EOQ-avviksanalyse (Bestillingstest)</w:t>
      </w:r>
    </w:p>
    <w:p>
      <w:pPr>
        <w:ind w:left="567"/>
      </w:pPr>
      <w:r>
        <w:rPr>
          <w:rFonts w:ascii="Calibri" w:hAnsi="Calibri"/>
          <w:sz w:val="22"/>
        </w:rPr>
        <w:t>Sjekker om sykehuset bestiller for ofte eller for sjelden. Hvis du bestiller 50 ganger i året men optimalt er 10 ganger, kaster du bort penger på ordrekostnader.</w:t>
      </w:r>
    </w:p>
    <w:p>
      <w:r>
        <w:rPr>
          <w:rFonts w:ascii="Calibri" w:hAnsi="Calibri"/>
          <w:b/>
          <w:sz w:val="22"/>
        </w:rPr>
        <w:t>4. K-means klyngeanalyse (Mønstergjenkjenning)</w:t>
      </w:r>
    </w:p>
    <w:p>
      <w:pPr>
        <w:ind w:left="567"/>
      </w:pPr>
      <w:r>
        <w:rPr>
          <w:rFonts w:ascii="Calibri" w:hAnsi="Calibri"/>
          <w:sz w:val="22"/>
        </w:rPr>
        <w:t>En maskinlæringsalgoritme som grupperer varer som «ligner» hverandre basert på verdi, stabilitet og bestillingsavvik.</w:t>
      </w:r>
    </w:p>
    <w:p>
      <w:r>
        <w:rPr>
          <w:rFonts w:ascii="Calibri" w:hAnsi="Calibri"/>
          <w:sz w:val="22"/>
        </w:rPr>
        <w:t>Til slutt kombineres alle fire testene i en regelmotor – et sett med 8 regler som gir hver vare én av fire anbefalinger: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Anbefaling</w:t>
            </w:r>
          </w:p>
        </w:tc>
        <w:tc>
          <w:tcPr>
            <w:tcW w:type="dxa" w:w="2880"/>
          </w:tcPr>
          <w:p>
            <w:r>
              <w:rPr>
                <w:b/>
                <w:sz w:val="20"/>
              </w:rPr>
              <w:t>Antall</w:t>
            </w:r>
          </w:p>
        </w:tc>
        <w:tc>
          <w:tcPr>
            <w:tcW w:type="dxa" w:w="2880"/>
          </w:tcPr>
          <w:p>
            <w:r>
              <w:rPr>
                <w:b/>
                <w:sz w:val="20"/>
              </w:rPr>
              <w:t>Hva betyr det?</w:t>
            </w:r>
          </w:p>
        </w:tc>
      </w:tr>
      <w:tr>
        <w:tc>
          <w:tcPr>
            <w:tcW w:type="dxa" w:w="2880"/>
          </w:tcPr>
          <w:p>
            <w:r>
              <w:rPr>
                <w:sz w:val="20"/>
              </w:rPr>
              <w:t>OVERFØR TIL HVFS</w:t>
            </w:r>
          </w:p>
        </w:tc>
        <w:tc>
          <w:tcPr>
            <w:tcW w:type="dxa" w:w="2880"/>
          </w:tcPr>
          <w:p>
            <w:r>
              <w:rPr>
                <w:sz w:val="20"/>
              </w:rPr>
              <w:t>145 artikler</w:t>
            </w:r>
          </w:p>
        </w:tc>
        <w:tc>
          <w:tcPr>
            <w:tcW w:type="dxa" w:w="2880"/>
          </w:tcPr>
          <w:p>
            <w:r>
              <w:rPr>
                <w:sz w:val="20"/>
              </w:rPr>
              <w:t>Flytt til sentrallageret</w:t>
            </w:r>
          </w:p>
        </w:tc>
      </w:tr>
      <w:tr>
        <w:tc>
          <w:tcPr>
            <w:tcW w:type="dxa" w:w="2880"/>
          </w:tcPr>
          <w:p>
            <w:r>
              <w:rPr>
                <w:sz w:val="20"/>
              </w:rPr>
              <w:t>BEHOLD LOKALT</w:t>
            </w:r>
          </w:p>
        </w:tc>
        <w:tc>
          <w:tcPr>
            <w:tcW w:type="dxa" w:w="2880"/>
          </w:tcPr>
          <w:p>
            <w:r>
              <w:rPr>
                <w:sz w:val="20"/>
              </w:rPr>
              <w:t>257 artikler</w:t>
            </w:r>
          </w:p>
        </w:tc>
        <w:tc>
          <w:tcPr>
            <w:tcW w:type="dxa" w:w="2880"/>
          </w:tcPr>
          <w:p>
            <w:r>
              <w:rPr>
                <w:sz w:val="20"/>
              </w:rPr>
              <w:t>Behold på sykehuset</w:t>
            </w:r>
          </w:p>
        </w:tc>
      </w:tr>
      <w:tr>
        <w:tc>
          <w:tcPr>
            <w:tcW w:type="dxa" w:w="2880"/>
          </w:tcPr>
          <w:p>
            <w:r>
              <w:rPr>
                <w:sz w:val="20"/>
              </w:rPr>
              <w:t>VURDER NÆRMERE</w:t>
            </w:r>
          </w:p>
        </w:tc>
        <w:tc>
          <w:tcPr>
            <w:tcW w:type="dxa" w:w="2880"/>
          </w:tcPr>
          <w:p>
            <w:r>
              <w:rPr>
                <w:sz w:val="20"/>
              </w:rPr>
              <w:t>284 artikler</w:t>
            </w:r>
          </w:p>
        </w:tc>
        <w:tc>
          <w:tcPr>
            <w:tcW w:type="dxa" w:w="2880"/>
          </w:tcPr>
          <w:p>
            <w:r>
              <w:rPr>
                <w:sz w:val="20"/>
              </w:rPr>
              <w:t>Krever manuell vurdering</w:t>
            </w:r>
          </w:p>
        </w:tc>
      </w:tr>
      <w:tr>
        <w:tc>
          <w:tcPr>
            <w:tcW w:type="dxa" w:w="2880"/>
          </w:tcPr>
          <w:p>
            <w:r>
              <w:rPr>
                <w:sz w:val="20"/>
              </w:rPr>
              <w:t>MANGLER DATA</w:t>
            </w:r>
          </w:p>
        </w:tc>
        <w:tc>
          <w:tcPr>
            <w:tcW w:type="dxa" w:w="2880"/>
          </w:tcPr>
          <w:p>
            <w:r>
              <w:rPr>
                <w:sz w:val="20"/>
              </w:rPr>
              <w:t>23 artikler</w:t>
            </w:r>
          </w:p>
        </w:tc>
        <w:tc>
          <w:tcPr>
            <w:tcW w:type="dxa" w:w="2880"/>
          </w:tcPr>
          <w:p>
            <w:r>
              <w:rPr>
                <w:sz w:val="20"/>
              </w:rPr>
              <w:t>For lite data til å avgjøre</w:t>
            </w:r>
          </w:p>
        </w:tc>
      </w:tr>
    </w:tbl>
    <w:p/>
    <w:p>
      <w:r>
        <w:rPr>
          <w:rFonts w:ascii="Calibri" w:hAnsi="Calibri"/>
          <w:sz w:val="22"/>
        </w:rPr>
        <w:t>Estimert besparelse: ca. 450 000 kr/år i base case – det sykehuset kan spare ved å gå fra «mange små bestillinger» til optimal bestillingspraksis gjennom sentralisering.</w:t>
      </w:r>
    </w:p>
    <w:p>
      <w:r>
        <w:br w:type="page"/>
      </w:r>
    </w:p>
    <w:p>
      <w:pPr>
        <w:pStyle w:val="Heading1"/>
      </w:pPr>
      <w:r>
        <w:t>Del 2 – Hele rapporten, del for del</w:t>
      </w:r>
    </w:p>
    <w:p>
      <w:pPr>
        <w:pStyle w:val="Heading2"/>
      </w:pPr>
      <w:r>
        <w:t>Forord</w:t>
      </w:r>
    </w:p>
    <w:p>
      <w:r>
        <w:rPr>
          <w:rFonts w:ascii="Calibri" w:hAnsi="Calibri"/>
          <w:sz w:val="22"/>
        </w:rPr>
        <w:t>Forordet er forfatterens personlige innledning. Thomas Ekrem Jensen jobber til daglig som SAP MM-konsulent i Helse Vest IKT på LIBRA-prosjektet. Motivasjonen for oppgaven er gapet mellom data som allerede finnes i SAP og den innsikten som faktisk brukes til å ta beslutninger. Han takker veilederen, Helse Bergen for datatilgang, og samboeren for tålmodighet.</w:t>
      </w:r>
    </w:p>
    <w:p>
      <w:pPr>
        <w:spacing w:before="80" w:after="160"/>
        <w:ind w:left="283"/>
      </w:pPr>
      <w:r>
        <w:rPr>
          <w:b/>
          <w:color w:val="1E7D45"/>
          <w:sz w:val="22"/>
        </w:rPr>
        <w:t xml:space="preserve">Tenk det slik: </w:t>
      </w:r>
      <w:r>
        <w:rPr>
          <w:i/>
          <w:color w:val="333333"/>
          <w:sz w:val="22"/>
        </w:rPr>
        <w:t>Forordet svarer på «Hvem er denne personen, og hvorfor bryr han seg?» Svaret: Han ser daglig at SAP er fullt av data som ingen utnytter. Oppgaven er hans forsøk på å bevise at dataene faktisk kan brukes.</w:t>
      </w:r>
    </w:p>
    <w:p>
      <w:pPr>
        <w:pStyle w:val="Heading2"/>
      </w:pPr>
      <w:r>
        <w:t>Sammendrag</w:t>
      </w:r>
    </w:p>
    <w:p>
      <w:r>
        <w:rPr>
          <w:rFonts w:ascii="Calibri" w:hAnsi="Calibri"/>
          <w:b/>
          <w:sz w:val="22"/>
        </w:rPr>
        <w:t>Sammendraget er hele rapporten komprimert til én side. Det inneholder:</w:t>
      </w:r>
    </w:p>
    <w:p>
      <w:pPr>
        <w:pStyle w:val="ListBullet"/>
      </w:pPr>
      <w:r>
        <w:rPr>
          <w:sz w:val="22"/>
        </w:rPr>
        <w:t>Bakgrunn: LIBRA-prosjektet og HVFS gjør sentralisering aktuelt.</w:t>
      </w:r>
    </w:p>
    <w:p>
      <w:pPr>
        <w:pStyle w:val="ListBullet"/>
      </w:pPr>
      <w:r>
        <w:rPr>
          <w:sz w:val="22"/>
        </w:rPr>
        <w:t>Data: 709 aktive artikler fra 14 SAP-tabeller (2024–2025). 297 inaktive artikler er ekskludert.</w:t>
      </w:r>
    </w:p>
    <w:p>
      <w:pPr>
        <w:pStyle w:val="ListBullet"/>
      </w:pPr>
      <w:r>
        <w:rPr>
          <w:sz w:val="22"/>
        </w:rPr>
        <w:t>Metode: Fire analyser (ABC, XYZ, EOQ, K-means) + regelmotor med 8 regler.</w:t>
      </w:r>
    </w:p>
    <w:p>
      <w:pPr>
        <w:pStyle w:val="ListBullet"/>
      </w:pPr>
      <w:r>
        <w:rPr>
          <w:sz w:val="22"/>
        </w:rPr>
        <w:t>Hovedresultat: 145 artikler anbefales overført, 257 beholdes lokalt, 284 krever manuell vurdering, 23 mangler data.</w:t>
      </w:r>
    </w:p>
    <w:p>
      <w:pPr>
        <w:pStyle w:val="ListBullet"/>
      </w:pPr>
      <w:r>
        <w:rPr>
          <w:sz w:val="22"/>
        </w:rPr>
        <w:t>Besparelse: kr 451 515/år i base case (g = 75 %), basert på 117 artikler med dokumentert overbestilling. Intervall: kr 301 010 – kr 602 020.</w:t>
      </w:r>
    </w:p>
    <w:p>
      <w:pPr>
        <w:pStyle w:val="ListBullet"/>
      </w:pPr>
      <w:r>
        <w:rPr>
          <w:sz w:val="22"/>
        </w:rPr>
        <w:t>Konklusjon: Multikriterieklassifisering av SAP-data gir et operasjonelt anvendbart beslutningsgrunnlag for HVFS-overføring.</w:t>
      </w:r>
    </w:p>
    <w:p>
      <w:pPr>
        <w:spacing w:before="80" w:after="160"/>
        <w:ind w:left="283"/>
      </w:pPr>
      <w:r>
        <w:rPr>
          <w:b/>
          <w:color w:val="1E7D45"/>
          <w:sz w:val="22"/>
        </w:rPr>
        <w:t xml:space="preserve">Tenk det slik: </w:t>
      </w:r>
      <w:r>
        <w:rPr>
          <w:i/>
          <w:color w:val="333333"/>
          <w:sz w:val="22"/>
        </w:rPr>
        <w:t>Sammendraget er «traileren» til rapporten. Hvis du bare leser én side, les denne – den gir alle nøkkeltallene og konklusjonen uten å måtte lese de 40 andre sidene.</w:t>
      </w:r>
    </w:p>
    <w:p>
      <w:pPr>
        <w:pStyle w:val="Heading2"/>
      </w:pPr>
      <w:r>
        <w:t>Kapittel 1–9</w:t>
      </w:r>
    </w:p>
    <w:p>
      <w:pPr>
        <w:pStyle w:val="Heading2"/>
      </w:pPr>
      <w:r>
        <w:t>Kapittel 1 – Innledning</w:t>
      </w:r>
    </w:p>
    <w:p>
      <w:pPr>
        <w:pStyle w:val="ListBullet"/>
      </w:pPr>
      <w:r>
        <w:rPr>
          <w:sz w:val="22"/>
        </w:rPr>
        <w:t>Bakgrunn: Sykehus bruker 30–40 % av driftskostnadene på logistikk. Mye penger kan spares ved å bestille smartere.</w:t>
      </w:r>
    </w:p>
    <w:p>
      <w:pPr>
        <w:pStyle w:val="ListBullet"/>
      </w:pPr>
      <w:r>
        <w:rPr>
          <w:sz w:val="22"/>
        </w:rPr>
        <w:t>Problemstilling: «Hvilke varer bør flyttes til HVFS, og hvor mye kan vi spare?»</w:t>
      </w:r>
    </w:p>
    <w:p>
      <w:pPr>
        <w:pStyle w:val="ListBullet"/>
      </w:pPr>
      <w:r>
        <w:rPr>
          <w:sz w:val="22"/>
        </w:rPr>
        <w:t>Avgrensninger: Kun LGORT 3001 ved Helse Bergen. Kun medisinsk forbruksmateriell (ikke medisin eller implantater). Data fra 2024–2025.</w:t>
      </w:r>
    </w:p>
    <w:p>
      <w:pPr>
        <w:pStyle w:val="ListBullet"/>
      </w:pPr>
      <w:r>
        <w:rPr>
          <w:sz w:val="22"/>
        </w:rPr>
        <w:t>Antagelser: Ordrekostnad S = 750 kr per bestilling. Lagerholdekostnad = 20 % av varepris per år. Disse er hentet fra litteraturen, ikke målt hos Helse Bergen.</w:t>
      </w:r>
    </w:p>
    <w:p>
      <w:pPr>
        <w:pStyle w:val="Heading2"/>
      </w:pPr>
      <w:r>
        <w:t>Kapittel 2 – Litteratur og teori</w:t>
      </w:r>
    </w:p>
    <w:p>
      <w:pPr>
        <w:pStyle w:val="ListBullet"/>
      </w:pPr>
      <w:r>
        <w:rPr>
          <w:sz w:val="22"/>
        </w:rPr>
        <w:t>Gjennomgår 23 akademiske kilder som handler om lagerstyring i sykehus.</w:t>
      </w:r>
    </w:p>
    <w:p>
      <w:pPr>
        <w:pStyle w:val="ListBullet"/>
      </w:pPr>
      <w:r>
        <w:rPr>
          <w:sz w:val="22"/>
        </w:rPr>
        <w:t>Forklarer ABC (verdiklassifisering), XYZ (forbruksstabilitet), EOQ (optimal bestillingsmengde) og K-means (maskinlæring).</w:t>
      </w:r>
    </w:p>
    <w:p>
      <w:pPr>
        <w:pStyle w:val="ListBullet"/>
      </w:pPr>
      <w:r>
        <w:rPr>
          <w:sz w:val="22"/>
        </w:rPr>
        <w:t>Identifiserer et «gap» i litteraturen: Ingen har tidligere kombinert alle fire metodene på SAP-data i en sykehusstudie.</w:t>
      </w:r>
    </w:p>
    <w:p>
      <w:pPr>
        <w:pStyle w:val="ListBullet"/>
      </w:pPr>
      <w:r>
        <w:rPr>
          <w:sz w:val="22"/>
        </w:rPr>
        <w:t>Presenterer et konseptuelt rammeverk (Figur 1) som viser hvordan de fire metodene henger sammen.</w:t>
      </w:r>
    </w:p>
    <w:p>
      <w:pPr>
        <w:pStyle w:val="Heading2"/>
      </w:pPr>
      <w:r>
        <w:t>Kapittel 3 – Casebeskrivelse</w:t>
      </w:r>
    </w:p>
    <w:p>
      <w:pPr>
        <w:pStyle w:val="ListBullet"/>
      </w:pPr>
      <w:r>
        <w:rPr>
          <w:sz w:val="22"/>
        </w:rPr>
        <w:t>Helse Bergen: Haukeland sykehus, det største i Helse Vest-regionen.</w:t>
      </w:r>
    </w:p>
    <w:p>
      <w:pPr>
        <w:pStyle w:val="ListBullet"/>
      </w:pPr>
      <w:r>
        <w:rPr>
          <w:sz w:val="22"/>
        </w:rPr>
        <w:t>HVFS: Et nytt regionalt sentrallager drevet av NorEngros. Planlegger avdelingspakkede leveranser (APL) – dvs. ferdigpakkede kasser direkte til sykepleieren.</w:t>
      </w:r>
    </w:p>
    <w:p>
      <w:pPr>
        <w:pStyle w:val="ListBullet"/>
      </w:pPr>
      <w:r>
        <w:rPr>
          <w:sz w:val="22"/>
        </w:rPr>
        <w:t>LIBRA-prosjektet: Helse Vest sin SAP-implementering som gir felles dataplattform på tvers av sykehusene.</w:t>
      </w:r>
    </w:p>
    <w:p>
      <w:pPr>
        <w:pStyle w:val="ListBullet"/>
      </w:pPr>
      <w:r>
        <w:rPr>
          <w:sz w:val="22"/>
        </w:rPr>
        <w:t>Problemet i dag: Ingen systematisk metode for å bestemme hvilke varer som bør sentraliseres. Beslutninger tas på «magefølelse».</w:t>
      </w:r>
    </w:p>
    <w:p>
      <w:pPr>
        <w:pStyle w:val="Heading2"/>
      </w:pPr>
      <w:r>
        <w:t>Kapittel 4 – Metode og data</w:t>
      </w:r>
    </w:p>
    <w:p>
      <w:pPr>
        <w:pStyle w:val="ListBullet"/>
      </w:pPr>
      <w:r>
        <w:rPr>
          <w:sz w:val="22"/>
        </w:rPr>
        <w:t>Forskningsdesign: Kvantitativ casestudie – tall fra SAP-systemet, ingen intervjuer eller spørreundersøkelser.</w:t>
      </w:r>
    </w:p>
    <w:p>
      <w:pPr>
        <w:pStyle w:val="ListBullet"/>
      </w:pPr>
      <w:r>
        <w:rPr>
          <w:sz w:val="22"/>
        </w:rPr>
        <w:t>Data: 14 SAP-tabeller hentet via SE16H (en lesetransaksjon i SAP). 1006 artikler i utgangspunktet, redusert til 709 aktive.</w:t>
      </w:r>
    </w:p>
    <w:p>
      <w:pPr>
        <w:pStyle w:val="ListBullet"/>
      </w:pPr>
      <w:r>
        <w:rPr>
          <w:sz w:val="22"/>
        </w:rPr>
        <w:t>8 datavalgsbeslutninger (D-01 til D-08) dokumenterer alle valg analytikeren tok under databehandlingen.</w:t>
      </w:r>
    </w:p>
    <w:p>
      <w:pPr>
        <w:pStyle w:val="ListBullet"/>
      </w:pPr>
      <w:r>
        <w:rPr>
          <w:sz w:val="22"/>
        </w:rPr>
        <w:t>KI-bruk: Claude ble brukt til kodestøtte, figurer og tekststruktur, men IKKE til å produsere tallene eller trekke faglige konklusjoner.</w:t>
      </w:r>
    </w:p>
    <w:p>
      <w:pPr>
        <w:pStyle w:val="Heading2"/>
      </w:pPr>
      <w:r>
        <w:t>Kapittel 5 – Modellering</w:t>
      </w:r>
    </w:p>
    <w:p>
      <w:pPr>
        <w:pStyle w:val="ListBullet"/>
      </w:pPr>
      <w:r>
        <w:rPr>
          <w:sz w:val="22"/>
        </w:rPr>
        <w:t>Her beskrives alle formler og modeller matematisk. (Se Del 3 nedenfor for Feynman-forklaring av hver formel.)</w:t>
      </w:r>
    </w:p>
    <w:p>
      <w:pPr>
        <w:pStyle w:val="ListBullet"/>
      </w:pPr>
      <w:r>
        <w:rPr>
          <w:sz w:val="22"/>
        </w:rPr>
        <w:t>ABC-modell: Sorter etter verdi, del i tre klasser.</w:t>
      </w:r>
    </w:p>
    <w:p>
      <w:pPr>
        <w:pStyle w:val="ListBullet"/>
      </w:pPr>
      <w:r>
        <w:rPr>
          <w:sz w:val="22"/>
        </w:rPr>
        <w:t>XYZ-modell: Beregn CV (variasjonskoeffisient) fra månedlig forbruk.</w:t>
      </w:r>
    </w:p>
    <w:p>
      <w:pPr>
        <w:pStyle w:val="ListBullet"/>
      </w:pPr>
      <w:r>
        <w:rPr>
          <w:sz w:val="22"/>
        </w:rPr>
        <w:t>EOQ-modell: Wilson-formelen for optimal bestillingsmengde.</w:t>
      </w:r>
    </w:p>
    <w:p>
      <w:pPr>
        <w:pStyle w:val="ListBullet"/>
      </w:pPr>
      <w:r>
        <w:rPr>
          <w:sz w:val="22"/>
        </w:rPr>
        <w:t>K-means-modell: Tre features, log-transformert og z-score-normalisert.</w:t>
      </w:r>
    </w:p>
    <w:p>
      <w:pPr>
        <w:pStyle w:val="ListBullet"/>
      </w:pPr>
      <w:r>
        <w:rPr>
          <w:sz w:val="22"/>
        </w:rPr>
        <w:t>Regelmotor: 8 regler i prioritert rekkefølge.</w:t>
      </w:r>
    </w:p>
    <w:p>
      <w:pPr>
        <w:pStyle w:val="Heading2"/>
      </w:pPr>
      <w:r>
        <w:t>Kapittel 6 – Analyse</w:t>
      </w:r>
    </w:p>
    <w:p>
      <w:pPr>
        <w:pStyle w:val="ListBullet"/>
      </w:pPr>
      <w:r>
        <w:rPr>
          <w:sz w:val="22"/>
        </w:rPr>
        <w:t>Her kjøres modellene på de 709 artiklene. Alt implementert i Python.</w:t>
      </w:r>
    </w:p>
    <w:p>
      <w:pPr>
        <w:pStyle w:val="ListBullet"/>
      </w:pPr>
      <w:r>
        <w:rPr>
          <w:sz w:val="22"/>
        </w:rPr>
        <w:t>ABC: 182 A-artikler, 184 B, 338 C. Pareto-mønster bekreftet.</w:t>
      </w:r>
    </w:p>
    <w:p>
      <w:pPr>
        <w:pStyle w:val="ListBullet"/>
      </w:pPr>
      <w:r>
        <w:rPr>
          <w:sz w:val="22"/>
        </w:rPr>
        <w:t>XYZ: 350 X (stabilt), 193 Y, 144 Z. Over halvparten er stabile.</w:t>
      </w:r>
    </w:p>
    <w:p>
      <w:pPr>
        <w:pStyle w:val="ListBullet"/>
      </w:pPr>
      <w:r>
        <w:rPr>
          <w:sz w:val="22"/>
        </w:rPr>
        <w:t>EOQ: 73 % av artiklene bestiller for ofte (FOR_MANGE_ORDRER).</w:t>
      </w:r>
    </w:p>
    <w:p>
      <w:pPr>
        <w:pStyle w:val="ListBullet"/>
      </w:pPr>
      <w:r>
        <w:rPr>
          <w:sz w:val="22"/>
        </w:rPr>
        <w:t>K-means: K = 3 klynger. Silhouette-score 0.383 (akseptabelt).</w:t>
      </w:r>
    </w:p>
    <w:p>
      <w:pPr>
        <w:pStyle w:val="ListBullet"/>
      </w:pPr>
      <w:r>
        <w:rPr>
          <w:sz w:val="22"/>
        </w:rPr>
        <w:t>Regelmotor: Kjørt sekvensielt. 145 anbefalt overført.</w:t>
      </w:r>
    </w:p>
    <w:p>
      <w:pPr>
        <w:pStyle w:val="Heading2"/>
      </w:pPr>
      <w:r>
        <w:t>Kapittel 7 – Resultater</w:t>
      </w:r>
    </w:p>
    <w:p>
      <w:pPr>
        <w:pStyle w:val="ListBullet"/>
      </w:pPr>
      <w:r>
        <w:rPr>
          <w:sz w:val="22"/>
        </w:rPr>
        <w:t>Presenterer alle tallresultater i tabeller.</w:t>
      </w:r>
    </w:p>
    <w:p>
      <w:pPr>
        <w:pStyle w:val="ListBullet"/>
      </w:pPr>
      <w:r>
        <w:rPr>
          <w:sz w:val="22"/>
        </w:rPr>
        <w:t>ABC-fordeling (Tabell 8), XYZ-fordeling (Tabell 9).</w:t>
      </w:r>
    </w:p>
    <w:p>
      <w:pPr>
        <w:pStyle w:val="ListBullet"/>
      </w:pPr>
      <w:r>
        <w:rPr>
          <w:sz w:val="22"/>
        </w:rPr>
        <w:t>ZZXYZ-validering: Kun 33 % samsvar med SAP-systemet.</w:t>
      </w:r>
    </w:p>
    <w:p>
      <w:pPr>
        <w:pStyle w:val="ListBullet"/>
      </w:pPr>
      <w:r>
        <w:rPr>
          <w:sz w:val="22"/>
        </w:rPr>
        <w:t>EOQ: Samlet teoretisk kostnadsavvik kr 2 333 441/år for alle 487 artikler – dette er IKKE direkte realiserbar besparelse, men et mål på hvor mye bestillingspraksisen totalt sett avviker fra EOQ-optimalt nivå.</w:t>
      </w:r>
    </w:p>
    <w:p>
      <w:pPr>
        <w:pStyle w:val="ListBullet"/>
      </w:pPr>
      <w:r>
        <w:rPr>
          <w:sz w:val="22"/>
        </w:rPr>
        <w:t>K-means: Tre klynger med tydelige profiler.</w:t>
      </w:r>
    </w:p>
    <w:p>
      <w:pPr>
        <w:pStyle w:val="ListBullet"/>
      </w:pPr>
      <w:r>
        <w:rPr>
          <w:sz w:val="22"/>
        </w:rPr>
        <w:t>Regelmotor: 145 OVERFØR, 257 BEHOLD, 284 VURDER, 23 MANGLER DATA.</w:t>
      </w:r>
    </w:p>
    <w:p>
      <w:pPr>
        <w:pStyle w:val="ListBullet"/>
      </w:pPr>
      <w:r>
        <w:rPr>
          <w:sz w:val="22"/>
        </w:rPr>
        <w:t>Faktisk besparelsesestimat: Gjelder kun de 117 artiklene som er OVERFØR_HVFS OG har FOR_MANGE_ORDRER. Base case kr 451 515/år (g=75 %). Worst kr 301 010, Best kr 602 020. Merk: de resterende 28 OVERFØR-artikler inngår ikke i besparelsesberegningen.</w:t>
      </w:r>
    </w:p>
    <w:p>
      <w:pPr>
        <w:pStyle w:val="Heading2"/>
      </w:pPr>
      <w:r>
        <w:t>Kapittel 8 – Diskusjon</w:t>
      </w:r>
    </w:p>
    <w:p>
      <w:pPr>
        <w:pStyle w:val="ListBullet"/>
      </w:pPr>
      <w:r>
        <w:rPr>
          <w:sz w:val="22"/>
        </w:rPr>
        <w:t>Sammenligner funnene med litteraturen – alle 6 nøkkelfunn stemmer (Pareto-mønster, XYZ-samsvar, silhouette-nivå, besparelsesnivå, osv.).</w:t>
      </w:r>
    </w:p>
    <w:p>
      <w:pPr>
        <w:pStyle w:val="ListBullet"/>
      </w:pPr>
      <w:r>
        <w:rPr>
          <w:sz w:val="22"/>
        </w:rPr>
        <w:t>Metodekritikk – datakvalitet: SAP-data er automatisk registrert og ikke utsatt for hukommelsesfeil, men forbruk som skjer utenom SAP (f.eks. nøduttak som ikke dokumenteres) fanges ikke opp.</w:t>
      </w:r>
    </w:p>
    <w:p>
      <w:pPr>
        <w:pStyle w:val="ListBullet"/>
      </w:pPr>
      <w:r>
        <w:rPr>
          <w:sz w:val="22"/>
        </w:rPr>
        <w:t>Metodekritikk – ABC-verdi: 204 artikler mangler EKPO-innkjøpsdata og bruker beregnet verdi (D_ANNUAL x UNIT_PRICE). Hvis standardprisen avviker fra faktisk innkjøpspris, blir ABC-rangeringen upresis.</w:t>
      </w:r>
    </w:p>
    <w:p>
      <w:pPr>
        <w:pStyle w:val="ListBullet"/>
      </w:pPr>
      <w:r>
        <w:rPr>
          <w:sz w:val="22"/>
        </w:rPr>
        <w:t>Manglende ekstern validering: Regelmotoranbefalingene er IKKE validert mot innkjøpsfaglig skjønn eller historiske overføringsbeslutninger. Modellen bør betraktes som strukturert beslutningsunderlag, ikke som en autorisert beslutning. En oppfølgingsfase med faglig gjennomgang er nødvendig.</w:t>
      </w:r>
    </w:p>
    <w:p>
      <w:pPr>
        <w:pStyle w:val="ListBullet"/>
      </w:pPr>
      <w:r>
        <w:rPr>
          <w:sz w:val="22"/>
        </w:rPr>
        <w:t>Begrenset generaliserbarhet: Resultatene gjelder kun WERKS 3300, LGORT 3001. Metoderammeverket er reproduserbart, men andre foretak (Stavanger, Fonna, Førde) har ulik sortimentssammensetning, leverandøravtaler og driftsmodeller – tallene kan ikke overføres direkte.</w:t>
      </w:r>
    </w:p>
    <w:p>
      <w:pPr>
        <w:pStyle w:val="ListBullet"/>
      </w:pPr>
      <w:r>
        <w:rPr>
          <w:sz w:val="22"/>
        </w:rPr>
        <w:t>Praktisk betydning: 145 artikler kan flyttes, men gevinstrealisering forutsetter at SAP MM-parametere (MRP-type, ordrekvantumsinnstillinger) faktisk justeres. Uten det fortsetter systemet med eksisterende frekvens.</w:t>
      </w:r>
    </w:p>
    <w:p>
      <w:pPr>
        <w:pStyle w:val="ListBullet"/>
      </w:pPr>
      <w:r>
        <w:rPr>
          <w:sz w:val="22"/>
        </w:rPr>
        <w:t>Svakheter: Realiseringsgrad g er et scenario, ikke en prognose. Leveringstidsdata mangler for 94 % av artiklene. COVID-19-ettervirkninger kan ha påvirket forbruksmønstre i 2024–2025.</w:t>
      </w:r>
    </w:p>
    <w:p>
      <w:pPr>
        <w:pStyle w:val="Heading2"/>
      </w:pPr>
      <w:r>
        <w:t>Kapittel 9 – Konklusjon</w:t>
      </w:r>
    </w:p>
    <w:p>
      <w:pPr>
        <w:pStyle w:val="ListBullet"/>
      </w:pPr>
      <w:r>
        <w:rPr>
          <w:sz w:val="22"/>
        </w:rPr>
        <w:t>Svaret på problemstillingen: Ja, multikriterieklassifisering og klyngeanalyse fungerer for å identifisere HVFS-kandidater.</w:t>
      </w:r>
    </w:p>
    <w:p>
      <w:pPr>
        <w:pStyle w:val="ListBullet"/>
      </w:pPr>
      <w:r>
        <w:rPr>
          <w:sz w:val="22"/>
        </w:rPr>
        <w:t>4 anbefalinger: (1) Pilotoverføring, (2) Manuell gjennomgang av VURDER-gruppen, (3) Oppdater SAP-parametere, (4) Evaluer etter 12 mnd.</w:t>
      </w:r>
    </w:p>
    <w:p>
      <w:pPr>
        <w:pStyle w:val="ListBullet"/>
      </w:pPr>
      <w:r>
        <w:rPr>
          <w:sz w:val="22"/>
        </w:rPr>
        <w:t>3 forslag til videre forskning: ROP-modul, leverandørkonsolidering, replikering til andre sykehus i Helse Vest.</w:t>
      </w:r>
    </w:p>
    <w:p>
      <w:pPr>
        <w:pStyle w:val="Heading2"/>
      </w:pPr>
      <w:r>
        <w:t>Vedlegg A–C</w:t>
      </w:r>
    </w:p>
    <w:p>
      <w:pPr>
        <w:pStyle w:val="Heading3"/>
      </w:pPr>
      <w:r>
        <w:t>Vedlegg A – SAP-dataspesifikasjon</w:t>
      </w:r>
    </w:p>
    <w:p>
      <w:r>
        <w:rPr>
          <w:rFonts w:ascii="Calibri" w:hAnsi="Calibri"/>
          <w:sz w:val="22"/>
        </w:rPr>
        <w:t>En detaljert tabell over alle 14 SAP-tabeller med nøkkelfelter. Eksempel: MARD inneholder lagerbeholdning per lagersted (felter MATNR, WERKS, LGORT, LABST). MSEG inneholder varebevegelser (MATNR, MENGE, BWART).</w:t>
      </w:r>
    </w:p>
    <w:p>
      <w:pPr>
        <w:spacing w:before="80" w:after="160"/>
        <w:ind w:left="283"/>
      </w:pPr>
      <w:r>
        <w:rPr>
          <w:b/>
          <w:color w:val="1E7D45"/>
          <w:sz w:val="22"/>
        </w:rPr>
        <w:t xml:space="preserve">Tenk det slik: </w:t>
      </w:r>
      <w:r>
        <w:rPr>
          <w:i/>
          <w:color w:val="333333"/>
          <w:sz w:val="22"/>
        </w:rPr>
        <w:t>Vedlegg A er «oppskriften» for å hente de samme dataene om igjen. Hvis noen vil gjenta analysen om ett år med ferske data, starter de her.</w:t>
      </w:r>
    </w:p>
    <w:p>
      <w:pPr>
        <w:pStyle w:val="Heading3"/>
      </w:pPr>
      <w:r>
        <w:t>Vedlegg B – Python-analyseverktøy</w:t>
      </w:r>
    </w:p>
    <w:p>
      <w:r>
        <w:rPr>
          <w:rFonts w:ascii="Calibri" w:hAnsi="Calibri"/>
          <w:sz w:val="22"/>
        </w:rPr>
        <w:t>Beskriver analyseverktøyet: hovedscriptet LOG650_analyse_v2_7.py (deterministisk pipeline) og 12 figurscripts (plot_*.py). Nøkkelbiblioteker: pandas, scikit-learn, matplotlib, openpyxl. Alt bruker random_state = 42 for reproduserbarhet – gjentatt kjøring med samme input gir identiske resultater.</w:t>
      </w:r>
    </w:p>
    <w:p>
      <w:pPr>
        <w:spacing w:before="80" w:after="160"/>
        <w:ind w:left="283"/>
      </w:pPr>
      <w:r>
        <w:rPr>
          <w:b/>
          <w:color w:val="1E7D45"/>
          <w:sz w:val="22"/>
        </w:rPr>
        <w:t xml:space="preserve">Tenk det slik: </w:t>
      </w:r>
      <w:r>
        <w:rPr>
          <w:i/>
          <w:color w:val="333333"/>
          <w:sz w:val="22"/>
        </w:rPr>
        <w:t>Reproduserbarhet betyr at hvem som helst kan kjøre det samme scriptet og få nøyaktig de samme tallene. Det er som en matoppskrift der ingrediensene og mengdene er presist angitt – ingen «tilsett etter smak».</w:t>
      </w:r>
    </w:p>
    <w:p>
      <w:pPr>
        <w:pStyle w:val="Heading3"/>
      </w:pPr>
      <w:r>
        <w:t>Vedlegg C – Erklæring om bruk av kunstig intelligens</w:t>
      </w:r>
    </w:p>
    <w:p>
      <w:r>
        <w:rPr>
          <w:rFonts w:ascii="Calibri" w:hAnsi="Calibri"/>
          <w:sz w:val="22"/>
        </w:rPr>
        <w:t>Dokumenterer bruken av Claude (Anthropic) i tre deler av arbeidet: (1) kodestøtte og feilsøking i Python, (2) generering av figurer (layout, farger, aksetitler), og (3) strukturering av rapportteksten. Alle numeriske resultater, tabellverdier og analytiske konklusjoner er produsert av Python-scriptet fra SAP-kildedata, uavhengig av KI-verktøyet. Claude er ikke brukt som fagkilde.</w:t>
      </w:r>
    </w:p>
    <w:p>
      <w:pPr>
        <w:spacing w:before="80" w:after="160"/>
        <w:ind w:left="283"/>
      </w:pPr>
      <w:r>
        <w:rPr>
          <w:b/>
          <w:color w:val="1E7D45"/>
          <w:sz w:val="22"/>
        </w:rPr>
        <w:t xml:space="preserve">Tenk det slik: </w:t>
      </w:r>
      <w:r>
        <w:rPr>
          <w:i/>
          <w:color w:val="333333"/>
          <w:sz w:val="22"/>
        </w:rPr>
        <w:t>Vedlegg C er rapportens «ærlighetsattest» for KI-bruk. Det er påkrevd av Høgskolen i Molde og viser at forfatteren har kontroll på hva som er hans egne analyser og hva KI har bidratt med.</w:t>
      </w:r>
    </w:p>
    <w:p>
      <w:r>
        <w:br w:type="page"/>
      </w:r>
    </w:p>
    <w:p>
      <w:pPr>
        <w:pStyle w:val="Heading1"/>
      </w:pPr>
      <w:r>
        <w:t>Del 3 – Alle formler forklart</w:t>
      </w:r>
    </w:p>
    <w:p>
      <w:r>
        <w:rPr>
          <w:rFonts w:ascii="Calibri" w:hAnsi="Calibri"/>
          <w:sz w:val="22"/>
        </w:rPr>
        <w:t>Denne delen tar hver eneste formel i rapporten og forklarer den med Feynman-teknikk: hva den betyr i vanlige ord, hva hvert symbol er, og et konkret talleksempel.</w:t>
      </w:r>
    </w:p>
    <w:p>
      <w:pPr>
        <w:pStyle w:val="Heading2"/>
      </w:pPr>
      <w:r>
        <w:t>3.1 ABC-analyse (verdiklassifisering)</w:t>
      </w:r>
    </w:p>
    <w:p>
      <w:pPr>
        <w:pStyle w:val="Heading3"/>
      </w:pPr>
      <w:r>
        <w:t>Formel: Årsverdi per artikkel</w:t>
      </w:r>
    </w:p>
    <w:p>
      <w:pPr>
        <w:spacing w:before="120" w:after="40"/>
        <w:ind w:left="567"/>
      </w:pPr>
      <w:r>
        <w:rPr>
          <w:b/>
          <w:color w:val="0B3D8C"/>
          <w:sz w:val="22"/>
        </w:rPr>
        <w:t>Formel:</w:t>
      </w:r>
    </w:p>
    <w:p>
      <w:pPr>
        <w:ind w:left="850"/>
      </w:pPr>
      <w:r>
        <w:rPr>
          <w:rFonts w:ascii="Consolas" w:hAnsi="Consolas"/>
          <w:color w:val="000000"/>
          <w:sz w:val="22"/>
        </w:rPr>
        <w:t>v_i = D_i  x  UNIT_PRICE_i</w:t>
      </w:r>
    </w:p>
    <w:p>
      <w:pPr>
        <w:spacing w:after="160"/>
        <w:ind w:left="850"/>
      </w:pPr>
      <w:r>
        <w:rPr>
          <w:i/>
          <w:color w:val="555555"/>
          <w:sz w:val="20"/>
        </w:rPr>
        <w:t>Årsverdien for en vare = hvor mange enheter vi bruker per år, ganget med prisen per enhet.</w:t>
      </w:r>
    </w:p>
    <w:p>
      <w:r>
        <w:rPr>
          <w:rFonts w:ascii="Calibri" w:hAnsi="Calibri"/>
          <w:sz w:val="22"/>
        </w:rPr>
        <w:t>Hva betyr symbolene?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Symbol</w:t>
            </w:r>
          </w:p>
        </w:tc>
        <w:tc>
          <w:tcPr>
            <w:tcW w:type="dxa" w:w="2880"/>
          </w:tcPr>
          <w:p>
            <w:r>
              <w:rPr>
                <w:b/>
                <w:sz w:val="20"/>
              </w:rPr>
              <w:t>Betydning</w:t>
            </w:r>
          </w:p>
        </w:tc>
        <w:tc>
          <w:tcPr>
            <w:tcW w:type="dxa" w:w="2880"/>
          </w:tcPr>
          <w:p>
            <w:r>
              <w:rPr>
                <w:b/>
                <w:sz w:val="20"/>
              </w:rPr>
              <w:t>Eksempel</w:t>
            </w:r>
          </w:p>
        </w:tc>
      </w:tr>
      <w:tr>
        <w:tc>
          <w:tcPr>
            <w:tcW w:type="dxa" w:w="2880"/>
          </w:tcPr>
          <w:p>
            <w:r>
              <w:rPr>
                <w:sz w:val="20"/>
              </w:rPr>
              <w:t>v_i</w:t>
            </w:r>
          </w:p>
        </w:tc>
        <w:tc>
          <w:tcPr>
            <w:tcW w:type="dxa" w:w="2880"/>
          </w:tcPr>
          <w:p>
            <w:r>
              <w:rPr>
                <w:sz w:val="20"/>
              </w:rPr>
              <w:t>Årsverdi for artikkel i (kroner)</w:t>
            </w:r>
          </w:p>
        </w:tc>
        <w:tc>
          <w:tcPr>
            <w:tcW w:type="dxa" w:w="2880"/>
          </w:tcPr>
          <w:p>
            <w:r>
              <w:rPr>
                <w:sz w:val="20"/>
              </w:rPr>
              <w:t>kr 50 000</w:t>
            </w:r>
          </w:p>
        </w:tc>
      </w:tr>
      <w:tr>
        <w:tc>
          <w:tcPr>
            <w:tcW w:type="dxa" w:w="2880"/>
          </w:tcPr>
          <w:p>
            <w:r>
              <w:rPr>
                <w:sz w:val="20"/>
              </w:rPr>
              <w:t>D_i</w:t>
            </w:r>
          </w:p>
        </w:tc>
        <w:tc>
          <w:tcPr>
            <w:tcW w:type="dxa" w:w="2880"/>
          </w:tcPr>
          <w:p>
            <w:r>
              <w:rPr>
                <w:sz w:val="20"/>
              </w:rPr>
              <w:t>Årsforbruk for artikkel i (enheter per år)</w:t>
            </w:r>
          </w:p>
        </w:tc>
        <w:tc>
          <w:tcPr>
            <w:tcW w:type="dxa" w:w="2880"/>
          </w:tcPr>
          <w:p>
            <w:r>
              <w:rPr>
                <w:sz w:val="20"/>
              </w:rPr>
              <w:t>1 000 stk/år</w:t>
            </w:r>
          </w:p>
        </w:tc>
      </w:tr>
      <w:tr>
        <w:tc>
          <w:tcPr>
            <w:tcW w:type="dxa" w:w="2880"/>
          </w:tcPr>
          <w:p>
            <w:r>
              <w:rPr>
                <w:sz w:val="20"/>
              </w:rPr>
              <w:t>UNIT_PRICE_i</w:t>
            </w:r>
          </w:p>
        </w:tc>
        <w:tc>
          <w:tcPr>
            <w:tcW w:type="dxa" w:w="2880"/>
          </w:tcPr>
          <w:p>
            <w:r>
              <w:rPr>
                <w:sz w:val="20"/>
              </w:rPr>
              <w:t>Pris per enhet for artikkel i (kr/stk)</w:t>
            </w:r>
          </w:p>
        </w:tc>
        <w:tc>
          <w:tcPr>
            <w:tcW w:type="dxa" w:w="2880"/>
          </w:tcPr>
          <w:p>
            <w:r>
              <w:rPr>
                <w:sz w:val="20"/>
              </w:rPr>
              <w:t>kr 50/stk</w:t>
            </w:r>
          </w:p>
        </w:tc>
      </w:tr>
    </w:tbl>
    <w:p/>
    <w:p>
      <w:pPr>
        <w:spacing w:before="80" w:after="160"/>
        <w:ind w:left="283"/>
      </w:pPr>
      <w:r>
        <w:rPr>
          <w:b/>
          <w:color w:val="1E7D45"/>
          <w:sz w:val="22"/>
        </w:rPr>
        <w:t xml:space="preserve">Tenk det slik: </w:t>
      </w:r>
      <w:r>
        <w:rPr>
          <w:i/>
          <w:color w:val="333333"/>
          <w:sz w:val="22"/>
        </w:rPr>
        <w:t>Hvis du bruker 1000 hansker i året og hver hanske koster 50 kr, da er årsverdien for hansker 1000 x 50 = 50 000 kr. Så enkelt er det.</w:t>
      </w:r>
    </w:p>
    <w:p>
      <w:pPr>
        <w:pStyle w:val="Heading3"/>
      </w:pPr>
      <w:r>
        <w:t>Formel: Kumulativ verdiandel</w:t>
      </w:r>
    </w:p>
    <w:p>
      <w:pPr>
        <w:spacing w:before="120" w:after="40"/>
        <w:ind w:left="567"/>
      </w:pPr>
      <w:r>
        <w:rPr>
          <w:b/>
          <w:color w:val="0B3D8C"/>
          <w:sz w:val="22"/>
        </w:rPr>
        <w:t>Formel:</w:t>
      </w:r>
    </w:p>
    <w:p>
      <w:pPr>
        <w:ind w:left="850"/>
      </w:pPr>
      <w:r>
        <w:rPr>
          <w:rFonts w:ascii="Consolas" w:hAnsi="Consolas"/>
          <w:color w:val="000000"/>
          <w:sz w:val="22"/>
        </w:rPr>
        <w:t>C_i = (v_1 + v_2 + ... + v_i) / V_tot</w:t>
      </w:r>
    </w:p>
    <w:p>
      <w:pPr>
        <w:spacing w:after="160"/>
        <w:ind w:left="850"/>
      </w:pPr>
      <w:r>
        <w:rPr>
          <w:i/>
          <w:color w:val="555555"/>
          <w:sz w:val="20"/>
        </w:rPr>
        <w:t>Kumulativ verdiandel = summen av verdier fra artikkel 1 til i, delt på total verdi.</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Symbol</w:t>
            </w:r>
          </w:p>
        </w:tc>
        <w:tc>
          <w:tcPr>
            <w:tcW w:type="dxa" w:w="4320"/>
          </w:tcPr>
          <w:p>
            <w:r>
              <w:rPr>
                <w:b/>
                <w:sz w:val="20"/>
              </w:rPr>
              <w:t>Betydning</w:t>
            </w:r>
          </w:p>
        </w:tc>
      </w:tr>
      <w:tr>
        <w:tc>
          <w:tcPr>
            <w:tcW w:type="dxa" w:w="4320"/>
          </w:tcPr>
          <w:p>
            <w:r>
              <w:rPr>
                <w:sz w:val="20"/>
              </w:rPr>
              <w:t>C_i</w:t>
            </w:r>
          </w:p>
        </w:tc>
        <w:tc>
          <w:tcPr>
            <w:tcW w:type="dxa" w:w="4320"/>
          </w:tcPr>
          <w:p>
            <w:r>
              <w:rPr>
                <w:sz w:val="20"/>
              </w:rPr>
              <w:t>Kumulativ verdiandel etter artikkel i (mellom 0 og 1)</w:t>
            </w:r>
          </w:p>
        </w:tc>
      </w:tr>
      <w:tr>
        <w:tc>
          <w:tcPr>
            <w:tcW w:type="dxa" w:w="4320"/>
          </w:tcPr>
          <w:p>
            <w:r>
              <w:rPr>
                <w:sz w:val="20"/>
              </w:rPr>
              <w:t>V_tot</w:t>
            </w:r>
          </w:p>
        </w:tc>
        <w:tc>
          <w:tcPr>
            <w:tcW w:type="dxa" w:w="4320"/>
          </w:tcPr>
          <w:p>
            <w:r>
              <w:rPr>
                <w:sz w:val="20"/>
              </w:rPr>
              <w:t>Total årsverdi for alle artikler samlet</w:t>
            </w:r>
          </w:p>
        </w:tc>
      </w:tr>
    </w:tbl>
    <w:p/>
    <w:p>
      <w:r>
        <w:rPr>
          <w:rFonts w:ascii="Calibri" w:hAnsi="Calibri"/>
          <w:sz w:val="22"/>
        </w:rPr>
        <w:t>Klassifiseringsregler: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Klasse</w:t>
            </w:r>
          </w:p>
        </w:tc>
        <w:tc>
          <w:tcPr>
            <w:tcW w:type="dxa" w:w="2880"/>
          </w:tcPr>
          <w:p>
            <w:r>
              <w:rPr>
                <w:b/>
                <w:sz w:val="20"/>
              </w:rPr>
              <w:t>Regel</w:t>
            </w:r>
          </w:p>
        </w:tc>
        <w:tc>
          <w:tcPr>
            <w:tcW w:type="dxa" w:w="2880"/>
          </w:tcPr>
          <w:p>
            <w:r>
              <w:rPr>
                <w:b/>
                <w:sz w:val="20"/>
              </w:rPr>
              <w:t>Tolkning</w:t>
            </w:r>
          </w:p>
        </w:tc>
      </w:tr>
      <w:tr>
        <w:tc>
          <w:tcPr>
            <w:tcW w:type="dxa" w:w="2880"/>
          </w:tcPr>
          <w:p>
            <w:r>
              <w:rPr>
                <w:sz w:val="20"/>
              </w:rPr>
              <w:t>A</w:t>
            </w:r>
          </w:p>
        </w:tc>
        <w:tc>
          <w:tcPr>
            <w:tcW w:type="dxa" w:w="2880"/>
          </w:tcPr>
          <w:p>
            <w:r>
              <w:rPr>
                <w:sz w:val="20"/>
              </w:rPr>
              <w:t>C_i &lt;= 0.80 (80 %)</w:t>
            </w:r>
          </w:p>
        </w:tc>
        <w:tc>
          <w:tcPr>
            <w:tcW w:type="dxa" w:w="2880"/>
          </w:tcPr>
          <w:p>
            <w:r>
              <w:rPr>
                <w:sz w:val="20"/>
              </w:rPr>
              <w:t>De mest verdifulle artiklene som utgjør 80 % av totalverdien</w:t>
            </w:r>
          </w:p>
        </w:tc>
      </w:tr>
      <w:tr>
        <w:tc>
          <w:tcPr>
            <w:tcW w:type="dxa" w:w="2880"/>
          </w:tcPr>
          <w:p>
            <w:r>
              <w:rPr>
                <w:sz w:val="20"/>
              </w:rPr>
              <w:t>B</w:t>
            </w:r>
          </w:p>
        </w:tc>
        <w:tc>
          <w:tcPr>
            <w:tcW w:type="dxa" w:w="2880"/>
          </w:tcPr>
          <w:p>
            <w:r>
              <w:rPr>
                <w:sz w:val="20"/>
              </w:rPr>
              <w:t>0.80 &lt; C_i &lt;= 0.95</w:t>
            </w:r>
          </w:p>
        </w:tc>
        <w:tc>
          <w:tcPr>
            <w:tcW w:type="dxa" w:w="2880"/>
          </w:tcPr>
          <w:p>
            <w:r>
              <w:rPr>
                <w:sz w:val="20"/>
              </w:rPr>
              <w:t>Neste 15 % av totalverdien</w:t>
            </w:r>
          </w:p>
        </w:tc>
      </w:tr>
      <w:tr>
        <w:tc>
          <w:tcPr>
            <w:tcW w:type="dxa" w:w="2880"/>
          </w:tcPr>
          <w:p>
            <w:r>
              <w:rPr>
                <w:sz w:val="20"/>
              </w:rPr>
              <w:t>C</w:t>
            </w:r>
          </w:p>
        </w:tc>
        <w:tc>
          <w:tcPr>
            <w:tcW w:type="dxa" w:w="2880"/>
          </w:tcPr>
          <w:p>
            <w:r>
              <w:rPr>
                <w:sz w:val="20"/>
              </w:rPr>
              <w:t>C_i &gt; 0.95</w:t>
            </w:r>
          </w:p>
        </w:tc>
        <w:tc>
          <w:tcPr>
            <w:tcW w:type="dxa" w:w="2880"/>
          </w:tcPr>
          <w:p>
            <w:r>
              <w:rPr>
                <w:sz w:val="20"/>
              </w:rPr>
              <w:t>Resten – de billigste 5 % av verdien, men ofte flest artikler</w:t>
            </w:r>
          </w:p>
        </w:tc>
      </w:tr>
    </w:tbl>
    <w:p/>
    <w:p>
      <w:pPr>
        <w:spacing w:before="80" w:after="160"/>
        <w:ind w:left="283"/>
      </w:pPr>
      <w:r>
        <w:rPr>
          <w:b/>
          <w:color w:val="1E7D45"/>
          <w:sz w:val="22"/>
        </w:rPr>
        <w:t xml:space="preserve">Tenk det slik: </w:t>
      </w:r>
      <w:r>
        <w:rPr>
          <w:i/>
          <w:color w:val="333333"/>
          <w:sz w:val="22"/>
        </w:rPr>
        <w:t>Tenk på Netflix-topplisten: De 20 % mest sette filmene står for 80 % av all visningstid. Tilsvarende: De 26 % dyreste sykehusvarene står for 80 % av all pengebruk. Det er Pareto-prinsippet – «de vitale få og de trivielle mange».</w:t>
      </w:r>
    </w:p>
    <w:p>
      <w:pPr>
        <w:pStyle w:val="Heading2"/>
      </w:pPr>
      <w:r>
        <w:t>3.2 XYZ-klassifisering (variasjonskoeffisient)</w:t>
      </w:r>
    </w:p>
    <w:p>
      <w:pPr>
        <w:spacing w:before="120" w:after="40"/>
        <w:ind w:left="567"/>
      </w:pPr>
      <w:r>
        <w:rPr>
          <w:b/>
          <w:color w:val="0B3D8C"/>
          <w:sz w:val="22"/>
        </w:rPr>
        <w:t>Formel:</w:t>
      </w:r>
    </w:p>
    <w:p>
      <w:pPr>
        <w:ind w:left="850"/>
      </w:pPr>
      <w:r>
        <w:rPr>
          <w:rFonts w:ascii="Consolas" w:hAnsi="Consolas"/>
          <w:color w:val="000000"/>
          <w:sz w:val="22"/>
        </w:rPr>
        <w:t>CV_i = sigma_i / mu_i</w:t>
      </w:r>
    </w:p>
    <w:p>
      <w:pPr>
        <w:spacing w:after="160"/>
        <w:ind w:left="850"/>
      </w:pPr>
      <w:r>
        <w:rPr>
          <w:i/>
          <w:color w:val="555555"/>
          <w:sz w:val="20"/>
        </w:rPr>
        <w:t>Variasjonskoeffisienten = standardavvik delt på gjennomsnitt av månedlig forbruk.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Symbol</w:t>
            </w:r>
          </w:p>
        </w:tc>
        <w:tc>
          <w:tcPr>
            <w:tcW w:type="dxa" w:w="2880"/>
          </w:tcPr>
          <w:p>
            <w:r>
              <w:rPr>
                <w:b/>
                <w:sz w:val="20"/>
              </w:rPr>
              <w:t>Betydning</w:t>
            </w:r>
          </w:p>
        </w:tc>
        <w:tc>
          <w:tcPr>
            <w:tcW w:type="dxa" w:w="2880"/>
          </w:tcPr>
          <w:p>
            <w:r>
              <w:rPr>
                <w:b/>
                <w:sz w:val="20"/>
              </w:rPr>
              <w:t>Eksempel</w:t>
            </w:r>
          </w:p>
        </w:tc>
      </w:tr>
      <w:tr>
        <w:tc>
          <w:tcPr>
            <w:tcW w:type="dxa" w:w="2880"/>
          </w:tcPr>
          <w:p>
            <w:r>
              <w:rPr>
                <w:sz w:val="20"/>
              </w:rPr>
              <w:t>CV_i</w:t>
            </w:r>
          </w:p>
        </w:tc>
        <w:tc>
          <w:tcPr>
            <w:tcW w:type="dxa" w:w="2880"/>
          </w:tcPr>
          <w:p>
            <w:r>
              <w:rPr>
                <w:sz w:val="20"/>
              </w:rPr>
              <w:t>Variasjonskoeffisient for artikkel i (dimensjonsløs)</w:t>
            </w:r>
          </w:p>
        </w:tc>
        <w:tc>
          <w:tcPr>
            <w:tcW w:type="dxa" w:w="2880"/>
          </w:tcPr>
          <w:p>
            <w:r>
              <w:rPr>
                <w:sz w:val="20"/>
              </w:rPr>
              <w:t>0.35</w:t>
            </w:r>
          </w:p>
        </w:tc>
      </w:tr>
      <w:tr>
        <w:tc>
          <w:tcPr>
            <w:tcW w:type="dxa" w:w="2880"/>
          </w:tcPr>
          <w:p>
            <w:r>
              <w:rPr>
                <w:sz w:val="20"/>
              </w:rPr>
              <w:t>sigma_i</w:t>
            </w:r>
          </w:p>
        </w:tc>
        <w:tc>
          <w:tcPr>
            <w:tcW w:type="dxa" w:w="2880"/>
          </w:tcPr>
          <w:p>
            <w:r>
              <w:rPr>
                <w:sz w:val="20"/>
              </w:rPr>
              <w:t>Standardavvik av månedlig forbruk</w:t>
            </w:r>
          </w:p>
        </w:tc>
        <w:tc>
          <w:tcPr>
            <w:tcW w:type="dxa" w:w="2880"/>
          </w:tcPr>
          <w:p>
            <w:r>
              <w:rPr>
                <w:sz w:val="20"/>
              </w:rPr>
              <w:t>35 stk</w:t>
            </w:r>
          </w:p>
        </w:tc>
      </w:tr>
      <w:tr>
        <w:tc>
          <w:tcPr>
            <w:tcW w:type="dxa" w:w="2880"/>
          </w:tcPr>
          <w:p>
            <w:r>
              <w:rPr>
                <w:sz w:val="20"/>
              </w:rPr>
              <w:t>mu_i</w:t>
            </w:r>
          </w:p>
        </w:tc>
        <w:tc>
          <w:tcPr>
            <w:tcW w:type="dxa" w:w="2880"/>
          </w:tcPr>
          <w:p>
            <w:r>
              <w:rPr>
                <w:sz w:val="20"/>
              </w:rPr>
              <w:t>Gjennomsnittlig månedlig forbruk</w:t>
            </w:r>
          </w:p>
        </w:tc>
        <w:tc>
          <w:tcPr>
            <w:tcW w:type="dxa" w:w="2880"/>
          </w:tcPr>
          <w:p>
            <w:r>
              <w:rPr>
                <w:sz w:val="20"/>
              </w:rPr>
              <w:t>100 stk</w:t>
            </w:r>
          </w:p>
        </w:tc>
      </w:tr>
    </w:tbl>
    <w:p/>
    <w:p>
      <w:r>
        <w:rPr>
          <w:rFonts w:ascii="Calibri" w:hAnsi="Calibri"/>
          <w:sz w:val="22"/>
        </w:rPr>
        <w:t>Klassifiseringsregler: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Klasse</w:t>
            </w:r>
          </w:p>
        </w:tc>
        <w:tc>
          <w:tcPr>
            <w:tcW w:type="dxa" w:w="2880"/>
          </w:tcPr>
          <w:p>
            <w:r>
              <w:rPr>
                <w:b/>
                <w:sz w:val="20"/>
              </w:rPr>
              <w:t>CV-grense</w:t>
            </w:r>
          </w:p>
        </w:tc>
        <w:tc>
          <w:tcPr>
            <w:tcW w:type="dxa" w:w="2880"/>
          </w:tcPr>
          <w:p>
            <w:r>
              <w:rPr>
                <w:b/>
                <w:sz w:val="20"/>
              </w:rPr>
              <w:t>Tolkning</w:t>
            </w:r>
          </w:p>
        </w:tc>
      </w:tr>
      <w:tr>
        <w:tc>
          <w:tcPr>
            <w:tcW w:type="dxa" w:w="2880"/>
          </w:tcPr>
          <w:p>
            <w:r>
              <w:rPr>
                <w:sz w:val="20"/>
              </w:rPr>
              <w:t>X (stabilt)</w:t>
            </w:r>
          </w:p>
        </w:tc>
        <w:tc>
          <w:tcPr>
            <w:tcW w:type="dxa" w:w="2880"/>
          </w:tcPr>
          <w:p>
            <w:r>
              <w:rPr>
                <w:sz w:val="20"/>
              </w:rPr>
              <w:t>CV &lt; 0.5</w:t>
            </w:r>
          </w:p>
        </w:tc>
        <w:tc>
          <w:tcPr>
            <w:tcW w:type="dxa" w:w="2880"/>
          </w:tcPr>
          <w:p>
            <w:r>
              <w:rPr>
                <w:sz w:val="20"/>
              </w:rPr>
              <w:t>Forbruket er jevnt og forutsigbart – lett å planlegge</w:t>
            </w:r>
          </w:p>
        </w:tc>
      </w:tr>
      <w:tr>
        <w:tc>
          <w:tcPr>
            <w:tcW w:type="dxa" w:w="2880"/>
          </w:tcPr>
          <w:p>
            <w:r>
              <w:rPr>
                <w:sz w:val="20"/>
              </w:rPr>
              <w:t>Y (moderat)</w:t>
            </w:r>
          </w:p>
        </w:tc>
        <w:tc>
          <w:tcPr>
            <w:tcW w:type="dxa" w:w="2880"/>
          </w:tcPr>
          <w:p>
            <w:r>
              <w:rPr>
                <w:sz w:val="20"/>
              </w:rPr>
              <w:t>0.5 &lt;= CV &lt; 1.0</w:t>
            </w:r>
          </w:p>
        </w:tc>
        <w:tc>
          <w:tcPr>
            <w:tcW w:type="dxa" w:w="2880"/>
          </w:tcPr>
          <w:p>
            <w:r>
              <w:rPr>
                <w:sz w:val="20"/>
              </w:rPr>
              <w:t>Noe variasjon, men fortsatt håndterbart</w:t>
            </w:r>
          </w:p>
        </w:tc>
      </w:tr>
      <w:tr>
        <w:tc>
          <w:tcPr>
            <w:tcW w:type="dxa" w:w="2880"/>
          </w:tcPr>
          <w:p>
            <w:r>
              <w:rPr>
                <w:sz w:val="20"/>
              </w:rPr>
              <w:t>Z (uregelmessig)</w:t>
            </w:r>
          </w:p>
        </w:tc>
        <w:tc>
          <w:tcPr>
            <w:tcW w:type="dxa" w:w="2880"/>
          </w:tcPr>
          <w:p>
            <w:r>
              <w:rPr>
                <w:sz w:val="20"/>
              </w:rPr>
              <w:t>CV &gt;= 1.0</w:t>
            </w:r>
          </w:p>
        </w:tc>
        <w:tc>
          <w:tcPr>
            <w:tcW w:type="dxa" w:w="2880"/>
          </w:tcPr>
          <w:p>
            <w:r>
              <w:rPr>
                <w:sz w:val="20"/>
              </w:rPr>
              <w:t>Svært uforutsigbart forbruk – vanskelig å planlegge</w:t>
            </w:r>
          </w:p>
        </w:tc>
      </w:tr>
    </w:tbl>
    <w:p/>
    <w:p>
      <w:pPr>
        <w:spacing w:before="80" w:after="160"/>
        <w:ind w:left="283"/>
      </w:pPr>
      <w:r>
        <w:rPr>
          <w:b/>
          <w:color w:val="1E7D45"/>
          <w:sz w:val="22"/>
        </w:rPr>
        <w:t xml:space="preserve">Tenk det slik: </w:t>
      </w:r>
      <w:r>
        <w:rPr>
          <w:i/>
          <w:color w:val="333333"/>
          <w:sz w:val="22"/>
        </w:rPr>
        <w:t>Tenk på strømregningen din. Hvis den er ca. 1000 kr hver måned (+-150 kr), er CV = 150/1000 = 0.15 – svært stabil (X-klasse). Men hvis noen måneder er 200 kr og andre er 3000 kr, er CV mye høyere – det er en Z-vare. Sentrallageret (HVFS) liker X-varer fordi de kan planlegge leveransene.</w:t>
      </w:r>
    </w:p>
    <w:p>
      <w:pPr>
        <w:pStyle w:val="Heading3"/>
      </w:pPr>
      <w:r>
        <w:t>Viktig detalj: Hvorfor CV og ikke bare standardavvik?</w:t>
      </w:r>
    </w:p>
    <w:p>
      <w:r>
        <w:rPr>
          <w:rFonts w:ascii="Calibri" w:hAnsi="Calibri"/>
          <w:sz w:val="22"/>
        </w:rPr>
        <w:t>Standardavviket alene sier lite. En vare med forbruk 10 000/mnd og standardavvik 1 000 er faktisk veldig stabil (CV = 0.1). Men en vare med forbruk 5/mnd og standardavvik 5 er veldig ustabil (CV = 1.0). CV normaliserer variasjonen slik at vi kan sammenligne varer med helt ulikt volum.</w:t>
      </w:r>
    </w:p>
    <w:p>
      <w:pPr>
        <w:pStyle w:val="Heading2"/>
      </w:pPr>
      <w:r>
        <w:t>3.3 EOQ – Wilson-modellen (optimal bestillingsmengde)</w:t>
      </w:r>
    </w:p>
    <w:p>
      <w:pPr>
        <w:spacing w:before="120" w:after="40"/>
        <w:ind w:left="567"/>
      </w:pPr>
      <w:r>
        <w:rPr>
          <w:b/>
          <w:color w:val="0B3D8C"/>
          <w:sz w:val="22"/>
        </w:rPr>
        <w:t>Formel:</w:t>
      </w:r>
    </w:p>
    <w:p>
      <w:pPr>
        <w:ind w:left="850"/>
      </w:pPr>
      <w:r>
        <w:rPr>
          <w:rFonts w:ascii="Consolas" w:hAnsi="Consolas"/>
          <w:color w:val="000000"/>
          <w:sz w:val="22"/>
        </w:rPr>
        <w:t>Q* = sqrt(2 x D x S / H)</w:t>
      </w:r>
    </w:p>
    <w:p>
      <w:pPr>
        <w:spacing w:after="160"/>
        <w:ind w:left="850"/>
      </w:pPr>
      <w:r>
        <w:rPr>
          <w:i/>
          <w:color w:val="555555"/>
          <w:sz w:val="20"/>
        </w:rPr>
        <w:t>Optimal bestillingsmengde = kvadratroten av (2 x årsforbruk x ordrekostnad / holdekostnad per enhet).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Symbol</w:t>
            </w:r>
          </w:p>
        </w:tc>
        <w:tc>
          <w:tcPr>
            <w:tcW w:type="dxa" w:w="2880"/>
          </w:tcPr>
          <w:p>
            <w:r>
              <w:rPr>
                <w:b/>
                <w:sz w:val="20"/>
              </w:rPr>
              <w:t>Betydning</w:t>
            </w:r>
          </w:p>
        </w:tc>
        <w:tc>
          <w:tcPr>
            <w:tcW w:type="dxa" w:w="2880"/>
          </w:tcPr>
          <w:p>
            <w:r>
              <w:rPr>
                <w:b/>
                <w:sz w:val="20"/>
              </w:rPr>
              <w:t>Verdi i rapporten</w:t>
            </w:r>
          </w:p>
        </w:tc>
      </w:tr>
      <w:tr>
        <w:tc>
          <w:tcPr>
            <w:tcW w:type="dxa" w:w="2880"/>
          </w:tcPr>
          <w:p>
            <w:r>
              <w:rPr>
                <w:sz w:val="20"/>
              </w:rPr>
              <w:t>Q*</w:t>
            </w:r>
          </w:p>
        </w:tc>
        <w:tc>
          <w:tcPr>
            <w:tcW w:type="dxa" w:w="2880"/>
          </w:tcPr>
          <w:p>
            <w:r>
              <w:rPr>
                <w:sz w:val="20"/>
              </w:rPr>
              <w:t>Optimal bestillingsmengde (enheter per ordre)</w:t>
            </w:r>
          </w:p>
        </w:tc>
        <w:tc>
          <w:tcPr>
            <w:tcW w:type="dxa" w:w="2880"/>
          </w:tcPr>
          <w:p>
            <w:r>
              <w:rPr>
                <w:sz w:val="20"/>
              </w:rPr>
              <w:t>Beregnes per artikkel</w:t>
            </w:r>
          </w:p>
        </w:tc>
      </w:tr>
      <w:tr>
        <w:tc>
          <w:tcPr>
            <w:tcW w:type="dxa" w:w="2880"/>
          </w:tcPr>
          <w:p>
            <w:r>
              <w:rPr>
                <w:sz w:val="20"/>
              </w:rPr>
              <w:t>D</w:t>
            </w:r>
          </w:p>
        </w:tc>
        <w:tc>
          <w:tcPr>
            <w:tcW w:type="dxa" w:w="2880"/>
          </w:tcPr>
          <w:p>
            <w:r>
              <w:rPr>
                <w:sz w:val="20"/>
              </w:rPr>
              <w:t>Årsforbruk (enheter per år)</w:t>
            </w:r>
          </w:p>
        </w:tc>
        <w:tc>
          <w:tcPr>
            <w:tcW w:type="dxa" w:w="2880"/>
          </w:tcPr>
          <w:p>
            <w:r>
              <w:rPr>
                <w:sz w:val="20"/>
              </w:rPr>
              <w:t>Fra MSEG-data</w:t>
            </w:r>
          </w:p>
        </w:tc>
      </w:tr>
      <w:tr>
        <w:tc>
          <w:tcPr>
            <w:tcW w:type="dxa" w:w="2880"/>
          </w:tcPr>
          <w:p>
            <w:r>
              <w:rPr>
                <w:sz w:val="20"/>
              </w:rPr>
              <w:t>S</w:t>
            </w:r>
          </w:p>
        </w:tc>
        <w:tc>
          <w:tcPr>
            <w:tcW w:type="dxa" w:w="2880"/>
          </w:tcPr>
          <w:p>
            <w:r>
              <w:rPr>
                <w:sz w:val="20"/>
              </w:rPr>
              <w:t>Ordrekostnad per bestilling (kr)</w:t>
            </w:r>
          </w:p>
        </w:tc>
        <w:tc>
          <w:tcPr>
            <w:tcW w:type="dxa" w:w="2880"/>
          </w:tcPr>
          <w:p>
            <w:r>
              <w:rPr>
                <w:sz w:val="20"/>
              </w:rPr>
              <w:t>750 kr</w:t>
            </w:r>
          </w:p>
        </w:tc>
      </w:tr>
      <w:tr>
        <w:tc>
          <w:tcPr>
            <w:tcW w:type="dxa" w:w="2880"/>
          </w:tcPr>
          <w:p>
            <w:r>
              <w:rPr>
                <w:sz w:val="20"/>
              </w:rPr>
              <w:t>H</w:t>
            </w:r>
          </w:p>
        </w:tc>
        <w:tc>
          <w:tcPr>
            <w:tcW w:type="dxa" w:w="2880"/>
          </w:tcPr>
          <w:p>
            <w:r>
              <w:rPr>
                <w:sz w:val="20"/>
              </w:rPr>
              <w:t>Holdekostnad per enhet per år (kr)</w:t>
            </w:r>
          </w:p>
        </w:tc>
        <w:tc>
          <w:tcPr>
            <w:tcW w:type="dxa" w:w="2880"/>
          </w:tcPr>
          <w:p>
            <w:r>
              <w:rPr>
                <w:sz w:val="20"/>
              </w:rPr>
              <w:t>h x UNIT_PRICE = 20 % x pris</w:t>
            </w:r>
          </w:p>
        </w:tc>
      </w:tr>
      <w:tr>
        <w:tc>
          <w:tcPr>
            <w:tcW w:type="dxa" w:w="2880"/>
          </w:tcPr>
          <w:p>
            <w:r>
              <w:rPr>
                <w:sz w:val="20"/>
              </w:rPr>
              <w:t>h</w:t>
            </w:r>
          </w:p>
        </w:tc>
        <w:tc>
          <w:tcPr>
            <w:tcW w:type="dxa" w:w="2880"/>
          </w:tcPr>
          <w:p>
            <w:r>
              <w:rPr>
                <w:sz w:val="20"/>
              </w:rPr>
              <w:t>Holdesats (prosent av enhetspris)</w:t>
            </w:r>
          </w:p>
        </w:tc>
        <w:tc>
          <w:tcPr>
            <w:tcW w:type="dxa" w:w="2880"/>
          </w:tcPr>
          <w:p>
            <w:r>
              <w:rPr>
                <w:sz w:val="20"/>
              </w:rPr>
              <w:t>20 %</w:t>
            </w:r>
          </w:p>
        </w:tc>
      </w:tr>
    </w:tbl>
    <w:p/>
    <w:p>
      <w:pPr>
        <w:spacing w:before="80" w:after="160"/>
        <w:ind w:left="283"/>
      </w:pPr>
      <w:r>
        <w:rPr>
          <w:b/>
          <w:color w:val="1E7D45"/>
          <w:sz w:val="22"/>
        </w:rPr>
        <w:t xml:space="preserve">Tenk det slik: </w:t>
      </w:r>
      <w:r>
        <w:rPr>
          <w:i/>
          <w:color w:val="333333"/>
          <w:sz w:val="22"/>
        </w:rPr>
        <w:t>EOQ handler om en avveining: Hvis du bestiller sjelden, bestiller du store mengder og har mye varer på lager (dyr lagring). Hvis du bestiller ofte, bestiller du lite hver gang, men betaler mange ordrekostnader. EOQ er det perfekte balansepunktet.</w:t>
        <w:br/>
        <w:br/>
        <w:t>Analogi: Skal du handle middag en gang i uken (billigere per tur, men maten rekker kanskje ikke) eller hver dag (ferskere, men dyrere i transport)? EOQ finner den optimale handlefrekvensen.</w:t>
      </w:r>
    </w:p>
    <w:p>
      <w:pPr>
        <w:pStyle w:val="Heading3"/>
      </w:pPr>
      <w:r>
        <w:t>Talleksempel</w:t>
      </w:r>
    </w:p>
    <w:p>
      <w:r>
        <w:rPr>
          <w:rFonts w:ascii="Calibri" w:hAnsi="Calibri"/>
          <w:sz w:val="22"/>
        </w:rPr>
        <w:t>En vare med årsforbruk D = 1000 stk, pris = 100 kr/stk:</w:t>
      </w:r>
    </w:p>
    <w:p>
      <w:pPr>
        <w:ind w:left="567"/>
      </w:pPr>
      <w:r>
        <w:rPr>
          <w:rFonts w:ascii="Calibri" w:hAnsi="Calibri"/>
          <w:sz w:val="22"/>
        </w:rPr>
        <w:t>H = 20 % x 100 = 20 kr/stk/år</w:t>
      </w:r>
    </w:p>
    <w:p>
      <w:pPr>
        <w:ind w:left="567"/>
      </w:pPr>
      <w:r>
        <w:rPr>
          <w:rFonts w:ascii="Calibri" w:hAnsi="Calibri"/>
          <w:sz w:val="22"/>
        </w:rPr>
        <w:t>Q* = sqrt(2 x 1000 x 750 / 20) = sqrt(75 000) = 274 stk per ordre</w:t>
      </w:r>
    </w:p>
    <w:p>
      <w:pPr>
        <w:ind w:left="567"/>
      </w:pPr>
      <w:r>
        <w:rPr>
          <w:rFonts w:ascii="Calibri" w:hAnsi="Calibri"/>
          <w:sz w:val="22"/>
        </w:rPr>
        <w:t>Optimal frekvens f* = D / Q* = 1000 / 274 = 3.65 ordrer/år</w:t>
      </w:r>
    </w:p>
    <w:p>
      <w:pPr>
        <w:pStyle w:val="Heading3"/>
      </w:pPr>
      <w:r>
        <w:t>Optimal ordrefrekvens</w:t>
      </w:r>
    </w:p>
    <w:p>
      <w:pPr>
        <w:spacing w:before="120" w:after="40"/>
        <w:ind w:left="567"/>
      </w:pPr>
      <w:r>
        <w:rPr>
          <w:b/>
          <w:color w:val="0B3D8C"/>
          <w:sz w:val="22"/>
        </w:rPr>
        <w:t>Formel:</w:t>
      </w:r>
    </w:p>
    <w:p>
      <w:pPr>
        <w:ind w:left="850"/>
      </w:pPr>
      <w:r>
        <w:rPr>
          <w:rFonts w:ascii="Consolas" w:hAnsi="Consolas"/>
          <w:color w:val="000000"/>
          <w:sz w:val="22"/>
        </w:rPr>
        <w:t>f* = D / Q* = sqrt(D x H / (2 x S))</w:t>
      </w:r>
    </w:p>
    <w:p>
      <w:pPr>
        <w:spacing w:after="160"/>
        <w:ind w:left="850"/>
      </w:pPr>
      <w:r>
        <w:rPr>
          <w:i/>
          <w:color w:val="555555"/>
          <w:sz w:val="20"/>
        </w:rPr>
        <w:t>Optimal ordrefrekvens = årsforbruk delt på optimal bestillingsmengde.</w:t>
      </w:r>
    </w:p>
    <w:p>
      <w:pPr>
        <w:spacing w:before="80" w:after="160"/>
        <w:ind w:left="283"/>
      </w:pPr>
      <w:r>
        <w:rPr>
          <w:b/>
          <w:color w:val="1E7D45"/>
          <w:sz w:val="22"/>
        </w:rPr>
        <w:t xml:space="preserve">Tenk det slik: </w:t>
      </w:r>
      <w:r>
        <w:rPr>
          <w:i/>
          <w:color w:val="333333"/>
          <w:sz w:val="22"/>
        </w:rPr>
        <w:t>Hvis optimal bestillingsmengde er 274 stk og du bruker 1000 stk/år, bør du bestille 1000/274 = 3.65 ganger i året, altså ca. hver tredje måned.</w:t>
      </w:r>
    </w:p>
    <w:p>
      <w:pPr>
        <w:pStyle w:val="Heading2"/>
      </w:pPr>
      <w:r>
        <w:t>3.4 Avviksformel (frekvensavvik)</w:t>
      </w:r>
    </w:p>
    <w:p>
      <w:pPr>
        <w:spacing w:before="120" w:after="40"/>
        <w:ind w:left="567"/>
      </w:pPr>
      <w:r>
        <w:rPr>
          <w:b/>
          <w:color w:val="0B3D8C"/>
          <w:sz w:val="22"/>
        </w:rPr>
        <w:t>Formel:</w:t>
      </w:r>
    </w:p>
    <w:p>
      <w:pPr>
        <w:ind w:left="850"/>
      </w:pPr>
      <w:r>
        <w:rPr>
          <w:rFonts w:ascii="Consolas" w:hAnsi="Consolas"/>
          <w:color w:val="000000"/>
          <w:sz w:val="22"/>
        </w:rPr>
        <w:t>FREQ_AVVIK_i = (f_obs,i - f*_i) / f*_i</w:t>
      </w:r>
    </w:p>
    <w:p>
      <w:pPr>
        <w:spacing w:after="160"/>
        <w:ind w:left="850"/>
      </w:pPr>
      <w:r>
        <w:rPr>
          <w:i/>
          <w:color w:val="555555"/>
          <w:sz w:val="20"/>
        </w:rPr>
        <w:t>Relativt frekvensavvik = (faktisk ordrefrekvens minus optimal) delt på optimal.</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Symbol</w:t>
            </w:r>
          </w:p>
        </w:tc>
        <w:tc>
          <w:tcPr>
            <w:tcW w:type="dxa" w:w="4320"/>
          </w:tcPr>
          <w:p>
            <w:r>
              <w:rPr>
                <w:b/>
                <w:sz w:val="20"/>
              </w:rPr>
              <w:t>Betydning</w:t>
            </w:r>
          </w:p>
        </w:tc>
      </w:tr>
      <w:tr>
        <w:tc>
          <w:tcPr>
            <w:tcW w:type="dxa" w:w="4320"/>
          </w:tcPr>
          <w:p>
            <w:r>
              <w:rPr>
                <w:sz w:val="20"/>
              </w:rPr>
              <w:t>FREQ_AVVIK_i</w:t>
            </w:r>
          </w:p>
        </w:tc>
        <w:tc>
          <w:tcPr>
            <w:tcW w:type="dxa" w:w="4320"/>
          </w:tcPr>
          <w:p>
            <w:r>
              <w:rPr>
                <w:sz w:val="20"/>
              </w:rPr>
              <w:t>Relativt frekvensavvik for artikkel i</w:t>
            </w:r>
          </w:p>
        </w:tc>
      </w:tr>
      <w:tr>
        <w:tc>
          <w:tcPr>
            <w:tcW w:type="dxa" w:w="4320"/>
          </w:tcPr>
          <w:p>
            <w:r>
              <w:rPr>
                <w:sz w:val="20"/>
              </w:rPr>
              <w:t>f_obs,i</w:t>
            </w:r>
          </w:p>
        </w:tc>
        <w:tc>
          <w:tcPr>
            <w:tcW w:type="dxa" w:w="4320"/>
          </w:tcPr>
          <w:p>
            <w:r>
              <w:rPr>
                <w:sz w:val="20"/>
              </w:rPr>
              <w:t>Faktisk observert ordrefrekvens (fra SAP-data)</w:t>
            </w:r>
          </w:p>
        </w:tc>
      </w:tr>
      <w:tr>
        <w:tc>
          <w:tcPr>
            <w:tcW w:type="dxa" w:w="4320"/>
          </w:tcPr>
          <w:p>
            <w:r>
              <w:rPr>
                <w:sz w:val="20"/>
              </w:rPr>
              <w:t>f*_i</w:t>
            </w:r>
          </w:p>
        </w:tc>
        <w:tc>
          <w:tcPr>
            <w:tcW w:type="dxa" w:w="4320"/>
          </w:tcPr>
          <w:p>
            <w:r>
              <w:rPr>
                <w:sz w:val="20"/>
              </w:rPr>
              <w:t>Optimal ordrefrekvens (fra EOQ)</w:t>
            </w:r>
          </w:p>
        </w:tc>
      </w:tr>
    </w:tbl>
    <w:p/>
    <w:p>
      <w:r>
        <w:rPr>
          <w:rFonts w:ascii="Calibri" w:hAnsi="Calibri"/>
          <w:b/>
          <w:sz w:val="22"/>
        </w:rPr>
        <w:t>Terskelverdi:</w:t>
      </w:r>
    </w:p>
    <w:p>
      <w:r>
        <w:rPr>
          <w:rFonts w:ascii="Calibri" w:hAnsi="Calibri"/>
          <w:sz w:val="22"/>
        </w:rPr>
        <w:t>Terskelen er satt til tau_f = 1.5. Hvis FREQ_AVVIK &gt; 1.5, betyr det at artikkelen bestilles mer enn 150 % oftere enn optimalt, og klassifiseres som FOR_MANGE_ORDRER.</w:t>
      </w:r>
    </w:p>
    <w:p>
      <w:pPr>
        <w:pStyle w:val="Heading3"/>
      </w:pPr>
      <w:r>
        <w:t>Talleksempel</w:t>
      </w:r>
    </w:p>
    <w:p>
      <w:pPr>
        <w:ind w:left="567"/>
      </w:pPr>
      <w:r>
        <w:rPr>
          <w:rFonts w:ascii="Calibri" w:hAnsi="Calibri"/>
          <w:sz w:val="22"/>
        </w:rPr>
        <w:t>Optimal frekvens f* = 4 ordrer/år. Faktisk f_obs = 12 ordrer/år.</w:t>
      </w:r>
    </w:p>
    <w:p>
      <w:pPr>
        <w:ind w:left="567"/>
      </w:pPr>
      <w:r>
        <w:rPr>
          <w:rFonts w:ascii="Calibri" w:hAnsi="Calibri"/>
          <w:sz w:val="22"/>
        </w:rPr>
        <w:t>FREQ_AVVIK = (12 - 4) / 4 = 2.0</w:t>
      </w:r>
    </w:p>
    <w:p>
      <w:pPr>
        <w:ind w:left="567"/>
      </w:pPr>
      <w:r>
        <w:rPr>
          <w:rFonts w:ascii="Calibri" w:hAnsi="Calibri"/>
          <w:sz w:val="22"/>
        </w:rPr>
        <w:t>2.0 &gt; 1.5 =&gt; FOR_MANGE_ORDRER!</w:t>
      </w:r>
    </w:p>
    <w:p>
      <w:pPr>
        <w:spacing w:before="80" w:after="160"/>
        <w:ind w:left="283"/>
      </w:pPr>
      <w:r>
        <w:rPr>
          <w:b/>
          <w:color w:val="1E7D45"/>
          <w:sz w:val="22"/>
        </w:rPr>
        <w:t xml:space="preserve">Tenk det slik: </w:t>
      </w:r>
      <w:r>
        <w:rPr>
          <w:i/>
          <w:color w:val="333333"/>
          <w:sz w:val="22"/>
        </w:rPr>
        <w:t>Artikkelen bestilles 3 ganger så ofte som den burde. Hver bestilling koster 750 kr i administrasjon, så det kastes bort 8 x 750 = 6000 kr/år i unødvendige ordrekostnader. Det er dette rapporten prøver å fikse.</w:t>
      </w:r>
    </w:p>
    <w:p>
      <w:pPr>
        <w:pStyle w:val="Heading2"/>
      </w:pPr>
      <w:r>
        <w:t>3.5 Totalkostnadsfunksjon</w:t>
      </w:r>
    </w:p>
    <w:p>
      <w:pPr>
        <w:spacing w:before="120" w:after="40"/>
        <w:ind w:left="567"/>
      </w:pPr>
      <w:r>
        <w:rPr>
          <w:b/>
          <w:color w:val="0B3D8C"/>
          <w:sz w:val="22"/>
        </w:rPr>
        <w:t>Formel:</w:t>
      </w:r>
    </w:p>
    <w:p>
      <w:pPr>
        <w:ind w:left="850"/>
      </w:pPr>
      <w:r>
        <w:rPr>
          <w:rFonts w:ascii="Consolas" w:hAnsi="Consolas"/>
          <w:color w:val="000000"/>
          <w:sz w:val="22"/>
        </w:rPr>
        <w:t>TC(f) = f x S + (D / (2f)) x H</w:t>
      </w:r>
    </w:p>
    <w:p>
      <w:pPr>
        <w:spacing w:after="160"/>
        <w:ind w:left="850"/>
      </w:pPr>
      <w:r>
        <w:rPr>
          <w:i/>
          <w:color w:val="555555"/>
          <w:sz w:val="20"/>
        </w:rPr>
        <w:t>Total kostnad = ordrekostnader + holdekostnader.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Ledd</w:t>
            </w:r>
          </w:p>
        </w:tc>
        <w:tc>
          <w:tcPr>
            <w:tcW w:type="dxa" w:w="2880"/>
          </w:tcPr>
          <w:p>
            <w:r>
              <w:rPr>
                <w:b/>
                <w:sz w:val="20"/>
              </w:rPr>
              <w:t>Formel</w:t>
            </w:r>
          </w:p>
        </w:tc>
        <w:tc>
          <w:tcPr>
            <w:tcW w:type="dxa" w:w="2880"/>
          </w:tcPr>
          <w:p>
            <w:r>
              <w:rPr>
                <w:b/>
                <w:sz w:val="20"/>
              </w:rPr>
              <w:t>Hva det betyr</w:t>
            </w:r>
          </w:p>
        </w:tc>
      </w:tr>
      <w:tr>
        <w:tc>
          <w:tcPr>
            <w:tcW w:type="dxa" w:w="2880"/>
          </w:tcPr>
          <w:p>
            <w:r>
              <w:rPr>
                <w:sz w:val="20"/>
              </w:rPr>
              <w:t>Ordrekostnader</w:t>
            </w:r>
          </w:p>
        </w:tc>
        <w:tc>
          <w:tcPr>
            <w:tcW w:type="dxa" w:w="2880"/>
          </w:tcPr>
          <w:p>
            <w:r>
              <w:rPr>
                <w:sz w:val="20"/>
              </w:rPr>
              <w:t>f x S</w:t>
            </w:r>
          </w:p>
        </w:tc>
        <w:tc>
          <w:tcPr>
            <w:tcW w:type="dxa" w:w="2880"/>
          </w:tcPr>
          <w:p>
            <w:r>
              <w:rPr>
                <w:sz w:val="20"/>
              </w:rPr>
              <w:t>Antall ordrer per år x kostnad per ordre</w:t>
            </w:r>
          </w:p>
        </w:tc>
      </w:tr>
      <w:tr>
        <w:tc>
          <w:tcPr>
            <w:tcW w:type="dxa" w:w="2880"/>
          </w:tcPr>
          <w:p>
            <w:r>
              <w:rPr>
                <w:sz w:val="20"/>
              </w:rPr>
              <w:t>Holdekostnader</w:t>
            </w:r>
          </w:p>
        </w:tc>
        <w:tc>
          <w:tcPr>
            <w:tcW w:type="dxa" w:w="2880"/>
          </w:tcPr>
          <w:p>
            <w:r>
              <w:rPr>
                <w:sz w:val="20"/>
              </w:rPr>
              <w:t>(D / 2f) x H</w:t>
            </w:r>
          </w:p>
        </w:tc>
        <w:tc>
          <w:tcPr>
            <w:tcW w:type="dxa" w:w="2880"/>
          </w:tcPr>
          <w:p>
            <w:r>
              <w:rPr>
                <w:sz w:val="20"/>
              </w:rPr>
              <w:t>Gjennomsnittlig lagerbeholdning x holdekostnad</w:t>
            </w:r>
          </w:p>
        </w:tc>
      </w:tr>
    </w:tbl>
    <w:p/>
    <w:p>
      <w:pPr>
        <w:pStyle w:val="Heading3"/>
      </w:pPr>
      <w:r>
        <w:t>Kostnadsavvik per artikkel</w:t>
      </w:r>
    </w:p>
    <w:p>
      <w:pPr>
        <w:spacing w:before="120" w:after="40"/>
        <w:ind w:left="567"/>
      </w:pPr>
      <w:r>
        <w:rPr>
          <w:b/>
          <w:color w:val="0B3D8C"/>
          <w:sz w:val="22"/>
        </w:rPr>
        <w:t>Formel:</w:t>
      </w:r>
    </w:p>
    <w:p>
      <w:pPr>
        <w:ind w:left="850"/>
      </w:pPr>
      <w:r>
        <w:rPr>
          <w:rFonts w:ascii="Consolas" w:hAnsi="Consolas"/>
          <w:color w:val="000000"/>
          <w:sz w:val="22"/>
        </w:rPr>
        <w:t>delta_TC_i = TC(f_obs,i) - TC(f*_i)</w:t>
      </w:r>
    </w:p>
    <w:p>
      <w:pPr>
        <w:spacing w:after="160"/>
        <w:ind w:left="850"/>
      </w:pPr>
      <w:r>
        <w:rPr>
          <w:i/>
          <w:color w:val="555555"/>
          <w:sz w:val="20"/>
        </w:rPr>
        <w:t>Kostnadsavvik = totalkostnad ved faktisk frekvens minus totalkostnad ved optimal frekvens.</w:t>
      </w:r>
    </w:p>
    <w:p>
      <w:pPr>
        <w:spacing w:before="80" w:after="160"/>
        <w:ind w:left="283"/>
      </w:pPr>
      <w:r>
        <w:rPr>
          <w:b/>
          <w:color w:val="1E7D45"/>
          <w:sz w:val="22"/>
        </w:rPr>
        <w:t xml:space="preserve">Tenk det slik: </w:t>
      </w:r>
      <w:r>
        <w:rPr>
          <w:i/>
          <w:color w:val="333333"/>
          <w:sz w:val="22"/>
        </w:rPr>
        <w:t>Hvis du bestiller 12 ganger i året men burde bestille 4 ganger, betaler du for mye i ordrekostnader (8 ekstra x 750 kr) men sparer litt på lagerkostnader (lavere beholdning). delta_TC er nettodifferansen – det du taper totalt sett på å bestille feil.</w:t>
      </w:r>
    </w:p>
    <w:p>
      <w:pPr>
        <w:pStyle w:val="Heading2"/>
      </w:pPr>
      <w:r>
        <w:t>3.6 Besparelsesformel</w:t>
      </w:r>
    </w:p>
    <w:p>
      <w:pPr>
        <w:spacing w:before="120" w:after="40"/>
        <w:ind w:left="567"/>
      </w:pPr>
      <w:r>
        <w:rPr>
          <w:b/>
          <w:color w:val="0B3D8C"/>
          <w:sz w:val="22"/>
        </w:rPr>
        <w:t>Formel:</w:t>
      </w:r>
    </w:p>
    <w:p>
      <w:pPr>
        <w:ind w:left="850"/>
      </w:pPr>
      <w:r>
        <w:rPr>
          <w:rFonts w:ascii="Consolas" w:hAnsi="Consolas"/>
          <w:color w:val="000000"/>
          <w:sz w:val="22"/>
        </w:rPr>
        <w:t>B_HVFS = SUM(delta_TC_i) x g    (for alle artikler i OVERFØR)</w:t>
      </w:r>
    </w:p>
    <w:p>
      <w:pPr>
        <w:spacing w:after="160"/>
        <w:ind w:left="850"/>
      </w:pPr>
      <w:r>
        <w:rPr>
          <w:i/>
          <w:color w:val="555555"/>
          <w:sz w:val="20"/>
        </w:rPr>
        <w:t>Total besparelse = sum av kostnadsavvik for alle HVFS-artikler, ganget med realiseringsgrad.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Symbol</w:t>
            </w:r>
          </w:p>
        </w:tc>
        <w:tc>
          <w:tcPr>
            <w:tcW w:type="dxa" w:w="2880"/>
          </w:tcPr>
          <w:p>
            <w:r>
              <w:rPr>
                <w:b/>
                <w:sz w:val="20"/>
              </w:rPr>
              <w:t>Betydning</w:t>
            </w:r>
          </w:p>
        </w:tc>
        <w:tc>
          <w:tcPr>
            <w:tcW w:type="dxa" w:w="2880"/>
          </w:tcPr>
          <w:p>
            <w:r>
              <w:rPr>
                <w:b/>
                <w:sz w:val="20"/>
              </w:rPr>
              <w:t>Verdier i rapporten</w:t>
            </w:r>
          </w:p>
        </w:tc>
      </w:tr>
      <w:tr>
        <w:tc>
          <w:tcPr>
            <w:tcW w:type="dxa" w:w="2880"/>
          </w:tcPr>
          <w:p>
            <w:r>
              <w:rPr>
                <w:sz w:val="20"/>
              </w:rPr>
              <w:t>B_HVFS</w:t>
            </w:r>
          </w:p>
        </w:tc>
        <w:tc>
          <w:tcPr>
            <w:tcW w:type="dxa" w:w="2880"/>
          </w:tcPr>
          <w:p>
            <w:r>
              <w:rPr>
                <w:sz w:val="20"/>
              </w:rPr>
              <w:t>Estimert årlig besparelse (kr)</w:t>
            </w:r>
          </w:p>
        </w:tc>
        <w:tc>
          <w:tcPr>
            <w:tcW w:type="dxa" w:w="2880"/>
          </w:tcPr>
          <w:p>
            <w:r>
              <w:rPr>
                <w:sz w:val="20"/>
              </w:rPr>
              <w:t>Ca. 451 515 kr (base case)</w:t>
            </w:r>
          </w:p>
        </w:tc>
      </w:tr>
      <w:tr>
        <w:tc>
          <w:tcPr>
            <w:tcW w:type="dxa" w:w="2880"/>
          </w:tcPr>
          <w:p>
            <w:r>
              <w:rPr>
                <w:sz w:val="20"/>
              </w:rPr>
              <w:t>delta_TC_i</w:t>
            </w:r>
          </w:p>
        </w:tc>
        <w:tc>
          <w:tcPr>
            <w:tcW w:type="dxa" w:w="2880"/>
          </w:tcPr>
          <w:p>
            <w:r>
              <w:rPr>
                <w:sz w:val="20"/>
              </w:rPr>
              <w:t>Kostnadsavvik per artikkel i (kr/år)</w:t>
            </w:r>
          </w:p>
        </w:tc>
        <w:tc>
          <w:tcPr>
            <w:tcW w:type="dxa" w:w="2880"/>
          </w:tcPr>
          <w:p>
            <w:r>
              <w:rPr>
                <w:sz w:val="20"/>
              </w:rPr>
              <w:t>Varierer per artikkel</w:t>
            </w:r>
          </w:p>
        </w:tc>
      </w:tr>
      <w:tr>
        <w:tc>
          <w:tcPr>
            <w:tcW w:type="dxa" w:w="2880"/>
          </w:tcPr>
          <w:p>
            <w:r>
              <w:rPr>
                <w:sz w:val="20"/>
              </w:rPr>
              <w:t>g</w:t>
            </w:r>
          </w:p>
        </w:tc>
        <w:tc>
          <w:tcPr>
            <w:tcW w:type="dxa" w:w="2880"/>
          </w:tcPr>
          <w:p>
            <w:r>
              <w:rPr>
                <w:sz w:val="20"/>
              </w:rPr>
              <w:t>Gevinstrealiseringsgrad (0–1)</w:t>
            </w:r>
          </w:p>
        </w:tc>
        <w:tc>
          <w:tcPr>
            <w:tcW w:type="dxa" w:w="2880"/>
          </w:tcPr>
          <w:p>
            <w:r>
              <w:rPr>
                <w:sz w:val="20"/>
              </w:rPr>
              <w:t>0.50 / 0.75 / 1.00</w:t>
            </w:r>
          </w:p>
        </w:tc>
      </w:tr>
    </w:tbl>
    <w:p/>
    <w:p>
      <w:r>
        <w:rPr>
          <w:rFonts w:ascii="Calibri" w:hAnsi="Calibri"/>
          <w:sz w:val="22"/>
        </w:rPr>
        <w:t>Tre scenarier: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Scenario</w:t>
            </w:r>
          </w:p>
        </w:tc>
        <w:tc>
          <w:tcPr>
            <w:tcW w:type="dxa" w:w="2880"/>
          </w:tcPr>
          <w:p>
            <w:r>
              <w:rPr>
                <w:b/>
                <w:sz w:val="20"/>
              </w:rPr>
              <w:t>g</w:t>
            </w:r>
          </w:p>
        </w:tc>
        <w:tc>
          <w:tcPr>
            <w:tcW w:type="dxa" w:w="2880"/>
          </w:tcPr>
          <w:p>
            <w:r>
              <w:rPr>
                <w:b/>
                <w:sz w:val="20"/>
              </w:rPr>
              <w:t>Besparelse</w:t>
            </w:r>
          </w:p>
        </w:tc>
      </w:tr>
      <w:tr>
        <w:tc>
          <w:tcPr>
            <w:tcW w:type="dxa" w:w="2880"/>
          </w:tcPr>
          <w:p>
            <w:r>
              <w:rPr>
                <w:sz w:val="20"/>
              </w:rPr>
              <w:t>Worst case (pessimistisk)</w:t>
            </w:r>
          </w:p>
        </w:tc>
        <w:tc>
          <w:tcPr>
            <w:tcW w:type="dxa" w:w="2880"/>
          </w:tcPr>
          <w:p>
            <w:r>
              <w:rPr>
                <w:sz w:val="20"/>
              </w:rPr>
              <w:t>50 %</w:t>
            </w:r>
          </w:p>
        </w:tc>
        <w:tc>
          <w:tcPr>
            <w:tcW w:type="dxa" w:w="2880"/>
          </w:tcPr>
          <w:p>
            <w:r>
              <w:rPr>
                <w:sz w:val="20"/>
              </w:rPr>
              <w:t>kr 301 010/år</w:t>
            </w:r>
          </w:p>
        </w:tc>
      </w:tr>
      <w:tr>
        <w:tc>
          <w:tcPr>
            <w:tcW w:type="dxa" w:w="2880"/>
          </w:tcPr>
          <w:p>
            <w:r>
              <w:rPr>
                <w:sz w:val="20"/>
              </w:rPr>
              <w:t>Base case (realistisk)</w:t>
            </w:r>
          </w:p>
        </w:tc>
        <w:tc>
          <w:tcPr>
            <w:tcW w:type="dxa" w:w="2880"/>
          </w:tcPr>
          <w:p>
            <w:r>
              <w:rPr>
                <w:sz w:val="20"/>
              </w:rPr>
              <w:t>75 %</w:t>
            </w:r>
          </w:p>
        </w:tc>
        <w:tc>
          <w:tcPr>
            <w:tcW w:type="dxa" w:w="2880"/>
          </w:tcPr>
          <w:p>
            <w:r>
              <w:rPr>
                <w:sz w:val="20"/>
              </w:rPr>
              <w:t>kr 451 515/år</w:t>
            </w:r>
          </w:p>
        </w:tc>
      </w:tr>
      <w:tr>
        <w:tc>
          <w:tcPr>
            <w:tcW w:type="dxa" w:w="2880"/>
          </w:tcPr>
          <w:p>
            <w:r>
              <w:rPr>
                <w:sz w:val="20"/>
              </w:rPr>
              <w:t>Best case (optimistisk)</w:t>
            </w:r>
          </w:p>
        </w:tc>
        <w:tc>
          <w:tcPr>
            <w:tcW w:type="dxa" w:w="2880"/>
          </w:tcPr>
          <w:p>
            <w:r>
              <w:rPr>
                <w:sz w:val="20"/>
              </w:rPr>
              <w:t>100 %</w:t>
            </w:r>
          </w:p>
        </w:tc>
        <w:tc>
          <w:tcPr>
            <w:tcW w:type="dxa" w:w="2880"/>
          </w:tcPr>
          <w:p>
            <w:r>
              <w:rPr>
                <w:sz w:val="20"/>
              </w:rPr>
              <w:t>kr 602 020/år</w:t>
            </w:r>
          </w:p>
        </w:tc>
      </w:tr>
    </w:tbl>
    <w:p/>
    <w:p>
      <w:pPr>
        <w:spacing w:before="80" w:after="160"/>
        <w:ind w:left="283"/>
      </w:pPr>
      <w:r>
        <w:rPr>
          <w:b/>
          <w:color w:val="1E7D45"/>
          <w:sz w:val="22"/>
        </w:rPr>
        <w:t xml:space="preserve">Tenk det slik: </w:t>
      </w:r>
      <w:r>
        <w:rPr>
          <w:i/>
          <w:color w:val="333333"/>
          <w:sz w:val="22"/>
        </w:rPr>
        <w:t>g = 75 % betyr at vi forventer å realisere tre fjerdedeler av den teoretiske besparelsen. De siste 25 % går tapt på grunn av implementeringsfriksjon – ting tar tid, leverandører kan endre vilkår, og SAP-systemet må omprogrammeres. Ingen gevinst er 100 % gratis.</w:t>
      </w:r>
    </w:p>
    <w:p>
      <w:r>
        <w:rPr>
          <w:rFonts w:ascii="Calibri" w:hAnsi="Calibri"/>
          <w:i/>
          <w:sz w:val="22"/>
        </w:rPr>
        <w:t>Viktig: Kun 117 av de 145 OVERFØR-artiklene inngår i besparelses-beregningen – de 28 som anbefales overført basert på K-means alene (uten FOR_MANGE_ORDRER-flagg) har ikke et kvantifisert kostnadsavvik.</w:t>
      </w:r>
    </w:p>
    <w:p>
      <w:pPr>
        <w:pStyle w:val="Heading2"/>
      </w:pPr>
      <w:r>
        <w:t>3.7 K-means featurevektor</w:t>
      </w:r>
    </w:p>
    <w:p>
      <w:pPr>
        <w:spacing w:before="120" w:after="40"/>
        <w:ind w:left="567"/>
      </w:pPr>
      <w:r>
        <w:rPr>
          <w:b/>
          <w:color w:val="0B3D8C"/>
          <w:sz w:val="22"/>
        </w:rPr>
        <w:t>Formel:</w:t>
      </w:r>
    </w:p>
    <w:p>
      <w:pPr>
        <w:ind w:left="850"/>
      </w:pPr>
      <w:r>
        <w:rPr>
          <w:rFonts w:ascii="Consolas" w:hAnsi="Consolas"/>
          <w:color w:val="000000"/>
          <w:sz w:val="22"/>
        </w:rPr>
        <w:t>x_i = [ z(ln(CV_i)),  z(ln(v_i + 1)),  z(ln(|delta_TC_i| + 1)) ]</w:t>
      </w:r>
    </w:p>
    <w:p>
      <w:pPr>
        <w:spacing w:after="160"/>
        <w:ind w:left="850"/>
      </w:pPr>
      <w:r>
        <w:rPr>
          <w:i/>
          <w:color w:val="555555"/>
          <w:sz w:val="20"/>
        </w:rPr>
        <w:t>Hver artikkel representeres som et punkt i 3D-rom med tre verdier.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Feature</w:t>
            </w:r>
          </w:p>
        </w:tc>
        <w:tc>
          <w:tcPr>
            <w:tcW w:type="dxa" w:w="2880"/>
          </w:tcPr>
          <w:p>
            <w:r>
              <w:rPr>
                <w:b/>
                <w:sz w:val="20"/>
              </w:rPr>
              <w:t>Hva den måler</w:t>
            </w:r>
          </w:p>
        </w:tc>
        <w:tc>
          <w:tcPr>
            <w:tcW w:type="dxa" w:w="2880"/>
          </w:tcPr>
          <w:p>
            <w:r>
              <w:rPr>
                <w:b/>
                <w:sz w:val="20"/>
              </w:rPr>
              <w:t>Transformasjoner</w:t>
            </w:r>
          </w:p>
        </w:tc>
      </w:tr>
      <w:tr>
        <w:tc>
          <w:tcPr>
            <w:tcW w:type="dxa" w:w="2880"/>
          </w:tcPr>
          <w:p>
            <w:r>
              <w:rPr>
                <w:sz w:val="20"/>
              </w:rPr>
              <w:t>z(ln(CV_i))</w:t>
            </w:r>
          </w:p>
        </w:tc>
        <w:tc>
          <w:tcPr>
            <w:tcW w:type="dxa" w:w="2880"/>
          </w:tcPr>
          <w:p>
            <w:r>
              <w:rPr>
                <w:sz w:val="20"/>
              </w:rPr>
              <w:t>Forbruksstabilitet</w:t>
            </w:r>
          </w:p>
        </w:tc>
        <w:tc>
          <w:tcPr>
            <w:tcW w:type="dxa" w:w="2880"/>
          </w:tcPr>
          <w:p>
            <w:r>
              <w:rPr>
                <w:sz w:val="20"/>
              </w:rPr>
              <w:t>Logaritme, deretter z-score</w:t>
            </w:r>
          </w:p>
        </w:tc>
      </w:tr>
      <w:tr>
        <w:tc>
          <w:tcPr>
            <w:tcW w:type="dxa" w:w="2880"/>
          </w:tcPr>
          <w:p>
            <w:r>
              <w:rPr>
                <w:sz w:val="20"/>
              </w:rPr>
              <w:t>z(ln(v_i + 1))</w:t>
            </w:r>
          </w:p>
        </w:tc>
        <w:tc>
          <w:tcPr>
            <w:tcW w:type="dxa" w:w="2880"/>
          </w:tcPr>
          <w:p>
            <w:r>
              <w:rPr>
                <w:sz w:val="20"/>
              </w:rPr>
              <w:t>Artikkelverdi (kr)</w:t>
            </w:r>
          </w:p>
        </w:tc>
        <w:tc>
          <w:tcPr>
            <w:tcW w:type="dxa" w:w="2880"/>
          </w:tcPr>
          <w:p>
            <w:r>
              <w:rPr>
                <w:sz w:val="20"/>
              </w:rPr>
              <w:t>Logaritme (+1 for null), z-score</w:t>
            </w:r>
          </w:p>
        </w:tc>
      </w:tr>
      <w:tr>
        <w:tc>
          <w:tcPr>
            <w:tcW w:type="dxa" w:w="2880"/>
          </w:tcPr>
          <w:p>
            <w:r>
              <w:rPr>
                <w:sz w:val="20"/>
              </w:rPr>
              <w:t>z(ln(|delta_TC_i| + 1))</w:t>
            </w:r>
          </w:p>
        </w:tc>
        <w:tc>
          <w:tcPr>
            <w:tcW w:type="dxa" w:w="2880"/>
          </w:tcPr>
          <w:p>
            <w:r>
              <w:rPr>
                <w:sz w:val="20"/>
              </w:rPr>
              <w:t>Kostnadsavvik (kr)</w:t>
            </w:r>
          </w:p>
        </w:tc>
        <w:tc>
          <w:tcPr>
            <w:tcW w:type="dxa" w:w="2880"/>
          </w:tcPr>
          <w:p>
            <w:r>
              <w:rPr>
                <w:sz w:val="20"/>
              </w:rPr>
              <w:t>Absolutt verdi, log, z-score</w:t>
            </w:r>
          </w:p>
        </w:tc>
      </w:tr>
    </w:tbl>
    <w:p/>
    <w:p>
      <w:pPr>
        <w:pStyle w:val="Heading3"/>
      </w:pPr>
      <w:r>
        <w:t>Hvorfor ln (logaritme)?</w:t>
      </w:r>
    </w:p>
    <w:p>
      <w:r>
        <w:rPr>
          <w:rFonts w:ascii="Calibri" w:hAnsi="Calibri"/>
          <w:sz w:val="22"/>
        </w:rPr>
        <w:t>Mange varer har lav verdi og noen få har svært høy verdi. Uten logaritme ville de dyre artiklene dominere hele analysen. Logaritmen «komprimerer» de store tallene slik at forskjellene mellom billige varer også synes.</w:t>
      </w:r>
    </w:p>
    <w:p>
      <w:pPr>
        <w:spacing w:before="80" w:after="160"/>
        <w:ind w:left="283"/>
      </w:pPr>
      <w:r>
        <w:rPr>
          <w:b/>
          <w:color w:val="1E7D45"/>
          <w:sz w:val="22"/>
        </w:rPr>
        <w:t xml:space="preserve">Tenk det slik: </w:t>
      </w:r>
      <w:r>
        <w:rPr>
          <w:i/>
          <w:color w:val="333333"/>
          <w:sz w:val="22"/>
        </w:rPr>
        <w:t>Tenk på Richter-skalaen for jordskjelv: Et skjelv på 7.0 er ikke «litt sterkere» enn 6.0 – det er 10 ganger sterkere. Skalaen er logaritmisk for å håndtere store variasjoner. Samme prinsipp her.</w:t>
      </w:r>
    </w:p>
    <w:p>
      <w:pPr>
        <w:pStyle w:val="Heading3"/>
      </w:pPr>
      <w:r>
        <w:t>Hvorfor z-score?</w:t>
      </w:r>
    </w:p>
    <w:p>
      <w:r>
        <w:rPr>
          <w:rFonts w:ascii="Calibri" w:hAnsi="Calibri"/>
          <w:sz w:val="22"/>
        </w:rPr>
        <w:t>z-score standardiserer: z = (x - gjennomsnitt) / standardavvik. Etter z-score har alle tre features gjennomsnitt 0 og standardavvik 1. Uten dette ville den variabelen med de største tallene (f.eks. verdi i kr) dominere K-means-algoritmen.</w:t>
      </w:r>
    </w:p>
    <w:p>
      <w:pPr>
        <w:pStyle w:val="Heading3"/>
      </w:pPr>
      <w:r>
        <w:t>Hvorfor +1 i ln(v + 1)?</w:t>
      </w:r>
    </w:p>
    <w:p>
      <w:r>
        <w:rPr>
          <w:rFonts w:ascii="Calibri" w:hAnsi="Calibri"/>
          <w:sz w:val="22"/>
        </w:rPr>
        <w:t>ln(0) er udefinert (minus uendelig). Noen artikler kan ha verdi = 0 eller delta_TC = 0. Ved å legge til 1 unngår vi ln(0). For store tall gjør +1 nesten ingen forskjell (ln(100001) ≈ ln(100000)).</w:t>
      </w:r>
    </w:p>
    <w:p>
      <w:pPr>
        <w:pStyle w:val="Heading2"/>
      </w:pPr>
      <w:r>
        <w:t>3.8 Silhouette-score</w:t>
      </w:r>
    </w:p>
    <w:p>
      <w:pPr>
        <w:spacing w:before="120" w:after="40"/>
        <w:ind w:left="567"/>
      </w:pPr>
      <w:r>
        <w:rPr>
          <w:b/>
          <w:color w:val="0B3D8C"/>
          <w:sz w:val="22"/>
        </w:rPr>
        <w:t>Formel:</w:t>
      </w:r>
    </w:p>
    <w:p>
      <w:pPr>
        <w:ind w:left="850"/>
      </w:pPr>
      <w:r>
        <w:rPr>
          <w:rFonts w:ascii="Consolas" w:hAnsi="Consolas"/>
          <w:color w:val="000000"/>
          <w:sz w:val="22"/>
        </w:rPr>
        <w:t>s_i = (b_i - a_i) / max(a_i, b_i)</w:t>
      </w:r>
    </w:p>
    <w:p>
      <w:pPr>
        <w:spacing w:after="160"/>
        <w:ind w:left="850"/>
      </w:pPr>
      <w:r>
        <w:rPr>
          <w:i/>
          <w:color w:val="555555"/>
          <w:sz w:val="20"/>
        </w:rPr>
        <w:t>Silhouette-score for punkt i = (avstand til naboklynge minus avstand innad) / den største.</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Symbol</w:t>
            </w:r>
          </w:p>
        </w:tc>
        <w:tc>
          <w:tcPr>
            <w:tcW w:type="dxa" w:w="4320"/>
          </w:tcPr>
          <w:p>
            <w:r>
              <w:rPr>
                <w:b/>
                <w:sz w:val="20"/>
              </w:rPr>
              <w:t>Betydning</w:t>
            </w:r>
          </w:p>
        </w:tc>
      </w:tr>
      <w:tr>
        <w:tc>
          <w:tcPr>
            <w:tcW w:type="dxa" w:w="4320"/>
          </w:tcPr>
          <w:p>
            <w:r>
              <w:rPr>
                <w:sz w:val="20"/>
              </w:rPr>
              <w:t>s_i</w:t>
            </w:r>
          </w:p>
        </w:tc>
        <w:tc>
          <w:tcPr>
            <w:tcW w:type="dxa" w:w="4320"/>
          </w:tcPr>
          <w:p>
            <w:r>
              <w:rPr>
                <w:sz w:val="20"/>
              </w:rPr>
              <w:t>Silhouette-score for punkt i (mellom -1 og +1)</w:t>
            </w:r>
          </w:p>
        </w:tc>
      </w:tr>
      <w:tr>
        <w:tc>
          <w:tcPr>
            <w:tcW w:type="dxa" w:w="4320"/>
          </w:tcPr>
          <w:p>
            <w:r>
              <w:rPr>
                <w:sz w:val="20"/>
              </w:rPr>
              <w:t>a_i</w:t>
            </w:r>
          </w:p>
        </w:tc>
        <w:tc>
          <w:tcPr>
            <w:tcW w:type="dxa" w:w="4320"/>
          </w:tcPr>
          <w:p>
            <w:r>
              <w:rPr>
                <w:sz w:val="20"/>
              </w:rPr>
              <w:t>Gjennomsnittlig avstand til andre punkter i SAMME klynge</w:t>
            </w:r>
          </w:p>
        </w:tc>
      </w:tr>
      <w:tr>
        <w:tc>
          <w:tcPr>
            <w:tcW w:type="dxa" w:w="4320"/>
          </w:tcPr>
          <w:p>
            <w:r>
              <w:rPr>
                <w:sz w:val="20"/>
              </w:rPr>
              <w:t>b_i</w:t>
            </w:r>
          </w:p>
        </w:tc>
        <w:tc>
          <w:tcPr>
            <w:tcW w:type="dxa" w:w="4320"/>
          </w:tcPr>
          <w:p>
            <w:r>
              <w:rPr>
                <w:sz w:val="20"/>
              </w:rPr>
              <w:t>Gjennomsnittlig avstand til punkter i NÆRMESTE andre klynge</w:t>
            </w:r>
          </w:p>
        </w:tc>
      </w:tr>
    </w:tbl>
    <w:p/>
    <w:p>
      <w:r>
        <w:rPr>
          <w:rFonts w:ascii="Calibri" w:hAnsi="Calibri"/>
          <w:sz w:val="22"/>
        </w:rPr>
        <w:t>Tolkning:</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Score</w:t>
            </w:r>
          </w:p>
        </w:tc>
        <w:tc>
          <w:tcPr>
            <w:tcW w:type="dxa" w:w="4320"/>
          </w:tcPr>
          <w:p>
            <w:r>
              <w:rPr>
                <w:b/>
                <w:sz w:val="20"/>
              </w:rPr>
              <w:t>Betydning</w:t>
            </w:r>
          </w:p>
        </w:tc>
      </w:tr>
      <w:tr>
        <w:tc>
          <w:tcPr>
            <w:tcW w:type="dxa" w:w="4320"/>
          </w:tcPr>
          <w:p>
            <w:r>
              <w:rPr>
                <w:sz w:val="20"/>
              </w:rPr>
              <w:t>Nær +1</w:t>
            </w:r>
          </w:p>
        </w:tc>
        <w:tc>
          <w:tcPr>
            <w:tcW w:type="dxa" w:w="4320"/>
          </w:tcPr>
          <w:p>
            <w:r>
              <w:rPr>
                <w:sz w:val="20"/>
              </w:rPr>
              <w:t>Punktet ligger tydelig i sin klynge, langt fra naboklyngen</w:t>
            </w:r>
          </w:p>
        </w:tc>
      </w:tr>
      <w:tr>
        <w:tc>
          <w:tcPr>
            <w:tcW w:type="dxa" w:w="4320"/>
          </w:tcPr>
          <w:p>
            <w:r>
              <w:rPr>
                <w:sz w:val="20"/>
              </w:rPr>
              <w:t>Nær 0</w:t>
            </w:r>
          </w:p>
        </w:tc>
        <w:tc>
          <w:tcPr>
            <w:tcW w:type="dxa" w:w="4320"/>
          </w:tcPr>
          <w:p>
            <w:r>
              <w:rPr>
                <w:sz w:val="20"/>
              </w:rPr>
              <w:t>Punktet ligger på grensen mellom to klynger</w:t>
            </w:r>
          </w:p>
        </w:tc>
      </w:tr>
      <w:tr>
        <w:tc>
          <w:tcPr>
            <w:tcW w:type="dxa" w:w="4320"/>
          </w:tcPr>
          <w:p>
            <w:r>
              <w:rPr>
                <w:sz w:val="20"/>
              </w:rPr>
              <w:t>Negativ</w:t>
            </w:r>
          </w:p>
        </w:tc>
        <w:tc>
          <w:tcPr>
            <w:tcW w:type="dxa" w:w="4320"/>
          </w:tcPr>
          <w:p>
            <w:r>
              <w:rPr>
                <w:sz w:val="20"/>
              </w:rPr>
              <w:t>Punktet er sannsynligvis i feil klynge</w:t>
            </w:r>
          </w:p>
        </w:tc>
      </w:tr>
      <w:tr>
        <w:tc>
          <w:tcPr>
            <w:tcW w:type="dxa" w:w="4320"/>
          </w:tcPr>
          <w:p>
            <w:r>
              <w:rPr>
                <w:sz w:val="20"/>
              </w:rPr>
              <w:t>&gt; 0.3 (snitt)</w:t>
            </w:r>
          </w:p>
        </w:tc>
        <w:tc>
          <w:tcPr>
            <w:tcW w:type="dxa" w:w="4320"/>
          </w:tcPr>
          <w:p>
            <w:r>
              <w:rPr>
                <w:sz w:val="20"/>
              </w:rPr>
              <w:t>Akseptabel klyngestruktur for eksplorativ analyse</w:t>
            </w:r>
          </w:p>
        </w:tc>
      </w:tr>
    </w:tbl>
    <w:p/>
    <w:p>
      <w:pPr>
        <w:spacing w:before="80" w:after="160"/>
        <w:ind w:left="283"/>
      </w:pPr>
      <w:r>
        <w:rPr>
          <w:b/>
          <w:color w:val="1E7D45"/>
          <w:sz w:val="22"/>
        </w:rPr>
        <w:t xml:space="preserve">Tenk det slik: </w:t>
      </w:r>
      <w:r>
        <w:rPr>
          <w:i/>
          <w:color w:val="333333"/>
          <w:sz w:val="22"/>
        </w:rPr>
        <w:t>Tenk på elever i en skolegård. Hvis alle guttene står i én gruppe og alle jentene i en annen, har gruppene høy silhouette-score – alle er nær «sine egne» og langt fra «de andre». Hvis alle blandes tilfeldig, er scoren nær null. Rapportens score på 0.383 betyr at klyngene er tydelige nok til å være nyttige, men ikke perfekt separerte.</w:t>
      </w:r>
    </w:p>
    <w:p>
      <w:r>
        <w:rPr>
          <w:rFonts w:ascii="Calibri" w:hAnsi="Calibri"/>
          <w:i/>
          <w:sz w:val="22"/>
        </w:rPr>
        <w:t>I rapporten: Silhouette-score beregnes for K = 2, 3, 4, 5, 6, 7. K = 3 ga høyest score (0.383 på treningsdata, 0.368 på testdata). At testscoren er nær treningsscoren viser at klyngene ikke er et artefakt av treningsdataene (dvs. modellen generaliserer).</w:t>
      </w:r>
    </w:p>
    <w:p>
      <w:r>
        <w:br w:type="page"/>
      </w:r>
    </w:p>
    <w:p>
      <w:pPr>
        <w:pStyle w:val="Heading1"/>
      </w:pPr>
      <w:r>
        <w:t>Del 4 – Alle figurer forklart (Figur 1–12)</w:t>
      </w:r>
    </w:p>
    <w:p>
      <w:r>
        <w:rPr>
          <w:rFonts w:ascii="Calibri" w:hAnsi="Calibri"/>
          <w:sz w:val="22"/>
        </w:rPr>
        <w:t>Rapporten inneholder 12 figurer. Her forklares hva hver figur viser, hvordan den skal leses, og hva den betyr i vanlige ord.</w:t>
      </w:r>
    </w:p>
    <w:p>
      <w:pPr>
        <w:pStyle w:val="Heading2"/>
      </w:pPr>
      <w:r>
        <w:t>Figur 1 – Konseptuelt rammeverk (Fig00)</w:t>
      </w:r>
    </w:p>
    <w:p>
      <w:r>
        <w:rPr>
          <w:rFonts w:ascii="Calibri" w:hAnsi="Calibri"/>
          <w:i/>
          <w:color w:val="555555"/>
          <w:sz w:val="22"/>
        </w:rPr>
        <w:t>Kilde: plot_rammeverk.py -&gt; Fig00_Konseptuelt_Rammeverk.png</w:t>
      </w:r>
    </w:p>
    <w:p>
      <w:r>
        <w:rPr>
          <w:rFonts w:ascii="Calibri" w:hAnsi="Calibri"/>
          <w:b/>
          <w:sz w:val="22"/>
        </w:rPr>
        <w:t>Hva den viser:</w:t>
      </w:r>
    </w:p>
    <w:p>
      <w:pPr>
        <w:ind w:left="283"/>
      </w:pPr>
      <w:r>
        <w:rPr>
          <w:rFonts w:ascii="Calibri" w:hAnsi="Calibri"/>
          <w:sz w:val="22"/>
        </w:rPr>
        <w:t>Et flytdiagram over hele analyseprosessen – fra rådata i SAP til ferdig HVFS-anbefaling. Den viser de fire analysemetodene (ABC, XYZ, EOQ, K-means) som parallelle strømmer som samles i regelmotoren.</w:t>
      </w:r>
    </w:p>
    <w:p>
      <w:r>
        <w:rPr>
          <w:rFonts w:ascii="Calibri" w:hAnsi="Calibri"/>
          <w:b/>
          <w:sz w:val="22"/>
        </w:rPr>
        <w:t>Slik leser du den:</w:t>
      </w:r>
    </w:p>
    <w:p>
      <w:pPr>
        <w:ind w:left="283"/>
      </w:pPr>
      <w:r>
        <w:rPr>
          <w:rFonts w:ascii="Calibri" w:hAnsi="Calibri"/>
          <w:sz w:val="22"/>
        </w:rPr>
        <w:t>Start øverst med SAP-data og følg pilene nedover. Legg merke til at ABC og XYZ er uavhengige (beregnes parallelt), mens regelmotoren til slutt kombinerer alt til én anbefaling per artikkel.</w:t>
      </w:r>
    </w:p>
    <w:p>
      <w:pPr>
        <w:pStyle w:val="Heading2"/>
      </w:pPr>
      <w:r>
        <w:t>Figur 2 – Lagerstruktur (Fig01)</w:t>
      </w:r>
    </w:p>
    <w:p>
      <w:r>
        <w:rPr>
          <w:rFonts w:ascii="Calibri" w:hAnsi="Calibri"/>
          <w:i/>
          <w:color w:val="555555"/>
          <w:sz w:val="22"/>
        </w:rPr>
        <w:t>Kilde: plot_lagerstruktur.py -&gt; Fig01_Lagerstruktur.png</w:t>
      </w:r>
    </w:p>
    <w:p>
      <w:r>
        <w:rPr>
          <w:rFonts w:ascii="Calibri" w:hAnsi="Calibri"/>
          <w:b/>
          <w:sz w:val="22"/>
        </w:rPr>
        <w:t>Hva den viser:</w:t>
      </w:r>
    </w:p>
    <w:p>
      <w:pPr>
        <w:ind w:left="283"/>
      </w:pPr>
      <w:r>
        <w:rPr>
          <w:rFonts w:ascii="Calibri" w:hAnsi="Calibri"/>
          <w:sz w:val="22"/>
        </w:rPr>
        <w:t>Et organisasjonskart over forsyningskjeden i Helse Vest: Helse Vest RHF øverst, helseforetakene (Bergen, Stavanger, etc.) i midten, og HVFS som regionalt sentrallager.</w:t>
      </w:r>
    </w:p>
    <w:p>
      <w:r>
        <w:rPr>
          <w:rFonts w:ascii="Calibri" w:hAnsi="Calibri"/>
          <w:b/>
          <w:sz w:val="22"/>
        </w:rPr>
        <w:t>Slik leser du den:</w:t>
      </w:r>
    </w:p>
    <w:p>
      <w:pPr>
        <w:ind w:left="283"/>
      </w:pPr>
      <w:r>
        <w:rPr>
          <w:rFonts w:ascii="Calibri" w:hAnsi="Calibri"/>
          <w:sz w:val="22"/>
        </w:rPr>
        <w:t>I dag: Helse Bergen bestiller direkte fra leverandører til sitt lokale lager. Etter HVFS: Mange varer bestilles sentralt via HVFS og leveres avdelingspakket (APL).</w:t>
      </w:r>
    </w:p>
    <w:p>
      <w:pPr>
        <w:pStyle w:val="Heading2"/>
      </w:pPr>
      <w:r>
        <w:t>Figur 3 – Analysepipeline (Fig02)</w:t>
      </w:r>
    </w:p>
    <w:p>
      <w:r>
        <w:rPr>
          <w:rFonts w:ascii="Calibri" w:hAnsi="Calibri"/>
          <w:i/>
          <w:color w:val="555555"/>
          <w:sz w:val="22"/>
        </w:rPr>
        <w:t>Kilde: plot_analysepipeline.py -&gt; Fig02_Analysepipeline.png</w:t>
      </w:r>
    </w:p>
    <w:p>
      <w:r>
        <w:rPr>
          <w:rFonts w:ascii="Calibri" w:hAnsi="Calibri"/>
          <w:b/>
          <w:sz w:val="22"/>
        </w:rPr>
        <w:t>Hva den viser:</w:t>
      </w:r>
    </w:p>
    <w:p>
      <w:pPr>
        <w:ind w:left="283"/>
      </w:pPr>
      <w:r>
        <w:rPr>
          <w:rFonts w:ascii="Calibri" w:hAnsi="Calibri"/>
          <w:sz w:val="22"/>
        </w:rPr>
        <w:t>Den tekniske datapipelinen: fra SAP-tabeller (MARD, MSEG, EKKO...) gjennom dataforbehandling (D-01 til D-08) til MASTERFILE og videre til de fire analysene.</w:t>
      </w:r>
    </w:p>
    <w:p>
      <w:r>
        <w:rPr>
          <w:rFonts w:ascii="Calibri" w:hAnsi="Calibri"/>
          <w:b/>
          <w:sz w:val="22"/>
        </w:rPr>
        <w:t>Slik leser du den:</w:t>
      </w:r>
    </w:p>
    <w:p>
      <w:pPr>
        <w:ind w:left="283"/>
      </w:pPr>
      <w:r>
        <w:rPr>
          <w:rFonts w:ascii="Calibri" w:hAnsi="Calibri"/>
          <w:sz w:val="22"/>
        </w:rPr>
        <w:t>Følg dataflyten fra venstre til høyre. Legg merke til at 1006 artikler kommer inn og 709 kommer ut etter filtrering (D-01).</w:t>
      </w:r>
    </w:p>
    <w:p>
      <w:pPr>
        <w:pStyle w:val="Heading2"/>
      </w:pPr>
      <w:r>
        <w:t>Figur 4 – Regelmotor (Fig03)</w:t>
      </w:r>
    </w:p>
    <w:p>
      <w:r>
        <w:rPr>
          <w:rFonts w:ascii="Calibri" w:hAnsi="Calibri"/>
          <w:i/>
          <w:color w:val="555555"/>
          <w:sz w:val="22"/>
        </w:rPr>
        <w:t>Kilde: plot_regelmotor.py -&gt; Fig03_Regelmotor.png</w:t>
      </w:r>
    </w:p>
    <w:p>
      <w:r>
        <w:rPr>
          <w:rFonts w:ascii="Calibri" w:hAnsi="Calibri"/>
          <w:b/>
          <w:sz w:val="22"/>
        </w:rPr>
        <w:t>Hva den viser:</w:t>
      </w:r>
    </w:p>
    <w:p>
      <w:pPr>
        <w:ind w:left="283"/>
      </w:pPr>
      <w:r>
        <w:rPr>
          <w:rFonts w:ascii="Calibri" w:hAnsi="Calibri"/>
          <w:sz w:val="22"/>
        </w:rPr>
        <w:t>Et flytskjema over de 8 beslutningsreglene (R1–R8). Hver rute er en betingelse (f.eks. «Er XYZ = Z?»), og pilene viser hva som skjer ved ja/nei.</w:t>
      </w:r>
    </w:p>
    <w:p>
      <w:r>
        <w:rPr>
          <w:rFonts w:ascii="Calibri" w:hAnsi="Calibri"/>
          <w:b/>
          <w:sz w:val="22"/>
        </w:rPr>
        <w:t>Slik leser du den:</w:t>
      </w:r>
    </w:p>
    <w:p>
      <w:pPr>
        <w:ind w:left="283"/>
      </w:pPr>
      <w:r>
        <w:rPr>
          <w:rFonts w:ascii="Calibri" w:hAnsi="Calibri"/>
          <w:sz w:val="22"/>
        </w:rPr>
        <w:t>Start øverst. R1 spør om artikkelen er Z-klassifisert. Hvis ja -&gt; BEHOLD LOKALT (uforutsigbart forbruk). Hvis nei, gå til R2, osv. Den første regelen som treffer, bestemmer utfallet.</w:t>
      </w:r>
    </w:p>
    <w:p>
      <w:pPr>
        <w:pStyle w:val="Heading2"/>
      </w:pPr>
      <w:r>
        <w:t>Figur 5 – Dataoversikt (Fig04)</w:t>
      </w:r>
    </w:p>
    <w:p>
      <w:r>
        <w:rPr>
          <w:rFonts w:ascii="Calibri" w:hAnsi="Calibri"/>
          <w:i/>
          <w:color w:val="555555"/>
          <w:sz w:val="22"/>
        </w:rPr>
        <w:t>Kilde: plot_dataoversikt.py -&gt; Fig04_Dataoversikt.png</w:t>
      </w:r>
    </w:p>
    <w:p>
      <w:r>
        <w:rPr>
          <w:rFonts w:ascii="Calibri" w:hAnsi="Calibri"/>
          <w:b/>
          <w:sz w:val="22"/>
        </w:rPr>
        <w:t>Hva den viser:</w:t>
      </w:r>
    </w:p>
    <w:p>
      <w:pPr>
        <w:ind w:left="283"/>
      </w:pPr>
      <w:r>
        <w:rPr>
          <w:rFonts w:ascii="Calibri" w:hAnsi="Calibri"/>
          <w:sz w:val="22"/>
        </w:rPr>
        <w:t>Histogrammer og fordelingsplott for nøkkelvariabler i datasettet: enhetspris, årsforbruk, CV, lagerbeholdning etc.</w:t>
      </w:r>
    </w:p>
    <w:p>
      <w:r>
        <w:rPr>
          <w:rFonts w:ascii="Calibri" w:hAnsi="Calibri"/>
          <w:b/>
          <w:sz w:val="22"/>
        </w:rPr>
        <w:t>Slik leser du den:</w:t>
      </w:r>
    </w:p>
    <w:p>
      <w:pPr>
        <w:ind w:left="283"/>
      </w:pPr>
      <w:r>
        <w:rPr>
          <w:rFonts w:ascii="Calibri" w:hAnsi="Calibri"/>
          <w:sz w:val="22"/>
        </w:rPr>
        <w:t>Hvert subplot viser fordelingen av én variabel. Lange høyre haler (skjevhet) er typisk – noen få artikler har svært høye verdier.</w:t>
      </w:r>
    </w:p>
    <w:p>
      <w:pPr>
        <w:pStyle w:val="Heading2"/>
      </w:pPr>
      <w:r>
        <w:t>Figur 6 – ABC Pareto-kurve (Fig05)</w:t>
      </w:r>
    </w:p>
    <w:p>
      <w:r>
        <w:rPr>
          <w:rFonts w:ascii="Calibri" w:hAnsi="Calibri"/>
          <w:i/>
          <w:color w:val="555555"/>
          <w:sz w:val="22"/>
        </w:rPr>
        <w:t>Kilde: plot_abc_pareto.py -&gt; Fig05_ABC_Pareto.png</w:t>
      </w:r>
    </w:p>
    <w:p>
      <w:r>
        <w:rPr>
          <w:rFonts w:ascii="Calibri" w:hAnsi="Calibri"/>
          <w:b/>
          <w:sz w:val="22"/>
        </w:rPr>
        <w:t>Hva den viser:</w:t>
      </w:r>
    </w:p>
    <w:p>
      <w:pPr>
        <w:ind w:left="283"/>
      </w:pPr>
      <w:r>
        <w:rPr>
          <w:rFonts w:ascii="Calibri" w:hAnsi="Calibri"/>
          <w:sz w:val="22"/>
        </w:rPr>
        <w:t>En graf der x-aksen er artikler (sortert fra dyreste til billigste) og y-aksen er kumulativ verdiandel (0–100 %). To horisontale linjer ved 80 % og 95 % markerer A/B- og B/C-grensene.</w:t>
      </w:r>
    </w:p>
    <w:p>
      <w:r>
        <w:rPr>
          <w:rFonts w:ascii="Calibri" w:hAnsi="Calibri"/>
          <w:b/>
          <w:sz w:val="22"/>
        </w:rPr>
        <w:t>Slik leser du den:</w:t>
      </w:r>
    </w:p>
    <w:p>
      <w:pPr>
        <w:ind w:left="283"/>
      </w:pPr>
      <w:r>
        <w:rPr>
          <w:rFonts w:ascii="Calibri" w:hAnsi="Calibri"/>
          <w:sz w:val="22"/>
        </w:rPr>
        <w:t>Kurven stiger bratt først (få A-artikler bærer mye verdi) og flater deretter ut (mange C-artikler bærer lite verdi). Skjæringspunktene med 80 %- og 95 %-linjene avgrenser A, B og C.</w:t>
      </w:r>
    </w:p>
    <w:p>
      <w:pPr>
        <w:pStyle w:val="Heading2"/>
      </w:pPr>
      <w:r>
        <w:t>Figur 7 – ABC/XYZ-matrise (Fig06)</w:t>
      </w:r>
    </w:p>
    <w:p>
      <w:r>
        <w:rPr>
          <w:rFonts w:ascii="Calibri" w:hAnsi="Calibri"/>
          <w:i/>
          <w:color w:val="555555"/>
          <w:sz w:val="22"/>
        </w:rPr>
        <w:t>Kilde: plot_abc_xyz_matrise.py -&gt; Fig06_ABC_XYZ_Matrise.png</w:t>
      </w:r>
    </w:p>
    <w:p>
      <w:r>
        <w:rPr>
          <w:rFonts w:ascii="Calibri" w:hAnsi="Calibri"/>
          <w:b/>
          <w:sz w:val="22"/>
        </w:rPr>
        <w:t>Hva den viser:</w:t>
      </w:r>
    </w:p>
    <w:p>
      <w:pPr>
        <w:ind w:left="283"/>
      </w:pPr>
      <w:r>
        <w:rPr>
          <w:rFonts w:ascii="Calibri" w:hAnsi="Calibri"/>
          <w:sz w:val="22"/>
        </w:rPr>
        <w:t>En 3x3-rutenett med ABC-klassene på én akse og XYZ på den andre. Hvert felt viser antall artikler i den kombinasjonen (f.eks. AX = 120).</w:t>
      </w:r>
    </w:p>
    <w:p>
      <w:r>
        <w:rPr>
          <w:rFonts w:ascii="Calibri" w:hAnsi="Calibri"/>
          <w:b/>
          <w:sz w:val="22"/>
        </w:rPr>
        <w:t>Slik leser du den:</w:t>
      </w:r>
    </w:p>
    <w:p>
      <w:pPr>
        <w:ind w:left="283"/>
      </w:pPr>
      <w:r>
        <w:rPr>
          <w:rFonts w:ascii="Calibri" w:hAnsi="Calibri"/>
          <w:sz w:val="22"/>
        </w:rPr>
        <w:t>AX (øverst til venstre) = høy verdi, stabilt forbruk – de beste kandidatene for sentralisering. CZ (nederst til høyre) = lav verdi, uforutsigbart – beholdes lokalt. Fargekoding: grønt = bra for HVFS, rødt = behold lokalt.</w:t>
      </w:r>
    </w:p>
    <w:p>
      <w:pPr>
        <w:pStyle w:val="Heading2"/>
      </w:pPr>
      <w:r>
        <w:t>Figur 8 – EOQ-avvik (Fig07)</w:t>
      </w:r>
    </w:p>
    <w:p>
      <w:r>
        <w:rPr>
          <w:rFonts w:ascii="Calibri" w:hAnsi="Calibri"/>
          <w:i/>
          <w:color w:val="555555"/>
          <w:sz w:val="22"/>
        </w:rPr>
        <w:t>Kilde: plot_eoq_avvik.py -&gt; Fig07_EOQ_Avvik.png</w:t>
      </w:r>
    </w:p>
    <w:p>
      <w:r>
        <w:rPr>
          <w:rFonts w:ascii="Calibri" w:hAnsi="Calibri"/>
          <w:b/>
          <w:sz w:val="22"/>
        </w:rPr>
        <w:t>Hva den viser:</w:t>
      </w:r>
    </w:p>
    <w:p>
      <w:pPr>
        <w:ind w:left="283"/>
      </w:pPr>
      <w:r>
        <w:rPr>
          <w:rFonts w:ascii="Calibri" w:hAnsi="Calibri"/>
          <w:sz w:val="22"/>
        </w:rPr>
        <w:t>Et scatterplott eller histogram som viser FREQ_AVVIK for alle artikler. En vertikal linje ved tau_f = 1.5 skiller «OK» fra «FOR_MANGE_ORDRER».</w:t>
      </w:r>
    </w:p>
    <w:p>
      <w:r>
        <w:rPr>
          <w:rFonts w:ascii="Calibri" w:hAnsi="Calibri"/>
          <w:b/>
          <w:sz w:val="22"/>
        </w:rPr>
        <w:t>Slik leser du den:</w:t>
      </w:r>
    </w:p>
    <w:p>
      <w:pPr>
        <w:ind w:left="283"/>
      </w:pPr>
      <w:r>
        <w:rPr>
          <w:rFonts w:ascii="Calibri" w:hAnsi="Calibri"/>
          <w:sz w:val="22"/>
        </w:rPr>
        <w:t>Artikler til høyre for den røde linjen bestiller for ofte. Jo lenger til høyre, jo mer suboptimal er bestillingspraksisen. 73 % av artiklene er til høyre for linjen.</w:t>
      </w:r>
    </w:p>
    <w:p>
      <w:pPr>
        <w:pStyle w:val="Heading2"/>
      </w:pPr>
      <w:r>
        <w:t>Figur 9 – Silhouette-score (Fig08)</w:t>
      </w:r>
    </w:p>
    <w:p>
      <w:r>
        <w:rPr>
          <w:rFonts w:ascii="Calibri" w:hAnsi="Calibri"/>
          <w:i/>
          <w:color w:val="555555"/>
          <w:sz w:val="22"/>
        </w:rPr>
        <w:t>Kilde: plot_silhouette.py -&gt; Fig08_Silhouette.png</w:t>
      </w:r>
    </w:p>
    <w:p>
      <w:r>
        <w:rPr>
          <w:rFonts w:ascii="Calibri" w:hAnsi="Calibri"/>
          <w:b/>
          <w:sz w:val="22"/>
        </w:rPr>
        <w:t>Hva den viser:</w:t>
      </w:r>
    </w:p>
    <w:p>
      <w:pPr>
        <w:ind w:left="283"/>
      </w:pPr>
      <w:r>
        <w:rPr>
          <w:rFonts w:ascii="Calibri" w:hAnsi="Calibri"/>
          <w:sz w:val="22"/>
        </w:rPr>
        <w:t>Et linjediagram med K (antall klynger) på x-aksen og gjennomsnittlig silhouette-score på y-aksen, for K = 2 til 7.</w:t>
      </w:r>
    </w:p>
    <w:p>
      <w:r>
        <w:rPr>
          <w:rFonts w:ascii="Calibri" w:hAnsi="Calibri"/>
          <w:b/>
          <w:sz w:val="22"/>
        </w:rPr>
        <w:t>Slik leser du den:</w:t>
      </w:r>
    </w:p>
    <w:p>
      <w:pPr>
        <w:ind w:left="283"/>
      </w:pPr>
      <w:r>
        <w:rPr>
          <w:rFonts w:ascii="Calibri" w:hAnsi="Calibri"/>
          <w:sz w:val="22"/>
        </w:rPr>
        <w:t>Den høyeste punktet er ved K = 3 (score 0.383). Det betyr at 3 klynger gir den tydeligste gruppestrukturen i dataene.</w:t>
      </w:r>
    </w:p>
    <w:p>
      <w:pPr>
        <w:pStyle w:val="Heading2"/>
      </w:pPr>
      <w:r>
        <w:t>Figur 10 – K-means klynger (Fig09)</w:t>
      </w:r>
    </w:p>
    <w:p>
      <w:r>
        <w:rPr>
          <w:rFonts w:ascii="Calibri" w:hAnsi="Calibri"/>
          <w:i/>
          <w:color w:val="555555"/>
          <w:sz w:val="22"/>
        </w:rPr>
        <w:t>Kilde: plot_kmeans_klynger.py -&gt; Fig09_Kmeans_Klynger.png</w:t>
      </w:r>
    </w:p>
    <w:p>
      <w:r>
        <w:rPr>
          <w:rFonts w:ascii="Calibri" w:hAnsi="Calibri"/>
          <w:b/>
          <w:sz w:val="22"/>
        </w:rPr>
        <w:t>Hva den viser:</w:t>
      </w:r>
    </w:p>
    <w:p>
      <w:pPr>
        <w:ind w:left="283"/>
      </w:pPr>
      <w:r>
        <w:rPr>
          <w:rFonts w:ascii="Calibri" w:hAnsi="Calibri"/>
          <w:sz w:val="22"/>
        </w:rPr>
        <w:t>Et scatterplott der hver prikk er en artikkel, plottet langs to av de tre featurene (CV og verdi). Fargene viser hvilken klynge artikkelen tilhører. K_OVERFØR-klyngen er markert med en stjerne.</w:t>
      </w:r>
    </w:p>
    <w:p>
      <w:r>
        <w:rPr>
          <w:rFonts w:ascii="Calibri" w:hAnsi="Calibri"/>
          <w:b/>
          <w:sz w:val="22"/>
        </w:rPr>
        <w:t>Slik leser du den:</w:t>
      </w:r>
    </w:p>
    <w:p>
      <w:pPr>
        <w:ind w:left="283"/>
      </w:pPr>
      <w:r>
        <w:rPr>
          <w:rFonts w:ascii="Calibri" w:hAnsi="Calibri"/>
          <w:sz w:val="22"/>
        </w:rPr>
        <w:t>Grønne prikker (K_OVERFØR) = artikler med lav CV og høy verdi – de beste HVFS-kandidatene. Separasjon mellom fargene = klyngene er tydelige.</w:t>
      </w:r>
    </w:p>
    <w:p>
      <w:pPr>
        <w:pStyle w:val="Heading2"/>
      </w:pPr>
      <w:r>
        <w:t>Figur 11 – Klyngeprofiler (Fig10)</w:t>
      </w:r>
    </w:p>
    <w:p>
      <w:r>
        <w:rPr>
          <w:rFonts w:ascii="Calibri" w:hAnsi="Calibri"/>
          <w:i/>
          <w:color w:val="555555"/>
          <w:sz w:val="22"/>
        </w:rPr>
        <w:t>Kilde: plot_kmeans_profil.py -&gt; Fig10_Kmeans_Profil.png</w:t>
      </w:r>
    </w:p>
    <w:p>
      <w:r>
        <w:rPr>
          <w:rFonts w:ascii="Calibri" w:hAnsi="Calibri"/>
          <w:b/>
          <w:sz w:val="22"/>
        </w:rPr>
        <w:t>Hva den viser:</w:t>
      </w:r>
    </w:p>
    <w:p>
      <w:pPr>
        <w:ind w:left="283"/>
      </w:pPr>
      <w:r>
        <w:rPr>
          <w:rFonts w:ascii="Calibri" w:hAnsi="Calibri"/>
          <w:sz w:val="22"/>
        </w:rPr>
        <w:t>Et linjediagram der x-aksen er de tre featurene og y-aksen er gjennomsnittlig z-score per klynge. Tre linjer – en per klynge.</w:t>
      </w:r>
    </w:p>
    <w:p>
      <w:r>
        <w:rPr>
          <w:rFonts w:ascii="Calibri" w:hAnsi="Calibri"/>
          <w:b/>
          <w:sz w:val="22"/>
        </w:rPr>
        <w:t>Slik leser du den:</w:t>
      </w:r>
    </w:p>
    <w:p>
      <w:pPr>
        <w:ind w:left="283"/>
      </w:pPr>
      <w:r>
        <w:rPr>
          <w:rFonts w:ascii="Calibri" w:hAnsi="Calibri"/>
          <w:sz w:val="22"/>
        </w:rPr>
        <w:t>K_OVERFØR-klyngen (grønn) har lav CV-score (stabil) og høy verdi-score (dyr). De andre klyngene har motsatte profiler.</w:t>
      </w:r>
    </w:p>
    <w:p>
      <w:pPr>
        <w:pStyle w:val="Heading2"/>
      </w:pPr>
      <w:r>
        <w:t>Figur 12 – Regelmotor og besparelse (Fig11)</w:t>
      </w:r>
    </w:p>
    <w:p>
      <w:r>
        <w:rPr>
          <w:rFonts w:ascii="Calibri" w:hAnsi="Calibri"/>
          <w:i/>
          <w:color w:val="555555"/>
          <w:sz w:val="22"/>
        </w:rPr>
        <w:t>Kilde: plot_regelmotor_besparelse.py -&gt; Fig11_Regelmotor_Besparelse.png</w:t>
      </w:r>
    </w:p>
    <w:p>
      <w:r>
        <w:rPr>
          <w:rFonts w:ascii="Calibri" w:hAnsi="Calibri"/>
          <w:b/>
          <w:sz w:val="22"/>
        </w:rPr>
        <w:t>Hva den viser:</w:t>
      </w:r>
    </w:p>
    <w:p>
      <w:pPr>
        <w:ind w:left="283"/>
      </w:pPr>
      <w:r>
        <w:rPr>
          <w:rFonts w:ascii="Calibri" w:hAnsi="Calibri"/>
          <w:sz w:val="22"/>
        </w:rPr>
        <w:t>To paneler: (1) Søylediagram med fordeling av anbefalinger (OVERFØR/BEHOLD/VURDER/MANGLER). (2) Søylediagram med estimert besparelse for de tre scenariene (worst/base/best).</w:t>
      </w:r>
    </w:p>
    <w:p>
      <w:r>
        <w:rPr>
          <w:rFonts w:ascii="Calibri" w:hAnsi="Calibri"/>
          <w:b/>
          <w:sz w:val="22"/>
        </w:rPr>
        <w:t>Slik leser du den:</w:t>
      </w:r>
    </w:p>
    <w:p>
      <w:pPr>
        <w:ind w:left="283"/>
      </w:pPr>
      <w:r>
        <w:rPr>
          <w:rFonts w:ascii="Calibri" w:hAnsi="Calibri"/>
          <w:sz w:val="22"/>
        </w:rPr>
        <w:t>Venstre panel: VURDER NÆRMERE er den største gruppen (284) – mange artikler trenger manuell gjennomgang. Høyre panel: Base case gir ca. 450 000 kr/år i besparelse.</w:t>
      </w:r>
    </w:p>
    <w:p>
      <w:r>
        <w:br w:type="page"/>
      </w:r>
    </w:p>
    <w:p>
      <w:pPr>
        <w:pStyle w:val="Heading1"/>
      </w:pPr>
      <w:r>
        <w:t>Del 5 – Alle tabeller forklart (Tabell 1–15)</w:t>
      </w:r>
    </w:p>
    <w:p>
      <w:pPr>
        <w:pStyle w:val="Heading2"/>
      </w:pPr>
      <w:r>
        <w:t>Tabell 1 – Litteraturoversikt</w:t>
      </w:r>
    </w:p>
    <w:p>
      <w:r>
        <w:rPr>
          <w:rFonts w:ascii="Calibri" w:hAnsi="Calibri"/>
          <w:b/>
          <w:sz w:val="22"/>
        </w:rPr>
        <w:t>Innhold:</w:t>
      </w:r>
    </w:p>
    <w:p>
      <w:pPr>
        <w:ind w:left="283"/>
      </w:pPr>
      <w:r>
        <w:rPr>
          <w:rFonts w:ascii="Calibri" w:hAnsi="Calibri"/>
          <w:sz w:val="22"/>
        </w:rPr>
        <w:t>Viser de 23 akademiske kildene rapporten bygger på, organisert etter hovedtema. For eksempel: Volland et al. (2017) handler om materiallogistikk i sykehus og er relevant fordi de viser at lagerstyring utgjør 30–40 % av driftskostnadene.</w:t>
      </w:r>
    </w:p>
    <w:p>
      <w:r>
        <w:rPr>
          <w:rFonts w:ascii="Calibri" w:hAnsi="Calibri"/>
          <w:b/>
          <w:sz w:val="22"/>
        </w:rPr>
        <w:t>Tolkning:</w:t>
      </w:r>
    </w:p>
    <w:p>
      <w:pPr>
        <w:ind w:left="283"/>
      </w:pPr>
      <w:r>
        <w:rPr>
          <w:rFonts w:ascii="Calibri" w:hAnsi="Calibri"/>
          <w:i/>
          <w:sz w:val="22"/>
        </w:rPr>
        <w:t>Denne tabellen er rapportens «kildekart» – den viser hvor hvert faglig argument kommer fra.</w:t>
      </w:r>
    </w:p>
    <w:p>
      <w:pPr>
        <w:pStyle w:val="Heading2"/>
      </w:pPr>
      <w:r>
        <w:t>Tabell 2 – Sammenligning av analysemetoder</w:t>
      </w:r>
    </w:p>
    <w:p>
      <w:r>
        <w:rPr>
          <w:rFonts w:ascii="Calibri" w:hAnsi="Calibri"/>
          <w:b/>
          <w:sz w:val="22"/>
        </w:rPr>
        <w:t>Innhold:</w:t>
      </w:r>
    </w:p>
    <w:p>
      <w:pPr>
        <w:ind w:left="283"/>
      </w:pPr>
      <w:r>
        <w:rPr>
          <w:rFonts w:ascii="Calibri" w:hAnsi="Calibri"/>
          <w:sz w:val="22"/>
        </w:rPr>
        <w:t>Sammenligner ABC, XYZ, EOQ og K-means langs fire dimensjoner: styrker, svakheter, forutsetninger og referanse.</w:t>
      </w:r>
    </w:p>
    <w:p>
      <w:r>
        <w:rPr>
          <w:rFonts w:ascii="Calibri" w:hAnsi="Calibri"/>
          <w:b/>
          <w:sz w:val="22"/>
        </w:rPr>
        <w:t>Tolkning:</w:t>
      </w:r>
    </w:p>
    <w:p>
      <w:pPr>
        <w:ind w:left="283"/>
      </w:pPr>
      <w:r>
        <w:rPr>
          <w:rFonts w:ascii="Calibri" w:hAnsi="Calibri"/>
          <w:i/>
          <w:sz w:val="22"/>
        </w:rPr>
        <w:t>En «hurtigoppslagstabell» for å forstå trade-off-ene mellom metodene.</w:t>
      </w:r>
    </w:p>
    <w:p>
      <w:pPr>
        <w:pStyle w:val="Heading2"/>
      </w:pPr>
      <w:r>
        <w:t>Tabell 3 – Nøkkeltall for casevirksomheten</w:t>
      </w:r>
    </w:p>
    <w:p>
      <w:r>
        <w:rPr>
          <w:rFonts w:ascii="Calibri" w:hAnsi="Calibri"/>
          <w:b/>
          <w:sz w:val="22"/>
        </w:rPr>
        <w:t>Innhold:</w:t>
      </w:r>
    </w:p>
    <w:p>
      <w:pPr>
        <w:ind w:left="283"/>
      </w:pPr>
      <w:r>
        <w:rPr>
          <w:rFonts w:ascii="Calibri" w:hAnsi="Calibri"/>
          <w:sz w:val="22"/>
        </w:rPr>
        <w:t>Oppsummerer hva Helse Bergen er i SAP-termer: WERKS 3300, LGORT 3001, 709 aktive artikler, 14 SAP-tabeller, innkjøpsgruppe 300/3000.</w:t>
      </w:r>
    </w:p>
    <w:p>
      <w:r>
        <w:rPr>
          <w:rFonts w:ascii="Calibri" w:hAnsi="Calibri"/>
          <w:b/>
          <w:sz w:val="22"/>
        </w:rPr>
        <w:t>Tolkning:</w:t>
      </w:r>
    </w:p>
    <w:p>
      <w:pPr>
        <w:ind w:left="283"/>
      </w:pPr>
      <w:r>
        <w:rPr>
          <w:rFonts w:ascii="Calibri" w:hAnsi="Calibri"/>
          <w:i/>
          <w:sz w:val="22"/>
        </w:rPr>
        <w:t>Alle tall som identifiserer caset – tilsvarende «pasientjournalen» for lageret.</w:t>
      </w:r>
    </w:p>
    <w:p>
      <w:pPr>
        <w:pStyle w:val="Heading2"/>
      </w:pPr>
      <w:r>
        <w:t>Tabell 4 – Datagrunnlag: 14 SAP-tabeller</w:t>
      </w:r>
    </w:p>
    <w:p>
      <w:r>
        <w:rPr>
          <w:rFonts w:ascii="Calibri" w:hAnsi="Calibri"/>
          <w:b/>
          <w:sz w:val="22"/>
        </w:rPr>
        <w:t>Innhold:</w:t>
      </w:r>
    </w:p>
    <w:p>
      <w:pPr>
        <w:ind w:left="283"/>
      </w:pPr>
      <w:r>
        <w:rPr>
          <w:rFonts w:ascii="Calibri" w:hAnsi="Calibri"/>
          <w:sz w:val="22"/>
        </w:rPr>
        <w:t>Lister alle 14 SAP-tabeller med beskrivelse og funksjonell kategori (masterdata, forbruksdata, innkjøpsdata, supplerende). For eksempel: MSEG inneholder varebevegelser (forbruk til avdeling), EKPO inneholder innkjøpsordreposisjoner.</w:t>
      </w:r>
    </w:p>
    <w:p>
      <w:r>
        <w:rPr>
          <w:rFonts w:ascii="Calibri" w:hAnsi="Calibri"/>
          <w:b/>
          <w:sz w:val="22"/>
        </w:rPr>
        <w:t>Tolkning:</w:t>
      </w:r>
    </w:p>
    <w:p>
      <w:pPr>
        <w:ind w:left="283"/>
      </w:pPr>
      <w:r>
        <w:rPr>
          <w:rFonts w:ascii="Calibri" w:hAnsi="Calibri"/>
          <w:i/>
          <w:sz w:val="22"/>
        </w:rPr>
        <w:t>Dataspesifikasjonen – viser eksakt hvor tallene kommer fra i SAP.</w:t>
      </w:r>
    </w:p>
    <w:p>
      <w:pPr>
        <w:pStyle w:val="Heading2"/>
      </w:pPr>
      <w:r>
        <w:t>Tabell 5 – Datavalgsbeslutninger D-01–D-08</w:t>
      </w:r>
    </w:p>
    <w:p>
      <w:r>
        <w:rPr>
          <w:rFonts w:ascii="Calibri" w:hAnsi="Calibri"/>
          <w:b/>
          <w:sz w:val="22"/>
        </w:rPr>
        <w:t>Innhold:</w:t>
      </w:r>
    </w:p>
    <w:p>
      <w:pPr>
        <w:ind w:left="283"/>
      </w:pPr>
      <w:r>
        <w:rPr>
          <w:rFonts w:ascii="Calibri" w:hAnsi="Calibri"/>
          <w:sz w:val="22"/>
        </w:rPr>
        <w:t>Dokumenterer åtte valg som ble tatt under databehandlingen. For eksempel: D-01 (ekskluder inaktive artikler: 1006 -&gt; 709), D-02 (korriger enhetspris for prisenhet: STPRS / PEINH), D-04 (erstatt SAP ZZXYZ med beregnet CV).</w:t>
      </w:r>
    </w:p>
    <w:p>
      <w:r>
        <w:rPr>
          <w:rFonts w:ascii="Calibri" w:hAnsi="Calibri"/>
          <w:b/>
          <w:sz w:val="22"/>
        </w:rPr>
        <w:t>Tolkning:</w:t>
      </w:r>
    </w:p>
    <w:p>
      <w:pPr>
        <w:ind w:left="283"/>
      </w:pPr>
      <w:r>
        <w:rPr>
          <w:rFonts w:ascii="Calibri" w:hAnsi="Calibri"/>
          <w:i/>
          <w:sz w:val="22"/>
        </w:rPr>
        <w:t>Rapporten er transparent: Enhver analytiker kan se nøyaktig hvilke valg som er tatt og hvorfor. Ingen «svarte bokser».</w:t>
      </w:r>
    </w:p>
    <w:p>
      <w:pPr>
        <w:pStyle w:val="Heading2"/>
      </w:pPr>
      <w:r>
        <w:t>Tabell 6 – Modellparametere</w:t>
      </w:r>
    </w:p>
    <w:p>
      <w:r>
        <w:rPr>
          <w:rFonts w:ascii="Calibri" w:hAnsi="Calibri"/>
          <w:b/>
          <w:sz w:val="22"/>
        </w:rPr>
        <w:t>Innhold:</w:t>
      </w:r>
    </w:p>
    <w:p>
      <w:pPr>
        <w:ind w:left="283"/>
      </w:pPr>
      <w:r>
        <w:rPr>
          <w:rFonts w:ascii="Calibri" w:hAnsi="Calibri"/>
          <w:sz w:val="22"/>
        </w:rPr>
        <w:t>Alle parameterinnstillinger samlet: ABC-grenser (80/95 %), XYZ-grenser (CV 0.5/1.0), S = 750 kr, h = 20 %, K-means-innstillinger, random_state = 42.</w:t>
      </w:r>
    </w:p>
    <w:p>
      <w:r>
        <w:rPr>
          <w:rFonts w:ascii="Calibri" w:hAnsi="Calibri"/>
          <w:b/>
          <w:sz w:val="22"/>
        </w:rPr>
        <w:t>Tolkning:</w:t>
      </w:r>
    </w:p>
    <w:p>
      <w:pPr>
        <w:ind w:left="283"/>
      </w:pPr>
      <w:r>
        <w:rPr>
          <w:rFonts w:ascii="Calibri" w:hAnsi="Calibri"/>
          <w:i/>
          <w:sz w:val="22"/>
        </w:rPr>
        <w:t>Parameterkortet – alle «bryterne» i analysen på ett sted.</w:t>
      </w:r>
    </w:p>
    <w:p>
      <w:pPr>
        <w:pStyle w:val="Heading2"/>
      </w:pPr>
      <w:r>
        <w:t>Tabell 7 – Regelmotor: 8 beslutningsregler</w:t>
      </w:r>
    </w:p>
    <w:p>
      <w:r>
        <w:rPr>
          <w:rFonts w:ascii="Calibri" w:hAnsi="Calibri"/>
          <w:b/>
          <w:sz w:val="22"/>
        </w:rPr>
        <w:t>Innhold:</w:t>
      </w:r>
    </w:p>
    <w:p>
      <w:pPr>
        <w:ind w:left="283"/>
      </w:pPr>
      <w:r>
        <w:rPr>
          <w:rFonts w:ascii="Calibri" w:hAnsi="Calibri"/>
          <w:sz w:val="22"/>
        </w:rPr>
        <w:t>De 8 reglene R1–R8 med betingelse, anbefaling og logikk. R1: Z-artikler -&gt; BEHOLD. R3: A/B + X + FOR_MANGE -&gt; OVERFØR. Osv.</w:t>
      </w:r>
    </w:p>
    <w:p>
      <w:r>
        <w:rPr>
          <w:rFonts w:ascii="Calibri" w:hAnsi="Calibri"/>
          <w:b/>
          <w:sz w:val="22"/>
        </w:rPr>
        <w:t>Tolkning:</w:t>
      </w:r>
    </w:p>
    <w:p>
      <w:pPr>
        <w:ind w:left="283"/>
      </w:pPr>
      <w:r>
        <w:rPr>
          <w:rFonts w:ascii="Calibri" w:hAnsi="Calibri"/>
          <w:i/>
          <w:sz w:val="22"/>
        </w:rPr>
        <w:t>Selve «oppskriften» for regelmotoren. Reglene kjøres i rekkefølge – den første som treffer, avgjør.</w:t>
      </w:r>
    </w:p>
    <w:p>
      <w:pPr>
        <w:pStyle w:val="Heading2"/>
      </w:pPr>
      <w:r>
        <w:t>Tabell 8 – ABC-fordeling</w:t>
      </w:r>
    </w:p>
    <w:p>
      <w:r>
        <w:rPr>
          <w:rFonts w:ascii="Calibri" w:hAnsi="Calibri"/>
          <w:b/>
          <w:sz w:val="22"/>
        </w:rPr>
        <w:t>Innhold:</w:t>
      </w:r>
    </w:p>
    <w:p>
      <w:pPr>
        <w:ind w:left="283"/>
      </w:pPr>
      <w:r>
        <w:rPr>
          <w:rFonts w:ascii="Calibri" w:hAnsi="Calibri"/>
          <w:sz w:val="22"/>
        </w:rPr>
        <w:t>182 A-artikler (25.7 %, 80 % av verdien), 184 B (26.0 %), 338 C (47.7 %), 5 ikke klassifisert.</w:t>
      </w:r>
    </w:p>
    <w:p>
      <w:r>
        <w:rPr>
          <w:rFonts w:ascii="Calibri" w:hAnsi="Calibri"/>
          <w:b/>
          <w:sz w:val="22"/>
        </w:rPr>
        <w:t>Tolkning:</w:t>
      </w:r>
    </w:p>
    <w:p>
      <w:pPr>
        <w:ind w:left="283"/>
      </w:pPr>
      <w:r>
        <w:rPr>
          <w:rFonts w:ascii="Calibri" w:hAnsi="Calibri"/>
          <w:i/>
          <w:sz w:val="22"/>
        </w:rPr>
        <w:t>Bekrefter Pareto-mønsteret: ca. en fjerdedel av artiklene bærer 80 % av verdien.</w:t>
      </w:r>
    </w:p>
    <w:p>
      <w:pPr>
        <w:pStyle w:val="Heading2"/>
      </w:pPr>
      <w:r>
        <w:t>Tabell 9 – XYZ-fordeling</w:t>
      </w:r>
    </w:p>
    <w:p>
      <w:r>
        <w:rPr>
          <w:rFonts w:ascii="Calibri" w:hAnsi="Calibri"/>
          <w:b/>
          <w:sz w:val="22"/>
        </w:rPr>
        <w:t>Innhold:</w:t>
      </w:r>
    </w:p>
    <w:p>
      <w:pPr>
        <w:ind w:left="283"/>
      </w:pPr>
      <w:r>
        <w:rPr>
          <w:rFonts w:ascii="Calibri" w:hAnsi="Calibri"/>
          <w:sz w:val="22"/>
        </w:rPr>
        <w:t>350 X (50.9 %, stabilt), 193 Y (28.1 %, moderat), 144 Z (20.9 %, uregelmessig), 22 ikke klassifisert.</w:t>
      </w:r>
    </w:p>
    <w:p>
      <w:r>
        <w:rPr>
          <w:rFonts w:ascii="Calibri" w:hAnsi="Calibri"/>
          <w:b/>
          <w:sz w:val="22"/>
        </w:rPr>
        <w:t>Tolkning:</w:t>
      </w:r>
    </w:p>
    <w:p>
      <w:pPr>
        <w:ind w:left="283"/>
      </w:pPr>
      <w:r>
        <w:rPr>
          <w:rFonts w:ascii="Calibri" w:hAnsi="Calibri"/>
          <w:i/>
          <w:sz w:val="22"/>
        </w:rPr>
        <w:t>Over halvparten av artiklene har stabilt forbruk – et godt tegn for HVFS.</w:t>
      </w:r>
    </w:p>
    <w:p>
      <w:pPr>
        <w:pStyle w:val="Heading2"/>
      </w:pPr>
      <w:r>
        <w:t>Tabell 10 – SAP ZZXYZ-validering</w:t>
      </w:r>
    </w:p>
    <w:p>
      <w:r>
        <w:rPr>
          <w:rFonts w:ascii="Calibri" w:hAnsi="Calibri"/>
          <w:b/>
          <w:sz w:val="22"/>
        </w:rPr>
        <w:t>Innhold:</w:t>
      </w:r>
    </w:p>
    <w:p>
      <w:pPr>
        <w:ind w:left="283"/>
      </w:pPr>
      <w:r>
        <w:rPr>
          <w:rFonts w:ascii="Calibri" w:hAnsi="Calibri"/>
          <w:sz w:val="22"/>
        </w:rPr>
        <w:t>Krysstabell mellom SAP-systemets ZZXYZ-klasse og den beregnede CV-klassen. Kun 33 % samsvar (125 av 375 artikler).</w:t>
      </w:r>
    </w:p>
    <w:p>
      <w:r>
        <w:rPr>
          <w:rFonts w:ascii="Calibri" w:hAnsi="Calibri"/>
          <w:b/>
          <w:sz w:val="22"/>
        </w:rPr>
        <w:t>Tolkning:</w:t>
      </w:r>
    </w:p>
    <w:p>
      <w:pPr>
        <w:ind w:left="283"/>
      </w:pPr>
      <w:r>
        <w:rPr>
          <w:rFonts w:ascii="Calibri" w:hAnsi="Calibri"/>
          <w:i/>
          <w:sz w:val="22"/>
        </w:rPr>
        <w:t>Viser at SAP-systemets XYZ-felt er utdatert og upålitelig – beregnet CV bør erstatte det.</w:t>
      </w:r>
    </w:p>
    <w:p>
      <w:pPr>
        <w:pStyle w:val="Heading2"/>
      </w:pPr>
      <w:r>
        <w:t>Tabell 11 – EOQ-avviksresultater</w:t>
      </w:r>
    </w:p>
    <w:p>
      <w:r>
        <w:rPr>
          <w:rFonts w:ascii="Calibri" w:hAnsi="Calibri"/>
          <w:b/>
          <w:sz w:val="22"/>
        </w:rPr>
        <w:t>Innhold:</w:t>
      </w:r>
    </w:p>
    <w:p>
      <w:pPr>
        <w:ind w:left="283"/>
      </w:pPr>
      <w:r>
        <w:rPr>
          <w:rFonts w:ascii="Calibri" w:hAnsi="Calibri"/>
          <w:sz w:val="22"/>
        </w:rPr>
        <w:t>356 FOR_MANGE_ORDRER (73.1 %), 100 OK (20.5 %), 31 FOR_FÅ_ORDRER (6.4 %). Samlet teoretisk ΔTC = kr 2 333 441/år for alle 487 analyserte artikler.</w:t>
      </w:r>
    </w:p>
    <w:p>
      <w:r>
        <w:rPr>
          <w:rFonts w:ascii="Calibri" w:hAnsi="Calibri"/>
          <w:b/>
          <w:sz w:val="22"/>
        </w:rPr>
        <w:t>Tolkning:</w:t>
      </w:r>
    </w:p>
    <w:p>
      <w:pPr>
        <w:ind w:left="283"/>
      </w:pPr>
      <w:r>
        <w:rPr>
          <w:rFonts w:ascii="Calibri" w:hAnsi="Calibri"/>
          <w:i/>
          <w:sz w:val="22"/>
        </w:rPr>
        <w:t>Tre av fire artikler bestilles oftere enn EOQ tilsier. Merk: kr 2,3 mill er det teoretiske samlede kostnadsavviket for HELE populasjonen – det er IKKE det samme som realiserbar besparelse. Faktisk besparelsesestimat (Tabell 14) gjelder kun de 117 artiklene som anbefales overført OG har FOR_MANGE_ORDRER: kr 301 010–602 020/år, base case kr 451 515.</w:t>
      </w:r>
    </w:p>
    <w:p>
      <w:pPr>
        <w:pStyle w:val="Heading2"/>
      </w:pPr>
      <w:r>
        <w:t>Tabell 12 – K-means klyngeprofiler</w:t>
      </w:r>
    </w:p>
    <w:p>
      <w:r>
        <w:rPr>
          <w:rFonts w:ascii="Calibri" w:hAnsi="Calibri"/>
          <w:b/>
          <w:sz w:val="22"/>
        </w:rPr>
        <w:t>Innhold:</w:t>
      </w:r>
    </w:p>
    <w:p>
      <w:pPr>
        <w:ind w:left="283"/>
      </w:pPr>
      <w:r>
        <w:rPr>
          <w:rFonts w:ascii="Calibri" w:hAnsi="Calibri"/>
          <w:sz w:val="22"/>
        </w:rPr>
        <w:t>Tre klynger med gjennomsnittsverdier: Klynge 1 (31 stk, lav verdi, høy CV), Klynge 2 (175 stk, middels verdi, svært variabelt), Klynge 3/K_OVERFØR (281 stk, høy verdi, stabil, høyt avvik).</w:t>
      </w:r>
    </w:p>
    <w:p>
      <w:r>
        <w:rPr>
          <w:rFonts w:ascii="Calibri" w:hAnsi="Calibri"/>
          <w:b/>
          <w:sz w:val="22"/>
        </w:rPr>
        <w:t>Tolkning:</w:t>
      </w:r>
    </w:p>
    <w:p>
      <w:pPr>
        <w:ind w:left="283"/>
      </w:pPr>
      <w:r>
        <w:rPr>
          <w:rFonts w:ascii="Calibri" w:hAnsi="Calibri"/>
          <w:i/>
          <w:sz w:val="22"/>
        </w:rPr>
        <w:t>K_OVERFØR-klyngen er de naturlige HVFS-kandidatene: verdifulle, stabile og overbestilte.</w:t>
      </w:r>
    </w:p>
    <w:p>
      <w:pPr>
        <w:pStyle w:val="Heading2"/>
      </w:pPr>
      <w:r>
        <w:t>Tabell 13 – HVFS-anbefalinger</w:t>
      </w:r>
    </w:p>
    <w:p>
      <w:r>
        <w:rPr>
          <w:rFonts w:ascii="Calibri" w:hAnsi="Calibri"/>
          <w:b/>
          <w:sz w:val="22"/>
        </w:rPr>
        <w:t>Innhold:</w:t>
      </w:r>
    </w:p>
    <w:p>
      <w:pPr>
        <w:ind w:left="283"/>
      </w:pPr>
      <w:r>
        <w:rPr>
          <w:rFonts w:ascii="Calibri" w:hAnsi="Calibri"/>
          <w:sz w:val="22"/>
        </w:rPr>
        <w:t>145 OVERFØR (20.5 %), 257 BEHOLD (36.2 %), 284 VURDER (40.1 %), 23 MANGLER DATA (3.2 %).</w:t>
      </w:r>
    </w:p>
    <w:p>
      <w:r>
        <w:rPr>
          <w:rFonts w:ascii="Calibri" w:hAnsi="Calibri"/>
          <w:b/>
          <w:sz w:val="22"/>
        </w:rPr>
        <w:t>Tolkning:</w:t>
      </w:r>
    </w:p>
    <w:p>
      <w:pPr>
        <w:ind w:left="283"/>
      </w:pPr>
      <w:r>
        <w:rPr>
          <w:rFonts w:ascii="Calibri" w:hAnsi="Calibri"/>
          <w:i/>
          <w:sz w:val="22"/>
        </w:rPr>
        <w:t>Hovedresultatet i rapporten – den endelige «listen» over anbefalinger.</w:t>
      </w:r>
    </w:p>
    <w:p>
      <w:pPr>
        <w:pStyle w:val="Heading2"/>
      </w:pPr>
      <w:r>
        <w:t>Tabell 14 – Besparelsesestimater</w:t>
      </w:r>
    </w:p>
    <w:p>
      <w:r>
        <w:rPr>
          <w:rFonts w:ascii="Calibri" w:hAnsi="Calibri"/>
          <w:b/>
          <w:sz w:val="22"/>
        </w:rPr>
        <w:t>Innhold:</w:t>
      </w:r>
    </w:p>
    <w:p>
      <w:pPr>
        <w:ind w:left="283"/>
      </w:pPr>
      <w:r>
        <w:rPr>
          <w:rFonts w:ascii="Calibri" w:hAnsi="Calibri"/>
          <w:sz w:val="22"/>
        </w:rPr>
        <w:t>Worst: kr 301 010 (g=50 %), Base: kr 451 515 (g=75 %), Best: kr 602 020 (g=100 %). For 117 artikler med S = 750 kr.</w:t>
      </w:r>
    </w:p>
    <w:p>
      <w:r>
        <w:rPr>
          <w:rFonts w:ascii="Calibri" w:hAnsi="Calibri"/>
          <w:b/>
          <w:sz w:val="22"/>
        </w:rPr>
        <w:t>Tolkning:</w:t>
      </w:r>
    </w:p>
    <w:p>
      <w:pPr>
        <w:ind w:left="283"/>
      </w:pPr>
      <w:r>
        <w:rPr>
          <w:rFonts w:ascii="Calibri" w:hAnsi="Calibri"/>
          <w:i/>
          <w:sz w:val="22"/>
        </w:rPr>
        <w:t>Svaret på «hvor mye kan vi spare?» – mellom 300k og 600k kr/år.</w:t>
      </w:r>
    </w:p>
    <w:p>
      <w:pPr>
        <w:pStyle w:val="Heading2"/>
      </w:pPr>
      <w:r>
        <w:t>Tabell 15 – Egne resultater vs. litteratur</w:t>
      </w:r>
    </w:p>
    <w:p>
      <w:r>
        <w:rPr>
          <w:rFonts w:ascii="Calibri" w:hAnsi="Calibri"/>
          <w:b/>
          <w:sz w:val="22"/>
        </w:rPr>
        <w:t>Innhold:</w:t>
      </w:r>
    </w:p>
    <w:p>
      <w:pPr>
        <w:ind w:left="283"/>
      </w:pPr>
      <w:r>
        <w:rPr>
          <w:rFonts w:ascii="Calibri" w:hAnsi="Calibri"/>
          <w:sz w:val="22"/>
        </w:rPr>
        <w:t>Sammenstilling av 6 nøkkelfunn mot referanser: A-klasse 25.7 % (OK vs. Pareto), ZZXYZ 33 % (forventet), silhouette 0.383 (&gt; 0.3), osv.</w:t>
      </w:r>
    </w:p>
    <w:p>
      <w:r>
        <w:rPr>
          <w:rFonts w:ascii="Calibri" w:hAnsi="Calibri"/>
          <w:b/>
          <w:sz w:val="22"/>
        </w:rPr>
        <w:t>Tolkning:</w:t>
      </w:r>
    </w:p>
    <w:p>
      <w:pPr>
        <w:ind w:left="283"/>
      </w:pPr>
      <w:r>
        <w:rPr>
          <w:rFonts w:ascii="Calibri" w:hAnsi="Calibri"/>
          <w:i/>
          <w:sz w:val="22"/>
        </w:rPr>
        <w:t>Alt stemmer med litteraturen – rapporten finner det man ville forvente.</w:t>
      </w:r>
    </w:p>
    <w:p>
      <w:r>
        <w:br w:type="page"/>
      </w:r>
    </w:p>
    <w:p>
      <w:pPr>
        <w:pStyle w:val="Heading1"/>
      </w:pPr>
      <w:r>
        <w:t>Del 6 – Ordliste og nøkkelbegreper</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Begrep</w:t>
            </w:r>
          </w:p>
        </w:tc>
        <w:tc>
          <w:tcPr>
            <w:tcW w:type="dxa" w:w="4320"/>
          </w:tcPr>
          <w:p>
            <w:r>
              <w:rPr>
                <w:b/>
                <w:sz w:val="20"/>
              </w:rPr>
              <w:t>Forklaring</w:t>
            </w:r>
          </w:p>
        </w:tc>
      </w:tr>
      <w:tr>
        <w:tc>
          <w:tcPr>
            <w:tcW w:type="dxa" w:w="4320"/>
          </w:tcPr>
          <w:p>
            <w:r>
              <w:rPr>
                <w:sz w:val="20"/>
              </w:rPr>
              <w:t>ABC-analyse</w:t>
            </w:r>
          </w:p>
        </w:tc>
        <w:tc>
          <w:tcPr>
            <w:tcW w:type="dxa" w:w="4320"/>
          </w:tcPr>
          <w:p>
            <w:r>
              <w:rPr>
                <w:sz w:val="20"/>
              </w:rPr>
              <w:t>Sortering av lagervarer etter verdi. A = de dyreste (80 % av total verdi), B = neste 15 %, C = resten (billigst, men flest varer).</w:t>
            </w:r>
          </w:p>
        </w:tc>
      </w:tr>
      <w:tr>
        <w:tc>
          <w:tcPr>
            <w:tcW w:type="dxa" w:w="4320"/>
          </w:tcPr>
          <w:p>
            <w:r>
              <w:rPr>
                <w:sz w:val="20"/>
              </w:rPr>
              <w:t>APL</w:t>
            </w:r>
          </w:p>
        </w:tc>
        <w:tc>
          <w:tcPr>
            <w:tcW w:type="dxa" w:w="4320"/>
          </w:tcPr>
          <w:p>
            <w:r>
              <w:rPr>
                <w:sz w:val="20"/>
              </w:rPr>
              <w:t>Avdelingspakkede leveranser – ferdigpakkede kasser direkte til sykehusavdelingen.</w:t>
            </w:r>
          </w:p>
        </w:tc>
      </w:tr>
      <w:tr>
        <w:tc>
          <w:tcPr>
            <w:tcW w:type="dxa" w:w="4320"/>
          </w:tcPr>
          <w:p>
            <w:r>
              <w:rPr>
                <w:sz w:val="20"/>
              </w:rPr>
              <w:t>BWART</w:t>
            </w:r>
          </w:p>
        </w:tc>
        <w:tc>
          <w:tcPr>
            <w:tcW w:type="dxa" w:w="4320"/>
          </w:tcPr>
          <w:p>
            <w:r>
              <w:rPr>
                <w:sz w:val="20"/>
              </w:rPr>
              <w:t>Bevegelsestype i SAP. 201 = forbruk til kostnadssted. 647 = spesialforbruk. 101 = varemottak fra leverandør.</w:t>
            </w:r>
          </w:p>
        </w:tc>
      </w:tr>
      <w:tr>
        <w:tc>
          <w:tcPr>
            <w:tcW w:type="dxa" w:w="4320"/>
          </w:tcPr>
          <w:p>
            <w:r>
              <w:rPr>
                <w:sz w:val="20"/>
              </w:rPr>
              <w:t>CV</w:t>
            </w:r>
          </w:p>
        </w:tc>
        <w:tc>
          <w:tcPr>
            <w:tcW w:type="dxa" w:w="4320"/>
          </w:tcPr>
          <w:p>
            <w:r>
              <w:rPr>
                <w:sz w:val="20"/>
              </w:rPr>
              <w:t>Variasjonskoeffisient = standardavvik / gjennomsnitt. Måler relativ variasjon.</w:t>
            </w:r>
          </w:p>
        </w:tc>
      </w:tr>
      <w:tr>
        <w:tc>
          <w:tcPr>
            <w:tcW w:type="dxa" w:w="4320"/>
          </w:tcPr>
          <w:p>
            <w:r>
              <w:rPr>
                <w:sz w:val="20"/>
              </w:rPr>
              <w:t>D_ANNUAL</w:t>
            </w:r>
          </w:p>
        </w:tc>
        <w:tc>
          <w:tcPr>
            <w:tcW w:type="dxa" w:w="4320"/>
          </w:tcPr>
          <w:p>
            <w:r>
              <w:rPr>
                <w:sz w:val="20"/>
              </w:rPr>
              <w:t>Annualisert årsforbruk (enheter per år).</w:t>
            </w:r>
          </w:p>
        </w:tc>
      </w:tr>
      <w:tr>
        <w:tc>
          <w:tcPr>
            <w:tcW w:type="dxa" w:w="4320"/>
          </w:tcPr>
          <w:p>
            <w:r>
              <w:rPr>
                <w:sz w:val="20"/>
              </w:rPr>
              <w:t>delta_TC</w:t>
            </w:r>
          </w:p>
        </w:tc>
        <w:tc>
          <w:tcPr>
            <w:tcW w:type="dxa" w:w="4320"/>
          </w:tcPr>
          <w:p>
            <w:r>
              <w:rPr>
                <w:sz w:val="20"/>
              </w:rPr>
              <w:t>Kostnadsavvik mellom faktisk og optimal totalkostnad (kr/år).</w:t>
            </w:r>
          </w:p>
        </w:tc>
      </w:tr>
      <w:tr>
        <w:tc>
          <w:tcPr>
            <w:tcW w:type="dxa" w:w="4320"/>
          </w:tcPr>
          <w:p>
            <w:r>
              <w:rPr>
                <w:sz w:val="20"/>
              </w:rPr>
              <w:t>EKBE</w:t>
            </w:r>
          </w:p>
        </w:tc>
        <w:tc>
          <w:tcPr>
            <w:tcW w:type="dxa" w:w="4320"/>
          </w:tcPr>
          <w:p>
            <w:r>
              <w:rPr>
                <w:sz w:val="20"/>
              </w:rPr>
              <w:t>SAP-tabell for innkjøpsordrehistorikk (varemottak).</w:t>
            </w:r>
          </w:p>
        </w:tc>
      </w:tr>
      <w:tr>
        <w:tc>
          <w:tcPr>
            <w:tcW w:type="dxa" w:w="4320"/>
          </w:tcPr>
          <w:p>
            <w:r>
              <w:rPr>
                <w:sz w:val="20"/>
              </w:rPr>
              <w:t>EKKO/EKPO</w:t>
            </w:r>
          </w:p>
        </w:tc>
        <w:tc>
          <w:tcPr>
            <w:tcW w:type="dxa" w:w="4320"/>
          </w:tcPr>
          <w:p>
            <w:r>
              <w:rPr>
                <w:sz w:val="20"/>
              </w:rPr>
              <w:t>SAP-tabeller for innkjøpsordrehode og -posisjoner.</w:t>
            </w:r>
          </w:p>
        </w:tc>
      </w:tr>
      <w:tr>
        <w:tc>
          <w:tcPr>
            <w:tcW w:type="dxa" w:w="4320"/>
          </w:tcPr>
          <w:p>
            <w:r>
              <w:rPr>
                <w:sz w:val="20"/>
              </w:rPr>
              <w:t>EOQ</w:t>
            </w:r>
          </w:p>
        </w:tc>
        <w:tc>
          <w:tcPr>
            <w:tcW w:type="dxa" w:w="4320"/>
          </w:tcPr>
          <w:p>
            <w:r>
              <w:rPr>
                <w:sz w:val="20"/>
              </w:rPr>
              <w:t>Economic Order Quantity – optimal bestillingsmengde som minimerer totalkostnad.</w:t>
            </w:r>
          </w:p>
        </w:tc>
      </w:tr>
      <w:tr>
        <w:tc>
          <w:tcPr>
            <w:tcW w:type="dxa" w:w="4320"/>
          </w:tcPr>
          <w:p>
            <w:r>
              <w:rPr>
                <w:sz w:val="20"/>
              </w:rPr>
              <w:t>f*</w:t>
            </w:r>
          </w:p>
        </w:tc>
        <w:tc>
          <w:tcPr>
            <w:tcW w:type="dxa" w:w="4320"/>
          </w:tcPr>
          <w:p>
            <w:r>
              <w:rPr>
                <w:sz w:val="20"/>
              </w:rPr>
              <w:t>Optimal ordrefrekvens (ordrer per år) ifølge Wilson-modellen.</w:t>
            </w:r>
          </w:p>
        </w:tc>
      </w:tr>
      <w:tr>
        <w:tc>
          <w:tcPr>
            <w:tcW w:type="dxa" w:w="4320"/>
          </w:tcPr>
          <w:p>
            <w:r>
              <w:rPr>
                <w:sz w:val="20"/>
              </w:rPr>
              <w:t>f_obs</w:t>
            </w:r>
          </w:p>
        </w:tc>
        <w:tc>
          <w:tcPr>
            <w:tcW w:type="dxa" w:w="4320"/>
          </w:tcPr>
          <w:p>
            <w:r>
              <w:rPr>
                <w:sz w:val="20"/>
              </w:rPr>
              <w:t>Observert (faktisk) ordrefrekvens fra SAP-data.</w:t>
            </w:r>
          </w:p>
        </w:tc>
      </w:tr>
      <w:tr>
        <w:tc>
          <w:tcPr>
            <w:tcW w:type="dxa" w:w="4320"/>
          </w:tcPr>
          <w:p>
            <w:r>
              <w:rPr>
                <w:sz w:val="20"/>
              </w:rPr>
              <w:t>FREQ_AVVIK</w:t>
            </w:r>
          </w:p>
        </w:tc>
        <w:tc>
          <w:tcPr>
            <w:tcW w:type="dxa" w:w="4320"/>
          </w:tcPr>
          <w:p>
            <w:r>
              <w:rPr>
                <w:sz w:val="20"/>
              </w:rPr>
              <w:t>Relativt avvik mellom faktisk og optimal ordrefrekvens.</w:t>
            </w:r>
          </w:p>
        </w:tc>
      </w:tr>
      <w:tr>
        <w:tc>
          <w:tcPr>
            <w:tcW w:type="dxa" w:w="4320"/>
          </w:tcPr>
          <w:p>
            <w:r>
              <w:rPr>
                <w:sz w:val="20"/>
              </w:rPr>
              <w:t>g</w:t>
            </w:r>
          </w:p>
        </w:tc>
        <w:tc>
          <w:tcPr>
            <w:tcW w:type="dxa" w:w="4320"/>
          </w:tcPr>
          <w:p>
            <w:r>
              <w:rPr>
                <w:sz w:val="20"/>
              </w:rPr>
              <w:t>Gevinstrealiseringsgrad – andelen av teoretisk besparelse som faktisk oppnås.</w:t>
            </w:r>
          </w:p>
        </w:tc>
      </w:tr>
      <w:tr>
        <w:tc>
          <w:tcPr>
            <w:tcW w:type="dxa" w:w="4320"/>
          </w:tcPr>
          <w:p>
            <w:r>
              <w:rPr>
                <w:sz w:val="20"/>
              </w:rPr>
              <w:t>H</w:t>
            </w:r>
          </w:p>
        </w:tc>
        <w:tc>
          <w:tcPr>
            <w:tcW w:type="dxa" w:w="4320"/>
          </w:tcPr>
          <w:p>
            <w:r>
              <w:rPr>
                <w:sz w:val="20"/>
              </w:rPr>
              <w:t>Holdekostnad per enhet per år = h x UNIT_PRICE (kr/stk/år).</w:t>
            </w:r>
          </w:p>
        </w:tc>
      </w:tr>
      <w:tr>
        <w:tc>
          <w:tcPr>
            <w:tcW w:type="dxa" w:w="4320"/>
          </w:tcPr>
          <w:p>
            <w:r>
              <w:rPr>
                <w:sz w:val="20"/>
              </w:rPr>
              <w:t>h</w:t>
            </w:r>
          </w:p>
        </w:tc>
        <w:tc>
          <w:tcPr>
            <w:tcW w:type="dxa" w:w="4320"/>
          </w:tcPr>
          <w:p>
            <w:r>
              <w:rPr>
                <w:sz w:val="20"/>
              </w:rPr>
              <w:t>Holdesats – prosent av enhetspris som utgjør årlig holdekostnad. h = 20 %.</w:t>
            </w:r>
          </w:p>
        </w:tc>
      </w:tr>
      <w:tr>
        <w:tc>
          <w:tcPr>
            <w:tcW w:type="dxa" w:w="4320"/>
          </w:tcPr>
          <w:p>
            <w:r>
              <w:rPr>
                <w:sz w:val="20"/>
              </w:rPr>
              <w:t>HVFS</w:t>
            </w:r>
          </w:p>
        </w:tc>
        <w:tc>
          <w:tcPr>
            <w:tcW w:type="dxa" w:w="4320"/>
          </w:tcPr>
          <w:p>
            <w:r>
              <w:rPr>
                <w:sz w:val="20"/>
              </w:rPr>
              <w:t>Helse Vest Forsyningssenter – det regionale sentrallageret.</w:t>
            </w:r>
          </w:p>
        </w:tc>
      </w:tr>
      <w:tr>
        <w:tc>
          <w:tcPr>
            <w:tcW w:type="dxa" w:w="4320"/>
          </w:tcPr>
          <w:p>
            <w:r>
              <w:rPr>
                <w:sz w:val="20"/>
              </w:rPr>
              <w:t>K-means</w:t>
            </w:r>
          </w:p>
        </w:tc>
        <w:tc>
          <w:tcPr>
            <w:tcW w:type="dxa" w:w="4320"/>
          </w:tcPr>
          <w:p>
            <w:r>
              <w:rPr>
                <w:sz w:val="20"/>
              </w:rPr>
              <w:t>Klyngealgoritme som deler datapunkter i K grupper basert på likhet.</w:t>
            </w:r>
          </w:p>
        </w:tc>
      </w:tr>
      <w:tr>
        <w:tc>
          <w:tcPr>
            <w:tcW w:type="dxa" w:w="4320"/>
          </w:tcPr>
          <w:p>
            <w:r>
              <w:rPr>
                <w:sz w:val="20"/>
              </w:rPr>
              <w:t>K_OVERFØR</w:t>
            </w:r>
          </w:p>
        </w:tc>
        <w:tc>
          <w:tcPr>
            <w:tcW w:type="dxa" w:w="4320"/>
          </w:tcPr>
          <w:p>
            <w:r>
              <w:rPr>
                <w:sz w:val="20"/>
              </w:rPr>
              <w:t>Den K-means-klyngen som best matcher HVFS-profilen (lav CV, høy verdi).</w:t>
            </w:r>
          </w:p>
        </w:tc>
      </w:tr>
      <w:tr>
        <w:tc>
          <w:tcPr>
            <w:tcW w:type="dxa" w:w="4320"/>
          </w:tcPr>
          <w:p>
            <w:r>
              <w:rPr>
                <w:sz w:val="20"/>
              </w:rPr>
              <w:t>LGORT</w:t>
            </w:r>
          </w:p>
        </w:tc>
        <w:tc>
          <w:tcPr>
            <w:tcW w:type="dxa" w:w="4320"/>
          </w:tcPr>
          <w:p>
            <w:r>
              <w:rPr>
                <w:sz w:val="20"/>
              </w:rPr>
              <w:t>Lagersted i SAP. LGORT 3001 = Helse Bergens hovedlager.</w:t>
            </w:r>
          </w:p>
        </w:tc>
      </w:tr>
      <w:tr>
        <w:tc>
          <w:tcPr>
            <w:tcW w:type="dxa" w:w="4320"/>
          </w:tcPr>
          <w:p>
            <w:r>
              <w:rPr>
                <w:sz w:val="20"/>
              </w:rPr>
              <w:t>LIBRA</w:t>
            </w:r>
          </w:p>
        </w:tc>
        <w:tc>
          <w:tcPr>
            <w:tcW w:type="dxa" w:w="4320"/>
          </w:tcPr>
          <w:p>
            <w:r>
              <w:rPr>
                <w:sz w:val="20"/>
              </w:rPr>
              <w:t>Helse Vests regionale SAP S/4HANA-implementeringsprosjekt.</w:t>
            </w:r>
          </w:p>
        </w:tc>
      </w:tr>
      <w:tr>
        <w:tc>
          <w:tcPr>
            <w:tcW w:type="dxa" w:w="4320"/>
          </w:tcPr>
          <w:p>
            <w:r>
              <w:rPr>
                <w:sz w:val="20"/>
              </w:rPr>
              <w:t>ln</w:t>
            </w:r>
          </w:p>
        </w:tc>
        <w:tc>
          <w:tcPr>
            <w:tcW w:type="dxa" w:w="4320"/>
          </w:tcPr>
          <w:p>
            <w:r>
              <w:rPr>
                <w:sz w:val="20"/>
              </w:rPr>
              <w:t>Naturlig logaritme. Komprimerer store tall for bedre statistisk analyse.</w:t>
            </w:r>
          </w:p>
        </w:tc>
      </w:tr>
      <w:tr>
        <w:tc>
          <w:tcPr>
            <w:tcW w:type="dxa" w:w="4320"/>
          </w:tcPr>
          <w:p>
            <w:r>
              <w:rPr>
                <w:sz w:val="20"/>
              </w:rPr>
              <w:t>MASTERFILE</w:t>
            </w:r>
          </w:p>
        </w:tc>
        <w:tc>
          <w:tcPr>
            <w:tcW w:type="dxa" w:w="4320"/>
          </w:tcPr>
          <w:p>
            <w:r>
              <w:rPr>
                <w:sz w:val="20"/>
              </w:rPr>
              <w:t>Den konsoliderte analysefilen med 709 artikler og 21 kolonner.</w:t>
            </w:r>
          </w:p>
        </w:tc>
      </w:tr>
      <w:tr>
        <w:tc>
          <w:tcPr>
            <w:tcW w:type="dxa" w:w="4320"/>
          </w:tcPr>
          <w:p>
            <w:r>
              <w:rPr>
                <w:sz w:val="20"/>
              </w:rPr>
              <w:t>MSEG</w:t>
            </w:r>
          </w:p>
        </w:tc>
        <w:tc>
          <w:tcPr>
            <w:tcW w:type="dxa" w:w="4320"/>
          </w:tcPr>
          <w:p>
            <w:r>
              <w:rPr>
                <w:sz w:val="20"/>
              </w:rPr>
              <w:t>SAP-tabell for varebevegelser (forbruk, overføring, retur).</w:t>
            </w:r>
          </w:p>
        </w:tc>
      </w:tr>
      <w:tr>
        <w:tc>
          <w:tcPr>
            <w:tcW w:type="dxa" w:w="4320"/>
          </w:tcPr>
          <w:p>
            <w:r>
              <w:rPr>
                <w:sz w:val="20"/>
              </w:rPr>
              <w:t>PEINH</w:t>
            </w:r>
          </w:p>
        </w:tc>
        <w:tc>
          <w:tcPr>
            <w:tcW w:type="dxa" w:w="4320"/>
          </w:tcPr>
          <w:p>
            <w:r>
              <w:rPr>
                <w:sz w:val="20"/>
              </w:rPr>
              <w:t>Prisenhet i SAP. Hvis PEINH = 100, er oppgitt pris per 100 stk, ikke per stk.</w:t>
            </w:r>
          </w:p>
        </w:tc>
      </w:tr>
      <w:tr>
        <w:tc>
          <w:tcPr>
            <w:tcW w:type="dxa" w:w="4320"/>
          </w:tcPr>
          <w:p>
            <w:r>
              <w:rPr>
                <w:sz w:val="20"/>
              </w:rPr>
              <w:t>Q*</w:t>
            </w:r>
          </w:p>
        </w:tc>
        <w:tc>
          <w:tcPr>
            <w:tcW w:type="dxa" w:w="4320"/>
          </w:tcPr>
          <w:p>
            <w:r>
              <w:rPr>
                <w:sz w:val="20"/>
              </w:rPr>
              <w:t>Optimal bestillingsmengde ifølge Wilson/EOQ-formelen.</w:t>
            </w:r>
          </w:p>
        </w:tc>
      </w:tr>
      <w:tr>
        <w:tc>
          <w:tcPr>
            <w:tcW w:type="dxa" w:w="4320"/>
          </w:tcPr>
          <w:p>
            <w:r>
              <w:rPr>
                <w:sz w:val="20"/>
              </w:rPr>
              <w:t>S</w:t>
            </w:r>
          </w:p>
        </w:tc>
        <w:tc>
          <w:tcPr>
            <w:tcW w:type="dxa" w:w="4320"/>
          </w:tcPr>
          <w:p>
            <w:r>
              <w:rPr>
                <w:sz w:val="20"/>
              </w:rPr>
              <w:t>Ordrekostnad per bestilling. S = 750 NOK i denne studien.</w:t>
            </w:r>
          </w:p>
        </w:tc>
      </w:tr>
      <w:tr>
        <w:tc>
          <w:tcPr>
            <w:tcW w:type="dxa" w:w="4320"/>
          </w:tcPr>
          <w:p>
            <w:r>
              <w:rPr>
                <w:sz w:val="20"/>
              </w:rPr>
              <w:t>SE16H</w:t>
            </w:r>
          </w:p>
        </w:tc>
        <w:tc>
          <w:tcPr>
            <w:tcW w:type="dxa" w:w="4320"/>
          </w:tcPr>
          <w:p>
            <w:r>
              <w:rPr>
                <w:sz w:val="20"/>
              </w:rPr>
              <w:t>SAP-transaksjon for direkte lesetilgang til databasetabeller.</w:t>
            </w:r>
          </w:p>
        </w:tc>
      </w:tr>
      <w:tr>
        <w:tc>
          <w:tcPr>
            <w:tcW w:type="dxa" w:w="4320"/>
          </w:tcPr>
          <w:p>
            <w:r>
              <w:rPr>
                <w:sz w:val="20"/>
              </w:rPr>
              <w:t>Silhouette-score</w:t>
            </w:r>
          </w:p>
        </w:tc>
        <w:tc>
          <w:tcPr>
            <w:tcW w:type="dxa" w:w="4320"/>
          </w:tcPr>
          <w:p>
            <w:r>
              <w:rPr>
                <w:sz w:val="20"/>
              </w:rPr>
              <w:t>Mål på klyngekvalitet. +1 = perfekt separert. 0 = overlapp. -1 = feil klynge.</w:t>
            </w:r>
          </w:p>
        </w:tc>
      </w:tr>
      <w:tr>
        <w:tc>
          <w:tcPr>
            <w:tcW w:type="dxa" w:w="4320"/>
          </w:tcPr>
          <w:p>
            <w:r>
              <w:rPr>
                <w:sz w:val="20"/>
              </w:rPr>
              <w:t>STPRS</w:t>
            </w:r>
          </w:p>
        </w:tc>
        <w:tc>
          <w:tcPr>
            <w:tcW w:type="dxa" w:w="4320"/>
          </w:tcPr>
          <w:p>
            <w:r>
              <w:rPr>
                <w:sz w:val="20"/>
              </w:rPr>
              <w:t>Standardpris i SAP (fra tabell MBEW). Oppgitt per PEINH enheter.</w:t>
            </w:r>
          </w:p>
        </w:tc>
      </w:tr>
      <w:tr>
        <w:tc>
          <w:tcPr>
            <w:tcW w:type="dxa" w:w="4320"/>
          </w:tcPr>
          <w:p>
            <w:r>
              <w:rPr>
                <w:sz w:val="20"/>
              </w:rPr>
              <w:t>tau_f</w:t>
            </w:r>
          </w:p>
        </w:tc>
        <w:tc>
          <w:tcPr>
            <w:tcW w:type="dxa" w:w="4320"/>
          </w:tcPr>
          <w:p>
            <w:r>
              <w:rPr>
                <w:sz w:val="20"/>
              </w:rPr>
              <w:t>Terskelverdi for EOQ-frekvensavvik. tau_f = 1.5 -&gt; 150 % overbestilling.</w:t>
            </w:r>
          </w:p>
        </w:tc>
      </w:tr>
      <w:tr>
        <w:tc>
          <w:tcPr>
            <w:tcW w:type="dxa" w:w="4320"/>
          </w:tcPr>
          <w:p>
            <w:r>
              <w:rPr>
                <w:sz w:val="20"/>
              </w:rPr>
              <w:t>UNIT_PRICE</w:t>
            </w:r>
          </w:p>
        </w:tc>
        <w:tc>
          <w:tcPr>
            <w:tcW w:type="dxa" w:w="4320"/>
          </w:tcPr>
          <w:p>
            <w:r>
              <w:rPr>
                <w:sz w:val="20"/>
              </w:rPr>
              <w:t>Korrigert enhetspris = STPRS / PEINH (kr per stk).</w:t>
            </w:r>
          </w:p>
        </w:tc>
      </w:tr>
      <w:tr>
        <w:tc>
          <w:tcPr>
            <w:tcW w:type="dxa" w:w="4320"/>
          </w:tcPr>
          <w:p>
            <w:r>
              <w:rPr>
                <w:sz w:val="20"/>
              </w:rPr>
              <w:t>WERKS</w:t>
            </w:r>
          </w:p>
        </w:tc>
        <w:tc>
          <w:tcPr>
            <w:tcW w:type="dxa" w:w="4320"/>
          </w:tcPr>
          <w:p>
            <w:r>
              <w:rPr>
                <w:sz w:val="20"/>
              </w:rPr>
              <w:t>Anlegg/verk i SAP. WERKS 3300 = Helse Bergen.</w:t>
            </w:r>
          </w:p>
        </w:tc>
      </w:tr>
      <w:tr>
        <w:tc>
          <w:tcPr>
            <w:tcW w:type="dxa" w:w="4320"/>
          </w:tcPr>
          <w:p>
            <w:r>
              <w:rPr>
                <w:sz w:val="20"/>
              </w:rPr>
              <w:t>Wilson-modellen</w:t>
            </w:r>
          </w:p>
        </w:tc>
        <w:tc>
          <w:tcPr>
            <w:tcW w:type="dxa" w:w="4320"/>
          </w:tcPr>
          <w:p>
            <w:r>
              <w:rPr>
                <w:sz w:val="20"/>
              </w:rPr>
              <w:t>Den klassiske EOQ-formelen: Q* = sqrt(2DS/H).</w:t>
            </w:r>
          </w:p>
        </w:tc>
      </w:tr>
      <w:tr>
        <w:tc>
          <w:tcPr>
            <w:tcW w:type="dxa" w:w="4320"/>
          </w:tcPr>
          <w:p>
            <w:r>
              <w:rPr>
                <w:sz w:val="20"/>
              </w:rPr>
              <w:t>z-score</w:t>
            </w:r>
          </w:p>
        </w:tc>
        <w:tc>
          <w:tcPr>
            <w:tcW w:type="dxa" w:w="4320"/>
          </w:tcPr>
          <w:p>
            <w:r>
              <w:rPr>
                <w:sz w:val="20"/>
              </w:rPr>
              <w:t>Standardisert verdi: z = (x - gjennomsnitt) / standardavvik. Gjør ulike variabler sammenlignbare.</w:t>
            </w:r>
          </w:p>
        </w:tc>
      </w:tr>
      <w:tr>
        <w:tc>
          <w:tcPr>
            <w:tcW w:type="dxa" w:w="4320"/>
          </w:tcPr>
          <w:p>
            <w:r>
              <w:rPr>
                <w:sz w:val="20"/>
              </w:rPr>
              <w:t>ZZXYZ</w:t>
            </w:r>
          </w:p>
        </w:tc>
        <w:tc>
          <w:tcPr>
            <w:tcW w:type="dxa" w:w="4320"/>
          </w:tcPr>
          <w:p>
            <w:r>
              <w:rPr>
                <w:sz w:val="20"/>
              </w:rPr>
              <w:t>SAP-felt for XYZ-klassifisering i tabell MDMA. Ofte utdatert.</w:t>
            </w:r>
          </w:p>
        </w:tc>
      </w:tr>
    </w:tbl>
    <w:p/>
    <w:p>
      <w:r>
        <w:br w:type="page"/>
      </w:r>
    </w:p>
    <w:p>
      <w:pPr>
        <w:pStyle w:val="Heading1"/>
      </w:pPr>
      <w:r>
        <w:t>Om dette dokumentet</w:t>
      </w:r>
    </w:p>
    <w:p>
      <w:r>
        <w:rPr>
          <w:rFonts w:ascii="Calibri" w:hAnsi="Calibri"/>
          <w:sz w:val="22"/>
        </w:rPr>
        <w:t>Dette hjelpedokumentet er laget med Feynman-teknikken: Alle konsepter, formler, figurer og tabeller i LOG650-rapporten er forklart med enkle ord, analogier og talleksempler – som om du forklarer det til noen uten forkunnskaper i statistikk eller lagerstyring.</w:t>
      </w:r>
    </w:p>
    <w:p>
      <w:r>
        <w:rPr>
          <w:rFonts w:ascii="Calibri" w:hAnsi="Calibri"/>
          <w:sz w:val="22"/>
        </w:rPr>
        <w:t>Feynman-teknikken har fire steg:</w:t>
        <w:br/>
        <w:t>1. Velg et konsept</w:t>
        <w:br/>
        <w:t>2. Forklar det med enkle ord (som til en 12-åring)</w:t>
        <w:br/>
        <w:t>3. Identifiser hullene i forklaringen din</w:t>
        <w:br/>
        <w:t>4. Forenkle og bruk analogier</w:t>
      </w:r>
    </w:p>
    <w:p>
      <w:r>
        <w:rPr>
          <w:rFonts w:ascii="Calibri" w:hAnsi="Calibri"/>
          <w:i/>
          <w:sz w:val="22"/>
        </w:rPr>
        <w:t>Referanse: Basert på rapporten «Fra lokalt forsyningslager til regional sentralforsyning» av Thomas Ekrem Jensen, LOG650 Forskningsprosjekt, Høgskolen i Molde, våren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2A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