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4"/>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5"/>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6"/>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7"/>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8"/>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rapporten er skrevet som avsluttende arbeid i emnet LOG650 Forskningsprosjekt: Logistikk og kunstig intelligens ved Høgskolen i Molde, vårsemesteret 2026.</w:t>
      </w:r>
    </w:p>
    <w:p>
      <w:pPr>
        <w:spacing w:line="360" w:lineRule="auto"/>
      </w:pPr>
      <w:r>
        <w:rPr>
          <w:rFonts w:ascii="Times New Roman" w:hAnsi="Times New Roman"/>
          <w:sz w:val="24"/>
        </w:rPr>
        <w:t xml:space="preserve">Jeg vil rette en hjertelig takk til min veileder, Bård Inge Austigard Pettersen, for faglig engasjement, konstruktive tilbakemeldinger og tydelige forventninger gjennom hele prosessen. Hans kombinasjon av akademisk presisjon og praktisk forankring har vært uvurderlig for å løfte oppgaven fra en teknisk analyse til et faglig gjennomarbeidet forskningsprosjekt.</w:t>
      </w:r>
    </w:p>
    <w:p>
      <w:pPr>
        <w:spacing w:line="360" w:lineRule="auto"/>
      </w:pPr>
      <w:r>
        <w:rPr>
          <w:rFonts w:ascii="Times New Roman" w:hAnsi="Times New Roman"/>
          <w:sz w:val="24"/>
        </w:rPr>
        <w:t xml:space="preserve">Takk til Helse Bergen ved innkjøps- og logistikkavdelingen for tilgang til transaksjonsdata fra SAP S/4HANA. Uten tillatelse til å hente ut data fra forsyningslagerets 14 kildetabeller via SE16H hadde den kvantitative analysen ikke vært gjennomførbar. Datagrunnlaget er behandlet i henhold til gjeldende retningslinjer for personvern og informasjonssikkerhet, og ingen pasientdata er benyttet i studien.</w:t>
      </w:r>
    </w:p>
    <w:p>
      <w:pPr>
        <w:spacing w:line="360" w:lineRule="auto"/>
      </w:pPr>
      <w:r>
        <w:rPr>
          <w:rFonts w:ascii="Times New Roman" w:hAnsi="Times New Roman"/>
          <w:sz w:val="24"/>
        </w:rPr>
        <w:t xml:space="preserve">Motivasjonen for å skrive om dette temaet springer ut av min daglige jobb som SAP MM-konsulent ved Helse Vest IKT, der jeg arbeider med materialstyring og logistikk i SAP S/4HANA som del av LIBRA-prosjektet – Helse Vest sin regionale SAP-implementering. Gjennom dette arbeidet ser jeg at det finnes et reelt gap mellom de datamengdene som allerede eksisterer i systemet og den innsikten som faktisk utnyttes til å ta operasjonelle og strategiske beslutninger. Denne oppgaven er et forsøk på å bygge bro over det gapet, og å demonstrere at transaksjonsdataene i SAP – riktig bearbeidet – kan gi et robust grunnlag for å identifisere overføringskandidater til Helse Vest Forsyningssenter.</w:t>
      </w:r>
    </w:p>
    <w:p>
      <w:pPr>
        <w:spacing w:line="360" w:lineRule="auto"/>
      </w:pPr>
      <w:r>
        <w:rPr>
          <w:rFonts w:ascii="Times New Roman" w:hAnsi="Times New Roman"/>
          <w:sz w:val="24"/>
        </w:rPr>
        <w:t xml:space="preserve">Jeg vil også takke min samboer Hilde for tålmodighet og støtte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bør overføres til Helse Vest Forsyningssenter (HVFS), og estimerer det tilknyttede besparelsespotensialet. Bakgrunnen er LIBRA-prosjektet, Helse Vests regionale implementering av SAP S/4HANA, som legger til rette for sentralisert forsyning via en avdelingspakket leveransemodell (APL). Formålet er å utvikle et datadrevet og reproduserbart rammeverk for sentraliseringsvurdering basert på operasjonelle SAP-transaksjonsdata.</w:t>
      </w:r>
    </w:p>
    <w:p>
      <w:pPr>
        <w:pStyle w:val="Normal"/>
        <w:spacing w:line="360" w:lineRule="auto"/>
      </w:pPr>
      <w:r>
        <w:rPr>
          <w:rFonts w:ascii="Times New Roman" w:hAnsi="Times New Roman"/>
          <w:sz w:val="24"/>
        </w:rPr>
        <w:t xml:space="preserve">Datagrunnlaget består av 709 aktive artikler hentet fra 14 tabeller i SAP S/4HANA via transaksjonen SE16H, for perioden 2024–2025. Av totalt 1 006 unike artikkelnumre i LGORT 3001 ble 297 artikler ekskludert fordi de ikke hadde registrert forbruk og ikke hadde lagerbeholdning i analyseperioden — operasjonelt inaktive artikler etter aktivitetskriteriet i D-01. Dataforbehandlingen er dokumentert gjennom åtte eksplisitte datavalgsbeslutninger (D-01 til D-08) og gjennomføres med et deterministisk Python-script for full reproduserbarhet.</w:t>
      </w:r>
    </w:p>
    <w:p>
      <w:pPr>
        <w:pStyle w:val="Normal"/>
        <w:spacing w:line="360" w:lineRule="auto"/>
      </w:pPr>
      <w:r>
        <w:rPr>
          <w:rFonts w:ascii="Times New Roman" w:hAnsi="Times New Roman"/>
          <w:sz w:val="24"/>
        </w:rPr>
        <w:t xml:space="preserve">Analysen kombinerer fire metoder i en integrert rørledning: ABC-klassifisering basert på Pareto-prinsippet, XYZ-klassifisering basert på variasjonskoeffisient (CV), EOQ-avviksanalyse med parametere S = 750 kr og h = 20 % av enhetspris, og K-means klyngeanalyse med automatisk K-valg via silhouette-score. Resultatene sammenstilles i en regelmotor med åtte beslutningsregler som klassifiserer hver artikkel i én av fire kategorier: OVERFØR_HVFS, BEHOLD_LOKALT, VURDER_NÆRMERE eller MANGLER_DATA.</w:t>
      </w:r>
    </w:p>
    <w:p>
      <w:pPr>
        <w:pStyle w:val="Normal"/>
        <w:spacing w:line="360" w:lineRule="auto"/>
      </w:pPr>
      <w:r>
        <w:rPr>
          <w:rFonts w:ascii="Times New Roman" w:hAnsi="Times New Roman"/>
          <w:sz w:val="24"/>
        </w:rPr>
        <w:t xml:space="preserve">ABC-analysen viser at 182 artikler (25,7 %) tilhører A-kategorien og bærer om lag 80 % av den totale verdibindingen; 184 tilhører B og 338 tilhører C — de resterende 5 artiklene kunne ikke ABC-klassifiseres grunnet manglende verdidata. XYZ-analysen klassifiserer 350 artikler som X (stabilt forbruk, CV &lt; 0,5), 193 som Y og 144 som Z; 22 artikler ble ikke XYZ-klassifisert grunnet utilstrekkelig forbrukshistorikk. K-means-analysen identifiserer K = 3 distinkte klynger med silhouette-score 0,383 på treningsdata og 0,368 på testdata, noe som bekrefter en akseptabel klyngestruktur. Regelmotoren identifiserer 145 artikler (20,5 %) som prioriterte overføringskandidater til HVFS, mens 257 artikler beholdes lokalt, 284 sendes til manuell vurdering og 23 artikler (3,2 %) mangler tilstrekkelig data for klassifisering. At 40,1 % av artiklene havner i manuell vurdering, reflekterer at modellen prioriterer presisjon over recall — hovedverdien er systematisk triage av artikkelporteføljen, ikke full beslutningsautomatisering. Det estimerte besparelsespotensialet varierer fra kr 301 010 (pessimistisk, g = 50 %) til kr 602 020 (optimistisk, g = 100 %) per år, med et base case-estimat på kr 451 515 (g = 75 %). Parametrene S, h og g er ikke kalibrert mot lokalt observerte kostnader, og estimatene bør betraktes som scenariobaserte intervaller.</w:t>
      </w:r>
    </w:p>
    <w:p>
      <w:pPr>
        <w:pStyle w:val="Normal"/>
        <w:spacing w:line="360" w:lineRule="auto"/>
      </w:pPr>
      <w:r>
        <w:rPr>
          <w:rFonts w:ascii="Times New Roman" w:hAnsi="Times New Roman"/>
          <w:sz w:val="24"/>
        </w:rPr>
        <w:t xml:space="preserve">Studien konkluderer med at multikriterieklassifisering og klyngeanalyse av SAP-transaksjonsdata gir et strukturert beslutningsgrunnlag for å prioritere HVFS-overføringskandidater ved Helse Bergen. Realisering forutsetter aktiv justering av SAP MM-parametere, innkjøpsfaglig validering av overføringslisten, og en strukturert manuell gjennomgang av VURDER NÆRMERE-gruppen.</w:t>
      </w:r>
    </w:p>
    <w:p>
      <w:pPr>
        <w:pStyle w:val="Normal"/>
        <w:spacing w:line="360" w:lineRule="auto"/>
      </w:pPr>
      <w:r>
        <w:rPr>
          <w:rFonts w:ascii="Times New Roman" w:hAnsi="Times New Roman"/>
          <w:sz w:val="24"/>
        </w:rPr>
        <w:t xml:space="preserve"># Abstract</w:t>
      </w:r>
    </w:p>
    <w:p>
      <w:pPr>
        <w:pStyle w:val="Normal"/>
        <w:spacing w:line="360" w:lineRule="auto"/>
      </w:pPr>
      <w:r>
        <w:rPr>
          <w:rFonts w:ascii="Times New Roman" w:hAnsi="Times New Roman"/>
          <w:sz w:val="24"/>
        </w:rPr>
        <w:t xml:space="preserve">This study analyses which medical consumable articles at Helse Bergen's supply warehouse (WERKS 3300, LGORT 3001) should be transferred to the regional supply centre Helse Vest Forsyningssenter (HVFS), and estimates the associated cost savings. The context is the LIBRA project — Helse Vest's regional implementation of SAP S/4HANA — which enables centralised supply through a department-packed delivery model (APL).</w:t>
      </w:r>
    </w:p>
    <w:p>
      <w:pPr>
        <w:pStyle w:val="Normal"/>
        <w:spacing w:line="360" w:lineRule="auto"/>
      </w:pPr>
      <w:r>
        <w:rPr>
          <w:rFonts w:ascii="Times New Roman" w:hAnsi="Times New Roman"/>
          <w:sz w:val="24"/>
        </w:rPr>
        <w:t xml:space="preserve">The dataset comprises 709 active articles extracted from 14 SAP S/4HANA tables for the period 2024–2025. The analysis combines four methods in an integrated pipeline: ABC classification based on the Pareto principle, XYZ classification based on the coefficient of variation (CV), EOQ deviation analysis with parameters S = NOK 750 and h = 20 % of unit price, and K-means cluster analysis with automatic K selection via silhouette score. Results are synthesised through a rule engine with eight decision rules that classify each article into one of four categories: TRANSFER, KEEP LOCAL, REVIEW, or INSUFFICIENT DATA.</w:t>
      </w:r>
    </w:p>
    <w:p>
      <w:pPr>
        <w:pStyle w:val="Normal"/>
        <w:spacing w:line="360" w:lineRule="auto"/>
      </w:pPr>
      <w:r>
        <w:rPr>
          <w:rFonts w:ascii="Times New Roman" w:hAnsi="Times New Roman"/>
          <w:sz w:val="24"/>
        </w:rPr>
        <w:t xml:space="preserve">The ABC analysis assigns 182 articles (25.7 %) to category A, accounting for approximately 80 % of total value. K-means identifies K = 3 clusters with silhouette scores of 0.383 (training) and 0.368 (test), confirming acceptable cluster structure. The rule engine identifies 145 articles (20.5 %) as prioritised transfer candidates, while 257 are retained locally, 284 require manual review, and 23 lack sufficient data. The estimated annual savings potential ranges from NOK 301 010 (pessimistic, g = 50 %) to NOK 602 020 (optimistic, g = 100 %), with a base case estimate of NOK 451 515 (g = 75 %). As cost parameters are not calibrated against locally observed costs, these estimates should be interpreted as scenario-based intervals.</w:t>
      </w:r>
    </w:p>
    <w:p>
      <w:pPr>
        <w:pStyle w:val="Normal"/>
        <w:spacing w:line="360" w:lineRule="auto"/>
      </w:pPr>
      <w:r>
        <w:rPr>
          <w:rFonts w:ascii="Times New Roman" w:hAnsi="Times New Roman"/>
          <w:sz w:val="24"/>
        </w:rPr>
        <w:t xml:space="preserve">The study concludes that multi-criteria classification combined with cluster analysis of SAP transaction data provides a structured decision basis for prioritising HVFS transfer candidates. The tool's primary value is systematic triage of the article portfolio; final transfer decisions require procurement and clinical validation, active adjustment of SAP MM parameters, and structured expert review of the REVIEW group.</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9"/>
          <w:pgSz w:w="11907" w:h="16840"/>
          <w:pgMar w:top="1417" w:right="1417" w:bottom="1417" w:left="1701" w:header="720" w:footer="403" w:gutter="0"/>
          <w:cols w:space="720"/>
          <w:formProt w:val="0"/>
          <w:titlePg/>
        </w:sectPr>
      </w:pPr>
    </w:p>
    <w:p w14:paraId="61564282" w14:textId="77777777" w:rsidR="00B33323" w:rsidRDefault="00B33323">
      <w:pPr>
        <w:pStyle w:val="INNH1"/>
        <w:tabs>
          <w:tab w:val="left" w:pos="660"/>
        </w:tabs>
        <w:rPr>
          <w:rFonts w:ascii="Arial" w:hAnsi="Arial" w:cs="Arial"/>
          <w:b w:val="0"/>
          <w:sz w:val="28"/>
          <w:szCs w:val="28"/>
        </w:rPr>
      </w:pPr>
      <w:r>
        <w:rPr>
          <w:rFonts w:ascii="Arial" w:hAnsi="Arial" w:cs="Arial"/>
          <w:b w:val="0"/>
          <w:sz w:val="28"/>
          <w:szCs w:val="28"/>
        </w:rPr>
        <w:lastRenderedPageBreak/>
        <w:t>Inn</w:t>
      </w:r>
      <w:r w:rsidR="006E2A3C">
        <w:rPr>
          <w:rFonts w:ascii="Arial" w:hAnsi="Arial" w:cs="Arial"/>
          <w:b w:val="0"/>
          <w:sz w:val="28"/>
          <w:szCs w:val="28"/>
        </w:rPr>
        <w:t>hold</w:t>
      </w:r>
    </w:p>
    <w:p w14:paraId="164F99FC" w14:textId="168D5DCF" w:rsidR="00666373" w:rsidRDefault="00B33323">
      <w:pPr>
        <w:pStyle w:val="INNH1"/>
        <w:tabs>
          <w:tab w:val="left" w:pos="720"/>
        </w:tabs>
        <w:rPr>
          <w:rFonts w:asciiTheme="minorHAnsi" w:eastAsiaTheme="minorEastAsia" w:hAnsiTheme="minorHAnsi" w:cstheme="minorBidi"/>
          <w:b w:val="0"/>
          <w:kern w:val="2"/>
          <w:lang w:val="en-GB" w:eastAsia="en-GB" w:bidi="ar-SA"/>
          <w14:ligatures w14:val="standardContextual"/>
        </w:rPr>
      </w:pPr>
      <w:r>
        <w:rPr>
          <w:rFonts w:ascii="Arial" w:hAnsi="Arial" w:cs="Arial"/>
          <w:b w:val="0"/>
          <w:sz w:val="28"/>
          <w:szCs w:val="28"/>
        </w:rPr>
        <w:fldChar w:fldCharType="begin"/>
      </w:r>
      <w:r>
        <w:rPr>
          <w:rFonts w:ascii="Arial" w:hAnsi="Arial" w:cs="Arial"/>
          <w:b w:val="0"/>
          <w:sz w:val="28"/>
          <w:szCs w:val="28"/>
        </w:rPr>
        <w:instrText xml:space="preserve"> TOC \o "1-3" \h \z \u </w:instrText>
      </w:r>
      <w:r>
        <w:rPr>
          <w:rFonts w:ascii="Arial" w:hAnsi="Arial" w:cs="Arial"/>
          <w:b w:val="0"/>
          <w:sz w:val="28"/>
          <w:szCs w:val="28"/>
        </w:rPr>
        <w:fldChar w:fldCharType="separate"/>
      </w:r>
      <w:hyperlink w:anchor="_Toc222057403" w:history="1">
        <w:r w:rsidR="00666373" w:rsidRPr="009217D2">
          <w:rPr>
            <w:rStyle w:val="Hyperkobling"/>
          </w:rPr>
          <w:t>1.0</w:t>
        </w:r>
        <w:r w:rsidR="00666373">
          <w:rPr>
            <w:rFonts w:asciiTheme="minorHAnsi" w:eastAsiaTheme="minorEastAsia" w:hAnsiTheme="minorHAnsi" w:cstheme="minorBidi"/>
            <w:b w:val="0"/>
            <w:kern w:val="2"/>
            <w:lang w:val="en-GB" w:eastAsia="en-GB" w:bidi="ar-SA"/>
            <w14:ligatures w14:val="standardContextual"/>
          </w:rPr>
          <w:tab/>
        </w:r>
        <w:r w:rsidR="00666373" w:rsidRPr="009217D2">
          <w:rPr>
            <w:rStyle w:val="Hyperkobling"/>
          </w:rPr>
          <w:t>Innledning</w:t>
        </w:r>
        <w:r w:rsidR="00666373">
          <w:rPr>
            <w:webHidden/>
          </w:rPr>
          <w:tab/>
        </w:r>
        <w:r w:rsidR="00666373">
          <w:rPr>
            <w:webHidden/>
          </w:rPr>
          <w:fldChar w:fldCharType="begin"/>
        </w:r>
        <w:r w:rsidR="00666373">
          <w:rPr>
            <w:webHidden/>
          </w:rPr>
          <w:instrText xml:space="preserve"> PAGEREF _Toc222057403 \h </w:instrText>
        </w:r>
        <w:r w:rsidR="00666373">
          <w:rPr>
            <w:webHidden/>
          </w:rPr>
        </w:r>
        <w:r w:rsidR="00666373">
          <w:rPr>
            <w:webHidden/>
          </w:rPr>
          <w:fldChar w:fldCharType="separate"/>
        </w:r>
        <w:r w:rsidR="00666373">
          <w:rPr>
            <w:webHidden/>
          </w:rPr>
          <w:t>1</w:t>
        </w:r>
        <w:r w:rsidR="00666373">
          <w:rPr>
            <w:webHidden/>
          </w:rPr>
          <w:fldChar w:fldCharType="end"/>
        </w:r>
      </w:hyperlink>
    </w:p>
    <w:p w14:paraId="06D31265" w14:textId="6CFF9B84"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4" w:history="1">
        <w:r w:rsidRPr="009217D2">
          <w:rPr>
            <w:rStyle w:val="Hyperkobling"/>
            <w:noProof/>
          </w:rPr>
          <w:t>1.1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Problemstilling</w:t>
        </w:r>
        <w:r>
          <w:rPr>
            <w:noProof/>
            <w:webHidden/>
          </w:rPr>
          <w:tab/>
        </w:r>
        <w:r>
          <w:rPr>
            <w:noProof/>
            <w:webHidden/>
          </w:rPr>
          <w:fldChar w:fldCharType="begin"/>
        </w:r>
        <w:r>
          <w:rPr>
            <w:noProof/>
            <w:webHidden/>
          </w:rPr>
          <w:instrText xml:space="preserve"> PAGEREF _Toc222057404 \h </w:instrText>
        </w:r>
        <w:r>
          <w:rPr>
            <w:noProof/>
            <w:webHidden/>
          </w:rPr>
        </w:r>
        <w:r>
          <w:rPr>
            <w:noProof/>
            <w:webHidden/>
          </w:rPr>
          <w:fldChar w:fldCharType="separate"/>
        </w:r>
        <w:r>
          <w:rPr>
            <w:noProof/>
            <w:webHidden/>
          </w:rPr>
          <w:t>2</w:t>
        </w:r>
        <w:r>
          <w:rPr>
            <w:noProof/>
            <w:webHidden/>
          </w:rPr>
          <w:fldChar w:fldCharType="end"/>
        </w:r>
      </w:hyperlink>
    </w:p>
    <w:p w14:paraId="6A7568DB" w14:textId="42B9EC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5" w:history="1">
        <w:r w:rsidRPr="009217D2">
          <w:rPr>
            <w:rStyle w:val="Hyperkobling"/>
            <w:noProof/>
          </w:rPr>
          <w:t>1.2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Delproblemer (valgfri)</w:t>
        </w:r>
        <w:r>
          <w:rPr>
            <w:noProof/>
            <w:webHidden/>
          </w:rPr>
          <w:tab/>
        </w:r>
        <w:r>
          <w:rPr>
            <w:noProof/>
            <w:webHidden/>
          </w:rPr>
          <w:fldChar w:fldCharType="begin"/>
        </w:r>
        <w:r>
          <w:rPr>
            <w:noProof/>
            <w:webHidden/>
          </w:rPr>
          <w:instrText xml:space="preserve"> PAGEREF _Toc222057405 \h </w:instrText>
        </w:r>
        <w:r>
          <w:rPr>
            <w:noProof/>
            <w:webHidden/>
          </w:rPr>
        </w:r>
        <w:r>
          <w:rPr>
            <w:noProof/>
            <w:webHidden/>
          </w:rPr>
          <w:fldChar w:fldCharType="separate"/>
        </w:r>
        <w:r>
          <w:rPr>
            <w:noProof/>
            <w:webHidden/>
          </w:rPr>
          <w:t>2</w:t>
        </w:r>
        <w:r>
          <w:rPr>
            <w:noProof/>
            <w:webHidden/>
          </w:rPr>
          <w:fldChar w:fldCharType="end"/>
        </w:r>
      </w:hyperlink>
    </w:p>
    <w:p w14:paraId="3544944B" w14:textId="61AF78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6" w:history="1">
        <w:r w:rsidRPr="009217D2">
          <w:rPr>
            <w:rStyle w:val="Hyperkobling"/>
            <w:noProof/>
          </w:rPr>
          <w:t>1.3</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Avgrensinger</w:t>
        </w:r>
        <w:r>
          <w:rPr>
            <w:noProof/>
            <w:webHidden/>
          </w:rPr>
          <w:tab/>
        </w:r>
        <w:r>
          <w:rPr>
            <w:noProof/>
            <w:webHidden/>
          </w:rPr>
          <w:fldChar w:fldCharType="begin"/>
        </w:r>
        <w:r>
          <w:rPr>
            <w:noProof/>
            <w:webHidden/>
          </w:rPr>
          <w:instrText xml:space="preserve"> PAGEREF _Toc222057406 \h </w:instrText>
        </w:r>
        <w:r>
          <w:rPr>
            <w:noProof/>
            <w:webHidden/>
          </w:rPr>
        </w:r>
        <w:r>
          <w:rPr>
            <w:noProof/>
            <w:webHidden/>
          </w:rPr>
          <w:fldChar w:fldCharType="separate"/>
        </w:r>
        <w:r>
          <w:rPr>
            <w:noProof/>
            <w:webHidden/>
          </w:rPr>
          <w:t>2</w:t>
        </w:r>
        <w:r>
          <w:rPr>
            <w:noProof/>
            <w:webHidden/>
          </w:rPr>
          <w:fldChar w:fldCharType="end"/>
        </w:r>
      </w:hyperlink>
    </w:p>
    <w:p w14:paraId="22F9C8F4" w14:textId="6F06EAD6"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7" w:history="1">
        <w:r w:rsidRPr="009217D2">
          <w:rPr>
            <w:rStyle w:val="Hyperkobling"/>
            <w:noProof/>
          </w:rPr>
          <w:t>1.4</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Antagelser</w:t>
        </w:r>
        <w:r>
          <w:rPr>
            <w:noProof/>
            <w:webHidden/>
          </w:rPr>
          <w:tab/>
        </w:r>
        <w:r>
          <w:rPr>
            <w:noProof/>
            <w:webHidden/>
          </w:rPr>
          <w:fldChar w:fldCharType="begin"/>
        </w:r>
        <w:r>
          <w:rPr>
            <w:noProof/>
            <w:webHidden/>
          </w:rPr>
          <w:instrText xml:space="preserve"> PAGEREF _Toc222057407 \h </w:instrText>
        </w:r>
        <w:r>
          <w:rPr>
            <w:noProof/>
            <w:webHidden/>
          </w:rPr>
        </w:r>
        <w:r>
          <w:rPr>
            <w:noProof/>
            <w:webHidden/>
          </w:rPr>
          <w:fldChar w:fldCharType="separate"/>
        </w:r>
        <w:r>
          <w:rPr>
            <w:noProof/>
            <w:webHidden/>
          </w:rPr>
          <w:t>3</w:t>
        </w:r>
        <w:r>
          <w:rPr>
            <w:noProof/>
            <w:webHidden/>
          </w:rPr>
          <w:fldChar w:fldCharType="end"/>
        </w:r>
      </w:hyperlink>
    </w:p>
    <w:p w14:paraId="639F0BF6" w14:textId="03F06E9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8" w:history="1">
        <w:r w:rsidRPr="009217D2">
          <w:rPr>
            <w:rStyle w:val="Hyperkobling"/>
          </w:rPr>
          <w:t>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Litteratur</w:t>
        </w:r>
        <w:r>
          <w:rPr>
            <w:webHidden/>
          </w:rPr>
          <w:tab/>
        </w:r>
        <w:r>
          <w:rPr>
            <w:webHidden/>
          </w:rPr>
          <w:fldChar w:fldCharType="begin"/>
        </w:r>
        <w:r>
          <w:rPr>
            <w:webHidden/>
          </w:rPr>
          <w:instrText xml:space="preserve"> PAGEREF _Toc222057408 \h </w:instrText>
        </w:r>
        <w:r>
          <w:rPr>
            <w:webHidden/>
          </w:rPr>
        </w:r>
        <w:r>
          <w:rPr>
            <w:webHidden/>
          </w:rPr>
          <w:fldChar w:fldCharType="separate"/>
        </w:r>
        <w:r>
          <w:rPr>
            <w:webHidden/>
          </w:rPr>
          <w:t>3</w:t>
        </w:r>
        <w:r>
          <w:rPr>
            <w:webHidden/>
          </w:rPr>
          <w:fldChar w:fldCharType="end"/>
        </w:r>
      </w:hyperlink>
    </w:p>
    <w:p w14:paraId="679AB59B" w14:textId="588D0AD2"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9" w:history="1">
        <w:r w:rsidRPr="009217D2">
          <w:rPr>
            <w:rStyle w:val="Hyperkobling"/>
          </w:rPr>
          <w:t>3.0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Teori</w:t>
        </w:r>
        <w:r>
          <w:rPr>
            <w:webHidden/>
          </w:rPr>
          <w:tab/>
        </w:r>
        <w:r>
          <w:rPr>
            <w:webHidden/>
          </w:rPr>
          <w:fldChar w:fldCharType="begin"/>
        </w:r>
        <w:r>
          <w:rPr>
            <w:webHidden/>
          </w:rPr>
          <w:instrText xml:space="preserve"> PAGEREF _Toc222057409 \h </w:instrText>
        </w:r>
        <w:r>
          <w:rPr>
            <w:webHidden/>
          </w:rPr>
        </w:r>
        <w:r>
          <w:rPr>
            <w:webHidden/>
          </w:rPr>
          <w:fldChar w:fldCharType="separate"/>
        </w:r>
        <w:r>
          <w:rPr>
            <w:webHidden/>
          </w:rPr>
          <w:t>3</w:t>
        </w:r>
        <w:r>
          <w:rPr>
            <w:webHidden/>
          </w:rPr>
          <w:fldChar w:fldCharType="end"/>
        </w:r>
      </w:hyperlink>
    </w:p>
    <w:p w14:paraId="3535E1F6" w14:textId="2B4869BB"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0" w:history="1">
        <w:r w:rsidRPr="009217D2">
          <w:rPr>
            <w:rStyle w:val="Hyperkobling"/>
          </w:rPr>
          <w:t>4.0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Casebeskrivelse</w:t>
        </w:r>
        <w:r>
          <w:rPr>
            <w:webHidden/>
          </w:rPr>
          <w:tab/>
        </w:r>
        <w:r>
          <w:rPr>
            <w:webHidden/>
          </w:rPr>
          <w:fldChar w:fldCharType="begin"/>
        </w:r>
        <w:r>
          <w:rPr>
            <w:webHidden/>
          </w:rPr>
          <w:instrText xml:space="preserve"> PAGEREF _Toc222057410 \h </w:instrText>
        </w:r>
        <w:r>
          <w:rPr>
            <w:webHidden/>
          </w:rPr>
        </w:r>
        <w:r>
          <w:rPr>
            <w:webHidden/>
          </w:rPr>
          <w:fldChar w:fldCharType="separate"/>
        </w:r>
        <w:r>
          <w:rPr>
            <w:webHidden/>
          </w:rPr>
          <w:t>4</w:t>
        </w:r>
        <w:r>
          <w:rPr>
            <w:webHidden/>
          </w:rPr>
          <w:fldChar w:fldCharType="end"/>
        </w:r>
      </w:hyperlink>
    </w:p>
    <w:p w14:paraId="6F2A6E5C" w14:textId="50CDC500"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1" w:history="1">
        <w:r w:rsidRPr="009217D2">
          <w:rPr>
            <w:rStyle w:val="Hyperkobling"/>
          </w:rPr>
          <w:t>5.0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Metode og data (kan splittes i to)</w:t>
        </w:r>
        <w:r>
          <w:rPr>
            <w:webHidden/>
          </w:rPr>
          <w:tab/>
        </w:r>
        <w:r>
          <w:rPr>
            <w:webHidden/>
          </w:rPr>
          <w:fldChar w:fldCharType="begin"/>
        </w:r>
        <w:r>
          <w:rPr>
            <w:webHidden/>
          </w:rPr>
          <w:instrText xml:space="preserve"> PAGEREF _Toc222057411 \h </w:instrText>
        </w:r>
        <w:r>
          <w:rPr>
            <w:webHidden/>
          </w:rPr>
        </w:r>
        <w:r>
          <w:rPr>
            <w:webHidden/>
          </w:rPr>
          <w:fldChar w:fldCharType="separate"/>
        </w:r>
        <w:r>
          <w:rPr>
            <w:webHidden/>
          </w:rPr>
          <w:t>4</w:t>
        </w:r>
        <w:r>
          <w:rPr>
            <w:webHidden/>
          </w:rPr>
          <w:fldChar w:fldCharType="end"/>
        </w:r>
      </w:hyperlink>
    </w:p>
    <w:p w14:paraId="49D8B103" w14:textId="2EA405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2" w:history="1">
        <w:r w:rsidRPr="009217D2">
          <w:rPr>
            <w:rStyle w:val="Hyperkobling"/>
            <w:noProof/>
          </w:rPr>
          <w:t>5.1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Metode</w:t>
        </w:r>
        <w:r>
          <w:rPr>
            <w:noProof/>
            <w:webHidden/>
          </w:rPr>
          <w:tab/>
        </w:r>
        <w:r>
          <w:rPr>
            <w:noProof/>
            <w:webHidden/>
          </w:rPr>
          <w:fldChar w:fldCharType="begin"/>
        </w:r>
        <w:r>
          <w:rPr>
            <w:noProof/>
            <w:webHidden/>
          </w:rPr>
          <w:instrText xml:space="preserve"> PAGEREF _Toc222057412 \h </w:instrText>
        </w:r>
        <w:r>
          <w:rPr>
            <w:noProof/>
            <w:webHidden/>
          </w:rPr>
        </w:r>
        <w:r>
          <w:rPr>
            <w:noProof/>
            <w:webHidden/>
          </w:rPr>
          <w:fldChar w:fldCharType="separate"/>
        </w:r>
        <w:r>
          <w:rPr>
            <w:noProof/>
            <w:webHidden/>
          </w:rPr>
          <w:t>4</w:t>
        </w:r>
        <w:r>
          <w:rPr>
            <w:noProof/>
            <w:webHidden/>
          </w:rPr>
          <w:fldChar w:fldCharType="end"/>
        </w:r>
      </w:hyperlink>
    </w:p>
    <w:p w14:paraId="190BA805" w14:textId="15939FD9"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3" w:history="1">
        <w:r w:rsidRPr="009217D2">
          <w:rPr>
            <w:rStyle w:val="Hyperkobling"/>
            <w:noProof/>
          </w:rPr>
          <w:t>5.2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Data</w:t>
        </w:r>
        <w:r>
          <w:rPr>
            <w:noProof/>
            <w:webHidden/>
          </w:rPr>
          <w:tab/>
        </w:r>
        <w:r>
          <w:rPr>
            <w:noProof/>
            <w:webHidden/>
          </w:rPr>
          <w:fldChar w:fldCharType="begin"/>
        </w:r>
        <w:r>
          <w:rPr>
            <w:noProof/>
            <w:webHidden/>
          </w:rPr>
          <w:instrText xml:space="preserve"> PAGEREF _Toc222057413 \h </w:instrText>
        </w:r>
        <w:r>
          <w:rPr>
            <w:noProof/>
            <w:webHidden/>
          </w:rPr>
        </w:r>
        <w:r>
          <w:rPr>
            <w:noProof/>
            <w:webHidden/>
          </w:rPr>
          <w:fldChar w:fldCharType="separate"/>
        </w:r>
        <w:r>
          <w:rPr>
            <w:noProof/>
            <w:webHidden/>
          </w:rPr>
          <w:t>5</w:t>
        </w:r>
        <w:r>
          <w:rPr>
            <w:noProof/>
            <w:webHidden/>
          </w:rPr>
          <w:fldChar w:fldCharType="end"/>
        </w:r>
      </w:hyperlink>
    </w:p>
    <w:p w14:paraId="6F3978D1" w14:textId="40826777"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4" w:history="1">
        <w:r w:rsidRPr="009217D2">
          <w:rPr>
            <w:rStyle w:val="Hyperkobling"/>
          </w:rPr>
          <w:t>6.0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Modellering</w:t>
        </w:r>
        <w:r>
          <w:rPr>
            <w:webHidden/>
          </w:rPr>
          <w:tab/>
        </w:r>
        <w:r>
          <w:rPr>
            <w:webHidden/>
          </w:rPr>
          <w:fldChar w:fldCharType="begin"/>
        </w:r>
        <w:r>
          <w:rPr>
            <w:webHidden/>
          </w:rPr>
          <w:instrText xml:space="preserve"> PAGEREF _Toc222057414 \h </w:instrText>
        </w:r>
        <w:r>
          <w:rPr>
            <w:webHidden/>
          </w:rPr>
        </w:r>
        <w:r>
          <w:rPr>
            <w:webHidden/>
          </w:rPr>
          <w:fldChar w:fldCharType="separate"/>
        </w:r>
        <w:r>
          <w:rPr>
            <w:webHidden/>
          </w:rPr>
          <w:t>6</w:t>
        </w:r>
        <w:r>
          <w:rPr>
            <w:webHidden/>
          </w:rPr>
          <w:fldChar w:fldCharType="end"/>
        </w:r>
      </w:hyperlink>
    </w:p>
    <w:p w14:paraId="0ADCE230" w14:textId="47526515"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5" w:history="1">
        <w:r w:rsidRPr="009217D2">
          <w:rPr>
            <w:rStyle w:val="Hyperkobling"/>
          </w:rPr>
          <w:t>7.0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Analyse</w:t>
        </w:r>
        <w:r>
          <w:rPr>
            <w:webHidden/>
          </w:rPr>
          <w:tab/>
        </w:r>
        <w:r>
          <w:rPr>
            <w:webHidden/>
          </w:rPr>
          <w:fldChar w:fldCharType="begin"/>
        </w:r>
        <w:r>
          <w:rPr>
            <w:webHidden/>
          </w:rPr>
          <w:instrText xml:space="preserve"> PAGEREF _Toc222057415 \h </w:instrText>
        </w:r>
        <w:r>
          <w:rPr>
            <w:webHidden/>
          </w:rPr>
        </w:r>
        <w:r>
          <w:rPr>
            <w:webHidden/>
          </w:rPr>
          <w:fldChar w:fldCharType="separate"/>
        </w:r>
        <w:r>
          <w:rPr>
            <w:webHidden/>
          </w:rPr>
          <w:t>6</w:t>
        </w:r>
        <w:r>
          <w:rPr>
            <w:webHidden/>
          </w:rPr>
          <w:fldChar w:fldCharType="end"/>
        </w:r>
      </w:hyperlink>
    </w:p>
    <w:p w14:paraId="56DE1371" w14:textId="0101C6A3"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6" w:history="1">
        <w:r w:rsidRPr="009217D2">
          <w:rPr>
            <w:rStyle w:val="Hyperkobling"/>
          </w:rPr>
          <w:t>8.0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Resultat</w:t>
        </w:r>
        <w:r>
          <w:rPr>
            <w:webHidden/>
          </w:rPr>
          <w:tab/>
        </w:r>
        <w:r>
          <w:rPr>
            <w:webHidden/>
          </w:rPr>
          <w:fldChar w:fldCharType="begin"/>
        </w:r>
        <w:r>
          <w:rPr>
            <w:webHidden/>
          </w:rPr>
          <w:instrText xml:space="preserve"> PAGEREF _Toc222057416 \h </w:instrText>
        </w:r>
        <w:r>
          <w:rPr>
            <w:webHidden/>
          </w:rPr>
        </w:r>
        <w:r>
          <w:rPr>
            <w:webHidden/>
          </w:rPr>
          <w:fldChar w:fldCharType="separate"/>
        </w:r>
        <w:r>
          <w:rPr>
            <w:webHidden/>
          </w:rPr>
          <w:t>6</w:t>
        </w:r>
        <w:r>
          <w:rPr>
            <w:webHidden/>
          </w:rPr>
          <w:fldChar w:fldCharType="end"/>
        </w:r>
      </w:hyperlink>
    </w:p>
    <w:p w14:paraId="209CC53F" w14:textId="4F0D416E"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7" w:history="1">
        <w:r w:rsidRPr="009217D2">
          <w:rPr>
            <w:rStyle w:val="Hyperkobling"/>
          </w:rPr>
          <w:t>9.0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Diskusjon</w:t>
        </w:r>
        <w:r>
          <w:rPr>
            <w:webHidden/>
          </w:rPr>
          <w:tab/>
        </w:r>
        <w:r>
          <w:rPr>
            <w:webHidden/>
          </w:rPr>
          <w:fldChar w:fldCharType="begin"/>
        </w:r>
        <w:r>
          <w:rPr>
            <w:webHidden/>
          </w:rPr>
          <w:instrText xml:space="preserve"> PAGEREF _Toc222057417 \h </w:instrText>
        </w:r>
        <w:r>
          <w:rPr>
            <w:webHidden/>
          </w:rPr>
        </w:r>
        <w:r>
          <w:rPr>
            <w:webHidden/>
          </w:rPr>
          <w:fldChar w:fldCharType="separate"/>
        </w:r>
        <w:r>
          <w:rPr>
            <w:webHidden/>
          </w:rPr>
          <w:t>7</w:t>
        </w:r>
        <w:r>
          <w:rPr>
            <w:webHidden/>
          </w:rPr>
          <w:fldChar w:fldCharType="end"/>
        </w:r>
      </w:hyperlink>
    </w:p>
    <w:p w14:paraId="3947CAA5" w14:textId="2812FCF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8" w:history="1">
        <w:r w:rsidRPr="009217D2">
          <w:rPr>
            <w:rStyle w:val="Hyperkobling"/>
          </w:rPr>
          <w:t>10.0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Konklusjon</w:t>
        </w:r>
        <w:r>
          <w:rPr>
            <w:webHidden/>
          </w:rPr>
          <w:tab/>
        </w:r>
        <w:r>
          <w:rPr>
            <w:webHidden/>
          </w:rPr>
          <w:fldChar w:fldCharType="begin"/>
        </w:r>
        <w:r>
          <w:rPr>
            <w:webHidden/>
          </w:rPr>
          <w:instrText xml:space="preserve"> PAGEREF _Toc222057418 \h </w:instrText>
        </w:r>
        <w:r>
          <w:rPr>
            <w:webHidden/>
          </w:rPr>
        </w:r>
        <w:r>
          <w:rPr>
            <w:webHidden/>
          </w:rPr>
          <w:fldChar w:fldCharType="separate"/>
        </w:r>
        <w:r>
          <w:rPr>
            <w:webHidden/>
          </w:rPr>
          <w:t>8</w:t>
        </w:r>
        <w:r>
          <w:rPr>
            <w:webHidden/>
          </w:rPr>
          <w:fldChar w:fldCharType="end"/>
        </w:r>
      </w:hyperlink>
    </w:p>
    <w:p w14:paraId="1235DDBB" w14:textId="3B72D3D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9" w:history="1">
        <w:r w:rsidRPr="009217D2">
          <w:rPr>
            <w:rStyle w:val="Hyperkobling"/>
          </w:rPr>
          <w:t>11.0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Bibliografi</w:t>
        </w:r>
        <w:r>
          <w:rPr>
            <w:webHidden/>
          </w:rPr>
          <w:tab/>
        </w:r>
        <w:r>
          <w:rPr>
            <w:webHidden/>
          </w:rPr>
          <w:fldChar w:fldCharType="begin"/>
        </w:r>
        <w:r>
          <w:rPr>
            <w:webHidden/>
          </w:rPr>
          <w:instrText xml:space="preserve"> PAGEREF _Toc222057419 \h </w:instrText>
        </w:r>
        <w:r>
          <w:rPr>
            <w:webHidden/>
          </w:rPr>
        </w:r>
        <w:r>
          <w:rPr>
            <w:webHidden/>
          </w:rPr>
          <w:fldChar w:fldCharType="separate"/>
        </w:r>
        <w:r>
          <w:rPr>
            <w:webHidden/>
          </w:rPr>
          <w:t>8</w:t>
        </w:r>
        <w:r>
          <w:rPr>
            <w:webHidden/>
          </w:rPr>
          <w:fldChar w:fldCharType="end"/>
        </w:r>
      </w:hyperlink>
    </w:p>
    <w:p w14:paraId="378814D8" w14:textId="67CE832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20" w:history="1">
        <w:r w:rsidRPr="009217D2">
          <w:rPr>
            <w:rStyle w:val="Hyperkobling"/>
          </w:rPr>
          <w:t>12.0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Vedlegg</w:t>
        </w:r>
        <w:r>
          <w:rPr>
            <w:webHidden/>
          </w:rPr>
          <w:tab/>
        </w:r>
        <w:r>
          <w:rPr>
            <w:webHidden/>
          </w:rPr>
          <w:fldChar w:fldCharType="begin"/>
        </w:r>
        <w:r>
          <w:rPr>
            <w:webHidden/>
          </w:rPr>
          <w:instrText xml:space="preserve"> PAGEREF _Toc222057420 \h </w:instrText>
        </w:r>
        <w:r>
          <w:rPr>
            <w:webHidden/>
          </w:rPr>
        </w:r>
        <w:r>
          <w:rPr>
            <w:webHidden/>
          </w:rPr>
          <w:fldChar w:fldCharType="separate"/>
        </w:r>
        <w:r>
          <w:rPr>
            <w:webHidden/>
          </w:rPr>
          <w:t>8</w:t>
        </w:r>
        <w:r>
          <w:rPr>
            <w:webHidden/>
          </w:rPr>
          <w:fldChar w:fldCharType="end"/>
        </w:r>
      </w:hyperlink>
    </w:p>
    <w:p w14:paraId="61564286" w14:textId="7A946800" w:rsidR="00BE42D3" w:rsidRDefault="00B33323" w:rsidP="003A4872">
      <w:pPr>
        <w:sectPr w:rsidR="00BE42D3" w:rsidSect="00C90D42">
          <w:footerReference w:type="default" r:id="rId40"/>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Figurliste</w:t>
      </w:r>
    </w:p>
    <w:p>
      <w:pPr>
        <w:spacing w:line="360" w:lineRule="auto"/>
      </w:pPr>
      <w:r>
        <w:rPr>
          <w:rFonts w:ascii="Times New Roman" w:hAnsi="Times New Roman" w:cs="Times New Roman"/>
          <w:sz w:val="24"/>
        </w:rPr>
        <w:t>Figur 1. Konseptuelt rammeverk – fra SAP-data til HVFS-anbefaling</w:t>
      </w:r>
    </w:p>
    <w:p>
      <w:pPr>
        <w:spacing w:line="360" w:lineRule="auto"/>
      </w:pPr>
      <w:r>
        <w:rPr>
          <w:rFonts w:ascii="Times New Roman" w:hAnsi="Times New Roman" w:cs="Times New Roman"/>
          <w:sz w:val="24"/>
        </w:rPr>
        <w:t>Figur 2. Lagerstruktur – Helse Vest forsyningskjede (forenklet)</w:t>
      </w:r>
    </w:p>
    <w:p>
      <w:pPr>
        <w:spacing w:line="360" w:lineRule="auto"/>
      </w:pPr>
      <w:r>
        <w:rPr>
          <w:rFonts w:ascii="Times New Roman" w:hAnsi="Times New Roman" w:cs="Times New Roman"/>
          <w:sz w:val="24"/>
        </w:rPr>
        <w:t>Figur 3. Analysepipeline: fra SAP-rådata til HVFS-anbefaling</w:t>
      </w:r>
    </w:p>
    <w:p>
      <w:pPr>
        <w:spacing w:line="360" w:lineRule="auto"/>
      </w:pPr>
      <w:r>
        <w:rPr>
          <w:rFonts w:ascii="Times New Roman" w:hAnsi="Times New Roman" w:cs="Times New Roman"/>
          <w:sz w:val="24"/>
        </w:rPr>
        <w:t>Figur 4. Regelmotor: sekvensiell beslutningsflyt for HVFS-anbefaling (R1–R8)</w:t>
      </w:r>
    </w:p>
    <w:p>
      <w:pPr>
        <w:spacing w:line="360" w:lineRule="auto"/>
      </w:pPr>
      <w:r>
        <w:rPr>
          <w:rFonts w:ascii="Times New Roman" w:hAnsi="Times New Roman" w:cs="Times New Roman"/>
          <w:sz w:val="24"/>
        </w:rPr>
        <w:t>Figur 5. Dataoversikt: fordeling av nøkkelvariabler for 709 artikler</w:t>
      </w:r>
    </w:p>
    <w:p>
      <w:pPr>
        <w:spacing w:line="360" w:lineRule="auto"/>
      </w:pPr>
      <w:r>
        <w:rPr>
          <w:rFonts w:ascii="Times New Roman" w:hAnsi="Times New Roman" w:cs="Times New Roman"/>
          <w:sz w:val="24"/>
        </w:rPr>
        <w:t>Figur 6. ABC Pareto-kurve: kumulativ verdiandel for 709 artikler</w:t>
      </w:r>
    </w:p>
    <w:p>
      <w:pPr>
        <w:spacing w:line="360" w:lineRule="auto"/>
      </w:pPr>
      <w:r>
        <w:rPr>
          <w:rFonts w:ascii="Times New Roman" w:hAnsi="Times New Roman" w:cs="Times New Roman"/>
          <w:sz w:val="24"/>
        </w:rPr>
        <w:t>Figur 7. ABC/XYZ-kryssmatrise: antall artikler per kombinasjon</w:t>
      </w:r>
    </w:p>
    <w:p>
      <w:pPr>
        <w:spacing w:line="360" w:lineRule="auto"/>
      </w:pPr>
      <w:r>
        <w:rPr>
          <w:rFonts w:ascii="Times New Roman" w:hAnsi="Times New Roman" w:cs="Times New Roman"/>
          <w:sz w:val="24"/>
        </w:rPr>
        <w:t>Figur 8. EOQ-avvik: relativ frekvensavvik med terskel ved τ_f = 1,5</w:t>
      </w:r>
    </w:p>
    <w:p>
      <w:pPr>
        <w:spacing w:line="360" w:lineRule="auto"/>
      </w:pPr>
      <w:r>
        <w:rPr>
          <w:rFonts w:ascii="Times New Roman" w:hAnsi="Times New Roman" w:cs="Times New Roman"/>
          <w:sz w:val="24"/>
        </w:rPr>
        <w:t>Figur 9. Silhouette-score for K = 2–7 (treningsdata, n = 389)</w:t>
      </w:r>
    </w:p>
    <w:p>
      <w:pPr>
        <w:spacing w:line="360" w:lineRule="auto"/>
      </w:pPr>
      <w:r>
        <w:rPr>
          <w:rFonts w:ascii="Times New Roman" w:hAnsi="Times New Roman" w:cs="Times New Roman"/>
          <w:sz w:val="24"/>
        </w:rPr>
        <w:t>Figur 10. K-means klyngeresultat (K = 3): forbruksstabilitet vs verdi og kostnadsavvik</w:t>
      </w:r>
    </w:p>
    <w:p>
      <w:pPr>
        <w:spacing w:line="360" w:lineRule="auto"/>
      </w:pPr>
      <w:r>
        <w:rPr>
          <w:rFonts w:ascii="Times New Roman" w:hAnsi="Times New Roman" w:cs="Times New Roman"/>
          <w:sz w:val="24"/>
        </w:rPr>
        <w:t>Figur 11. Klyngeprofiler for K-means (K = 3): gjennomsnittlig z-score per feature</w:t>
      </w:r>
    </w:p>
    <w:p>
      <w:pPr>
        <w:spacing w:line="360" w:lineRule="auto"/>
      </w:pPr>
      <w:r>
        <w:rPr>
          <w:rFonts w:ascii="Times New Roman" w:hAnsi="Times New Roman" w:cs="Times New Roman"/>
          <w:sz w:val="24"/>
        </w:rPr>
        <w:t>Figur 12. Regelmotor og besparelsesanalyse: HVFS-anbefalinger og EOQ-besparelse</w:t>
      </w:r>
    </w:p>
    <w:p>
      <w:pPr>
        <w:pStyle w:val="Overskrift1"/>
        <w:pageBreakBefore w:val="true"/>
      </w:pPr>
      <w:r>
        <w:rPr>
          <w:rFonts w:ascii="Times New Roman" w:hAnsi="Times New Roman"/>
          <w:color w:val="000000"/>
          <w:sz w:val="36"/>
        </w:rPr>
        <w:t>Tabelliste</w:t>
      </w:r>
    </w:p>
    <w:p>
      <w:pPr>
        <w:spacing w:line="360" w:lineRule="auto"/>
      </w:pPr>
      <w:r>
        <w:rPr>
          <w:rFonts w:ascii="Times New Roman" w:hAnsi="Times New Roman" w:cs="Times New Roman"/>
          <w:sz w:val="24"/>
        </w:rPr>
        <w:t>Tabell 1. Litteraturoversikt: sentrale kilder med tema og relevans</w:t>
      </w:r>
    </w:p>
    <w:p>
      <w:pPr>
        <w:spacing w:line="360" w:lineRule="auto"/>
      </w:pPr>
      <w:r>
        <w:rPr>
          <w:rFonts w:ascii="Times New Roman" w:hAnsi="Times New Roman" w:cs="Times New Roman"/>
          <w:sz w:val="24"/>
        </w:rPr>
        <w:t>Tabell 2. Sammenligning av analysemetoder brukt i oppgaven</w:t>
      </w:r>
    </w:p>
    <w:p>
      <w:pPr>
        <w:spacing w:line="360" w:lineRule="auto"/>
      </w:pPr>
      <w:r>
        <w:rPr>
          <w:rFonts w:ascii="Times New Roman" w:hAnsi="Times New Roman" w:cs="Times New Roman"/>
          <w:sz w:val="24"/>
        </w:rPr>
        <w:t>Tabell 3. Nøkkeltall for casevirksomheten Helse Bergen, WERKS 3300</w:t>
      </w:r>
    </w:p>
    <w:p>
      <w:pPr>
        <w:spacing w:line="360" w:lineRule="auto"/>
      </w:pPr>
      <w:r>
        <w:rPr>
          <w:rFonts w:ascii="Times New Roman" w:hAnsi="Times New Roman" w:cs="Times New Roman"/>
          <w:sz w:val="24"/>
        </w:rPr>
        <w:t>Tabell 4. Datagrunnlag: 14 SAP S/4HANA-tabeller hentet via SE16H</w:t>
      </w:r>
    </w:p>
    <w:p>
      <w:pPr>
        <w:spacing w:line="360" w:lineRule="auto"/>
      </w:pPr>
      <w:r>
        <w:rPr>
          <w:rFonts w:ascii="Times New Roman" w:hAnsi="Times New Roman" w:cs="Times New Roman"/>
          <w:sz w:val="24"/>
        </w:rPr>
        <w:t>Tabell 5. Datavalgsbeslutninger D-01–D-08 med begrunnelse</w:t>
      </w:r>
    </w:p>
    <w:p>
      <w:pPr>
        <w:spacing w:line="360" w:lineRule="auto"/>
      </w:pPr>
      <w:r>
        <w:rPr>
          <w:rFonts w:ascii="Times New Roman" w:hAnsi="Times New Roman" w:cs="Times New Roman"/>
          <w:sz w:val="24"/>
        </w:rPr>
        <w:t>Tabell 6. Modellparametere: ABC-klassifiseringsgrenser og analyseinnstillinger</w:t>
      </w:r>
    </w:p>
    <w:p>
      <w:pPr>
        <w:spacing w:line="360" w:lineRule="auto"/>
      </w:pPr>
      <w:r>
        <w:rPr>
          <w:rFonts w:ascii="Times New Roman" w:hAnsi="Times New Roman" w:cs="Times New Roman"/>
          <w:sz w:val="24"/>
        </w:rPr>
        <w:t>Tabell 7. Regelmotor: 8 beslutningsregler i prioritert rekkefølge</w:t>
      </w:r>
    </w:p>
    <w:p>
      <w:pPr>
        <w:spacing w:line="360" w:lineRule="auto"/>
      </w:pPr>
      <w:r>
        <w:rPr>
          <w:rFonts w:ascii="Times New Roman" w:hAnsi="Times New Roman" w:cs="Times New Roman"/>
          <w:sz w:val="24"/>
        </w:rPr>
        <w:t>Tabell 8. ABC-fordeling: antall artikler og verdiandel per klasse (n = 709)</w:t>
      </w:r>
    </w:p>
    <w:p>
      <w:pPr>
        <w:spacing w:line="360" w:lineRule="auto"/>
      </w:pPr>
      <w:r>
        <w:rPr>
          <w:rFonts w:ascii="Times New Roman" w:hAnsi="Times New Roman" w:cs="Times New Roman"/>
          <w:sz w:val="24"/>
        </w:rPr>
        <w:t>Tabell 9. XYZ-fordeling: antall artikler per klasse (n = 687)</w:t>
      </w:r>
    </w:p>
    <w:p>
      <w:pPr>
        <w:spacing w:line="360" w:lineRule="auto"/>
      </w:pPr>
      <w:r>
        <w:rPr>
          <w:rFonts w:ascii="Times New Roman" w:hAnsi="Times New Roman" w:cs="Times New Roman"/>
          <w:sz w:val="24"/>
        </w:rPr>
        <w:t>Tabell 10. SAP ZZXYZ-validering: samsvar mellom systemklasse og beregnet CV-klasse</w:t>
      </w:r>
    </w:p>
    <w:p>
      <w:pPr>
        <w:spacing w:line="360" w:lineRule="auto"/>
      </w:pPr>
      <w:r>
        <w:rPr>
          <w:rFonts w:ascii="Times New Roman" w:hAnsi="Times New Roman" w:cs="Times New Roman"/>
          <w:sz w:val="24"/>
        </w:rPr>
        <w:t>Tabell 11. EOQ-avviksresultater: fordeling etter ordrefrekvensavvik (n = 487)</w:t>
      </w:r>
    </w:p>
    <w:p>
      <w:pPr>
        <w:spacing w:line="360" w:lineRule="auto"/>
      </w:pPr>
      <w:r>
        <w:rPr>
          <w:rFonts w:ascii="Times New Roman" w:hAnsi="Times New Roman" w:cs="Times New Roman"/>
          <w:sz w:val="24"/>
        </w:rPr>
        <w:t>Tabell 12. K-means klyngeprofiler: gjennomsnittsverdier per klynge (K = 3)</w:t>
      </w:r>
    </w:p>
    <w:p>
      <w:pPr>
        <w:spacing w:line="360" w:lineRule="auto"/>
      </w:pPr>
      <w:r>
        <w:rPr>
          <w:rFonts w:ascii="Times New Roman" w:hAnsi="Times New Roman" w:cs="Times New Roman"/>
          <w:sz w:val="24"/>
        </w:rPr>
        <w:t>Tabell 13. HVFS-anbefalinger fra regelmotor: fordeling per kategori (n = 709)</w:t>
      </w:r>
    </w:p>
    <w:p>
      <w:pPr>
        <w:spacing w:line="360" w:lineRule="auto"/>
      </w:pPr>
      <w:r>
        <w:rPr>
          <w:rFonts w:ascii="Times New Roman" w:hAnsi="Times New Roman" w:cs="Times New Roman"/>
          <w:sz w:val="24"/>
        </w:rPr>
        <w:t>Tabell 14. Besparelsesestimater for tre scenarier (117 artikler, S = 750 NOK)</w:t>
      </w:r>
    </w:p>
    <w:p>
      <w:pPr>
        <w:spacing w:line="360" w:lineRule="auto"/>
      </w:pPr>
      <w:r>
        <w:rPr>
          <w:rFonts w:ascii="Times New Roman" w:hAnsi="Times New Roman" w:cs="Times New Roman"/>
          <w:sz w:val="24"/>
        </w:rPr>
        <w:t>Tabell 15. Sammenstilling av egne resultater mot funn i eksisterende litteratur</w:t>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lagerhåndtering kan utgjøre mellom 30 og 40 prosent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pPr>
      <w:r>
        <w:rPr>
          <w:rFonts w:ascii="Times New Roman" w:hAnsi="Times New Roman" w:cs="Times New Roman"/>
          <w:sz w:val="24"/>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pPr>
        <w:pStyle w:val="Overskrift2"/>
      </w:pPr>
      <w:r>
        <w:rPr>
          <w:rFonts w:ascii="Times New Roman" w:hAnsi="Times New Roman"/>
          <w:color w:val="000000"/>
          <w:sz w:val="32"/>
        </w:rPr>
        <w:t>1.2 Problemstilling</w:t>
      </w:r>
    </w:p>
    <w:p>
      <w:pPr>
        <w:spacing w:line="360" w:lineRule="auto"/>
      </w:pPr>
      <w:r>
        <w:rPr>
          <w:rFonts w:ascii="Times New Roman" w:hAnsi="Times New Roman" w:cs="Times New Roman"/>
          <w:sz w:val="24"/>
        </w:rPr>
        <w:t>Oppgaven besvarer følgende forskningsspørsmål:</w:t>
      </w:r>
    </w:p>
    <w:p>
      <w:pPr>
        <w:spacing w:line="360" w:lineRule="auto"/>
        <w:ind w:left="567"/>
      </w:pPr>
      <w:r>
        <w:rPr>
          <w:rFonts w:ascii="Times New Roman" w:hAnsi="Times New Roman"/>
          <w:b/>
          <w:sz w:val="24"/>
        </w:rPr>
        <w:t>Hvordan kan multikriterieklassifisering og klyngeanalyse av SAP-transaksjonsdata identifisere hvilke artikler ved Helse Bergens forsyningslager (WERKS 3300, LGORT 3001) som bør overføres til Helse Vest Forsyningssenter, og hva er det estimerte besparelsespotensialet ved en slik overføring?</w:t>
      </w:r>
    </w:p>
    <w:p>
      <w:pPr>
        <w:spacing w:line="360" w:lineRule="auto"/>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pPr>
      <w:r>
        <w:rPr>
          <w:rFonts w:ascii="Times New Roman" w:hAnsi="Times New Roman" w:cs="Times New Roman"/>
          <w:sz w:val="24"/>
        </w:rPr>
        <w:t>Oppgaven avgrenses på følgende punkter, begrunnet faglig:</w:t>
      </w:r>
    </w:p>
    <w:p>
      <w:pPr>
        <w:spacing w:line="360" w:lineRule="auto"/>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og gjør ikke krav på å utvikle nye modeller. ROP-modulen (reorder point) er identifisert som en naturlig forlengelse, men er utelatt da leveringstidsdata fra EINA/EINE kun dekker 6 prosent av artiklene — et utilstrekkelig grunnlag for robust ROP-beregning.</w:t>
      </w:r>
    </w:p>
    <w:p>
      <w:pPr>
        <w:spacing w:line="360" w:lineRule="auto"/>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(Kelle et al., 2012; Bijvank &amp; Vis,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prosent av enhetsprisen, i tråd med anbefalinger i lagerstyringslitteraturen (Ketkar &amp; Vaidya, 2014). Satsens innvirkning testes i sensitivitetsanalysen over intervallet {15, 20, 25} prosent.</w:t>
      </w:r>
    </w:p>
    <w:p>
      <w:pPr>
        <w:spacing w:line="360" w:lineRule="auto"/>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pPr>
      <w:r>
        <w:rPr>
          <w:rFonts w:ascii="Times New Roman" w:hAnsi="Times New Roman" w:cs="Times New Roman"/>
          <w:b/>
          <w:sz w:val="24"/>
        </w:rPr>
        <w:t>Leveringstid (LEAD_TIME = 14 dager).</w:t>
      </w:r>
      <w:r>
        <w:rPr>
          <w:rFonts w:ascii="Times New Roman" w:hAnsi="Times New Roman" w:cs="Times New Roman"/>
          <w:sz w:val="24"/>
        </w:rPr>
        <w:t xml:space="preserve"> For 94 prosent av artiklene mangler registrert leveringstid i SAP-tabellene EINA/EINE. En fallback-verdi på 14 dager er benyttet. Denne parameteren påvirker ikke EOQ- eller besparelsesberegningene direkte, men er reservert for en fremtidig ROP-modul.</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prosent (worst/base/best). Dette er et avgrenset transaksjonskostnadsestimat — det inkluderer ikke varekostnader eller endringer i lagernivå.</w:t>
      </w:r>
    </w:p>
    <w:p>
      <w:pPr>
        <w:spacing w:line="360" w:lineRule="auto"/>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objektivt.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pPr>
      <w:r>
        <w:rPr>
          <w:rFonts w:ascii="Times New Roman" w:hAnsi="Times New Roman" w:cs="Times New Roman"/>
          <w:sz w:val="24"/>
        </w:rPr>
        <w:t>Forskning på lagerklassifisering i sykehus har vokst markant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påfallende lite forskning som kobler klassifiseringsmetoder direkte til sentralisering av forsyningskjeden — noe denne oppgaven adresserer.</w:t>
      </w:r>
    </w:p>
    <w:p>
      <w:pPr>
        <w:spacing w:line="360" w:lineRule="auto"/>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 studie der ABC kombineres med VED-analyse (Vital, Essential, Desirable) for å differensiere mellom høyverdiartikler og artikler med kritisk klinisk betydning. Kombinasjonsmetodikken gir grunnlag for et mer nyansert klassifiseringssystem, men VED krever klinisk skjønn og er vanskelig å operasjonalisere på tvers av store sortiment uten strukturerte data.</w:t>
      </w:r>
    </w:p>
    <w:p>
      <w:pPr>
        <w:spacing w:line="360" w:lineRule="auto"/>
      </w:pPr>
      <w:r>
        <w:rPr>
          <w:rFonts w:ascii="Times New Roman" w:hAnsi="Times New Roman" w:cs="Times New Roman"/>
          <w:sz w:val="24"/>
        </w:rPr>
        <w:t>XYZ-analyse, basert på variasjonskoeffisienten til etterspørselen, fremstår i litteraturen som det mest naturlige komplementet til ABC. Nowotyńska (2013) demonstrerer at XYZ-klassifisering kan gjennomføres systematisk med CV-beregning på historiske forbruksdata, og at kombinasjonsmatrisen ABC/XYZ gir differensierte styringsanbefalinger for ni ulike varekategorier. Suryaputri et al. (2022) bekrefter dette i en casestudie fra helseindustrien, der kombinasjonsanalysen muliggjør mer presis bestillingspolicy per varekategori. Ketkar og Vaidya (2014) utvider perspektivet ytterligere ved å inkludere opptil fire klassifiseringssystemer i én MCDM-modell, men denne kompleksiteten stiller krav til parametervalg og ekspertvurderinger som vanskelig lar seg standardisere.</w:t>
      </w:r>
    </w:p>
    <w:p>
      <w:pPr>
        <w:spacing w:line="360" w:lineRule="auto"/>
      </w:pPr>
      <w:r>
        <w:rPr>
          <w:rFonts w:ascii="Times New Roman" w:hAnsi="Times New Roman" w:cs="Times New Roman"/>
          <w:sz w:val="24"/>
        </w:rPr>
        <w:t>Flerkriterietilnærminger som EDAS (Keshavarz Ghorabaee et al., 2015) og AHP (Partovi &amp; Burton, 1993)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med regelbaserte beslutningssystemer — slik denne oppgaven gjennomfører — er lite dokumentert i sykehuskontekst, og utgjør oppgavens metodiske bidrag.</w:t>
      </w:r>
    </w:p>
    <w:p>
      <w:pPr>
        <w:spacing w:line="360" w:lineRule="auto"/>
      </w:pPr>
      <w:r>
        <w:rPr>
          <w:rFonts w:ascii="Times New Roman" w:hAnsi="Times New Roman" w:cs="Times New Roman"/>
          <w:sz w:val="24"/>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pPr>
        <w:spacing w:line="360" w:lineRule="auto"/>
      </w:pPr>
      <w:r>
        <w:rPr>
          <w:rFonts w:ascii="Times New Roman" w:hAnsi="Times New Roman" w:cs="Times New Roman"/>
          <w:sz w:val="24"/>
        </w:rPr>
        <w:t>Det sentrale gapet i litteraturen er fraværet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pPr>
        <w:spacing w:line="360" w:lineRule="auto"/>
      </w:pPr>
      <w:r>
        <w:rPr>
          <w:rFonts w:ascii="Times New Roman" w:hAnsi="Times New Roman" w:cs="Times New Roman"/>
          <w:sz w:val="24"/>
        </w:rPr>
        <w:t>Tabell 1 gir en samlet oversikt over de sentrale kildene i litteraturgjennomgangen, organisert etter hovedtema og med kopling til denne oppgavens problemstilling.</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sz w:val="22"/>
              </w:rPr>
              <w:t>Bijvank &amp; Vis</w:t>
            </w:r>
          </w:p>
        </w:tc>
        <w:tc>
          <w:tcPr>
            <w:tcW w:type="dxa" w:w="2192"/>
          </w:tcPr>
          <w:p>
            <w:r/>
            <w:r>
              <w:rPr>
                <w:rFonts w:ascii="Times New Roman" w:hAnsi="Times New Roman"/>
                <w:sz w:val="22"/>
              </w:rPr>
              <w:t>2012</w:t>
            </w:r>
          </w:p>
        </w:tc>
        <w:tc>
          <w:tcPr>
            <w:tcW w:type="dxa" w:w="2192"/>
          </w:tcPr>
          <w:p>
            <w:r/>
            <w:r>
              <w:rPr>
                <w:rFonts w:ascii="Times New Roman" w:hAnsi="Times New Roman"/>
                <w:sz w:val="22"/>
              </w:rPr>
              <w:t>Lagerstyring ved brukssted i sykehus</w:t>
            </w:r>
          </w:p>
        </w:tc>
        <w:tc>
          <w:tcPr>
            <w:tcW w:type="dxa" w:w="2192"/>
          </w:tcPr>
          <w:p>
            <w:r/>
            <w:r>
              <w:rPr>
                <w:rFonts w:ascii="Times New Roman" w:hAnsi="Times New Roman"/>
                <w:sz w:val="22"/>
              </w:rPr>
              <w:t>Lost-sales-modell, forsyningssikkerhet</w:t>
            </w:r>
          </w:p>
        </w:tc>
      </w:tr>
      <w:tr>
        <w:tc>
          <w:tcPr>
            <w:tcW w:type="dxa" w:w="2192"/>
          </w:tcPr>
          <w:p>
            <w:r/>
            <w:r>
              <w:rPr>
                <w:rFonts w:ascii="Times New Roman" w:hAnsi="Times New Roman"/>
                <w:sz w:val="22"/>
              </w:rPr>
              <w:t>de Vries</w:t>
            </w:r>
          </w:p>
        </w:tc>
        <w:tc>
          <w:tcPr>
            <w:tcW w:type="dxa" w:w="2192"/>
          </w:tcPr>
          <w:p>
            <w:r/>
            <w:r>
              <w:rPr>
                <w:rFonts w:ascii="Times New Roman" w:hAnsi="Times New Roman"/>
                <w:sz w:val="22"/>
              </w:rPr>
              <w:t>2011</w:t>
            </w:r>
          </w:p>
        </w:tc>
        <w:tc>
          <w:tcPr>
            <w:tcW w:type="dxa" w:w="2192"/>
          </w:tcPr>
          <w:p>
            <w:r/>
            <w:r>
              <w:rPr>
                <w:rFonts w:ascii="Times New Roman" w:hAnsi="Times New Roman"/>
                <w:sz w:val="22"/>
              </w:rPr>
              <w:t>Interessentanalyse, lageromstilling i helse</w:t>
            </w:r>
          </w:p>
        </w:tc>
        <w:tc>
          <w:tcPr>
            <w:tcW w:type="dxa" w:w="2192"/>
          </w:tcPr>
          <w:p>
            <w:r/>
            <w:r>
              <w:rPr>
                <w:rFonts w:ascii="Times New Roman" w:hAnsi="Times New Roman"/>
                <w:sz w:val="22"/>
              </w:rPr>
              <w:t>Organisatoriske barrierer ved sentralisering</w:t>
            </w:r>
          </w:p>
        </w:tc>
      </w:tr>
      <w:tr>
        <w:tc>
          <w:tcPr>
            <w:tcW w:type="dxa" w:w="2192"/>
          </w:tcPr>
          <w:p>
            <w:r/>
            <w:r>
              <w:rPr>
                <w:rFonts w:ascii="Times New Roman" w:hAnsi="Times New Roman"/>
                <w:sz w:val="22"/>
              </w:rPr>
              <w:t>Fragapane et al.</w:t>
            </w:r>
          </w:p>
        </w:tc>
        <w:tc>
          <w:tcPr>
            <w:tcW w:type="dxa" w:w="2192"/>
          </w:tcPr>
          <w:p>
            <w:r/>
            <w:r>
              <w:rPr>
                <w:rFonts w:ascii="Times New Roman" w:hAnsi="Times New Roman"/>
                <w:sz w:val="22"/>
              </w:rPr>
              <w:t>2019</w:t>
            </w:r>
          </w:p>
        </w:tc>
        <w:tc>
          <w:tcPr>
            <w:tcW w:type="dxa" w:w="2192"/>
          </w:tcPr>
          <w:p>
            <w:r/>
            <w:r>
              <w:rPr>
                <w:rFonts w:ascii="Times New Roman" w:hAnsi="Times New Roman"/>
                <w:sz w:val="22"/>
              </w:rPr>
              <w:t>Forsyning til brukssted (APL)</w:t>
            </w:r>
          </w:p>
        </w:tc>
        <w:tc>
          <w:tcPr>
            <w:tcW w:type="dxa" w:w="2192"/>
          </w:tcPr>
          <w:p>
            <w:r/>
            <w:r>
              <w:rPr>
                <w:rFonts w:ascii="Times New Roman" w:hAnsi="Times New Roman"/>
                <w:sz w:val="22"/>
              </w:rPr>
              <w:t>APL-leveransemodell, sentraliseringskrav</w:t>
            </w:r>
          </w:p>
        </w:tc>
      </w:tr>
      <w:tr>
        <w:tc>
          <w:tcPr>
            <w:tcW w:type="dxa" w:w="2192"/>
          </w:tcPr>
          <w:p>
            <w:r/>
            <w:r>
              <w:rPr>
                <w:rFonts w:ascii="Times New Roman" w:hAnsi="Times New Roman"/>
                <w:sz w:val="22"/>
              </w:rPr>
              <w:t>Gupta et al.</w:t>
            </w:r>
          </w:p>
        </w:tc>
        <w:tc>
          <w:tcPr>
            <w:tcW w:type="dxa" w:w="2192"/>
          </w:tcPr>
          <w:p>
            <w:r/>
            <w:r>
              <w:rPr>
                <w:rFonts w:ascii="Times New Roman" w:hAnsi="Times New Roman"/>
                <w:sz w:val="22"/>
              </w:rPr>
              <w:t>2007</w:t>
            </w:r>
          </w:p>
        </w:tc>
        <w:tc>
          <w:tcPr>
            <w:tcW w:type="dxa" w:w="2192"/>
          </w:tcPr>
          <w:p>
            <w:r/>
            <w:r>
              <w:rPr>
                <w:rFonts w:ascii="Times New Roman" w:hAnsi="Times New Roman"/>
                <w:sz w:val="22"/>
              </w:rPr>
              <w:t>ABC- og VED-analyse, militærmedisinsk</w:t>
            </w:r>
          </w:p>
        </w:tc>
        <w:tc>
          <w:tcPr>
            <w:tcW w:type="dxa" w:w="2192"/>
          </w:tcPr>
          <w:p>
            <w:r/>
            <w:r>
              <w:rPr>
                <w:rFonts w:ascii="Times New Roman" w:hAnsi="Times New Roman"/>
                <w:sz w:val="22"/>
              </w:rPr>
              <w:t>ABC i sykehuskontekst med SAP-data</w:t>
            </w:r>
          </w:p>
        </w:tc>
      </w:tr>
      <w:tr>
        <w:tc>
          <w:tcPr>
            <w:tcW w:type="dxa" w:w="2192"/>
          </w:tcPr>
          <w:p>
            <w:r/>
            <w:r>
              <w:rPr>
                <w:rFonts w:ascii="Times New Roman" w:hAnsi="Times New Roman"/>
                <w:sz w:val="22"/>
              </w:rPr>
              <w:t>Gurumurthy et al.</w:t>
            </w:r>
          </w:p>
        </w:tc>
        <w:tc>
          <w:tcPr>
            <w:tcW w:type="dxa" w:w="2192"/>
          </w:tcPr>
          <w:p>
            <w:r/>
            <w:r>
              <w:rPr>
                <w:rFonts w:ascii="Times New Roman" w:hAnsi="Times New Roman"/>
                <w:sz w:val="22"/>
              </w:rPr>
              <w:t>2021</w:t>
            </w:r>
          </w:p>
        </w:tc>
        <w:tc>
          <w:tcPr>
            <w:tcW w:type="dxa" w:w="2192"/>
          </w:tcPr>
          <w:p>
            <w:r/>
            <w:r>
              <w:rPr>
                <w:rFonts w:ascii="Times New Roman" w:hAnsi="Times New Roman"/>
                <w:sz w:val="22"/>
              </w:rPr>
              <w:t>Hybrid lagerklassifisering, lean i sykehus</w:t>
            </w:r>
          </w:p>
        </w:tc>
        <w:tc>
          <w:tcPr>
            <w:tcW w:type="dxa" w:w="2192"/>
          </w:tcPr>
          <w:p>
            <w:r/>
            <w:r>
              <w:rPr>
                <w:rFonts w:ascii="Times New Roman" w:hAnsi="Times New Roman"/>
                <w:sz w:val="22"/>
              </w:rPr>
              <w:t>K-means i sykehuslogistikk</w:t>
            </w:r>
          </w:p>
        </w:tc>
      </w:tr>
      <w:tr>
        <w:tc>
          <w:tcPr>
            <w:tcW w:type="dxa" w:w="2192"/>
          </w:tcPr>
          <w:p>
            <w:r/>
            <w:r>
              <w:rPr>
                <w:rFonts w:ascii="Times New Roman" w:hAnsi="Times New Roman"/>
                <w:sz w:val="22"/>
              </w:rPr>
              <w:t>Hautaniemi &amp; Pirttilä</w:t>
            </w:r>
          </w:p>
        </w:tc>
        <w:tc>
          <w:tcPr>
            <w:tcW w:type="dxa" w:w="2192"/>
          </w:tcPr>
          <w:p>
            <w:r/>
            <w:r>
              <w:rPr>
                <w:rFonts w:ascii="Times New Roman" w:hAnsi="Times New Roman"/>
                <w:sz w:val="22"/>
              </w:rPr>
              <w:t>1999</w:t>
            </w:r>
          </w:p>
        </w:tc>
        <w:tc>
          <w:tcPr>
            <w:tcW w:type="dxa" w:w="2192"/>
          </w:tcPr>
          <w:p>
            <w:r/>
            <w:r>
              <w:rPr>
                <w:rFonts w:ascii="Times New Roman" w:hAnsi="Times New Roman"/>
                <w:sz w:val="22"/>
              </w:rPr>
              <w:t>Påfyllingspolicyer i MRP-miljø</w:t>
            </w:r>
          </w:p>
        </w:tc>
        <w:tc>
          <w:tcPr>
            <w:tcW w:type="dxa" w:w="2192"/>
          </w:tcPr>
          <w:p>
            <w:r/>
            <w:r>
              <w:rPr>
                <w:rFonts w:ascii="Times New Roman" w:hAnsi="Times New Roman"/>
                <w:sz w:val="22"/>
              </w:rPr>
              <w:t>EOQ-forutsetninger, lot sizing</w:t>
            </w:r>
          </w:p>
        </w:tc>
      </w:tr>
      <w:tr>
        <w:tc>
          <w:tcPr>
            <w:tcW w:type="dxa" w:w="2192"/>
          </w:tcPr>
          <w:p>
            <w:r/>
            <w:r>
              <w:rPr>
                <w:rFonts w:ascii="Times New Roman" w:hAnsi="Times New Roman"/>
                <w:sz w:val="22"/>
              </w:rPr>
              <w:t>Kelle et al.</w:t>
            </w:r>
          </w:p>
        </w:tc>
        <w:tc>
          <w:tcPr>
            <w:tcW w:type="dxa" w:w="2192"/>
          </w:tcPr>
          <w:p>
            <w:r/>
            <w:r>
              <w:rPr>
                <w:rFonts w:ascii="Times New Roman" w:hAnsi="Times New Roman"/>
                <w:sz w:val="22"/>
              </w:rPr>
              <w:t>2012</w:t>
            </w:r>
          </w:p>
        </w:tc>
        <w:tc>
          <w:tcPr>
            <w:tcW w:type="dxa" w:w="2192"/>
          </w:tcPr>
          <w:p>
            <w:r/>
            <w:r>
              <w:rPr>
                <w:rFonts w:ascii="Times New Roman" w:hAnsi="Times New Roman"/>
                <w:sz w:val="22"/>
              </w:rPr>
              <w:t>Farmasøytisk forsyningskjede, sykehus</w:t>
            </w:r>
          </w:p>
        </w:tc>
        <w:tc>
          <w:tcPr>
            <w:tcW w:type="dxa" w:w="2192"/>
          </w:tcPr>
          <w:p>
            <w:r/>
            <w:r>
              <w:rPr>
                <w:rFonts w:ascii="Times New Roman" w:hAnsi="Times New Roman"/>
                <w:sz w:val="22"/>
              </w:rPr>
              <w:t>Ordrekostnad S, sykehusinnkjøp</w:t>
            </w:r>
          </w:p>
        </w:tc>
      </w:tr>
      <w:tr>
        <w:tc>
          <w:tcPr>
            <w:tcW w:type="dxa" w:w="2192"/>
          </w:tcPr>
          <w:p>
            <w:r/>
            <w:r>
              <w:rPr>
                <w:rFonts w:ascii="Times New Roman" w:hAnsi="Times New Roman"/>
                <w:sz w:val="22"/>
              </w:rPr>
              <w:t>Keshavarz Ghorabaee et al.</w:t>
            </w:r>
          </w:p>
        </w:tc>
        <w:tc>
          <w:tcPr>
            <w:tcW w:type="dxa" w:w="2192"/>
          </w:tcPr>
          <w:p>
            <w:r/>
            <w:r>
              <w:rPr>
                <w:rFonts w:ascii="Times New Roman" w:hAnsi="Times New Roman"/>
                <w:sz w:val="22"/>
              </w:rPr>
              <w:t>2015</w:t>
            </w:r>
          </w:p>
        </w:tc>
        <w:tc>
          <w:tcPr>
            <w:tcW w:type="dxa" w:w="2192"/>
          </w:tcPr>
          <w:p>
            <w:r/>
            <w:r>
              <w:rPr>
                <w:rFonts w:ascii="Times New Roman" w:hAnsi="Times New Roman"/>
                <w:sz w:val="22"/>
              </w:rPr>
              <w:t>EDAS flerkriterieklassifisering</w:t>
            </w:r>
          </w:p>
        </w:tc>
        <w:tc>
          <w:tcPr>
            <w:tcW w:type="dxa" w:w="2192"/>
          </w:tcPr>
          <w:p>
            <w:r/>
            <w:r>
              <w:rPr>
                <w:rFonts w:ascii="Times New Roman" w:hAnsi="Times New Roman"/>
                <w:sz w:val="22"/>
              </w:rPr>
              <w:t>Alternativ til ABC, avstandsmetode</w:t>
            </w:r>
          </w:p>
        </w:tc>
      </w:tr>
      <w:tr>
        <w:tc>
          <w:tcPr>
            <w:tcW w:type="dxa" w:w="2192"/>
          </w:tcPr>
          <w:p>
            <w:r/>
            <w:r>
              <w:rPr>
                <w:rFonts w:ascii="Times New Roman" w:hAnsi="Times New Roman"/>
                <w:sz w:val="22"/>
              </w:rPr>
              <w:t>Ketkar &amp; Vaidya</w:t>
            </w:r>
          </w:p>
        </w:tc>
        <w:tc>
          <w:tcPr>
            <w:tcW w:type="dxa" w:w="2192"/>
          </w:tcPr>
          <w:p>
            <w:r/>
            <w:r>
              <w:rPr>
                <w:rFonts w:ascii="Times New Roman" w:hAnsi="Times New Roman"/>
                <w:sz w:val="22"/>
              </w:rPr>
              <w:t>2014</w:t>
            </w:r>
          </w:p>
        </w:tc>
        <w:tc>
          <w:tcPr>
            <w:tcW w:type="dxa" w:w="2192"/>
          </w:tcPr>
          <w:p>
            <w:r/>
            <w:r>
              <w:rPr>
                <w:rFonts w:ascii="Times New Roman" w:hAnsi="Times New Roman"/>
                <w:sz w:val="22"/>
              </w:rPr>
              <w:t>Bestillingspolicy, flerklassifisering</w:t>
            </w:r>
          </w:p>
        </w:tc>
        <w:tc>
          <w:tcPr>
            <w:tcW w:type="dxa" w:w="2192"/>
          </w:tcPr>
          <w:p>
            <w:r/>
            <w:r>
              <w:rPr>
                <w:rFonts w:ascii="Times New Roman" w:hAnsi="Times New Roman"/>
                <w:sz w:val="22"/>
              </w:rPr>
              <w:t>Holdesats h = 20 %, ABC/XYZ-kombinasjon</w:t>
            </w:r>
          </w:p>
        </w:tc>
      </w:tr>
      <w:tr>
        <w:tc>
          <w:tcPr>
            <w:tcW w:type="dxa" w:w="2192"/>
          </w:tcPr>
          <w:p>
            <w:r/>
            <w:r>
              <w:rPr>
                <w:rFonts w:ascii="Times New Roman" w:hAnsi="Times New Roman"/>
                <w:sz w:val="22"/>
              </w:rPr>
              <w:t>Kumar &amp; Kumar</w:t>
            </w:r>
          </w:p>
        </w:tc>
        <w:tc>
          <w:tcPr>
            <w:tcW w:type="dxa" w:w="2192"/>
          </w:tcPr>
          <w:p>
            <w:r/>
            <w:r>
              <w:rPr>
                <w:rFonts w:ascii="Times New Roman" w:hAnsi="Times New Roman"/>
                <w:sz w:val="22"/>
              </w:rPr>
              <w:t>2015</w:t>
            </w:r>
          </w:p>
        </w:tc>
        <w:tc>
          <w:tcPr>
            <w:tcW w:type="dxa" w:w="2192"/>
          </w:tcPr>
          <w:p>
            <w:r/>
            <w:r>
              <w:rPr>
                <w:rFonts w:ascii="Times New Roman" w:hAnsi="Times New Roman"/>
                <w:sz w:val="22"/>
              </w:rPr>
              <w:t>Sykehuslager, ISM-analyse</w:t>
            </w:r>
          </w:p>
        </w:tc>
        <w:tc>
          <w:tcPr>
            <w:tcW w:type="dxa" w:w="2192"/>
          </w:tcPr>
          <w:p>
            <w:r/>
            <w:r>
              <w:rPr>
                <w:rFonts w:ascii="Times New Roman" w:hAnsi="Times New Roman"/>
                <w:sz w:val="22"/>
              </w:rPr>
              <w:t>Drivende faktorer i sykehuslogistikk</w:t>
            </w:r>
          </w:p>
        </w:tc>
      </w:tr>
      <w:tr>
        <w:tc>
          <w:tcPr>
            <w:tcW w:type="dxa" w:w="2192"/>
          </w:tcPr>
          <w:p>
            <w:r/>
            <w:r>
              <w:rPr>
                <w:rFonts w:ascii="Times New Roman" w:hAnsi="Times New Roman"/>
                <w:sz w:val="22"/>
              </w:rPr>
              <w:t>McKinney</w:t>
            </w:r>
          </w:p>
        </w:tc>
        <w:tc>
          <w:tcPr>
            <w:tcW w:type="dxa" w:w="2192"/>
          </w:tcPr>
          <w:p>
            <w:r/>
            <w:r>
              <w:rPr>
                <w:rFonts w:ascii="Times New Roman" w:hAnsi="Times New Roman"/>
                <w:sz w:val="22"/>
              </w:rPr>
              <w:t>2010</w:t>
            </w:r>
          </w:p>
        </w:tc>
        <w:tc>
          <w:tcPr>
            <w:tcW w:type="dxa" w:w="2192"/>
          </w:tcPr>
          <w:p>
            <w:r/>
            <w:r>
              <w:rPr>
                <w:rFonts w:ascii="Times New Roman" w:hAnsi="Times New Roman"/>
                <w:sz w:val="22"/>
              </w:rPr>
              <w:t>pandas – datastrukturer i Python</w:t>
            </w:r>
          </w:p>
        </w:tc>
        <w:tc>
          <w:tcPr>
            <w:tcW w:type="dxa" w:w="2192"/>
          </w:tcPr>
          <w:p>
            <w:r/>
            <w:r>
              <w:rPr>
                <w:rFonts w:ascii="Times New Roman" w:hAnsi="Times New Roman"/>
                <w:sz w:val="22"/>
              </w:rPr>
              <w:t>Verktøy for dataforbehandling</w:t>
            </w:r>
          </w:p>
        </w:tc>
      </w:tr>
      <w:tr>
        <w:tc>
          <w:tcPr>
            <w:tcW w:type="dxa" w:w="2192"/>
          </w:tcPr>
          <w:p>
            <w:r/>
            <w:r>
              <w:rPr>
                <w:rFonts w:ascii="Times New Roman" w:hAnsi="Times New Roman"/>
                <w:sz w:val="22"/>
              </w:rPr>
              <w:t>Moons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Ytelsesmåling, intern sykehusforsyning</w:t>
            </w:r>
          </w:p>
        </w:tc>
        <w:tc>
          <w:tcPr>
            <w:tcW w:type="dxa" w:w="2192"/>
          </w:tcPr>
          <w:p>
            <w:r/>
            <w:r>
              <w:rPr>
                <w:rFonts w:ascii="Times New Roman" w:hAnsi="Times New Roman"/>
                <w:sz w:val="22"/>
              </w:rPr>
              <w:t>Flerkriteriebaserte ytelsesmål</w:t>
            </w:r>
          </w:p>
        </w:tc>
      </w:tr>
      <w:tr>
        <w:tc>
          <w:tcPr>
            <w:tcW w:type="dxa" w:w="2192"/>
          </w:tcPr>
          <w:p>
            <w:r/>
            <w:r>
              <w:rPr>
                <w:rFonts w:ascii="Times New Roman" w:hAnsi="Times New Roman"/>
                <w:sz w:val="22"/>
              </w:rPr>
              <w:t>Nowotyńska</w:t>
            </w:r>
          </w:p>
        </w:tc>
        <w:tc>
          <w:tcPr>
            <w:tcW w:type="dxa" w:w="2192"/>
          </w:tcPr>
          <w:p>
            <w:r/>
            <w:r>
              <w:rPr>
                <w:rFonts w:ascii="Times New Roman" w:hAnsi="Times New Roman"/>
                <w:sz w:val="22"/>
              </w:rPr>
              <w:t>2013</w:t>
            </w:r>
          </w:p>
        </w:tc>
        <w:tc>
          <w:tcPr>
            <w:tcW w:type="dxa" w:w="2192"/>
          </w:tcPr>
          <w:p>
            <w:r/>
            <w:r>
              <w:rPr>
                <w:rFonts w:ascii="Times New Roman" w:hAnsi="Times New Roman"/>
                <w:sz w:val="22"/>
              </w:rPr>
              <w:t>XYZ-analyse, lagerstyring</w:t>
            </w:r>
          </w:p>
        </w:tc>
        <w:tc>
          <w:tcPr>
            <w:tcW w:type="dxa" w:w="2192"/>
          </w:tcPr>
          <w:p>
            <w:r/>
            <w:r>
              <w:rPr>
                <w:rFonts w:ascii="Times New Roman" w:hAnsi="Times New Roman"/>
                <w:sz w:val="22"/>
              </w:rPr>
              <w:t>CV-grenser X/Y/Z, metodegrunnlag</w:t>
            </w:r>
          </w:p>
        </w:tc>
      </w:tr>
      <w:tr>
        <w:tc>
          <w:tcPr>
            <w:tcW w:type="dxa" w:w="2192"/>
          </w:tcPr>
          <w:p>
            <w:r/>
            <w:r>
              <w:rPr>
                <w:rFonts w:ascii="Times New Roman" w:hAnsi="Times New Roman"/>
                <w:sz w:val="22"/>
              </w:rPr>
              <w:t>Partovi &amp; Burton</w:t>
            </w:r>
          </w:p>
        </w:tc>
        <w:tc>
          <w:tcPr>
            <w:tcW w:type="dxa" w:w="2192"/>
          </w:tcPr>
          <w:p>
            <w:r/>
            <w:r>
              <w:rPr>
                <w:rFonts w:ascii="Times New Roman" w:hAnsi="Times New Roman"/>
                <w:sz w:val="22"/>
              </w:rPr>
              <w:t>1993</w:t>
            </w:r>
          </w:p>
        </w:tc>
        <w:tc>
          <w:tcPr>
            <w:tcW w:type="dxa" w:w="2192"/>
          </w:tcPr>
          <w:p>
            <w:r/>
            <w:r>
              <w:rPr>
                <w:rFonts w:ascii="Times New Roman" w:hAnsi="Times New Roman"/>
                <w:sz w:val="22"/>
              </w:rPr>
              <w:t>AHP for ABC-analyse</w:t>
            </w:r>
          </w:p>
        </w:tc>
        <w:tc>
          <w:tcPr>
            <w:tcW w:type="dxa" w:w="2192"/>
          </w:tcPr>
          <w:p>
            <w:r/>
            <w:r>
              <w:rPr>
                <w:rFonts w:ascii="Times New Roman" w:hAnsi="Times New Roman"/>
                <w:sz w:val="22"/>
              </w:rPr>
              <w:t>Subjektiv vekting vs. objektive kriterier</w:t>
            </w:r>
          </w:p>
        </w:tc>
      </w:tr>
      <w:tr>
        <w:tc>
          <w:tcPr>
            <w:tcW w:type="dxa" w:w="2192"/>
          </w:tcPr>
          <w:p>
            <w:r/>
            <w:r>
              <w:rPr>
                <w:rFonts w:ascii="Times New Roman" w:hAnsi="Times New Roman"/>
                <w:sz w:val="22"/>
              </w:rPr>
              <w:t>Pedregosa et al.</w:t>
            </w:r>
          </w:p>
        </w:tc>
        <w:tc>
          <w:tcPr>
            <w:tcW w:type="dxa" w:w="2192"/>
          </w:tcPr>
          <w:p>
            <w:r/>
            <w:r>
              <w:rPr>
                <w:rFonts w:ascii="Times New Roman" w:hAnsi="Times New Roman"/>
                <w:sz w:val="22"/>
              </w:rPr>
              <w:t>2011</w:t>
            </w:r>
          </w:p>
        </w:tc>
        <w:tc>
          <w:tcPr>
            <w:tcW w:type="dxa" w:w="2192"/>
          </w:tcPr>
          <w:p>
            <w:r/>
            <w:r>
              <w:rPr>
                <w:rFonts w:ascii="Times New Roman" w:hAnsi="Times New Roman"/>
                <w:sz w:val="22"/>
              </w:rPr>
              <w:t>scikit-learn – maskinlæring i Python</w:t>
            </w:r>
          </w:p>
        </w:tc>
        <w:tc>
          <w:tcPr>
            <w:tcW w:type="dxa" w:w="2192"/>
          </w:tcPr>
          <w:p>
            <w:r/>
            <w:r>
              <w:rPr>
                <w:rFonts w:ascii="Times New Roman" w:hAnsi="Times New Roman"/>
                <w:sz w:val="22"/>
              </w:rPr>
              <w:t>Verktøy for K-means og validering</w:t>
            </w:r>
          </w:p>
        </w:tc>
      </w:tr>
      <w:tr>
        <w:tc>
          <w:tcPr>
            <w:tcW w:type="dxa" w:w="2192"/>
          </w:tcPr>
          <w:p>
            <w:r/>
            <w:r>
              <w:rPr>
                <w:rFonts w:ascii="Times New Roman" w:hAnsi="Times New Roman"/>
                <w:sz w:val="22"/>
              </w:rPr>
              <w:t>Pujawan</w:t>
            </w:r>
          </w:p>
        </w:tc>
        <w:tc>
          <w:tcPr>
            <w:tcW w:type="dxa" w:w="2192"/>
          </w:tcPr>
          <w:p>
            <w:r/>
            <w:r>
              <w:rPr>
                <w:rFonts w:ascii="Times New Roman" w:hAnsi="Times New Roman"/>
                <w:sz w:val="22"/>
              </w:rPr>
              <w:t>2004</w:t>
            </w:r>
          </w:p>
        </w:tc>
        <w:tc>
          <w:tcPr>
            <w:tcW w:type="dxa" w:w="2192"/>
          </w:tcPr>
          <w:p>
            <w:r/>
            <w:r>
              <w:rPr>
                <w:rFonts w:ascii="Times New Roman" w:hAnsi="Times New Roman"/>
                <w:sz w:val="22"/>
              </w:rPr>
              <w:t>Lot sizing, ordrevariabilitet</w:t>
            </w:r>
          </w:p>
        </w:tc>
        <w:tc>
          <w:tcPr>
            <w:tcW w:type="dxa" w:w="2192"/>
          </w:tcPr>
          <w:p>
            <w:r/>
            <w:r>
              <w:rPr>
                <w:rFonts w:ascii="Times New Roman" w:hAnsi="Times New Roman"/>
                <w:sz w:val="22"/>
              </w:rPr>
              <w:t>Bullwhip-effekt, EOQ-relevans</w:t>
            </w:r>
          </w:p>
        </w:tc>
      </w:tr>
      <w:tr>
        <w:tc>
          <w:tcPr>
            <w:tcW w:type="dxa" w:w="2192"/>
          </w:tcPr>
          <w:p>
            <w:r/>
            <w:r>
              <w:rPr>
                <w:rFonts w:ascii="Times New Roman" w:hAnsi="Times New Roman"/>
                <w:sz w:val="22"/>
              </w:rPr>
              <w:t>Saha &amp; Ray</w:t>
            </w:r>
          </w:p>
        </w:tc>
        <w:tc>
          <w:tcPr>
            <w:tcW w:type="dxa" w:w="2192"/>
          </w:tcPr>
          <w:p>
            <w:r/>
            <w:r>
              <w:rPr>
                <w:rFonts w:ascii="Times New Roman" w:hAnsi="Times New Roman"/>
                <w:sz w:val="22"/>
              </w:rPr>
              <w:t>2019</w:t>
            </w:r>
          </w:p>
        </w:tc>
        <w:tc>
          <w:tcPr>
            <w:tcW w:type="dxa" w:w="2192"/>
          </w:tcPr>
          <w:p>
            <w:r/>
            <w:r>
              <w:rPr>
                <w:rFonts w:ascii="Times New Roman" w:hAnsi="Times New Roman"/>
                <w:sz w:val="22"/>
              </w:rPr>
              <w:t>Lagermodeller i helsesektoren (review, 137 art.)</w:t>
            </w:r>
          </w:p>
        </w:tc>
        <w:tc>
          <w:tcPr>
            <w:tcW w:type="dxa" w:w="2192"/>
          </w:tcPr>
          <w:p>
            <w:r/>
            <w:r>
              <w:rPr>
                <w:rFonts w:ascii="Times New Roman" w:hAnsi="Times New Roman"/>
                <w:sz w:val="22"/>
              </w:rPr>
              <w:t>Gap: empiriske SAP-casestudier mangler</w:t>
            </w:r>
          </w:p>
        </w:tc>
      </w:tr>
      <w:tr>
        <w:tc>
          <w:tcPr>
            <w:tcW w:type="dxa" w:w="2192"/>
          </w:tcPr>
          <w:p>
            <w:r/>
            <w:r>
              <w:rPr>
                <w:rFonts w:ascii="Times New Roman" w:hAnsi="Times New Roman"/>
                <w:sz w:val="22"/>
              </w:rPr>
              <w:t>Silaen et al.</w:t>
            </w:r>
          </w:p>
        </w:tc>
        <w:tc>
          <w:tcPr>
            <w:tcW w:type="dxa" w:w="2192"/>
          </w:tcPr>
          <w:p>
            <w:r/>
            <w:r>
              <w:rPr>
                <w:rFonts w:ascii="Times New Roman" w:hAnsi="Times New Roman"/>
                <w:sz w:val="22"/>
              </w:rPr>
              <w:t>2023</w:t>
            </w:r>
          </w:p>
        </w:tc>
        <w:tc>
          <w:tcPr>
            <w:tcW w:type="dxa" w:w="2192"/>
          </w:tcPr>
          <w:p>
            <w:r/>
            <w:r>
              <w:rPr>
                <w:rFonts w:ascii="Times New Roman" w:hAnsi="Times New Roman"/>
                <w:sz w:val="22"/>
              </w:rPr>
              <w:t>ABC-analyse, implementering</w:t>
            </w:r>
          </w:p>
        </w:tc>
        <w:tc>
          <w:tcPr>
            <w:tcW w:type="dxa" w:w="2192"/>
          </w:tcPr>
          <w:p>
            <w:r/>
            <w:r>
              <w:rPr>
                <w:rFonts w:ascii="Times New Roman" w:hAnsi="Times New Roman"/>
                <w:sz w:val="22"/>
              </w:rPr>
              <w:t>ABC-grenser 80/95 %, Pareto-prinsippet</w:t>
            </w:r>
          </w:p>
        </w:tc>
      </w:tr>
      <w:tr>
        <w:tc>
          <w:tcPr>
            <w:tcW w:type="dxa" w:w="2192"/>
          </w:tcPr>
          <w:p>
            <w:r/>
            <w:r>
              <w:rPr>
                <w:rFonts w:ascii="Times New Roman" w:hAnsi="Times New Roman"/>
                <w:sz w:val="22"/>
              </w:rPr>
              <w:t>Sirisawat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Ytelsesindikatorer, universitetssykehus</w:t>
            </w:r>
          </w:p>
        </w:tc>
        <w:tc>
          <w:tcPr>
            <w:tcW w:type="dxa" w:w="2192"/>
          </w:tcPr>
          <w:p>
            <w:r/>
            <w:r>
              <w:rPr>
                <w:rFonts w:ascii="Times New Roman" w:hAnsi="Times New Roman"/>
                <w:sz w:val="22"/>
              </w:rPr>
              <w:t>KPI-er for sykehuslagerstyring</w:t>
            </w:r>
          </w:p>
        </w:tc>
      </w:tr>
      <w:tr>
        <w:tc>
          <w:tcPr>
            <w:tcW w:type="dxa" w:w="2192"/>
          </w:tcPr>
          <w:p>
            <w:r/>
            <w:r>
              <w:rPr>
                <w:rFonts w:ascii="Times New Roman" w:hAnsi="Times New Roman"/>
                <w:sz w:val="22"/>
              </w:rPr>
              <w:t>Srinivasan &amp; Moon</w:t>
            </w:r>
          </w:p>
        </w:tc>
        <w:tc>
          <w:tcPr>
            <w:tcW w:type="dxa" w:w="2192"/>
          </w:tcPr>
          <w:p>
            <w:r/>
            <w:r>
              <w:rPr>
                <w:rFonts w:ascii="Times New Roman" w:hAnsi="Times New Roman"/>
                <w:sz w:val="22"/>
              </w:rPr>
              <w:t>1999</w:t>
            </w:r>
          </w:p>
        </w:tc>
        <w:tc>
          <w:tcPr>
            <w:tcW w:type="dxa" w:w="2192"/>
          </w:tcPr>
          <w:p>
            <w:r/>
            <w:r>
              <w:rPr>
                <w:rFonts w:ascii="Times New Roman" w:hAnsi="Times New Roman"/>
                <w:sz w:val="22"/>
              </w:rPr>
              <w:t>Klyngeanalyse, forsyningskjedenettverk</w:t>
            </w:r>
          </w:p>
        </w:tc>
        <w:tc>
          <w:tcPr>
            <w:tcW w:type="dxa" w:w="2192"/>
          </w:tcPr>
          <w:p>
            <w:r/>
            <w:r>
              <w:rPr>
                <w:rFonts w:ascii="Times New Roman" w:hAnsi="Times New Roman"/>
                <w:sz w:val="22"/>
              </w:rPr>
              <w:t>K-means i SCM, nær-optimale løsninger</w:t>
            </w:r>
          </w:p>
        </w:tc>
      </w:tr>
      <w:tr>
        <w:tc>
          <w:tcPr>
            <w:tcW w:type="dxa" w:w="2192"/>
          </w:tcPr>
          <w:p>
            <w:r/>
            <w:r>
              <w:rPr>
                <w:rFonts w:ascii="Times New Roman" w:hAnsi="Times New Roman"/>
                <w:sz w:val="22"/>
              </w:rPr>
              <w:t>Suryaputri et al.</w:t>
            </w:r>
          </w:p>
        </w:tc>
        <w:tc>
          <w:tcPr>
            <w:tcW w:type="dxa" w:w="2192"/>
          </w:tcPr>
          <w:p>
            <w:r/>
            <w:r>
              <w:rPr>
                <w:rFonts w:ascii="Times New Roman" w:hAnsi="Times New Roman"/>
                <w:sz w:val="22"/>
              </w:rPr>
              <w:t>2022</w:t>
            </w:r>
          </w:p>
        </w:tc>
        <w:tc>
          <w:tcPr>
            <w:tcW w:type="dxa" w:w="2192"/>
          </w:tcPr>
          <w:p>
            <w:r/>
            <w:r>
              <w:rPr>
                <w:rFonts w:ascii="Times New Roman" w:hAnsi="Times New Roman"/>
                <w:sz w:val="22"/>
              </w:rPr>
              <w:t>ABC-XYZ-integrasjon, helseindustri</w:t>
            </w:r>
          </w:p>
        </w:tc>
        <w:tc>
          <w:tcPr>
            <w:tcW w:type="dxa" w:w="2192"/>
          </w:tcPr>
          <w:p>
            <w:r/>
            <w:r>
              <w:rPr>
                <w:rFonts w:ascii="Times New Roman" w:hAnsi="Times New Roman"/>
                <w:sz w:val="22"/>
              </w:rPr>
              <w:t>ABC/XYZ-matrise, bestillingspolicy</w:t>
            </w:r>
          </w:p>
        </w:tc>
      </w:tr>
      <w:tr>
        <w:tc>
          <w:tcPr>
            <w:tcW w:type="dxa" w:w="2192"/>
          </w:tcPr>
          <w:p>
            <w:r/>
            <w:r>
              <w:rPr>
                <w:rFonts w:ascii="Times New Roman" w:hAnsi="Times New Roman"/>
                <w:sz w:val="22"/>
              </w:rPr>
              <w:t>van Kampen et al.</w:t>
            </w:r>
          </w:p>
        </w:tc>
        <w:tc>
          <w:tcPr>
            <w:tcW w:type="dxa" w:w="2192"/>
          </w:tcPr>
          <w:p>
            <w:r/>
            <w:r>
              <w:rPr>
                <w:rFonts w:ascii="Times New Roman" w:hAnsi="Times New Roman"/>
                <w:sz w:val="22"/>
              </w:rPr>
              <w:t>2012</w:t>
            </w:r>
          </w:p>
        </w:tc>
        <w:tc>
          <w:tcPr>
            <w:tcW w:type="dxa" w:w="2192"/>
          </w:tcPr>
          <w:p>
            <w:r/>
            <w:r>
              <w:rPr>
                <w:rFonts w:ascii="Times New Roman" w:hAnsi="Times New Roman"/>
                <w:sz w:val="22"/>
              </w:rPr>
              <w:t>SKU-klassifiseringsrammeverk</w:t>
            </w:r>
          </w:p>
        </w:tc>
        <w:tc>
          <w:tcPr>
            <w:tcW w:type="dxa" w:w="2192"/>
          </w:tcPr>
          <w:p>
            <w:r/>
            <w:r>
              <w:rPr>
                <w:rFonts w:ascii="Times New Roman" w:hAnsi="Times New Roman"/>
                <w:sz w:val="22"/>
              </w:rPr>
              <w:t>Tre hoveddimensjoner, posisjonering</w:t>
            </w:r>
          </w:p>
        </w:tc>
      </w:tr>
      <w:tr>
        <w:tc>
          <w:tcPr>
            <w:tcW w:type="dxa" w:w="2192"/>
          </w:tcPr>
          <w:p>
            <w:r/>
            <w:r>
              <w:rPr>
                <w:rFonts w:ascii="Times New Roman" w:hAnsi="Times New Roman"/>
                <w:sz w:val="22"/>
              </w:rPr>
              <w:t>Volland et al.</w:t>
            </w:r>
          </w:p>
        </w:tc>
        <w:tc>
          <w:tcPr>
            <w:tcW w:type="dxa" w:w="2192"/>
          </w:tcPr>
          <w:p>
            <w:r/>
            <w:r>
              <w:rPr>
                <w:rFonts w:ascii="Times New Roman" w:hAnsi="Times New Roman"/>
                <w:sz w:val="22"/>
              </w:rPr>
              <w:t>2017</w:t>
            </w:r>
          </w:p>
        </w:tc>
        <w:tc>
          <w:tcPr>
            <w:tcW w:type="dxa" w:w="2192"/>
          </w:tcPr>
          <w:p>
            <w:r/>
            <w:r>
              <w:rPr>
                <w:rFonts w:ascii="Times New Roman" w:hAnsi="Times New Roman"/>
                <w:sz w:val="22"/>
              </w:rPr>
              <w:t>Materiallogistikk i sykehus (review, 145 pub.)</w:t>
            </w:r>
          </w:p>
        </w:tc>
        <w:tc>
          <w:tcPr>
            <w:tcW w:type="dxa" w:w="2192"/>
          </w:tcPr>
          <w:p>
            <w:r/>
            <w:r>
              <w:rPr>
                <w:rFonts w:ascii="Times New Roman" w:hAnsi="Times New Roman"/>
                <w:sz w:val="22"/>
              </w:rPr>
              <w:t>Lagerstyring dominerer, 30–40 % av drift</w:t>
            </w:r>
          </w:p>
        </w:tc>
      </w:tr>
    </w:tbl>
    <w:p>
      <w:r>
        <w:rPr>
          <w:rFonts w:ascii="Times New Roman" w:hAnsi="Times New Roman"/>
          <w:i/>
          <w:sz w:val="20"/>
        </w:rPr>
        <w:t>Tabell 1. Litteraturoversikt: sentrale kilder med tema og relevans for oppgaven.</w:t>
      </w:r>
    </w:p>
    <w:p>
      <w:pPr>
        <w:pStyle w:val="Overskrift2"/>
      </w:pPr>
      <w:r>
        <w:rPr>
          <w:rFonts w:ascii="Times New Roman" w:hAnsi="Times New Roman"/>
          <w:color w:val="000000"/>
          <w:sz w:val="32"/>
        </w:rPr>
        <w:t>2.2 ABC-analyse</w:t>
      </w:r>
    </w:p>
    <w:p>
      <w:pPr>
        <w:spacing w:line="360" w:lineRule="auto"/>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pPr>
        <w:spacing w:line="360" w:lineRule="auto"/>
      </w:pPr>
      <w:r>
        <w:rPr>
          <w:rFonts w:ascii="Times New Roman" w:hAnsi="Times New Roman" w:cs="Times New Roman"/>
          <w:sz w:val="24"/>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pPr>
      <w:r>
        <w:rPr>
          <w:rFonts w:ascii="Times New Roman" w:hAnsi="Times New Roman" w:cs="Times New Roman"/>
          <w:sz w:val="24"/>
        </w:rPr>
        <w:t>XYZ-klassifisering kategoriserer artikler etter etterspørselens forutsigbarhet, målt ved variasjonskoeffisienten (CV). Klassifikasjonsgrensene følger Nowotyńska (2013): X (</w:t>
      </w:r>
      <m:oMath>
        <m:r>
          <m:t>CV&lt;0,5,</m:t>
        </m:r>
      </m:oMath>
      <w:r>
        <w:rPr>
          <w:rFonts w:ascii="Times New Roman" w:hAnsi="Times New Roman" w:cs="Times New Roman"/>
          <w:sz w:val="24"/>
        </w:rPr>
        <w:t xml:space="preserve"> stabilt), Y (0,5 ≤ </w:t>
      </w:r>
      <m:oMath>
        <m:r>
          <m:t>CV&lt;1,0,</m:t>
        </m:r>
      </m:oMath>
      <w:r>
        <w:rPr>
          <w:rFonts w:ascii="Times New Roman" w:hAnsi="Times New Roman" w:cs="Times New Roman"/>
          <w:sz w:val="24"/>
        </w:rPr>
        <w:t xml:space="preserve"> moderat) og Z (</w:t>
      </w:r>
      <m:oMath>
        <m:r>
          <m:t>CV≥1,0,</m:t>
        </m:r>
      </m:oMath>
      <w:r>
        <w:rPr>
          <w:rFonts w:ascii="Times New Roman" w:hAnsi="Times New Roman" w:cs="Times New Roman"/>
          <w:sz w:val="24"/>
        </w:rPr>
        <w:t xml:space="preserve"> uregelmessig). Den formelle definisjonen er gitt i kapittel 5.</w:t>
      </w:r>
    </w:p>
    <w:p>
      <w:pPr>
        <w:spacing w:line="360" w:lineRule="auto"/>
      </w:pPr>
      <w:r>
        <w:rPr>
          <w:rFonts w:ascii="Times New Roman" w:hAnsi="Times New Roman" w:cs="Times New Roman"/>
          <w:sz w:val="24"/>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pPr>
        <w:pStyle w:val="Overskrift2"/>
      </w:pPr>
      <w:r>
        <w:rPr>
          <w:rFonts w:ascii="Times New Roman" w:hAnsi="Times New Roman"/>
          <w:color w:val="000000"/>
          <w:sz w:val="32"/>
        </w:rPr>
        <w:t>2.4 Economic Order Quantity (EOQ)</w:t>
      </w:r>
    </w:p>
    <w:p>
      <w:pPr>
        <w:spacing w:line="360" w:lineRule="auto"/>
      </w:pPr>
      <w:r>
        <w:rPr>
          <w:rFonts w:ascii="Times New Roman" w:hAnsi="Times New Roman" w:cs="Times New Roman"/>
          <w:sz w:val="24"/>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pPr>
        <w:spacing w:line="360" w:lineRule="auto"/>
      </w:pPr>
      <w:r>
        <w:rPr>
          <w:rFonts w:ascii="Times New Roman" w:hAnsi="Times New Roman" w:cs="Times New Roman"/>
          <w:sz w:val="24"/>
        </w:rPr>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m:t>S=750</m:t>
        </m:r>
      </m:oMath>
      <w:r>
        <w:rPr>
          <w:rFonts w:ascii="Times New Roman" w:hAnsi="Times New Roman" w:cs="Times New Roman"/>
          <w:sz w:val="24"/>
        </w:rPr>
        <w:t xml:space="preserve"> NOK, </w:t>
      </w:r>
      <m:oMath>
        <m:r>
          <m:t>H=p×20</m:t>
        </m:r>
        <m:r>
          <m:t>%</m:t>
        </m:r>
      </m:oMath>
      <w:r>
        <w:rPr>
          <w:rFonts w:ascii="Times New Roman" w:hAnsi="Times New Roman" w:cs="Times New Roman"/>
          <w:sz w:val="24"/>
        </w:rPr>
        <w:t>) er begrunnet i kapittel 5, og sensitivitetsanalysen varierer begge for å kartlegge robustheten.</w:t>
      </w:r>
    </w:p>
    <w:p>
      <w:pPr>
        <w:pStyle w:val="Overskrift2"/>
      </w:pPr>
      <w:r>
        <w:rPr>
          <w:rFonts w:ascii="Times New Roman" w:hAnsi="Times New Roman"/>
          <w:color w:val="000000"/>
          <w:sz w:val="32"/>
        </w:rPr>
        <w:t>2.5 K-means klyngeanalyse</w:t>
      </w:r>
    </w:p>
    <w:p>
      <w:pPr>
        <w:spacing w:line="360" w:lineRule="auto"/>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(Pedregosa et al., 2011). Optimalt antall klynger bestemmes via silhouette-score, der verdier over 0,3 anses akseptable (Pedregosa et al., 2011). Log-transformasjon og z-score-standardisering sikrer at variabler med ulik skala bidrar likeverdig til distanseberegningene; den tekniske spesifikasjonen er gitt i kapittel 5.</w:t>
      </w:r>
    </w:p>
    <w:p>
      <w:pPr>
        <w:spacing w:line="360" w:lineRule="auto"/>
      </w:pPr>
      <w:r>
        <w:rPr>
          <w:rFonts w:ascii="Times New Roman" w:hAnsi="Times New Roman" w:cs="Times New Roman"/>
          <w:sz w:val="24"/>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pPr>
        <w:pStyle w:val="Overskrift2"/>
      </w:pPr>
      <w:r>
        <w:rPr>
          <w:rFonts w:ascii="Times New Roman" w:hAnsi="Times New Roman"/>
          <w:color w:val="000000"/>
          <w:sz w:val="32"/>
        </w:rPr>
        <w:t>2.6 Lagerstyring i helsesektoren</w:t>
      </w:r>
    </w:p>
    <w:p>
      <w:pPr>
        <w:spacing w:line="360" w:lineRule="auto"/>
      </w:pPr>
      <w:r>
        <w:rPr>
          <w:rFonts w:ascii="Times New Roman" w:hAnsi="Times New Roman" w:cs="Times New Roman"/>
          <w:sz w:val="24"/>
        </w:rPr>
        <w:t>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 Kumar og Kumar (2015) identifiserer leveringstid, lagernivå og bestillingsmønster som drivende faktorer, mens Sirisawat et al. (2019) viser at KPI-basert klassifisering forutsetter tilgang til operative ERP-data — en forutsetning SE16H-tilnærmingen i denne studien direkte adresserer.</w:t>
      </w:r>
    </w:p>
    <w:p>
      <w:pPr>
        <w:spacing w:line="360" w:lineRule="auto"/>
      </w:pPr>
      <w:r>
        <w:rPr>
          <w:rFonts w:ascii="Times New Roman" w:hAnsi="Times New Roman" w:cs="Times New Roman"/>
          <w:sz w:val="24"/>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pPr>
        <w:spacing w:line="360" w:lineRule="auto"/>
      </w:pPr>
      <w:r>
        <w:rPr>
          <w:rFonts w:ascii="Times New Roman" w:hAnsi="Times New Roman" w:cs="Times New Roman"/>
          <w:sz w:val="24"/>
        </w:rPr>
        <w:t>Tabell 2 oppsummerer styrker, svakheter og forutsetninger for de fire analysemetodene som benyttes i denne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ABC-analyse</w:t>
            </w:r>
          </w:p>
        </w:tc>
        <w:tc>
          <w:tcPr>
            <w:tcW w:type="dxa" w:w="1754"/>
          </w:tcPr>
          <w:p>
            <w:r/>
            <w:r>
              <w:rPr>
                <w:rFonts w:ascii="Times New Roman" w:hAnsi="Times New Roman"/>
                <w:sz w:val="22"/>
              </w:rPr>
              <w:t>Enkel, transparent, bred støtte i litteraturen</w:t>
            </w:r>
          </w:p>
        </w:tc>
        <w:tc>
          <w:tcPr>
            <w:tcW w:type="dxa" w:w="1754"/>
          </w:tcPr>
          <w:p>
            <w:r/>
            <w:r>
              <w:rPr>
                <w:rFonts w:ascii="Times New Roman" w:hAnsi="Times New Roman"/>
                <w:sz w:val="22"/>
              </w:rPr>
              <w:t>Ignorerer etterspørselsvariabilitet og kritikalitet</w:t>
            </w:r>
          </w:p>
        </w:tc>
        <w:tc>
          <w:tcPr>
            <w:tcW w:type="dxa" w:w="1754"/>
          </w:tcPr>
          <w:p>
            <w:r/>
            <w:r>
              <w:rPr>
                <w:rFonts w:ascii="Times New Roman" w:hAnsi="Times New Roman"/>
                <w:sz w:val="22"/>
              </w:rPr>
              <w:t>Kjent årsverdi per artikkel</w:t>
            </w:r>
          </w:p>
        </w:tc>
        <w:tc>
          <w:tcPr>
            <w:tcW w:type="dxa" w:w="1754"/>
          </w:tcPr>
          <w:p>
            <w:r/>
            <w:r>
              <w:rPr>
                <w:rFonts w:ascii="Times New Roman" w:hAnsi="Times New Roman"/>
                <w:sz w:val="22"/>
              </w:rPr>
              <w:t>Silaen et al. (2023)</w:t>
            </w:r>
          </w:p>
        </w:tc>
      </w:tr>
      <w:tr>
        <w:tc>
          <w:tcPr>
            <w:tcW w:type="dxa" w:w="1754"/>
          </w:tcPr>
          <w:p>
            <w:r/>
            <w:r>
              <w:rPr>
                <w:rFonts w:ascii="Times New Roman" w:hAnsi="Times New Roman"/>
                <w:sz w:val="22"/>
              </w:rPr>
              <w:t>XYZ-klassifisering</w:t>
            </w:r>
          </w:p>
        </w:tc>
        <w:tc>
          <w:tcPr>
            <w:tcW w:type="dxa" w:w="1754"/>
          </w:tcPr>
          <w:p>
            <w:r/>
            <w:r>
              <w:rPr>
                <w:rFonts w:ascii="Times New Roman" w:hAnsi="Times New Roman"/>
                <w:sz w:val="22"/>
              </w:rPr>
              <w:t>Fanger variabilitet i etterspørsel over tid</w:t>
            </w:r>
          </w:p>
        </w:tc>
        <w:tc>
          <w:tcPr>
            <w:tcW w:type="dxa" w:w="1754"/>
          </w:tcPr>
          <w:p>
            <w:r/>
            <w:r>
              <w:rPr>
                <w:rFonts w:ascii="Times New Roman" w:hAnsi="Times New Roman"/>
                <w:sz w:val="22"/>
              </w:rPr>
              <w:t>Krever tilstrekkelig transaksjonshistorikk</w:t>
            </w:r>
          </w:p>
        </w:tc>
        <w:tc>
          <w:tcPr>
            <w:tcW w:type="dxa" w:w="1754"/>
          </w:tcPr>
          <w:p>
            <w:r/>
            <w:r>
              <w:rPr>
                <w:rFonts w:ascii="Times New Roman" w:hAnsi="Times New Roman"/>
                <w:sz w:val="22"/>
              </w:rPr>
              <w:t>Månedlige forbruksdata tilgjengelig</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EOQ (Wilson)</w:t>
            </w:r>
          </w:p>
        </w:tc>
        <w:tc>
          <w:tcPr>
            <w:tcW w:type="dxa" w:w="1754"/>
          </w:tcPr>
          <w:p>
            <w:r/>
            <w:r>
              <w:rPr>
                <w:rFonts w:ascii="Times New Roman" w:hAnsi="Times New Roman"/>
                <w:sz w:val="22"/>
              </w:rPr>
              <w:t>Analytisk optimal ordrekvantum, kvantifiserbart avvik</w:t>
            </w:r>
          </w:p>
        </w:tc>
        <w:tc>
          <w:tcPr>
            <w:tcW w:type="dxa" w:w="1754"/>
          </w:tcPr>
          <w:p>
            <w:r/>
            <w:r>
              <w:rPr>
                <w:rFonts w:ascii="Times New Roman" w:hAnsi="Times New Roman"/>
                <w:sz w:val="22"/>
              </w:rPr>
              <w:t>Sensitiv for S og H; antar konstant etterspørsel</w:t>
            </w:r>
          </w:p>
        </w:tc>
        <w:tc>
          <w:tcPr>
            <w:tcW w:type="dxa" w:w="1754"/>
          </w:tcPr>
          <w:p>
            <w:r/>
            <w:r>
              <w:rPr>
                <w:rFonts w:ascii="Times New Roman" w:hAnsi="Times New Roman"/>
                <w:sz w:val="22"/>
              </w:rPr>
              <w:t>Kjent S og H; kontinuerlig etterspørsel</w:t>
            </w:r>
          </w:p>
        </w:tc>
        <w:tc>
          <w:tcPr>
            <w:tcW w:type="dxa" w:w="1754"/>
          </w:tcPr>
          <w:p>
            <w:r/>
            <w:r>
              <w:rPr>
                <w:rFonts w:ascii="Times New Roman" w:hAnsi="Times New Roman"/>
                <w:sz w:val="22"/>
              </w:rPr>
              <w:t>Hautaniemi &amp; Pirttilä (1999)</w:t>
            </w:r>
          </w:p>
        </w:tc>
      </w:tr>
      <w:tr>
        <w:tc>
          <w:tcPr>
            <w:tcW w:type="dxa" w:w="1754"/>
          </w:tcPr>
          <w:p>
            <w:r/>
            <w:r>
              <w:rPr>
                <w:rFonts w:ascii="Times New Roman" w:hAnsi="Times New Roman"/>
                <w:sz w:val="22"/>
              </w:rPr>
              <w:t>K-means klyngeanalyse</w:t>
            </w:r>
          </w:p>
        </w:tc>
        <w:tc>
          <w:tcPr>
            <w:tcW w:type="dxa" w:w="1754"/>
          </w:tcPr>
          <w:p>
            <w:r/>
            <w:r>
              <w:rPr>
                <w:rFonts w:ascii="Times New Roman" w:hAnsi="Times New Roman"/>
                <w:sz w:val="22"/>
              </w:rPr>
              <w:t>Avdekker skjulte mønstre uten forhåndsbestemte grenser</w:t>
            </w:r>
          </w:p>
        </w:tc>
        <w:tc>
          <w:tcPr>
            <w:tcW w:type="dxa" w:w="1754"/>
          </w:tcPr>
          <w:p>
            <w:r/>
            <w:r>
              <w:rPr>
                <w:rFonts w:ascii="Times New Roman" w:hAnsi="Times New Roman"/>
                <w:sz w:val="22"/>
              </w:rPr>
              <w:t>Sensitiv for K-valg og initialisering</w:t>
            </w:r>
          </w:p>
        </w:tc>
        <w:tc>
          <w:tcPr>
            <w:tcW w:type="dxa" w:w="1754"/>
          </w:tcPr>
          <w:p>
            <w:r/>
            <w:r>
              <w:rPr>
                <w:rFonts w:ascii="Times New Roman" w:hAnsi="Times New Roman"/>
                <w:sz w:val="22"/>
              </w:rPr>
              <w:t>Normaliserte features; euklidsk avstand</w:t>
            </w:r>
          </w:p>
        </w:tc>
        <w:tc>
          <w:tcPr>
            <w:tcW w:type="dxa" w:w="1754"/>
          </w:tcPr>
          <w:p>
            <w:r/>
            <w:r>
              <w:rPr>
                <w:rFonts w:ascii="Times New Roman" w:hAnsi="Times New Roman"/>
                <w:sz w:val="22"/>
              </w:rPr>
              <w:t>Srinivasan &amp; Moon (1999)</w:t>
            </w:r>
          </w:p>
        </w:tc>
      </w:tr>
    </w:tbl>
    <w:p>
      <w:r>
        <w:rPr>
          <w:rFonts w:ascii="Times New Roman" w:hAnsi="Times New Roman"/>
          <w:i/>
          <w:sz w:val="20"/>
        </w:rPr>
        <w:t>Tabell 2. Sammenligning av analysemetoder brukt i oppgaven.</w:t>
      </w:r>
    </w:p>
    <w:p>
      <w:pPr>
        <w:pStyle w:val="Overskrift2"/>
      </w:pPr>
      <w:r>
        <w:rPr>
          <w:rFonts w:ascii="Times New Roman" w:hAnsi="Times New Roman"/>
          <w:color w:val="000000"/>
          <w:sz w:val="32"/>
        </w:rPr>
        <w:t>2.7 Konseptuelt rammeverk</w:t>
      </w:r>
    </w:p>
    <w:p>
      <w:pPr>
        <w:spacing w:line="360" w:lineRule="auto"/>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1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615574"/>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1. Konseptuelt rammeverk – fra SAP-data til HVFS-anbefaling. Generert med støtte fra Claude (Anthropic, 2026).</w:t>
      </w:r>
    </w:p>
    <w:p>
      <w:pPr>
        <w:spacing w:line="360" w:lineRule="auto"/>
      </w:pPr>
      <w:r>
        <w:rPr>
          <w:rFonts w:ascii="Times New Roman" w:hAnsi="Times New Roman" w:cs="Times New Roman"/>
          <w:sz w:val="24"/>
        </w:rPr>
        <w:t>Figur 1 refererer til dette rammeverket. Den detaljerte matematiske formuleringen av alle modellkomponenter — parameterdefinisjonene, formlene og grenseverdiene — presenteres i kapittel 5.</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pPr>
      <w:r>
        <w:rPr>
          <w:rFonts w:ascii="Times New Roman" w:hAnsi="Times New Roman" w:cs="Times New Roman"/>
          <w:sz w:val="24"/>
        </w:rPr>
        <w:t>Helse Bergen HF er det største helseforetaket i Helse Vest RHF og drifter Haukeland Universitetssykehus med ansvar for spesialisthelsetjenester til om lag 460 000 innbyggere. Helse Vest koordinerer fire helseforetak (Bergen, Stavanger, Fonna, Førde), og en regionalt harmonisert tilnærming til materialforvaltning har fått økt prioritet for å oppnå stordriftsfordeler.</w:t>
      </w:r>
    </w:p>
    <w:p>
      <w:pPr>
        <w:spacing w:line="360" w:lineRule="auto"/>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2. Tabell 3 oppsummerer nøkkeltallene for casevirksomheten.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sz w:val="22"/>
              </w:rPr>
              <w:t>Helseforetak</w:t>
            </w:r>
          </w:p>
        </w:tc>
        <w:tc>
          <w:tcPr>
            <w:tcW w:type="dxa" w:w="2923"/>
          </w:tcPr>
          <w:p>
            <w:r/>
            <w:r>
              <w:rPr>
                <w:rFonts w:ascii="Times New Roman" w:hAnsi="Times New Roman"/>
                <w:sz w:val="22"/>
              </w:rPr>
              <w:t>Helse Bergen HF</w:t>
            </w:r>
          </w:p>
        </w:tc>
        <w:tc>
          <w:tcPr>
            <w:tcW w:type="dxa" w:w="2923"/>
          </w:tcPr>
          <w:p>
            <w:r/>
            <w:r>
              <w:rPr>
                <w:rFonts w:ascii="Times New Roman" w:hAnsi="Times New Roman"/>
                <w:sz w:val="22"/>
              </w:rPr>
              <w:t>Helse Vest RHF</w:t>
            </w:r>
          </w:p>
        </w:tc>
      </w:tr>
      <w:tr>
        <w:tc>
          <w:tcPr>
            <w:tcW w:type="dxa" w:w="2923"/>
          </w:tcPr>
          <w:p>
            <w:r/>
            <w:r>
              <w:rPr>
                <w:rFonts w:ascii="Times New Roman" w:hAnsi="Times New Roman"/>
                <w:sz w:val="22"/>
              </w:rPr>
              <w:t>SAP-anlegg (WERKS)</w:t>
            </w:r>
          </w:p>
        </w:tc>
        <w:tc>
          <w:tcPr>
            <w:tcW w:type="dxa" w:w="2923"/>
          </w:tcPr>
          <w:p>
            <w:r/>
            <w:r>
              <w:rPr>
                <w:rFonts w:ascii="Times New Roman" w:hAnsi="Times New Roman"/>
                <w:sz w:val="22"/>
              </w:rPr>
              <w:t>3300</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Lagersted (LGORT)</w:t>
            </w:r>
          </w:p>
        </w:tc>
        <w:tc>
          <w:tcPr>
            <w:tcW w:type="dxa" w:w="2923"/>
          </w:tcPr>
          <w:p>
            <w:r/>
            <w:r>
              <w:rPr>
                <w:rFonts w:ascii="Times New Roman" w:hAnsi="Times New Roman"/>
                <w:sz w:val="22"/>
              </w:rPr>
              <w:t>3001</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Antall aktive artikler</w:t>
            </w:r>
          </w:p>
        </w:tc>
        <w:tc>
          <w:tcPr>
            <w:tcW w:type="dxa" w:w="2923"/>
          </w:tcPr>
          <w:p>
            <w:r/>
            <w:r>
              <w:rPr>
                <w:rFonts w:ascii="Times New Roman" w:hAnsi="Times New Roman"/>
                <w:sz w:val="22"/>
              </w:rPr>
              <w:t>709</w:t>
            </w:r>
          </w:p>
        </w:tc>
        <w:tc>
          <w:tcPr>
            <w:tcW w:type="dxa" w:w="2923"/>
          </w:tcPr>
          <w:p>
            <w:r/>
            <w:r>
              <w:rPr>
                <w:rFonts w:ascii="Times New Roman" w:hAnsi="Times New Roman"/>
                <w:sz w:val="22"/>
              </w:rPr>
              <w:t>MASTERFILE_V1.xlsx (D-01)</w:t>
            </w:r>
          </w:p>
        </w:tc>
      </w:tr>
      <w:tr>
        <w:tc>
          <w:tcPr>
            <w:tcW w:type="dxa" w:w="2923"/>
          </w:tcPr>
          <w:p>
            <w:r/>
            <w:r>
              <w:rPr>
                <w:rFonts w:ascii="Times New Roman" w:hAnsi="Times New Roman"/>
                <w:sz w:val="22"/>
              </w:rPr>
              <w:t>Analyseperiode</w:t>
            </w:r>
          </w:p>
        </w:tc>
        <w:tc>
          <w:tcPr>
            <w:tcW w:type="dxa" w:w="2923"/>
          </w:tcPr>
          <w:p>
            <w:r/>
            <w:r>
              <w:rPr>
                <w:rFonts w:ascii="Times New Roman" w:hAnsi="Times New Roman"/>
                <w:sz w:val="22"/>
              </w:rPr>
              <w:t>Januar 2024 – desember 2025 (24 mnd)</w:t>
            </w:r>
          </w:p>
        </w:tc>
        <w:tc>
          <w:tcPr>
            <w:tcW w:type="dxa" w:w="2923"/>
          </w:tcPr>
          <w:p>
            <w:r/>
            <w:r>
              <w:rPr>
                <w:rFonts w:ascii="Times New Roman" w:hAnsi="Times New Roman"/>
                <w:sz w:val="22"/>
              </w:rPr>
              <w:t>SAP SE16H</w:t>
            </w:r>
          </w:p>
        </w:tc>
      </w:tr>
      <w:tr>
        <w:tc>
          <w:tcPr>
            <w:tcW w:type="dxa" w:w="2923"/>
          </w:tcPr>
          <w:p>
            <w:r/>
            <w:r>
              <w:rPr>
                <w:rFonts w:ascii="Times New Roman" w:hAnsi="Times New Roman"/>
                <w:sz w:val="22"/>
              </w:rPr>
              <w:t>Antall SAP-kildetabeller</w:t>
            </w:r>
          </w:p>
        </w:tc>
        <w:tc>
          <w:tcPr>
            <w:tcW w:type="dxa" w:w="2923"/>
          </w:tcPr>
          <w:p>
            <w:r/>
            <w:r>
              <w:rPr>
                <w:rFonts w:ascii="Times New Roman" w:hAnsi="Times New Roman"/>
                <w:sz w:val="22"/>
              </w:rPr>
              <w:t>14</w:t>
            </w:r>
          </w:p>
        </w:tc>
        <w:tc>
          <w:tcPr>
            <w:tcW w:type="dxa" w:w="2923"/>
          </w:tcPr>
          <w:p>
            <w:r/>
            <w:r>
              <w:rPr>
                <w:rFonts w:ascii="Times New Roman" w:hAnsi="Times New Roman"/>
                <w:sz w:val="22"/>
              </w:rPr>
              <w:t>Dataspesifikasjon (Vedlegg A)</w:t>
            </w:r>
          </w:p>
        </w:tc>
      </w:tr>
      <w:tr>
        <w:tc>
          <w:tcPr>
            <w:tcW w:type="dxa" w:w="2923"/>
          </w:tcPr>
          <w:p>
            <w:r/>
            <w:r>
              <w:rPr>
                <w:rFonts w:ascii="Times New Roman" w:hAnsi="Times New Roman"/>
                <w:sz w:val="22"/>
              </w:rPr>
              <w:t>ERP-system</w:t>
            </w:r>
          </w:p>
        </w:tc>
        <w:tc>
          <w:tcPr>
            <w:tcW w:type="dxa" w:w="2923"/>
          </w:tcPr>
          <w:p>
            <w:r/>
            <w:r>
              <w:rPr>
                <w:rFonts w:ascii="Times New Roman" w:hAnsi="Times New Roman"/>
                <w:sz w:val="22"/>
              </w:rPr>
              <w:t>SAP S/4HANA (LIBRA-prosjektet)</w:t>
            </w:r>
          </w:p>
        </w:tc>
        <w:tc>
          <w:tcPr>
            <w:tcW w:type="dxa" w:w="2923"/>
          </w:tcPr>
          <w:p>
            <w:r/>
            <w:r>
              <w:rPr>
                <w:rFonts w:ascii="Times New Roman" w:hAnsi="Times New Roman"/>
                <w:sz w:val="22"/>
              </w:rPr>
              <w:t>Helse Vest IKT</w:t>
            </w:r>
          </w:p>
        </w:tc>
      </w:tr>
      <w:tr>
        <w:tc>
          <w:tcPr>
            <w:tcW w:type="dxa" w:w="2923"/>
          </w:tcPr>
          <w:p>
            <w:r/>
            <w:r>
              <w:rPr>
                <w:rFonts w:ascii="Times New Roman" w:hAnsi="Times New Roman"/>
                <w:sz w:val="22"/>
              </w:rPr>
              <w:t>Regionalt sentrallager</w:t>
            </w:r>
          </w:p>
        </w:tc>
        <w:tc>
          <w:tcPr>
            <w:tcW w:type="dxa" w:w="2923"/>
          </w:tcPr>
          <w:p>
            <w:r/>
            <w:r>
              <w:rPr>
                <w:rFonts w:ascii="Times New Roman" w:hAnsi="Times New Roman"/>
                <w:sz w:val="22"/>
              </w:rPr>
              <w:t>HVFS (Helse Vest Forsyningssenter)</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APL-operatør</w:t>
            </w:r>
          </w:p>
        </w:tc>
        <w:tc>
          <w:tcPr>
            <w:tcW w:type="dxa" w:w="2923"/>
          </w:tcPr>
          <w:p>
            <w:r/>
            <w:r>
              <w:rPr>
                <w:rFonts w:ascii="Times New Roman" w:hAnsi="Times New Roman"/>
                <w:sz w:val="22"/>
              </w:rPr>
              <w:t>NorEngros</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Innkjøpsgruppe</w:t>
            </w:r>
          </w:p>
        </w:tc>
        <w:tc>
          <w:tcPr>
            <w:tcW w:type="dxa" w:w="2923"/>
          </w:tcPr>
          <w:p>
            <w:r/>
            <w:r>
              <w:rPr>
                <w:rFonts w:ascii="Times New Roman" w:hAnsi="Times New Roman"/>
                <w:sz w:val="22"/>
              </w:rPr>
              <w:t>300 / 3000</w:t>
            </w:r>
          </w:p>
        </w:tc>
        <w:tc>
          <w:tcPr>
            <w:tcW w:type="dxa" w:w="2923"/>
          </w:tcPr>
          <w:p>
            <w:r/>
            <w:r>
              <w:rPr>
                <w:rFonts w:ascii="Times New Roman" w:hAnsi="Times New Roman"/>
                <w:sz w:val="22"/>
              </w:rPr>
              <w:t>SAP MM</w:t>
            </w:r>
          </w:p>
        </w:tc>
      </w:tr>
      <w:tr>
        <w:tc>
          <w:tcPr>
            <w:tcW w:type="dxa" w:w="2923"/>
          </w:tcPr>
          <w:p>
            <w:r/>
            <w:r>
              <w:rPr>
                <w:rFonts w:ascii="Times New Roman" w:hAnsi="Times New Roman"/>
                <w:sz w:val="22"/>
              </w:rPr>
              <w:t>Bestillingstype</w:t>
            </w:r>
          </w:p>
        </w:tc>
        <w:tc>
          <w:tcPr>
            <w:tcW w:type="dxa" w:w="2923"/>
          </w:tcPr>
          <w:p>
            <w:r/>
            <w:r>
              <w:rPr>
                <w:rFonts w:ascii="Times New Roman" w:hAnsi="Times New Roman"/>
                <w:sz w:val="22"/>
              </w:rPr>
              <w:t>ZNB (lokal bestillingstype)</w:t>
            </w:r>
          </w:p>
        </w:tc>
        <w:tc>
          <w:tcPr>
            <w:tcW w:type="dxa" w:w="2923"/>
          </w:tcPr>
          <w:p>
            <w:r/>
            <w:r>
              <w:rPr>
                <w:rFonts w:ascii="Times New Roman" w:hAnsi="Times New Roman"/>
                <w:sz w:val="22"/>
              </w:rPr>
              <w:t>SAP MM</w:t>
            </w:r>
          </w:p>
        </w:tc>
      </w:tr>
    </w:tbl>
    <w:p>
      <w:r>
        <w:rPr>
          <w:rFonts w:ascii="Times New Roman" w:hAnsi="Times New Roman"/>
          <w:i/>
          <w:sz w:val="20"/>
        </w:rPr>
        <w:t>Tabell 3. Nøkkeltall for casevirksomheten Helse Bergen, WERKS 3300.</w:t>
      </w:r>
    </w:p>
    <w:p>
      <w:r>
        <w:drawing>
          <wp:inline xmlns:a="http://schemas.openxmlformats.org/drawingml/2006/main" xmlns:pic="http://schemas.openxmlformats.org/drawingml/2006/picture">
            <wp:extent cx="5400000" cy="2680986"/>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680986"/>
                    </a:xfrm>
                    <a:prstGeom prst="rect"/>
                  </pic:spPr>
                </pic:pic>
              </a:graphicData>
            </a:graphic>
          </wp:inline>
        </w:drawing>
      </w:r>
    </w:p>
    <w:p>
      <w:pPr>
        <w:jc w:val="center"/>
      </w:pPr>
      <w:r>
        <w:rPr>
          <w:rFonts w:ascii="Times New Roman" w:hAnsi="Times New Roman"/>
          <w:i/>
          <w:sz w:val="20"/>
        </w:rPr>
        <w:t>Figur 2. Lagerstruktur – Helse Vest forsyningskjede (forenklet). Generert med støtte fra Claude (Anthropic, 2026).</w:t>
      </w:r>
    </w:p>
    <w:p>
      <w:pPr>
        <w:pStyle w:val="Overskrift2"/>
      </w:pPr>
      <w:r>
        <w:rPr>
          <w:rFonts w:ascii="Times New Roman" w:hAnsi="Times New Roman"/>
          <w:color w:val="000000"/>
          <w:sz w:val="32"/>
        </w:rPr>
        <w:t>3.2 HVFS og LIBRA-prosjektet</w:t>
      </w:r>
    </w:p>
    <w:p>
      <w:pPr>
        <w:spacing w:line="360" w:lineRule="auto"/>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(Helse Vest RHF, 2024).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pPr>
      <w:r>
        <w:rPr>
          <w:rFonts w:ascii="Times New Roman" w:hAnsi="Times New Roman" w:cs="Times New Roman"/>
          <w:sz w:val="24"/>
        </w:rPr>
        <w:t>Et sentralt element i HVFS-konseptet er innføringen av avdelingspakkede leveranser (APL). APL innebærer at forbruksmateriell pakkes per avdeling og leveres direkte til bruksstedet uten mellomhåndtering lokalt. Denne leveringsmodellen stiller høye krav til forutsigbarhet i etterspørselen — en forutsetning som gjør forbruksmønsterets stabilitet (XYZ-dimensjonen) til et relevant klassifiseringskriterium for HVFS-egnethet. APL-modellen er planlagt implementert frem mot 2029 og vil kreve et veldefinert og stabilt sortiment som grunnlag.</w:t>
      </w:r>
    </w:p>
    <w:p>
      <w:pPr>
        <w:spacing w:line="360" w:lineRule="auto"/>
      </w:pPr>
      <w:r>
        <w:rPr>
          <w:rFonts w:ascii="Times New Roman" w:hAnsi="Times New Roman" w:cs="Times New Roman"/>
          <w:sz w:val="24"/>
        </w:rPr>
        <w:t>LIBRA-prosjektet er Helse Vest IKTs regionale program for implementering og harmonisering av SAP S/4HANA på tvers av alle helseforetak i Helse Vest. Prosjektet har som mål å etablere en felles teknologisk plattform med standardiserte prosesser for blant annet materialforvaltning, innkjøp og logistikk. LIBRA legger det tekniske grunnlaget for at data fra ulike foretak kan sammenlignes og analyseres på tvers — en forutsetning for at HVFS-klassifisering skal ha overføringsverdi fra Helse Bergen til de øvrige foretakene. I forlengelsen av LIBRA-prosjektet er det naturlig å etablere standardiserte klassifiseringsmetodikker som kan driftes og oppdateres løpende i SAP, og denne oppgavens analysemodell er utviklet med dette perspektivet som bakteppe. Fragapane et al. (2019) understreker at overgangen til sentraliserte leveringsmodeller som APL krever et systematisk klassifiseringsgrunnlag for å skille mellom artikler som egner seg for sentralisering og artikler som bør forbli lokalt tilgjengelig av forsyningssikkerhetsgrunner.</w:t>
      </w:r>
    </w:p>
    <w:p>
      <w:pPr>
        <w:pStyle w:val="Overskrift2"/>
      </w:pPr>
      <w:r>
        <w:rPr>
          <w:rFonts w:ascii="Times New Roman" w:hAnsi="Times New Roman"/>
          <w:color w:val="000000"/>
          <w:sz w:val="32"/>
        </w:rPr>
        <w:t>3.3 Problemkontekst og datagrunnlag</w:t>
      </w:r>
    </w:p>
    <w:p>
      <w:pPr>
        <w:spacing w:line="360" w:lineRule="auto"/>
      </w:pPr>
      <w:r>
        <w:rPr>
          <w:rFonts w:ascii="Times New Roman" w:hAnsi="Times New Roman" w:cs="Times New Roman"/>
          <w:sz w:val="24"/>
        </w:rPr>
        <w:t>Helse Bergen forsyningslager mangler i dag et systematisk, datadrevet grunnlag for å avgjøre hvilke av lagerets artikler som bør overføres til HVFS. Beslutningene om sortimentstilhørighet treffes i stor grad basert på erfaring og skjønn, uten en strukturert analyse av verdi, forbruksmønster eller kostnadseffektiviteten ved nåværende bestillingspraksis. de Vries (2011) identifiserer nettopp dette som en typisk barriere i sykehuslogistikk: manglende informasjonssystemer og motstridende interessenthensyn fører til at lageromstillingsbeslutninger utsettes eller gjennomføres uten tilstrekkelig faglig grunnlag. Volland et al. (2017) bekrefter at lagerstyring i sykehus er et område med stor variasjon i modenhet — fra svært lite systematisert til avansert datadrevet styring — og at potensialet for forbedring gjennom strukturert klassifisering er dokumentert i litteraturen.</w:t>
      </w:r>
    </w:p>
    <w:p>
      <w:pPr>
        <w:spacing w:line="360" w:lineRule="auto"/>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pPr>
      <w:r>
        <w:rPr>
          <w:rFonts w:ascii="Times New Roman" w:hAnsi="Times New Roman" w:cs="Times New Roman"/>
          <w:sz w:val="24"/>
        </w:rPr>
        <w:t>Datagrunnlaget for analysen er hentet fra 14 SAP-tabeller via transaksjonen SE16H i SAP S/4HANA ved Helse Bergen, for perioden 2024–2025 (se Tabell 4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pPr>
      <w:r>
        <w:rPr>
          <w:rFonts w:ascii="Times New Roman" w:hAnsi="Times New Roman" w:cs="Times New Roman"/>
          <w:sz w:val="24"/>
        </w:rPr>
        <w:t>Datapipelinen fra råuttrekk til analyseresultat er illustrert i Figur 3.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pPr>
      <w:r>
        <w:rPr>
          <w:rFonts w:ascii="Times New Roman" w:hAnsi="Times New Roman" w:cs="Times New Roman"/>
          <w:sz w:val="24"/>
        </w:rPr>
        <w:t xml:space="preserve">Denne studien er utformet som en kvantitativ, deskriptiv casestudie med analytisk tilnærming. Casestudiedesignet er valgt fordi problemstillingen er avgrenset til ett konkret case – Helse Bergens forsyningslager WERKS 3300, LGORT 3001 – og fordi målet er å generere handlingsrettede anbefalinger basert på de operasjonelle dataene som faktisk eksisterer i dette systemet, ikke på hypotetiske standardsituasjoner. Et casestudiedesign egner seg særlig når forskningsspørsmålet handler om </w:t>
      </w:r>
      <w:r>
        <w:rPr>
          <w:rFonts w:ascii="Times New Roman" w:hAnsi="Times New Roman" w:cs="Times New Roman"/>
          <w:i/>
          <w:sz w:val="24"/>
        </w:rPr>
        <w:t>hvordan</w:t>
      </w:r>
      <w:r>
        <w:rPr>
          <w:rFonts w:ascii="Times New Roman" w:hAnsi="Times New Roman" w:cs="Times New Roman"/>
          <w:sz w:val="24"/>
        </w:rPr>
        <w:t xml:space="preserve"> og </w:t>
      </w:r>
      <w:r>
        <w:rPr>
          <w:rFonts w:ascii="Times New Roman" w:hAnsi="Times New Roman" w:cs="Times New Roman"/>
          <w:i/>
          <w:sz w:val="24"/>
        </w:rPr>
        <w:t>hva</w:t>
      </w:r>
      <w:r>
        <w:rPr>
          <w:rFonts w:ascii="Times New Roman" w:hAnsi="Times New Roman" w:cs="Times New Roman"/>
          <w:sz w:val="24"/>
        </w:rPr>
        <w:t xml:space="preserve"> innenfor et avgrenset, kontekstuelt rikt fenomen, og når grensen mellom fenomen og kontekst er uløselig knyttet til den operative konteksten. Sistnevnte kjennetegn er tydelig til stede her: lagerstruktur, prislogikk og forbruksmønstre er uløselig knyttet til Helse Bergens organisatoriske og teknologiske kontekst.</w:t>
      </w:r>
    </w:p>
    <w:p>
      <w:pPr>
        <w:spacing w:line="360" w:lineRule="auto"/>
      </w:pPr>
      <w:r>
        <w:rPr>
          <w:rFonts w:ascii="Times New Roman" w:hAnsi="Times New Roman" w:cs="Times New Roman"/>
          <w:sz w:val="24"/>
        </w:rPr>
        <w:t>Studien er kvantitativ i den forstand at alle analyser er basert på numeriske data hentet fra SAP S/4HANA-transaksjoner. Det benyttes ingen spørreundersøkelser, intervjuer eller deltakerobservasjon. Dette er et bevisst valg: operasjonelle ERP-data er direkte registrert i systemet ved hvert varemottak, lageruttak og innkjøp, og er derfor ikke gjenstand for hukommelsesfeil, sosial ønskverdighet eller subjektiv tolkning, slik selvrapporterte data kan være (Saha &amp; Ray, 2019). Analyseenheten er den individuelle lagerartikkelen (SKU), og populasjonen er de 709 aktive artiklene i LGORT 3001 per analyseperioden 2024–2025.</w:t>
      </w:r>
    </w:p>
    <w:p>
      <w:pPr>
        <w:spacing w:line="360" w:lineRule="auto"/>
      </w:pPr>
      <w:r>
        <w:rPr>
          <w:rFonts w:ascii="Times New Roman" w:hAnsi="Times New Roman" w:cs="Times New Roman"/>
          <w:sz w:val="24"/>
        </w:rPr>
        <w:t>Studien er deskriptiv i den forstand at den karakteriserer og klassifiserer eksisterende lagerartikler – den setter ikke opp et kontrollert eksperiment eller manipulerer variabler. Den er analytisk i den forstand at klassifiseringsresultatene kombineres i en regelbasert beslutningsmodell som produserer overføringsanbefalinger med tilhørende besparelsesestimater (van Kampen et al., 2012). Generaliserbarhet er begrenset til sammenlignbare sykehuslagre med SAP-infrastruktur; studien har ikke som ambisjon å produsere universelle funn, men å gi et reproduserbart metoderammeverk som kan tilpasses andre WERKS-enheter innenfor Helse Vest.</w:t>
      </w:r>
    </w:p>
    <w:p>
      <w:pPr>
        <w:pStyle w:val="Overskrift2"/>
      </w:pPr>
      <w:r>
        <w:rPr>
          <w:rFonts w:ascii="Times New Roman" w:hAnsi="Times New Roman"/>
          <w:color w:val="000000"/>
          <w:sz w:val="32"/>
        </w:rPr>
        <w:t>4.2 Datainnsamling</w:t>
      </w:r>
    </w:p>
    <w:p>
      <w:pPr>
        <w:spacing w:line="360" w:lineRule="auto"/>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sz w:val="22"/>
              </w:rPr>
              <w:t>1</w:t>
            </w:r>
          </w:p>
        </w:tc>
        <w:tc>
          <w:tcPr>
            <w:tcW w:type="dxa" w:w="2192"/>
          </w:tcPr>
          <w:p>
            <w:r/>
            <w:r>
              <w:rPr>
                <w:rFonts w:ascii="Times New Roman" w:hAnsi="Times New Roman"/>
                <w:sz w:val="22"/>
              </w:rPr>
              <w:t>MARD</w:t>
            </w:r>
          </w:p>
        </w:tc>
        <w:tc>
          <w:tcPr>
            <w:tcW w:type="dxa" w:w="2192"/>
          </w:tcPr>
          <w:p>
            <w:r/>
            <w:r>
              <w:rPr>
                <w:rFonts w:ascii="Times New Roman" w:hAnsi="Times New Roman"/>
                <w:sz w:val="22"/>
              </w:rPr>
              <w:t>Lagerdata per lagersted (beholdning)</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2</w:t>
            </w:r>
          </w:p>
        </w:tc>
        <w:tc>
          <w:tcPr>
            <w:tcW w:type="dxa" w:w="2192"/>
          </w:tcPr>
          <w:p>
            <w:r/>
            <w:r>
              <w:rPr>
                <w:rFonts w:ascii="Times New Roman" w:hAnsi="Times New Roman"/>
                <w:sz w:val="22"/>
              </w:rPr>
              <w:t>MDMA</w:t>
            </w:r>
          </w:p>
        </w:tc>
        <w:tc>
          <w:tcPr>
            <w:tcW w:type="dxa" w:w="2192"/>
          </w:tcPr>
          <w:p>
            <w:r/>
            <w:r>
              <w:rPr>
                <w:rFonts w:ascii="Times New Roman" w:hAnsi="Times New Roman"/>
                <w:sz w:val="22"/>
              </w:rPr>
              <w:t>MRP-data, ABC/XYZ-indikator (ZZABC, ZZXYZ)</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3</w:t>
            </w:r>
          </w:p>
        </w:tc>
        <w:tc>
          <w:tcPr>
            <w:tcW w:type="dxa" w:w="2192"/>
          </w:tcPr>
          <w:p>
            <w:r/>
            <w:r>
              <w:rPr>
                <w:rFonts w:ascii="Times New Roman" w:hAnsi="Times New Roman"/>
                <w:sz w:val="22"/>
              </w:rPr>
              <w:t>MARA</w:t>
            </w:r>
          </w:p>
        </w:tc>
        <w:tc>
          <w:tcPr>
            <w:tcW w:type="dxa" w:w="2192"/>
          </w:tcPr>
          <w:p>
            <w:r/>
            <w:r>
              <w:rPr>
                <w:rFonts w:ascii="Times New Roman" w:hAnsi="Times New Roman"/>
                <w:sz w:val="22"/>
              </w:rPr>
              <w:t>Artikkelstamdata (MTART, MATKL, MEINS)</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4</w:t>
            </w:r>
          </w:p>
        </w:tc>
        <w:tc>
          <w:tcPr>
            <w:tcW w:type="dxa" w:w="2192"/>
          </w:tcPr>
          <w:p>
            <w:r/>
            <w:r>
              <w:rPr>
                <w:rFonts w:ascii="Times New Roman" w:hAnsi="Times New Roman"/>
                <w:sz w:val="22"/>
              </w:rPr>
              <w:t>MAKT</w:t>
            </w:r>
          </w:p>
        </w:tc>
        <w:tc>
          <w:tcPr>
            <w:tcW w:type="dxa" w:w="2192"/>
          </w:tcPr>
          <w:p>
            <w:r/>
            <w:r>
              <w:rPr>
                <w:rFonts w:ascii="Times New Roman" w:hAnsi="Times New Roman"/>
                <w:sz w:val="22"/>
              </w:rPr>
              <w:t>Artikkeltekst (MAKTX)</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5</w:t>
            </w:r>
          </w:p>
        </w:tc>
        <w:tc>
          <w:tcPr>
            <w:tcW w:type="dxa" w:w="2192"/>
          </w:tcPr>
          <w:p>
            <w:r/>
            <w:r>
              <w:rPr>
                <w:rFonts w:ascii="Times New Roman" w:hAnsi="Times New Roman"/>
                <w:sz w:val="22"/>
              </w:rPr>
              <w:t>MARC</w:t>
            </w:r>
          </w:p>
        </w:tc>
        <w:tc>
          <w:tcPr>
            <w:tcW w:type="dxa" w:w="2192"/>
          </w:tcPr>
          <w:p>
            <w:r/>
            <w:r>
              <w:rPr>
                <w:rFonts w:ascii="Times New Roman" w:hAnsi="Times New Roman"/>
                <w:sz w:val="22"/>
              </w:rPr>
              <w:t>Anleggsdata per materiale (MARC_ABC)</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6</w:t>
            </w:r>
          </w:p>
        </w:tc>
        <w:tc>
          <w:tcPr>
            <w:tcW w:type="dxa" w:w="2192"/>
          </w:tcPr>
          <w:p>
            <w:r/>
            <w:r>
              <w:rPr>
                <w:rFonts w:ascii="Times New Roman" w:hAnsi="Times New Roman"/>
                <w:sz w:val="22"/>
              </w:rPr>
              <w:t>MBEW</w:t>
            </w:r>
          </w:p>
        </w:tc>
        <w:tc>
          <w:tcPr>
            <w:tcW w:type="dxa" w:w="2192"/>
          </w:tcPr>
          <w:p>
            <w:r/>
            <w:r>
              <w:rPr>
                <w:rFonts w:ascii="Times New Roman" w:hAnsi="Times New Roman"/>
                <w:sz w:val="22"/>
              </w:rPr>
              <w:t>Verdsettingsdata (STPRS, PEINH)</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7</w:t>
            </w:r>
          </w:p>
        </w:tc>
        <w:tc>
          <w:tcPr>
            <w:tcW w:type="dxa" w:w="2192"/>
          </w:tcPr>
          <w:p>
            <w:r/>
            <w:r>
              <w:rPr>
                <w:rFonts w:ascii="Times New Roman" w:hAnsi="Times New Roman"/>
                <w:sz w:val="22"/>
              </w:rPr>
              <w:t>MSEG</w:t>
            </w:r>
          </w:p>
        </w:tc>
        <w:tc>
          <w:tcPr>
            <w:tcW w:type="dxa" w:w="2192"/>
          </w:tcPr>
          <w:p>
            <w:r/>
            <w:r>
              <w:rPr>
                <w:rFonts w:ascii="Times New Roman" w:hAnsi="Times New Roman"/>
                <w:sz w:val="22"/>
              </w:rPr>
              <w:t>Varebevegelser, forbruk (BWART 201, 647)</w:t>
            </w:r>
          </w:p>
        </w:tc>
        <w:tc>
          <w:tcPr>
            <w:tcW w:type="dxa" w:w="2192"/>
          </w:tcPr>
          <w:p>
            <w:r/>
            <w:r>
              <w:rPr>
                <w:rFonts w:ascii="Times New Roman" w:hAnsi="Times New Roman"/>
                <w:sz w:val="22"/>
              </w:rPr>
              <w:t>Forbruksdata</w:t>
            </w:r>
          </w:p>
        </w:tc>
      </w:tr>
      <w:tr>
        <w:tc>
          <w:tcPr>
            <w:tcW w:type="dxa" w:w="2192"/>
          </w:tcPr>
          <w:p>
            <w:r/>
            <w:r>
              <w:rPr>
                <w:rFonts w:ascii="Times New Roman" w:hAnsi="Times New Roman"/>
                <w:sz w:val="22"/>
              </w:rPr>
              <w:t>8</w:t>
            </w:r>
          </w:p>
        </w:tc>
        <w:tc>
          <w:tcPr>
            <w:tcW w:type="dxa" w:w="2192"/>
          </w:tcPr>
          <w:p>
            <w:r/>
            <w:r>
              <w:rPr>
                <w:rFonts w:ascii="Times New Roman" w:hAnsi="Times New Roman"/>
                <w:sz w:val="22"/>
              </w:rPr>
              <w:t>EKKO</w:t>
            </w:r>
          </w:p>
        </w:tc>
        <w:tc>
          <w:tcPr>
            <w:tcW w:type="dxa" w:w="2192"/>
          </w:tcPr>
          <w:p>
            <w:r/>
            <w:r>
              <w:rPr>
                <w:rFonts w:ascii="Times New Roman" w:hAnsi="Times New Roman"/>
                <w:sz w:val="22"/>
              </w:rPr>
              <w:t>Innkjøpsordrehoder (bestillingstype ZNB)</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9</w:t>
            </w:r>
          </w:p>
        </w:tc>
        <w:tc>
          <w:tcPr>
            <w:tcW w:type="dxa" w:w="2192"/>
          </w:tcPr>
          <w:p>
            <w:r/>
            <w:r>
              <w:rPr>
                <w:rFonts w:ascii="Times New Roman" w:hAnsi="Times New Roman"/>
                <w:sz w:val="22"/>
              </w:rPr>
              <w:t>EKPO</w:t>
            </w:r>
          </w:p>
        </w:tc>
        <w:tc>
          <w:tcPr>
            <w:tcW w:type="dxa" w:w="2192"/>
          </w:tcPr>
          <w:p>
            <w:r/>
            <w:r>
              <w:rPr>
                <w:rFonts w:ascii="Times New Roman" w:hAnsi="Times New Roman"/>
                <w:sz w:val="22"/>
              </w:rPr>
              <w:t>Innkjøpsordreposisjoner (NETWR)</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10</w:t>
            </w:r>
          </w:p>
        </w:tc>
        <w:tc>
          <w:tcPr>
            <w:tcW w:type="dxa" w:w="2192"/>
          </w:tcPr>
          <w:p>
            <w:r/>
            <w:r>
              <w:rPr>
                <w:rFonts w:ascii="Times New Roman" w:hAnsi="Times New Roman"/>
                <w:sz w:val="22"/>
              </w:rPr>
              <w:t>EKBE</w:t>
            </w:r>
          </w:p>
        </w:tc>
        <w:tc>
          <w:tcPr>
            <w:tcW w:type="dxa" w:w="2192"/>
          </w:tcPr>
          <w:p>
            <w:r/>
            <w:r>
              <w:rPr>
                <w:rFonts w:ascii="Times New Roman" w:hAnsi="Times New Roman"/>
                <w:sz w:val="22"/>
              </w:rPr>
              <w:t>Innkjøpsordrehistorikk/varemottak</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11</w:t>
            </w:r>
          </w:p>
        </w:tc>
        <w:tc>
          <w:tcPr>
            <w:tcW w:type="dxa" w:w="2192"/>
          </w:tcPr>
          <w:p>
            <w:r/>
            <w:r>
              <w:rPr>
                <w:rFonts w:ascii="Times New Roman" w:hAnsi="Times New Roman"/>
                <w:sz w:val="22"/>
              </w:rPr>
              <w:t>EINA</w:t>
            </w:r>
          </w:p>
        </w:tc>
        <w:tc>
          <w:tcPr>
            <w:tcW w:type="dxa" w:w="2192"/>
          </w:tcPr>
          <w:p>
            <w:r/>
            <w:r>
              <w:rPr>
                <w:rFonts w:ascii="Times New Roman" w:hAnsi="Times New Roman"/>
                <w:sz w:val="22"/>
              </w:rPr>
              <w:t>Innkjøpsinforecord – generell del</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12</w:t>
            </w:r>
          </w:p>
        </w:tc>
        <w:tc>
          <w:tcPr>
            <w:tcW w:type="dxa" w:w="2192"/>
          </w:tcPr>
          <w:p>
            <w:r/>
            <w:r>
              <w:rPr>
                <w:rFonts w:ascii="Times New Roman" w:hAnsi="Times New Roman"/>
                <w:sz w:val="22"/>
              </w:rPr>
              <w:t>EINE</w:t>
            </w:r>
          </w:p>
        </w:tc>
        <w:tc>
          <w:tcPr>
            <w:tcW w:type="dxa" w:w="2192"/>
          </w:tcPr>
          <w:p>
            <w:r/>
            <w:r>
              <w:rPr>
                <w:rFonts w:ascii="Times New Roman" w:hAnsi="Times New Roman"/>
                <w:sz w:val="22"/>
              </w:rPr>
              <w:t>Innkjøpsinforecord – organisasjonsdel (WETAG)</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13</w:t>
            </w:r>
          </w:p>
        </w:tc>
        <w:tc>
          <w:tcPr>
            <w:tcW w:type="dxa" w:w="2192"/>
          </w:tcPr>
          <w:p>
            <w:r/>
            <w:r>
              <w:rPr>
                <w:rFonts w:ascii="Times New Roman" w:hAnsi="Times New Roman"/>
                <w:sz w:val="22"/>
              </w:rPr>
              <w:t>T023T</w:t>
            </w:r>
          </w:p>
        </w:tc>
        <w:tc>
          <w:tcPr>
            <w:tcW w:type="dxa" w:w="2192"/>
          </w:tcPr>
          <w:p>
            <w:r/>
            <w:r>
              <w:rPr>
                <w:rFonts w:ascii="Times New Roman" w:hAnsi="Times New Roman"/>
                <w:sz w:val="22"/>
              </w:rPr>
              <w:t>Varegruppenavn (WGBEZ)</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14</w:t>
            </w:r>
          </w:p>
        </w:tc>
        <w:tc>
          <w:tcPr>
            <w:tcW w:type="dxa" w:w="2192"/>
          </w:tcPr>
          <w:p>
            <w:r/>
            <w:r>
              <w:rPr>
                <w:rFonts w:ascii="Times New Roman" w:hAnsi="Times New Roman"/>
                <w:sz w:val="22"/>
              </w:rPr>
              <w:t>T024</w:t>
            </w:r>
          </w:p>
        </w:tc>
        <w:tc>
          <w:tcPr>
            <w:tcW w:type="dxa" w:w="2192"/>
          </w:tcPr>
          <w:p>
            <w:r/>
            <w:r>
              <w:rPr>
                <w:rFonts w:ascii="Times New Roman" w:hAnsi="Times New Roman"/>
                <w:sz w:val="22"/>
              </w:rPr>
              <w:t>Innkjøpsgrupper (EKGRP)</w:t>
            </w:r>
          </w:p>
        </w:tc>
        <w:tc>
          <w:tcPr>
            <w:tcW w:type="dxa" w:w="2192"/>
          </w:tcPr>
          <w:p>
            <w:r/>
            <w:r>
              <w:rPr>
                <w:rFonts w:ascii="Times New Roman" w:hAnsi="Times New Roman"/>
                <w:sz w:val="22"/>
              </w:rPr>
              <w:t>Supplerende</w:t>
            </w:r>
          </w:p>
        </w:tc>
      </w:tr>
    </w:tbl>
    <w:p>
      <w:r>
        <w:rPr>
          <w:rFonts w:ascii="Times New Roman" w:hAnsi="Times New Roman"/>
          <w:i/>
          <w:sz w:val="20"/>
        </w:rPr>
        <w:t>Tabell 4. Datagrunnlag: 14 SAP S/4HANA-tabeller hentet via SE16H, analyseperiode 2024–2025, WERKS 3300 / LGORT 3001.</w:t>
      </w:r>
    </w:p>
    <w:p>
      <w:pPr>
        <w:spacing w:line="360" w:lineRule="auto"/>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5 gir en samlet oversikt over fordelingen av nøkkelvariabler i det endelige datasettet på 709 artikler.</w:t>
      </w:r>
    </w:p>
    <w:p>
      <w:r>
        <w:drawing>
          <wp:inline xmlns:a="http://schemas.openxmlformats.org/drawingml/2006/main" xmlns:pic="http://schemas.openxmlformats.org/drawingml/2006/picture">
            <wp:extent cx="5400000" cy="3018889"/>
            <wp:docPr id="6" name="Picture 6"/>
            <wp:cNvGraphicFramePr>
              <a:graphicFrameLocks noChangeAspect="1"/>
            </wp:cNvGraphicFramePr>
            <a:graphic>
              <a:graphicData uri="http://schemas.openxmlformats.org/drawingml/2006/picture">
                <pic:pic>
                  <pic:nvPicPr>
                    <pic:cNvPr id="0" name="Fig04_Dataoversikt.png"/>
                    <pic:cNvPicPr/>
                  </pic:nvPicPr>
                  <pic:blipFill>
                    <a:blip r:embed="rId24"/>
                    <a:stretch>
                      <a:fillRect/>
                    </a:stretch>
                  </pic:blipFill>
                  <pic:spPr>
                    <a:xfrm>
                      <a:off x="0" y="0"/>
                      <a:ext cx="5400000" cy="3018889"/>
                    </a:xfrm>
                    <a:prstGeom prst="rect"/>
                  </pic:spPr>
                </pic:pic>
              </a:graphicData>
            </a:graphic>
          </wp:inline>
        </w:drawing>
      </w:r>
    </w:p>
    <w:p>
      <w:pPr>
        <w:jc w:val="center"/>
      </w:pPr>
      <w:r>
        <w:rPr>
          <w:rFonts w:ascii="Times New Roman" w:hAnsi="Times New Roman"/>
          <w:i/>
          <w:sz w:val="20"/>
        </w:rPr>
        <w:t>Figur 5. Dataoversikt: fordeling av nøkkelvariabler for 709 artikler ved WERKS 3300, LGORT 3001. Generert med støtte fra Claude (Anthropic, 2026).</w:t>
      </w:r>
    </w:p>
    <w:p>
      <w:pPr>
        <w:pStyle w:val="Overskrift2"/>
      </w:pPr>
      <w:r>
        <w:rPr>
          <w:rFonts w:ascii="Times New Roman" w:hAnsi="Times New Roman"/>
          <w:color w:val="000000"/>
          <w:sz w:val="32"/>
        </w:rPr>
        <w:t>4.3 Dataforbehandling</w:t>
      </w:r>
    </w:p>
    <w:p>
      <w:pPr>
        <w:spacing w:line="360" w:lineRule="auto"/>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sz w:val="22"/>
              </w:rPr>
              <w:t>D-01</w:t>
            </w:r>
          </w:p>
        </w:tc>
        <w:tc>
          <w:tcPr>
            <w:tcW w:type="dxa" w:w="2192"/>
          </w:tcPr>
          <w:p>
            <w:r/>
            <w:r>
              <w:rPr>
                <w:rFonts w:ascii="Times New Roman" w:hAnsi="Times New Roman"/>
                <w:sz w:val="22"/>
              </w:rPr>
              <w:t>Populasjonsavgrensning</w:t>
            </w:r>
          </w:p>
        </w:tc>
        <w:tc>
          <w:tcPr>
            <w:tcW w:type="dxa" w:w="2192"/>
          </w:tcPr>
          <w:p>
            <w:r/>
            <w:r>
              <w:rPr>
                <w:rFonts w:ascii="Times New Roman" w:hAnsi="Times New Roman"/>
                <w:sz w:val="22"/>
              </w:rPr>
              <w:t>1 006 → 709 artikler</w:t>
            </w:r>
          </w:p>
        </w:tc>
        <w:tc>
          <w:tcPr>
            <w:tcW w:type="dxa" w:w="2192"/>
          </w:tcPr>
          <w:p>
            <w:r/>
            <w:r>
              <w:rPr>
                <w:rFonts w:ascii="Times New Roman" w:hAnsi="Times New Roman"/>
                <w:sz w:val="22"/>
              </w:rPr>
              <w:t>Ekskluderer 297 inaktive (D_ANNUAL = 0 og TOTAL_STOCK = 0)</w:t>
            </w:r>
          </w:p>
        </w:tc>
      </w:tr>
      <w:tr>
        <w:tc>
          <w:tcPr>
            <w:tcW w:type="dxa" w:w="2192"/>
          </w:tcPr>
          <w:p>
            <w:r/>
            <w:r>
              <w:rPr>
                <w:rFonts w:ascii="Times New Roman" w:hAnsi="Times New Roman"/>
                <w:sz w:val="22"/>
              </w:rPr>
              <w:t>D-02</w:t>
            </w:r>
          </w:p>
        </w:tc>
        <w:tc>
          <w:tcPr>
            <w:tcW w:type="dxa" w:w="2192"/>
          </w:tcPr>
          <w:p>
            <w:r/>
            <w:r>
              <w:rPr>
                <w:rFonts w:ascii="Times New Roman" w:hAnsi="Times New Roman"/>
                <w:sz w:val="22"/>
              </w:rPr>
              <w:t>PEINH-korrigering</w:t>
            </w:r>
          </w:p>
        </w:tc>
        <w:tc>
          <w:tcPr>
            <w:tcW w:type="dxa" w:w="2192"/>
          </w:tcPr>
          <w:p>
            <w:r/>
            <w:r>
              <w:rPr>
                <w:rFonts w:ascii="Times New Roman" w:hAnsi="Times New Roman"/>
                <w:sz w:val="22"/>
              </w:rPr>
              <w:t>UNIT_PRICE = STPRS ÷ PEINH</w:t>
            </w:r>
          </w:p>
        </w:tc>
        <w:tc>
          <w:tcPr>
            <w:tcW w:type="dxa" w:w="2192"/>
          </w:tcPr>
          <w:p>
            <w:r/>
            <w:r>
              <w:rPr>
                <w:rFonts w:ascii="Times New Roman" w:hAnsi="Times New Roman"/>
                <w:sz w:val="22"/>
              </w:rPr>
              <w:t>Korrigerer for prisenhet ≠ 1</w:t>
            </w:r>
          </w:p>
        </w:tc>
      </w:tr>
      <w:tr>
        <w:tc>
          <w:tcPr>
            <w:tcW w:type="dxa" w:w="2192"/>
          </w:tcPr>
          <w:p>
            <w:r/>
            <w:r>
              <w:rPr>
                <w:rFonts w:ascii="Times New Roman" w:hAnsi="Times New Roman"/>
                <w:sz w:val="22"/>
              </w:rPr>
              <w:t>D-03</w:t>
            </w:r>
          </w:p>
        </w:tc>
        <w:tc>
          <w:tcPr>
            <w:tcW w:type="dxa" w:w="2192"/>
          </w:tcPr>
          <w:p>
            <w:r/>
            <w:r>
              <w:rPr>
                <w:rFonts w:ascii="Times New Roman" w:hAnsi="Times New Roman"/>
                <w:sz w:val="22"/>
              </w:rPr>
              <w:t>Beregnet ABC-verdi</w:t>
            </w:r>
          </w:p>
        </w:tc>
        <w:tc>
          <w:tcPr>
            <w:tcW w:type="dxa" w:w="2192"/>
          </w:tcPr>
          <w:p>
            <w:r/>
            <w:r>
              <w:rPr>
                <w:rFonts w:ascii="Times New Roman" w:hAnsi="Times New Roman"/>
                <w:sz w:val="22"/>
              </w:rPr>
              <w:t>204 artikler uten EKPO</w:t>
            </w:r>
          </w:p>
        </w:tc>
        <w:tc>
          <w:tcPr>
            <w:tcW w:type="dxa" w:w="2192"/>
          </w:tcPr>
          <w:p>
            <w:r/>
            <w:r>
              <w:rPr>
                <w:rFonts w:ascii="Times New Roman" w:hAnsi="Times New Roman"/>
                <w:sz w:val="22"/>
              </w:rPr>
              <w:t>ABC_VALUE = D_ANNUAL × UNIT_PRICE som fallback</w:t>
            </w:r>
          </w:p>
        </w:tc>
      </w:tr>
      <w:tr>
        <w:tc>
          <w:tcPr>
            <w:tcW w:type="dxa" w:w="2192"/>
          </w:tcPr>
          <w:p>
            <w:r/>
            <w:r>
              <w:rPr>
                <w:rFonts w:ascii="Times New Roman" w:hAnsi="Times New Roman"/>
                <w:sz w:val="22"/>
              </w:rPr>
              <w:t>D-04</w:t>
            </w:r>
          </w:p>
        </w:tc>
        <w:tc>
          <w:tcPr>
            <w:tcW w:type="dxa" w:w="2192"/>
          </w:tcPr>
          <w:p>
            <w:r/>
            <w:r>
              <w:rPr>
                <w:rFonts w:ascii="Times New Roman" w:hAnsi="Times New Roman"/>
                <w:sz w:val="22"/>
              </w:rPr>
              <w:t>CV-basert XYZ</w:t>
            </w:r>
          </w:p>
        </w:tc>
        <w:tc>
          <w:tcPr>
            <w:tcW w:type="dxa" w:w="2192"/>
          </w:tcPr>
          <w:p>
            <w:r/>
            <w:r>
              <w:rPr>
                <w:rFonts w:ascii="Times New Roman" w:hAnsi="Times New Roman"/>
                <w:sz w:val="22"/>
              </w:rPr>
              <w:t>Erstatter ZZXYZ</w:t>
            </w:r>
          </w:p>
        </w:tc>
        <w:tc>
          <w:tcPr>
            <w:tcW w:type="dxa" w:w="2192"/>
          </w:tcPr>
          <w:p>
            <w:r/>
            <w:r>
              <w:rPr>
                <w:rFonts w:ascii="Times New Roman" w:hAnsi="Times New Roman"/>
                <w:sz w:val="22"/>
              </w:rPr>
              <w:t>33 % samsvar → beregnet CV foretrukket</w:t>
            </w:r>
          </w:p>
        </w:tc>
      </w:tr>
      <w:tr>
        <w:tc>
          <w:tcPr>
            <w:tcW w:type="dxa" w:w="2192"/>
          </w:tcPr>
          <w:p>
            <w:r/>
            <w:r>
              <w:rPr>
                <w:rFonts w:ascii="Times New Roman" w:hAnsi="Times New Roman"/>
                <w:sz w:val="22"/>
              </w:rPr>
              <w:t>D-05</w:t>
            </w:r>
          </w:p>
        </w:tc>
        <w:tc>
          <w:tcPr>
            <w:tcW w:type="dxa" w:w="2192"/>
          </w:tcPr>
          <w:p>
            <w:r/>
            <w:r>
              <w:rPr>
                <w:rFonts w:ascii="Times New Roman" w:hAnsi="Times New Roman"/>
                <w:sz w:val="22"/>
              </w:rPr>
              <w:t>Leveringstid-fallback</w:t>
            </w:r>
          </w:p>
        </w:tc>
        <w:tc>
          <w:tcPr>
            <w:tcW w:type="dxa" w:w="2192"/>
          </w:tcPr>
          <w:p>
            <w:r/>
            <w:r>
              <w:rPr>
                <w:rFonts w:ascii="Times New Roman" w:hAnsi="Times New Roman"/>
                <w:sz w:val="22"/>
              </w:rPr>
              <w:t>14 dager for 94 %</w:t>
            </w:r>
          </w:p>
        </w:tc>
        <w:tc>
          <w:tcPr>
            <w:tcW w:type="dxa" w:w="2192"/>
          </w:tcPr>
          <w:p>
            <w:r/>
            <w:r>
              <w:rPr>
                <w:rFonts w:ascii="Times New Roman" w:hAnsi="Times New Roman"/>
                <w:sz w:val="22"/>
              </w:rPr>
              <w:t>EINE WETAG dekker kun 6 %</w:t>
            </w:r>
          </w:p>
        </w:tc>
      </w:tr>
      <w:tr>
        <w:tc>
          <w:tcPr>
            <w:tcW w:type="dxa" w:w="2192"/>
          </w:tcPr>
          <w:p>
            <w:r/>
            <w:r>
              <w:rPr>
                <w:rFonts w:ascii="Times New Roman" w:hAnsi="Times New Roman"/>
                <w:sz w:val="22"/>
              </w:rPr>
              <w:t>D-06</w:t>
            </w:r>
          </w:p>
        </w:tc>
        <w:tc>
          <w:tcPr>
            <w:tcW w:type="dxa" w:w="2192"/>
          </w:tcPr>
          <w:p>
            <w:r/>
            <w:r>
              <w:rPr>
                <w:rFonts w:ascii="Times New Roman" w:hAnsi="Times New Roman"/>
                <w:sz w:val="22"/>
              </w:rPr>
              <w:t>MSEG_STATUS blank → AKTIV</w:t>
            </w:r>
          </w:p>
        </w:tc>
        <w:tc>
          <w:tcPr>
            <w:tcW w:type="dxa" w:w="2192"/>
          </w:tcPr>
          <w:p>
            <w:r/>
            <w:r>
              <w:rPr>
                <w:rFonts w:ascii="Times New Roman" w:hAnsi="Times New Roman"/>
                <w:sz w:val="22"/>
              </w:rPr>
              <w:t>Fyller manglende verdier</w:t>
            </w:r>
          </w:p>
        </w:tc>
        <w:tc>
          <w:tcPr>
            <w:tcW w:type="dxa" w:w="2192"/>
          </w:tcPr>
          <w:p>
            <w:r/>
            <w:r>
              <w:rPr>
                <w:rFonts w:ascii="Times New Roman" w:hAnsi="Times New Roman"/>
                <w:sz w:val="22"/>
              </w:rPr>
              <w:t>Antar normal driftsstatus</w:t>
            </w:r>
          </w:p>
        </w:tc>
      </w:tr>
      <w:tr>
        <w:tc>
          <w:tcPr>
            <w:tcW w:type="dxa" w:w="2192"/>
          </w:tcPr>
          <w:p>
            <w:r/>
            <w:r>
              <w:rPr>
                <w:rFonts w:ascii="Times New Roman" w:hAnsi="Times New Roman"/>
                <w:sz w:val="22"/>
              </w:rPr>
              <w:t>D-07</w:t>
            </w:r>
          </w:p>
        </w:tc>
        <w:tc>
          <w:tcPr>
            <w:tcW w:type="dxa" w:w="2192"/>
          </w:tcPr>
          <w:p>
            <w:r/>
            <w:r>
              <w:rPr>
                <w:rFonts w:ascii="Times New Roman" w:hAnsi="Times New Roman"/>
                <w:sz w:val="22"/>
              </w:rPr>
              <w:t>ABC_VALUE_SOURCE</w:t>
            </w:r>
          </w:p>
        </w:tc>
        <w:tc>
          <w:tcPr>
            <w:tcW w:type="dxa" w:w="2192"/>
          </w:tcPr>
          <w:p>
            <w:r/>
            <w:r>
              <w:rPr>
                <w:rFonts w:ascii="Times New Roman" w:hAnsi="Times New Roman"/>
                <w:sz w:val="22"/>
              </w:rPr>
              <w:t>EKPO-verdi prioriteres</w:t>
            </w:r>
          </w:p>
        </w:tc>
        <w:tc>
          <w:tcPr>
            <w:tcW w:type="dxa" w:w="2192"/>
          </w:tcPr>
          <w:p>
            <w:r/>
            <w:r>
              <w:rPr>
                <w:rFonts w:ascii="Times New Roman" w:hAnsi="Times New Roman"/>
                <w:sz w:val="22"/>
              </w:rPr>
              <w:t>TOTAL_NETWR &gt; 0 kreves for EKPO-kilde</w:t>
            </w:r>
          </w:p>
        </w:tc>
      </w:tr>
      <w:tr>
        <w:tc>
          <w:tcPr>
            <w:tcW w:type="dxa" w:w="2192"/>
          </w:tcPr>
          <w:p>
            <w:r/>
            <w:r>
              <w:rPr>
                <w:rFonts w:ascii="Times New Roman" w:hAnsi="Times New Roman"/>
                <w:sz w:val="22"/>
              </w:rPr>
              <w:t>D-08</w:t>
            </w:r>
          </w:p>
        </w:tc>
        <w:tc>
          <w:tcPr>
            <w:tcW w:type="dxa" w:w="2192"/>
          </w:tcPr>
          <w:p>
            <w:r/>
            <w:r>
              <w:rPr>
                <w:rFonts w:ascii="Times New Roman" w:hAnsi="Times New Roman"/>
                <w:sz w:val="22"/>
              </w:rPr>
              <w:t>Annualisering av ordrefrekvens</w:t>
            </w:r>
          </w:p>
        </w:tc>
        <w:tc>
          <w:tcPr>
            <w:tcW w:type="dxa" w:w="2192"/>
          </w:tcPr>
          <w:p>
            <w:r/>
            <w:r>
              <w:rPr>
                <w:rFonts w:ascii="Times New Roman" w:hAnsi="Times New Roman"/>
                <w:sz w:val="22"/>
              </w:rPr>
              <w:t>ACTUAL_FREQ = ORDER_COUNT × 12/24</w:t>
            </w:r>
          </w:p>
        </w:tc>
        <w:tc>
          <w:tcPr>
            <w:tcW w:type="dxa" w:w="2192"/>
          </w:tcPr>
          <w:p>
            <w:r/>
            <w:r>
              <w:rPr>
                <w:rFonts w:ascii="Times New Roman" w:hAnsi="Times New Roman"/>
                <w:sz w:val="22"/>
              </w:rPr>
              <w:t>24 mnd data → årsbasis</w:t>
            </w:r>
          </w:p>
        </w:tc>
      </w:tr>
    </w:tbl>
    <w:p>
      <w:r>
        <w:rPr>
          <w:rFonts w:ascii="Times New Roman" w:hAnsi="Times New Roman"/>
          <w:i/>
          <w:sz w:val="20"/>
        </w:rPr>
        <w:t>Tabell 5. Datavalgsbeslutninger D-01–D-08 med begrunnelse.</w:t>
      </w:r>
    </w:p>
    <w:p>
      <w:pPr>
        <w:spacing w:line="360" w:lineRule="auto"/>
      </w:pPr>
      <w:r>
        <w:rPr>
          <w:rFonts w:ascii="Times New Roman" w:hAnsi="Times New Roman" w:cs="Times New Roman"/>
          <w:sz w:val="24"/>
        </w:rPr>
        <w:t>De viktigste beslutningene utdypes kort: D-03 benytter beregnet verdi (D_ANNUAL × UNIT_PRICE) for 204 artikler uten EKPO-innkjøpsdata, fordi ekskludering ville gi et systematisk skjevt utvalg (28,8 % av populasjonen). D-04 erstatter SAP-feltet ZZXYZ med CV beregnet fra MSEG-forbruk, da kun 33 % av artiklene hadde samsvarende klasse. D-05 benytter en leveringstids-fallback på 14 dager for 94 % av artiklene der EINE-data mangler; implikasjoner er diskutert i avsnitt 4.4.</w:t>
      </w:r>
    </w:p>
    <w:p>
      <w:pPr>
        <w:spacing w:line="360" w:lineRule="auto"/>
      </w:pPr>
      <w:r>
        <w:rPr>
          <w:rFonts w:ascii="Times New Roman" w:hAnsi="Times New Roman" w:cs="Times New Roman"/>
          <w:sz w:val="24"/>
        </w:rPr>
        <w:t>Datapipelinen fra rådata til analyseklart datasett er illustrert i figuren nedenfor.</w:t>
      </w:r>
    </w:p>
    <w:p>
      <w:r>
        <w:drawing>
          <wp:inline xmlns:a="http://schemas.openxmlformats.org/drawingml/2006/main" xmlns:pic="http://schemas.openxmlformats.org/drawingml/2006/picture">
            <wp:extent cx="5400000" cy="1615574"/>
            <wp:docPr id="7" name="Picture 7"/>
            <wp:cNvGraphicFramePr>
              <a:graphicFrameLocks noChangeAspect="1"/>
            </wp:cNvGraphicFramePr>
            <a:graphic>
              <a:graphicData uri="http://schemas.openxmlformats.org/drawingml/2006/picture">
                <pic:pic>
                  <pic:nvPicPr>
                    <pic:cNvPr id="0" name="Fig02_Analysepipeline.png"/>
                    <pic:cNvPicPr/>
                  </pic:nvPicPr>
                  <pic:blipFill>
                    <a:blip r:embed="rId25"/>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3. Analysepipeline: fra SAP-rådata til HVFS-anbefaling. Generert med støtte fra Claude (Anthropic, 2026).</w:t>
      </w:r>
    </w:p>
    <w:p>
      <w:pPr>
        <w:pStyle w:val="Overskrift2"/>
      </w:pPr>
      <w:r>
        <w:rPr>
          <w:rFonts w:ascii="Times New Roman" w:hAnsi="Times New Roman"/>
          <w:color w:val="000000"/>
          <w:sz w:val="32"/>
        </w:rPr>
        <w:t>4.4 Etiske betraktninger og begrensninger</w:t>
      </w:r>
    </w:p>
    <w:p>
      <w:pPr>
        <w:spacing w:line="360" w:lineRule="auto"/>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pPr>
      <w:r>
        <w:rPr>
          <w:rFonts w:ascii="Times New Roman" w:hAnsi="Times New Roman" w:cs="Times New Roman"/>
          <w:sz w:val="24"/>
        </w:rPr>
        <w:t xml:space="preserve">To sentrale parametere er antagelser, ikke målte verdier. Ordrekostnaden </w:t>
      </w:r>
      <m:oMath>
        <m:r>
          <m:t>S=750</m:t>
        </m:r>
      </m:oMath>
      <w:r>
        <w:rPr>
          <w:rFonts w:ascii="Times New Roman" w:hAnsi="Times New Roman" w:cs="Times New Roman"/>
          <w:sz w:val="24"/>
        </w:rPr>
        <w:t xml:space="preserve">NOK er satt basert på estimater fra litteraturen for sykehusinnkjøp (Kelle et al., 2012; Bijvank &amp; Vis, 2012), men den faktiske kostnaden per ordre vil variere med innkjøpstype, leverandøravtale og administrativ belastning. Holdesatsen </w:t>
      </w:r>
      <m:oMath>
        <m:r>
          <m:t>h=20</m:t>
        </m:r>
      </m:oMath>
      <w:r>
        <w:rPr>
          <w:rFonts w:ascii="Times New Roman" w:hAnsi="Times New Roman" w:cs="Times New Roman"/>
          <w:sz w:val="24"/>
        </w:rPr>
        <w:t xml:space="preserve"> av enhetspris per år er en vanlig sjablongregel i EOQ-litteraturen (Hautaniemi &amp; Pirttilä, 1999), men inkluderer implisitte antagelser om kapitalkostnad, lagerbrann- og ukurantrisiko som ikke er verifisert mot Helse Bergens faktiske regnskapstall. Sensitivitetsanalysen i kapittel 7 undersøker i hvilken grad resultater endres ved variasjon i disse parameterne.</w:t>
      </w:r>
    </w:p>
    <w:p>
      <w:pPr>
        <w:spacing w:line="360" w:lineRule="auto"/>
      </w:pPr>
      <w:r>
        <w:rPr>
          <w:rFonts w:ascii="Times New Roman" w:hAnsi="Times New Roman" w:cs="Times New Roman"/>
          <w:sz w:val="24"/>
        </w:rPr>
        <w:t>Leveringstids-fallbacken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KI-verktøy</w:t>
      </w:r>
    </w:p>
    <w:p>
      <w:pPr>
        <w:spacing w:line="360" w:lineRule="auto"/>
      </w:pPr>
      <w:r>
        <w:rPr>
          <w:rFonts w:ascii="Times New Roman" w:hAnsi="Times New Roman" w:cs="Times New Roman"/>
          <w:sz w:val="24"/>
        </w:rPr>
        <w:t>Kunstig intelligens i form av store språkmodeller ble benyttet som faglig støtteverktøy gjennom hele prosjektperioden, i tråd med retningslinjene i kursets skrivekompendium (Rekdal &amp; Pettersen, 2025). Claude (Anthropic, 2026) ble anvendt til tre konkrete formål: (1) kodestøtte og feilsøking i Python-scriptet for ABC-, XYZ-, EOQ- og K-means-analysen; (2) generering av alle datavisualiseringer — Pareto-kurve, kryssmatrise, EOQ-avviksplott, silhouette-profil, scatterplott og regelmotor-fordeling — på grunnlag av analyseresultater produsert av scriptet; og (3) strukturering og språklig bearbeiding av rapportteksten. Alle figurer generert med støtte fra Claude er merket «Generert med støtte fra Claude (Anthropic, 2026)» i bildeteksten.</w:t>
      </w:r>
    </w:p>
    <w:p>
      <w:pPr>
        <w:spacing w:line="360" w:lineRule="auto"/>
      </w:pPr>
      <w:r>
        <w:rPr>
          <w:rFonts w:ascii="Times New Roman" w:hAnsi="Times New Roman" w:cs="Times New Roman"/>
          <w:sz w:val="24"/>
        </w:rPr>
        <w:t>Claude ble ikke brukt som fagkilde og er ikke sitert som belegg for faglige påstander. Alle numeriske resultater, tabellverdier og analytiske konklusjoner er produsert av Python-scriptet fra SAP-kildedata og er uavhengige av KI-verktøyet. Rådata fra SAP ble ikke modifisert i noen fase av arbeidet; alle transformasjoner er dokumentert i D-01–D-08 (avsnitt 4.3) og implementert deterministisk i scriptet.</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pPr>
      <w:r>
        <w:rPr>
          <w:rFonts w:ascii="Times New Roman" w:hAnsi="Times New Roman" w:cs="Times New Roman"/>
          <w:sz w:val="24"/>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pPr>
        <w:spacing w:line="360" w:lineRule="auto"/>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UNIT\_PRICE</w:t>
      </w:r>
      <m:oMath>
        <m:sSub>
          <m:e>
            <m:r>
              <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pPr>
      <w:r>
        <w:rPr>
          <w:rFonts w:ascii="Times New Roman" w:hAnsi="Times New Roman" w:cs="Times New Roman"/>
          <w:sz w:val="24"/>
        </w:rPr>
        <w:t>Klassifiseringsgrensene er satt i henhold til standard ABC-litteratur (Silaen et al., 2023):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sz w:val="22"/>
              </w:rPr>
              <w:t>ABC A-grense</w:t>
            </w:r>
          </w:p>
        </w:tc>
        <w:tc>
          <w:tcPr>
            <w:tcW w:type="dxa" w:w="2923"/>
          </w:tcPr>
          <w:p>
            <w:r/>
            <w:r>
              <w:rPr>
                <w:rFonts w:ascii="Times New Roman" w:hAnsi="Times New Roman"/>
                <w:sz w:val="22"/>
              </w:rPr>
              <w:t>80 %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ABC B-grense</w:t>
            </w:r>
          </w:p>
        </w:tc>
        <w:tc>
          <w:tcPr>
            <w:tcW w:type="dxa" w:w="2923"/>
          </w:tcPr>
          <w:p>
            <w:r/>
            <w:r>
              <w:rPr>
                <w:rFonts w:ascii="Times New Roman" w:hAnsi="Times New Roman"/>
                <w:sz w:val="22"/>
              </w:rPr>
              <w:t>95 %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XYZ X-grense</w:t>
            </w:r>
          </w:p>
        </w:tc>
        <w:tc>
          <w:tcPr>
            <w:tcW w:type="dxa" w:w="2923"/>
          </w:tcPr>
          <w:p>
            <w:r/>
            <w:r>
              <w:rPr>
                <w:rFonts w:ascii="Times New Roman" w:hAnsi="Times New Roman"/>
                <w:sz w:val="22"/>
              </w:rPr>
              <w:t>CV &lt; 0,5</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Y-grense</w:t>
            </w:r>
          </w:p>
        </w:tc>
        <w:tc>
          <w:tcPr>
            <w:tcW w:type="dxa" w:w="2923"/>
          </w:tcPr>
          <w:p>
            <w:r/>
            <w:r>
              <w:rPr>
                <w:rFonts w:ascii="Times New Roman" w:hAnsi="Times New Roman"/>
                <w:sz w:val="22"/>
              </w:rPr>
              <w:t>0,5 ≤ CV &lt;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Z-grense</w:t>
            </w:r>
          </w:p>
        </w:tc>
        <w:tc>
          <w:tcPr>
            <w:tcW w:type="dxa" w:w="2923"/>
          </w:tcPr>
          <w:p>
            <w:r/>
            <w:r>
              <w:rPr>
                <w:rFonts w:ascii="Times New Roman" w:hAnsi="Times New Roman"/>
                <w:sz w:val="22"/>
              </w:rPr>
              <w:t>CV ≥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Ordrekostnad S</w:t>
            </w:r>
          </w:p>
        </w:tc>
        <w:tc>
          <w:tcPr>
            <w:tcW w:type="dxa" w:w="2923"/>
          </w:tcPr>
          <w:p>
            <w:r/>
            <w:r>
              <w:rPr>
                <w:rFonts w:ascii="Times New Roman" w:hAnsi="Times New Roman"/>
                <w:sz w:val="22"/>
              </w:rPr>
              <w:t>750 NOK</w:t>
            </w:r>
          </w:p>
        </w:tc>
        <w:tc>
          <w:tcPr>
            <w:tcW w:type="dxa" w:w="2923"/>
          </w:tcPr>
          <w:p>
            <w:r/>
            <w:r>
              <w:rPr>
                <w:rFonts w:ascii="Times New Roman" w:hAnsi="Times New Roman"/>
                <w:sz w:val="22"/>
              </w:rPr>
              <w:t>Kelle et al. (2012); Bijvank &amp; Vis (2012)</w:t>
            </w:r>
          </w:p>
        </w:tc>
      </w:tr>
      <w:tr>
        <w:tc>
          <w:tcPr>
            <w:tcW w:type="dxa" w:w="2923"/>
          </w:tcPr>
          <w:p>
            <w:r/>
            <w:r>
              <w:rPr>
                <w:rFonts w:ascii="Times New Roman" w:hAnsi="Times New Roman"/>
                <w:sz w:val="22"/>
              </w:rPr>
              <w:t>Holdesats h</w:t>
            </w:r>
          </w:p>
        </w:tc>
        <w:tc>
          <w:tcPr>
            <w:tcW w:type="dxa" w:w="2923"/>
          </w:tcPr>
          <w:p>
            <w:r/>
            <w:r>
              <w:rPr>
                <w:rFonts w:ascii="Times New Roman" w:hAnsi="Times New Roman"/>
                <w:sz w:val="22"/>
              </w:rPr>
              <w:t>20 % av UNIT_PRICE</w:t>
            </w:r>
          </w:p>
        </w:tc>
        <w:tc>
          <w:tcPr>
            <w:tcW w:type="dxa" w:w="2923"/>
          </w:tcPr>
          <w:p>
            <w:r/>
            <w:r>
              <w:rPr>
                <w:rFonts w:ascii="Times New Roman" w:hAnsi="Times New Roman"/>
                <w:sz w:val="22"/>
              </w:rPr>
              <w:t>Ketkar &amp; Vaidya (2014)</w:t>
            </w:r>
          </w:p>
        </w:tc>
      </w:tr>
      <w:tr>
        <w:tc>
          <w:tcPr>
            <w:tcW w:type="dxa" w:w="2923"/>
          </w:tcPr>
          <w:p>
            <w:r/>
            <w:r>
              <w:rPr>
                <w:rFonts w:ascii="Times New Roman" w:hAnsi="Times New Roman"/>
                <w:sz w:val="22"/>
              </w:rPr>
              <w:t>Leveringstid fallback</w:t>
            </w:r>
          </w:p>
        </w:tc>
        <w:tc>
          <w:tcPr>
            <w:tcW w:type="dxa" w:w="2923"/>
          </w:tcPr>
          <w:p>
            <w:r/>
            <w:r>
              <w:rPr>
                <w:rFonts w:ascii="Times New Roman" w:hAnsi="Times New Roman"/>
                <w:sz w:val="22"/>
              </w:rPr>
              <w:t>14 dager</w:t>
            </w:r>
          </w:p>
        </w:tc>
        <w:tc>
          <w:tcPr>
            <w:tcW w:type="dxa" w:w="2923"/>
          </w:tcPr>
          <w:p>
            <w:r/>
            <w:r>
              <w:rPr>
                <w:rFonts w:ascii="Times New Roman" w:hAnsi="Times New Roman"/>
                <w:sz w:val="22"/>
              </w:rPr>
              <w:t>Bransjepraksis (D-05)</w:t>
            </w:r>
          </w:p>
        </w:tc>
      </w:tr>
      <w:tr>
        <w:tc>
          <w:tcPr>
            <w:tcW w:type="dxa" w:w="2923"/>
          </w:tcPr>
          <w:p>
            <w:r/>
            <w:r>
              <w:rPr>
                <w:rFonts w:ascii="Times New Roman" w:hAnsi="Times New Roman"/>
                <w:sz w:val="22"/>
              </w:rPr>
              <w:t>EOQ-terskel τ_f</w:t>
            </w:r>
          </w:p>
        </w:tc>
        <w:tc>
          <w:tcPr>
            <w:tcW w:type="dxa" w:w="2923"/>
          </w:tcPr>
          <w:p>
            <w:r/>
            <w:r>
              <w:rPr>
                <w:rFonts w:ascii="Times New Roman" w:hAnsi="Times New Roman"/>
                <w:sz w:val="22"/>
              </w:rPr>
              <w:t>1,5 (FREQ_AVVIK &gt; 150 %)</w:t>
            </w:r>
          </w:p>
        </w:tc>
        <w:tc>
          <w:tcPr>
            <w:tcW w:type="dxa" w:w="2923"/>
          </w:tcPr>
          <w:p>
            <w:r/>
            <w:r>
              <w:rPr>
                <w:rFonts w:ascii="Times New Roman" w:hAnsi="Times New Roman"/>
                <w:sz w:val="22"/>
              </w:rPr>
              <w:t>Operasjonelt vesentlig avvik</w:t>
            </w:r>
          </w:p>
        </w:tc>
      </w:tr>
      <w:tr>
        <w:tc>
          <w:tcPr>
            <w:tcW w:type="dxa" w:w="2923"/>
          </w:tcPr>
          <w:p>
            <w:r/>
            <w:r>
              <w:rPr>
                <w:rFonts w:ascii="Times New Roman" w:hAnsi="Times New Roman"/>
                <w:sz w:val="22"/>
              </w:rPr>
              <w:t>K-means K-søk</w:t>
            </w:r>
          </w:p>
        </w:tc>
        <w:tc>
          <w:tcPr>
            <w:tcW w:type="dxa" w:w="2923"/>
          </w:tcPr>
          <w:p>
            <w:r/>
            <w:r>
              <w:rPr>
                <w:rFonts w:ascii="Times New Roman" w:hAnsi="Times New Roman"/>
                <w:sz w:val="22"/>
              </w:rPr>
              <w:t>K ∈ {2, 3, 4, 5, 6, 7}</w:t>
            </w:r>
          </w:p>
        </w:tc>
        <w:tc>
          <w:tcPr>
            <w:tcW w:type="dxa" w:w="2923"/>
          </w:tcPr>
          <w:p>
            <w:r/>
            <w:r>
              <w:rPr>
                <w:rFonts w:ascii="Times New Roman" w:hAnsi="Times New Roman"/>
                <w:sz w:val="22"/>
              </w:rPr>
              <w:t>Silhouette-optimering</w:t>
            </w:r>
          </w:p>
        </w:tc>
      </w:tr>
      <w:tr>
        <w:tc>
          <w:tcPr>
            <w:tcW w:type="dxa" w:w="2923"/>
          </w:tcPr>
          <w:p>
            <w:r/>
            <w:r>
              <w:rPr>
                <w:rFonts w:ascii="Times New Roman" w:hAnsi="Times New Roman"/>
                <w:sz w:val="22"/>
              </w:rPr>
              <w:t>K-means n_init</w:t>
            </w:r>
          </w:p>
        </w:tc>
        <w:tc>
          <w:tcPr>
            <w:tcW w:type="dxa" w:w="2923"/>
          </w:tcPr>
          <w:p>
            <w:r/>
            <w:r>
              <w:rPr>
                <w:rFonts w:ascii="Times New Roman" w:hAnsi="Times New Roman"/>
                <w:sz w:val="22"/>
              </w:rPr>
              <w:t>50</w:t>
            </w:r>
          </w:p>
        </w:tc>
        <w:tc>
          <w:tcPr>
            <w:tcW w:type="dxa" w:w="2923"/>
          </w:tcPr>
          <w:p>
            <w:r/>
            <w:r>
              <w:rPr>
                <w:rFonts w:ascii="Times New Roman" w:hAnsi="Times New Roman"/>
                <w:sz w:val="22"/>
              </w:rPr>
              <w:t>Robust initialisering</w:t>
            </w:r>
          </w:p>
        </w:tc>
      </w:tr>
      <w:tr>
        <w:tc>
          <w:tcPr>
            <w:tcW w:type="dxa" w:w="2923"/>
          </w:tcPr>
          <w:p>
            <w:r/>
            <w:r>
              <w:rPr>
                <w:rFonts w:ascii="Times New Roman" w:hAnsi="Times New Roman"/>
                <w:sz w:val="22"/>
              </w:rPr>
              <w:t>Random state</w:t>
            </w:r>
          </w:p>
        </w:tc>
        <w:tc>
          <w:tcPr>
            <w:tcW w:type="dxa" w:w="2923"/>
          </w:tcPr>
          <w:p>
            <w:r/>
            <w:r>
              <w:rPr>
                <w:rFonts w:ascii="Times New Roman" w:hAnsi="Times New Roman"/>
                <w:sz w:val="22"/>
              </w:rPr>
              <w:t>42</w:t>
            </w:r>
          </w:p>
        </w:tc>
        <w:tc>
          <w:tcPr>
            <w:tcW w:type="dxa" w:w="2923"/>
          </w:tcPr>
          <w:p>
            <w:r/>
            <w:r>
              <w:rPr>
                <w:rFonts w:ascii="Times New Roman" w:hAnsi="Times New Roman"/>
                <w:sz w:val="22"/>
              </w:rPr>
              <w:t>Reproduserbarhet</w:t>
            </w:r>
          </w:p>
        </w:tc>
      </w:tr>
      <w:tr>
        <w:tc>
          <w:tcPr>
            <w:tcW w:type="dxa" w:w="2923"/>
          </w:tcPr>
          <w:p>
            <w:r/>
            <w:r>
              <w:rPr>
                <w:rFonts w:ascii="Times New Roman" w:hAnsi="Times New Roman"/>
                <w:sz w:val="22"/>
              </w:rPr>
              <w:t>Train/test split</w:t>
            </w:r>
          </w:p>
        </w:tc>
        <w:tc>
          <w:tcPr>
            <w:tcW w:type="dxa" w:w="2923"/>
          </w:tcPr>
          <w:p>
            <w:r/>
            <w:r>
              <w:rPr>
                <w:rFonts w:ascii="Times New Roman" w:hAnsi="Times New Roman"/>
                <w:sz w:val="22"/>
              </w:rPr>
              <w:t>80/20</w:t>
            </w:r>
          </w:p>
        </w:tc>
        <w:tc>
          <w:tcPr>
            <w:tcW w:type="dxa" w:w="2923"/>
          </w:tcPr>
          <w:p>
            <w:r/>
            <w:r>
              <w:rPr>
                <w:rFonts w:ascii="Times New Roman" w:hAnsi="Times New Roman"/>
                <w:sz w:val="22"/>
              </w:rPr>
              <w:t>Standard validering</w:t>
            </w:r>
          </w:p>
        </w:tc>
      </w:tr>
    </w:tbl>
    <w:p>
      <w:r>
        <w:rPr>
          <w:rFonts w:ascii="Times New Roman" w:hAnsi="Times New Roman"/>
          <w:i/>
          <w:sz w:val="20"/>
        </w:rPr>
        <w:t>Tabell 6. Modellparametere: ABC-klassifiseringsgrenser og øvrige analyseinnstillinger.</w:t>
      </w:r>
    </w:p>
    <w:p>
      <w:pPr>
        <w:spacing w:line="360" w:lineRule="auto"/>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pPr>
      <w:r>
        <w:rPr>
          <w:rFonts w:ascii="Times New Roman" w:hAnsi="Times New Roman" w:cs="Times New Roman"/>
          <w:sz w:val="24"/>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pPr>
      <w:r>
        <w:rPr>
          <w:rFonts w:ascii="Times New Roman" w:hAnsi="Times New Roman" w:cs="Times New Roman"/>
          <w:sz w:val="24"/>
        </w:rPr>
        <w:t xml:space="preserve">En artikkel klassifiseres som FOR\_MANGE\_ORDRER dersom FREQ\_AVVIK </w:t>
      </w:r>
      <m:oMath>
        <m:r>
          <m:t>&gt;</m:t>
        </m:r>
        <m:sSub>
          <m:e>
            <m:r>
              <m:t>τ</m:t>
            </m:r>
          </m:e>
          <m:sub>
            <m:r>
              <m:t>f</m:t>
            </m:r>
          </m:sub>
        </m:sSub>
        <m:r>
          <m:t>=1</m:t>
        </m:r>
        <m:r>
          <m:t>,</m:t>
        </m:r>
        <m:r>
          <m:t>5</m:t>
        </m:r>
      </m:oMath>
      <w:r>
        <w:rPr>
          <w:rFonts w:ascii="Times New Roman" w:hAnsi="Times New Roman" w:cs="Times New Roman"/>
          <w:sz w:val="24"/>
        </w:rPr>
        <w:t xml:space="preserve">, det vil si at faktisk ordrefrekvens er mer enn 150 % høyere enn EOQ-optimal frekvens.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pPr>
      <w:r>
        <w:rPr>
          <w:rFonts w:ascii="Times New Roman" w:hAnsi="Times New Roman" w:cs="Times New Roman"/>
          <w:b/>
          <w:sz w:val="24"/>
        </w:rPr>
        <w:t>Parametervurdering.</w:t>
      </w:r>
      <w:r>
        <w:rPr>
          <w:rFonts w:ascii="Times New Roman" w:hAnsi="Times New Roman" w:cs="Times New Roman"/>
          <w:sz w:val="24"/>
        </w:rPr>
        <w:t xml:space="preserve"> Parametervalgene </w:t>
      </w:r>
      <m:oMath>
        <m:r>
          <m:t>S=750</m:t>
        </m:r>
      </m:oMath>
      <w:r>
        <w:rPr>
          <w:rFonts w:ascii="Times New Roman" w:hAnsi="Times New Roman" w:cs="Times New Roman"/>
          <w:sz w:val="24"/>
        </w:rPr>
        <w:t xml:space="preserve">kr og </w:t>
      </w:r>
      <m:oMath>
        <m:r>
          <m:t>h=20</m:t>
        </m:r>
      </m:oMath>
      <w:r>
        <w:rPr>
          <w:rFonts w:ascii="Times New Roman" w:hAnsi="Times New Roman" w:cs="Times New Roman"/>
          <w:sz w:val="24"/>
        </w:rPr>
        <w:t xml:space="preserve"> er ikke kalibrert mot observerte virksomhetsdata ved Helse Bergen, men er i tråd med verdier benyttet i tilsvarende sykehuslagerstudier (Kelle et al., 2012; Hautaniemi &amp; Pirttilä, 1999). Det er viktig å merke seg at parametervalg primært påvirker størrelsen på ΔTC, ikke </w:t>
      </w:r>
      <w:r>
        <w:rPr>
          <w:rFonts w:ascii="Times New Roman" w:hAnsi="Times New Roman" w:cs="Times New Roman"/>
          <w:i/>
          <w:sz w:val="24"/>
        </w:rPr>
        <w:t>hvem</w:t>
      </w:r>
      <w:r>
        <w:rPr>
          <w:rFonts w:ascii="Times New Roman" w:hAnsi="Times New Roman" w:cs="Times New Roman"/>
          <w:sz w:val="24"/>
        </w:rPr>
        <w:t xml:space="preserve"> som klassifiseres som FOR\_MANGE\_ORDRER: klassifiseringen er frekvensbasert (faktisk frekvens vs. EOQ-optimal frekvens) og robust overfor moderate endringer i S og h. En dobling av S til 1 500 kr øker EOQ-optimal batchstørrelse med faktor √2 ≈ 1,41 og reduserer optimal ordrefrekvens tilsvarende, men endrer ikke rangeringen av artikler med stor avviksgrad. Sensitivitetsanalysen i kapittel 7 håndterer parametervariasjon eksplisitt gjennom scenariomodellen.</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en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r>
          <m:t>g</m:t>
        </m:r>
      </m:oMath>
      <w:r>
        <w:rPr>
          <w:rFonts w:ascii="Times New Roman" w:hAnsi="Times New Roman" w:cs="Times New Roman"/>
          <w:sz w:val="24"/>
        </w:rPr>
        <w:t>.</w:t>
      </w:r>
    </w:p>
    <w:p>
      <w:pPr>
        <w:pStyle w:val="Overskrift2"/>
      </w:pPr>
      <w:r>
        <w:rPr>
          <w:rFonts w:ascii="Times New Roman" w:hAnsi="Times New Roman"/>
          <w:color w:val="000000"/>
          <w:sz w:val="32"/>
        </w:rPr>
        <w:t>5.4 K-means klyngemodellen</w:t>
      </w:r>
    </w:p>
    <w:p>
      <w:pPr>
        <w:spacing w:line="360" w:lineRule="auto"/>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`n_init=50` og `max_iter=300` for robust initialisering.</w:t>
      </w:r>
    </w:p>
    <w:p>
      <w:pPr>
        <w:spacing w:line="360" w:lineRule="auto"/>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fittes utelukkende på treningsdataene og transformerer deretter begge sett; dette forhindrer datalekkasje fra testsettet til skaleringen. KMeans-modellen fittes likeledes kun på treningsdataene. Testsettet benyttes til å evaluere om klyngestrukturen er generaliserbar, det vil si at testpunktenes tildeling til treningsklynger gir en silhouette-score sammenlignbar med treningssettets.</w:t>
      </w:r>
    </w:p>
    <w:p>
      <w:pPr>
        <w:spacing w:line="360" w:lineRule="auto"/>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Scores over 0,3 regnes som akseptable for eksplorativ analyse (Ketkar &amp; Vaidya, 2014). Silhouette beregnes separat for trenings- og testdata; et lavere testresultat enn treningsresultat er normalt, men et vesentlig fall vil indikere overfit.</w:t>
      </w:r>
    </w:p>
    <w:p>
      <w:pPr>
        <w:spacing w:line="360" w:lineRule="auto"/>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Identifiseringen er deterministisk: for hver klynge </w:t>
      </w:r>
      <m:oMath>
        <m:r>
          <m:t>k</m:t>
        </m:r>
      </m:oMath>
      <w:r>
        <w:rPr>
          <w:rFonts w:ascii="Times New Roman" w:hAnsi="Times New Roman" w:cs="Times New Roman"/>
          <w:sz w:val="24"/>
        </w:rPr>
        <w:t xml:space="preserve"> beregnes to rangeringer — </w:t>
      </w:r>
      <m:oMath>
        <m:r>
          <m:rPr>
            <m:nor/>
          </m:rPr>
          <m:t>rang</m:t>
        </m:r>
        <m:r>
          <m:t>(</m:t>
        </m:r>
        <m:sSub>
          <m:e>
            <m:acc>
              <m:accPr>
                <m:chr m:val="―"/>
              </m:accPr>
              <m:e>
                <m:r>
                  <m:rPr>
                    <m:nor/>
                  </m:rPr>
                  <m:t>CV</m:t>
                </m:r>
              </m:e>
            </m:acc>
          </m:e>
          <m:sub>
            <m:r>
              <m:t>k</m:t>
            </m:r>
          </m:sub>
        </m:sSub>
        <m:r>
          <m:t>)</m:t>
        </m:r>
      </m:oMath>
      <w:r>
        <w:rPr>
          <w:rFonts w:ascii="Times New Roman" w:hAnsi="Times New Roman" w:cs="Times New Roman"/>
          <w:sz w:val="24"/>
        </w:rPr>
        <w:t xml:space="preserve"> stigende og </w:t>
      </w:r>
      <m:oMath>
        <m:r>
          <m:rPr>
            <m:nor/>
          </m:rPr>
          <m:t>rang</m:t>
        </m:r>
        <m:r>
          <m:t>(</m:t>
        </m:r>
        <m:sSub>
          <m:e>
            <m:acc>
              <m:accPr>
                <m:chr m:val="―"/>
              </m:accPr>
              <m:e>
                <m:r>
                  <m:t>v</m:t>
                </m:r>
              </m:e>
            </m:acc>
          </m:e>
          <m:sub>
            <m:r>
              <m:t>k</m:t>
            </m:r>
          </m:sub>
        </m:sSub>
        <m:r>
          <m:t>)</m:t>
        </m:r>
      </m:oMath>
      <w:r>
        <w:rPr>
          <w:rFonts w:ascii="Times New Roman" w:hAnsi="Times New Roman" w:cs="Times New Roman"/>
          <w:sz w:val="24"/>
        </w:rPr>
        <w:t xml:space="preserve"> synkende — og klyngen med lavest rangsum velges:</w:t>
      </w:r>
    </w:p>
    <w:p>
      <w:pPr>
        <w:spacing w:line="360" w:lineRule="auto"/>
        <w:jc w:val="center"/>
      </w:pPr>
      <m:oMath>
        <m:sSup>
          <m:e>
            <m:r>
              <m:t>k</m:t>
            </m:r>
          </m:e>
          <m:sup>
            <m:r>
              <m:t>*</m:t>
            </m:r>
          </m:sup>
        </m:sSup>
        <m:r>
          <m:t>=</m:t>
        </m:r>
        <m:r>
          <m:rPr>
            <m:sty m:val="p"/>
          </m:rPr>
          <m:t>\arg</m:t>
        </m:r>
        <m:sSub>
          <m:e>
            <m:r>
              <m:t>min</m:t>
            </m:r>
          </m:e>
          <m:sub>
            <m:r>
              <m:t>k</m:t>
            </m:r>
          </m:sub>
        </m:sSub>
        <m:r>
          <m:t>[</m:t>
        </m:r>
        <m:r>
          <m:rPr>
            <m:nor/>
          </m:rPr>
          <m:t>rang</m:t>
        </m:r>
        <m:r>
          <m:t>(</m:t>
        </m:r>
        <m:sSub>
          <m:e>
            <m:acc>
              <m:accPr>
                <m:chr m:val="―"/>
              </m:accPr>
              <m:e>
                <m:r>
                  <m:rPr>
                    <m:nor/>
                  </m:rPr>
                  <m:t>CV</m:t>
                </m:r>
              </m:e>
            </m:acc>
          </m:e>
          <m:sub>
            <m:r>
              <m:t>k</m:t>
            </m:r>
          </m:sub>
        </m:sSub>
        <m:r>
          <m:t>↑)+</m:t>
        </m:r>
        <m:r>
          <m:rPr>
            <m:nor/>
          </m:rPr>
          <m:t>rang</m:t>
        </m:r>
        <m:r>
          <m:t>(</m:t>
        </m:r>
        <m:sSub>
          <m:e>
            <m:acc>
              <m:accPr>
                <m:chr m:val="―"/>
              </m:accPr>
              <m:e>
                <m:r>
                  <m:t>v</m:t>
                </m:r>
              </m:e>
            </m:acc>
          </m:e>
          <m:sub>
            <m:r>
              <m:t>k</m:t>
            </m:r>
          </m:sub>
        </m:sSub>
        <m:r>
          <m:t>↓)]</m:t>
        </m:r>
      </m:oMath>
    </w:p>
    <w:p>
      <w:pPr>
        <w:spacing w:line="360" w:lineRule="auto"/>
      </w:pPr>
      <w:r>
        <w:rPr>
          <w:rFonts w:ascii="Times New Roman" w:hAnsi="Times New Roman" w:cs="Times New Roman"/>
          <w:sz w:val="24"/>
        </w:rPr>
        <w:t xml:space="preserve">K\_OVERFØR er altså klyngen med lavest gjennomsnittlig CV (stabilt forbruksmønster) og høyest gjennomsnittlig artikkelverdi. Implementasjonen benytter `pandas.Series.rank()` på klyngeprofilens CV- og verdikolonner (se Vedlegg B). Ettersom </w:t>
      </w:r>
      <m:oMath>
        <m:d>
          <m:dPr>
            <m:begChr m:val="|"/>
            <m:sepChr m:val=""/>
            <m:endChr m:val="|"/>
          </m:dPr>
          <m:e>
            <m:r>
              <m:t>Δ</m:t>
            </m:r>
            <m:r>
              <m:t>T</m:t>
            </m:r>
            <m:r>
              <m:t>C</m:t>
            </m:r>
          </m:e>
        </m:d>
      </m:oMath>
      <w:r>
        <w:rPr>
          <w:rFonts w:ascii="Times New Roman" w:hAnsi="Times New Roman" w:cs="Times New Roman"/>
          <w:sz w:val="24"/>
        </w:rPr>
        <w:t xml:space="preserve"> inngår i featurevektoren, påvirker den klyngestrukturen indirekte: artikler med høyt kostnadsavvik tenderer mot samme klynge som artikler med høy verdi og lav CV. Fordi K\_OVERFØR-definisjonen bygger på de samme dimensjonene (verdi og forbruksstabilitet) som ABC/XYZ-klassifiseringen, fungerer klyngetilhørigheten i praksis som et bekreftende støttefilter snarere enn som et uavhengig empirisk signal. Klyngeanalysens merverdi ligger i at den grupperer artikler multivariat uten forhåndsdefinerte terskler, og dermed kan fange profiler som terskelbasert klassifisering alene ikke identifiserer. Denne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sz w:val="22"/>
              </w:rPr>
              <w:t>R1</w:t>
            </w:r>
          </w:p>
        </w:tc>
        <w:tc>
          <w:tcPr>
            <w:tcW w:type="dxa" w:w="2192"/>
          </w:tcPr>
          <w:p>
            <w:r/>
            <w:r>
              <w:rPr>
                <w:rFonts w:ascii="Times New Roman" w:hAnsi="Times New Roman"/>
                <w:sz w:val="22"/>
              </w:rPr>
              <w:t>XYZ = Z</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Uforutsigbart forbruk → uegnet for APL</w:t>
            </w:r>
          </w:p>
        </w:tc>
      </w:tr>
      <w:tr>
        <w:tc>
          <w:tcPr>
            <w:tcW w:type="dxa" w:w="2192"/>
          </w:tcPr>
          <w:p>
            <w:r/>
            <w:r>
              <w:rPr>
                <w:rFonts w:ascii="Times New Roman" w:hAnsi="Times New Roman"/>
                <w:sz w:val="22"/>
              </w:rPr>
              <w:t>R2</w:t>
            </w:r>
          </w:p>
        </w:tc>
        <w:tc>
          <w:tcPr>
            <w:tcW w:type="dxa" w:w="2192"/>
          </w:tcPr>
          <w:p>
            <w:r/>
            <w:r>
              <w:rPr>
                <w:rFonts w:ascii="Times New Roman" w:hAnsi="Times New Roman"/>
                <w:sz w:val="22"/>
              </w:rPr>
              <w:t>ABC = C og XYZ = Y</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Lav verdi + moderat variasjon</w:t>
            </w:r>
          </w:p>
        </w:tc>
      </w:tr>
      <w:tr>
        <w:tc>
          <w:tcPr>
            <w:tcW w:type="dxa" w:w="2192"/>
          </w:tcPr>
          <w:p>
            <w:r/>
            <w:r>
              <w:rPr>
                <w:rFonts w:ascii="Times New Roman" w:hAnsi="Times New Roman"/>
                <w:sz w:val="22"/>
              </w:rPr>
              <w:t>R3</w:t>
            </w:r>
          </w:p>
        </w:tc>
        <w:tc>
          <w:tcPr>
            <w:tcW w:type="dxa" w:w="2192"/>
          </w:tcPr>
          <w:p>
            <w:r/>
            <w:r>
              <w:rPr>
                <w:rFonts w:ascii="Times New Roman" w:hAnsi="Times New Roman"/>
                <w:sz w:val="22"/>
              </w:rPr>
              <w:t>ABC ∈ {A, B} og XYZ = X og EOQ = FOR_MANGE</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Sterkeste signal: høy verdi, stabilt, overbestilt</w:t>
            </w:r>
          </w:p>
        </w:tc>
      </w:tr>
      <w:tr>
        <w:tc>
          <w:tcPr>
            <w:tcW w:type="dxa" w:w="2192"/>
          </w:tcPr>
          <w:p>
            <w:r/>
            <w:r>
              <w:rPr>
                <w:rFonts w:ascii="Times New Roman" w:hAnsi="Times New Roman"/>
                <w:sz w:val="22"/>
              </w:rPr>
              <w:t>R4</w:t>
            </w:r>
          </w:p>
        </w:tc>
        <w:tc>
          <w:tcPr>
            <w:tcW w:type="dxa" w:w="2192"/>
          </w:tcPr>
          <w:p>
            <w:r/>
            <w:r>
              <w:rPr>
                <w:rFonts w:ascii="Times New Roman" w:hAnsi="Times New Roman"/>
                <w:sz w:val="22"/>
              </w:rPr>
              <w:t>ABC ∈ {A, B} og XYZ = X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stabilt, klyngeprofil bekrefter</w:t>
            </w:r>
          </w:p>
        </w:tc>
      </w:tr>
      <w:tr>
        <w:tc>
          <w:tcPr>
            <w:tcW w:type="dxa" w:w="2192"/>
          </w:tcPr>
          <w:p>
            <w:r/>
            <w:r>
              <w:rPr>
                <w:rFonts w:ascii="Times New Roman" w:hAnsi="Times New Roman"/>
                <w:sz w:val="22"/>
              </w:rPr>
              <w:t>R5</w:t>
            </w:r>
          </w:p>
        </w:tc>
        <w:tc>
          <w:tcPr>
            <w:tcW w:type="dxa" w:w="2192"/>
          </w:tcPr>
          <w:p>
            <w:r/>
            <w:r>
              <w:rPr>
                <w:rFonts w:ascii="Times New Roman" w:hAnsi="Times New Roman"/>
                <w:sz w:val="22"/>
              </w:rPr>
              <w:t>ABC ∈ {A, B} og XYZ = Y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moderat variasjon, klyngeprofil bekrefter</w:t>
            </w:r>
          </w:p>
        </w:tc>
      </w:tr>
      <w:tr>
        <w:tc>
          <w:tcPr>
            <w:tcW w:type="dxa" w:w="2192"/>
          </w:tcPr>
          <w:p>
            <w:r/>
            <w:r>
              <w:rPr>
                <w:rFonts w:ascii="Times New Roman" w:hAnsi="Times New Roman"/>
                <w:sz w:val="22"/>
              </w:rPr>
              <w:t>R6</w:t>
            </w:r>
          </w:p>
        </w:tc>
        <w:tc>
          <w:tcPr>
            <w:tcW w:type="dxa" w:w="2192"/>
          </w:tcPr>
          <w:p>
            <w:r/>
            <w:r>
              <w:rPr>
                <w:rFonts w:ascii="Times New Roman" w:hAnsi="Times New Roman"/>
                <w:sz w:val="22"/>
              </w:rPr>
              <w:t>ABC ∈ {A, B} og XYZ = X</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Høy verdi, stabilt, men ikke K_OVERFØR</w:t>
            </w:r>
          </w:p>
        </w:tc>
      </w:tr>
      <w:tr>
        <w:tc>
          <w:tcPr>
            <w:tcW w:type="dxa" w:w="2192"/>
          </w:tcPr>
          <w:p>
            <w:r/>
            <w:r>
              <w:rPr>
                <w:rFonts w:ascii="Times New Roman" w:hAnsi="Times New Roman"/>
                <w:sz w:val="22"/>
              </w:rPr>
              <w:t>R7</w:t>
            </w:r>
          </w:p>
        </w:tc>
        <w:tc>
          <w:tcPr>
            <w:tcW w:type="dxa" w:w="2192"/>
          </w:tcPr>
          <w:p>
            <w:r/>
            <w:r>
              <w:rPr>
                <w:rFonts w:ascii="Times New Roman" w:hAnsi="Times New Roman"/>
                <w:sz w:val="22"/>
              </w:rPr>
              <w:t>ABC ∈ {A, B} og XYZ = Y</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Høy verdi, moderat variasjon, ikke K_OVERFØR</w:t>
            </w:r>
          </w:p>
        </w:tc>
      </w:tr>
      <w:tr>
        <w:tc>
          <w:tcPr>
            <w:tcW w:type="dxa" w:w="2192"/>
          </w:tcPr>
          <w:p>
            <w:r/>
            <w:r>
              <w:rPr>
                <w:rFonts w:ascii="Times New Roman" w:hAnsi="Times New Roman"/>
                <w:sz w:val="22"/>
              </w:rPr>
              <w:t>R8</w:t>
            </w:r>
          </w:p>
        </w:tc>
        <w:tc>
          <w:tcPr>
            <w:tcW w:type="dxa" w:w="2192"/>
          </w:tcPr>
          <w:p>
            <w:r/>
            <w:r>
              <w:rPr>
                <w:rFonts w:ascii="Times New Roman" w:hAnsi="Times New Roman"/>
                <w:sz w:val="22"/>
              </w:rPr>
              <w:t>Ellers (inkl. C + X)</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Uklart signalmønster eller lav verdi</w:t>
            </w:r>
          </w:p>
        </w:tc>
      </w:tr>
    </w:tbl>
    <w:p>
      <w:r>
        <w:rPr>
          <w:rFonts w:ascii="Times New Roman" w:hAnsi="Times New Roman"/>
          <w:i/>
          <w:sz w:val="20"/>
        </w:rPr>
        <w:t>Tabell 7. Regelmotor: 8 beslutningsregler i prioritert rekkefølge.</w:t>
      </w:r>
    </w:p>
    <w:p>
      <w:pPr>
        <w:spacing w:line="360" w:lineRule="auto"/>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Figuren nedenfor illustrerer regelmotorens beslutningsflyt.</w:t>
      </w:r>
    </w:p>
    <w:p>
      <w:r>
        <w:drawing>
          <wp:inline xmlns:a="http://schemas.openxmlformats.org/drawingml/2006/main" xmlns:pic="http://schemas.openxmlformats.org/drawingml/2006/picture">
            <wp:extent cx="5400000" cy="4225574"/>
            <wp:docPr id="8" name="Picture 8"/>
            <wp:cNvGraphicFramePr>
              <a:graphicFrameLocks noChangeAspect="1"/>
            </wp:cNvGraphicFramePr>
            <a:graphic>
              <a:graphicData uri="http://schemas.openxmlformats.org/drawingml/2006/picture">
                <pic:pic>
                  <pic:nvPicPr>
                    <pic:cNvPr id="0" name="Fig03_Regelmotor.png"/>
                    <pic:cNvPicPr/>
                  </pic:nvPicPr>
                  <pic:blipFill>
                    <a:blip r:embed="rId26"/>
                    <a:stretch>
                      <a:fillRect/>
                    </a:stretch>
                  </pic:blipFill>
                  <pic:spPr>
                    <a:xfrm>
                      <a:off x="0" y="0"/>
                      <a:ext cx="5400000" cy="4225574"/>
                    </a:xfrm>
                    <a:prstGeom prst="rect"/>
                  </pic:spPr>
                </pic:pic>
              </a:graphicData>
            </a:graphic>
          </wp:inline>
        </w:drawing>
      </w:r>
    </w:p>
    <w:p>
      <w:pPr>
        <w:jc w:val="center"/>
      </w:pPr>
      <w:r>
        <w:rPr>
          <w:rFonts w:ascii="Times New Roman" w:hAnsi="Times New Roman"/>
          <w:i/>
          <w:sz w:val="20"/>
        </w:rPr>
        <w:t>Figur 4. Regelmotor: sekvensiell beslutningsflyt for HVFS-anbefaling (R1–R8). Generert med støtte fra Claude (Anthropic, 2026).</w:t>
      </w:r>
    </w:p>
    <w:p>
      <w:pPr>
        <w:spacing w:line="360" w:lineRule="auto"/>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UNIT\_PRICE</w:t>
      </w:r>
      <m:oMath>
        <m:sSub>
          <m:e>
            <m:r>
              <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Det er verdt å merke seg at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pPr>
      <w:r>
        <w:rPr>
          <w:rFonts w:ascii="Times New Roman" w:hAnsi="Times New Roman" w:cs="Times New Roman"/>
          <w:sz w:val="24"/>
        </w:rPr>
        <w:t>Pareto-grensene 80 % og 95 % ble deretter lagt på den kumulative kurven, som vist i Figur 6 nedenfor. Kurvens form – en bratt stigning tidlig etterfulgt av en lang flat hale – viser at verdikonsentrasjonen følger Pareto-mønsteret. Av de 709 artiklene fikk 704 en ABC-klasse (182 A, 184 B, 338 C); de resterende 5 artiklene har null beregnet verdi etter D-02/D-03 og kunne ikke ABC-rangeres — disse rapporteres i MANGLER\_DATA-kategorien. Endelig fordeling mellom A-, B- og C-artikler presenteres i Tabell 8 i kapittel 7.</w:t>
      </w:r>
    </w:p>
    <w:p>
      <w:r>
        <w:drawing>
          <wp:inline xmlns:a="http://schemas.openxmlformats.org/drawingml/2006/main" xmlns:pic="http://schemas.openxmlformats.org/drawingml/2006/picture">
            <wp:extent cx="5400000" cy="1795574"/>
            <wp:docPr id="9" name="Picture 9"/>
            <wp:cNvGraphicFramePr>
              <a:graphicFrameLocks noChangeAspect="1"/>
            </wp:cNvGraphicFramePr>
            <a:graphic>
              <a:graphicData uri="http://schemas.openxmlformats.org/drawingml/2006/picture">
                <pic:pic>
                  <pic:nvPicPr>
                    <pic:cNvPr id="0" name="Fig05_ABC_Pareto.png"/>
                    <pic:cNvPicPr/>
                  </pic:nvPicPr>
                  <pic:blipFill>
                    <a:blip r:embed="rId27"/>
                    <a:stretch>
                      <a:fillRect/>
                    </a:stretch>
                  </pic:blipFill>
                  <pic:spPr>
                    <a:xfrm>
                      <a:off x="0" y="0"/>
                      <a:ext cx="5400000" cy="1795574"/>
                    </a:xfrm>
                    <a:prstGeom prst="rect"/>
                  </pic:spPr>
                </pic:pic>
              </a:graphicData>
            </a:graphic>
          </wp:inline>
        </w:drawing>
      </w:r>
    </w:p>
    <w:p>
      <w:pPr>
        <w:jc w:val="center"/>
      </w:pPr>
      <w:r>
        <w:rPr>
          <w:rFonts w:ascii="Times New Roman" w:hAnsi="Times New Roman"/>
          <w:i/>
          <w:sz w:val="20"/>
        </w:rPr>
        <w:t>Figur 6. ABC Pareto-kurve: kumulativ verdiandel for 709 artikler rangert etter årsverdi, med grenser ved 80 % (A/B) og 95 % (B/C). Generert med støtte fra Claude (Anthropic, 2026).</w:t>
      </w:r>
    </w:p>
    <w:p>
      <w:pPr>
        <w:pStyle w:val="Overskrift2"/>
      </w:pPr>
      <w:r>
        <w:rPr>
          <w:rFonts w:ascii="Times New Roman" w:hAnsi="Times New Roman"/>
          <w:color w:val="000000"/>
          <w:sz w:val="32"/>
        </w:rPr>
        <w:t>6.2 XYZ-klassifisering</w:t>
      </w:r>
    </w:p>
    <w:p>
      <w:pPr>
        <w:spacing w:line="360" w:lineRule="auto"/>
      </w:pPr>
      <w:r>
        <w:rPr>
          <w:rFonts w:ascii="Times New Roman" w:hAnsi="Times New Roman" w:cs="Times New Roman"/>
          <w:sz w:val="24"/>
        </w:rPr>
        <w:t>XYZ-klassifiseringen tok utgangspunkt i månedlig MSEG-forbruk per artikkel over den 24 måneder lange analyseperioden, med bevegelsestypene 201 og 647. For hver artikkel ble variasjonskoeffisienten CV</w:t>
      </w:r>
      <m:oMath>
        <m:sSub>
          <m:e>
            <m:r>
              <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som representerer systemets eksisterende klassifisering. Samsvaret mellom beregnet og systemregistrert klasse ble kvantifisert som andelen av artikler der de to klassifiseringene er identiske; dette resultatet presenteres i kapittel 7. Det lave samsvaret som ble observert, bekrefter at ZZXYZ-feltet ikke er systematisk vedlikeholdt i takt med faktiske forbruksendringer, noe som motiverer bruken av CV-beregning som primær klassifiseringsmetode (beslutning D-04, avsnitt 4.3).</w:t>
      </w:r>
    </w:p>
    <w:p>
      <w:pPr>
        <w:spacing w:line="360" w:lineRule="auto"/>
      </w:pPr>
      <w:r>
        <w:rPr>
          <w:rFonts w:ascii="Times New Roman" w:hAnsi="Times New Roman" w:cs="Times New Roman"/>
          <w:sz w:val="24"/>
        </w:rPr>
        <w:t>ABC- og XYZ-klassifiseringene ble kombinert til en ni-felts kryssmatrise, som vist i Figur 7. Matrisen gir et øyeblikksbilde av populasjonens sammensetning langs de to dimensjonene og danner inngangsdataene for regelmotoren i avsnitt 6.5. Fullstendige celleantall er gjengitt i Figur 7; univariate XYZ-fordelinger presenteres i Tabell 9 i kapittel 7.</w:t>
      </w:r>
    </w:p>
    <w:p>
      <w:r>
        <w:drawing>
          <wp:inline xmlns:a="http://schemas.openxmlformats.org/drawingml/2006/main" xmlns:pic="http://schemas.openxmlformats.org/drawingml/2006/picture">
            <wp:extent cx="5400000" cy="4642684"/>
            <wp:docPr id="10" name="Picture 10"/>
            <wp:cNvGraphicFramePr>
              <a:graphicFrameLocks noChangeAspect="1"/>
            </wp:cNvGraphicFramePr>
            <a:graphic>
              <a:graphicData uri="http://schemas.openxmlformats.org/drawingml/2006/picture">
                <pic:pic>
                  <pic:nvPicPr>
                    <pic:cNvPr id="0" name="Fig06_ABC_XYZ_Matrise.png"/>
                    <pic:cNvPicPr/>
                  </pic:nvPicPr>
                  <pic:blipFill>
                    <a:blip r:embed="rId28"/>
                    <a:stretch>
                      <a:fillRect/>
                    </a:stretch>
                  </pic:blipFill>
                  <pic:spPr>
                    <a:xfrm>
                      <a:off x="0" y="0"/>
                      <a:ext cx="5400000" cy="4642684"/>
                    </a:xfrm>
                    <a:prstGeom prst="rect"/>
                  </pic:spPr>
                </pic:pic>
              </a:graphicData>
            </a:graphic>
          </wp:inline>
        </w:drawing>
      </w:r>
    </w:p>
    <w:p>
      <w:pPr>
        <w:jc w:val="center"/>
      </w:pPr>
      <w:r>
        <w:rPr>
          <w:rFonts w:ascii="Times New Roman" w:hAnsi="Times New Roman"/>
          <w:i/>
          <w:sz w:val="20"/>
        </w:rPr>
        <w:t>Figur 7. ABC/XYZ-kryssmatrise: antall artikler per kombinasjon (709 artikler, WERKS 3300 / LGORT 3001). Generert med støtte fra Claude (Anthropic, 2026).</w:t>
      </w:r>
    </w:p>
    <w:p>
      <w:pPr>
        <w:spacing w:line="360" w:lineRule="auto"/>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pPr>
      <w:r>
        <w:rPr>
          <w:rFonts w:ascii="Times New Roman" w:hAnsi="Times New Roman" w:cs="Times New Roman"/>
          <w:sz w:val="24"/>
        </w:rPr>
        <w:t>Det relative frekvensavviket FREQ\_AVVIK</w:t>
      </w:r>
      <m:oMath>
        <m:sSub>
          <m:e>
            <m:r>
              <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8 nedenfor. Terskelen </w:t>
      </w:r>
      <m:oMath>
        <m:sSub>
          <m:e>
            <m:r>
              <m:t>τ</m:t>
            </m:r>
          </m:e>
          <m:sub>
            <m:r>
              <m:t>f</m:t>
            </m:r>
          </m:sub>
        </m:sSub>
        <m:r>
          <m:t>=1</m:t>
        </m:r>
        <m:r>
          <m:t>,</m:t>
        </m:r>
        <m:r>
          <m:t>5</m:t>
        </m:r>
      </m:oMath>
      <w:r>
        <w:rPr>
          <w:rFonts w:ascii="Times New Roman" w:hAnsi="Times New Roman" w:cs="Times New Roman"/>
          <w:sz w:val="24"/>
        </w:rPr>
        <w:t xml:space="preserve">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sub>
        </m:sSub>
        <m:r>
          <m:t>)−TC(</m:t>
        </m:r>
        <m:sSup>
          <m:e>
            <m:r>
              <m:t>f</m:t>
            </m:r>
          </m:e>
          <m:sup>
            <m:r>
              <m:t>*</m:t>
            </m:r>
          </m:sup>
        </m:s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8197"/>
            <wp:docPr id="11" name="Picture 11"/>
            <wp:cNvGraphicFramePr>
              <a:graphicFrameLocks noChangeAspect="1"/>
            </wp:cNvGraphicFramePr>
            <a:graphic>
              <a:graphicData uri="http://schemas.openxmlformats.org/drawingml/2006/picture">
                <pic:pic>
                  <pic:nvPicPr>
                    <pic:cNvPr id="0" name="Fig07_EOQ_Avvik.png"/>
                    <pic:cNvPicPr/>
                  </pic:nvPicPr>
                  <pic:blipFill>
                    <a:blip r:embed="rId29"/>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8. EOQ-avvik: relativ frekvensavvik (FREQ_AVVIK) for artikler med tilstrekkelige data, med terskel ved τ_f = 1,5. Generert med støtte fra Claude (Anthropic, 2026).</w:t>
      </w:r>
    </w:p>
    <w:p>
      <w:pPr>
        <w:spacing w:line="360" w:lineRule="auto"/>
      </w:pPr>
      <w:r>
        <w:rPr>
          <w:rFonts w:ascii="Times New Roman" w:hAnsi="Times New Roman" w:cs="Times New Roman"/>
          <w:sz w:val="24"/>
        </w:rPr>
        <w:t xml:space="preserve">Figur 8 viser at fordelingen er sterkt høyreskjev: majoriteten av artiklene med EOQ-data har et FREQ\_AVVIK over terskelen på 1,5. Artikler under terskelen («OK») opererer nær EOQ-optimalt nivå. EOQ-analysen omfatter 487 artikler med </w:t>
      </w:r>
      <m:oMath>
        <m:sSub>
          <m:e>
            <m:r>
              <m:t>D</m:t>
            </m:r>
          </m:e>
          <m:sub>
            <m:r>
              <m:t>i</m:t>
            </m:r>
          </m:sub>
        </m:sSub>
        <m:r>
          <m:t>&gt;0</m:t>
        </m:r>
      </m:oMath>
      <w:r>
        <w:rPr>
          <w:rFonts w:ascii="Times New Roman" w:hAnsi="Times New Roman" w:cs="Times New Roman"/>
          <w:sz w:val="24"/>
        </w:rPr>
        <w:t xml:space="preserve">, gyldig enhetspris og tilgjengelig ordrehistorikk i EKBE; de øvrige 199 artiklene med årlig forbruk men uten registrert ordrehistorikk i EKBE er ekskludert fra EOQ-beregningen fordi faktisk ordrefrekvens ikke kan fastsettes. Av de 487 artiklene klassifiseres 356 (73,1 %) som FOR\_MANGE\_ORDRER, 100 som OK og 31 som FOR\_FÅ\_ORDRER. Totale </w:t>
      </w:r>
      <m:oMath>
        <m:r>
          <m:t>ΔTC</m:t>
        </m:r>
      </m:oMath>
      <w:r>
        <w:rPr>
          <w:rFonts w:ascii="Times New Roman" w:hAnsi="Times New Roman" w:cs="Times New Roman"/>
          <w:sz w:val="24"/>
        </w:rPr>
        <w:t>-summer presenteres i avsnitt 7.3.</w:t>
      </w:r>
    </w:p>
    <w:p>
      <w:pPr>
        <w:pStyle w:val="Overskrift2"/>
      </w:pPr>
      <w:r>
        <w:rPr>
          <w:rFonts w:ascii="Times New Roman" w:hAnsi="Times New Roman"/>
          <w:color w:val="000000"/>
          <w:sz w:val="32"/>
        </w:rPr>
        <w:t>6.4 K-means klyngeanalyse</w:t>
      </w:r>
    </w:p>
    <w:p>
      <w:pPr>
        <w:spacing w:line="360" w:lineRule="auto"/>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n=n=389</m:t>
        </m:r>
      </m:oMath>
      <w:r>
        <w:rPr>
          <w:rFonts w:ascii="Times New Roman" w:hAnsi="Times New Roman" w:cs="Times New Roman"/>
          <w:sz w:val="24"/>
        </w:rPr>
        <w:t>) og et testsett (</w:t>
      </w:r>
      <m:oMath>
        <m:r>
          <m:t>n=n=98</m:t>
        </m:r>
      </m:oMath>
      <w:r>
        <w:rPr>
          <w:rFonts w:ascii="Times New Roman" w:hAnsi="Times New Roman" w:cs="Times New Roman"/>
          <w:sz w:val="24"/>
        </w:rPr>
        <w:t>) med `random_state=42`. StandardScaler ble fittet utelukkende på treningsdataene og deretter brukt til å transformere begge sett, slik at informasjon fra testsettet ikke lekker inn i skaleringen.</w:t>
      </w:r>
    </w:p>
    <w:p>
      <w:pPr>
        <w:spacing w:line="360" w:lineRule="auto"/>
      </w:pPr>
      <w:r>
        <w:rPr>
          <w:rFonts w:ascii="Times New Roman" w:hAnsi="Times New Roman" w:cs="Times New Roman"/>
          <w:b/>
          <w:sz w:val="24"/>
        </w:rPr>
        <w:t>K-valg via silhouette.</w:t>
      </w:r>
      <w:r>
        <w:rPr>
          <w:rFonts w:ascii="Times New Roman" w:hAnsi="Times New Roman" w:cs="Times New Roman"/>
          <w:sz w:val="24"/>
        </w:rPr>
        <w:t xml:space="preserve"> KMeans-modellen ble fittet for </w:t>
      </w:r>
      <m:oMath>
        <m:r>
          <m:t>K=2</m:t>
        </m:r>
      </m:oMath>
      <w:r>
        <w:rPr>
          <w:rFonts w:ascii="Times New Roman" w:hAnsi="Times New Roman" w:cs="Times New Roman"/>
          <w:sz w:val="24"/>
        </w:rPr>
        <w:t>, 3, 4, 5, 6 og 7 på treningsdataene. For hvert K ble gjennomsnittlig silhouette-score beregnet. Figur 9 viser silhouette-profilen over K-søket.</w:t>
      </w:r>
    </w:p>
    <w:p>
      <w:r>
        <w:drawing>
          <wp:inline xmlns:a="http://schemas.openxmlformats.org/drawingml/2006/main" xmlns:pic="http://schemas.openxmlformats.org/drawingml/2006/picture">
            <wp:extent cx="5400000" cy="2147647"/>
            <wp:docPr id="12" name="Picture 12"/>
            <wp:cNvGraphicFramePr>
              <a:graphicFrameLocks noChangeAspect="1"/>
            </wp:cNvGraphicFramePr>
            <a:graphic>
              <a:graphicData uri="http://schemas.openxmlformats.org/drawingml/2006/picture">
                <pic:pic>
                  <pic:nvPicPr>
                    <pic:cNvPr id="0" name="Fig08_Silhouette.png"/>
                    <pic:cNvPicPr/>
                  </pic:nvPicPr>
                  <pic:blipFill>
                    <a:blip r:embed="rId30"/>
                    <a:stretch>
                      <a:fillRect/>
                    </a:stretch>
                  </pic:blipFill>
                  <pic:spPr>
                    <a:xfrm>
                      <a:off x="0" y="0"/>
                      <a:ext cx="5400000" cy="2147647"/>
                    </a:xfrm>
                    <a:prstGeom prst="rect"/>
                  </pic:spPr>
                </pic:pic>
              </a:graphicData>
            </a:graphic>
          </wp:inline>
        </w:drawing>
      </w:r>
    </w:p>
    <w:p>
      <w:pPr>
        <w:jc w:val="center"/>
      </w:pPr>
      <w:r>
        <w:rPr>
          <w:rFonts w:ascii="Times New Roman" w:hAnsi="Times New Roman"/>
          <w:i/>
          <w:sz w:val="20"/>
        </w:rPr>
        <w:t>Figur 9. Silhouette-score for K = 2–7 (treningsdata, n = 389): K = 3 gir høyest score (0,383). Generert med støtte fra Claude (Anthropic, 2026).</w:t>
      </w:r>
    </w:p>
    <w:p>
      <w:pPr>
        <w:spacing w:line="360" w:lineRule="auto"/>
      </w:pPr>
      <m:oMath>
        <m:r>
          <m:t>K=3</m:t>
        </m:r>
      </m:oMath>
      <w:r>
        <w:rPr>
          <w:rFonts w:ascii="Times New Roman" w:hAnsi="Times New Roman" w:cs="Times New Roman"/>
          <w:sz w:val="24"/>
        </w:rPr>
        <w:t xml:space="preserve"> ga høyest silhouette-score på treningsdataene (0,383) og ble valgt som det endelige antallet klynger. For </w:t>
      </w:r>
      <m:oMath>
        <m:r>
          <m:t>K=2</m:t>
        </m:r>
      </m:oMath>
      <w:r>
        <w:rPr>
          <w:rFonts w:ascii="Times New Roman" w:hAnsi="Times New Roman" w:cs="Times New Roman"/>
          <w:sz w:val="24"/>
        </w:rPr>
        <w:t xml:space="preserve"> var silhouette-scoren 0,362, og for </w:t>
      </w:r>
      <m:oMath>
        <m:r>
          <m:t>K=4</m:t>
        </m:r>
      </m:oMath>
      <w:r>
        <w:rPr>
          <w:rFonts w:ascii="Times New Roman" w:hAnsi="Times New Roman" w:cs="Times New Roman"/>
          <w:sz w:val="24"/>
        </w:rPr>
        <w:t xml:space="preserve"> og oppover falt scoren monotont — noe som indikerer at tre klynger representerer den mest naturlige gruppestrukturen i featurerommet. Score over minstekravet på 0,3 indikerer en akseptabel klyngestruktur for eksplorativ analyse (Ketkar &amp; Vaidya, 2014). KMeans-modellen ble deretter trent endelig med </w:t>
      </w:r>
      <m:oMath>
        <m:r>
          <m:t>K=3</m:t>
        </m:r>
      </m:oMath>
      <w:r>
        <w:rPr>
          <w:rFonts w:ascii="Times New Roman" w:hAnsi="Times New Roman" w:cs="Times New Roman"/>
          <w:sz w:val="24"/>
        </w:rPr>
        <w:t xml:space="preserve"> på treningsdataene, med `n_init=50` og `max_iter=300` for robust initialisering. Etter trening ble testdataene (</w:t>
      </w:r>
      <m:oMath>
        <m:r>
          <m:t>n=n=98</m:t>
        </m:r>
      </m:oMath>
      <w:r>
        <w:rPr>
          <w:rFonts w:ascii="Times New Roman" w:hAnsi="Times New Roman" w:cs="Times New Roman"/>
          <w:sz w:val="24"/>
        </w:rPr>
        <w:t>) predikert til nærmeste sentroid, og silhouette-score ble beregnet separat for testsettet og sammenlignet med treningsresultatet som et mål på generaliserbarhet. Testsilhouetten (0,368) ligger tett opp til treningssilhouetten (0,383); differansen på 0,015 er godt innenfor det akseptable og gir tillit til at klyngestrukturen ikke er et artefakt av treningsdata alene.</w:t>
      </w:r>
    </w:p>
    <w:p>
      <w:pPr>
        <w:spacing w:line="360" w:lineRule="auto"/>
      </w:pPr>
      <w:r>
        <w:rPr>
          <w:rFonts w:ascii="Times New Roman" w:hAnsi="Times New Roman" w:cs="Times New Roman"/>
          <w:b/>
          <w:sz w:val="24"/>
        </w:rPr>
        <w:t>Klyngeprofiler.</w:t>
      </w:r>
      <w:r>
        <w:rPr>
          <w:rFonts w:ascii="Times New Roman" w:hAnsi="Times New Roman" w:cs="Times New Roman"/>
          <w:sz w:val="24"/>
        </w:rPr>
        <w:t xml:space="preserve"> Etter at KMeans-modellen var fittet på treningsdataene, ble samtlige 487 artikler med tilstrekkelig data predikert til én av de tre klyngene. Klyngene ble karakterisert langs de tre featuredimensjonene, og én klynge ble identifisert som K\_OVERFØR basert på lavest gjennomsnittlig CV (stabilt forbruksmønster) og høyest gjennomsnittlig artikkelverdi. Figur 10 visualiserer klyngestrukturen i en todimensjonal projeksjon langs de to mest informative featurene.</w:t>
      </w:r>
    </w:p>
    <w:p>
      <w:r>
        <w:drawing>
          <wp:inline xmlns:a="http://schemas.openxmlformats.org/drawingml/2006/main" xmlns:pic="http://schemas.openxmlformats.org/drawingml/2006/picture">
            <wp:extent cx="5400000" cy="2679344"/>
            <wp:docPr id="13" name="Picture 13"/>
            <wp:cNvGraphicFramePr>
              <a:graphicFrameLocks noChangeAspect="1"/>
            </wp:cNvGraphicFramePr>
            <a:graphic>
              <a:graphicData uri="http://schemas.openxmlformats.org/drawingml/2006/picture">
                <pic:pic>
                  <pic:nvPicPr>
                    <pic:cNvPr id="0" name="Fig09_Kmeans_Klynger.png"/>
                    <pic:cNvPicPr/>
                  </pic:nvPicPr>
                  <pic:blipFill>
                    <a:blip r:embed="rId31"/>
                    <a:stretch>
                      <a:fillRect/>
                    </a:stretch>
                  </pic:blipFill>
                  <pic:spPr>
                    <a:xfrm>
                      <a:off x="0" y="0"/>
                      <a:ext cx="5400000" cy="2679344"/>
                    </a:xfrm>
                    <a:prstGeom prst="rect"/>
                  </pic:spPr>
                </pic:pic>
              </a:graphicData>
            </a:graphic>
          </wp:inline>
        </w:drawing>
      </w:r>
    </w:p>
    <w:p>
      <w:pPr>
        <w:jc w:val="center"/>
      </w:pPr>
      <w:r>
        <w:rPr>
          <w:rFonts w:ascii="Times New Roman" w:hAnsi="Times New Roman"/>
          <w:i/>
          <w:sz w:val="20"/>
        </w:rPr>
        <w:t>Figur 10. K-means klyngeresultat (K = 3): artikler plottet langs z(ln CV) og z(ln verdi), farge etter klynge. K_OVERFØR-klyngen er markert med stjerne (★). Generert med støtte fra Claude (Anthropic, 2026).</w:t>
      </w:r>
    </w:p>
    <w:p>
      <w:pPr>
        <w:spacing w:line="360" w:lineRule="auto"/>
      </w:pPr>
      <w:r>
        <w:rPr>
          <w:rFonts w:ascii="Times New Roman" w:hAnsi="Times New Roman" w:cs="Times New Roman"/>
          <w:sz w:val="24"/>
        </w:rPr>
        <w:t>Figur 10 viser at de tre klyngene er rimelig separert i feature-rommet, særlig K\_OVERFØR-klyngen (grønn), som skiller seg fra de øvrige ved sin kombinasjon av lav CV og høy verdi. For å tolke innholdet i hver klynge viser Figur 11 gjennomsnittlig standardisert verdi per feature for de tre klyngene.</w:t>
      </w:r>
    </w:p>
    <w:p>
      <w:r>
        <w:drawing>
          <wp:inline xmlns:a="http://schemas.openxmlformats.org/drawingml/2006/main" xmlns:pic="http://schemas.openxmlformats.org/drawingml/2006/picture">
            <wp:extent cx="5400000" cy="2998537"/>
            <wp:docPr id="14" name="Picture 14"/>
            <wp:cNvGraphicFramePr>
              <a:graphicFrameLocks noChangeAspect="1"/>
            </wp:cNvGraphicFramePr>
            <a:graphic>
              <a:graphicData uri="http://schemas.openxmlformats.org/drawingml/2006/picture">
                <pic:pic>
                  <pic:nvPicPr>
                    <pic:cNvPr id="0" name="Fig10_Kmeans_Profil.png"/>
                    <pic:cNvPicPr/>
                  </pic:nvPicPr>
                  <pic:blipFill>
                    <a:blip r:embed="rId32"/>
                    <a:stretch>
                      <a:fillRect/>
                    </a:stretch>
                  </pic:blipFill>
                  <pic:spPr>
                    <a:xfrm>
                      <a:off x="0" y="0"/>
                      <a:ext cx="5400000" cy="2998537"/>
                    </a:xfrm>
                    <a:prstGeom prst="rect"/>
                  </pic:spPr>
                </pic:pic>
              </a:graphicData>
            </a:graphic>
          </wp:inline>
        </w:drawing>
      </w:r>
    </w:p>
    <w:p>
      <w:pPr>
        <w:jc w:val="center"/>
      </w:pPr>
      <w:r>
        <w:rPr>
          <w:rFonts w:ascii="Times New Roman" w:hAnsi="Times New Roman"/>
          <w:i/>
          <w:sz w:val="20"/>
        </w:rPr>
        <w:t>Figur 11. Klyngeprofiler for K-means (K=3): gjennomsnittlig z-score per feature per klynge. K\_OVERFØR-klyngen (grønn) kjennetegnes av lav CV og høy verdi. Generert med støtte fra Claude (Anthropic, 2026).</w:t>
      </w:r>
    </w:p>
    <w:p>
      <w:pPr>
        <w:spacing w:line="360" w:lineRule="auto"/>
      </w:pPr>
      <w:r>
        <w:rPr>
          <w:rFonts w:ascii="Times New Roman" w:hAnsi="Times New Roman" w:cs="Times New Roman"/>
          <w:sz w:val="24"/>
        </w:rPr>
        <w:t xml:space="preserve">Figur 11 bekrefter at K\_OVERFØR-klyngen (Klynge 3, </w:t>
      </w:r>
      <m:oMath>
        <m:r>
          <m:t>n=n=281</m:t>
        </m:r>
      </m:oMath>
      <w:r>
        <w:rPr>
          <w:rFonts w:ascii="Times New Roman" w:hAnsi="Times New Roman" w:cs="Times New Roman"/>
          <w:sz w:val="24"/>
        </w:rPr>
        <w:t>totalt: 227 tren + 54 test) har den laveste CV-verdien (stabil etterspørsel) og den høyeste verdiprofilen, mens Klynge 2 (</w:t>
      </w:r>
      <m:oMath>
        <m:r>
          <m:t>n=n=175</m:t>
        </m:r>
      </m:oMath>
      <w:r>
        <w:rPr>
          <w:rFonts w:ascii="Times New Roman" w:hAnsi="Times New Roman" w:cs="Times New Roman"/>
          <w:sz w:val="24"/>
        </w:rPr>
        <w:t>: 136 tren + 39 test) preges av høy CV og lavt kostnadsavvik. Klynge 1 (</w:t>
      </w:r>
      <m:oMath>
        <m:r>
          <m:t>n=n=31</m:t>
        </m:r>
      </m:oMath>
      <w:r>
        <w:rPr>
          <w:rFonts w:ascii="Times New Roman" w:hAnsi="Times New Roman" w:cs="Times New Roman"/>
          <w:sz w:val="24"/>
        </w:rPr>
        <w:t xml:space="preserve">: 26 tren + 5 test) er en liten gruppe med svært lav verdi.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Det er viktig å presisere at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for å kartlegge robustheten av besparelsesestimatet overfor usikkerhet i modellantagelsene. Figur 12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8197"/>
            <wp:docPr id="15" name="Picture 15"/>
            <wp:cNvGraphicFramePr>
              <a:graphicFrameLocks noChangeAspect="1"/>
            </wp:cNvGraphicFramePr>
            <a:graphic>
              <a:graphicData uri="http://schemas.openxmlformats.org/drawingml/2006/picture">
                <pic:pic>
                  <pic:nvPicPr>
                    <pic:cNvPr id="0" name="Fig11_Regelmotor_Besparelse.png"/>
                    <pic:cNvPicPr/>
                  </pic:nvPicPr>
                  <pic:blipFill>
                    <a:blip r:embed="rId33"/>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12. Regelmotor og besparelsesanalyse: fordeling av HVFS-anbefalinger (venstre) og estimert årlig EOQ-besparelse under tre realiseringsscenarier (høyre). 709 artikler, WERKS 3300 / LGORT 3001. Generert med støtte fra Claude (Anthropic, 2026).</w:t>
      </w:r>
    </w:p>
    <w:p>
      <w:pPr>
        <w:spacing w:line="360" w:lineRule="auto"/>
      </w:pPr>
      <w:r>
        <w:rPr>
          <w:rFonts w:ascii="Times New Roman" w:hAnsi="Times New Roman" w:cs="Times New Roman"/>
          <w:sz w:val="24"/>
        </w:rPr>
        <w:t>Figur 12 viser at 145 artikler (20,5 % av populasjonen) anbefales overført til HVFS, mens 257 artikler (36,2 %) beholdes lokalt basert på Z-klasse eller CY-kombinasjon. Kategorien VURDER NÆRMERE er den største enkeltgruppen med 284 artikler (40,1 %), noe som reflekterer at mange artikler har en profil der de ulike analysene ikke gir entydige signaler. Dette er et forventet utfall gitt at regelmotoren er utformet for å unngå feilaktige overføringsanbefalinger: usikre tilfeller sendes til manuell vurdering fremfor å tvinges inn i en binær beslutning. Fordelingen av anbefalinger per regel er som følger: R1 (Z-override) fanget 143 artikler, R2 (CY) fanget 114, R3 (A/B + X + FOR\_MANGE) fanget 71, R4 (A/B + X + K\_OVERFØR) fanget 18, R5 (A/B + Y + K\_OVERFØR) fanget 56, og R6–R8 sendte de resterende 284 artiklene til manuell vurdering. At VURDER\_NÆRMERE er den største enkeltgruppen er et bevisst designvalg: regelmotoren er utformet for høy presisjon i OVERFØR-anbefalingene, og aksepterer at dette medfører en større andel artikler som krever manuell gjennomgang.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sz w:val="22"/>
              </w:rPr>
              <w:t>A</w:t>
            </w:r>
          </w:p>
        </w:tc>
        <w:tc>
          <w:tcPr>
            <w:tcW w:type="dxa" w:w="2192"/>
          </w:tcPr>
          <w:p>
            <w:r/>
            <w:r>
              <w:rPr>
                <w:rFonts w:ascii="Times New Roman" w:hAnsi="Times New Roman"/>
                <w:sz w:val="22"/>
              </w:rPr>
              <w:t>182</w:t>
            </w:r>
          </w:p>
        </w:tc>
        <w:tc>
          <w:tcPr>
            <w:tcW w:type="dxa" w:w="2192"/>
          </w:tcPr>
          <w:p>
            <w:r/>
            <w:r>
              <w:rPr>
                <w:rFonts w:ascii="Times New Roman" w:hAnsi="Times New Roman"/>
                <w:sz w:val="22"/>
              </w:rPr>
              <w:t>25,7 %</w:t>
            </w:r>
          </w:p>
        </w:tc>
        <w:tc>
          <w:tcPr>
            <w:tcW w:type="dxa" w:w="2192"/>
          </w:tcPr>
          <w:p>
            <w:r/>
            <w:r>
              <w:rPr>
                <w:rFonts w:ascii="Times New Roman" w:hAnsi="Times New Roman"/>
                <w:sz w:val="22"/>
              </w:rPr>
              <w:t>0–80 %</w:t>
            </w:r>
          </w:p>
        </w:tc>
      </w:tr>
      <w:tr>
        <w:tc>
          <w:tcPr>
            <w:tcW w:type="dxa" w:w="2192"/>
          </w:tcPr>
          <w:p>
            <w:r/>
            <w:r>
              <w:rPr>
                <w:rFonts w:ascii="Times New Roman" w:hAnsi="Times New Roman"/>
                <w:sz w:val="22"/>
              </w:rPr>
              <w:t>B</w:t>
            </w:r>
          </w:p>
        </w:tc>
        <w:tc>
          <w:tcPr>
            <w:tcW w:type="dxa" w:w="2192"/>
          </w:tcPr>
          <w:p>
            <w:r/>
            <w:r>
              <w:rPr>
                <w:rFonts w:ascii="Times New Roman" w:hAnsi="Times New Roman"/>
                <w:sz w:val="22"/>
              </w:rPr>
              <w:t>184</w:t>
            </w:r>
          </w:p>
        </w:tc>
        <w:tc>
          <w:tcPr>
            <w:tcW w:type="dxa" w:w="2192"/>
          </w:tcPr>
          <w:p>
            <w:r/>
            <w:r>
              <w:rPr>
                <w:rFonts w:ascii="Times New Roman" w:hAnsi="Times New Roman"/>
                <w:sz w:val="22"/>
              </w:rPr>
              <w:t>26,0 %</w:t>
            </w:r>
          </w:p>
        </w:tc>
        <w:tc>
          <w:tcPr>
            <w:tcW w:type="dxa" w:w="2192"/>
          </w:tcPr>
          <w:p>
            <w:r/>
            <w:r>
              <w:rPr>
                <w:rFonts w:ascii="Times New Roman" w:hAnsi="Times New Roman"/>
                <w:sz w:val="22"/>
              </w:rPr>
              <w:t>80–95 %</w:t>
            </w:r>
          </w:p>
        </w:tc>
      </w:tr>
      <w:tr>
        <w:tc>
          <w:tcPr>
            <w:tcW w:type="dxa" w:w="2192"/>
          </w:tcPr>
          <w:p>
            <w:r/>
            <w:r>
              <w:rPr>
                <w:rFonts w:ascii="Times New Roman" w:hAnsi="Times New Roman"/>
                <w:sz w:val="22"/>
              </w:rPr>
              <w:t>C</w:t>
            </w:r>
          </w:p>
        </w:tc>
        <w:tc>
          <w:tcPr>
            <w:tcW w:type="dxa" w:w="2192"/>
          </w:tcPr>
          <w:p>
            <w:r/>
            <w:r>
              <w:rPr>
                <w:rFonts w:ascii="Times New Roman" w:hAnsi="Times New Roman"/>
                <w:sz w:val="22"/>
              </w:rPr>
              <w:t>338</w:t>
            </w:r>
          </w:p>
        </w:tc>
        <w:tc>
          <w:tcPr>
            <w:tcW w:type="dxa" w:w="2192"/>
          </w:tcPr>
          <w:p>
            <w:r/>
            <w:r>
              <w:rPr>
                <w:rFonts w:ascii="Times New Roman" w:hAnsi="Times New Roman"/>
                <w:sz w:val="22"/>
              </w:rPr>
              <w:t>47,7 %</w:t>
            </w:r>
          </w:p>
        </w:tc>
        <w:tc>
          <w:tcPr>
            <w:tcW w:type="dxa" w:w="2192"/>
          </w:tcPr>
          <w:p>
            <w:r/>
            <w:r>
              <w:rPr>
                <w:rFonts w:ascii="Times New Roman" w:hAnsi="Times New Roman"/>
                <w:sz w:val="22"/>
              </w:rPr>
              <w:t>95–100 %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5</w:t>
            </w:r>
          </w:p>
        </w:tc>
        <w:tc>
          <w:tcPr>
            <w:tcW w:type="dxa" w:w="2192"/>
          </w:tcPr>
          <w:p>
            <w:r/>
            <w:r>
              <w:rPr>
                <w:rFonts w:ascii="Times New Roman" w:hAnsi="Times New Roman"/>
                <w:sz w:val="22"/>
              </w:rPr>
              <w:t>0,7 %</w:t>
            </w:r>
          </w:p>
        </w:tc>
        <w:tc>
          <w:tcPr>
            <w:tcW w:type="dxa" w:w="2192"/>
          </w:tcPr>
          <w:p>
            <w:r/>
            <w:r>
              <w:rPr>
                <w:rFonts w:ascii="Times New Roman" w:hAnsi="Times New Roman"/>
                <w:sz w:val="22"/>
              </w:rPr>
              <w:t>Mangler verdidata</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8. ABC-fordeling: antall artikler og verdiandel per klasse (n = 709).</w:t>
      </w:r>
    </w:p>
    <w:p>
      <w:pPr>
        <w:spacing w:line="360" w:lineRule="auto"/>
      </w:pPr>
      <w:r>
        <w:rPr>
          <w:rFonts w:ascii="Times New Roman" w:hAnsi="Times New Roman" w:cs="Times New Roman"/>
          <w:sz w:val="24"/>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6 i kapittel 6.</w:t>
      </w:r>
    </w:p>
    <w:p>
      <w:pPr>
        <w:pStyle w:val="Overskrift2"/>
      </w:pPr>
      <w:r>
        <w:rPr>
          <w:rFonts w:ascii="Times New Roman" w:hAnsi="Times New Roman"/>
          <w:color w:val="000000"/>
          <w:sz w:val="32"/>
        </w:rPr>
        <w:t>7.2 XYZ-resultater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X (stabilt)</w:t>
            </w:r>
          </w:p>
        </w:tc>
        <w:tc>
          <w:tcPr>
            <w:tcW w:type="dxa" w:w="2192"/>
          </w:tcPr>
          <w:p>
            <w:r/>
            <w:r>
              <w:rPr>
                <w:rFonts w:ascii="Times New Roman" w:hAnsi="Times New Roman"/>
                <w:sz w:val="22"/>
              </w:rPr>
              <w:t>CV &lt; 0,5</w:t>
            </w:r>
          </w:p>
        </w:tc>
        <w:tc>
          <w:tcPr>
            <w:tcW w:type="dxa" w:w="2192"/>
          </w:tcPr>
          <w:p>
            <w:r/>
            <w:r>
              <w:rPr>
                <w:rFonts w:ascii="Times New Roman" w:hAnsi="Times New Roman"/>
                <w:sz w:val="22"/>
              </w:rPr>
              <w:t>350</w:t>
            </w:r>
          </w:p>
        </w:tc>
        <w:tc>
          <w:tcPr>
            <w:tcW w:type="dxa" w:w="2192"/>
          </w:tcPr>
          <w:p>
            <w:r/>
            <w:r>
              <w:rPr>
                <w:rFonts w:ascii="Times New Roman" w:hAnsi="Times New Roman"/>
                <w:sz w:val="22"/>
              </w:rPr>
              <w:t>50,9 %</w:t>
            </w:r>
          </w:p>
        </w:tc>
      </w:tr>
      <w:tr>
        <w:tc>
          <w:tcPr>
            <w:tcW w:type="dxa" w:w="2192"/>
          </w:tcPr>
          <w:p>
            <w:r/>
            <w:r>
              <w:rPr>
                <w:rFonts w:ascii="Times New Roman" w:hAnsi="Times New Roman"/>
                <w:sz w:val="22"/>
              </w:rPr>
              <w:t>Y (moderat)</w:t>
            </w:r>
          </w:p>
        </w:tc>
        <w:tc>
          <w:tcPr>
            <w:tcW w:type="dxa" w:w="2192"/>
          </w:tcPr>
          <w:p>
            <w:r/>
            <w:r>
              <w:rPr>
                <w:rFonts w:ascii="Times New Roman" w:hAnsi="Times New Roman"/>
                <w:sz w:val="22"/>
              </w:rPr>
              <w:t>0,5 ≤ CV &lt; 1,0</w:t>
            </w:r>
          </w:p>
        </w:tc>
        <w:tc>
          <w:tcPr>
            <w:tcW w:type="dxa" w:w="2192"/>
          </w:tcPr>
          <w:p>
            <w:r/>
            <w:r>
              <w:rPr>
                <w:rFonts w:ascii="Times New Roman" w:hAnsi="Times New Roman"/>
                <w:sz w:val="22"/>
              </w:rPr>
              <w:t>193</w:t>
            </w:r>
          </w:p>
        </w:tc>
        <w:tc>
          <w:tcPr>
            <w:tcW w:type="dxa" w:w="2192"/>
          </w:tcPr>
          <w:p>
            <w:r/>
            <w:r>
              <w:rPr>
                <w:rFonts w:ascii="Times New Roman" w:hAnsi="Times New Roman"/>
                <w:sz w:val="22"/>
              </w:rPr>
              <w:t>28,1 %</w:t>
            </w:r>
          </w:p>
        </w:tc>
      </w:tr>
      <w:tr>
        <w:tc>
          <w:tcPr>
            <w:tcW w:type="dxa" w:w="2192"/>
          </w:tcPr>
          <w:p>
            <w:r/>
            <w:r>
              <w:rPr>
                <w:rFonts w:ascii="Times New Roman" w:hAnsi="Times New Roman"/>
                <w:sz w:val="22"/>
              </w:rPr>
              <w:t>Z (uregelmessig)</w:t>
            </w:r>
          </w:p>
        </w:tc>
        <w:tc>
          <w:tcPr>
            <w:tcW w:type="dxa" w:w="2192"/>
          </w:tcPr>
          <w:p>
            <w:r/>
            <w:r>
              <w:rPr>
                <w:rFonts w:ascii="Times New Roman" w:hAnsi="Times New Roman"/>
                <w:sz w:val="22"/>
              </w:rPr>
              <w:t>CV ≥ 1,0</w:t>
            </w:r>
          </w:p>
        </w:tc>
        <w:tc>
          <w:tcPr>
            <w:tcW w:type="dxa" w:w="2192"/>
          </w:tcPr>
          <w:p>
            <w:r/>
            <w:r>
              <w:rPr>
                <w:rFonts w:ascii="Times New Roman" w:hAnsi="Times New Roman"/>
                <w:sz w:val="22"/>
              </w:rPr>
              <w:t>144</w:t>
            </w:r>
          </w:p>
        </w:tc>
        <w:tc>
          <w:tcPr>
            <w:tcW w:type="dxa" w:w="2192"/>
          </w:tcPr>
          <w:p>
            <w:r/>
            <w:r>
              <w:rPr>
                <w:rFonts w:ascii="Times New Roman" w:hAnsi="Times New Roman"/>
                <w:sz w:val="22"/>
              </w:rPr>
              <w:t>20,9 %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w:t>
            </w:r>
          </w:p>
        </w:tc>
        <w:tc>
          <w:tcPr>
            <w:tcW w:type="dxa" w:w="2192"/>
          </w:tcPr>
          <w:p>
            <w:r/>
            <w:r>
              <w:rPr>
                <w:rFonts w:ascii="Times New Roman" w:hAnsi="Times New Roman"/>
                <w:sz w:val="22"/>
              </w:rPr>
              <w:t>22</w:t>
            </w:r>
          </w:p>
        </w:tc>
        <w:tc>
          <w:tcPr>
            <w:tcW w:type="dxa" w:w="2192"/>
          </w:tcPr>
          <w:p>
            <w:r/>
            <w:r>
              <w:rPr>
                <w:rFonts w:ascii="Times New Roman" w:hAnsi="Times New Roman"/>
                <w:sz w:val="22"/>
              </w:rPr>
              <w:t>—</w:t>
            </w:r>
          </w:p>
        </w:tc>
      </w:tr>
    </w:tbl>
    <w:p>
      <w:r>
        <w:rPr>
          <w:rFonts w:ascii="Times New Roman" w:hAnsi="Times New Roman"/>
          <w:i/>
          <w:sz w:val="20"/>
        </w:rPr>
        <w:t>Tabell 9. XYZ-fordeling: antall artikler per klasse (n = 687 klassifiserte).</w:t>
      </w:r>
    </w:p>
    <w:p>
      <w:pPr>
        <w:spacing w:line="360" w:lineRule="auto"/>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er positivt for HVFS-sentralisering, da stabilt forbruk er en forutsetning for APL-leveransemodellen. De 22 ikke-klassifiserte artiklene mangler tilstrekkelig forbrukshistorikk i MSEG (færre enn tre måneder med registrert forbruk) og er ekskludert fra XYZ-analysen for å unngå misvisende CV-estimater.</w:t>
      </w:r>
    </w:p>
    <w:p>
      <w:pPr>
        <w:spacing w:line="360" w:lineRule="auto"/>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understreker at SAP-feltets ZZXYZ ikke er systematisk oppdatert og bør erstattes med beregnet CV-klasse som primær XYZ-indikator. ABC/XYZ-kryssmatrisen er presentert som Figur 7 i kapittel 6; fullstendige celleantall er gjengitt 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sz w:val="22"/>
              </w:rPr>
              <w:t>SAP X</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Y</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Z</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w:t>
            </w:r>
          </w:p>
        </w:tc>
      </w:tr>
      <w:tr>
        <w:tc>
          <w:tcPr>
            <w:tcW w:type="dxa" w:w="1754"/>
          </w:tcPr>
          <w:p>
            <w:r/>
            <w:r>
              <w:rPr>
                <w:rFonts w:ascii="Times New Roman" w:hAnsi="Times New Roman"/>
                <w:sz w:val="22"/>
              </w:rPr>
              <w:t>Totalt samsvar</w:t>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t>125 / 375 (33 %)</w:t>
            </w:r>
          </w:p>
        </w:tc>
      </w:tr>
    </w:tbl>
    <w:p>
      <w:r>
        <w:rPr>
          <w:rFonts w:ascii="Times New Roman" w:hAnsi="Times New Roman"/>
          <w:i/>
          <w:sz w:val="20"/>
        </w:rPr>
        <w:t>Tabell 10. SAP ZZXYZ-validering: samsvar mellom systemklasse og beregnet CV-klasse (n = 375 artikler med data i begge kilder).</w:t>
      </w:r>
    </w:p>
    <w:p>
      <w:pPr>
        <w:pStyle w:val="Overskrift2"/>
      </w:pPr>
      <w:r>
        <w:rPr>
          <w:rFonts w:ascii="Times New Roman" w:hAnsi="Times New Roman"/>
          <w:color w:val="000000"/>
          <w:sz w:val="32"/>
        </w:rPr>
        <w:t>7.3 EOQ-avviksresultater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FOR_MANGE_ORDRER</w:t>
            </w:r>
          </w:p>
        </w:tc>
        <w:tc>
          <w:tcPr>
            <w:tcW w:type="dxa" w:w="2192"/>
          </w:tcPr>
          <w:p>
            <w:r/>
            <w:r>
              <w:rPr>
                <w:rFonts w:ascii="Times New Roman" w:hAnsi="Times New Roman"/>
                <w:sz w:val="22"/>
              </w:rPr>
              <w:t>FREQ_AVVIK &gt; 1,5</w:t>
            </w:r>
          </w:p>
        </w:tc>
        <w:tc>
          <w:tcPr>
            <w:tcW w:type="dxa" w:w="2192"/>
          </w:tcPr>
          <w:p>
            <w:r/>
            <w:r>
              <w:rPr>
                <w:rFonts w:ascii="Times New Roman" w:hAnsi="Times New Roman"/>
                <w:sz w:val="22"/>
              </w:rPr>
              <w:t>356</w:t>
            </w:r>
          </w:p>
        </w:tc>
        <w:tc>
          <w:tcPr>
            <w:tcW w:type="dxa" w:w="2192"/>
          </w:tcPr>
          <w:p>
            <w:r/>
            <w:r>
              <w:rPr>
                <w:rFonts w:ascii="Times New Roman" w:hAnsi="Times New Roman"/>
                <w:sz w:val="22"/>
              </w:rPr>
              <w:t>73,1 %</w:t>
            </w:r>
          </w:p>
        </w:tc>
      </w:tr>
      <w:tr>
        <w:tc>
          <w:tcPr>
            <w:tcW w:type="dxa" w:w="2192"/>
          </w:tcPr>
          <w:p>
            <w:r/>
            <w:r>
              <w:rPr>
                <w:rFonts w:ascii="Times New Roman" w:hAnsi="Times New Roman"/>
                <w:sz w:val="22"/>
              </w:rPr>
              <w:t>OK</w:t>
            </w:r>
          </w:p>
        </w:tc>
        <w:tc>
          <w:tcPr>
            <w:tcW w:type="dxa" w:w="2192"/>
          </w:tcPr>
          <w:p>
            <w:r/>
            <w:r>
              <w:rPr>
                <w:rFonts w:ascii="Times New Roman" w:hAnsi="Times New Roman"/>
                <w:sz w:val="22"/>
              </w:rPr>
              <w:t>−0,5 ≤ FREQ_AVVIK ≤ 1,5</w:t>
            </w:r>
          </w:p>
        </w:tc>
        <w:tc>
          <w:tcPr>
            <w:tcW w:type="dxa" w:w="2192"/>
          </w:tcPr>
          <w:p>
            <w:r/>
            <w:r>
              <w:rPr>
                <w:rFonts w:ascii="Times New Roman" w:hAnsi="Times New Roman"/>
                <w:sz w:val="22"/>
              </w:rPr>
              <w:t>100</w:t>
            </w:r>
          </w:p>
        </w:tc>
        <w:tc>
          <w:tcPr>
            <w:tcW w:type="dxa" w:w="2192"/>
          </w:tcPr>
          <w:p>
            <w:r/>
            <w:r>
              <w:rPr>
                <w:rFonts w:ascii="Times New Roman" w:hAnsi="Times New Roman"/>
                <w:sz w:val="22"/>
              </w:rPr>
              <w:t>20,5 %</w:t>
            </w:r>
          </w:p>
        </w:tc>
      </w:tr>
      <w:tr>
        <w:tc>
          <w:tcPr>
            <w:tcW w:type="dxa" w:w="2192"/>
          </w:tcPr>
          <w:p>
            <w:r/>
            <w:r>
              <w:rPr>
                <w:rFonts w:ascii="Times New Roman" w:hAnsi="Times New Roman"/>
                <w:sz w:val="22"/>
              </w:rPr>
              <w:t>FOR_FÅ_ORDRER</w:t>
            </w:r>
          </w:p>
        </w:tc>
        <w:tc>
          <w:tcPr>
            <w:tcW w:type="dxa" w:w="2192"/>
          </w:tcPr>
          <w:p>
            <w:r/>
            <w:r>
              <w:rPr>
                <w:rFonts w:ascii="Times New Roman" w:hAnsi="Times New Roman"/>
                <w:sz w:val="22"/>
              </w:rPr>
              <w:t>FREQ_AVVIK &lt; −0,5</w:t>
            </w:r>
          </w:p>
        </w:tc>
        <w:tc>
          <w:tcPr>
            <w:tcW w:type="dxa" w:w="2192"/>
          </w:tcPr>
          <w:p>
            <w:r/>
            <w:r>
              <w:rPr>
                <w:rFonts w:ascii="Times New Roman" w:hAnsi="Times New Roman"/>
                <w:sz w:val="22"/>
              </w:rPr>
              <w:t>31</w:t>
            </w:r>
          </w:p>
        </w:tc>
        <w:tc>
          <w:tcPr>
            <w:tcW w:type="dxa" w:w="2192"/>
          </w:tcPr>
          <w:p>
            <w:r/>
            <w:r>
              <w:rPr>
                <w:rFonts w:ascii="Times New Roman" w:hAnsi="Times New Roman"/>
                <w:sz w:val="22"/>
              </w:rPr>
              <w:t>6,4 %</w:t>
            </w:r>
          </w:p>
        </w:tc>
      </w:tr>
      <w:tr>
        <w:tc>
          <w:tcPr>
            <w:tcW w:type="dxa" w:w="2192"/>
          </w:tcPr>
          <w:p>
            <w:r/>
            <w:r>
              <w:rPr>
                <w:rFonts w:ascii="Times New Roman" w:hAnsi="Times New Roman"/>
                <w:sz w:val="22"/>
              </w:rPr>
              <w:t>Totalt analysert</w:t>
            </w:r>
          </w:p>
        </w:tc>
        <w:tc>
          <w:tcPr>
            <w:tcW w:type="dxa" w:w="2192"/>
          </w:tcPr>
          <w:p>
            <w:r/>
            <w:r>
              <w:rPr>
                <w:rFonts w:ascii="Times New Roman" w:hAnsi="Times New Roman"/>
                <w:sz w:val="22"/>
              </w:rPr>
            </w:r>
          </w:p>
        </w:tc>
        <w:tc>
          <w:tcPr>
            <w:tcW w:type="dxa" w:w="2192"/>
          </w:tcPr>
          <w:p>
            <w:r/>
            <w:r>
              <w:rPr>
                <w:rFonts w:ascii="Times New Roman" w:hAnsi="Times New Roman"/>
                <w:sz w:val="22"/>
              </w:rPr>
              <w:t>487</w:t>
            </w:r>
          </w:p>
        </w:tc>
        <w:tc>
          <w:tcPr>
            <w:tcW w:type="dxa" w:w="2192"/>
          </w:tcPr>
          <w:p>
            <w:r/>
            <w:r>
              <w:rPr>
                <w:rFonts w:ascii="Times New Roman" w:hAnsi="Times New Roman"/>
                <w:sz w:val="22"/>
              </w:rPr>
              <w:t>100 %</w:t>
            </w:r>
          </w:p>
        </w:tc>
      </w:tr>
      <w:tr>
        <w:tc>
          <w:tcPr>
            <w:tcW w:type="dxa" w:w="2192"/>
          </w:tcPr>
          <w:p>
            <w:r/>
            <w:r>
              <w:rPr>
                <w:rFonts w:ascii="Times New Roman" w:hAnsi="Times New Roman"/>
                <w:sz w:val="22"/>
              </w:rPr>
              <w:t>Samlet ΔTC (alle 487)</w:t>
            </w:r>
          </w:p>
        </w:tc>
        <w:tc>
          <w:tcPr>
            <w:tcW w:type="dxa" w:w="2192"/>
          </w:tcPr>
          <w:p>
            <w:r/>
            <w:r>
              <w:rPr>
                <w:rFonts w:ascii="Times New Roman" w:hAnsi="Times New Roman"/>
                <w:sz w:val="22"/>
              </w:rPr>
            </w:r>
          </w:p>
        </w:tc>
        <w:tc>
          <w:tcPr>
            <w:tcW w:type="dxa" w:w="2192"/>
          </w:tcPr>
          <w:p>
            <w:r/>
            <w:r>
              <w:rPr>
                <w:rFonts w:ascii="Times New Roman" w:hAnsi="Times New Roman"/>
                <w:sz w:val="22"/>
              </w:rPr>
              <w:t>kr 2 333 441 / år</w:t>
            </w:r>
          </w:p>
        </w:tc>
        <w:tc>
          <w:tcPr>
            <w:tcW w:type="dxa" w:w="2192"/>
          </w:tcPr>
          <w:p>
            <w:r/>
            <w:r>
              <w:rPr>
                <w:rFonts w:ascii="Times New Roman" w:hAnsi="Times New Roman"/>
                <w:sz w:val="22"/>
              </w:rPr>
            </w:r>
          </w:p>
        </w:tc>
      </w:tr>
    </w:tbl>
    <w:p>
      <w:r>
        <w:rPr>
          <w:rFonts w:ascii="Times New Roman" w:hAnsi="Times New Roman"/>
          <w:i/>
          <w:sz w:val="20"/>
        </w:rPr>
        <w:t>Tabell 11. EOQ-avviksresultater: fordeling av artikler etter ordrefrekvensavvik (n = 487).</w:t>
      </w:r>
    </w:p>
    <w:p>
      <w:pPr>
        <w:spacing w:line="360" w:lineRule="auto"/>
      </w:pPr>
      <w:r>
        <w:rPr>
          <w:rFonts w:ascii="Times New Roman" w:hAnsi="Times New Roman" w:cs="Times New Roman"/>
          <w:sz w:val="24"/>
        </w:rPr>
        <w:t xml:space="preserve">Av de 487 artiklene med tilstrekkelig data for EOQ-beregning har 356 artikler (73,1 %) en faktisk ordrefrekvens som overskrider EOQ-optimal frekvens med mer enn 150 %, og er klassifisert som FOR\_MANGE\_ORDRER. 100 artikler (20,5 %) opererer innenfor akseptabelt avvik (OK), og 31 artikler (6,4 %) bestiller sjeldnere enn EOQ-optimalt (FOR\_FÅ\_ORDRER). Den høye andelen FOR\_MANGE\_ORDRER indikerer at den eksisterende bestillingspraksisen ved LGORT 3001 er systematisk suboptimal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pPr>
      <w:r>
        <w:rPr>
          <w:rFonts w:ascii="Times New Roman" w:hAnsi="Times New Roman" w:cs="Times New Roman"/>
          <w:sz w:val="24"/>
        </w:rPr>
        <w:t xml:space="preserve">Det samlede teoretiske totalkostnadsavviket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realiserbare besparelsespotensialet, da kun artikler i OVERFØR\_HVFS-kategorien inngår i besparelsesberegningen (se avsnitt 7.6). Fordelingen av FREQ\_AVVIK er illustrert i Figur 8 i kapittel 6.</w:t>
      </w:r>
    </w:p>
    <w:p>
      <w:pPr>
        <w:pStyle w:val="Overskrift2"/>
      </w:pPr>
      <w:r>
        <w:rPr>
          <w:rFonts w:ascii="Times New Roman" w:hAnsi="Times New Roman"/>
          <w:color w:val="000000"/>
          <w:sz w:val="32"/>
        </w:rPr>
        <w:t>7.4 K-means klyngeresultater</w:t>
      </w:r>
    </w:p>
    <w:p>
      <w:pPr>
        <w:spacing w:line="360" w:lineRule="auto"/>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n=n=389</m:t>
        </m:r>
      </m:oMath>
      <w:r>
        <w:rPr>
          <w:rFonts w:ascii="Times New Roman" w:hAnsi="Times New Roman" w:cs="Times New Roman"/>
          <w:sz w:val="24"/>
        </w:rPr>
        <w:t>) var 0,383, og på testdataene (</w:t>
      </w:r>
      <m:oMath>
        <m:r>
          <m:t>n=n=98</m:t>
        </m:r>
      </m:oMath>
      <w:r>
        <w:rPr>
          <w:rFonts w:ascii="Times New Roman" w:hAnsi="Times New Roman" w:cs="Times New Roman"/>
          <w:sz w:val="24"/>
        </w:rPr>
        <w:t>) var 0,368. Differansen mellom trenings- og testresultat er 0,015, noe som ikke indikerer vesentlig overfit. Klyngeprofiler er presentert i Tabell 12.</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sz w:val="22"/>
              </w:rPr>
              <w:t>1</w:t>
            </w:r>
          </w:p>
        </w:tc>
        <w:tc>
          <w:tcPr>
            <w:tcW w:type="dxa" w:w="1461"/>
          </w:tcPr>
          <w:p>
            <w:r/>
            <w:r>
              <w:rPr>
                <w:rFonts w:ascii="Times New Roman" w:hAnsi="Times New Roman"/>
                <w:sz w:val="22"/>
              </w:rPr>
              <w:t>31</w:t>
            </w:r>
          </w:p>
        </w:tc>
        <w:tc>
          <w:tcPr>
            <w:tcW w:type="dxa" w:w="1461"/>
          </w:tcPr>
          <w:p>
            <w:r/>
            <w:r>
              <w:rPr>
                <w:rFonts w:ascii="Times New Roman" w:hAnsi="Times New Roman"/>
                <w:sz w:val="22"/>
              </w:rPr>
              <w:t>1,05</w:t>
            </w:r>
          </w:p>
        </w:tc>
        <w:tc>
          <w:tcPr>
            <w:tcW w:type="dxa" w:w="1461"/>
          </w:tcPr>
          <w:p>
            <w:r/>
            <w:r>
              <w:rPr>
                <w:rFonts w:ascii="Times New Roman" w:hAnsi="Times New Roman"/>
                <w:sz w:val="22"/>
              </w:rPr>
              <w:t>150</w:t>
            </w:r>
          </w:p>
        </w:tc>
        <w:tc>
          <w:tcPr>
            <w:tcW w:type="dxa" w:w="1461"/>
          </w:tcPr>
          <w:p>
            <w:r/>
            <w:r>
              <w:rPr>
                <w:rFonts w:ascii="Times New Roman" w:hAnsi="Times New Roman"/>
                <w:sz w:val="22"/>
              </w:rPr>
              <w:t>4 999</w:t>
            </w:r>
          </w:p>
        </w:tc>
        <w:tc>
          <w:tcPr>
            <w:tcW w:type="dxa" w:w="1461"/>
          </w:tcPr>
          <w:p>
            <w:r/>
            <w:r>
              <w:rPr>
                <w:rFonts w:ascii="Times New Roman" w:hAnsi="Times New Roman"/>
                <w:sz w:val="22"/>
              </w:rPr>
              <w:t>Lav verdi, høy variasjon</w:t>
            </w:r>
          </w:p>
        </w:tc>
      </w:tr>
      <w:tr>
        <w:tc>
          <w:tcPr>
            <w:tcW w:type="dxa" w:w="1461"/>
          </w:tcPr>
          <w:p>
            <w:r/>
            <w:r>
              <w:rPr>
                <w:rFonts w:ascii="Times New Roman" w:hAnsi="Times New Roman"/>
                <w:sz w:val="22"/>
              </w:rPr>
              <w:t>2</w:t>
            </w:r>
          </w:p>
        </w:tc>
        <w:tc>
          <w:tcPr>
            <w:tcW w:type="dxa" w:w="1461"/>
          </w:tcPr>
          <w:p>
            <w:r/>
            <w:r>
              <w:rPr>
                <w:rFonts w:ascii="Times New Roman" w:hAnsi="Times New Roman"/>
                <w:sz w:val="22"/>
              </w:rPr>
              <w:t>175</w:t>
            </w:r>
          </w:p>
        </w:tc>
        <w:tc>
          <w:tcPr>
            <w:tcW w:type="dxa" w:w="1461"/>
          </w:tcPr>
          <w:p>
            <w:r/>
            <w:r>
              <w:rPr>
                <w:rFonts w:ascii="Times New Roman" w:hAnsi="Times New Roman"/>
                <w:sz w:val="22"/>
              </w:rPr>
              <w:t>1,59</w:t>
            </w:r>
          </w:p>
        </w:tc>
        <w:tc>
          <w:tcPr>
            <w:tcW w:type="dxa" w:w="1461"/>
          </w:tcPr>
          <w:p>
            <w:r/>
            <w:r>
              <w:rPr>
                <w:rFonts w:ascii="Times New Roman" w:hAnsi="Times New Roman"/>
                <w:sz w:val="22"/>
              </w:rPr>
              <w:t>79 658</w:t>
            </w:r>
          </w:p>
        </w:tc>
        <w:tc>
          <w:tcPr>
            <w:tcW w:type="dxa" w:w="1461"/>
          </w:tcPr>
          <w:p>
            <w:r/>
            <w:r>
              <w:rPr>
                <w:rFonts w:ascii="Times New Roman" w:hAnsi="Times New Roman"/>
                <w:sz w:val="22"/>
              </w:rPr>
              <w:t>1 199</w:t>
            </w:r>
          </w:p>
        </w:tc>
        <w:tc>
          <w:tcPr>
            <w:tcW w:type="dxa" w:w="1461"/>
          </w:tcPr>
          <w:p>
            <w:r/>
            <w:r>
              <w:rPr>
                <w:rFonts w:ascii="Times New Roman" w:hAnsi="Times New Roman"/>
                <w:sz w:val="22"/>
              </w:rPr>
              <w:t>Middels verdi, svært variabelt</w:t>
            </w:r>
          </w:p>
        </w:tc>
      </w:tr>
      <w:tr>
        <w:tc>
          <w:tcPr>
            <w:tcW w:type="dxa" w:w="1461"/>
          </w:tcPr>
          <w:p>
            <w:r/>
            <w:r>
              <w:rPr>
                <w:rFonts w:ascii="Times New Roman" w:hAnsi="Times New Roman"/>
                <w:sz w:val="22"/>
              </w:rPr>
              <w:t>3 (K_OVERFØR)</w:t>
            </w:r>
          </w:p>
        </w:tc>
        <w:tc>
          <w:tcPr>
            <w:tcW w:type="dxa" w:w="1461"/>
          </w:tcPr>
          <w:p>
            <w:r/>
            <w:r>
              <w:rPr>
                <w:rFonts w:ascii="Times New Roman" w:hAnsi="Times New Roman"/>
                <w:sz w:val="22"/>
              </w:rPr>
              <w:t>281</w:t>
            </w:r>
          </w:p>
        </w:tc>
        <w:tc>
          <w:tcPr>
            <w:tcW w:type="dxa" w:w="1461"/>
          </w:tcPr>
          <w:p>
            <w:r/>
            <w:r>
              <w:rPr>
                <w:rFonts w:ascii="Times New Roman" w:hAnsi="Times New Roman"/>
                <w:sz w:val="22"/>
              </w:rPr>
              <w:t>0,47</w:t>
            </w:r>
          </w:p>
        </w:tc>
        <w:tc>
          <w:tcPr>
            <w:tcW w:type="dxa" w:w="1461"/>
          </w:tcPr>
          <w:p>
            <w:r/>
            <w:r>
              <w:rPr>
                <w:rFonts w:ascii="Times New Roman" w:hAnsi="Times New Roman"/>
                <w:sz w:val="22"/>
              </w:rPr>
              <w:t>167 267</w:t>
            </w:r>
          </w:p>
        </w:tc>
        <w:tc>
          <w:tcPr>
            <w:tcW w:type="dxa" w:w="1461"/>
          </w:tcPr>
          <w:p>
            <w:r/>
            <w:r>
              <w:rPr>
                <w:rFonts w:ascii="Times New Roman" w:hAnsi="Times New Roman"/>
                <w:sz w:val="22"/>
              </w:rPr>
              <w:t>7 005</w:t>
            </w:r>
          </w:p>
        </w:tc>
        <w:tc>
          <w:tcPr>
            <w:tcW w:type="dxa" w:w="1461"/>
          </w:tcPr>
          <w:p>
            <w:r/>
            <w:r>
              <w:rPr>
                <w:rFonts w:ascii="Times New Roman" w:hAnsi="Times New Roman"/>
                <w:sz w:val="22"/>
              </w:rPr>
              <w:t>Høy verdi, stabilt, høyt avvik</w:t>
            </w:r>
          </w:p>
        </w:tc>
      </w:tr>
    </w:tbl>
    <w:p>
      <w:r>
        <w:rPr>
          <w:rFonts w:ascii="Times New Roman" w:hAnsi="Times New Roman"/>
          <w:i/>
          <w:sz w:val="20"/>
        </w:rPr>
        <w:t>Tabell 12. K-means klyngeprofiler: gjennomsnittsverdier per klynge for de tre featurene (K = 3, n = 487).</w:t>
      </w:r>
    </w:p>
    <w:p>
      <w:pPr>
        <w:spacing w:line="360" w:lineRule="auto"/>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10 i kapittel 6.</w:t>
      </w:r>
    </w:p>
    <w:p>
      <w:pPr>
        <w:pStyle w:val="Overskrift2"/>
      </w:pPr>
      <w:r>
        <w:rPr>
          <w:rFonts w:ascii="Times New Roman" w:hAnsi="Times New Roman"/>
          <w:color w:val="000000"/>
          <w:sz w:val="32"/>
        </w:rPr>
        <w:t>7.5 Regelmotor og HVFS-anbefalinger</w:t>
      </w:r>
    </w:p>
    <w:p>
      <w:pPr>
        <w:spacing w:line="360" w:lineRule="auto"/>
      </w:pPr>
      <w:r>
        <w:rPr>
          <w:rFonts w:ascii="Times New Roman" w:hAnsi="Times New Roman" w:cs="Times New Roman"/>
          <w:sz w:val="24"/>
        </w:rPr>
        <w:t>Regelmotoren produserte en anbefaling for samtlige 709 artikler. Fordelingen er presentert i Tabell 13.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sz w:val="22"/>
              </w:rPr>
              <w:t>OVERFØR_HVFS</w:t>
            </w:r>
          </w:p>
        </w:tc>
        <w:tc>
          <w:tcPr>
            <w:tcW w:type="dxa" w:w="2192"/>
          </w:tcPr>
          <w:p>
            <w:r/>
            <w:r>
              <w:rPr>
                <w:rFonts w:ascii="Times New Roman" w:hAnsi="Times New Roman"/>
                <w:sz w:val="22"/>
              </w:rPr>
              <w:t>145</w:t>
            </w:r>
          </w:p>
        </w:tc>
        <w:tc>
          <w:tcPr>
            <w:tcW w:type="dxa" w:w="2192"/>
          </w:tcPr>
          <w:p>
            <w:r/>
            <w:r>
              <w:rPr>
                <w:rFonts w:ascii="Times New Roman" w:hAnsi="Times New Roman"/>
                <w:sz w:val="22"/>
              </w:rPr>
              <w:t>20,5 %</w:t>
            </w:r>
          </w:p>
        </w:tc>
        <w:tc>
          <w:tcPr>
            <w:tcW w:type="dxa" w:w="2192"/>
          </w:tcPr>
          <w:p>
            <w:r/>
            <w:r>
              <w:rPr>
                <w:rFonts w:ascii="Times New Roman" w:hAnsi="Times New Roman"/>
                <w:sz w:val="22"/>
              </w:rPr>
              <w:t>Anbefales overført til HVFS</w:t>
            </w:r>
          </w:p>
        </w:tc>
      </w:tr>
      <w:tr>
        <w:tc>
          <w:tcPr>
            <w:tcW w:type="dxa" w:w="2192"/>
          </w:tcPr>
          <w:p>
            <w:r/>
            <w:r>
              <w:rPr>
                <w:rFonts w:ascii="Times New Roman" w:hAnsi="Times New Roman"/>
                <w:sz w:val="22"/>
              </w:rPr>
              <w:t>BEHOLD_LOKALT</w:t>
            </w:r>
          </w:p>
        </w:tc>
        <w:tc>
          <w:tcPr>
            <w:tcW w:type="dxa" w:w="2192"/>
          </w:tcPr>
          <w:p>
            <w:r/>
            <w:r>
              <w:rPr>
                <w:rFonts w:ascii="Times New Roman" w:hAnsi="Times New Roman"/>
                <w:sz w:val="22"/>
              </w:rPr>
              <w:t>257</w:t>
            </w:r>
          </w:p>
        </w:tc>
        <w:tc>
          <w:tcPr>
            <w:tcW w:type="dxa" w:w="2192"/>
          </w:tcPr>
          <w:p>
            <w:r/>
            <w:r>
              <w:rPr>
                <w:rFonts w:ascii="Times New Roman" w:hAnsi="Times New Roman"/>
                <w:sz w:val="22"/>
              </w:rPr>
              <w:t>36,2 %</w:t>
            </w:r>
          </w:p>
        </w:tc>
        <w:tc>
          <w:tcPr>
            <w:tcW w:type="dxa" w:w="2192"/>
          </w:tcPr>
          <w:p>
            <w:r/>
            <w:r>
              <w:rPr>
                <w:rFonts w:ascii="Times New Roman" w:hAnsi="Times New Roman"/>
                <w:sz w:val="22"/>
              </w:rPr>
              <w:t>Beholdes lokalt (Z-klasse eller CY)</w:t>
            </w:r>
          </w:p>
        </w:tc>
      </w:tr>
      <w:tr>
        <w:tc>
          <w:tcPr>
            <w:tcW w:type="dxa" w:w="2192"/>
          </w:tcPr>
          <w:p>
            <w:r/>
            <w:r>
              <w:rPr>
                <w:rFonts w:ascii="Times New Roman" w:hAnsi="Times New Roman"/>
                <w:sz w:val="22"/>
              </w:rPr>
              <w:t>VURDER_NÆRMERE</w:t>
            </w:r>
          </w:p>
        </w:tc>
        <w:tc>
          <w:tcPr>
            <w:tcW w:type="dxa" w:w="2192"/>
          </w:tcPr>
          <w:p>
            <w:r/>
            <w:r>
              <w:rPr>
                <w:rFonts w:ascii="Times New Roman" w:hAnsi="Times New Roman"/>
                <w:sz w:val="22"/>
              </w:rPr>
              <w:t>284</w:t>
            </w:r>
          </w:p>
        </w:tc>
        <w:tc>
          <w:tcPr>
            <w:tcW w:type="dxa" w:w="2192"/>
          </w:tcPr>
          <w:p>
            <w:r/>
            <w:r>
              <w:rPr>
                <w:rFonts w:ascii="Times New Roman" w:hAnsi="Times New Roman"/>
                <w:sz w:val="22"/>
              </w:rPr>
              <w:t>40,1 %</w:t>
            </w:r>
          </w:p>
        </w:tc>
        <w:tc>
          <w:tcPr>
            <w:tcW w:type="dxa" w:w="2192"/>
          </w:tcPr>
          <w:p>
            <w:r/>
            <w:r>
              <w:rPr>
                <w:rFonts w:ascii="Times New Roman" w:hAnsi="Times New Roman"/>
                <w:sz w:val="22"/>
              </w:rPr>
              <w:t>Krever manuell vurdering</w:t>
            </w:r>
          </w:p>
        </w:tc>
      </w:tr>
      <w:tr>
        <w:tc>
          <w:tcPr>
            <w:tcW w:type="dxa" w:w="2192"/>
          </w:tcPr>
          <w:p>
            <w:r/>
            <w:r>
              <w:rPr>
                <w:rFonts w:ascii="Times New Roman" w:hAnsi="Times New Roman"/>
                <w:sz w:val="22"/>
              </w:rPr>
              <w:t>MANGLER_DATA</w:t>
            </w:r>
          </w:p>
        </w:tc>
        <w:tc>
          <w:tcPr>
            <w:tcW w:type="dxa" w:w="2192"/>
          </w:tcPr>
          <w:p>
            <w:r/>
            <w:r>
              <w:rPr>
                <w:rFonts w:ascii="Times New Roman" w:hAnsi="Times New Roman"/>
                <w:sz w:val="22"/>
              </w:rPr>
              <w:t>23</w:t>
            </w:r>
          </w:p>
        </w:tc>
        <w:tc>
          <w:tcPr>
            <w:tcW w:type="dxa" w:w="2192"/>
          </w:tcPr>
          <w:p>
            <w:r/>
            <w:r>
              <w:rPr>
                <w:rFonts w:ascii="Times New Roman" w:hAnsi="Times New Roman"/>
                <w:sz w:val="22"/>
              </w:rPr>
              <w:t>3,2 %</w:t>
            </w:r>
          </w:p>
        </w:tc>
        <w:tc>
          <w:tcPr>
            <w:tcW w:type="dxa" w:w="2192"/>
          </w:tcPr>
          <w:p>
            <w:r/>
            <w:r>
              <w:rPr>
                <w:rFonts w:ascii="Times New Roman" w:hAnsi="Times New Roman"/>
                <w:sz w:val="22"/>
              </w:rPr>
              <w:t>Utilstrekkelig data for klassifisering</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13. HVFS-anbefalinger fra regelmotor: fordeling per kategori (n = 709, LGORT 3001).</w:t>
      </w:r>
    </w:p>
    <w:p>
      <w:pPr>
        <w:spacing w:line="360" w:lineRule="auto"/>
      </w:pPr>
      <w:r>
        <w:rPr>
          <w:rFonts w:ascii="Times New Roman" w:hAnsi="Times New Roman" w:cs="Times New Roman"/>
          <w:sz w:val="24"/>
        </w:rPr>
        <w:t>145 artikler (20,5 %) anbefales overført til HVFS. Denne gruppen består av artikler som tilfredsstiller ett eller flere av de positive overføringsskriteriene: R3 fanget 91 artikler (A/B + X + FOR\_MANGE\_ORDRER), R4 fanget 26 artikler (A/B + X + K\_OVERFØR), og R5 fanget 28 artikler (A/B + Y + K\_OVERFØR). Av de 145 overførte artiklene har 117 status FOR\_MANGE\_ORDRER og inngår dermed i besparelsesberegningen i avsnitt 7.6. De resterende 28 artiklene (R5) inngår ikke i besparelsesgrunnlaget fordi FOR\_MANGE\_ORDRER-flagget ikke er aktivert, men de anbefales overført fordi kombinasjonen av ABC/XYZ-profil (A/B + Y) og K\_OVERFØR-klyngetilhørighet oppfyller APL-egnethetskriteriet for sentralisering, jf. kap. 5.5.</w:t>
      </w:r>
    </w:p>
    <w:p>
      <w:pPr>
        <w:spacing w:line="360" w:lineRule="auto"/>
      </w:pPr>
      <w:r>
        <w:rPr>
          <w:rFonts w:ascii="Times New Roman" w:hAnsi="Times New Roman" w:cs="Times New Roman"/>
          <w:sz w:val="24"/>
        </w:rPr>
        <w:t>257 artikler (36,2 %) beholdes lokalt, primært grunnet Z-klassifisering (R1: 144 artikler) eller CY-profil (R2: 113 artikler). Z-override (R1) er den enkeltregelen som fanger flest artikler, noe som bekrefter at uforutsigbart forbruksmønster er den vanligste kontraindikasjonen mot sentralisering i dette sortimentet. 284 artikler (40,1 %) sendes til manuell vurdering — artikler der de kvantitative signalene fra ABC, XYZ, EOQ og K-means ikke er tilstrekkelig entydige til å generere en automatisert anbefaling. 23 artikler (3,2 %) mangler tilstrekkelig data for klassifisering. Fordelingen er visualisert i Figur 12 i kapittel 6.</w:t>
      </w:r>
    </w:p>
    <w:p>
      <w:pPr>
        <w:pStyle w:val="Overskrift2"/>
      </w:pPr>
      <w:r>
        <w:rPr>
          <w:rFonts w:ascii="Times New Roman" w:hAnsi="Times New Roman"/>
          <w:color w:val="000000"/>
          <w:sz w:val="32"/>
        </w:rPr>
        <w:t>7.6 Besparelse og sensitivitet</w:t>
      </w:r>
    </w:p>
    <w:p>
      <w:pPr>
        <w:spacing w:line="360" w:lineRule="auto"/>
      </w:pPr>
      <w:r>
        <w:rPr>
          <w:rFonts w:ascii="Times New Roman" w:hAnsi="Times New Roman" w:cs="Times New Roman"/>
          <w:sz w:val="24"/>
        </w:rPr>
        <w:t xml:space="preserve">Besparelsesestimatet er beregnet for de 117 artiklene som oppfyller begge kriteriene OVERFØR\_HVFS og FOR\_MANGE\_ORDRER. Formelen er </w:t>
      </w:r>
      <m:oMath>
        <m:r>
          <m:t>B=</m:t>
        </m:r>
        <m:nary>
          <m:naryPr>
            <m:chr m:val="∑"/>
            <m:limLoc m:val="subSup"/>
            <m:grow m:val="1"/>
            <m:subHide m:val="off"/>
            <m:supHide m:val="on"/>
          </m:naryPr>
          <m:sub>
            <m:r>
              <m:t>i</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14 viser resultatene for de tre scenariene.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sz w:val="22"/>
              </w:rPr>
              <w:t>Worst case</w:t>
            </w:r>
          </w:p>
        </w:tc>
        <w:tc>
          <w:tcPr>
            <w:tcW w:type="dxa" w:w="2923"/>
          </w:tcPr>
          <w:p>
            <w:r/>
            <w:r>
              <w:rPr>
                <w:rFonts w:ascii="Times New Roman" w:hAnsi="Times New Roman"/>
                <w:sz w:val="22"/>
              </w:rPr>
              <w:t>50 %</w:t>
            </w:r>
          </w:p>
        </w:tc>
        <w:tc>
          <w:tcPr>
            <w:tcW w:type="dxa" w:w="2923"/>
          </w:tcPr>
          <w:p>
            <w:r/>
            <w:r>
              <w:rPr>
                <w:rFonts w:ascii="Times New Roman" w:hAnsi="Times New Roman"/>
                <w:sz w:val="22"/>
              </w:rPr>
              <w:t>301 010</w:t>
            </w:r>
          </w:p>
        </w:tc>
      </w:tr>
      <w:tr>
        <w:tc>
          <w:tcPr>
            <w:tcW w:type="dxa" w:w="2923"/>
          </w:tcPr>
          <w:p>
            <w:r/>
            <w:r>
              <w:rPr>
                <w:rFonts w:ascii="Times New Roman" w:hAnsi="Times New Roman"/>
                <w:sz w:val="22"/>
              </w:rPr>
              <w:t>Base case</w:t>
            </w:r>
          </w:p>
        </w:tc>
        <w:tc>
          <w:tcPr>
            <w:tcW w:type="dxa" w:w="2923"/>
          </w:tcPr>
          <w:p>
            <w:r/>
            <w:r>
              <w:rPr>
                <w:rFonts w:ascii="Times New Roman" w:hAnsi="Times New Roman"/>
                <w:sz w:val="22"/>
              </w:rPr>
              <w:t>75 %</w:t>
            </w:r>
          </w:p>
        </w:tc>
        <w:tc>
          <w:tcPr>
            <w:tcW w:type="dxa" w:w="2923"/>
          </w:tcPr>
          <w:p>
            <w:r/>
            <w:r>
              <w:rPr>
                <w:rFonts w:ascii="Times New Roman" w:hAnsi="Times New Roman"/>
                <w:sz w:val="22"/>
              </w:rPr>
              <w:t>451 515</w:t>
            </w:r>
          </w:p>
        </w:tc>
      </w:tr>
      <w:tr>
        <w:tc>
          <w:tcPr>
            <w:tcW w:type="dxa" w:w="2923"/>
          </w:tcPr>
          <w:p>
            <w:r/>
            <w:r>
              <w:rPr>
                <w:rFonts w:ascii="Times New Roman" w:hAnsi="Times New Roman"/>
                <w:sz w:val="22"/>
              </w:rPr>
              <w:t>Best case</w:t>
            </w:r>
          </w:p>
        </w:tc>
        <w:tc>
          <w:tcPr>
            <w:tcW w:type="dxa" w:w="2923"/>
          </w:tcPr>
          <w:p>
            <w:r/>
            <w:r>
              <w:rPr>
                <w:rFonts w:ascii="Times New Roman" w:hAnsi="Times New Roman"/>
                <w:sz w:val="22"/>
              </w:rPr>
              <w:t>100 %</w:t>
            </w:r>
          </w:p>
        </w:tc>
        <w:tc>
          <w:tcPr>
            <w:tcW w:type="dxa" w:w="2923"/>
          </w:tcPr>
          <w:p>
            <w:r/>
            <w:r>
              <w:rPr>
                <w:rFonts w:ascii="Times New Roman" w:hAnsi="Times New Roman"/>
                <w:sz w:val="22"/>
              </w:rPr>
              <w:t>602 020</w:t>
            </w:r>
          </w:p>
        </w:tc>
      </w:tr>
    </w:tbl>
    <w:p>
      <w:r>
        <w:rPr>
          <w:rFonts w:ascii="Times New Roman" w:hAnsi="Times New Roman"/>
          <w:i/>
          <w:sz w:val="20"/>
        </w:rPr>
        <w:t>Tabell 14. Besparelsesestimater for tre scenarier: 117 artikler (OVERFØR\_HVFS ∩ FOR\_MANGE\_ORDRER), S = 750 NOK.</w:t>
      </w:r>
    </w:p>
    <w:p>
      <w:pPr>
        <w:spacing w:line="360" w:lineRule="auto"/>
      </w:pPr>
      <w:r>
        <w:rPr>
          <w:rFonts w:ascii="Times New Roman" w:hAnsi="Times New Roman" w:cs="Times New Roman"/>
          <w:sz w:val="24"/>
        </w:rPr>
        <w:t>Base case-besparelsen er kr 451 515 per år (</w:t>
      </w:r>
      <m:oMath>
        <m:r>
          <m:t>g=75</m:t>
        </m:r>
      </m:oMath>
      <w:r>
        <w:rPr>
          <w:rFonts w:ascii="Times New Roman" w:hAnsi="Times New Roman" w:cs="Times New Roman"/>
          <w:sz w:val="24"/>
        </w:rPr>
        <w:t xml:space="preserve">) av et samlet teoretisk </w:t>
      </w:r>
      <m:oMath>
        <m:r>
          <m:t>∑ΔT</m:t>
        </m:r>
        <m:sSub>
          <m:e>
            <m:r>
              <m:t>C</m:t>
            </m:r>
          </m:e>
          <m:sub>
            <m:r>
              <m:t>i</m:t>
            </m:r>
          </m:sub>
        </m:sSub>
      </m:oMath>
      <w:r>
        <w:rPr>
          <w:rFonts w:ascii="Times New Roman" w:hAnsi="Times New Roman" w:cs="Times New Roman"/>
          <w:sz w:val="24"/>
        </w:rPr>
        <w:t xml:space="preserve"> på kr 602 020. Gevinstrealiseringsgraden </w:t>
      </w:r>
      <m:oMath>
        <m:r>
          <m:t>g</m:t>
        </m:r>
      </m:oMath>
      <w:r>
        <w:rPr>
          <w:rFonts w:ascii="Times New Roman" w:hAnsi="Times New Roman" w:cs="Times New Roman"/>
          <w:sz w:val="24"/>
        </w:rPr>
        <w:t xml:space="preserve"> reflekterer at implementeringsfriksjon og SAP-parameterjusteringer gjør det urealistisk å oppnå 100 % av det teoretiske potensialet.</w:t>
      </w:r>
    </w:p>
    <w:p>
      <w:pPr>
        <w:spacing w:line="360" w:lineRule="auto"/>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Besparelsesestimatet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xml:space="preserve">) varierer mellom kr 176 374 og kr 763 903 per år over de 27 scenariene, der kandidatsettet (OVERFØR\_HVFS ∩ FOR\_MANGE\_ORDRER) reberegnes for hvert scenario.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pPr>
      <w:r>
        <w:rPr>
          <w:rFonts w:ascii="Times New Roman" w:hAnsi="Times New Roman" w:cs="Times New Roman"/>
          <w:sz w:val="24"/>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pPr>
        <w:spacing w:line="360" w:lineRule="auto"/>
      </w:pPr>
      <w:r>
        <w:rPr>
          <w:rFonts w:ascii="Times New Roman" w:hAnsi="Times New Roman" w:cs="Times New Roman"/>
          <w:sz w:val="24"/>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pPr>
        <w:spacing w:line="360" w:lineRule="auto"/>
      </w:pPr>
      <w:r>
        <w:rPr>
          <w:rFonts w:ascii="Times New Roman" w:hAnsi="Times New Roman" w:cs="Times New Roman"/>
          <w:sz w:val="24"/>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pPr>
        <w:spacing w:line="360" w:lineRule="auto"/>
      </w:pPr>
      <w:r>
        <w:rPr>
          <w:rFonts w:ascii="Times New Roman" w:hAnsi="Times New Roman" w:cs="Times New Roman"/>
          <w:sz w:val="24"/>
        </w:rPr>
        <w:t>Base case-besparelsen (kr 451 515/år) er i tråd med Moons et al. (2019), som rapporterer moderate, men operasjonelt vesentlige gevinster ved optimalisert bestillingspraksis i europeiske sykehus.</w:t>
      </w:r>
    </w:p>
    <w:p>
      <w:pPr>
        <w:spacing w:line="360" w:lineRule="auto"/>
      </w:pPr>
      <w:r>
        <w:rPr>
          <w:rFonts w:ascii="Times New Roman" w:hAnsi="Times New Roman" w:cs="Times New Roman"/>
          <w:sz w:val="24"/>
        </w:rPr>
        <w:t>Tabell 15 oppsummerer de sentrale funnene fra denne studien sett opp mot forventninger fra litteraturen.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A-klasse andel</w:t>
            </w:r>
          </w:p>
        </w:tc>
        <w:tc>
          <w:tcPr>
            <w:tcW w:type="dxa" w:w="1754"/>
          </w:tcPr>
          <w:p>
            <w:r/>
            <w:r>
              <w:rPr>
                <w:rFonts w:ascii="Times New Roman" w:hAnsi="Times New Roman"/>
                <w:sz w:val="22"/>
              </w:rPr>
              <w:t>25,7 % av artikler = 80 % av verdi</w:t>
            </w:r>
          </w:p>
        </w:tc>
        <w:tc>
          <w:tcPr>
            <w:tcW w:type="dxa" w:w="1754"/>
          </w:tcPr>
          <w:p>
            <w:r/>
            <w:r>
              <w:rPr>
                <w:rFonts w:ascii="Times New Roman" w:hAnsi="Times New Roman"/>
                <w:sz w:val="22"/>
              </w:rPr>
              <w:t>Typisk 20–25 % etter Pareto</w:t>
            </w:r>
          </w:p>
        </w:tc>
        <w:tc>
          <w:tcPr>
            <w:tcW w:type="dxa" w:w="1754"/>
          </w:tcPr>
          <w:p>
            <w:r/>
            <w:r>
              <w:rPr>
                <w:rFonts w:ascii="Times New Roman" w:hAnsi="Times New Roman"/>
                <w:sz w:val="22"/>
              </w:rPr>
              <w:t>Ja</w:t>
            </w:r>
          </w:p>
        </w:tc>
        <w:tc>
          <w:tcPr>
            <w:tcW w:type="dxa" w:w="1754"/>
          </w:tcPr>
          <w:p>
            <w:r/>
            <w:r>
              <w:rPr>
                <w:rFonts w:ascii="Times New Roman" w:hAnsi="Times New Roman"/>
                <w:sz w:val="22"/>
              </w:rPr>
              <w:t>Gupta et al. (2007)</w:t>
            </w:r>
          </w:p>
        </w:tc>
      </w:tr>
      <w:tr>
        <w:tc>
          <w:tcPr>
            <w:tcW w:type="dxa" w:w="1754"/>
          </w:tcPr>
          <w:p>
            <w:r/>
            <w:r>
              <w:rPr>
                <w:rFonts w:ascii="Times New Roman" w:hAnsi="Times New Roman"/>
                <w:sz w:val="22"/>
              </w:rPr>
              <w:t>XYZ-samsvar med SAP ZZXYZ</w:t>
            </w:r>
          </w:p>
        </w:tc>
        <w:tc>
          <w:tcPr>
            <w:tcW w:type="dxa" w:w="1754"/>
          </w:tcPr>
          <w:p>
            <w:r/>
            <w:r>
              <w:rPr>
                <w:rFonts w:ascii="Times New Roman" w:hAnsi="Times New Roman"/>
                <w:sz w:val="22"/>
              </w:rPr>
              <w:t>33 % (125/375)</w:t>
            </w:r>
          </w:p>
        </w:tc>
        <w:tc>
          <w:tcPr>
            <w:tcW w:type="dxa" w:w="1754"/>
          </w:tcPr>
          <w:p>
            <w:r/>
            <w:r>
              <w:rPr>
                <w:rFonts w:ascii="Times New Roman" w:hAnsi="Times New Roman"/>
                <w:sz w:val="22"/>
              </w:rPr>
              <w:t>Statisk klassifisering divergerer over tid</w:t>
            </w:r>
          </w:p>
        </w:tc>
        <w:tc>
          <w:tcPr>
            <w:tcW w:type="dxa" w:w="1754"/>
          </w:tcPr>
          <w:p>
            <w:r/>
            <w:r>
              <w:rPr>
                <w:rFonts w:ascii="Times New Roman" w:hAnsi="Times New Roman"/>
                <w:sz w:val="22"/>
              </w:rPr>
              <w:t>Ja</w:t>
            </w:r>
          </w:p>
        </w:tc>
        <w:tc>
          <w:tcPr>
            <w:tcW w:type="dxa" w:w="1754"/>
          </w:tcPr>
          <w:p>
            <w:r/>
            <w:r>
              <w:rPr>
                <w:rFonts w:ascii="Times New Roman" w:hAnsi="Times New Roman"/>
                <w:sz w:val="22"/>
              </w:rPr>
              <w:t>van Kampen et al. (2012)</w:t>
            </w:r>
          </w:p>
        </w:tc>
      </w:tr>
      <w:tr>
        <w:tc>
          <w:tcPr>
            <w:tcW w:type="dxa" w:w="1754"/>
          </w:tcPr>
          <w:p>
            <w:r/>
            <w:r>
              <w:rPr>
                <w:rFonts w:ascii="Times New Roman" w:hAnsi="Times New Roman"/>
                <w:sz w:val="22"/>
              </w:rPr>
              <w:t>X-artikler andel</w:t>
            </w:r>
          </w:p>
        </w:tc>
        <w:tc>
          <w:tcPr>
            <w:tcW w:type="dxa" w:w="1754"/>
          </w:tcPr>
          <w:p>
            <w:r/>
            <w:r>
              <w:rPr>
                <w:rFonts w:ascii="Times New Roman" w:hAnsi="Times New Roman"/>
                <w:sz w:val="22"/>
              </w:rPr>
              <w:t>50,9 % (350 av 687)</w:t>
            </w:r>
          </w:p>
        </w:tc>
        <w:tc>
          <w:tcPr>
            <w:tcW w:type="dxa" w:w="1754"/>
          </w:tcPr>
          <w:p>
            <w:r/>
            <w:r>
              <w:rPr>
                <w:rFonts w:ascii="Times New Roman" w:hAnsi="Times New Roman"/>
                <w:sz w:val="22"/>
              </w:rPr>
              <w:t>Stabile artikler utgjør gjerne flertallet</w:t>
            </w:r>
          </w:p>
        </w:tc>
        <w:tc>
          <w:tcPr>
            <w:tcW w:type="dxa" w:w="1754"/>
          </w:tcPr>
          <w:p>
            <w:r/>
            <w:r>
              <w:rPr>
                <w:rFonts w:ascii="Times New Roman" w:hAnsi="Times New Roman"/>
                <w:sz w:val="22"/>
              </w:rPr>
              <w:t>Ja</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K-means silhouette</w:t>
            </w:r>
          </w:p>
        </w:tc>
        <w:tc>
          <w:tcPr>
            <w:tcW w:type="dxa" w:w="1754"/>
          </w:tcPr>
          <w:p>
            <w:r/>
            <w:r>
              <w:rPr>
                <w:rFonts w:ascii="Times New Roman" w:hAnsi="Times New Roman"/>
                <w:sz w:val="22"/>
              </w:rPr>
              <w:t>0,383 (tren) / 0,368 (test)</w:t>
            </w:r>
          </w:p>
        </w:tc>
        <w:tc>
          <w:tcPr>
            <w:tcW w:type="dxa" w:w="1754"/>
          </w:tcPr>
          <w:p>
            <w:r/>
            <w:r>
              <w:rPr>
                <w:rFonts w:ascii="Times New Roman" w:hAnsi="Times New Roman"/>
                <w:sz w:val="22"/>
              </w:rPr>
              <w:t>&gt; 0,3 akseptabelt for eksplorativ analyse</w:t>
            </w:r>
          </w:p>
        </w:tc>
        <w:tc>
          <w:tcPr>
            <w:tcW w:type="dxa" w:w="1754"/>
          </w:tcPr>
          <w:p>
            <w:r/>
            <w:r>
              <w:rPr>
                <w:rFonts w:ascii="Times New Roman" w:hAnsi="Times New Roman"/>
                <w:sz w:val="22"/>
              </w:rPr>
              <w:t>Ja</w:t>
            </w:r>
          </w:p>
        </w:tc>
        <w:tc>
          <w:tcPr>
            <w:tcW w:type="dxa" w:w="1754"/>
          </w:tcPr>
          <w:p>
            <w:r/>
            <w:r>
              <w:rPr>
                <w:rFonts w:ascii="Times New Roman" w:hAnsi="Times New Roman"/>
                <w:sz w:val="22"/>
              </w:rPr>
              <w:t>Ketkar &amp; Vaidya (2014)</w:t>
            </w:r>
          </w:p>
        </w:tc>
      </w:tr>
      <w:tr>
        <w:tc>
          <w:tcPr>
            <w:tcW w:type="dxa" w:w="1754"/>
          </w:tcPr>
          <w:p>
            <w:r/>
            <w:r>
              <w:rPr>
                <w:rFonts w:ascii="Times New Roman" w:hAnsi="Times New Roman"/>
                <w:sz w:val="22"/>
              </w:rPr>
              <w:t>Besparelse (base case)</w:t>
            </w:r>
          </w:p>
        </w:tc>
        <w:tc>
          <w:tcPr>
            <w:tcW w:type="dxa" w:w="1754"/>
          </w:tcPr>
          <w:p>
            <w:r/>
            <w:r>
              <w:rPr>
                <w:rFonts w:ascii="Times New Roman" w:hAnsi="Times New Roman"/>
                <w:sz w:val="22"/>
              </w:rPr>
              <w:t>kr 451 515/år (g = 75 %)</w:t>
            </w:r>
          </w:p>
        </w:tc>
        <w:tc>
          <w:tcPr>
            <w:tcW w:type="dxa" w:w="1754"/>
          </w:tcPr>
          <w:p>
            <w:r/>
            <w:r>
              <w:rPr>
                <w:rFonts w:ascii="Times New Roman" w:hAnsi="Times New Roman"/>
                <w:sz w:val="22"/>
              </w:rPr>
              <w:t>Moderate gevinster ved ordreoptimalisering</w:t>
            </w:r>
          </w:p>
        </w:tc>
        <w:tc>
          <w:tcPr>
            <w:tcW w:type="dxa" w:w="1754"/>
          </w:tcPr>
          <w:p>
            <w:r/>
            <w:r>
              <w:rPr>
                <w:rFonts w:ascii="Times New Roman" w:hAnsi="Times New Roman"/>
                <w:sz w:val="22"/>
              </w:rPr>
              <w:t>Ja</w:t>
            </w:r>
          </w:p>
        </w:tc>
        <w:tc>
          <w:tcPr>
            <w:tcW w:type="dxa" w:w="1754"/>
          </w:tcPr>
          <w:p>
            <w:r/>
            <w:r>
              <w:rPr>
                <w:rFonts w:ascii="Times New Roman" w:hAnsi="Times New Roman"/>
                <w:sz w:val="22"/>
              </w:rPr>
              <w:t>Moons et al. (2019)</w:t>
            </w:r>
          </w:p>
        </w:tc>
      </w:tr>
      <w:tr>
        <w:tc>
          <w:tcPr>
            <w:tcW w:type="dxa" w:w="1754"/>
          </w:tcPr>
          <w:p>
            <w:r/>
            <w:r>
              <w:rPr>
                <w:rFonts w:ascii="Times New Roman" w:hAnsi="Times New Roman"/>
                <w:sz w:val="22"/>
              </w:rPr>
              <w:t>FOR_MANGE_ORDRER</w:t>
            </w:r>
          </w:p>
        </w:tc>
        <w:tc>
          <w:tcPr>
            <w:tcW w:type="dxa" w:w="1754"/>
          </w:tcPr>
          <w:p>
            <w:r/>
            <w:r>
              <w:rPr>
                <w:rFonts w:ascii="Times New Roman" w:hAnsi="Times New Roman"/>
                <w:sz w:val="22"/>
              </w:rPr>
              <w:t>73,1 % (356/487)</w:t>
            </w:r>
          </w:p>
        </w:tc>
        <w:tc>
          <w:tcPr>
            <w:tcW w:type="dxa" w:w="1754"/>
          </w:tcPr>
          <w:p>
            <w:r/>
            <w:r>
              <w:rPr>
                <w:rFonts w:ascii="Times New Roman" w:hAnsi="Times New Roman"/>
                <w:sz w:val="22"/>
              </w:rPr>
              <w:t>Suboptimal bestilling utbredt i sykehus</w:t>
            </w:r>
          </w:p>
        </w:tc>
        <w:tc>
          <w:tcPr>
            <w:tcW w:type="dxa" w:w="1754"/>
          </w:tcPr>
          <w:p>
            <w:r/>
            <w:r>
              <w:rPr>
                <w:rFonts w:ascii="Times New Roman" w:hAnsi="Times New Roman"/>
                <w:sz w:val="22"/>
              </w:rPr>
              <w:t>Ja</w:t>
            </w:r>
          </w:p>
        </w:tc>
        <w:tc>
          <w:tcPr>
            <w:tcW w:type="dxa" w:w="1754"/>
          </w:tcPr>
          <w:p>
            <w:r/>
            <w:r>
              <w:rPr>
                <w:rFonts w:ascii="Times New Roman" w:hAnsi="Times New Roman"/>
                <w:sz w:val="22"/>
              </w:rPr>
              <w:t>Volland et al. (2017)</w:t>
            </w:r>
          </w:p>
        </w:tc>
      </w:tr>
    </w:tbl>
    <w:p>
      <w:r>
        <w:rPr>
          <w:rFonts w:ascii="Times New Roman" w:hAnsi="Times New Roman"/>
          <w:i/>
          <w:sz w:val="20"/>
        </w:rPr>
        <w:t>Tabell 15. Sammenstilling av egne resultater mot funn i eksisterende litteratur.</w:t>
      </w:r>
    </w:p>
    <w:p>
      <w:pPr>
        <w:pStyle w:val="Overskrift2"/>
      </w:pPr>
      <w:r>
        <w:rPr>
          <w:rFonts w:ascii="Times New Roman" w:hAnsi="Times New Roman"/>
          <w:color w:val="000000"/>
          <w:sz w:val="32"/>
        </w:rPr>
        <w:t>8.2 Metodekritikk</w:t>
      </w:r>
    </w:p>
    <w:p>
      <w:pPr>
        <w:spacing w:line="360" w:lineRule="auto"/>
      </w:pPr>
      <w:r>
        <w:rPr>
          <w:rFonts w:ascii="Times New Roman" w:hAnsi="Times New Roman" w:cs="Times New Roman"/>
          <w:sz w:val="24"/>
        </w:rPr>
        <w:t>SAP S/4HANA-data fra SE16H er operasjonelle systemdata som registreres automatisk ved hvert varemottak, lageruttak og bestilling. De er ikke gjenstand for hukommelsesfeil, sosial ønskverdighet eller manuell inntasting av enkeltpersoner, noe som gir dem høy reliabilitet sammenlignet med spørreundersøkelsesdata (Saha &amp; Ray, 2019).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En planlagt oppfølgingsfase ved Helse Bergen vil innebære faglig gjennomgang av OVERFØR-listen mot innkjøpsfaglig og klinisk kompetanse, noe som vil gi grunnlag for empirisk validering av modellens treffsikkerhet.</w:t>
      </w:r>
    </w:p>
    <w:p>
      <w:pPr>
        <w:spacing w:line="360" w:lineRule="auto"/>
      </w:pPr>
      <w:r>
        <w:rPr>
          <w:rFonts w:ascii="Times New Roman" w:hAnsi="Times New Roman" w:cs="Times New Roman"/>
          <w:sz w:val="24"/>
        </w:rPr>
        <w:t>EOQ-modellen forutsetter deterministisk og stasjonær etterspørsel (Wilson-formelen). Analysen anvender EOQ på de 350 X-artiklene (</w:t>
      </w:r>
      <m:oMath>
        <m:r>
          <m:t>CV&lt;0,5</m:t>
        </m:r>
      </m:oMath>
      <w:r>
        <w:rPr>
          <w:rFonts w:ascii="Times New Roman" w:hAnsi="Times New Roman" w:cs="Times New Roman"/>
          <w:sz w:val="24"/>
        </w:rPr>
        <w:t xml:space="preserve">), men det er ikke gjennomført en formell stasjonaritet- eller normalitetstest for disse artiklenes etterspørselsserier. For artiklene med størst </w:t>
      </w:r>
      <m:oMath>
        <m:r>
          <m:t>ΔTC</m:t>
        </m:r>
      </m:oMath>
      <w:r>
        <w:rPr>
          <w:rFonts w:ascii="Times New Roman" w:hAnsi="Times New Roman" w:cs="Times New Roman"/>
          <w:sz w:val="24"/>
        </w:rPr>
        <w:t xml:space="preserve"> — som utgjør grunnlaget for besparelsesestimatet — representerer dette en potensiell intern validitetstrussel: dersom etterspørselen er sesongavhengig eller har trend, vil den optimale ordrefrekvensen </w:t>
      </w:r>
      <m:oMath>
        <m:sSup>
          <m:e>
            <m:r>
              <m:t>f</m:t>
            </m:r>
          </m:e>
          <m:sup>
            <m:r>
              <m:t>*</m:t>
            </m:r>
          </m:sup>
        </m:sSup>
      </m:oMath>
      <w:r>
        <w:rPr>
          <w:rFonts w:ascii="Times New Roman" w:hAnsi="Times New Roman" w:cs="Times New Roman"/>
          <w:sz w:val="24"/>
        </w:rPr>
        <w:t xml:space="preserve"> avvike fra Wilson-estimatet. Hautaniemi og Pirttilä (1999) påpeker at EOQ-baserte beregninger er mest pålitelige for artikler med lav variabilitet, noe som understøtter valget om å begrense analysen til X-klassen, men en formell stasjonaritetstest (f.eks. augmented Dickey–Fuller) ville styrket den interne validiteten ytterligere.</w:t>
      </w:r>
    </w:p>
    <w:p>
      <w:pPr>
        <w:spacing w:line="360" w:lineRule="auto"/>
      </w:pPr>
      <w:r>
        <w:rPr>
          <w:rFonts w:ascii="Times New Roman" w:hAnsi="Times New Roman" w:cs="Times New Roman"/>
          <w:sz w:val="24"/>
        </w:rPr>
        <w:t xml:space="preserve">Besparelsesestimatet </w:t>
      </w:r>
      <m:oMath>
        <m:sSub>
          <m:e>
            <m:r>
              <m:t>B</m:t>
            </m:r>
          </m:e>
          <m:sub>
            <m:r>
              <m:rPr>
                <m:nor/>
              </m:rPr>
              <m:t>HVFS</m:t>
            </m:r>
          </m:sub>
        </m:sSub>
        <m:r>
          <m:t>=∑ΔT</m:t>
        </m:r>
        <m:sSub>
          <m:e>
            <m:r>
              <m:t>C</m:t>
            </m:r>
          </m:e>
          <m:sub>
            <m:r>
              <m:t>i</m:t>
            </m:r>
          </m:sub>
        </m:sSub>
        <m:r>
          <m:t>·g</m:t>
        </m:r>
      </m:oMath>
      <w:r>
        <w:rPr>
          <w:rFonts w:ascii="Times New Roman" w:hAnsi="Times New Roman" w:cs="Times New Roman"/>
          <w:sz w:val="24"/>
        </w:rPr>
        <w:t xml:space="preserve"> fanger utelukkende transaksjonskostnadsavviket fra suboptimal ordrefrekvens for de 117 artiklene i skjæringspunktet OVERFØR\_HVFS </w:t>
      </w:r>
      <m:oMath>
        <m:r>
          <m:t>∩</m:t>
        </m:r>
      </m:oMath>
      <w:r>
        <w:rPr>
          <w:rFonts w:ascii="Times New Roman" w:hAnsi="Times New Roman" w:cs="Times New Roman"/>
          <w:sz w:val="24"/>
        </w:rPr>
        <w:t xml:space="preserve"> FOR\_MANGE\_ORDRER. Tre kostnadselementer er eksplisitt utenfor modellens rekkevidde: (1) redusert lokal lagerkapitalbinding ved overføring — en positiv gevinst som ikke er kvantifisert, men som Kelle et al. (2012) anslår til 5–15 % av lagerverdien for sentraliserte artikler; (2) transportkostnader fra HVFS til avdeling via APL-modellen, som representerer en motpost og må kartlegges i implementeringsfasen; og (3) engangskostnader for SAP MM-konfigurering, leverandørforhandlinger og prosessomstilling. Estimatet er dermed et konservativt transaksjonskostnadsestimat som ikke omfatter den fulle netto besparelseseffekten av sentralisering.</w:t>
      </w:r>
    </w:p>
    <w:p>
      <w:pPr>
        <w:spacing w:line="360" w:lineRule="auto"/>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regelbasert beslutningstager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edruelig: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pPr>
      <w:r>
        <w:rPr>
          <w:rFonts w:ascii="Times New Roman" w:hAnsi="Times New Roman" w:cs="Times New Roman"/>
          <w:sz w:val="24"/>
        </w:rPr>
        <w:t>For LIBRA-prosjektet spesifikt innebærer resultatene at det nå foreligger et kvantitativt, reproduserbart beslutningsgrunnlag som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spacing w:line="360" w:lineRule="auto"/>
      </w:pPr>
      <w:r>
        <w:rPr>
          <w:rFonts w:ascii="Times New Roman" w:hAnsi="Times New Roman" w:cs="Times New Roman"/>
          <w:sz w:val="24"/>
        </w:rPr>
        <w:t>Metoderammeverket er utviklet for medisinsk forbruksmateriell, men den underliggende logikken – verdiklassifisering, etterspørselsstabilitet, ordrefrekvensavvik og klyngebasert gruppering – er i prinsippet generaliserbar til andre varegrupper med tilsvarende datastruktur i SAP. Teknisk utstyr, kontorrekvisita eller laboratorieforbruk ved helseforetakene har samme type transaksjonsdata i EKPO, MSEG og MARD. Det er likevel viktig å påpeke at parameterverdiene (S, h, ABC-grenser, CV-terskler) må rekalibreres for hver varegruppe, da kostnadsstruktur og forbruksmønstre varierer vesentlig mellom sortimenter.</w:t>
      </w:r>
    </w:p>
    <w:p>
      <w:pPr>
        <w:pStyle w:val="Overskrift2"/>
      </w:pPr>
      <w:r>
        <w:rPr>
          <w:rFonts w:ascii="Times New Roman" w:hAnsi="Times New Roman"/>
          <w:color w:val="000000"/>
          <w:sz w:val="32"/>
        </w:rPr>
        <w:t>8.4 Svakheter og begrensninger</w:t>
      </w:r>
    </w:p>
    <w:p>
      <w:pPr>
        <w:spacing w:line="360" w:lineRule="auto"/>
      </w:pPr>
      <w:r>
        <w:rPr>
          <w:rFonts w:ascii="Times New Roman" w:hAnsi="Times New Roman" w:cs="Times New Roman"/>
          <w:sz w:val="24"/>
        </w:rPr>
        <w:t xml:space="preserve">Realiseringsgraden </w:t>
      </w:r>
      <m:oMath>
        <m:r>
          <m:t>g</m:t>
        </m:r>
      </m:oMath>
      <w:r>
        <w:rPr>
          <w:rFonts w:ascii="Times New Roman" w:hAnsi="Times New Roman" w:cs="Times New Roman"/>
          <w:sz w:val="24"/>
        </w:rPr>
        <w:t xml:space="preserve"> i besparelsesformelen er et scenarioparameter, ikke en empirisk prognose. Den faktiske gevinsten avhenger av gjennomføringskvalitet, leverandørenes kapasitet og Helse Bergens evne til å revidere SAP-parametere. Sensitivitetsanalysen over 27 scenarier synliggjør bredden i usikkerhetsintervallet.</w:t>
      </w:r>
    </w:p>
    <w:p>
      <w:pPr>
        <w:spacing w:line="360" w:lineRule="auto"/>
      </w:pPr>
      <w:r>
        <w:rPr>
          <w:rFonts w:ascii="Times New Roman" w:hAnsi="Times New Roman" w:cs="Times New Roman"/>
          <w:sz w:val="24"/>
        </w:rPr>
        <w:t>Leveringstidsfallbacken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pPr>
        <w:spacing w:line="360" w:lineRule="auto"/>
      </w:pPr>
      <w:r>
        <w:rPr>
          <w:rFonts w:ascii="Times New Roman" w:hAnsi="Times New Roman" w:cs="Times New Roman"/>
          <w:sz w:val="24"/>
        </w:rPr>
        <w:t xml:space="preserve">K-means er sensitiv overfor valget av K (Srinivasan &amp; Moon, 1999):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w:t>
      </w:r>
    </w:p>
    <w:p>
      <w:pPr>
        <w:spacing w:line="360" w:lineRule="auto"/>
      </w:pPr>
      <w:r>
        <w:rPr>
          <w:rFonts w:ascii="Times New Roman" w:hAnsi="Times New Roman" w:cs="Times New Roman"/>
          <w:sz w:val="24"/>
        </w:rPr>
        <w:t>For 204 artikler uten EKPO-data er ABC-verdien beregnet fra D_ANNUAL × UNIT_PRICE. Dersom standardprisen avviker fra faktisk innkjøpspris, vil ABC-rangeringen for disse artiklene være upresis.</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bør overføres til HVFS, og hva er det estimerte besparelsespotensialet?</w:t>
      </w:r>
    </w:p>
    <w:p>
      <w:pPr>
        <w:spacing w:line="360" w:lineRule="auto"/>
      </w:pPr>
      <w:r>
        <w:rPr>
          <w:rFonts w:ascii="Times New Roman" w:hAnsi="Times New Roman" w:cs="Times New Roman"/>
          <w:sz w:val="24"/>
        </w:rPr>
        <w:t xml:space="preserve">Studien viser at en strukturert kombinasjon av ABC-analyse, XYZ-klassifisering, EOQ-avviksanalyse og K-means klyngeanalyse – sammenstilt i en regelbasert beslutningsmotor – gir et strukturert beslutningsgrunnlag for å prioritere overføringskandidater direkte fra SAP-transaksjonsdata. Av de 709 aktive artiklene i LGORT 3001 identifiserer regelmotoren </w:t>
      </w:r>
      <w:r>
        <w:rPr>
          <w:rFonts w:ascii="Times New Roman" w:hAnsi="Times New Roman" w:cs="Times New Roman"/>
          <w:b/>
          <w:sz w:val="24"/>
        </w:rPr>
        <w:t>145 artikler</w:t>
      </w:r>
      <w:r>
        <w:rPr>
          <w:rFonts w:ascii="Times New Roman" w:hAnsi="Times New Roman" w:cs="Times New Roman"/>
          <w:sz w:val="24"/>
        </w:rPr>
        <w:t xml:space="preserve"> (20,5 %) som prioriterte overføringskandidater til HVFS. Disse artiklene kjennetegnes ved høy verdi (A- eller B-klasse), stabilt forbruksmønster (X- eller Y-klasse) og dokumentert overbestilling eller klyngetilhørighet som indikerer ineffektiv ordrepraksis. Anbefalingene er ikke eksternt validert mot innkjøpsfaglig skjønn, og bør betraktes som et rangert beslutningsunderlag — ikke som verifiserte beslutningsregler.</w:t>
      </w:r>
    </w:p>
    <w:p>
      <w:pPr>
        <w:spacing w:line="360" w:lineRule="auto"/>
      </w:pPr>
      <w:r>
        <w:rPr>
          <w:rFonts w:ascii="Times New Roman" w:hAnsi="Times New Roman" w:cs="Times New Roman"/>
          <w:sz w:val="24"/>
        </w:rPr>
        <w:t>Besparelsespotensialet er estimert som et scenariobasert intervall, ikke som et enkelt punktestimat, fordi nøkkelparametrene S, h og g ikke er kalibrert mot lokalt observerte kostnader. For de 117 artiklene i skjæringspunktet OVERFØR\_HVFS og FOR\_MANGE\_ORDRER gir base case (</w:t>
      </w:r>
      <m:oMath>
        <m:r>
          <m:t>g=75</m:t>
        </m:r>
      </m:oMath>
      <w:r>
        <w:rPr>
          <w:rFonts w:ascii="Times New Roman" w:hAnsi="Times New Roman" w:cs="Times New Roman"/>
          <w:sz w:val="24"/>
        </w:rPr>
        <w:t xml:space="preserve">) et estimat på </w:t>
      </w:r>
      <w:r>
        <w:rPr>
          <w:rFonts w:ascii="Times New Roman" w:hAnsi="Times New Roman" w:cs="Times New Roman"/>
          <w:b/>
          <w:sz w:val="24"/>
        </w:rPr>
        <w:t>kr 451 515 per år</w:t>
      </w:r>
      <w:r>
        <w:rPr>
          <w:rFonts w:ascii="Times New Roman" w:hAnsi="Times New Roman" w:cs="Times New Roman"/>
          <w:sz w:val="24"/>
        </w:rPr>
        <w:t>, mens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Sensitivitetsanalysen over 27 parameterkombinasjoner — med variasjon i S, h og </w:t>
      </w:r>
      <m:oMath>
        <m:sSub>
          <m:e>
            <m:r>
              <m:t>τ</m:t>
            </m:r>
          </m:e>
          <m:sub>
            <m:r>
              <m:t>f</m:t>
            </m:r>
          </m:sub>
        </m:sSub>
      </m:oMath>
      <w:r>
        <w:rPr>
          <w:rFonts w:ascii="Times New Roman" w:hAnsi="Times New Roman" w:cs="Times New Roman"/>
          <w:sz w:val="24"/>
        </w:rPr>
        <w:t xml:space="preserve"> — viser at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varierer mellom kr 176 374 og kr 763 903 per år avhengig av parametervalg. Estimatene forblir positive og vesentlige over alle 27 scenarier, men den brede spennvidden understreker at det faktiske besparelsesnivået avhenger av lokale kostnadsforhold som ikke er empirisk fastslått i denne studien.</w:t>
      </w:r>
    </w:p>
    <w:p>
      <w:pPr>
        <w:spacing w:line="360" w:lineRule="auto"/>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Metoderammeverket besvarer problemstillingen både kvalitativt (hvilke artikler) og kvantitativt (hva er besparelsespotensialet), og gir et strukturert beslutningsgrunnlag for LIBRA-prosjektets videre gjennomføring. Verktøyets primære verdi er systematisk prioritering og triage av artikkelporteføljen — den endelige overføringsbeslutningen krever innkjøpsfaglig og klinisk validering.</w:t>
      </w:r>
    </w:p>
    <w:p>
      <w:pPr>
        <w:pStyle w:val="Overskrift2"/>
      </w:pPr>
      <w:r>
        <w:rPr>
          <w:rFonts w:ascii="Times New Roman" w:hAnsi="Times New Roman"/>
          <w:color w:val="000000"/>
          <w:sz w:val="32"/>
        </w:rPr>
        <w:t>9.2 Anbefalinger til Helse Bergen</w:t>
      </w:r>
    </w:p>
    <w:p>
      <w:pPr>
        <w:spacing w:line="360" w:lineRule="auto"/>
      </w:pPr>
      <w:r>
        <w:rPr>
          <w:rFonts w:ascii="Times New Roman" w:hAnsi="Times New Roman" w:cs="Times New Roman"/>
          <w:sz w:val="24"/>
        </w:rPr>
        <w:t>Basert på studiens funn rettes følgende fire anbefalinger til Helse Bergen og Helse Vest IKT:</w:t>
      </w:r>
    </w:p>
    <w:p>
      <w:pPr>
        <w:spacing w:line="360" w:lineRule="auto"/>
      </w:pPr>
      <w:r>
        <w:rPr>
          <w:rFonts w:ascii="Times New Roman" w:hAnsi="Times New Roman" w:cs="Times New Roman"/>
          <w:b/>
          <w:sz w:val="24"/>
        </w:rPr>
        <w:t>1. Iverksett pilotoverføring for K_OVERFØR-klyngen og AX/BX-artiklene.</w:t>
      </w:r>
    </w:p>
    <w:p>
      <w:pPr>
        <w:spacing w:line="360" w:lineRule="auto"/>
      </w:pPr>
      <w:r>
        <w:rPr>
          <w:rFonts w:ascii="Times New Roman" w:hAnsi="Times New Roman" w:cs="Times New Roman"/>
          <w:sz w:val="24"/>
        </w:rPr>
        <w:t>De 145 artiklene som er identifisert som prioriterte overføringskandidater bør ikke overføres samlet i én operasjon. En pilotfase bør prioritere artiklene i skjæringspunktet mellom K_OVERFØR-klyngen og AX/BX-kategoriene, da disse har den sterkeste kombinasjonen av analysesignaler og lavest risiko for servicesvikt. En gradvis overføring gir mulighet til å verifisere at HVFS og NorEngros håndterer artiklene i henhold til APL-leveransemodellen før hele porteføljen flyttes.</w:t>
      </w:r>
    </w:p>
    <w:p>
      <w:pPr>
        <w:spacing w:line="360" w:lineRule="auto"/>
      </w:pPr>
      <w:r>
        <w:rPr>
          <w:rFonts w:ascii="Times New Roman" w:hAnsi="Times New Roman" w:cs="Times New Roman"/>
          <w:b/>
          <w:sz w:val="24"/>
        </w:rPr>
        <w:t>2. Gjennomgå de 284 artiklene i VURDER NÆRMERE manuelt.</w:t>
      </w:r>
    </w:p>
    <w:p>
      <w:pPr>
        <w:spacing w:line="360" w:lineRule="auto"/>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pPr>
      <w:r>
        <w:rPr>
          <w:rFonts w:ascii="Times New Roman" w:hAnsi="Times New Roman" w:cs="Times New Roman"/>
          <w:b/>
          <w:sz w:val="24"/>
        </w:rPr>
        <w:t>3. Oppdater SAP MM-parametere for overførte artikler.</w:t>
      </w:r>
    </w:p>
    <w:p>
      <w:pPr>
        <w:spacing w:line="360" w:lineRule="auto"/>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pPr>
      <w:r>
        <w:rPr>
          <w:rFonts w:ascii="Times New Roman" w:hAnsi="Times New Roman" w:cs="Times New Roman"/>
          <w:b/>
          <w:sz w:val="24"/>
        </w:rPr>
        <w:t>4. Evaluer gevinstrealisering etter 12 måneder.</w:t>
      </w:r>
    </w:p>
    <w:p>
      <w:pPr>
        <w:spacing w:line="360" w:lineRule="auto"/>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pPr>
      <w:r>
        <w:rPr>
          <w:rFonts w:ascii="Times New Roman" w:hAnsi="Times New Roman" w:cs="Times New Roman"/>
          <w:sz w:val="24"/>
        </w:rPr>
        <w:t xml:space="preserve">Studien åpner for tre retninger innen videre forskning: (1) En </w:t>
      </w:r>
      <w:r>
        <w:rPr>
          <w:rFonts w:ascii="Times New Roman" w:hAnsi="Times New Roman" w:cs="Times New Roman"/>
          <w:b/>
          <w:sz w:val="24"/>
        </w:rPr>
        <w:t>ROP-modul</w:t>
      </w:r>
      <w:r>
        <w:rPr>
          <w:rFonts w:ascii="Times New Roman" w:hAnsi="Times New Roman" w:cs="Times New Roman"/>
          <w:sz w:val="24"/>
        </w:rPr>
        <w:t xml:space="preserve"> som integrerer bestillingspunktberegning vil kreve at EINE-tabellen berikes med faktiske leveringstider, men vil gi anbefalinger om lagernivåer etter overføring. (2) </w:t>
      </w:r>
      <w:r>
        <w:rPr>
          <w:rFonts w:ascii="Times New Roman" w:hAnsi="Times New Roman" w:cs="Times New Roman"/>
          <w:b/>
          <w:sz w:val="24"/>
        </w:rPr>
        <w:t>Leverandørkonsolidering</w:t>
      </w:r>
      <w:r>
        <w:rPr>
          <w:rFonts w:ascii="Times New Roman" w:hAnsi="Times New Roman" w:cs="Times New Roman"/>
          <w:sz w:val="24"/>
        </w:rPr>
        <w:t xml:space="preserve"> via analyse av EKKO/EKPO kan avdekke om HVFS-kandidatene leveres av felles leverandører, noe som kan gi ytterligere besparelser utover ordrefrekvensoptimalisering. (3) </w:t>
      </w:r>
      <w:r>
        <w:rPr>
          <w:rFonts w:ascii="Times New Roman" w:hAnsi="Times New Roman" w:cs="Times New Roman"/>
          <w:b/>
          <w:sz w:val="24"/>
        </w:rPr>
        <w:t>Replikering</w:t>
      </w:r>
      <w:r>
        <w:rPr>
          <w:rFonts w:ascii="Times New Roman" w:hAnsi="Times New Roman" w:cs="Times New Roman"/>
          <w:sz w:val="24"/>
        </w:rPr>
        <w:t xml:space="preserve"> av rammeverket til andre WERKS i Helse Vest (Stavanger, Fonna, Førde) vil styrke den eksterne validiteten og gi grunnlag for differensiert HVFS-sentralisering per foretak.</w:t>
      </w:r>
    </w:p>
    <w:p>
      <w:pPr>
        <w:pStyle w:val="Overskrift1"/>
        <w:pageBreakBefore w:val="true"/>
      </w:pPr>
      <w:r>
        <w:rPr>
          <w:rFonts w:ascii="Times New Roman" w:hAnsi="Times New Roman"/>
          <w:color w:val="000000"/>
          <w:sz w:val="36"/>
        </w:rPr>
        <w:t>Referanseliste</w:t>
      </w:r>
    </w:p>
    <w:p>
      <w:pPr>
        <w:spacing w:line="360" w:lineRule="auto"/>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360" w:lineRule="auto"/>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360" w:lineRule="auto"/>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360" w:lineRule="auto"/>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360" w:lineRule="auto"/>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360" w:lineRule="auto"/>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360" w:lineRule="auto"/>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360" w:lineRule="auto"/>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360" w:lineRule="auto"/>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360" w:lineRule="auto"/>
      </w:pPr>
      <w:r>
        <w:rPr>
          <w:rFonts w:ascii="Times New Roman" w:hAnsi="Times New Roman" w:cs="Times New Roman"/>
          <w:sz w:val="24"/>
        </w:rPr>
        <w:t xml:space="preserve">Kumar, D., &amp; Kumar, D. (2015). Modelling hospital inventory management using interpretive structural modelling approach. </w:t>
      </w:r>
      <w:r>
        <w:rPr>
          <w:rFonts w:ascii="Times New Roman" w:hAnsi="Times New Roman" w:cs="Times New Roman"/>
          <w:i/>
          <w:sz w:val="24"/>
        </w:rPr>
        <w:t>International Journal of Logistics Systems and Management</w:t>
      </w:r>
      <w:r>
        <w:rPr>
          <w:rFonts w:ascii="Times New Roman" w:hAnsi="Times New Roman" w:cs="Times New Roman"/>
          <w:sz w:val="24"/>
        </w:rPr>
        <w:t xml:space="preserve">, </w:t>
      </w:r>
      <w:r>
        <w:rPr>
          <w:rFonts w:ascii="Times New Roman" w:hAnsi="Times New Roman" w:cs="Times New Roman"/>
          <w:i/>
          <w:sz w:val="24"/>
        </w:rPr>
        <w:t>21</w:t>
      </w:r>
      <w:r>
        <w:rPr>
          <w:rFonts w:ascii="Times New Roman" w:hAnsi="Times New Roman" w:cs="Times New Roman"/>
          <w:sz w:val="24"/>
        </w:rPr>
        <w:t>(3), 319–334. https://doi.org/10.1504/IJLSM.2015.069734</w:t>
      </w:r>
    </w:p>
    <w:p>
      <w:pPr>
        <w:spacing w:line="360" w:lineRule="auto"/>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360" w:lineRule="auto"/>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360" w:lineRule="auto"/>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360" w:lineRule="auto"/>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360" w:lineRule="auto"/>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w:t>
      </w:r>
    </w:p>
    <w:p>
      <w:pPr>
        <w:spacing w:line="360" w:lineRule="auto"/>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360" w:lineRule="auto"/>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360" w:lineRule="auto"/>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360" w:lineRule="auto"/>
      </w:pPr>
      <w:r>
        <w:rPr>
          <w:rFonts w:ascii="Times New Roman" w:hAnsi="Times New Roman" w:cs="Times New Roman"/>
          <w:sz w:val="24"/>
        </w:rPr>
        <w:t xml:space="preserve">Sirisawat, P., Hasachoo, N., &amp; Kaewket, T. (2019). Investigation and prioritization of performance indicators for inventory management in the university hospital. I </w:t>
      </w:r>
      <w:r>
        <w:rPr>
          <w:rFonts w:ascii="Times New Roman" w:hAnsi="Times New Roman" w:cs="Times New Roman"/>
          <w:i/>
          <w:sz w:val="24"/>
        </w:rPr>
        <w:t>Proceedings of the 2019 IEEE International Conference on Industrial Engineering and Engineering Management (IEEM)</w:t>
      </w:r>
      <w:r>
        <w:rPr>
          <w:rFonts w:ascii="Times New Roman" w:hAnsi="Times New Roman" w:cs="Times New Roman"/>
          <w:sz w:val="24"/>
        </w:rPr>
        <w:t xml:space="preserve"> (s. 978–982). IEEE. https://doi.org/10.1109/IEEM44572.2019.8978819</w:t>
      </w:r>
    </w:p>
    <w:p>
      <w:pPr>
        <w:spacing w:line="360" w:lineRule="auto"/>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360" w:lineRule="auto"/>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360" w:lineRule="auto"/>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360" w:lineRule="auto"/>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spacing w:line="360" w:lineRule="auto"/>
      </w:pPr>
      <w:r>
        <w:rPr>
          <w:rFonts w:ascii="Times New Roman" w:hAnsi="Times New Roman" w:cs="Times New Roman"/>
          <w:sz w:val="24"/>
        </w:rPr>
        <w:t xml:space="preserve">Anthropic. (2026). </w:t>
      </w:r>
      <w:r>
        <w:rPr>
          <w:rFonts w:ascii="Times New Roman" w:hAnsi="Times New Roman" w:cs="Times New Roman"/>
          <w:i/>
          <w:sz w:val="24"/>
        </w:rPr>
        <w:t>Claude</w:t>
      </w:r>
      <w:r>
        <w:rPr>
          <w:rFonts w:ascii="Times New Roman" w:hAnsi="Times New Roman" w:cs="Times New Roman"/>
          <w:sz w:val="24"/>
        </w:rPr>
        <w:t xml:space="preserve"> [Stor språkmodell]. https://claude.ai</w:t>
      </w:r>
    </w:p>
    <w:p>
      <w:pPr>
        <w:spacing w:line="360" w:lineRule="auto"/>
      </w:pPr>
      <w:r>
        <w:rPr>
          <w:rFonts w:ascii="Times New Roman" w:hAnsi="Times New Roman" w:cs="Times New Roman"/>
          <w:sz w:val="24"/>
        </w:rPr>
        <w:t xml:space="preserve">Helse Vest RHF. (2024). </w:t>
      </w:r>
      <w:r>
        <w:rPr>
          <w:rFonts w:ascii="Times New Roman" w:hAnsi="Times New Roman" w:cs="Times New Roman"/>
          <w:i/>
          <w:sz w:val="24"/>
        </w:rPr>
        <w:t>Kontraktstildeling: Drift av regionalt forsyningssenter</w:t>
      </w:r>
      <w:r>
        <w:rPr>
          <w:rFonts w:ascii="Times New Roman" w:hAnsi="Times New Roman" w:cs="Times New Roman"/>
          <w:sz w:val="24"/>
        </w:rPr>
        <w:t xml:space="preserve"> [Kunngjøring om inngått kontrakt, kunngjøring 2024-101803]. Doffin – database for offentlige innkjøp. https://doffin.no/notices/2024-101803</w:t>
      </w:r>
    </w:p>
    <w:p>
      <w:pPr>
        <w:spacing w:line="360" w:lineRule="auto"/>
      </w:pPr>
      <w:r>
        <w:rPr>
          <w:rFonts w:ascii="Times New Roman" w:hAnsi="Times New Roman" w:cs="Times New Roman"/>
          <w:sz w:val="24"/>
        </w:rPr>
        <w:t xml:space="preserve">Rekdal, O. B., &amp; Pettersen, B. I. A. (2025). </w:t>
      </w:r>
      <w:r>
        <w:rPr>
          <w:rFonts w:ascii="Times New Roman" w:hAnsi="Times New Roman" w:cs="Times New Roman"/>
          <w:i/>
          <w:sz w:val="24"/>
        </w:rPr>
        <w:t>Vitenskapelig skriving – en praktisk innføring</w:t>
      </w:r>
      <w:r>
        <w:rPr>
          <w:rFonts w:ascii="Times New Roman" w:hAnsi="Times New Roman" w:cs="Times New Roman"/>
          <w:sz w:val="24"/>
        </w:rPr>
        <w:t xml:space="preserve"> (9. des. 2025). Høgskolen i Molde.</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pPr>
      <w:r>
        <w:rPr>
          <w:rFonts w:ascii="Times New Roman" w:hAnsi="Times New Roman" w:cs="Times New Roman"/>
          <w:sz w:val="24"/>
        </w:rPr>
        <w:t>Tabellen nedenfor viser de 14 SAP S/4HANA-tabellene som ble ekstrahert via transaksjon SE16H for WERKS 3300 / LGORT 3001. Uttrekksperiode: 2024–2025.</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SAP-tabell</w:t>
            </w:r>
          </w:p>
        </w:tc>
        <w:tc>
          <w:tcPr>
            <w:tcW w:type="dxa" w:w="2923"/>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923"/>
            <w:tcBorders>
              <w:top w:val="single" w:sz="8" w:space="0" w:color="000000"/>
              <w:bottom w:val="single" w:sz="4" w:space="0" w:color="000000"/>
              <w:left w:val="nil"/>
              <w:right w:val="nil"/>
            </w:tcBorders>
          </w:tcPr>
          <w:p>
            <w:r/>
            <w:r>
              <w:rPr>
                <w:rFonts w:ascii="Times New Roman" w:hAnsi="Times New Roman"/>
                <w:b/>
                <w:sz w:val="22"/>
              </w:rPr>
              <w:t>Nøkkelfelter</w:t>
            </w:r>
          </w:p>
        </w:tc>
      </w:tr>
      <w:tr>
        <w:tc>
          <w:tcPr>
            <w:tcW w:type="dxa" w:w="2923"/>
          </w:tcPr>
          <w:p>
            <w:r/>
            <w:r>
              <w:rPr>
                <w:rFonts w:ascii="Times New Roman" w:hAnsi="Times New Roman"/>
                <w:sz w:val="22"/>
              </w:rPr>
              <w:t>MARD</w:t>
            </w:r>
          </w:p>
        </w:tc>
        <w:tc>
          <w:tcPr>
            <w:tcW w:type="dxa" w:w="2923"/>
          </w:tcPr>
          <w:p>
            <w:r/>
            <w:r>
              <w:rPr>
                <w:rFonts w:ascii="Times New Roman" w:hAnsi="Times New Roman"/>
                <w:sz w:val="22"/>
              </w:rPr>
              <w:t>Lagerbeholdning per lagersted</w:t>
            </w:r>
          </w:p>
        </w:tc>
        <w:tc>
          <w:tcPr>
            <w:tcW w:type="dxa" w:w="2923"/>
          </w:tcPr>
          <w:p>
            <w:r/>
            <w:r>
              <w:rPr>
                <w:rFonts w:ascii="Times New Roman" w:hAnsi="Times New Roman"/>
                <w:sz w:val="22"/>
              </w:rPr>
              <w:t>MATNR, WERKS, LGORT, LABST</w:t>
            </w:r>
          </w:p>
        </w:tc>
      </w:tr>
      <w:tr>
        <w:tc>
          <w:tcPr>
            <w:tcW w:type="dxa" w:w="2923"/>
          </w:tcPr>
          <w:p>
            <w:r/>
            <w:r>
              <w:rPr>
                <w:rFonts w:ascii="Times New Roman" w:hAnsi="Times New Roman"/>
                <w:sz w:val="22"/>
              </w:rPr>
              <w:t>MDMA</w:t>
            </w:r>
          </w:p>
        </w:tc>
        <w:tc>
          <w:tcPr>
            <w:tcW w:type="dxa" w:w="2923"/>
          </w:tcPr>
          <w:p>
            <w:r/>
            <w:r>
              <w:rPr>
                <w:rFonts w:ascii="Times New Roman" w:hAnsi="Times New Roman"/>
                <w:sz w:val="22"/>
              </w:rPr>
              <w:t>MRP-område og tilordning</w:t>
            </w:r>
          </w:p>
        </w:tc>
        <w:tc>
          <w:tcPr>
            <w:tcW w:type="dxa" w:w="2923"/>
          </w:tcPr>
          <w:p>
            <w:r/>
            <w:r>
              <w:rPr>
                <w:rFonts w:ascii="Times New Roman" w:hAnsi="Times New Roman"/>
                <w:sz w:val="22"/>
              </w:rPr>
              <w:t>MATNR, WERKS, ZZABC, ZZXYZ</w:t>
            </w:r>
          </w:p>
        </w:tc>
      </w:tr>
      <w:tr>
        <w:tc>
          <w:tcPr>
            <w:tcW w:type="dxa" w:w="2923"/>
          </w:tcPr>
          <w:p>
            <w:r/>
            <w:r>
              <w:rPr>
                <w:rFonts w:ascii="Times New Roman" w:hAnsi="Times New Roman"/>
                <w:sz w:val="22"/>
              </w:rPr>
              <w:t>MARA</w:t>
            </w:r>
          </w:p>
        </w:tc>
        <w:tc>
          <w:tcPr>
            <w:tcW w:type="dxa" w:w="2923"/>
          </w:tcPr>
          <w:p>
            <w:r/>
            <w:r>
              <w:rPr>
                <w:rFonts w:ascii="Times New Roman" w:hAnsi="Times New Roman"/>
                <w:sz w:val="22"/>
              </w:rPr>
              <w:t>Generelle materialdata</w:t>
            </w:r>
          </w:p>
        </w:tc>
        <w:tc>
          <w:tcPr>
            <w:tcW w:type="dxa" w:w="2923"/>
          </w:tcPr>
          <w:p>
            <w:r/>
            <w:r>
              <w:rPr>
                <w:rFonts w:ascii="Times New Roman" w:hAnsi="Times New Roman"/>
                <w:sz w:val="22"/>
              </w:rPr>
              <w:t>MATNR, MTART, MATKL, MEINS</w:t>
            </w:r>
          </w:p>
        </w:tc>
      </w:tr>
      <w:tr>
        <w:tc>
          <w:tcPr>
            <w:tcW w:type="dxa" w:w="2923"/>
          </w:tcPr>
          <w:p>
            <w:r/>
            <w:r>
              <w:rPr>
                <w:rFonts w:ascii="Times New Roman" w:hAnsi="Times New Roman"/>
                <w:sz w:val="22"/>
              </w:rPr>
              <w:t>MAKT</w:t>
            </w:r>
          </w:p>
        </w:tc>
        <w:tc>
          <w:tcPr>
            <w:tcW w:type="dxa" w:w="2923"/>
          </w:tcPr>
          <w:p>
            <w:r/>
            <w:r>
              <w:rPr>
                <w:rFonts w:ascii="Times New Roman" w:hAnsi="Times New Roman"/>
                <w:sz w:val="22"/>
              </w:rPr>
              <w:t>Materialbeskrivelse</w:t>
            </w:r>
          </w:p>
        </w:tc>
        <w:tc>
          <w:tcPr>
            <w:tcW w:type="dxa" w:w="2923"/>
          </w:tcPr>
          <w:p>
            <w:r/>
            <w:r>
              <w:rPr>
                <w:rFonts w:ascii="Times New Roman" w:hAnsi="Times New Roman"/>
                <w:sz w:val="22"/>
              </w:rPr>
              <w:t>MATNR, MAKTX</w:t>
            </w:r>
          </w:p>
        </w:tc>
      </w:tr>
      <w:tr>
        <w:tc>
          <w:tcPr>
            <w:tcW w:type="dxa" w:w="2923"/>
          </w:tcPr>
          <w:p>
            <w:r/>
            <w:r>
              <w:rPr>
                <w:rFonts w:ascii="Times New Roman" w:hAnsi="Times New Roman"/>
                <w:sz w:val="22"/>
              </w:rPr>
              <w:t>MARC</w:t>
            </w:r>
          </w:p>
        </w:tc>
        <w:tc>
          <w:tcPr>
            <w:tcW w:type="dxa" w:w="2923"/>
          </w:tcPr>
          <w:p>
            <w:r/>
            <w:r>
              <w:rPr>
                <w:rFonts w:ascii="Times New Roman" w:hAnsi="Times New Roman"/>
                <w:sz w:val="22"/>
              </w:rPr>
              <w:t>Planleggingsdata per plant</w:t>
            </w:r>
          </w:p>
        </w:tc>
        <w:tc>
          <w:tcPr>
            <w:tcW w:type="dxa" w:w="2923"/>
          </w:tcPr>
          <w:p>
            <w:r/>
            <w:r>
              <w:rPr>
                <w:rFonts w:ascii="Times New Roman" w:hAnsi="Times New Roman"/>
                <w:sz w:val="22"/>
              </w:rPr>
              <w:t>MATNR, WERKS, MARC_ABC</w:t>
            </w:r>
          </w:p>
        </w:tc>
      </w:tr>
      <w:tr>
        <w:tc>
          <w:tcPr>
            <w:tcW w:type="dxa" w:w="2923"/>
          </w:tcPr>
          <w:p>
            <w:r/>
            <w:r>
              <w:rPr>
                <w:rFonts w:ascii="Times New Roman" w:hAnsi="Times New Roman"/>
                <w:sz w:val="22"/>
              </w:rPr>
              <w:t>MBEW</w:t>
            </w:r>
          </w:p>
        </w:tc>
        <w:tc>
          <w:tcPr>
            <w:tcW w:type="dxa" w:w="2923"/>
          </w:tcPr>
          <w:p>
            <w:r/>
            <w:r>
              <w:rPr>
                <w:rFonts w:ascii="Times New Roman" w:hAnsi="Times New Roman"/>
                <w:sz w:val="22"/>
              </w:rPr>
              <w:t>Materialvurdering (pris)</w:t>
            </w:r>
          </w:p>
        </w:tc>
        <w:tc>
          <w:tcPr>
            <w:tcW w:type="dxa" w:w="2923"/>
          </w:tcPr>
          <w:p>
            <w:r/>
            <w:r>
              <w:rPr>
                <w:rFonts w:ascii="Times New Roman" w:hAnsi="Times New Roman"/>
                <w:sz w:val="22"/>
              </w:rPr>
              <w:t>MATNR, BWKEY, STPRS, PEINH</w:t>
            </w:r>
          </w:p>
        </w:tc>
      </w:tr>
      <w:tr>
        <w:tc>
          <w:tcPr>
            <w:tcW w:type="dxa" w:w="2923"/>
          </w:tcPr>
          <w:p>
            <w:r/>
            <w:r>
              <w:rPr>
                <w:rFonts w:ascii="Times New Roman" w:hAnsi="Times New Roman"/>
                <w:sz w:val="22"/>
              </w:rPr>
              <w:t>MSEG</w:t>
            </w:r>
          </w:p>
        </w:tc>
        <w:tc>
          <w:tcPr>
            <w:tcW w:type="dxa" w:w="2923"/>
          </w:tcPr>
          <w:p>
            <w:r/>
            <w:r>
              <w:rPr>
                <w:rFonts w:ascii="Times New Roman" w:hAnsi="Times New Roman"/>
                <w:sz w:val="22"/>
              </w:rPr>
              <w:t>Materialdokumentsegment</w:t>
            </w:r>
          </w:p>
        </w:tc>
        <w:tc>
          <w:tcPr>
            <w:tcW w:type="dxa" w:w="2923"/>
          </w:tcPr>
          <w:p>
            <w:r/>
            <w:r>
              <w:rPr>
                <w:rFonts w:ascii="Times New Roman" w:hAnsi="Times New Roman"/>
                <w:sz w:val="22"/>
              </w:rPr>
              <w:t>MATNR, WERKS, LGORT, MENGE, BWART</w:t>
            </w:r>
          </w:p>
        </w:tc>
      </w:tr>
      <w:tr>
        <w:tc>
          <w:tcPr>
            <w:tcW w:type="dxa" w:w="2923"/>
          </w:tcPr>
          <w:p>
            <w:r/>
            <w:r>
              <w:rPr>
                <w:rFonts w:ascii="Times New Roman" w:hAnsi="Times New Roman"/>
                <w:sz w:val="22"/>
              </w:rPr>
              <w:t>EKKO</w:t>
            </w:r>
          </w:p>
        </w:tc>
        <w:tc>
          <w:tcPr>
            <w:tcW w:type="dxa" w:w="2923"/>
          </w:tcPr>
          <w:p>
            <w:r/>
            <w:r>
              <w:rPr>
                <w:rFonts w:ascii="Times New Roman" w:hAnsi="Times New Roman"/>
                <w:sz w:val="22"/>
              </w:rPr>
              <w:t>Innkjøpsordrehode</w:t>
            </w:r>
          </w:p>
        </w:tc>
        <w:tc>
          <w:tcPr>
            <w:tcW w:type="dxa" w:w="2923"/>
          </w:tcPr>
          <w:p>
            <w:r/>
            <w:r>
              <w:rPr>
                <w:rFonts w:ascii="Times New Roman" w:hAnsi="Times New Roman"/>
                <w:sz w:val="22"/>
              </w:rPr>
              <w:t>EBELN, BSART, LIFNR</w:t>
            </w:r>
          </w:p>
        </w:tc>
      </w:tr>
      <w:tr>
        <w:tc>
          <w:tcPr>
            <w:tcW w:type="dxa" w:w="2923"/>
          </w:tcPr>
          <w:p>
            <w:r/>
            <w:r>
              <w:rPr>
                <w:rFonts w:ascii="Times New Roman" w:hAnsi="Times New Roman"/>
                <w:sz w:val="22"/>
              </w:rPr>
              <w:t>EKPO</w:t>
            </w:r>
          </w:p>
        </w:tc>
        <w:tc>
          <w:tcPr>
            <w:tcW w:type="dxa" w:w="2923"/>
          </w:tcPr>
          <w:p>
            <w:r/>
            <w:r>
              <w:rPr>
                <w:rFonts w:ascii="Times New Roman" w:hAnsi="Times New Roman"/>
                <w:sz w:val="22"/>
              </w:rPr>
              <w:t>Innkjøpsordreposisjon</w:t>
            </w:r>
          </w:p>
        </w:tc>
        <w:tc>
          <w:tcPr>
            <w:tcW w:type="dxa" w:w="2923"/>
          </w:tcPr>
          <w:p>
            <w:r/>
            <w:r>
              <w:rPr>
                <w:rFonts w:ascii="Times New Roman" w:hAnsi="Times New Roman"/>
                <w:sz w:val="22"/>
              </w:rPr>
              <w:t>EBELN, EBELP, MATNR, NETWR</w:t>
            </w:r>
          </w:p>
        </w:tc>
      </w:tr>
      <w:tr>
        <w:tc>
          <w:tcPr>
            <w:tcW w:type="dxa" w:w="2923"/>
          </w:tcPr>
          <w:p>
            <w:r/>
            <w:r>
              <w:rPr>
                <w:rFonts w:ascii="Times New Roman" w:hAnsi="Times New Roman"/>
                <w:sz w:val="22"/>
              </w:rPr>
              <w:t>EKBE</w:t>
            </w:r>
          </w:p>
        </w:tc>
        <w:tc>
          <w:tcPr>
            <w:tcW w:type="dxa" w:w="2923"/>
          </w:tcPr>
          <w:p>
            <w:r/>
            <w:r>
              <w:rPr>
                <w:rFonts w:ascii="Times New Roman" w:hAnsi="Times New Roman"/>
                <w:sz w:val="22"/>
              </w:rPr>
              <w:t>Innkjøpsordrehistorikk</w:t>
            </w:r>
          </w:p>
        </w:tc>
        <w:tc>
          <w:tcPr>
            <w:tcW w:type="dxa" w:w="2923"/>
          </w:tcPr>
          <w:p>
            <w:r/>
            <w:r>
              <w:rPr>
                <w:rFonts w:ascii="Times New Roman" w:hAnsi="Times New Roman"/>
                <w:sz w:val="22"/>
              </w:rPr>
              <w:t>EBELN, EBELP, MATNR, MENGE</w:t>
            </w:r>
          </w:p>
        </w:tc>
      </w:tr>
      <w:tr>
        <w:tc>
          <w:tcPr>
            <w:tcW w:type="dxa" w:w="2923"/>
          </w:tcPr>
          <w:p>
            <w:r/>
            <w:r>
              <w:rPr>
                <w:rFonts w:ascii="Times New Roman" w:hAnsi="Times New Roman"/>
                <w:sz w:val="22"/>
              </w:rPr>
              <w:t>EINA</w:t>
            </w:r>
          </w:p>
        </w:tc>
        <w:tc>
          <w:tcPr>
            <w:tcW w:type="dxa" w:w="2923"/>
          </w:tcPr>
          <w:p>
            <w:r/>
            <w:r>
              <w:rPr>
                <w:rFonts w:ascii="Times New Roman" w:hAnsi="Times New Roman"/>
                <w:sz w:val="22"/>
              </w:rPr>
              <w:t>Inforecord generell</w:t>
            </w:r>
          </w:p>
        </w:tc>
        <w:tc>
          <w:tcPr>
            <w:tcW w:type="dxa" w:w="2923"/>
          </w:tcPr>
          <w:p>
            <w:r/>
            <w:r>
              <w:rPr>
                <w:rFonts w:ascii="Times New Roman" w:hAnsi="Times New Roman"/>
                <w:sz w:val="22"/>
              </w:rPr>
              <w:t>INFNR, MATNR, LIFNR</w:t>
            </w:r>
          </w:p>
        </w:tc>
      </w:tr>
      <w:tr>
        <w:tc>
          <w:tcPr>
            <w:tcW w:type="dxa" w:w="2923"/>
          </w:tcPr>
          <w:p>
            <w:r/>
            <w:r>
              <w:rPr>
                <w:rFonts w:ascii="Times New Roman" w:hAnsi="Times New Roman"/>
                <w:sz w:val="22"/>
              </w:rPr>
              <w:t>EINE</w:t>
            </w:r>
          </w:p>
        </w:tc>
        <w:tc>
          <w:tcPr>
            <w:tcW w:type="dxa" w:w="2923"/>
          </w:tcPr>
          <w:p>
            <w:r/>
            <w:r>
              <w:rPr>
                <w:rFonts w:ascii="Times New Roman" w:hAnsi="Times New Roman"/>
                <w:sz w:val="22"/>
              </w:rPr>
              <w:t>Inforecord organisasjon</w:t>
            </w:r>
          </w:p>
        </w:tc>
        <w:tc>
          <w:tcPr>
            <w:tcW w:type="dxa" w:w="2923"/>
          </w:tcPr>
          <w:p>
            <w:r/>
            <w:r>
              <w:rPr>
                <w:rFonts w:ascii="Times New Roman" w:hAnsi="Times New Roman"/>
                <w:sz w:val="22"/>
              </w:rPr>
              <w:t>INFNR, EKORG, NETPR, PEINH</w:t>
            </w:r>
          </w:p>
        </w:tc>
      </w:tr>
      <w:tr>
        <w:tc>
          <w:tcPr>
            <w:tcW w:type="dxa" w:w="2923"/>
          </w:tcPr>
          <w:p>
            <w:r/>
            <w:r>
              <w:rPr>
                <w:rFonts w:ascii="Times New Roman" w:hAnsi="Times New Roman"/>
                <w:sz w:val="22"/>
              </w:rPr>
              <w:t>T023T</w:t>
            </w:r>
          </w:p>
        </w:tc>
        <w:tc>
          <w:tcPr>
            <w:tcW w:type="dxa" w:w="2923"/>
          </w:tcPr>
          <w:p>
            <w:r/>
            <w:r>
              <w:rPr>
                <w:rFonts w:ascii="Times New Roman" w:hAnsi="Times New Roman"/>
                <w:sz w:val="22"/>
              </w:rPr>
              <w:t>Varegruppebeskrivelse</w:t>
            </w:r>
          </w:p>
        </w:tc>
        <w:tc>
          <w:tcPr>
            <w:tcW w:type="dxa" w:w="2923"/>
          </w:tcPr>
          <w:p>
            <w:r/>
            <w:r>
              <w:rPr>
                <w:rFonts w:ascii="Times New Roman" w:hAnsi="Times New Roman"/>
                <w:sz w:val="22"/>
              </w:rPr>
              <w:t>MATKL, WGBEZ</w:t>
            </w:r>
          </w:p>
        </w:tc>
      </w:tr>
      <w:tr>
        <w:tc>
          <w:tcPr>
            <w:tcW w:type="dxa" w:w="2923"/>
          </w:tcPr>
          <w:p>
            <w:r/>
            <w:r>
              <w:rPr>
                <w:rFonts w:ascii="Times New Roman" w:hAnsi="Times New Roman"/>
                <w:sz w:val="22"/>
              </w:rPr>
              <w:t>MASTERFILE</w:t>
            </w:r>
          </w:p>
        </w:tc>
        <w:tc>
          <w:tcPr>
            <w:tcW w:type="dxa" w:w="2923"/>
          </w:tcPr>
          <w:p>
            <w:r/>
            <w:r>
              <w:rPr>
                <w:rFonts w:ascii="Times New Roman" w:hAnsi="Times New Roman"/>
                <w:sz w:val="22"/>
              </w:rPr>
              <w:t>Konsolidert analysefil</w:t>
            </w:r>
          </w:p>
        </w:tc>
        <w:tc>
          <w:tcPr>
            <w:tcW w:type="dxa" w:w="2923"/>
          </w:tcPr>
          <w:p>
            <w:r/>
            <w:r>
              <w:rPr>
                <w:rFonts w:ascii="Times New Roman" w:hAnsi="Times New Roman"/>
                <w:sz w:val="22"/>
              </w:rPr>
              <w:t>709 aktive artikler, 21 kolonner</w:t>
            </w:r>
          </w:p>
        </w:tc>
      </w:tr>
    </w:tbl>
    <w:p>
      <w:pPr>
        <w:spacing w:line="360" w:lineRule="auto"/>
      </w:pPr>
      <w:r>
        <w:rPr>
          <w:rFonts w:ascii="Times New Roman" w:hAnsi="Times New Roman" w:cs="Times New Roman"/>
          <w:sz w:val="24"/>
        </w:rPr>
        <w:t>Alle datavalgsbeslutninger (D-01 til D-08) er dokumentert i Tabell 5 i hovedteksten.</w:t>
      </w:r>
    </w:p>
    <w:p>
      <w:pPr>
        <w:pStyle w:val="Overskrift2"/>
      </w:pPr>
      <w:r>
        <w:rPr>
          <w:rFonts w:ascii="Times New Roman" w:hAnsi="Times New Roman"/>
          <w:color w:val="000000"/>
          <w:sz w:val="32"/>
        </w:rPr>
        <w:t>Vedlegg B – Python-analyseverktøy</w:t>
      </w:r>
    </w:p>
    <w:p>
      <w:pPr>
        <w:spacing w:line="360" w:lineRule="auto"/>
      </w:pPr>
      <w:r>
        <w:rPr>
          <w:rFonts w:ascii="Times New Roman" w:hAnsi="Times New Roman" w:cs="Times New Roman"/>
          <w:sz w:val="24"/>
        </w:rPr>
        <w:t>Analyseverktøyet er implementert i Python 3.13 og består av to hovedkomponenter:</w:t>
      </w:r>
    </w:p>
    <w:p>
      <w:pPr>
        <w:spacing w:line="360" w:lineRule="auto"/>
      </w:pPr>
      <w:r>
        <w:rPr>
          <w:rFonts w:ascii="Times New Roman" w:hAnsi="Times New Roman" w:cs="Times New Roman"/>
          <w:b/>
          <w:sz w:val="24"/>
        </w:rPr>
        <w:t>Hovedscript:</w:t>
      </w:r>
      <w:r>
        <w:rPr>
          <w:rFonts w:ascii="Times New Roman" w:hAnsi="Times New Roman" w:cs="Times New Roman"/>
          <w:sz w:val="24"/>
        </w:rPr>
        <w:t xml:space="preserve"> `LOG650_analyse_v2_7.py` — deterministisk analysepipeline som leser MASTERFILE V1.xlsx og produserer alle klassifiseringer, K-means-modellen, regelmotoranbefalinger og besparelsesestimater. Outputformat: Excel (LOG650_Resultater.xlsx) med separate ark for hvert analysesteg.</w:t>
      </w:r>
    </w:p>
    <w:p>
      <w:pPr>
        <w:spacing w:line="360" w:lineRule="auto"/>
      </w:pPr>
      <w:r>
        <w:rPr>
          <w:rFonts w:ascii="Times New Roman" w:hAnsi="Times New Roman" w:cs="Times New Roman"/>
          <w:b/>
          <w:sz w:val="24"/>
        </w:rPr>
        <w:t>Figurscripts:</w:t>
      </w:r>
      <w:r>
        <w:rPr>
          <w:rFonts w:ascii="Times New Roman" w:hAnsi="Times New Roman" w:cs="Times New Roman"/>
          <w:sz w:val="24"/>
        </w:rPr>
        <w:t xml:space="preserve"> 12 separate Python-scripts (`plot_*.py`) som genererer figurene Fig00–Fig11 i konsistent stil (serif-font, 300 dpi, felles fargepalett).</w:t>
      </w:r>
    </w:p>
    <w:p>
      <w:pPr>
        <w:spacing w:line="360" w:lineRule="auto"/>
      </w:pPr>
      <w:r>
        <w:rPr>
          <w:rFonts w:ascii="Times New Roman" w:hAnsi="Times New Roman" w:cs="Times New Roman"/>
          <w:b/>
          <w:sz w:val="24"/>
        </w:rPr>
        <w:t>Nøkkelbibliotek:</w:t>
      </w:r>
      <w:r>
        <w:rPr>
          <w:rFonts w:ascii="Times New Roman" w:hAnsi="Times New Roman" w:cs="Times New Roman"/>
          <w:sz w:val="24"/>
        </w:rPr>
        <w:t xml:space="preserve"> pandas 2.x (datastrukturer), scikit-learn 1.x (KMeans, StandardScaler, silhouette_score), matplotlib 3.x (visualisering), openpyxl (Excel I/O).</w:t>
      </w:r>
    </w:p>
    <w:p>
      <w:pPr>
        <w:spacing w:line="360" w:lineRule="auto"/>
      </w:pPr>
      <w:r>
        <w:rPr>
          <w:rFonts w:ascii="Times New Roman" w:hAnsi="Times New Roman" w:cs="Times New Roman"/>
          <w:b/>
          <w:sz w:val="24"/>
        </w:rPr>
        <w:t>Reproduserbarhet:</w:t>
      </w:r>
      <w:r>
        <w:rPr>
          <w:rFonts w:ascii="Times New Roman" w:hAnsi="Times New Roman" w:cs="Times New Roman"/>
          <w:sz w:val="24"/>
        </w:rPr>
        <w:t xml:space="preserve"> Alle scripts bruker `random_state=42` for deterministisk output. Gjentatt kjøring med samme inputdata gir identiske resultater.</w:t>
      </w:r>
    </w:p>
    <w:p>
      <w:pPr>
        <w:spacing w:line="360" w:lineRule="auto"/>
      </w:pPr>
      <w:r>
        <w:rPr>
          <w:rFonts w:ascii="Times New Roman" w:hAnsi="Times New Roman" w:cs="Times New Roman"/>
          <w:sz w:val="24"/>
        </w:rPr>
        <w:t>Fullstendig kildekode er tilgjengelig i prosjektets GitHub-repository.</w:t>
      </w:r>
    </w:p>
    <w:p>
      <w:pPr>
        <w:pStyle w:val="Overskrift2"/>
      </w:pPr>
      <w:r>
        <w:rPr>
          <w:rFonts w:ascii="Times New Roman" w:hAnsi="Times New Roman"/>
          <w:color w:val="000000"/>
          <w:sz w:val="32"/>
        </w:rPr>
        <w:t>Vedlegg C – Erklæring om bruk av kunstig intelligens</w:t>
      </w:r>
    </w:p>
    <w:p>
      <w:pPr>
        <w:spacing w:line="360" w:lineRule="auto"/>
      </w:pPr>
      <w:r>
        <w:rPr>
          <w:rFonts w:ascii="Times New Roman" w:hAnsi="Times New Roman" w:cs="Times New Roman"/>
          <w:sz w:val="24"/>
        </w:rPr>
        <w:t>I denne rapporten er KI-verktøyet Claude (Anthropic, 2026) brukt som støtteverktøy i tre deler av arbeidet, i samsvar med Høgskolen i Molde sine retningslinjer for bruk av KI på hjemmeeksamen.</w:t>
      </w:r>
    </w:p>
    <w:p>
      <w:pPr>
        <w:spacing w:line="360" w:lineRule="auto"/>
      </w:pPr>
      <w:r>
        <w:rPr>
          <w:rFonts w:ascii="Times New Roman" w:hAnsi="Times New Roman" w:cs="Times New Roman"/>
          <w:b/>
          <w:sz w:val="24"/>
        </w:rPr>
        <w:t>1. Kode og algoritmer.</w:t>
      </w:r>
      <w:r>
        <w:rPr>
          <w:rFonts w:ascii="Times New Roman" w:hAnsi="Times New Roman" w:cs="Times New Roman"/>
          <w:sz w:val="24"/>
        </w:rPr>
        <w:t xml:space="preserve"> Claude ble brukt til kodestøtte og feilsøking i Python-scriptet (`LOG650_analyse_v2_7.py`) som implementerer ABC-, XYZ-, EOQ- og K-means-analysen. Verktøyet ble brukt til å forstå kodelogikk, feilsøke syntaksfeil og generere foreløpige kodeutdrag som senere ble tilpasset og integrert. All kode er gjennomgått, testet og modifisert av forfatteren for å sikre korrekthet. Den endelige implementasjonen, tolkningen av resultater og presentasjonen av numeriske verdier er forfatterens ansvar. Alle scripts bruker `random_state=42` for deterministisk og reproduserbar output.</w:t>
      </w:r>
    </w:p>
    <w:p>
      <w:pPr>
        <w:spacing w:line="360" w:lineRule="auto"/>
      </w:pPr>
      <w:r>
        <w:rPr>
          <w:rFonts w:ascii="Times New Roman" w:hAnsi="Times New Roman" w:cs="Times New Roman"/>
          <w:b/>
          <w:sz w:val="24"/>
        </w:rPr>
        <w:t>2. Figurer og tabeller.</w:t>
      </w:r>
      <w:r>
        <w:rPr>
          <w:rFonts w:ascii="Times New Roman" w:hAnsi="Times New Roman" w:cs="Times New Roman"/>
          <w:sz w:val="24"/>
        </w:rPr>
        <w:t xml:space="preserve"> Alle 12 figurer (Fig00–Fig11) er generert med matplotlib-scripts der Claude bidro til utforming av layout, fargepalett og aksetitler. Figurene er basert på analyseresultater produsert av Python-scriptet fra SAP-kildedata — KI-verktøyet har ikke produsert eller modifisert noen dataverdier. Hver figur er merket «Generert med støtte fra Claude (Anthropic, 2026)» i bildeteksten. Tabeller er formatert med støtte fra Claude, men alle verdier kommer direkte fra analysescriptet.</w:t>
      </w:r>
    </w:p>
    <w:p>
      <w:pPr>
        <w:spacing w:line="360" w:lineRule="auto"/>
      </w:pPr>
      <w:r>
        <w:rPr>
          <w:rFonts w:ascii="Times New Roman" w:hAnsi="Times New Roman" w:cs="Times New Roman"/>
          <w:b/>
          <w:sz w:val="24"/>
        </w:rPr>
        <w:t>3. Tekststrukturering og språklig bearbeiding.</w:t>
      </w:r>
      <w:r>
        <w:rPr>
          <w:rFonts w:ascii="Times New Roman" w:hAnsi="Times New Roman" w:cs="Times New Roman"/>
          <w:sz w:val="24"/>
        </w:rPr>
        <w:t xml:space="preserve"> Claude ble brukt til å strukturere rapportteksten og forbedre språklig klarhet. Verktøyet foreslo disposisjon, avsnittsinndeling og formuleringer som forfatteren vurderte kritisk og reviderte. Alle faglige påstander, argumenter og konklusjoner er forfatterens egne. Claude er ikke brukt som fagkilde og er ikke sitert som belegg for faglige påstander.</w:t>
      </w:r>
    </w:p>
    <w:p>
      <w:pPr>
        <w:spacing w:line="360" w:lineRule="auto"/>
      </w:pPr>
      <w:r>
        <w:rPr>
          <w:rFonts w:ascii="Times New Roman" w:hAnsi="Times New Roman" w:cs="Times New Roman"/>
          <w:b/>
          <w:sz w:val="24"/>
        </w:rPr>
        <w:t>Avgrensning.</w:t>
      </w:r>
      <w:r>
        <w:rPr>
          <w:rFonts w:ascii="Times New Roman" w:hAnsi="Times New Roman" w:cs="Times New Roman"/>
          <w:sz w:val="24"/>
        </w:rPr>
        <w:t xml:space="preserve"> Rådata fra SAP ble ikke lagt inn i KI-verktøyet. Alle datatransformasjoner er dokumentert i D-01–D-08 (avsnitt 4.3) og kjørt lokalt i Python. Ingen pasientdata eller personopplysninger er brukt i studien.</w:t>
      </w:r>
    </w:p>
    <w:sectPr w:rsidR="000F66BC" w:rsidRPr="000F66BC" w:rsidSect="00C90D42">
      <w:footerReference w:type="default" r:id="rId41"/>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numPr>
        <w:numId w:val="21"/>
      </w:numPr>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numPr>
        <w:ilvl w:val="1"/>
        <w:numId w:val="21"/>
      </w:numPr>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numPr>
        <w:ilvl w:val="2"/>
        <w:numId w:val="21"/>
      </w:numPr>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