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3"/>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4"/>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5"/>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6"/>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7"/>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TIL_VURDERING.</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TIL VURDERING-gruppen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8"/>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39"/>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ABC Pareto-kurve: kumulativ verdiandel for 709 artikler</w:t>
      </w:r>
    </w:p>
    <w:p>
      <w:pPr>
        <w:spacing w:line="360" w:lineRule="auto"/>
      </w:pPr>
      <w:r>
        <w:rPr>
          <w:rFonts w:ascii="Times New Roman" w:hAnsi="Times New Roman" w:cs="Times New Roman"/>
          <w:sz w:val="24"/>
        </w:rPr>
        <w:t>Figur 5. ABC/XYZ-kryssmatrise: antall artikler per kombinasjon</w:t>
      </w:r>
    </w:p>
    <w:p>
      <w:pPr>
        <w:spacing w:line="360" w:lineRule="auto"/>
      </w:pPr>
      <w:r>
        <w:rPr>
          <w:rFonts w:ascii="Times New Roman" w:hAnsi="Times New Roman" w:cs="Times New Roman"/>
          <w:sz w:val="24"/>
        </w:rPr>
        <w:t>Figur 6. EOQ-avvik: relativ frekvensavvik med terskel ved τ_f = 1,5</w:t>
      </w:r>
    </w:p>
    <w:p>
      <w:pPr>
        <w:spacing w:line="360" w:lineRule="auto"/>
      </w:pPr>
      <w:r>
        <w:rPr>
          <w:rFonts w:ascii="Times New Roman" w:hAnsi="Times New Roman" w:cs="Times New Roman"/>
          <w:sz w:val="24"/>
        </w:rPr>
        <w:t>Figur 7. Silhouette-score for K = 2–7 (treningsdata, n = 389)</w:t>
      </w:r>
    </w:p>
    <w:p>
      <w:pPr>
        <w:spacing w:line="360" w:lineRule="auto"/>
      </w:pPr>
      <w:r>
        <w:rPr>
          <w:rFonts w:ascii="Times New Roman" w:hAnsi="Times New Roman" w:cs="Times New Roman"/>
          <w:sz w:val="24"/>
        </w:rPr>
        <w:t>Figur 8. K-means klyngeresultat (K = 3): forbruksstabilitet vs verdi og kostnadsavvik</w:t>
      </w:r>
    </w:p>
    <w:p>
      <w:pPr>
        <w:spacing w:line="360" w:lineRule="auto"/>
      </w:pPr>
      <w:r>
        <w:rPr>
          <w:rFonts w:ascii="Times New Roman" w:hAnsi="Times New Roman" w:cs="Times New Roman"/>
          <w:sz w:val="24"/>
        </w:rPr>
        <w:t>Figur 9. Klyngeprofiler for K-means (K = 3): gjennomsnittlig z-score per feature</w:t>
      </w:r>
    </w:p>
    <w:p>
      <w:pPr>
        <w:spacing w:line="360" w:lineRule="auto"/>
      </w:pPr>
      <w:r>
        <w:rPr>
          <w:rFonts w:ascii="Times New Roman" w:hAnsi="Times New Roman" w:cs="Times New Roman"/>
          <w:sz w:val="24"/>
        </w:rPr>
        <w:t>Figur 10.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har fått økt oppmerksomhet. Keshavarz Ghorabaee et al. (2015) presenterer EDAS-metoden (Evaluation based on Distance from Average Solution) som en alternativ tilnærming til tradisjonell ABC, og argumenterer for at avstandsbaserte rangeringsmetoder er mer robuste overfor ekstremverdier enn kumulative prosentandeler. Partovi og Burton (1993) foreslo allerede på 1990-tallet å bruke AHP (Analytic Hierarchy Process) for å vekte klassifiseringskriterier etter organisasjonens prioriteringer. Begge tilnærminger er faglig interessante, men krever subjektiv vekting — noe som utgjør en svakhet i kvantitative, datadrevne analyser. Denne oppgaven velger å holde seg til objektivt beregnbare kriterier (verdi, CV, EOQ-avvik) for å sikre etterprøvbarhet.</w:t>
      </w:r>
    </w:p>
    <w:p>
      <w:pPr>
        <w:spacing w:line="360" w:lineRule="auto"/>
      </w:pPr>
      <w:r>
        <w:rPr>
          <w:rFonts w:ascii="Times New Roman" w:hAnsi="Times New Roman" w:cs="Times New Roman"/>
          <w:sz w:val="24"/>
        </w:rPr>
        <w:t>Bruk av klyngeanalyse for lagerklassifisering er dokumentert i litteraturen som et alternativ som fanger opp sammensatte mønstre uten å kreve forhåndsdefinerte terskelverdier. Srinivasan og Moon (1999) introduserte hierarkisk klynging som verktøy for strategisk analyse av forsyningskjedenettverk, og viste at klyngebaserte beslutninger gir løsninger nær optimale med langt lavere beregningsmessig kompleksitet enn helhetlige optimeringer. K-means som spesifikk algoritme er godt etablert i lagerstyringsapplikasjoner, men kombinasjonen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gir det mest omfattende rammeverket for SKU-klassifisering som akademisk felt, og identifiserer tre hoveddimensjoner: hvilke karakteristikker som benyttes (verdi, variabilitet, kritikalitet, ledetid), hvilken klassifiseringsteknikk som velges (ABC, clustering, MCDM), og hvordan klassene operasjonaliseres i styringssystemer. Rammeverket er særlig nyttig som posisjoneringsverktøy: denne oppgaven opererer i krysningspunktet mellom alle tre dimensjoner, og er metodisk motivert av at ingen enkelt teknikk alene håndterer den beslutningssituasjonen Helse Bergen står i.</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Bijvank og Vis (2012) påpeker at sykehuslogistikk kjennetegnes av begrenset kapasitet, korte ledetidskrav og høy servicekritikalitet — faktorer som gjør standard industrimodeller utilstrekkelige. Moons et al. (2019) understreker behovet for flerkriteriebaserte ytelsesmål fremfor enkelt-dimensjonale kostnadsmål. Saha og Ray (2019) konkluderer i sin gjennomgang av 137 artikler at det er behov for empiriske studier som kobler kvantitative klassifiseringsmodeller til konkrete beslutninger i reelle sykehussystemer. Denne oppgaven søker å fylle nettopp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utgjør de artiklene som til sammen representerer de første 80 prosentene av total innkjøpsverdi; B-artikler de neste 15 prosentene (80–95 prosent kumulativt); og C-artikler de resterende 5 prosentene av verdi, som typisk utgjør den største andelen av artikkeltallet (Silaen et al., 2023). Grenseverdiene 80/15/5 prosent er konvensjonelle og benyttes konsekvent i denne oppgaven.</w:t>
      </w:r>
    </w:p>
    <w:p>
      <w:pPr>
        <w:spacing w:line="360" w:lineRule="auto"/>
      </w:pPr>
      <w:r>
        <w:rPr>
          <w:rFonts w:ascii="Times New Roman" w:hAnsi="Times New Roman" w:cs="Times New Roman"/>
          <w:sz w:val="24"/>
        </w:rPr>
        <w:t>Den formelle beregningen tar utgangspunkt i total innkjøpsverdi per artikkel over analyseperioden, sortert synkende. Kumulativ verdiandel beregnes som:</w:t>
      </w:r>
    </w:p>
    <w:p>
      <w:pPr>
        <w:spacing w:line="360" w:lineRule="auto"/>
        <w:jc w:val="center"/>
      </w:pPr>
      <m:oMath>
        <m:sSub>
          <m:e>
            <m:r>
              <m:rPr>
                <m:nor/>
              </m:rPr>
              <m:t>CUM\_PCT</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nary>
              <m:naryPr>
                <m:chr m:val="∑"/>
                <m:limLoc m:val="subSup"/>
                <m:grow m:val="1"/>
                <m:subHide m:val="off"/>
                <m:supHide m:val="off"/>
              </m:naryPr>
              <m:sub>
                <m:r>
                  <m:t>j=1</m:t>
                </m:r>
              </m:sub>
              <m:sup>
                <m:r>
                  <m:t>N</m:t>
                </m:r>
              </m:sup>
              <m:e>
                <m:sSub>
                  <m:e>
                    <m:r>
                      <m:t>V</m:t>
                    </m:r>
                  </m:e>
                  <m:sub>
                    <m:r>
                      <m:t>j</m:t>
                    </m:r>
                  </m:sub>
                </m:sSub>
              </m:e>
            </m:nary>
          </m:den>
        </m:f>
        <m:r>
          <m:t>×100</m:t>
        </m:r>
      </m:oMath>
    </w:p>
    <w:p>
      <w:pPr>
        <w:spacing w:line="360" w:lineRule="auto"/>
      </w:pPr>
      <w:r>
        <w:rPr>
          <w:rFonts w:ascii="Times New Roman" w:hAnsi="Times New Roman" w:cs="Times New Roman"/>
          <w:sz w:val="24"/>
        </w:rPr>
        <w:t xml:space="preserve">der </w:t>
      </w:r>
      <m:oMath>
        <m:sSub>
          <m:e>
            <m:r>
              <m:t>V</m:t>
            </m:r>
          </m:e>
          <m:sub>
            <m:r>
              <m:t>j</m:t>
            </m:r>
          </m:sub>
        </m:sSub>
      </m:oMath>
      <w:r>
        <w:rPr>
          <w:rFonts w:ascii="Times New Roman" w:hAnsi="Times New Roman" w:cs="Times New Roman"/>
          <w:sz w:val="24"/>
        </w:rPr>
        <w:t xml:space="preserve"> er innkjøpsverdien for artikkel </w:t>
      </w:r>
      <m:oMath>
        <m:r>
          <m:t>j</m:t>
        </m:r>
      </m:oMath>
      <w:r>
        <w:rPr>
          <w:rFonts w:ascii="Times New Roman" w:hAnsi="Times New Roman" w:cs="Times New Roman"/>
          <w:sz w:val="24"/>
        </w:rPr>
        <w:t xml:space="preserve"> rangert etter synkende verdi, og </w:t>
      </w:r>
      <m:oMath>
        <m:r>
          <m:t>N</m:t>
        </m:r>
      </m:oMath>
      <w:r>
        <w:rPr>
          <w:rFonts w:ascii="Times New Roman" w:hAnsi="Times New Roman" w:cs="Times New Roman"/>
          <w:sz w:val="24"/>
        </w:rPr>
        <w:t xml:space="preserve"> er totalt antall artikler. Artikkel </w:t>
      </w:r>
      <m:oMath>
        <m:r>
          <m:t>i</m:t>
        </m:r>
      </m:oMath>
      <w:r>
        <w:rPr>
          <w:rFonts w:ascii="Times New Roman" w:hAnsi="Times New Roman" w:cs="Times New Roman"/>
          <w:sz w:val="24"/>
        </w:rPr>
        <w:t xml:space="preserve"> tilordnes klasse A dersom </w:t>
      </w:r>
      <m:oMath>
        <m:sSub>
          <m:e>
            <m:r>
              <m:rPr>
                <m:nor/>
              </m:rPr>
              <m:t>CUM\_PCT</m:t>
            </m:r>
          </m:e>
          <m:sub>
            <m:r>
              <m:t>i</m:t>
            </m:r>
          </m:sub>
        </m:sSub>
        <m:r>
          <m:t>≤80</m:t>
        </m:r>
      </m:oMath>
      <w:r>
        <w:rPr>
          <w:rFonts w:ascii="Times New Roman" w:hAnsi="Times New Roman" w:cs="Times New Roman"/>
          <w:sz w:val="24"/>
        </w:rPr>
        <w:t xml:space="preserve">, klasse B dersom </w:t>
      </w:r>
      <m:oMath>
        <m:r>
          <m:t>80&lt;</m:t>
        </m:r>
        <m:sSub>
          <m:e>
            <m:r>
              <m:rPr>
                <m:nor/>
              </m:rPr>
              <m:t>CUM\_PCT</m:t>
            </m:r>
          </m:e>
          <m:sub>
            <m:r>
              <m:t>i</m:t>
            </m:r>
          </m:sub>
        </m:sSub>
        <m:r>
          <m:t>≤95</m:t>
        </m:r>
      </m:oMath>
      <w:r>
        <w:rPr>
          <w:rFonts w:ascii="Times New Roman" w:hAnsi="Times New Roman" w:cs="Times New Roman"/>
          <w:sz w:val="24"/>
        </w:rPr>
        <w:t>, og klasse C ellers. I denne oppgaven benyttes innkjøpsverdi fra SAP-tabell EKPO (feltet NETWR) som primærgrunnlag, supplert med beregnet verdi (</w:t>
      </w:r>
      <m:oMath>
        <m:sSub>
          <m:e>
            <m:r>
              <m:t>D</m:t>
            </m:r>
          </m:e>
          <m:sub>
            <m:r>
              <m:rPr>
                <m:nor/>
              </m:rPr>
              <m:t>annual</m:t>
            </m:r>
          </m:sub>
        </m:sSub>
        <m:r>
          <m:t>×</m:t>
        </m:r>
        <m:r>
          <m:rPr>
            <m:nor/>
          </m:rPr>
          <m:t>UNIT\_PRICE</m:t>
        </m:r>
      </m:oMath>
      <w:r>
        <w:rPr>
          <w:rFonts w:ascii="Times New Roman" w:hAnsi="Times New Roman" w:cs="Times New Roman"/>
          <w:sz w:val="24"/>
        </w:rPr>
        <w:t>) for artikler uten innkjøpshistorikk i analyseperioden.</w:t>
      </w:r>
    </w:p>
    <w:p>
      <w:pPr>
        <w:spacing w:line="360" w:lineRule="auto"/>
      </w:pPr>
      <w:r>
        <w:rPr>
          <w:rFonts w:ascii="Times New Roman" w:hAnsi="Times New Roman" w:cs="Times New Roman"/>
          <w:sz w:val="24"/>
        </w:rPr>
        <w:t>Styrken ved ABC-analyse er metodens enkelhet, transparens og direkte kopling til lagerkapitalbinding. Metoden identifiserer raskt hvilke artikler som krever tett oppfølging og prioritert styring. Svakheten er at verdidimensjonen alene ikke fanger opp kritikalitet for forsyningssikkerhet eller variabilitet i etterspørsel — to faktorer som er særlig relevante i sykehuskontekst. En A-artikkel kan ha svært uregelmessig forbruksmønster og kreve annen styringslogikk enn en A-artikkel med stabilt forbruk. Partovi og Burton (1993) påpeker allerede tidlig at ABC-analyse bør suppleres med kriterier for klinisk viktighet og ledetidsfølsomhet.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CV er definert som forholdet mellom standardavviket og gjennomsnittet av månedlig forbruk over analyseperioden:</w:t>
      </w:r>
    </w:p>
    <w:p>
      <w:pPr>
        <w:spacing w:line="360" w:lineRule="auto"/>
        <w:jc w:val="center"/>
      </w:pPr>
      <m:oMath>
        <m:r>
          <m:t>C</m:t>
        </m:r>
        <m:sSub>
          <m:e>
            <m:r>
              <m:t>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artikkel </w:t>
      </w:r>
      <m:oMath>
        <m:r>
          <m:t>i</m:t>
        </m:r>
      </m:oMath>
      <w:r>
        <w:rPr>
          <w:rFonts w:ascii="Times New Roman" w:hAnsi="Times New Roman" w:cs="Times New Roman"/>
          <w:sz w:val="24"/>
        </w:rPr>
        <w:t xml:space="preserve">'s månedlige forbruk. Klassifikasjonsgensene følger Nowotyńska (2013): X-artikler har </w:t>
      </w:r>
      <m:oMath>
        <m:r>
          <m:t>CV&lt;0</m:t>
        </m:r>
        <m:r>
          <m:t>,</m:t>
        </m:r>
        <m:r>
          <m:t>5</m:t>
        </m:r>
      </m:oMath>
      <w:r>
        <w:rPr>
          <w:rFonts w:ascii="Times New Roman" w:hAnsi="Times New Roman" w:cs="Times New Roman"/>
          <w:sz w:val="24"/>
        </w:rPr>
        <w:t xml:space="preserve"> og karakteriseres av stabilt, forutsigbart forbruk; Y-artikler har </w:t>
      </w:r>
      <m:oMath>
        <m:r>
          <m:t>0</m:t>
        </m:r>
        <m:r>
          <m:t>,</m:t>
        </m:r>
        <m:r>
          <m:t>5≤</m:t>
        </m:r>
      </m:oMath>
      <w:r>
        <w:rPr>
          <w:rFonts w:ascii="Times New Roman" w:hAnsi="Times New Roman" w:cs="Times New Roman"/>
          <w:sz w:val="24"/>
        </w:rPr>
        <w:t>CV &lt; 1</w:t>
      </w:r>
      <m:oMath>
        <m:r>
          <m:t>,</m:t>
        </m:r>
        <m:r>
          <m:t>0</m:t>
        </m:r>
      </m:oMath>
      <w:r>
        <w:rPr>
          <w:rFonts w:ascii="Times New Roman" w:hAnsi="Times New Roman" w:cs="Times New Roman"/>
          <w:sz w:val="24"/>
        </w:rPr>
        <w:t xml:space="preserve"> og viser moderate svingninger; Z-artikler har </w:t>
      </w:r>
      <m:oMath>
        <m:r>
          <m:t>CV≥1</m:t>
        </m:r>
        <m:r>
          <m:t>,</m:t>
        </m:r>
        <m:r>
          <m:t>0</m:t>
        </m:r>
      </m:oMath>
      <w:r>
        <w:rPr>
          <w:rFonts w:ascii="Times New Roman" w:hAnsi="Times New Roman" w:cs="Times New Roman"/>
          <w:sz w:val="24"/>
        </w:rPr>
        <w:t xml:space="preserve"> og kjennetegnes av uregelmessig eller sesongpreget etterspørsel.</w:t>
      </w:r>
    </w:p>
    <w:p>
      <w:pPr>
        <w:spacing w:line="360" w:lineRule="auto"/>
      </w:pPr>
      <w:r>
        <w:rPr>
          <w:rFonts w:ascii="Times New Roman" w:hAnsi="Times New Roman" w:cs="Times New Roman"/>
          <w:sz w:val="24"/>
        </w:rPr>
        <w:t>XYZ-analyse er metodisk komplementær til ABC fordi den tilføyer en tidsseriedimensjon til verdianalysen. En artikkel med høy innkjøpsverdi (A-klasse) og stabilt forbruk (X-klasse) er en svært god kandidat for sentralisert styring gjennom et regionalt lager, fordi etterspørselen er lett å planlegge og aggregert volum kan utnyttes for innkjøpsstordriftsfordeler. En AZ-artikkel krever derimot lokal beredskapslagring uavhengig av verdi, fordi forsyningssikkerhet ikke kan garanteres gjennom sentraliserte leveranser med standard ledetid. Suryaputri et al. (2022) viser i sin casestudie fra helseindustrien at ABC/XYZ-matrisen med ni kategorier gir substansielt bedre differensiering av bestillingspolicy sammenlignet med enkelt-kriterieanalyse.</w:t>
      </w:r>
    </w:p>
    <w:p>
      <w:pPr>
        <w:spacing w:line="360" w:lineRule="auto"/>
      </w:pPr>
      <w:r>
        <w:rPr>
          <w:rFonts w:ascii="Times New Roman" w:hAnsi="Times New Roman" w:cs="Times New Roman"/>
          <w:sz w:val="24"/>
        </w:rPr>
        <w:t>En sentral utfordring i denne oppgaven er forholdet mellom beregnet XYZ fra forbruksdata (MSEG) og SAP-systemets lagrede XYZ-verdi (MDMA.ZZXYZ). SAP-feltet ZZXYZ oppdateres ikke nødvendigvis løpende og kan basere seg på andre terskelverdier enn de som er standard i litteraturen. Oppgavens analyse behandler dette som et empirisk valideringsspørsmål og rapporterer samsvarsprosenten eksplisitt som et datakvalitetsfunn.</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er en klassisk lagerstyringsmodell som beregner den optimale bestillingsmengden som minimerer summen av årlige ordrekostnader og holdekostnader. Modellen er formulert som en minimering av totalkostnadsfunksjonen:</w:t>
      </w:r>
    </w:p>
    <w:p>
      <w:pPr>
        <w:spacing w:line="360" w:lineRule="auto"/>
        <w:jc w:val="center"/>
      </w:pPr>
      <m:oMath>
        <m:r>
          <m:t>TC(Q)=</m:t>
        </m:r>
        <m:f>
          <m:fPr>
            <m:type m:val="bar"/>
          </m:fPr>
          <m:num>
            <m:r>
              <m:t>D</m:t>
            </m:r>
          </m:num>
          <m:den>
            <m:r>
              <m:t>Q</m:t>
            </m:r>
          </m:den>
        </m:f>
        <m:r>
          <m:t>·S+</m:t>
        </m:r>
        <m:f>
          <m:fPr>
            <m:type m:val="bar"/>
          </m:fPr>
          <m:num>
            <m:r>
              <m:t>Q</m:t>
            </m:r>
          </m:num>
          <m:den>
            <m:r>
              <m:t>2</m:t>
            </m:r>
          </m:den>
        </m:f>
        <m:r>
          <m:t>·H</m:t>
        </m:r>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årlig etterspørsel i enheter, </w:t>
      </w:r>
      <m:oMath>
        <m:r>
          <m:t>Q</m:t>
        </m:r>
      </m:oMath>
      <w:r>
        <w:rPr>
          <w:rFonts w:ascii="Times New Roman" w:hAnsi="Times New Roman" w:cs="Times New Roman"/>
          <w:sz w:val="24"/>
        </w:rPr>
        <w:t xml:space="preserve"> er bestillingsmengden, </w:t>
      </w:r>
      <m:oMath>
        <m:r>
          <m:t>S</m:t>
        </m:r>
      </m:oMath>
      <w:r>
        <w:rPr>
          <w:rFonts w:ascii="Times New Roman" w:hAnsi="Times New Roman" w:cs="Times New Roman"/>
          <w:sz w:val="24"/>
        </w:rPr>
        <w:t xml:space="preserve"> er kostnad per ordre (kroner per bestillingstransaksjon), og </w:t>
      </w:r>
      <m:oMath>
        <m:r>
          <m:t>H</m:t>
        </m:r>
      </m:oMath>
      <w:r>
        <w:rPr>
          <w:rFonts w:ascii="Times New Roman" w:hAnsi="Times New Roman" w:cs="Times New Roman"/>
          <w:sz w:val="24"/>
        </w:rPr>
        <w:t xml:space="preserve"> er holdekostnad per enhet per år (kroner). Minimering av </w:t>
      </w:r>
      <m:oMath>
        <m:r>
          <m:t>TC(Q)</m:t>
        </m:r>
      </m:oMath>
      <w:r>
        <w:rPr>
          <w:rFonts w:ascii="Times New Roman" w:hAnsi="Times New Roman" w:cs="Times New Roman"/>
          <w:sz w:val="24"/>
        </w:rPr>
        <w:t xml:space="preserve"> med hensyn til </w:t>
      </w:r>
      <m:oMath>
        <m:r>
          <m:t>Q</m:t>
        </m:r>
      </m:oMath>
      <w:r>
        <w:rPr>
          <w:rFonts w:ascii="Times New Roman" w:hAnsi="Times New Roman" w:cs="Times New Roman"/>
          <w:sz w:val="24"/>
        </w:rPr>
        <w:t xml:space="preserve"> gir den optimale bestillingsmengden:</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Den tilhørende optimale bestillingsfrekvensen er </w:t>
      </w:r>
      <m:oMath>
        <m:sSup>
          <m:e>
            <m:r>
              <m:t>f</m:t>
            </m:r>
          </m:e>
          <m:sup>
            <m:r>
              <m:t>*</m:t>
            </m:r>
          </m:sup>
        </m:sSup>
        <m:r>
          <m:t>=D/</m:t>
        </m:r>
        <m:sSup>
          <m:e>
            <m:r>
              <m:t>Q</m:t>
            </m:r>
          </m:e>
          <m:sup>
            <m:r>
              <m:t>*</m:t>
            </m:r>
          </m:sup>
        </m:sSup>
      </m:oMath>
      <w:r>
        <w:rPr>
          <w:rFonts w:ascii="Times New Roman" w:hAnsi="Times New Roman" w:cs="Times New Roman"/>
          <w:sz w:val="24"/>
        </w:rPr>
        <w:t xml:space="preserve"> ordrer per år. Enhver avvik fra </w:t>
      </w:r>
      <m:oMath>
        <m:sSup>
          <m:e>
            <m:r>
              <m:t>f</m:t>
            </m:r>
          </m:e>
          <m:sup>
            <m:r>
              <m:t>*</m:t>
            </m:r>
          </m:sup>
        </m:sSup>
      </m:oMath>
      <w:r>
        <w:rPr>
          <w:rFonts w:ascii="Times New Roman" w:hAnsi="Times New Roman" w:cs="Times New Roman"/>
          <w:sz w:val="24"/>
        </w:rPr>
        <w:t xml:space="preserve"> — enten mot for hyppige eller for sjeldne bestillinger — medfører unødvendige kostnader. I denne oppgaven benyttes EOQ primært for å identifisere artikler der faktisk bestillingsfrekvens avviker vesentlig fra </w:t>
      </w:r>
      <m:oMath>
        <m:sSup>
          <m:e>
            <m:r>
              <m:t>f</m:t>
            </m:r>
          </m:e>
          <m:sup>
            <m:r>
              <m:t>*</m:t>
            </m:r>
          </m:sup>
        </m:sSup>
      </m:oMath>
      <w:r>
        <w:rPr>
          <w:rFonts w:ascii="Times New Roman" w:hAnsi="Times New Roman" w:cs="Times New Roman"/>
          <w:sz w:val="24"/>
        </w:rPr>
        <w:t>, og der kostnadsavviket er kvantifiserbart (Ketkar &amp; Vaidya, 2014).</w:t>
      </w:r>
    </w:p>
    <w:p>
      <w:pPr>
        <w:spacing w:line="360" w:lineRule="auto"/>
      </w:pPr>
      <w:r>
        <w:rPr>
          <w:rFonts w:ascii="Times New Roman" w:hAnsi="Times New Roman" w:cs="Times New Roman"/>
          <w:sz w:val="24"/>
        </w:rPr>
        <w:t>Modellen hviler på en rekke forutsetninger: konstant og kjent etterspørsel, øyeblikkelig leveranse (ingen ledetid), ingen kvantumsrabatter og lineær holdekostnad. I praksis brytes samtlige av disse forutsetningene i varierende grad. Hautaniemi og Pirttilä (1999) diskuterer dette i en MRP-kontekst og påpeker at EOQ i mange tilfeller overstiger faktisk etterspørsel per periode, noe som genererer suboptimale partistørrelser. Pujawan (2004) viser at unøyaktige lot-sizing-regler kan forplante seg som ordrevariabilitet oppover i forsyningskjeden — det såkalte bullwhip-fenomenet. I sykehuskontekst begrenses disse problemene noe av det faktum at medisinsk forbruksmateriell har relativt stabile etterspørselsmønstre for store volumartikler, men problemstillingen er like fullt relevant for Z-klassifiserte artikler.</w:t>
      </w:r>
    </w:p>
    <w:p>
      <w:pPr>
        <w:spacing w:line="360" w:lineRule="auto"/>
      </w:pPr>
      <w:r>
        <w:rPr>
          <w:rFonts w:ascii="Times New Roman" w:hAnsi="Times New Roman" w:cs="Times New Roman"/>
          <w:sz w:val="24"/>
        </w:rPr>
        <w:t xml:space="preserve">I denne oppgaven er parameterne satt til </w:t>
      </w:r>
      <m:oMath>
        <m:r>
          <m:t>S=750</m:t>
        </m:r>
      </m:oMath>
      <w:r>
        <w:rPr>
          <w:rFonts w:ascii="Times New Roman" w:hAnsi="Times New Roman" w:cs="Times New Roman"/>
          <w:sz w:val="24"/>
        </w:rPr>
        <w:t xml:space="preserve"> NOK og </w:t>
      </w:r>
      <m:oMath>
        <m:r>
          <m:t>H=p×20</m:t>
        </m:r>
        <m:r>
          <m:t>%</m:t>
        </m:r>
      </m:oMath>
      <w:r>
        <w:rPr>
          <w:rFonts w:ascii="Times New Roman" w:hAnsi="Times New Roman" w:cs="Times New Roman"/>
          <w:sz w:val="24"/>
        </w:rPr>
        <w:t xml:space="preserve">, der </w:t>
      </w:r>
      <m:oMath>
        <m:r>
          <m:t>p</m:t>
        </m:r>
      </m:oMath>
      <w:r>
        <w:rPr>
          <w:rFonts w:ascii="Times New Roman" w:hAnsi="Times New Roman" w:cs="Times New Roman"/>
          <w:sz w:val="24"/>
        </w:rPr>
        <w:t xml:space="preserve"> er enhetsprisen fra MBEW. Sensitivitetsanalysen varierer </w:t>
      </w:r>
      <m:oMath>
        <m:r>
          <m:t>S∈{500,750,1</m:t>
        </m:r>
        <m:r>
          <m:t>000}</m:t>
        </m:r>
      </m:oMath>
      <w:r>
        <w:rPr>
          <w:rFonts w:ascii="Times New Roman" w:hAnsi="Times New Roman" w:cs="Times New Roman"/>
          <w:sz w:val="24"/>
        </w:rPr>
        <w:t xml:space="preserve"> NOK og holdekostnadssatsen </w:t>
      </w:r>
      <m:oMath>
        <m:r>
          <m:t>∈{15</m:t>
        </m:r>
        <m:r>
          <m:t>%,20</m:t>
        </m:r>
        <m:r>
          <m:t>%,25</m:t>
        </m:r>
        <m:r>
          <m:t>%}</m:t>
        </m:r>
      </m:oMath>
      <w:r>
        <w:rPr>
          <w:rFonts w:ascii="Times New Roman" w:hAnsi="Times New Roman" w:cs="Times New Roman"/>
          <w:sz w:val="24"/>
        </w:rPr>
        <w:t xml:space="preserve"> for å kartlegge robustheten i besparelsesestimatene.</w:t>
      </w:r>
    </w:p>
    <w:p>
      <w:pPr>
        <w:spacing w:line="360" w:lineRule="auto"/>
      </w:pPr>
      <w:r>
        <w:rPr>
          <w:rFonts w:ascii="Times New Roman" w:hAnsi="Times New Roman" w:cs="Times New Roman"/>
          <w:sz w:val="24"/>
        </w:rPr>
        <w:t xml:space="preserve">Totalkostnaden ved en gitt ordrefrekvens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sz w:val="24"/>
        </w:rPr>
        <w:t xml:space="preserve">Optimal frekvens minimerer </w:t>
      </w:r>
      <m:oMath>
        <m:r>
          <m:t>TC(f)</m:t>
        </m:r>
      </m:oMath>
      <w:r>
        <w:rPr>
          <w:rFonts w:ascii="Times New Roman" w:hAnsi="Times New Roman" w:cs="Times New Roman"/>
          <w:sz w:val="24"/>
        </w:rPr>
        <w:t>:</w:t>
      </w:r>
    </w:p>
    <w:p>
      <w:pPr>
        <w:spacing w:line="360" w:lineRule="auto"/>
        <w:jc w:val="center"/>
      </w:pPr>
      <m:oMath>
        <m:sSup>
          <m:e>
            <m:r>
              <m:t>f</m:t>
            </m:r>
          </m:e>
          <m:sup>
            <m:r>
              <m:t>*</m:t>
            </m:r>
          </m:sup>
        </m:sSup>
        <m:r>
          <m:t>=</m:t>
        </m:r>
        <m:rad>
          <m:radPr>
            <m:degHide m:val="on"/>
          </m:radPr>
          <m:deg/>
          <m:e>
            <m:f>
              <m:fPr>
                <m:type m:val="bar"/>
              </m:fPr>
              <m:num>
                <m:r>
                  <m:t>DH</m:t>
                </m:r>
              </m:num>
              <m:den>
                <m:r>
                  <m:t>2S</m:t>
                </m:r>
              </m:den>
            </m:f>
          </m:e>
        </m:rad>
      </m:oMath>
    </w:p>
    <w:p>
      <w:pPr>
        <w:spacing w:line="360" w:lineRule="auto"/>
      </w:pPr>
      <w:r>
        <w:rPr>
          <w:rFonts w:ascii="Times New Roman" w:hAnsi="Times New Roman" w:cs="Times New Roman"/>
          <w:sz w:val="24"/>
        </w:rPr>
        <w:t xml:space="preserve">og EOQ fremkommer som </w:t>
      </w:r>
      <m:oMath>
        <m:sSup>
          <m:e>
            <m:r>
              <m:t>Q</m:t>
            </m:r>
          </m:e>
          <m:sup>
            <m:r>
              <m:t>*</m:t>
            </m:r>
          </m:sup>
        </m:sSup>
        <m:r>
          <m:t>=D/</m:t>
        </m:r>
        <m:sSup>
          <m:e>
            <m:r>
              <m:t>f</m:t>
            </m:r>
          </m:e>
          <m:sup>
            <m:r>
              <m:t>*</m:t>
            </m:r>
          </m:sup>
        </m:sSup>
      </m:oMath>
      <w:r>
        <w:rPr>
          <w:rFonts w:ascii="Times New Roman" w:hAnsi="Times New Roman" w:cs="Times New Roman"/>
          <w:sz w:val="24"/>
        </w:rPr>
        <w:t xml:space="preserve">. Kostnadsavviket for en artikkel med observert frekvens </w:t>
      </w:r>
      <m:oMath>
        <m:sSub>
          <m:e>
            <m:r>
              <m:t>f</m:t>
            </m:r>
          </m:e>
          <m:sub>
            <m:r>
              <m:rPr>
                <m:nor/>
              </m:rPr>
              <m:t>obs</m:t>
            </m:r>
          </m:sub>
        </m:sSub>
      </m:oMath>
      <w:r>
        <w:rPr>
          <w:rFonts w:ascii="Times New Roman" w:hAnsi="Times New Roman" w:cs="Times New Roman"/>
          <w:sz w:val="24"/>
        </w:rPr>
        <w:t xml:space="preserve">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Samlet besparelse ved HVFS-overføring er:</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Den detaljerte modellformuleringen er beskrevet i kapittel 5.</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(sentroid). Algoritmen itererer over to steg: (1) tilordne hvert punkt til nærmeste sentroid, og (2) oppdatere sentroides som gjennomsnittet av tilordnede punkter. Prosessen gjentas til konvergens, det vil si at klyngetilhørigheten ikke lenger endres mellom iterasjoner (Pedregosa et al., 2011).</w:t>
      </w:r>
    </w:p>
    <w:p>
      <w:pPr>
        <w:spacing w:line="360" w:lineRule="auto"/>
      </w:pPr>
      <w:r>
        <w:rPr>
          <w:rFonts w:ascii="Times New Roman" w:hAnsi="Times New Roman" w:cs="Times New Roman"/>
          <w:sz w:val="24"/>
        </w:rPr>
        <w:t xml:space="preserve">For å bestemme optimalt antall klynger </w:t>
      </w:r>
      <m:oMath>
        <m:r>
          <m:t>K</m:t>
        </m:r>
      </m:oMath>
      <w:r>
        <w:rPr>
          <w:rFonts w:ascii="Times New Roman" w:hAnsi="Times New Roman" w:cs="Times New Roman"/>
          <w:sz w:val="24"/>
        </w:rPr>
        <w:t xml:space="preserve"> benyttes to komplementære valideringsmetoder. Albue-metoden (elbow method) plotter intra-klyngevariansen (WCSS — Within-Cluster Sum of Squares) som funksjon av </w:t>
      </w:r>
      <m:oMath>
        <m:r>
          <m:t>K</m:t>
        </m:r>
      </m:oMath>
      <w:r>
        <w:rPr>
          <w:rFonts w:ascii="Times New Roman" w:hAnsi="Times New Roman" w:cs="Times New Roman"/>
          <w:sz w:val="24"/>
        </w:rPr>
        <w:t xml:space="preserve"> og identifiserer det punktet der marginalreduksjonen flater ut. Silhouette-score kvantifiserer dette mer presist: for hvert datapunkt beregnes et mål på separasjonen mellom klynger relativt til kohesjon innen klyngen, og gjennomsnittsscoren over alle punkter ligger mellom -1 og 1, der verdier over 0,3 anses som akseptable og verdier over 0,5 som gode (Pedregosa et al., 2011). I denne oppgaven er </w:t>
      </w:r>
      <m:oMath>
        <m:r>
          <m:t>K=3</m:t>
        </m:r>
      </m:oMath>
      <w:r>
        <w:rPr>
          <w:rFonts w:ascii="Times New Roman" w:hAnsi="Times New Roman" w:cs="Times New Roman"/>
          <w:sz w:val="24"/>
        </w:rPr>
        <w:t xml:space="preserve"> valgt på bakgrunn av begge kriterier.</w:t>
      </w:r>
    </w:p>
    <w:p>
      <w:pPr>
        <w:spacing w:line="360" w:lineRule="auto"/>
      </w:pPr>
      <w:r>
        <w:rPr>
          <w:rFonts w:ascii="Times New Roman" w:hAnsi="Times New Roman" w:cs="Times New Roman"/>
          <w:sz w:val="24"/>
        </w:rPr>
        <w:t>To tekniske forbehandlingstrinn er faglig motiverte og avgjørende for analysens validitet. Log-transformasjon (</w:t>
      </w:r>
      <m:oMath>
        <m:r>
          <m:rPr>
            <m:sty m:val="p"/>
          </m:rPr>
          <m:t>log</m:t>
        </m:r>
        <m:r>
          <m:t>(1+x)</m:t>
        </m:r>
      </m:oMath>
      <w:r>
        <w:rPr>
          <w:rFonts w:ascii="Times New Roman" w:hAnsi="Times New Roman" w:cs="Times New Roman"/>
          <w:sz w:val="24"/>
        </w:rPr>
        <w:t>) benyttes på skjevfordelte variabler som innkjøpsverdi og ordrefrekvens, da disse typisk har kraftige halefordelinger der noen få høyverdiartikler ellers vil dominere klyngedannelsen og maskere strukturen blant den store majoriteten av artikler. Z-score-standardisering (nullgjennomsnitt, enhetsstandaravvik) sikrer at variabler med ulik skala og enhet — kroner, ordrefrekvens og variasjonskoeffisient — bidrar likeverdig til distanseberegningene. Uten standardisering vil den absolutte skalaen til prisvariabler dominere over CV-variabler, noe som ville gi klynger styrt av verdi alene fremfor den kombinerte profilen analysen søker å avdekke.</w:t>
      </w:r>
    </w:p>
    <w:p>
      <w:pPr>
        <w:spacing w:line="360" w:lineRule="auto"/>
      </w:pPr>
      <w:r>
        <w:rPr>
          <w:rFonts w:ascii="Times New Roman" w:hAnsi="Times New Roman" w:cs="Times New Roman"/>
          <w:sz w:val="24"/>
        </w:rPr>
        <w:t>Srinivasan og Moon (1999) viser at klyngeanalyse for strategisk forsyningskjedeanalyse gir resultater nær optimale sammenlignet med helhetlige optimeringer, og at metoden er praktisk håndterbar for store sortiment. Sammenlignet med regelbaserte klassifiseringsmetoder alene har klyngeanalyse den fordelen at den er data-drevet og ikke forutsetter forhåndsdefinerte terskelverdier. Begrensningen er at K-means er sensitiv for initialiseringen og forutsetter et konvekst, sfærisk klyngemønster — noe som ikke alltid er oppfylt i lagerdata. I denne oppgaven håndteres initialiseringsproblematikken ved bruk av k-means++ initialisering og random_state = 42 for reproduserbarhet, og klyngeresultatene valideres mot silhouette-score for begge delsett i et 80/20-split.</w:t>
      </w:r>
    </w:p>
    <w:p>
      <w:pPr>
        <w:spacing w:line="360" w:lineRule="auto"/>
      </w:pPr>
      <w:r>
        <w:rPr>
          <w:rFonts w:ascii="Times New Roman" w:hAnsi="Times New Roman" w:cs="Times New Roman"/>
          <w:sz w:val="24"/>
        </w:rPr>
        <w:t>I lagerstyringssammenheng brukes K-means primært som et segmenteringsverktøy for å identifisere artikkelgrupper med felles profil på tvers av flere dimensjoner samtidig — ikke som en prediktiv modell (Srinivasan &amp; Moon, 1999). Valg av K via silhouette-score er metodisk standard i eksplorativ klyngeanalyse og reduserer analytisk bias ved at K bestemmes av datastrukturen, ikke av forhåndsdefinerte kategorier (Pedregosa et al., 2011). Det finnes begrenset sykehus-spesifikk litteratur på K-means i lagerklassifisering; Gurumurthy et al. (2021) er blant de få som eksplisitt benytter klyngeanalyse i en sykehuslogistikkontekst, noe som understreker at metodekombinasjonen i denne studien bidrar til å utvide det empiriske grunnlaget på feltet.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på flere vesentlige punkter. Det mest fundamentale er at forsyningssvikt kan ha direkte kliniske konsekvenser — mangel på forbruksmateriell i en operasjonsstue er ikke sammenlignbart med et utsolgt produkt i en butikk. Bijvank og Vis (2012) modellerer dette som et tapte-salg-lagersystem (lost sales) der stockout har direkte operasjonell kostnad utover den rene anskaffelseskostnaden. Konsekvensen er at sykehus tradisjonelt har akseptert høyere sikkerhetslager og høyere lagerkostnader enn det som er kostnadsoptimalt, som en forsikring mot forsyningssvikt.</w:t>
      </w:r>
    </w:p>
    <w:p>
      <w:pPr>
        <w:spacing w:line="360" w:lineRule="auto"/>
      </w:pPr>
      <w:r>
        <w:rPr>
          <w:rFonts w:ascii="Times New Roman" w:hAnsi="Times New Roman" w:cs="Times New Roman"/>
          <w:sz w:val="24"/>
        </w:rPr>
        <w:t>Moons et al. (2019) peker på at ytelsesmåling i interne sykehusforsyningskjeder er fragmentert og mangler konsensus om felles indikatorer. Fire kategorier av indikatorer identifiseres: kvalitet, tid, økonomi og produktivitet. For klassifiseringsformål er økonomiindikatorer — lagerbinding, ordrekostnader, fill rate — de mest operasjonaliserbare, men de må balanseres mot serviceindikatorene som reflekterer klinisk tilgjengelighet. Kumar og Kumar (2015) identifiserte 16 nøkkelfaktorer for sykehuslagerstyring gjennom ISM-analyse, der leveringstid, lagernivå og bestillingsmønster fremstår som drivende faktorer for systemets samlede ytelse. Sirisawat et al. (2019) bekrefter dette ved å vise at KPI-basert klassifisering i universitetssykehus forutsetter tilgang til operative data fra ERP-systemer — en forutsetning som SE16H-tilnærmingen i denne studien direkte adresserer.</w:t>
      </w:r>
    </w:p>
    <w:p>
      <w:pPr>
        <w:spacing w:line="360" w:lineRule="auto"/>
      </w:pPr>
      <w:r>
        <w:rPr>
          <w:rFonts w:ascii="Times New Roman" w:hAnsi="Times New Roman" w:cs="Times New Roman"/>
          <w:sz w:val="24"/>
        </w:rPr>
        <w:t>Saha og Ray (2019) gjennomgikk 137 studier på lagerstyringsmodeller i helsesektoren og fant at casestudier med empiriske data fra ERP-systemer er underrepresentert i litteraturen sammenlignet med teoretiske modeller. De fremhever behovet for forskning som benytter faktiske transaksjonsdata fra systemer som SAP for å validere klassifiseringsresultater mot operative parametere. Gupta et al. (2007) viser i en konkret sykehusstudie at ABC-analyse med SAP-data reduserte lagerkapitalbindingen med om lag 10–15 prosent over en periode, noe som illustrerer det praktiske besparelsespotensialet av systematisk klassifiseringsarbeid.</w:t>
      </w:r>
    </w:p>
    <w:p>
      <w:pPr>
        <w:spacing w:line="360" w:lineRule="auto"/>
      </w:pPr>
      <w:r>
        <w:rPr>
          <w:rFonts w:ascii="Times New Roman" w:hAnsi="Times New Roman" w:cs="Times New Roman"/>
          <w:sz w:val="24"/>
        </w:rPr>
        <w:t>SAP S/4HANA er i dag det dominerende ERP-systemet i norske helseforetak, og LIBRA-prosjektet standardiserer plattformen på tvers av Helse Vest. Denne standardiseringen er en forutsetning for at en felles, datadrevet klassifiseringsmodell kan implementeres med overføringsverdi fra Helse Bergen til de øvrige helseforetakene i regionen. Fragapane et al. (2019) understreker at overgangen til sentraliserte APL-leveranser (avdelingspakkede leveranser) krever et systematisk klassifiseringsgrunnlag for å avgjøre hvilke artikler som egner seg for sentralisering versus lokal lagring nær bruksstedet. de Vries (2011) advarer imidlertid mot å undervurdere de organisatoriske barrierene: interessentkonflikter mellom logistikk, klinisk personell og økonomiavdelinger kan forsinke eller undergrave rasjonelle omstillingsbeslutninger selv der datagrunnlaget er godt.</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315966"/>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er organisert under den statlige spesialisthelsetjenesten. Foretaket drifter Haukeland Universitetssykehus — Norges nest største sykehus — og har ansvar for spesialisthelsetjenester til en befolkning på om lag 460 000 innbyggere i 18 kommuner i Hordaland. Med om lag 14 000 ansatte er Helse Bergen en av de største arbeidsgiverne på Vestlandet, og driftskostnadene er tilsvarende betydelige. Foretaket håndterer et bredt spekter av medisinske spesialiteter og har en kompleks intern logistikk som forsyner avdelinger over et stort geografisk anleggsareal.</w:t>
      </w:r>
    </w:p>
    <w:p>
      <w:pPr>
        <w:spacing w:line="360" w:lineRule="auto"/>
      </w:pPr>
      <w:r>
        <w:rPr>
          <w:rFonts w:ascii="Times New Roman" w:hAnsi="Times New Roman" w:cs="Times New Roman"/>
          <w:sz w:val="24"/>
        </w:rPr>
        <w:t>Helse Vest RHF koordinerer de fire helseforetakene Helse Bergen, Helse Stavanger, Helse Fonna og Helse Førde. Regionale fellesfunksjoner — inkludert IKT-infrastruktur og forsyningskjedekoordinering — ivaretas i samarbeid mellom foretakene. En regionalt harmonisert tilnærming til materialforvaltning har i senere år fått økt prioritet, drevet av behovet for effektivisering og stordriftsfordeler på tvers av foretakene.</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223529"/>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223529"/>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b/>
          <w:sz w:val="24"/>
        </w:rPr>
        <w:t>D-01 – Populasjonsavgrensning.</w:t>
      </w:r>
      <w:r>
        <w:rPr>
          <w:rFonts w:ascii="Times New Roman" w:hAnsi="Times New Roman" w:cs="Times New Roman"/>
          <w:sz w:val="24"/>
        </w:rPr>
        <w:t xml:space="preserve"> Råuttrekket fra MARD inneholdt 1 006 artikkelnumre. Av disse er 297 ekskludert fordi de har verken registrert forbruk i MSEG (</w:t>
      </w:r>
      <m:oMath>
        <m:sSub>
          <m:e>
            <m:r>
              <m:t>D</m:t>
            </m:r>
          </m:e>
          <m:sub>
            <m:r>
              <m:t>A</m:t>
            </m:r>
          </m:sub>
        </m:sSub>
        <m:r>
          <m:t>NNUAL=0</m:t>
        </m:r>
      </m:oMath>
      <w:r>
        <w:rPr>
          <w:rFonts w:ascii="Times New Roman" w:hAnsi="Times New Roman" w:cs="Times New Roman"/>
          <w:sz w:val="24"/>
        </w:rPr>
        <w:t>) og null beholdning (TOTAL_STOCK = 0). Disse artiklene er operasjonelt inaktive og utenfor analyseformålet. De resterende 709 artiklene utgjør populasjonen for alle videre analyser.</w:t>
      </w:r>
    </w:p>
    <w:p>
      <w:pPr>
        <w:spacing w:line="360" w:lineRule="auto"/>
      </w:pPr>
      <w:r>
        <w:rPr>
          <w:rFonts w:ascii="Times New Roman" w:hAnsi="Times New Roman" w:cs="Times New Roman"/>
          <w:b/>
          <w:sz w:val="24"/>
        </w:rPr>
        <w:t>D-02 – PEINH-korrigering.</w:t>
      </w:r>
      <w:r>
        <w:rPr>
          <w:rFonts w:ascii="Times New Roman" w:hAnsi="Times New Roman" w:cs="Times New Roman"/>
          <w:sz w:val="24"/>
        </w:rPr>
        <w:t xml:space="preserve"> SAP-feltet STPRS i MBEW inneholder standardpris per prisenhet, der prisenheten er angitt i PEINH. PEINH er vanligvis 1, men er i mange tilfeller satt til 10 eller 100 – særlig for lavprisartikler der prisen er satt per 10 eller per 100 enheter. Uten PEINH-korrigering ville enhetsprisen for disse artiklene bli overvurdert med faktor 10 eller 100, noe som ville ha forplantet seg til feil i ABC-rangering, EOQ-parametere og besparelsesestimat. Korreksjon er implementert ved formelen UNIT_PRICE = STPRS ÷ PEINH.</w:t>
      </w:r>
    </w:p>
    <w:p>
      <w:pPr>
        <w:spacing w:line="360" w:lineRule="auto"/>
      </w:pPr>
      <w:r>
        <w:rPr>
          <w:rFonts w:ascii="Times New Roman" w:hAnsi="Times New Roman" w:cs="Times New Roman"/>
          <w:b/>
          <w:sz w:val="24"/>
        </w:rPr>
        <w:t>D-03 – Beregnet ABC-verdi.</w:t>
      </w:r>
      <w:r>
        <w:rPr>
          <w:rFonts w:ascii="Times New Roman" w:hAnsi="Times New Roman" w:cs="Times New Roman"/>
          <w:sz w:val="24"/>
        </w:rPr>
        <w:t xml:space="preserve"> ABC-analyse krever en verdi per artikkel. Primærkilden er den faktiske innkjøpsverdien fra EKPO (TOTAL_NETWR), som dekker 505 av 709 artikler. For de resterende 204 artiklene – der TOTAL_NETWR er null eller mangler – er ABC-verdien beregnet som årsforbruk multiplisert med enhetspris (D_ANNUAL × UNIT_PRICE). Denne fremgangsmåten er konsistent med standard ABC-litteratur, der verdi defineres som forbruksvolum ganger enhetspris når direkte innkjøpsverdi ikke er tilgjengelig (Silaen et al., 2023). Et alternativ ville vært å ekskludere disse artiklene. Dette ble vurdert og forkastet av tre grunner: (1) ekskludering ville gi et systematisk skjevt utvalg, siden fraværet av EKPO-data primært skyldes ikke-standardisert anskaffelsespraksis — nettopp de artiklene som kan ha høyest potensial for sentralisering; (2) 204 artikler utgjør 28,8 % av populasjonen, noe som ville svekket representativiteten vesentlig; og (3) D_ANNUAL er observert fra MSEG, ikke anslått, slik at proksien kun introduserer usikkerhet i prisleddet, ikke i forbruksvolum.</w:t>
      </w:r>
    </w:p>
    <w:p>
      <w:pPr>
        <w:spacing w:line="360" w:lineRule="auto"/>
      </w:pPr>
      <w:r>
        <w:rPr>
          <w:rFonts w:ascii="Times New Roman" w:hAnsi="Times New Roman" w:cs="Times New Roman"/>
          <w:b/>
          <w:sz w:val="24"/>
        </w:rPr>
        <w:t>D-04 – CV-basert XYZ i stedet for SAP ZZXYZ.</w:t>
      </w:r>
      <w:r>
        <w:rPr>
          <w:rFonts w:ascii="Times New Roman" w:hAnsi="Times New Roman" w:cs="Times New Roman"/>
          <w:sz w:val="24"/>
        </w:rPr>
        <w:t xml:space="preserve"> SAP S/4HANA inneholder et eget klassifiseringsfelt, ZZXYZ, som representerer systemets registrerte XYZ-kategori. En validering mot den beregnede CV-klassifiseringen viste at bare 33 % av artiklene er samsvarende. Avviket skyldes primært at ZZXYZ ikke er blitt systematisk oppdatert i takt med endringer i forbruksmønstre. Analysen benytter derfor CV beregnet direkte fra månedlig MSEG-forbruk over 24 måneder som grunnlag for XYZ-klassifisering, mens ZZXYZ brukes som valideringsreferanse. Modellenes matematiske spesifikasjon er beskrevet i kapittel 5.</w:t>
      </w:r>
    </w:p>
    <w:p>
      <w:pPr>
        <w:spacing w:line="360" w:lineRule="auto"/>
      </w:pPr>
      <w:r>
        <w:rPr>
          <w:rFonts w:ascii="Times New Roman" w:hAnsi="Times New Roman" w:cs="Times New Roman"/>
          <w:b/>
          <w:sz w:val="24"/>
        </w:rPr>
        <w:t>D-05 – Leveringstid-fallback.</w:t>
      </w:r>
      <w:r>
        <w:rPr>
          <w:rFonts w:ascii="Times New Roman" w:hAnsi="Times New Roman" w:cs="Times New Roman"/>
          <w:sz w:val="24"/>
        </w:rPr>
        <w:t xml:space="preserve"> EOQ-modellen benytter leveringstid som parameter for beregning av bestillingspunkt. EINE-tabellen inneholder feltet WETAG (leveringstid i dager), men dette feltet er kun utfylt for 6 % av artiklene i populasjonen (43 av 709). For de resterende 94 % benyttes en fallback-verdi på 14 kalenderdager, som tilsvarer en typisk leveringstid for forbruksmateriell fra grossist til sykehus. Implikasjoner av denne antagelsen er diskutert i avsnitt 4.4.</w:t>
      </w:r>
    </w:p>
    <w:p>
      <w:pPr>
        <w:spacing w:line="360" w:lineRule="auto"/>
      </w:pPr>
      <w:r>
        <w:rPr>
          <w:rFonts w:ascii="Times New Roman" w:hAnsi="Times New Roman" w:cs="Times New Roman"/>
          <w:b/>
          <w:sz w:val="24"/>
        </w:rPr>
        <w:t>D-06 til D-08</w:t>
      </w:r>
      <w:r>
        <w:rPr>
          <w:rFonts w:ascii="Times New Roman" w:hAnsi="Times New Roman" w:cs="Times New Roman"/>
          <w:sz w:val="24"/>
        </w:rPr>
        <w:t xml:space="preserve"> er dokumentert i Tabell 5 og implementert direkte i Python-scriptet. D-08 – annualiseringen av ordrefrekvens – er særlig viktig for konsistens mellom faktisk og optimal frekvens i EOQ-avviksanalysen. Siden analyseperioden er 24 måneder, annualiseres faktisk ordretelling ved å multiplisere med faktoren 12/24, slik at ACTUAL_FREQ er direkte sammenlignbar med den beregnede EOQ-frekvensen på årsbasis.</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315966"/>
            <wp:docPr id="6" name="Picture 6"/>
            <wp:cNvGraphicFramePr>
              <a:graphicFrameLocks noChangeAspect="1"/>
            </wp:cNvGraphicFramePr>
            <a:graphic>
              <a:graphicData uri="http://schemas.openxmlformats.org/drawingml/2006/picture">
                <pic:pic>
                  <pic:nvPicPr>
                    <pic:cNvPr id="0" name="Fig02_Analysepipeline.png"/>
                    <pic:cNvPicPr/>
                  </pic:nvPicPr>
                  <pic:blipFill>
                    <a:blip r:embed="rId24"/>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65546"/>
            <wp:docPr id="7" name="Picture 7"/>
            <wp:cNvGraphicFramePr>
              <a:graphicFrameLocks noChangeAspect="1"/>
            </wp:cNvGraphicFramePr>
            <a:graphic>
              <a:graphicData uri="http://schemas.openxmlformats.org/drawingml/2006/picture">
                <pic:pic>
                  <pic:nvPicPr>
                    <pic:cNvPr id="0" name="Fig03_Regelmotor.png"/>
                    <pic:cNvPicPr/>
                  </pic:nvPicPr>
                  <pic:blipFill>
                    <a:blip r:embed="rId25"/>
                    <a:stretch>
                      <a:fillRect/>
                    </a:stretch>
                  </pic:blipFill>
                  <pic:spPr>
                    <a:xfrm>
                      <a:off x="0" y="0"/>
                      <a:ext cx="5400000" cy="4265546"/>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4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61100"/>
            <wp:docPr id="8" name="Picture 8"/>
            <wp:cNvGraphicFramePr>
              <a:graphicFrameLocks noChangeAspect="1"/>
            </wp:cNvGraphicFramePr>
            <a:graphic>
              <a:graphicData uri="http://schemas.openxmlformats.org/drawingml/2006/picture">
                <pic:pic>
                  <pic:nvPicPr>
                    <pic:cNvPr id="0" name="Fig04_ABC_Pareto.png"/>
                    <pic:cNvPicPr/>
                  </pic:nvPicPr>
                  <pic:blipFill>
                    <a:blip r:embed="rId26"/>
                    <a:stretch>
                      <a:fillRect/>
                    </a:stretch>
                  </pic:blipFill>
                  <pic:spPr>
                    <a:xfrm>
                      <a:off x="0" y="0"/>
                      <a:ext cx="5400000" cy="1761100"/>
                    </a:xfrm>
                    <a:prstGeom prst="rect"/>
                  </pic:spPr>
                </pic:pic>
              </a:graphicData>
            </a:graphic>
          </wp:inline>
        </w:drawing>
      </w:r>
    </w:p>
    <w:p>
      <w:pPr>
        <w:jc w:val="center"/>
      </w:pPr>
      <w:r>
        <w:rPr>
          <w:rFonts w:ascii="Times New Roman" w:hAnsi="Times New Roman"/>
          <w:i/>
          <w:sz w:val="20"/>
        </w:rPr>
        <w:t>Figur 4.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5. Matrisen gir et øyeblikksbilde av populasjonens sammensetning langs de to dimensjonene og danner inngangsdataene for regelmotoren i avsnitt 6.5. Fullstendige celleanntall er gjengitt i Figur 5; univariate XYZ-fordelingar presenteres i Tabell 9 i kapittel 7.</w:t>
      </w:r>
    </w:p>
    <w:p>
      <w:r>
        <w:drawing>
          <wp:inline xmlns:a="http://schemas.openxmlformats.org/drawingml/2006/main" xmlns:pic="http://schemas.openxmlformats.org/drawingml/2006/picture">
            <wp:extent cx="5400000" cy="5216475"/>
            <wp:docPr id="9" name="Picture 9"/>
            <wp:cNvGraphicFramePr>
              <a:graphicFrameLocks noChangeAspect="1"/>
            </wp:cNvGraphicFramePr>
            <a:graphic>
              <a:graphicData uri="http://schemas.openxmlformats.org/drawingml/2006/picture">
                <pic:pic>
                  <pic:nvPicPr>
                    <pic:cNvPr id="0" name="Fig05_ABC_XYZ_Matrise.png"/>
                    <pic:cNvPicPr/>
                  </pic:nvPicPr>
                  <pic:blipFill>
                    <a:blip r:embed="rId27"/>
                    <a:stretch>
                      <a:fillRect/>
                    </a:stretch>
                  </pic:blipFill>
                  <pic:spPr>
                    <a:xfrm>
                      <a:off x="0" y="0"/>
                      <a:ext cx="5400000" cy="5216475"/>
                    </a:xfrm>
                    <a:prstGeom prst="rect"/>
                  </pic:spPr>
                </pic:pic>
              </a:graphicData>
            </a:graphic>
          </wp:inline>
        </w:drawing>
      </w:r>
    </w:p>
    <w:p>
      <w:pPr>
        <w:jc w:val="center"/>
      </w:pPr>
      <w:r>
        <w:rPr>
          <w:rFonts w:ascii="Times New Roman" w:hAnsi="Times New Roman"/>
          <w:i/>
          <w:sz w:val="20"/>
        </w:rPr>
        <w:t>Figur 5.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6624"/>
            <wp:docPr id="10" name="Picture 10"/>
            <wp:cNvGraphicFramePr>
              <a:graphicFrameLocks noChangeAspect="1"/>
            </wp:cNvGraphicFramePr>
            <a:graphic>
              <a:graphicData uri="http://schemas.openxmlformats.org/drawingml/2006/picture">
                <pic:pic>
                  <pic:nvPicPr>
                    <pic:cNvPr id="0" name="Fig06_EOQ_Avvik.png"/>
                    <pic:cNvPicPr/>
                  </pic:nvPicPr>
                  <pic:blipFill>
                    <a:blip r:embed="rId28"/>
                    <a:stretch>
                      <a:fillRect/>
                    </a:stretch>
                  </pic:blipFill>
                  <pic:spPr>
                    <a:xfrm>
                      <a:off x="0" y="0"/>
                      <a:ext cx="5400000" cy="2236624"/>
                    </a:xfrm>
                    <a:prstGeom prst="rect"/>
                  </pic:spPr>
                </pic:pic>
              </a:graphicData>
            </a:graphic>
          </wp:inline>
        </w:drawing>
      </w:r>
    </w:p>
    <w:p>
      <w:pPr>
        <w:jc w:val="center"/>
      </w:pPr>
      <w:r>
        <w:rPr>
          <w:rFonts w:ascii="Times New Roman" w:hAnsi="Times New Roman"/>
          <w:i/>
          <w:sz w:val="20"/>
        </w:rPr>
        <w:t>Figur 6.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6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7 viser silhouette-profilen over K-søket.</w:t>
      </w:r>
    </w:p>
    <w:p>
      <w:r>
        <w:drawing>
          <wp:inline xmlns:a="http://schemas.openxmlformats.org/drawingml/2006/main" xmlns:pic="http://schemas.openxmlformats.org/drawingml/2006/picture">
            <wp:extent cx="5400000" cy="2130326"/>
            <wp:docPr id="11" name="Picture 11"/>
            <wp:cNvGraphicFramePr>
              <a:graphicFrameLocks noChangeAspect="1"/>
            </wp:cNvGraphicFramePr>
            <a:graphic>
              <a:graphicData uri="http://schemas.openxmlformats.org/drawingml/2006/picture">
                <pic:pic>
                  <pic:nvPicPr>
                    <pic:cNvPr id="0" name="Fig07_Silhouette.png"/>
                    <pic:cNvPicPr/>
                  </pic:nvPicPr>
                  <pic:blipFill>
                    <a:blip r:embed="rId29"/>
                    <a:stretch>
                      <a:fillRect/>
                    </a:stretch>
                  </pic:blipFill>
                  <pic:spPr>
                    <a:xfrm>
                      <a:off x="0" y="0"/>
                      <a:ext cx="5400000" cy="2130326"/>
                    </a:xfrm>
                    <a:prstGeom prst="rect"/>
                  </pic:spPr>
                </pic:pic>
              </a:graphicData>
            </a:graphic>
          </wp:inline>
        </w:drawing>
      </w:r>
    </w:p>
    <w:p>
      <w:pPr>
        <w:jc w:val="center"/>
      </w:pPr>
      <w:r>
        <w:rPr>
          <w:rFonts w:ascii="Times New Roman" w:hAnsi="Times New Roman"/>
          <w:i/>
          <w:sz w:val="20"/>
        </w:rPr>
        <w:t>Figur 7.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303899"/>
            <wp:docPr id="12" name="Picture 12"/>
            <wp:cNvGraphicFramePr>
              <a:graphicFrameLocks noChangeAspect="1"/>
            </wp:cNvGraphicFramePr>
            <a:graphic>
              <a:graphicData uri="http://schemas.openxmlformats.org/drawingml/2006/picture">
                <pic:pic>
                  <pic:nvPicPr>
                    <pic:cNvPr id="0" name="Fig08_Kmeans_Klynger.png"/>
                    <pic:cNvPicPr/>
                  </pic:nvPicPr>
                  <pic:blipFill>
                    <a:blip r:embed="rId30"/>
                    <a:stretch>
                      <a:fillRect/>
                    </a:stretch>
                  </pic:blipFill>
                  <pic:spPr>
                    <a:xfrm>
                      <a:off x="0" y="0"/>
                      <a:ext cx="5400000" cy="2303899"/>
                    </a:xfrm>
                    <a:prstGeom prst="rect"/>
                  </pic:spPr>
                </pic:pic>
              </a:graphicData>
            </a:graphic>
          </wp:inline>
        </w:drawing>
      </w:r>
    </w:p>
    <w:p>
      <w:pPr>
        <w:jc w:val="center"/>
      </w:pPr>
      <w:r>
        <w:rPr>
          <w:rFonts w:ascii="Times New Roman" w:hAnsi="Times New Roman"/>
          <w:i/>
          <w:sz w:val="20"/>
        </w:rPr>
        <w:t>Figur 8.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8 viser at de tre klyngene er rimelig separert i feature-rommet, særlig K\_OVERFØR-klyngen (grønn), som skiller seg fra de øvrige ved sin kombinasjon av lav CV og høy verdi. For å tolke innholdet i hver klynge viser Figur 9 gjennomsnittlig standardisert verdi per feature for de tre klyngene.</w:t>
      </w:r>
    </w:p>
    <w:p>
      <w:r>
        <w:drawing>
          <wp:inline xmlns:a="http://schemas.openxmlformats.org/drawingml/2006/main" xmlns:pic="http://schemas.openxmlformats.org/drawingml/2006/picture">
            <wp:extent cx="5400000" cy="2647506"/>
            <wp:docPr id="13" name="Picture 13"/>
            <wp:cNvGraphicFramePr>
              <a:graphicFrameLocks noChangeAspect="1"/>
            </wp:cNvGraphicFramePr>
            <a:graphic>
              <a:graphicData uri="http://schemas.openxmlformats.org/drawingml/2006/picture">
                <pic:pic>
                  <pic:nvPicPr>
                    <pic:cNvPr id="0" name="Fig09_Kmeans_Profil.png"/>
                    <pic:cNvPicPr/>
                  </pic:nvPicPr>
                  <pic:blipFill>
                    <a:blip r:embed="rId31"/>
                    <a:stretch>
                      <a:fillRect/>
                    </a:stretch>
                  </pic:blipFill>
                  <pic:spPr>
                    <a:xfrm>
                      <a:off x="0" y="0"/>
                      <a:ext cx="5400000" cy="2647506"/>
                    </a:xfrm>
                    <a:prstGeom prst="rect"/>
                  </pic:spPr>
                </pic:pic>
              </a:graphicData>
            </a:graphic>
          </wp:inline>
        </w:drawing>
      </w:r>
    </w:p>
    <w:p>
      <w:pPr>
        <w:jc w:val="center"/>
      </w:pPr>
      <w:r>
        <w:rPr>
          <w:rFonts w:ascii="Times New Roman" w:hAnsi="Times New Roman"/>
          <w:i/>
          <w:sz w:val="20"/>
        </w:rPr>
        <w:t>Figur 9.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9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 for å kartlegge robustheten av besparelsesestimatet overfor usikkerhet i modellantagelsene. Figur 10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6257"/>
            <wp:docPr id="14" name="Picture 14"/>
            <wp:cNvGraphicFramePr>
              <a:graphicFrameLocks noChangeAspect="1"/>
            </wp:cNvGraphicFramePr>
            <a:graphic>
              <a:graphicData uri="http://schemas.openxmlformats.org/drawingml/2006/picture">
                <pic:pic>
                  <pic:nvPicPr>
                    <pic:cNvPr id="0" name="Fig10_Regelmotor_Besparelse.png"/>
                    <pic:cNvPicPr/>
                  </pic:nvPicPr>
                  <pic:blipFill>
                    <a:blip r:embed="rId32"/>
                    <a:stretch>
                      <a:fillRect/>
                    </a:stretch>
                  </pic:blipFill>
                  <pic:spPr>
                    <a:xfrm>
                      <a:off x="0" y="0"/>
                      <a:ext cx="5400000" cy="2236257"/>
                    </a:xfrm>
                    <a:prstGeom prst="rect"/>
                  </pic:spPr>
                </pic:pic>
              </a:graphicData>
            </a:graphic>
          </wp:inline>
        </w:drawing>
      </w:r>
    </w:p>
    <w:p>
      <w:pPr>
        <w:jc w:val="center"/>
      </w:pPr>
      <w:r>
        <w:rPr>
          <w:rFonts w:ascii="Times New Roman" w:hAnsi="Times New Roman"/>
          <w:i/>
          <w:sz w:val="20"/>
        </w:rPr>
        <w:t>Figur 10.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10 viser at 145 artikler (20,5 % av populasjonen) anbefales overført til HVFS, mens 257 artikler (36,2 %) beholdes lokalt basert på Z-klasse eller CY-kombinasjon. Kategorien TIL VURDERING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TIL\_VURDERING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182 A-artikler utgjør 25,7 % av populasjonen og representerer om lag 80 % av den totale lagerverdien. A-klassens andel er noe høyere enn den kanoniske 20 %-regelen i Pareto-prinsippet, noe som reflekterer at Helse Bergens sortiment inneholder et begrenset antall høyverdige forbruksartikler med stort volum. 184 B-artikler (26,0 %) dekker ytterligere 15 % av verdien, slik at A- og B-artiklene til sammen (366 artikler, 51,6 %) står for om lag 95 % av verdibindingen. De resterende 338 C-artiklene (47,7 % av populasjonen) dekker de siste 5 % av verdien — en typisk Pareto-fordeling der nesten halvparten av artiklene samlet har marginal verdibetydning. 5 artikler (0,7 %) kunne ikke ABC-klassifiseres grunnet manglende verdidata etter beslutningene D-02 og D-03. Pareto-kurven er presentert som Figur 4 i kapittel 6. Det sterke Pareto-mønsteret bekrefter at differensiert lagerstyring — med tettere oppfølging av A-artikler og enklere håndtering av C-artikler — er faglig begrunnet for dette sortimentet.</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5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6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8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TIL_VURDERING</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10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Samlet teoretisk ΔTC for de 117 artiklene: kr 602 020 per år.</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Worst case-estimatet er kr 301 010 per år (</w:t>
      </w:r>
      <m:oMath>
        <m:r>
          <m:t>g=50</m:t>
        </m:r>
      </m:oMath>
      <w:r>
        <w:rPr>
          <w:rFonts w:ascii="Times New Roman" w:hAnsi="Times New Roman" w:cs="Times New Roman"/>
          <w:sz w:val="24"/>
        </w:rPr>
        <w:t>), og best case er kr 602 020 per år (</w:t>
      </w:r>
      <m:oMath>
        <m:r>
          <m:t>g=100</m:t>
        </m:r>
      </m:oMath>
      <w:r>
        <w:rPr>
          <w:rFonts w:ascii="Times New Roman" w:hAnsi="Times New Roman" w:cs="Times New Roman"/>
          <w:sz w:val="24"/>
        </w:rPr>
        <w:t xml:space="preserve">). Den samlede </w:t>
      </w:r>
      <m:oMath>
        <m:r>
          <m:t>∑ΔT</m:t>
        </m:r>
        <m:sSub>
          <m:e>
            <m:r>
              <m:t>C</m:t>
            </m:r>
          </m:e>
          <m:sub>
            <m:r>
              <m:t>i</m:t>
            </m:r>
          </m:sub>
        </m:sSub>
      </m:oMath>
      <w:r>
        <w:rPr>
          <w:rFonts w:ascii="Times New Roman" w:hAnsi="Times New Roman" w:cs="Times New Roman"/>
          <w:sz w:val="24"/>
        </w:rPr>
        <w:t xml:space="preserve"> for de 117 artiklene er kr 602 020 per år; dette er det fulle teoretiske besparelsespotensialet dersom alle 117 artikler oppnår EOQ-optimal ordrefrekvens etter overføring. Gevinstrealiseringsgraden g reflekterer at implementeringsfriksjon, endrede leverandøravtaler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 omfatter 182 artikler, tilsvarende 25,7 % av populasjonen og om lag 80 % av den totale verdibindingen. Dette samsvarer nært med Pareto-prinsippets klassiske formulering, som tilsier at rundt 20 % av artiklene typisk bærer 80 % av verdien (Gupta et al., 2007). At A-andelen i dette datasettet er noe høyere enn den kanoniske 20 %-grensen, er konsistent med funn fra tilsvarende sykehuslagerstudier: Bijvank og Vis (2012) påpeker at sykehuslagre gjerne har en mer konsentrert verdidistribusjon enn industrilager, fordi sortimentet inkluderer få, høyverdige forbruksartikler med høy omløpshastighet. Den observerte fordelingen gir dermed analytisk støtte til å prioritere A-artiklene i overføringsvurderingen, noe regelmotoren reflekterer gjennom at A/B-artikler utløser de sterkeste overføringssignalene.</w:t>
      </w:r>
    </w:p>
    <w:p>
      <w:pPr>
        <w:spacing w:line="360" w:lineRule="auto"/>
      </w:pPr>
      <w:r>
        <w:rPr>
          <w:rFonts w:ascii="Times New Roman" w:hAnsi="Times New Roman" w:cs="Times New Roman"/>
          <w:sz w:val="24"/>
        </w:rPr>
        <w:t>At 33 % av artiklene har samsvarende klasse mellom ZZXYZ og beregnet CV er et lavt samsvarsresultat, men ikke overraskende i lys av litteraturen. Van Kampen et al. (2012) understreker at systemregistrerte klassifiseringer i ERP-systemer raskt mister aktualitet dersom de ikke oppdateres i takt med endringer i forbruksmønstre. Nowotyńska (2013) finner tilsvarende i sin XYZ-studie: statiske systemkategorier og dynamisk beregnet CV divergerer systematisk over tid. Funnet i denne studien – at to av tre artikler har avvikende klasse – gir empirisk støtte til argumentet om at CV-beregning direkte fra transaksjonsdata er nødvendig for en pålitelig klassifisering.</w:t>
      </w:r>
    </w:p>
    <w:p>
      <w:pPr>
        <w:spacing w:line="360" w:lineRule="auto"/>
      </w:pPr>
      <w:r>
        <w:rPr>
          <w:rFonts w:ascii="Times New Roman" w:hAnsi="Times New Roman" w:cs="Times New Roman"/>
          <w:sz w:val="24"/>
        </w:rPr>
        <w:t>Silhouette-scoren på 0,383 (treningsdata) og 0,368 (testdata) er over minstekravet på 0,3 som Ketkar og Vaidya (2014) angir for akseptabel klyngestruktur i eksplorativ analyse. Scoren er likevel ikke sterk etter absolutte mål, og indikerer at klyngene overlapper i noen grad. Dette er forventet i et lagerklassifiseringsproblem der artikler langs et kontinuum av verdi og variasjon ikke naturlig danner skarpt separerte grupper. Srinivasan og Moon (1999) påpeker at K-means i forsyningskjedeanalyse typisk gir moderate silhouette-verdier, og at nytteverdien av klyngingen i dette domenet ligger i profildifferensiering fremfor absolutt separasjon. Differansen på 0,015 mellom trenings- og testsilhouette indikerer at modellen generaliserer akseptabelt til usett data.</w:t>
      </w:r>
    </w:p>
    <w:p>
      <w:pPr>
        <w:spacing w:line="360" w:lineRule="auto"/>
      </w:pPr>
      <w:r>
        <w:rPr>
          <w:rFonts w:ascii="Times New Roman" w:hAnsi="Times New Roman" w:cs="Times New Roman"/>
          <w:sz w:val="24"/>
        </w:rPr>
        <w:t>Base case-estimatet på kr 451 515 per år er basert på 117 artikler og representerer en konservativ beregning; best case gir kr 602 020. Disse tallene er ikke direkte sammenlignbare med studier som rapporterer besparelser i prosent av omsetning, men størrelsesordenen er i tråd med hva Moons et al. (2019) rapporterer for interne logistikkforbedringer i europeiske sykehus: moderate, men operasjonelt vesentlige gevinster ved optimalisert bestillingspraksis. Volland et al. (2017) understreker at materialhåndteringseffektivitet i sykehus i liten grad handler om store enkeltgevinster, men om akkumulerte forbedringer i ordreadministrasjon over tid – noe besparelsesmodellen i denne studien er utformet for å fange.</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Besparelsesformelen </w:t>
      </w:r>
      <m:oMath>
        <m:r>
          <m:t>B=∑ΔT</m:t>
        </m:r>
        <m:sSub>
          <m:e>
            <m:r>
              <m:t>C</m:t>
            </m:r>
          </m:e>
          <m:sub>
            <m:r>
              <m:t>i</m:t>
            </m:r>
          </m:sub>
        </m:sSub>
        <m:r>
          <m:t>×g</m:t>
        </m:r>
      </m:oMath>
      <w:r>
        <w:rPr>
          <w:rFonts w:ascii="Times New Roman" w:hAnsi="Times New Roman" w:cs="Times New Roman"/>
          <w:sz w:val="24"/>
        </w:rPr>
        <w:t xml:space="preserve"> benytter g som en antatt realiseringsgrad for den teoretiske EOQ-gevinsten. Det er avgjørende å presisere at g ikke er empirisk estimert fra historiske data, men er et scenarioparameter valgt for å reflektere ulike grader av implementeringssuksess. En realiseringsgrad på 75 % (base case) er et plausibelt anslag, men ikke en prognose. Den faktiske gevinsten vil avhenge av gjennomføringskvaliteten i HVFS-implementeringen, leverandørenes evne til å levere i henhold til konsoliderte ordrer og Helse Bergens interne kapasitet til å revidere SAP-parametere. Analysen identifiserer et klart besparelsespotensial, men implementering krever organisatorisk endring — herunder revidering av innkjøpsprosesser, oppdatering av SAP MM-parametere og forankring hos klinisk personell og logistikkfunksjon. Sensitivitetsanalysen over 27 scenarier synliggjør bredden i dette usikkerhetsintervallet og er ment å kompensere for at g ikke er empirisk fundert.</w:t>
      </w:r>
    </w:p>
    <w:p>
      <w:pPr>
        <w:spacing w:line="360" w:lineRule="auto"/>
      </w:pPr>
      <w:r>
        <w:rPr>
          <w:rFonts w:ascii="Times New Roman" w:hAnsi="Times New Roman" w:cs="Times New Roman"/>
          <w:sz w:val="24"/>
        </w:rPr>
        <w:t>Leveringstidsfallbacken på 14 dager gjelder 94 % av artiklene og er den enkeltantagelsen som potensielt har størst konsekvens for bestillingspunktberegninger. For EOQ-avviksanalysen, som er frekvensbasert, er den direkte effekten begrenset; men for en fremtidig ROP-analyse vil kalibrering av faktiske leveringstider per leverandør og artikkel være avgjørende. Helse Bergen bør prioritere å berike EINE-tabellen med faktiske WETAG-verdier som en del av det løpende SAP MM-vedlikeholdet.</w:t>
      </w:r>
    </w:p>
    <w:p>
      <w:pPr>
        <w:spacing w:line="360" w:lineRule="auto"/>
      </w:pPr>
      <w:r>
        <w:rPr>
          <w:rFonts w:ascii="Times New Roman" w:hAnsi="Times New Roman" w:cs="Times New Roman"/>
          <w:sz w:val="24"/>
        </w:rPr>
        <w:t>Analyseperioden 2024–2025 er valgt for å reflektere normal drift, men det kan ikke utelukkes at forbruksmønstre i denne perioden fortsatt er påvirket av ettervirkninger fra COVID-19-pandemien, som medførte betydelige forstyrrelser i forsyningskjeder og forbruksmønstre i helsesektoren (Volland et al., 2017). Artikler som ble hamstret eller substituert under pandemien kan ha unormalt høy eller lav CV i analyseperioden, noe som kan gi misvisende XYZ-klassifisering for disse spesifikke artiklene.</w:t>
      </w:r>
    </w:p>
    <w:p>
      <w:pPr>
        <w:spacing w:line="360" w:lineRule="auto"/>
      </w:pPr>
      <w:r>
        <w:rPr>
          <w:rFonts w:ascii="Times New Roman" w:hAnsi="Times New Roman" w:cs="Times New Roman"/>
          <w:sz w:val="24"/>
        </w:rPr>
        <w:t xml:space="preserve">K-means er kjent for å være sensitiv overfor valget av K, og ulike K-verdier vil gi ulike klyngeprofiler og dermed ulike K_OVERFØR-populasjoner (Srinivasan &amp; Moon, 1999). Det automatiske K-valget via silhouette minimerer analytisk bias, men eliminerer ikke usikkerheten: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og den tilhørende overføringslisten sett annerledes ut. Sensitiviteten overfor K-valg bør anerkjennes som en begrensning ved tolkning av K_OVERFØR-signalet i regelmotoren. I tillegg er K-means sensitiv overfor feature-scaling: standardiseringen via z-score gir de tre featurene lik vekt i klyngingen, men dette er en normativ beslutning — ikke en empirisk begrunnet vekting. Dersom verdi burde tillegges større vekt enn CV i en klinisk kontekst, ville klyngestrukturen endres tilsvarende.</w:t>
      </w:r>
    </w:p>
    <w:p>
      <w:pPr>
        <w:spacing w:line="360" w:lineRule="auto"/>
      </w:pPr>
      <w:r>
        <w:rPr>
          <w:rFonts w:ascii="Times New Roman" w:hAnsi="Times New Roman" w:cs="Times New Roman"/>
          <w:sz w:val="24"/>
        </w:rPr>
        <w:t>CV-koeffisienten som grunnlag for XYZ-klassifisering har en kjent svakhet ved lav etterspørsel: artikler med svært lavt forbruksvolum kan få kunstig lav CV dersom de har jevnt, men minimalt forbruk, eller kunstig høy CV fra én enkelt utlevering i en ellers stille periode. For de 144 artiklene som er klassifisert som Z (</w:t>
      </w:r>
      <m:oMath>
        <m:r>
          <m:t>CV&gt;1,0</m:t>
        </m:r>
      </m:oMath>
      <w:r>
        <w:rPr>
          <w:rFonts w:ascii="Times New Roman" w:hAnsi="Times New Roman" w:cs="Times New Roman"/>
          <w:sz w:val="24"/>
        </w:rPr>
        <w:t>) bør det derfor ikke utelukkes at enkelte av disse har uregelmessig CV primært grunnet lavt volum fremfor genuint uforutsigbart forbruksmønster.</w:t>
      </w:r>
    </w:p>
    <w:p>
      <w:pPr>
        <w:spacing w:line="360" w:lineRule="auto"/>
      </w:pPr>
      <w:r>
        <w:rPr>
          <w:rFonts w:ascii="Times New Roman" w:hAnsi="Times New Roman" w:cs="Times New Roman"/>
          <w:sz w:val="24"/>
        </w:rPr>
        <w:t>For 204 artikler uten EKPO-data er ABC-verdien beregnet, ikke observert. Dersom UNIT_PRICE for disse artiklene avviker fra faktisk innkjøpspris, vil ABC-rangeringen for dem være upresis. I verste fall kan en artikkel med faktisk høy innkjøpsverdi mangle EKPO-data nettopp fordi den anskaffes utenfor standard innkjøpsprosess – for eksempel som hastebestilling – noe som vil underestimere verdien og potensielt klassifisere den feil i ABC-hierarkiet. Denne begrensningen anbefales adressert ved å sikre at samtlige artikler i LGORT 3001 har fullstendige EKPO-oppføringer i SAP.</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TIL VURDERING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Studien åpner for flere retninger innen videre forskning og metodeutvikling:</w:t>
      </w:r>
    </w:p>
    <w:p>
      <w:pPr>
        <w:spacing w:line="360" w:lineRule="auto"/>
      </w:pPr>
      <w:r>
        <w:rPr>
          <w:rFonts w:ascii="Times New Roman" w:hAnsi="Times New Roman" w:cs="Times New Roman"/>
          <w:b/>
          <w:sz w:val="24"/>
        </w:rPr>
        <w:t>ROP-modul.</w:t>
      </w:r>
      <w:r>
        <w:rPr>
          <w:rFonts w:ascii="Times New Roman" w:hAnsi="Times New Roman" w:cs="Times New Roman"/>
          <w:sz w:val="24"/>
        </w:rPr>
        <w:t xml:space="preserve"> Den nåværende analysen (versjon 2.7 av Python-scriptet) inkluderer ikke beregning av bestillingspunkt (ROP – Reorder Point). En ROP-modul vil kreve pålitelige leveringstidsdata per artikkel og et valgt servicenivå, og vil gi et mer komplett bilde av den optimale lagerstyringspolicyen. Ettersom LEAD_TIME-data i dag mangler for 94 % av artiklene, er et nødvendig forarbeid å berike EINE-tabellen med faktiske leveringstider fra leverandøravtaler. En oppfølgingsstudie som integrerer ROP-analyse vil kunne gi anbefalinger ikke bare om </w:t>
      </w:r>
      <w:r>
        <w:rPr>
          <w:rFonts w:ascii="Times New Roman" w:hAnsi="Times New Roman" w:cs="Times New Roman"/>
          <w:i/>
          <w:sz w:val="24"/>
        </w:rPr>
        <w:t>hvem</w:t>
      </w:r>
      <w:r>
        <w:rPr>
          <w:rFonts w:ascii="Times New Roman" w:hAnsi="Times New Roman" w:cs="Times New Roman"/>
          <w:sz w:val="24"/>
        </w:rPr>
        <w:t xml:space="preserve"> som skal overføres, men også om </w:t>
      </w:r>
      <w:r>
        <w:rPr>
          <w:rFonts w:ascii="Times New Roman" w:hAnsi="Times New Roman" w:cs="Times New Roman"/>
          <w:i/>
          <w:sz w:val="24"/>
        </w:rPr>
        <w:t>hvordan</w:t>
      </w:r>
      <w:r>
        <w:rPr>
          <w:rFonts w:ascii="Times New Roman" w:hAnsi="Times New Roman" w:cs="Times New Roman"/>
          <w:sz w:val="24"/>
        </w:rPr>
        <w:t xml:space="preserve"> lagernivåene skal settes etter overføring.</w:t>
      </w:r>
    </w:p>
    <w:p>
      <w:pPr>
        <w:spacing w:line="360" w:lineRule="auto"/>
      </w:pPr>
      <w:r>
        <w:rPr>
          <w:rFonts w:ascii="Times New Roman" w:hAnsi="Times New Roman" w:cs="Times New Roman"/>
          <w:b/>
          <w:sz w:val="24"/>
        </w:rPr>
        <w:t>Leverandørkonsolidering.</w:t>
      </w:r>
      <w:r>
        <w:rPr>
          <w:rFonts w:ascii="Times New Roman" w:hAnsi="Times New Roman" w:cs="Times New Roman"/>
          <w:sz w:val="24"/>
        </w:rPr>
        <w:t xml:space="preserve"> Studien analyserer artikler på individnivå, men tar ikke stilling til leverandørstruktur. En komplementær analyse av innkjøpsdata fra EKKO/EKPO kan avdekke muligheter for leverandørkonsolidering – det vil si om flere av HVFS-kandidatene leveres av de samme leverandørene, og om konsoliderte ordrer kan gi ytterligere besparelser utover ordrefrekvensoptimalisering. En slik analyse er særlig relevant i lys av NorEngros sin rolle som grossistoperatør for HVFS.</w:t>
      </w:r>
    </w:p>
    <w:p>
      <w:pPr>
        <w:spacing w:line="360" w:lineRule="auto"/>
      </w:pPr>
      <w:r>
        <w:rPr>
          <w:rFonts w:ascii="Times New Roman" w:hAnsi="Times New Roman" w:cs="Times New Roman"/>
          <w:b/>
          <w:sz w:val="24"/>
        </w:rPr>
        <w:t>Replikering til andre WERKS i Helse Vest.</w:t>
      </w:r>
    </w:p>
    <w:p>
      <w:pPr>
        <w:spacing w:line="360" w:lineRule="auto"/>
      </w:pPr>
      <w:r>
        <w:rPr>
          <w:rFonts w:ascii="Times New Roman" w:hAnsi="Times New Roman" w:cs="Times New Roman"/>
          <w:sz w:val="24"/>
        </w:rPr>
        <w:t>Metoderammeverket i denne studien er fullt reproduserbart og kan i prinsippet anvendes på tilsvarende SAP-datastrukturer ved de øvrige helseforetakene i Helse Vest – Helse Stavanger, Helse Fonna og Helse Førde. En komparativ studie på tvers av WERKS-enheter vil gi grunnlag for å vurdere om HVFS-sentraliseringen bør differensieres per foretak, og om de metodiske funnene fra Helse Bergen er representative for regionen som helhet. En slik replikering vil styrke både den interne og eksterne validiteten til rammeverket som LIBRA-prosjektet nå utvikler.</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11 separate Python-scripts (`plot_*.py`) som genererer figurane Fig00–Fig10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0"/>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footer" Target="footer3.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