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5641F2" w14:textId="77777777" w:rsidR="00AE2C34" w:rsidRDefault="0050241D" w:rsidP="001B3556">
      <w:r>
        <w:rPr>
          <w:noProof/>
          <w:lang w:eastAsia="nb-NO" w:bidi="ar-SA"/>
        </w:rPr>
        <w:drawing>
          <wp:anchor distT="0" distB="0" distL="114300" distR="114300" simplePos="0" relativeHeight="251657216" behindDoc="1" locked="0" layoutInCell="1" allowOverlap="1" wp14:anchorId="61564295" wp14:editId="61564296">
            <wp:simplePos x="0" y="0"/>
            <wp:positionH relativeFrom="column">
              <wp:posOffset>-236855</wp:posOffset>
            </wp:positionH>
            <wp:positionV relativeFrom="paragraph">
              <wp:posOffset>-321945</wp:posOffset>
            </wp:positionV>
            <wp:extent cx="3429000" cy="3429000"/>
            <wp:effectExtent l="0" t="0" r="0" b="0"/>
            <wp:wrapNone/>
            <wp:docPr id="3" name="Bilde 2" descr="Description: N:\ADMARKIV\STRAUMSH\MALER\Ny logo\kunlogo-20-0-0-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e 2" descr="Description: N:\ADMARKIV\STRAUMSH\MALER\Ny logo\kunlogo-20-0-0-0.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9000" cy="34290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5641F3" w14:textId="77777777" w:rsidR="00AE2C34" w:rsidRDefault="00AE2C34" w:rsidP="001B3556"/>
    <w:p w14:paraId="615641F4" w14:textId="77777777" w:rsidR="00AE2C34" w:rsidRDefault="00AE2C34" w:rsidP="001B3556"/>
    <w:p w14:paraId="615641F5" w14:textId="77777777" w:rsidR="00AE2C34" w:rsidRDefault="00AE2C34" w:rsidP="001B3556"/>
    <w:p w14:paraId="615641F6" w14:textId="77777777" w:rsidR="00AE2C34" w:rsidRDefault="00AE2C34" w:rsidP="001B3556"/>
    <w:p w14:paraId="615641F7" w14:textId="77777777" w:rsidR="003A4872" w:rsidRDefault="003A4872" w:rsidP="00AE2C34">
      <w:pPr>
        <w:sectPr w:rsidR="003A4872" w:rsidSect="00C90D42">
          <w:footerReference w:type="even" r:id="rId12"/>
          <w:footerReference w:type="default" r:id="rId13"/>
          <w:pgSz w:w="11907" w:h="16840" w:code="9"/>
          <w:pgMar w:top="1417" w:right="1417" w:bottom="1417" w:left="1701" w:header="720" w:footer="403" w:gutter="0"/>
          <w:pgNumType w:start="1"/>
          <w:cols w:space="720"/>
          <w:titlePg/>
        </w:sectPr>
      </w:pPr>
    </w:p>
    <w:p w14:paraId="615641F8" w14:textId="77777777" w:rsidR="003A4872" w:rsidRDefault="003A4872" w:rsidP="00AE2C34"/>
    <w:p w14:paraId="615641F9" w14:textId="77777777" w:rsidR="003A4872" w:rsidRDefault="003A4872" w:rsidP="001B3556">
      <w:pPr>
        <w:rPr>
          <w:rFonts w:ascii="Arial" w:hAnsi="Arial" w:cs="Arial"/>
          <w:b/>
          <w:bCs/>
          <w:spacing w:val="-4"/>
          <w:w w:val="101"/>
          <w:sz w:val="28"/>
          <w:szCs w:val="28"/>
        </w:rPr>
      </w:pPr>
    </w:p>
    <w:p w14:paraId="615641FA" w14:textId="77777777" w:rsidR="003A4872" w:rsidRDefault="003A4872" w:rsidP="001B3556">
      <w:pPr>
        <w:rPr>
          <w:rFonts w:ascii="Arial" w:hAnsi="Arial" w:cs="Arial"/>
          <w:b/>
          <w:bCs/>
          <w:spacing w:val="-4"/>
          <w:w w:val="101"/>
          <w:sz w:val="28"/>
          <w:szCs w:val="28"/>
        </w:rPr>
      </w:pPr>
    </w:p>
    <w:p w14:paraId="615641FB" w14:textId="40AD428C" w:rsidR="001505E8" w:rsidRPr="008E406C" w:rsidRDefault="004C7BA6" w:rsidP="008E406C">
      <w:pPr>
        <w:framePr w:w="9295" w:h="4141" w:hSpace="180" w:wrap="around" w:vAnchor="text" w:hAnchor="page" w:x="1527" w:y="640"/>
        <w:rPr>
          <w:rFonts w:ascii="Trebuchet MS" w:eastAsia="Arial Unicode MS" w:hAnsi="Trebuchet MS"/>
          <w:b/>
          <w:noProof/>
          <w:sz w:val="96"/>
          <w:szCs w:val="96"/>
        </w:rPr>
      </w:pPr>
      <w:r>
        <w:rPr>
          <w:rFonts w:ascii="Trebuchet MS" w:eastAsia="Arial Unicode MS" w:hAnsi="Trebuchet MS"/>
          <w:b/>
          <w:noProof/>
          <w:sz w:val="96"/>
          <w:szCs w:val="96"/>
        </w:rPr>
        <w:fldChar w:fldCharType="begin">
          <w:ffData>
            <w:name w:val="Oppgavetype"/>
            <w:enabled/>
            <w:calcOnExit w:val="0"/>
            <w:ddList>
              <w:result w:val="4"/>
              <w:listEntry w:val="Velg type oppgave"/>
              <w:listEntry w:val="Bacheloroppgave"/>
              <w:listEntry w:val="Fordypningsoppgave"/>
              <w:listEntry w:val="Masteroppgave"/>
              <w:listEntry w:val="Prosjektoppgave"/>
            </w:ddList>
          </w:ffData>
        </w:fldChar>
      </w:r>
      <w:bookmarkStart w:id="0" w:name="Oppgavetype"/>
      <w:r>
        <w:rPr>
          <w:rFonts w:ascii="Trebuchet MS" w:eastAsia="Arial Unicode MS" w:hAnsi="Trebuchet MS"/>
          <w:b/>
          <w:noProof/>
          <w:sz w:val="96"/>
          <w:szCs w:val="96"/>
        </w:rPr>
        <w:instrText xml:space="preserve"> FORMDROPDOWN </w:instrText>
      </w:r>
      <w:r>
        <w:rPr>
          <w:rFonts w:ascii="Trebuchet MS" w:eastAsia="Arial Unicode MS" w:hAnsi="Trebuchet MS"/>
          <w:b/>
          <w:noProof/>
          <w:sz w:val="96"/>
          <w:szCs w:val="96"/>
        </w:rPr>
      </w:r>
      <w:r>
        <w:rPr>
          <w:rFonts w:ascii="Trebuchet MS" w:eastAsia="Arial Unicode MS" w:hAnsi="Trebuchet MS"/>
          <w:b/>
          <w:noProof/>
          <w:sz w:val="96"/>
          <w:szCs w:val="96"/>
        </w:rPr>
        <w:fldChar w:fldCharType="separate"/>
      </w:r>
      <w:r>
        <w:rPr>
          <w:rFonts w:ascii="Trebuchet MS" w:eastAsia="Arial Unicode MS" w:hAnsi="Trebuchet MS"/>
          <w:b/>
          <w:noProof/>
          <w:sz w:val="96"/>
          <w:szCs w:val="96"/>
        </w:rPr>
        <w:fldChar w:fldCharType="end"/>
      </w:r>
      <w:bookmarkEnd w:id="0"/>
    </w:p>
    <w:p w14:paraId="615641FC" w14:textId="77777777" w:rsidR="001505E8" w:rsidRPr="00CD51C6" w:rsidRDefault="001505E8" w:rsidP="008E406C">
      <w:pPr>
        <w:framePr w:w="9295" w:h="4141" w:hSpace="180" w:wrap="around" w:vAnchor="text" w:hAnchor="page" w:x="1527" w:y="640"/>
        <w:rPr>
          <w:rFonts w:ascii="Trebuchet MS" w:eastAsia="Arial Unicode MS" w:hAnsi="Trebuchet MS"/>
          <w:b/>
          <w:noProof/>
          <w:sz w:val="36"/>
          <w:szCs w:val="36"/>
        </w:rPr>
      </w:pPr>
    </w:p>
    <w:p w14:paraId="615641FD" w14:textId="7D0F5214" w:rsidR="001505E8" w:rsidRPr="00CD51C6" w:rsidRDefault="0009737E" w:rsidP="008E406C">
      <w:pPr>
        <w:framePr w:w="9295" w:h="4141" w:hSpace="180" w:wrap="around" w:vAnchor="text" w:hAnchor="page" w:x="1527" w:y="640"/>
        <w:rPr>
          <w:rFonts w:ascii="Trebuchet MS" w:eastAsia="Arial Unicode MS" w:hAnsi="Trebuchet MS"/>
          <w:b/>
          <w:noProof/>
          <w:sz w:val="36"/>
          <w:szCs w:val="36"/>
        </w:rPr>
      </w:pPr>
      <w:r>
        <w:rPr>
          <w:rFonts w:ascii="Trebuchet MS" w:eastAsia="Arial Unicode MS" w:hAnsi="Trebuchet MS"/>
          <w:b/>
          <w:noProof/>
          <w:sz w:val="36"/>
          <w:szCs w:val="36"/>
        </w:rPr>
        <w:fldChar w:fldCharType="begin">
          <w:ffData>
            <w:name w:val=""/>
            <w:enabled/>
            <w:calcOnExit w:val="0"/>
            <w:ddList>
              <w:result w:val="20"/>
              <w:listEntry w:val="Velg emnekode"/>
              <w:listEntry w:val="ADM650 Jus og administrasjon"/>
              <w:listEntry w:val="ADM750 Samfunnsendring, organisasjon og ledelse"/>
              <w:listEntry w:val="ADM755 Samfunnsendring, organisasjon og ledelse"/>
              <w:listEntry w:val="BØK950 Økonomi og administrasjon"/>
              <w:listEntry w:val="IDR600 Sport Management"/>
              <w:listEntry w:val="IDR950 Sport Management"/>
              <w:listEntry w:val="INF951 Anvendt informatikk (Erfaringsbasert)"/>
              <w:listEntry w:val="LOG551 Prosjektledelse"/>
              <w:listEntry w:val="LOG950 Logistikk"/>
              <w:listEntry w:val="LOG951 Logistikk"/>
              <w:listEntry w:val="MHS704 Helse- og sosialfag"/>
              <w:listEntry w:val="PET600 Petroleumslogistikk"/>
              <w:listEntry w:val="SCM600 Logistikk"/>
              <w:listEntry w:val="SAE00 Sykepleie"/>
              <w:listEntry w:val="VAK706 Avansert klinisk sykepleie"/>
              <w:listEntry w:val="VBU723 Psykososialt arbeid med barn og unge"/>
              <w:listEntry w:val="VMT724 Miljøarbeid og tverrprofesjonalitet"/>
              <w:listEntry w:val="VPH724 Psykisk helsearbeid"/>
              <w:listEntry w:val="VPL05 Vernepleie"/>
              <w:listEntry w:val="LOG650 Forskningsprosjekt: Logistikk og KI"/>
            </w:ddList>
          </w:ffData>
        </w:fldChar>
      </w:r>
      <w:r>
        <w:rPr>
          <w:rFonts w:ascii="Trebuchet MS" w:eastAsia="Arial Unicode MS" w:hAnsi="Trebuchet MS"/>
          <w:b/>
          <w:noProof/>
          <w:sz w:val="36"/>
          <w:szCs w:val="36"/>
        </w:rPr>
        <w:instrText xml:space="preserve"> FORMDROPDOWN </w:instrText>
      </w:r>
      <w:r>
        <w:rPr>
          <w:rFonts w:ascii="Trebuchet MS" w:eastAsia="Arial Unicode MS" w:hAnsi="Trebuchet MS"/>
          <w:b/>
          <w:noProof/>
          <w:sz w:val="36"/>
          <w:szCs w:val="36"/>
        </w:rPr>
      </w:r>
      <w:r>
        <w:rPr>
          <w:rFonts w:ascii="Trebuchet MS" w:eastAsia="Arial Unicode MS" w:hAnsi="Trebuchet MS"/>
          <w:b/>
          <w:noProof/>
          <w:sz w:val="36"/>
          <w:szCs w:val="36"/>
        </w:rPr>
        <w:fldChar w:fldCharType="separate"/>
      </w:r>
      <w:r>
        <w:rPr>
          <w:rFonts w:ascii="Trebuchet MS" w:eastAsia="Arial Unicode MS" w:hAnsi="Trebuchet MS"/>
          <w:b/>
          <w:noProof/>
          <w:sz w:val="36"/>
          <w:szCs w:val="36"/>
        </w:rPr>
        <w:fldChar w:fldCharType="end"/>
      </w:r>
    </w:p>
    <w:p w14:paraId="615641FE" w14:textId="77777777" w:rsidR="001505E8" w:rsidRPr="00CD51C6" w:rsidRDefault="001505E8" w:rsidP="008E406C">
      <w:pPr>
        <w:framePr w:w="9295" w:h="4141" w:hSpace="180" w:wrap="around" w:vAnchor="text" w:hAnchor="page" w:x="1527" w:y="640"/>
        <w:rPr>
          <w:rFonts w:ascii="Trebuchet MS" w:eastAsia="Arial Unicode MS" w:hAnsi="Trebuchet MS"/>
          <w:b/>
          <w:noProof/>
          <w:sz w:val="36"/>
          <w:szCs w:val="36"/>
        </w:rPr>
      </w:pPr>
    </w:p>
    <w:bookmarkStart w:id="1" w:name="Tittel"/>
    <w:p w14:paraId="615641FF" w14:textId="77777777" w:rsidR="001505E8" w:rsidRPr="009A386B" w:rsidRDefault="001505E8" w:rsidP="008E406C">
      <w:pPr>
        <w:framePr w:w="9295" w:h="4141" w:hSpace="180" w:wrap="around" w:vAnchor="text" w:hAnchor="page" w:x="1527" w:y="640"/>
        <w:rPr>
          <w:rFonts w:ascii="Trebuchet MS" w:eastAsia="Arial Unicode MS" w:hAnsi="Trebuchet MS"/>
          <w:b/>
          <w:noProof/>
          <w:sz w:val="36"/>
          <w:szCs w:val="36"/>
        </w:rPr>
      </w:pPr>
      <w:r>
        <w:rPr>
          <w:rFonts w:ascii="Times New Roman" w:hAnsi="Times New Roman"/>
          <w:sz w:val="24"/>
        </w:rPr>
        <w:t>Fra lokalt forsyningslager til regional sentralforsyning:</w:t>
        <w:br/>
        <w:t>Multikriterieklassifisering og klyngeanalyse for identifisering av overføringskandidater ved Helse Bergen</w:t>
      </w:r>
    </w:p>
    <w:p w14:paraId="61564200"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p>
    <w:p w14:paraId="61564201"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r>
        <w:rPr>
          <w:rFonts w:ascii="Times New Roman" w:hAnsi="Times New Roman"/>
          <w:sz w:val="24"/>
        </w:rPr>
        <w:t>Thomas Ekrem Jensen</w:t>
      </w:r>
    </w:p>
    <w:p w14:paraId="61564202" w14:textId="77777777" w:rsidR="001505E8" w:rsidRPr="001505E8" w:rsidRDefault="001505E8" w:rsidP="008E406C">
      <w:pPr>
        <w:framePr w:w="9295" w:h="4141" w:hSpace="180" w:wrap="around" w:vAnchor="text" w:hAnchor="page" w:x="1527" w:y="640"/>
        <w:rPr>
          <w:rFonts w:ascii="Trebuchet MS" w:eastAsia="Arial Unicode MS" w:hAnsi="Trebuchet MS"/>
          <w:noProof/>
          <w:sz w:val="36"/>
          <w:szCs w:val="36"/>
        </w:rPr>
      </w:pPr>
    </w:p>
    <w:p w14:paraId="61564203" w14:textId="77777777" w:rsidR="001505E8" w:rsidRPr="009A386B" w:rsidRDefault="001505E8" w:rsidP="008E406C">
      <w:pPr>
        <w:framePr w:w="9295" w:h="4141" w:hSpace="180" w:wrap="around" w:vAnchor="text" w:hAnchor="page" w:x="1527" w:y="640"/>
        <w:rPr>
          <w:rFonts w:ascii="Trebuchet MS" w:eastAsia="Arial Unicode MS" w:hAnsi="Trebuchet MS"/>
          <w:noProof/>
          <w:sz w:val="32"/>
          <w:szCs w:val="32"/>
        </w:rPr>
      </w:pPr>
      <w:bookmarkStart w:id="2" w:name="Text1"/>
      <w:r w:rsidRPr="009A386B">
        <w:rPr>
          <w:rFonts w:ascii="Trebuchet MS" w:eastAsia="Arial Unicode MS" w:hAnsi="Trebuchet MS"/>
          <w:noProof/>
          <w:sz w:val="32"/>
          <w:szCs w:val="32"/>
        </w:rPr>
        <w:t xml:space="preserve">Totalt antall sider inkludert forsiden: </w:t>
      </w:r>
      <w:bookmarkStart w:id="3" w:name="Ant_sider"/>
      <w:bookmarkEnd w:id="2"/>
      <w:r w:rsidR="0037613D">
        <w:rPr>
          <w:rFonts w:ascii="Trebuchet MS" w:eastAsia="Arial Unicode MS" w:hAnsi="Trebuchet MS"/>
          <w:noProof/>
          <w:sz w:val="32"/>
          <w:szCs w:val="32"/>
        </w:rPr>
        <w:fldChar w:fldCharType="begin">
          <w:ffData>
            <w:name w:val="Ant_sider"/>
            <w:enabled/>
            <w:calcOnExit w:val="0"/>
            <w:helpText w:type="text" w:val="1. Marker teksten i feltet. &#10;2. Skriv inn totalt antalt sider, inkludert forsiden. "/>
            <w:statusText w:type="text" w:val="1. Marker teksten i feltet.   2. Skriv inn totalt antalt sider, inkludert forsiden. "/>
            <w:textInput/>
          </w:ffData>
        </w:fldChar>
      </w:r>
      <w:r w:rsidR="0037613D">
        <w:rPr>
          <w:rFonts w:ascii="Trebuchet MS" w:eastAsia="Arial Unicode MS" w:hAnsi="Trebuchet MS"/>
          <w:noProof/>
          <w:sz w:val="32"/>
          <w:szCs w:val="32"/>
        </w:rPr>
        <w:instrText xml:space="preserve"> FORMTEXT </w:instrText>
      </w:r>
      <w:r w:rsidR="0037613D">
        <w:rPr>
          <w:rFonts w:ascii="Trebuchet MS" w:eastAsia="Arial Unicode MS" w:hAnsi="Trebuchet MS"/>
          <w:noProof/>
          <w:sz w:val="32"/>
          <w:szCs w:val="32"/>
        </w:rPr>
      </w:r>
      <w:r w:rsidR="0037613D">
        <w:rPr>
          <w:rFonts w:ascii="Trebuchet MS" w:eastAsia="Arial Unicode MS" w:hAnsi="Trebuchet MS"/>
          <w:noProof/>
          <w:sz w:val="32"/>
          <w:szCs w:val="32"/>
        </w:rPr>
        <w:fldChar w:fldCharType="separate"/>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t> </w:t>
      </w:r>
      <w:r w:rsidR="0037613D">
        <w:rPr>
          <w:rFonts w:ascii="Trebuchet MS" w:eastAsia="Arial Unicode MS" w:hAnsi="Trebuchet MS"/>
          <w:noProof/>
          <w:sz w:val="32"/>
          <w:szCs w:val="32"/>
        </w:rPr>
        <w:fldChar w:fldCharType="end"/>
      </w:r>
      <w:bookmarkEnd w:id="3"/>
    </w:p>
    <w:p w14:paraId="61564204" w14:textId="77777777" w:rsidR="001505E8" w:rsidRPr="009A386B" w:rsidRDefault="001505E8" w:rsidP="008E406C">
      <w:pPr>
        <w:framePr w:w="9295" w:h="4141" w:hSpace="180" w:wrap="around" w:vAnchor="text" w:hAnchor="page" w:x="1527" w:y="640"/>
        <w:rPr>
          <w:rFonts w:ascii="Trebuchet MS" w:eastAsia="Arial Unicode MS" w:hAnsi="Trebuchet MS"/>
          <w:noProof/>
          <w:sz w:val="32"/>
          <w:szCs w:val="32"/>
        </w:rPr>
      </w:pPr>
    </w:p>
    <w:p w14:paraId="61564205" w14:textId="77777777" w:rsidR="001505E8" w:rsidRPr="009A386B" w:rsidRDefault="001505E8" w:rsidP="008E406C">
      <w:pPr>
        <w:framePr w:w="9295" w:h="4141" w:hSpace="180" w:wrap="around" w:vAnchor="text" w:hAnchor="page" w:x="1527" w:y="640"/>
        <w:rPr>
          <w:sz w:val="32"/>
          <w:szCs w:val="32"/>
        </w:rPr>
      </w:pPr>
      <w:r>
        <w:rPr>
          <w:rFonts w:ascii="Times New Roman" w:hAnsi="Times New Roman"/>
          <w:sz w:val="24"/>
        </w:rPr>
        <w:t>Stavanger, Mai 2026</w:t>
      </w:r>
    </w:p>
    <w:p w14:paraId="61564206" w14:textId="77777777" w:rsidR="003A4872" w:rsidRDefault="0050241D" w:rsidP="001B3556">
      <w:pPr>
        <w:rPr>
          <w:rFonts w:ascii="Arial" w:hAnsi="Arial" w:cs="Arial"/>
          <w:b/>
          <w:bCs/>
          <w:spacing w:val="-4"/>
          <w:w w:val="101"/>
          <w:sz w:val="28"/>
          <w:szCs w:val="28"/>
        </w:rPr>
      </w:pPr>
      <w:r>
        <w:rPr>
          <w:noProof/>
          <w:lang w:eastAsia="nb-NO" w:bidi="ar-SA"/>
        </w:rPr>
        <w:drawing>
          <wp:anchor distT="0" distB="0" distL="114300" distR="114300" simplePos="0" relativeHeight="251658240" behindDoc="0" locked="0" layoutInCell="1" allowOverlap="1" wp14:anchorId="61564297" wp14:editId="61564298">
            <wp:simplePos x="0" y="0"/>
            <wp:positionH relativeFrom="column">
              <wp:posOffset>4450080</wp:posOffset>
            </wp:positionH>
            <wp:positionV relativeFrom="paragraph">
              <wp:posOffset>6151245</wp:posOffset>
            </wp:positionV>
            <wp:extent cx="1828800" cy="1136650"/>
            <wp:effectExtent l="0" t="0" r="0" b="6350"/>
            <wp:wrapNone/>
            <wp:docPr id="2" name="Picture 14" descr="Description: HiM_mi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escription: HiM_mid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828800" cy="11366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564207" w14:textId="77777777" w:rsidR="003A4872" w:rsidRDefault="003A4872" w:rsidP="001B3556">
      <w:pPr>
        <w:rPr>
          <w:rFonts w:ascii="Arial" w:hAnsi="Arial" w:cs="Arial"/>
          <w:b/>
          <w:bCs/>
          <w:spacing w:val="-4"/>
          <w:w w:val="101"/>
          <w:sz w:val="28"/>
          <w:szCs w:val="28"/>
        </w:rPr>
        <w:sectPr w:rsidR="003A4872" w:rsidSect="00C90D42">
          <w:footerReference w:type="default" r:id="rId34"/>
          <w:type w:val="continuous"/>
          <w:pgSz w:w="11907" w:h="16840"/>
          <w:pgMar w:top="1417" w:right="1417" w:bottom="1417" w:left="1701" w:header="720" w:footer="397" w:gutter="0"/>
          <w:pgNumType w:start="1"/>
          <w:cols w:space="720"/>
        </w:sectPr>
      </w:pPr>
    </w:p>
    <w:p w14:paraId="61564208" w14:textId="77777777" w:rsidR="00A96654" w:rsidRDefault="00A96654" w:rsidP="00A96654">
      <w:pPr>
        <w:rPr>
          <w:rFonts w:ascii="Arial" w:hAnsi="Arial" w:cs="Arial"/>
          <w:b/>
          <w:bCs/>
          <w:spacing w:val="-4"/>
          <w:w w:val="101"/>
          <w:sz w:val="32"/>
          <w:szCs w:val="32"/>
        </w:rPr>
      </w:pPr>
      <w:r>
        <w:rPr>
          <w:rFonts w:ascii="Arial" w:hAnsi="Arial" w:cs="Arial"/>
          <w:b/>
          <w:bCs/>
          <w:spacing w:val="-4"/>
          <w:w w:val="101"/>
          <w:sz w:val="32"/>
          <w:szCs w:val="32"/>
        </w:rPr>
        <w:lastRenderedPageBreak/>
        <w:t>Obligatorisk egenerklæring</w:t>
      </w:r>
      <w:r w:rsidR="008E1A3D">
        <w:rPr>
          <w:rFonts w:ascii="Arial" w:hAnsi="Arial" w:cs="Arial"/>
          <w:b/>
          <w:bCs/>
          <w:spacing w:val="-4"/>
          <w:w w:val="101"/>
          <w:sz w:val="32"/>
          <w:szCs w:val="32"/>
        </w:rPr>
        <w:t>/gruppeerklæring</w:t>
      </w:r>
      <w:r>
        <w:rPr>
          <w:rFonts w:ascii="Arial" w:hAnsi="Arial" w:cs="Arial"/>
          <w:b/>
          <w:bCs/>
          <w:spacing w:val="-4"/>
          <w:w w:val="101"/>
          <w:sz w:val="32"/>
          <w:szCs w:val="32"/>
        </w:rPr>
        <w:t xml:space="preserve"> </w:t>
      </w:r>
    </w:p>
    <w:p w14:paraId="61564209" w14:textId="77777777" w:rsidR="00F45737" w:rsidRDefault="00F45737" w:rsidP="00F45737">
      <w:pPr>
        <w:rPr>
          <w:rFonts w:ascii="Trebuchet MS" w:hAnsi="Trebuchet MS" w:cs="Arial"/>
          <w:b/>
          <w:bCs/>
          <w:spacing w:val="-4"/>
          <w:w w:val="101"/>
          <w:sz w:val="18"/>
          <w:szCs w:val="18"/>
        </w:rPr>
      </w:pPr>
    </w:p>
    <w:p w14:paraId="6156420A" w14:textId="77777777" w:rsidR="0099615A" w:rsidRPr="004E1066" w:rsidRDefault="0099615A" w:rsidP="00424468">
      <w:pPr>
        <w:rPr>
          <w:rFonts w:cs="Times New Roman"/>
          <w:bCs/>
          <w:spacing w:val="-4"/>
          <w:w w:val="101"/>
          <w:sz w:val="22"/>
          <w:szCs w:val="22"/>
        </w:rPr>
      </w:pPr>
      <w:r w:rsidRPr="004E1066">
        <w:rPr>
          <w:rFonts w:cs="Times New Roman"/>
          <w:bCs/>
          <w:spacing w:val="-4"/>
          <w:w w:val="101"/>
          <w:sz w:val="22"/>
          <w:szCs w:val="22"/>
        </w:rPr>
        <w:t>Den enkelte student er selv ansvarlig for å sette seg inn i hva som er lovlige hjelpemidler, retningslinjer for bruk a</w:t>
      </w:r>
      <w:r w:rsidR="002278CF" w:rsidRPr="004E1066">
        <w:rPr>
          <w:rFonts w:cs="Times New Roman"/>
          <w:bCs/>
          <w:spacing w:val="-4"/>
          <w:w w:val="101"/>
          <w:sz w:val="22"/>
          <w:szCs w:val="22"/>
        </w:rPr>
        <w:t xml:space="preserve">v disse og regler om kildebruk. </w:t>
      </w:r>
      <w:r w:rsidR="008E1A3D" w:rsidRPr="004E1066">
        <w:rPr>
          <w:rFonts w:cs="Times New Roman"/>
          <w:bCs/>
          <w:spacing w:val="-4"/>
          <w:w w:val="101"/>
          <w:sz w:val="22"/>
          <w:szCs w:val="22"/>
        </w:rPr>
        <w:t>E</w:t>
      </w:r>
      <w:r w:rsidRPr="004E1066">
        <w:rPr>
          <w:rFonts w:cs="Times New Roman"/>
          <w:bCs/>
          <w:spacing w:val="-4"/>
          <w:w w:val="101"/>
          <w:sz w:val="22"/>
          <w:szCs w:val="22"/>
        </w:rPr>
        <w:t>rklæringen skal bevisstgjøre studentene på deres ansvar og hvilke konsekvenser fusk kan medføre. Mangl</w:t>
      </w:r>
      <w:r w:rsidR="008E1A3D" w:rsidRPr="004E1066">
        <w:rPr>
          <w:rFonts w:cs="Times New Roman"/>
          <w:bCs/>
          <w:spacing w:val="-4"/>
          <w:w w:val="101"/>
          <w:sz w:val="22"/>
          <w:szCs w:val="22"/>
        </w:rPr>
        <w:t xml:space="preserve">ende </w:t>
      </w:r>
      <w:r w:rsidRPr="004E1066">
        <w:rPr>
          <w:rFonts w:cs="Times New Roman"/>
          <w:bCs/>
          <w:spacing w:val="-4"/>
          <w:w w:val="101"/>
          <w:sz w:val="22"/>
          <w:szCs w:val="22"/>
        </w:rPr>
        <w:t>erklæring fritar ikke studentene fra sitt ansvar.</w:t>
      </w:r>
    </w:p>
    <w:p w14:paraId="6156420B" w14:textId="77777777" w:rsidR="00C642BF" w:rsidRDefault="00C642BF" w:rsidP="00F45737">
      <w:pPr>
        <w:rPr>
          <w:rFonts w:ascii="Trebuchet MS" w:hAnsi="Trebuchet MS" w:cs="Arial"/>
          <w:bCs/>
          <w:i/>
          <w:spacing w:val="-4"/>
          <w:w w:val="101"/>
          <w:sz w:val="18"/>
          <w:szCs w:val="18"/>
        </w:rPr>
      </w:pPr>
    </w:p>
    <w:p w14:paraId="6156420C" w14:textId="77777777" w:rsidR="0099615A" w:rsidRPr="00F45737" w:rsidRDefault="0099615A" w:rsidP="0099615A">
      <w:pPr>
        <w:rPr>
          <w:rFonts w:ascii="Trebuchet MS" w:hAnsi="Trebuchet MS" w:cs="Arial"/>
          <w:bCs/>
          <w:i/>
          <w:spacing w:val="-4"/>
          <w:w w:val="101"/>
          <w:sz w:val="18"/>
          <w:szCs w:val="18"/>
        </w:rPr>
      </w:pPr>
    </w:p>
    <w:tbl>
      <w:tblPr>
        <w:tblW w:w="89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407"/>
        <w:gridCol w:w="7075"/>
        <w:gridCol w:w="1502"/>
      </w:tblGrid>
      <w:tr w:rsidR="00424468" w14:paraId="6156420E" w14:textId="77777777" w:rsidTr="009758A0">
        <w:trPr>
          <w:trHeight w:val="429"/>
        </w:trPr>
        <w:tc>
          <w:tcPr>
            <w:tcW w:w="8984" w:type="dxa"/>
            <w:gridSpan w:val="3"/>
            <w:shd w:val="clear" w:color="auto" w:fill="F2F2F2"/>
          </w:tcPr>
          <w:p w14:paraId="6156420D" w14:textId="77777777" w:rsidR="00424468" w:rsidRPr="004E1066" w:rsidRDefault="00955329" w:rsidP="009758A0">
            <w:pPr>
              <w:rPr>
                <w:rFonts w:ascii="Trebuchet MS" w:hAnsi="Trebuchet MS" w:cs="Times New Roman"/>
                <w:sz w:val="20"/>
                <w:szCs w:val="20"/>
              </w:rPr>
            </w:pPr>
            <w:r w:rsidRPr="004E1066">
              <w:rPr>
                <w:rFonts w:ascii="Trebuchet MS" w:hAnsi="Trebuchet MS" w:cs="Arial"/>
                <w:bCs/>
                <w:i/>
                <w:spacing w:val="-4"/>
                <w:w w:val="101"/>
                <w:sz w:val="20"/>
                <w:szCs w:val="20"/>
              </w:rPr>
              <w:t xml:space="preserve">Du/dere fyller ut </w:t>
            </w:r>
            <w:r w:rsidR="00424468" w:rsidRPr="004E1066">
              <w:rPr>
                <w:rFonts w:ascii="Trebuchet MS" w:hAnsi="Trebuchet MS" w:cs="Arial"/>
                <w:bCs/>
                <w:i/>
                <w:spacing w:val="-4"/>
                <w:w w:val="101"/>
                <w:sz w:val="20"/>
                <w:szCs w:val="20"/>
              </w:rPr>
              <w:t>erklæring</w:t>
            </w:r>
            <w:r w:rsidRPr="004E1066">
              <w:rPr>
                <w:rFonts w:ascii="Trebuchet MS" w:hAnsi="Trebuchet MS" w:cs="Arial"/>
                <w:bCs/>
                <w:i/>
                <w:spacing w:val="-4"/>
                <w:w w:val="101"/>
                <w:sz w:val="20"/>
                <w:szCs w:val="20"/>
              </w:rPr>
              <w:t>en</w:t>
            </w:r>
            <w:r w:rsidR="00424468" w:rsidRPr="004E1066">
              <w:rPr>
                <w:rFonts w:ascii="Trebuchet MS" w:hAnsi="Trebuchet MS" w:cs="Arial"/>
                <w:bCs/>
                <w:i/>
                <w:spacing w:val="-4"/>
                <w:w w:val="101"/>
                <w:sz w:val="20"/>
                <w:szCs w:val="20"/>
              </w:rPr>
              <w:t xml:space="preserve"> ved å klikke i ruten til høyre for d</w:t>
            </w:r>
            <w:r w:rsidRPr="004E1066">
              <w:rPr>
                <w:rFonts w:ascii="Trebuchet MS" w:hAnsi="Trebuchet MS" w:cs="Arial"/>
                <w:bCs/>
                <w:i/>
                <w:spacing w:val="-4"/>
                <w:w w:val="101"/>
                <w:sz w:val="20"/>
                <w:szCs w:val="20"/>
              </w:rPr>
              <w:t>en enkelte del 1-6</w:t>
            </w:r>
            <w:r w:rsidR="00424468" w:rsidRPr="004E1066">
              <w:rPr>
                <w:rFonts w:ascii="Trebuchet MS" w:hAnsi="Trebuchet MS" w:cs="Arial"/>
                <w:bCs/>
                <w:i/>
                <w:spacing w:val="-4"/>
                <w:w w:val="101"/>
                <w:sz w:val="20"/>
                <w:szCs w:val="20"/>
              </w:rPr>
              <w:t>:</w:t>
            </w:r>
          </w:p>
        </w:tc>
      </w:tr>
      <w:tr w:rsidR="002278CF" w14:paraId="61564214" w14:textId="77777777" w:rsidTr="009758A0">
        <w:trPr>
          <w:trHeight w:val="1085"/>
        </w:trPr>
        <w:tc>
          <w:tcPr>
            <w:tcW w:w="407" w:type="dxa"/>
            <w:shd w:val="clear" w:color="auto" w:fill="F2F2F2"/>
          </w:tcPr>
          <w:p w14:paraId="6156420F" w14:textId="77777777" w:rsidR="00F45737" w:rsidRPr="009758A0" w:rsidRDefault="00F45737" w:rsidP="009758A0">
            <w:pPr>
              <w:rPr>
                <w:rFonts w:ascii="Trebuchet MS" w:hAnsi="Trebuchet MS" w:cs="Times New Roman"/>
                <w:b/>
                <w:sz w:val="20"/>
                <w:szCs w:val="20"/>
              </w:rPr>
            </w:pPr>
            <w:r w:rsidRPr="009758A0">
              <w:rPr>
                <w:rFonts w:ascii="Trebuchet MS" w:hAnsi="Trebuchet MS" w:cs="Times New Roman"/>
                <w:b/>
                <w:sz w:val="20"/>
                <w:szCs w:val="20"/>
              </w:rPr>
              <w:t>1</w:t>
            </w:r>
            <w:r w:rsidR="00C642BF" w:rsidRPr="009758A0">
              <w:rPr>
                <w:rFonts w:ascii="Trebuchet MS" w:hAnsi="Trebuchet MS" w:cs="Times New Roman"/>
                <w:b/>
                <w:sz w:val="20"/>
                <w:szCs w:val="20"/>
              </w:rPr>
              <w:t>.</w:t>
            </w:r>
          </w:p>
        </w:tc>
        <w:tc>
          <w:tcPr>
            <w:tcW w:w="7075" w:type="dxa"/>
            <w:shd w:val="clear" w:color="auto" w:fill="F2F2F2"/>
          </w:tcPr>
          <w:p w14:paraId="61564210" w14:textId="77777777" w:rsidR="00F45737" w:rsidRPr="009758A0" w:rsidRDefault="00F45737" w:rsidP="009758A0">
            <w:pPr>
              <w:rPr>
                <w:rFonts w:ascii="Trebuchet MS" w:hAnsi="Trebuchet MS" w:cs="Times New Roman"/>
                <w:sz w:val="20"/>
                <w:szCs w:val="20"/>
              </w:rPr>
            </w:pPr>
            <w:r w:rsidRPr="009758A0">
              <w:rPr>
                <w:rFonts w:ascii="Trebuchet MS" w:hAnsi="Trebuchet MS" w:cs="Times New Roman"/>
                <w:b/>
                <w:sz w:val="20"/>
                <w:szCs w:val="20"/>
              </w:rPr>
              <w:t xml:space="preserve">Jeg/vi erklærer herved at min/vår </w:t>
            </w:r>
            <w:r w:rsidR="0099615A" w:rsidRPr="009758A0">
              <w:rPr>
                <w:rFonts w:ascii="Trebuchet MS" w:hAnsi="Trebuchet MS" w:cs="Times New Roman"/>
                <w:b/>
                <w:sz w:val="20"/>
                <w:szCs w:val="20"/>
              </w:rPr>
              <w:t>besvarelse</w:t>
            </w:r>
            <w:r w:rsidRPr="009758A0">
              <w:rPr>
                <w:rFonts w:ascii="Trebuchet MS" w:hAnsi="Trebuchet MS" w:cs="Times New Roman"/>
                <w:b/>
                <w:sz w:val="20"/>
                <w:szCs w:val="20"/>
              </w:rPr>
              <w:t xml:space="preserve"> </w:t>
            </w:r>
            <w:r w:rsidRPr="009758A0">
              <w:rPr>
                <w:rFonts w:ascii="Trebuchet MS" w:eastAsia="Arial Unicode MS" w:hAnsi="Trebuchet MS" w:cs="Times New Roman"/>
                <w:b/>
                <w:noProof/>
                <w:sz w:val="20"/>
                <w:szCs w:val="20"/>
              </w:rPr>
              <w:t>er mitt/vårt eget arbeid, og at jeg/vi ikke har brukt andre kilder eller har mottatt annen hjelp</w:t>
            </w:r>
            <w:r w:rsidR="0099615A" w:rsidRPr="009758A0">
              <w:rPr>
                <w:rFonts w:ascii="Trebuchet MS" w:eastAsia="Arial Unicode MS" w:hAnsi="Trebuchet MS" w:cs="Times New Roman"/>
                <w:b/>
                <w:noProof/>
                <w:sz w:val="20"/>
                <w:szCs w:val="20"/>
              </w:rPr>
              <w:t xml:space="preserve"> enn det som er nevnt i besvarelsen</w:t>
            </w:r>
            <w:r w:rsidRPr="009758A0">
              <w:rPr>
                <w:rFonts w:ascii="Trebuchet MS" w:eastAsia="Arial Unicode MS" w:hAnsi="Trebuchet MS" w:cs="Times New Roman"/>
                <w:b/>
                <w:noProof/>
                <w:sz w:val="20"/>
                <w:szCs w:val="20"/>
              </w:rPr>
              <w:t xml:space="preserve">. </w:t>
            </w:r>
          </w:p>
        </w:tc>
        <w:tc>
          <w:tcPr>
            <w:tcW w:w="1502" w:type="dxa"/>
            <w:shd w:val="clear" w:color="auto" w:fill="F2F2F2"/>
          </w:tcPr>
          <w:p w14:paraId="61564211" w14:textId="77777777" w:rsidR="00F45737" w:rsidRPr="009758A0" w:rsidRDefault="00F45737" w:rsidP="009758A0">
            <w:pPr>
              <w:rPr>
                <w:rFonts w:ascii="Trebuchet MS" w:hAnsi="Trebuchet MS" w:cs="Times New Roman"/>
                <w:sz w:val="20"/>
                <w:szCs w:val="20"/>
              </w:rPr>
            </w:pPr>
          </w:p>
          <w:p w14:paraId="61564212" w14:textId="77777777" w:rsidR="0055544F" w:rsidRPr="009758A0" w:rsidRDefault="0055544F" w:rsidP="009758A0">
            <w:pPr>
              <w:rPr>
                <w:rFonts w:ascii="Trebuchet MS" w:hAnsi="Trebuchet MS" w:cs="Times New Roman"/>
                <w:sz w:val="20"/>
                <w:szCs w:val="20"/>
              </w:rPr>
            </w:pPr>
          </w:p>
          <w:p w14:paraId="61564213" w14:textId="77777777" w:rsidR="00F45737" w:rsidRPr="009758A0" w:rsidRDefault="0055544F" w:rsidP="00955329">
            <w:pPr>
              <w:rPr>
                <w:rFonts w:ascii="Trebuchet MS" w:hAnsi="Trebuchet MS" w:cs="Times New Roman"/>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24" w14:textId="77777777" w:rsidTr="009758A0">
        <w:trPr>
          <w:trHeight w:val="2388"/>
        </w:trPr>
        <w:tc>
          <w:tcPr>
            <w:tcW w:w="407" w:type="dxa"/>
            <w:shd w:val="clear" w:color="auto" w:fill="F2F2F2"/>
          </w:tcPr>
          <w:p w14:paraId="61564215" w14:textId="77777777" w:rsidR="00F45737" w:rsidRPr="009758A0" w:rsidRDefault="00F45737" w:rsidP="009758A0">
            <w:pPr>
              <w:rPr>
                <w:rFonts w:ascii="Trebuchet MS" w:eastAsia="Arial Unicode MS" w:hAnsi="Trebuchet MS" w:cs="Times New Roman"/>
                <w:b/>
                <w:noProof/>
                <w:sz w:val="20"/>
                <w:szCs w:val="20"/>
              </w:rPr>
            </w:pPr>
            <w:r w:rsidRPr="009758A0">
              <w:rPr>
                <w:rFonts w:ascii="Trebuchet MS" w:eastAsia="Arial Unicode MS" w:hAnsi="Trebuchet MS" w:cs="Times New Roman"/>
                <w:b/>
                <w:noProof/>
                <w:sz w:val="20"/>
                <w:szCs w:val="20"/>
              </w:rPr>
              <w:t>2</w:t>
            </w:r>
            <w:r w:rsidR="00C642BF" w:rsidRPr="009758A0">
              <w:rPr>
                <w:rFonts w:ascii="Trebuchet MS" w:eastAsia="Arial Unicode MS" w:hAnsi="Trebuchet MS" w:cs="Times New Roman"/>
                <w:b/>
                <w:noProof/>
                <w:sz w:val="20"/>
                <w:szCs w:val="20"/>
              </w:rPr>
              <w:t>.</w:t>
            </w:r>
          </w:p>
        </w:tc>
        <w:tc>
          <w:tcPr>
            <w:tcW w:w="7075" w:type="dxa"/>
            <w:shd w:val="clear" w:color="auto" w:fill="F2F2F2"/>
          </w:tcPr>
          <w:p w14:paraId="61564216" w14:textId="77777777" w:rsidR="00F45737" w:rsidRPr="009758A0" w:rsidRDefault="004E1066" w:rsidP="009758A0">
            <w:pPr>
              <w:rPr>
                <w:rFonts w:ascii="Trebuchet MS" w:eastAsia="Arial Unicode MS" w:hAnsi="Trebuchet MS" w:cs="Times New Roman"/>
                <w:b/>
                <w:noProof/>
                <w:sz w:val="20"/>
                <w:szCs w:val="20"/>
              </w:rPr>
            </w:pPr>
            <w:r>
              <w:rPr>
                <w:rFonts w:ascii="Trebuchet MS" w:eastAsia="Arial Unicode MS" w:hAnsi="Trebuchet MS" w:cs="Times New Roman"/>
                <w:b/>
                <w:noProof/>
                <w:sz w:val="20"/>
                <w:szCs w:val="20"/>
              </w:rPr>
              <w:t>Jeg/</w:t>
            </w:r>
            <w:r w:rsidR="0099615A" w:rsidRPr="009758A0">
              <w:rPr>
                <w:rFonts w:ascii="Trebuchet MS" w:eastAsia="Arial Unicode MS" w:hAnsi="Trebuchet MS" w:cs="Times New Roman"/>
                <w:b/>
                <w:noProof/>
                <w:sz w:val="20"/>
                <w:szCs w:val="20"/>
              </w:rPr>
              <w:t>vi erklærer videre</w:t>
            </w:r>
            <w:r w:rsidR="00F45737" w:rsidRPr="009758A0">
              <w:rPr>
                <w:rFonts w:ascii="Trebuchet MS" w:eastAsia="Arial Unicode MS" w:hAnsi="Trebuchet MS" w:cs="Times New Roman"/>
                <w:b/>
                <w:noProof/>
                <w:sz w:val="20"/>
                <w:szCs w:val="20"/>
              </w:rPr>
              <w:t xml:space="preserve"> at denne besvarelsen: </w:t>
            </w:r>
          </w:p>
          <w:p w14:paraId="61564217"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har vært brukt til annen eksamen ved annen avdeling/universitet/høgskole innenlands eller utenlands. </w:t>
            </w:r>
          </w:p>
          <w:p w14:paraId="61564218"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ikke refererer til andres arbeid uten at det er oppgitt.</w:t>
            </w:r>
          </w:p>
          <w:p w14:paraId="61564219"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refererer til eget tidligere arbeid uten at det er oppgitt. </w:t>
            </w:r>
          </w:p>
          <w:p w14:paraId="6156421A" w14:textId="77777777" w:rsidR="00F45737" w:rsidRPr="009758A0" w:rsidRDefault="0055544F"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har </w:t>
            </w:r>
            <w:r w:rsidR="00F45737" w:rsidRPr="009758A0">
              <w:rPr>
                <w:rFonts w:ascii="Trebuchet MS" w:eastAsia="Arial Unicode MS" w:hAnsi="Trebuchet MS" w:cs="Times New Roman"/>
                <w:noProof/>
                <w:sz w:val="20"/>
                <w:szCs w:val="20"/>
              </w:rPr>
              <w:t xml:space="preserve">alle referansene </w:t>
            </w:r>
            <w:r w:rsidRPr="009758A0">
              <w:rPr>
                <w:rFonts w:ascii="Trebuchet MS" w:eastAsia="Arial Unicode MS" w:hAnsi="Trebuchet MS" w:cs="Times New Roman"/>
                <w:noProof/>
                <w:sz w:val="20"/>
                <w:szCs w:val="20"/>
              </w:rPr>
              <w:t xml:space="preserve">oppgitt </w:t>
            </w:r>
            <w:r w:rsidR="00F45737" w:rsidRPr="009758A0">
              <w:rPr>
                <w:rFonts w:ascii="Trebuchet MS" w:eastAsia="Arial Unicode MS" w:hAnsi="Trebuchet MS" w:cs="Times New Roman"/>
                <w:noProof/>
                <w:sz w:val="20"/>
                <w:szCs w:val="20"/>
              </w:rPr>
              <w:t xml:space="preserve">i litteraturlisten. </w:t>
            </w:r>
          </w:p>
          <w:p w14:paraId="6156421B" w14:textId="77777777" w:rsidR="00F45737" w:rsidRPr="009758A0" w:rsidRDefault="00F45737" w:rsidP="00DE129C">
            <w:pPr>
              <w:numPr>
                <w:ilvl w:val="0"/>
                <w:numId w:val="13"/>
              </w:numPr>
              <w:rPr>
                <w:rFonts w:ascii="Trebuchet MS" w:eastAsia="Arial Unicode MS" w:hAnsi="Trebuchet MS" w:cs="Times New Roman"/>
                <w:noProof/>
                <w:sz w:val="20"/>
                <w:szCs w:val="20"/>
              </w:rPr>
            </w:pPr>
            <w:r w:rsidRPr="009758A0">
              <w:rPr>
                <w:rFonts w:ascii="Trebuchet MS" w:eastAsia="Arial Unicode MS" w:hAnsi="Trebuchet MS" w:cs="Times New Roman"/>
                <w:noProof/>
                <w:sz w:val="20"/>
                <w:szCs w:val="20"/>
              </w:rPr>
              <w:t xml:space="preserve">ikke er en kopi, duplikat eller avskrift av andres arbeid eller besvarelse. </w:t>
            </w:r>
          </w:p>
        </w:tc>
        <w:tc>
          <w:tcPr>
            <w:tcW w:w="1502" w:type="dxa"/>
            <w:shd w:val="clear" w:color="auto" w:fill="F2F2F2"/>
          </w:tcPr>
          <w:p w14:paraId="6156421C" w14:textId="77777777" w:rsidR="00F45737" w:rsidRPr="009758A0" w:rsidRDefault="00F45737" w:rsidP="009758A0">
            <w:pPr>
              <w:rPr>
                <w:rFonts w:ascii="Trebuchet MS" w:hAnsi="Trebuchet MS" w:cs="Times New Roman"/>
                <w:sz w:val="20"/>
                <w:szCs w:val="20"/>
              </w:rPr>
            </w:pPr>
          </w:p>
          <w:p w14:paraId="6156421D" w14:textId="77777777" w:rsidR="00F45737" w:rsidRPr="009758A0" w:rsidRDefault="00F45737" w:rsidP="009758A0">
            <w:pPr>
              <w:rPr>
                <w:rFonts w:ascii="Trebuchet MS" w:hAnsi="Trebuchet MS" w:cs="Times New Roman"/>
                <w:sz w:val="20"/>
                <w:szCs w:val="20"/>
              </w:rPr>
            </w:pPr>
          </w:p>
          <w:p w14:paraId="6156421E" w14:textId="77777777" w:rsidR="00F45737" w:rsidRPr="009758A0" w:rsidRDefault="00F45737" w:rsidP="009758A0">
            <w:pPr>
              <w:rPr>
                <w:rFonts w:ascii="Trebuchet MS" w:hAnsi="Trebuchet MS" w:cs="Times New Roman"/>
                <w:sz w:val="20"/>
                <w:szCs w:val="20"/>
              </w:rPr>
            </w:pPr>
          </w:p>
          <w:p w14:paraId="6156421F" w14:textId="77777777" w:rsidR="00F45737" w:rsidRPr="009758A0" w:rsidRDefault="00F45737" w:rsidP="009758A0">
            <w:pPr>
              <w:rPr>
                <w:rFonts w:ascii="Trebuchet MS" w:hAnsi="Trebuchet MS" w:cs="Times New Roman"/>
                <w:sz w:val="20"/>
                <w:szCs w:val="20"/>
              </w:rPr>
            </w:pPr>
          </w:p>
          <w:p w14:paraId="61564220" w14:textId="77777777" w:rsidR="00F45737" w:rsidRPr="009758A0" w:rsidRDefault="00F45737" w:rsidP="009758A0">
            <w:pPr>
              <w:rPr>
                <w:rFonts w:ascii="Trebuchet MS" w:hAnsi="Trebuchet MS" w:cs="Times New Roman"/>
                <w:sz w:val="20"/>
                <w:szCs w:val="20"/>
              </w:rPr>
            </w:pPr>
          </w:p>
          <w:p w14:paraId="61564221" w14:textId="77777777" w:rsidR="00F45737" w:rsidRPr="009758A0" w:rsidRDefault="00F45737" w:rsidP="009758A0">
            <w:pPr>
              <w:rPr>
                <w:rFonts w:ascii="Trebuchet MS" w:hAnsi="Trebuchet MS" w:cs="Times New Roman"/>
                <w:sz w:val="20"/>
                <w:szCs w:val="20"/>
              </w:rPr>
            </w:pPr>
          </w:p>
          <w:p w14:paraId="61564222" w14:textId="77777777" w:rsidR="00424468" w:rsidRPr="009758A0" w:rsidRDefault="00424468" w:rsidP="009758A0">
            <w:pPr>
              <w:rPr>
                <w:rFonts w:ascii="Trebuchet MS" w:hAnsi="Trebuchet MS" w:cs="Times New Roman"/>
                <w:sz w:val="20"/>
                <w:szCs w:val="20"/>
              </w:rPr>
            </w:pPr>
          </w:p>
          <w:p w14:paraId="61564223" w14:textId="77777777"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2B" w14:textId="77777777" w:rsidTr="009758A0">
        <w:trPr>
          <w:trHeight w:val="1444"/>
        </w:trPr>
        <w:tc>
          <w:tcPr>
            <w:tcW w:w="407" w:type="dxa"/>
            <w:shd w:val="clear" w:color="auto" w:fill="F2F2F2"/>
          </w:tcPr>
          <w:p w14:paraId="61564225" w14:textId="77777777" w:rsidR="00F45737"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3</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61564226" w14:textId="77777777" w:rsidR="00C642BF"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 xml:space="preserve">Jeg/vi er kjent med at brudd på ovennevnte er å </w:t>
            </w:r>
            <w:r w:rsidRPr="009758A0">
              <w:rPr>
                <w:rFonts w:ascii="Trebuchet MS" w:hAnsi="Trebuchet MS" w:cs="Times New Roman"/>
                <w:b/>
                <w:color w:val="333333"/>
                <w:sz w:val="20"/>
                <w:szCs w:val="20"/>
                <w:u w:val="single"/>
                <w:lang w:eastAsia="nb-NO" w:bidi="ar-SA"/>
              </w:rPr>
              <w:t>betrakte som fusk</w:t>
            </w:r>
            <w:r w:rsidRPr="009758A0">
              <w:rPr>
                <w:rFonts w:ascii="Trebuchet MS" w:hAnsi="Trebuchet MS" w:cs="Times New Roman"/>
                <w:b/>
                <w:color w:val="333333"/>
                <w:sz w:val="20"/>
                <w:szCs w:val="20"/>
                <w:lang w:eastAsia="nb-NO" w:bidi="ar-SA"/>
              </w:rPr>
              <w:t xml:space="preserve"> og kan medføre annullering av eksamen og utestengelse fra universiteter og høgskoler i Norge, jf. </w:t>
            </w:r>
            <w:hyperlink r:id="rId15" w:history="1">
              <w:r w:rsidRPr="009758A0">
                <w:rPr>
                  <w:rStyle w:val="Hyperkobling"/>
                  <w:rFonts w:ascii="Trebuchet MS" w:hAnsi="Trebuchet MS" w:cs="Times New Roman"/>
                  <w:b/>
                  <w:sz w:val="20"/>
                  <w:szCs w:val="20"/>
                  <w:lang w:eastAsia="nb-NO" w:bidi="ar-SA"/>
                </w:rPr>
                <w:t>Universitets- og høgskoleloven</w:t>
              </w:r>
            </w:hyperlink>
            <w:r w:rsidRPr="009758A0">
              <w:rPr>
                <w:rFonts w:ascii="Trebuchet MS" w:hAnsi="Trebuchet MS" w:cs="Times New Roman"/>
                <w:b/>
                <w:color w:val="333333"/>
                <w:sz w:val="20"/>
                <w:szCs w:val="20"/>
                <w:lang w:eastAsia="nb-NO" w:bidi="ar-SA"/>
              </w:rPr>
              <w:t xml:space="preserve"> §§4-7 og 4-8 og </w:t>
            </w:r>
            <w:hyperlink r:id="rId16" w:history="1">
              <w:r w:rsidRPr="009758A0">
                <w:rPr>
                  <w:rStyle w:val="Hyperkobling"/>
                  <w:rFonts w:ascii="Trebuchet MS" w:hAnsi="Trebuchet MS" w:cs="Times New Roman"/>
                  <w:b/>
                  <w:sz w:val="20"/>
                  <w:szCs w:val="20"/>
                  <w:lang w:eastAsia="nb-NO" w:bidi="ar-SA"/>
                </w:rPr>
                <w:t>Forskrift om eksamen</w:t>
              </w:r>
            </w:hyperlink>
            <w:r w:rsidRPr="009758A0">
              <w:rPr>
                <w:rFonts w:ascii="Trebuchet MS" w:hAnsi="Trebuchet MS" w:cs="Times New Roman"/>
                <w:b/>
                <w:color w:val="333333"/>
                <w:sz w:val="20"/>
                <w:szCs w:val="20"/>
                <w:lang w:eastAsia="nb-NO" w:bidi="ar-SA"/>
              </w:rPr>
              <w:t xml:space="preserve"> §§14 og 15. </w:t>
            </w:r>
          </w:p>
        </w:tc>
        <w:tc>
          <w:tcPr>
            <w:tcW w:w="1502" w:type="dxa"/>
            <w:shd w:val="clear" w:color="auto" w:fill="F2F2F2"/>
          </w:tcPr>
          <w:p w14:paraId="61564227" w14:textId="77777777" w:rsidR="00F45737" w:rsidRPr="009758A0" w:rsidRDefault="00F45737" w:rsidP="009758A0">
            <w:pPr>
              <w:rPr>
                <w:rFonts w:ascii="Trebuchet MS" w:hAnsi="Trebuchet MS" w:cs="Times New Roman"/>
                <w:sz w:val="20"/>
                <w:szCs w:val="20"/>
              </w:rPr>
            </w:pPr>
          </w:p>
          <w:p w14:paraId="61564228" w14:textId="77777777" w:rsidR="00F45737" w:rsidRPr="009758A0" w:rsidRDefault="00F45737" w:rsidP="009758A0">
            <w:pPr>
              <w:rPr>
                <w:rFonts w:ascii="Trebuchet MS" w:hAnsi="Trebuchet MS" w:cs="Times New Roman"/>
                <w:sz w:val="20"/>
                <w:szCs w:val="20"/>
              </w:rPr>
            </w:pPr>
          </w:p>
          <w:p w14:paraId="61564229" w14:textId="77777777" w:rsidR="00C642BF" w:rsidRPr="009758A0" w:rsidRDefault="00C642BF" w:rsidP="009758A0">
            <w:pPr>
              <w:rPr>
                <w:rFonts w:ascii="Trebuchet MS" w:hAnsi="Trebuchet MS" w:cs="Times New Roman"/>
                <w:sz w:val="20"/>
                <w:szCs w:val="20"/>
              </w:rPr>
            </w:pPr>
          </w:p>
          <w:p w14:paraId="6156422A" w14:textId="77777777"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31" w14:textId="77777777" w:rsidTr="009758A0">
        <w:trPr>
          <w:trHeight w:val="1131"/>
        </w:trPr>
        <w:tc>
          <w:tcPr>
            <w:tcW w:w="407" w:type="dxa"/>
            <w:shd w:val="clear" w:color="auto" w:fill="F2F2F2"/>
          </w:tcPr>
          <w:p w14:paraId="6156422C" w14:textId="77777777" w:rsidR="00F45737" w:rsidRPr="009758A0" w:rsidRDefault="00F45737"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4</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6156422D" w14:textId="77777777" w:rsidR="00F45737" w:rsidRPr="009758A0" w:rsidRDefault="00F45737" w:rsidP="00214E29">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Jeg/vi er kjent med at alle innleverte oppgaver kan bli plagi</w:t>
            </w:r>
            <w:r w:rsidR="004F5264" w:rsidRPr="009758A0">
              <w:rPr>
                <w:rFonts w:ascii="Trebuchet MS" w:hAnsi="Trebuchet MS" w:cs="Times New Roman"/>
                <w:b/>
                <w:color w:val="333333"/>
                <w:sz w:val="20"/>
                <w:szCs w:val="20"/>
                <w:lang w:eastAsia="nb-NO" w:bidi="ar-SA"/>
              </w:rPr>
              <w:t xml:space="preserve">atkontrollert i </w:t>
            </w:r>
            <w:r w:rsidR="00214E29">
              <w:rPr>
                <w:rFonts w:ascii="Trebuchet MS" w:hAnsi="Trebuchet MS" w:cs="Times New Roman"/>
                <w:b/>
                <w:color w:val="333333"/>
                <w:sz w:val="20"/>
                <w:szCs w:val="20"/>
                <w:lang w:eastAsia="nb-NO" w:bidi="ar-SA"/>
              </w:rPr>
              <w:t>URKUND</w:t>
            </w:r>
            <w:r w:rsidR="004F5264" w:rsidRPr="009758A0">
              <w:rPr>
                <w:rFonts w:ascii="Trebuchet MS" w:hAnsi="Trebuchet MS" w:cs="Times New Roman"/>
                <w:b/>
                <w:color w:val="333333"/>
                <w:sz w:val="20"/>
                <w:szCs w:val="20"/>
                <w:lang w:eastAsia="nb-NO" w:bidi="ar-SA"/>
              </w:rPr>
              <w:t>, se</w:t>
            </w:r>
            <w:r w:rsidRPr="009758A0">
              <w:rPr>
                <w:rFonts w:ascii="Trebuchet MS" w:hAnsi="Trebuchet MS" w:cs="Times New Roman"/>
                <w:b/>
                <w:color w:val="333333"/>
                <w:sz w:val="20"/>
                <w:szCs w:val="20"/>
                <w:lang w:eastAsia="nb-NO" w:bidi="ar-SA"/>
              </w:rPr>
              <w:t xml:space="preserve"> </w:t>
            </w:r>
            <w:hyperlink r:id="rId17" w:history="1">
              <w:r w:rsidRPr="009758A0">
                <w:rPr>
                  <w:rStyle w:val="Hyperkobling"/>
                  <w:rFonts w:ascii="Trebuchet MS" w:hAnsi="Trebuchet MS" w:cs="Times New Roman"/>
                  <w:b/>
                  <w:sz w:val="20"/>
                  <w:szCs w:val="20"/>
                  <w:lang w:eastAsia="nb-NO" w:bidi="ar-SA"/>
                </w:rPr>
                <w:t>Retningslinjer for elektronisk innlevering og publisering av studiepoenggivende studentoppgaver</w:t>
              </w:r>
            </w:hyperlink>
          </w:p>
        </w:tc>
        <w:tc>
          <w:tcPr>
            <w:tcW w:w="1502" w:type="dxa"/>
            <w:shd w:val="clear" w:color="auto" w:fill="F2F2F2"/>
          </w:tcPr>
          <w:p w14:paraId="6156422E" w14:textId="77777777" w:rsidR="00F45737" w:rsidRPr="009758A0" w:rsidRDefault="00F45737" w:rsidP="009758A0">
            <w:pPr>
              <w:rPr>
                <w:rFonts w:ascii="Trebuchet MS" w:hAnsi="Trebuchet MS" w:cs="Times New Roman"/>
                <w:sz w:val="20"/>
                <w:szCs w:val="20"/>
              </w:rPr>
            </w:pPr>
          </w:p>
          <w:p w14:paraId="6156422F" w14:textId="77777777" w:rsidR="0099615A" w:rsidRPr="009758A0" w:rsidRDefault="0099615A" w:rsidP="009758A0">
            <w:pPr>
              <w:rPr>
                <w:rFonts w:ascii="Trebuchet MS" w:hAnsi="Trebuchet MS" w:cs="Times New Roman"/>
                <w:sz w:val="20"/>
                <w:szCs w:val="20"/>
              </w:rPr>
            </w:pPr>
          </w:p>
          <w:p w14:paraId="61564230" w14:textId="77777777"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37" w14:textId="77777777" w:rsidTr="009758A0">
        <w:trPr>
          <w:trHeight w:val="1131"/>
        </w:trPr>
        <w:tc>
          <w:tcPr>
            <w:tcW w:w="407" w:type="dxa"/>
            <w:shd w:val="clear" w:color="auto" w:fill="F2F2F2"/>
          </w:tcPr>
          <w:p w14:paraId="61564232" w14:textId="77777777" w:rsidR="0055544F"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5.</w:t>
            </w:r>
          </w:p>
        </w:tc>
        <w:tc>
          <w:tcPr>
            <w:tcW w:w="7075" w:type="dxa"/>
            <w:shd w:val="clear" w:color="auto" w:fill="F2F2F2"/>
          </w:tcPr>
          <w:p w14:paraId="61564233" w14:textId="77777777" w:rsidR="0055544F"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 xml:space="preserve">Jeg/vi er kjent med at høgskolen vil behandle alle saker hvor det forligger mistanke om fusk etter høgskolens </w:t>
            </w:r>
            <w:hyperlink r:id="rId18" w:history="1">
              <w:r w:rsidRPr="009758A0">
                <w:rPr>
                  <w:rStyle w:val="Hyperkobling"/>
                  <w:rFonts w:ascii="Trebuchet MS" w:hAnsi="Trebuchet MS" w:cs="Times New Roman"/>
                  <w:b/>
                  <w:sz w:val="20"/>
                  <w:szCs w:val="20"/>
                  <w:lang w:eastAsia="nb-NO" w:bidi="ar-SA"/>
                </w:rPr>
                <w:t>retningslinjer for behandling av saker om fusk</w:t>
              </w:r>
            </w:hyperlink>
          </w:p>
        </w:tc>
        <w:tc>
          <w:tcPr>
            <w:tcW w:w="1502" w:type="dxa"/>
            <w:shd w:val="clear" w:color="auto" w:fill="F2F2F2"/>
          </w:tcPr>
          <w:p w14:paraId="61564234" w14:textId="77777777" w:rsidR="0055544F" w:rsidRPr="009758A0" w:rsidRDefault="0055544F" w:rsidP="009758A0">
            <w:pPr>
              <w:rPr>
                <w:rFonts w:ascii="Trebuchet MS" w:hAnsi="Trebuchet MS" w:cs="Times New Roman"/>
                <w:b/>
                <w:sz w:val="20"/>
                <w:szCs w:val="20"/>
              </w:rPr>
            </w:pPr>
          </w:p>
          <w:p w14:paraId="61564235" w14:textId="77777777" w:rsidR="0055544F" w:rsidRPr="009758A0" w:rsidRDefault="0055544F" w:rsidP="009758A0">
            <w:pPr>
              <w:rPr>
                <w:rFonts w:ascii="Trebuchet MS" w:hAnsi="Trebuchet MS" w:cs="Times New Roman"/>
                <w:b/>
                <w:sz w:val="20"/>
                <w:szCs w:val="20"/>
              </w:rPr>
            </w:pPr>
          </w:p>
          <w:p w14:paraId="61564236" w14:textId="77777777" w:rsidR="0055544F" w:rsidRPr="009758A0" w:rsidRDefault="0055544F" w:rsidP="00955329">
            <w:pPr>
              <w:rPr>
                <w:rFonts w:ascii="Trebuchet MS" w:hAnsi="Trebuchet MS" w:cs="Times New Roman"/>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r w:rsidR="002278CF" w14:paraId="6156423C" w14:textId="77777777" w:rsidTr="009758A0">
        <w:trPr>
          <w:trHeight w:val="805"/>
        </w:trPr>
        <w:tc>
          <w:tcPr>
            <w:tcW w:w="407" w:type="dxa"/>
            <w:shd w:val="clear" w:color="auto" w:fill="F2F2F2"/>
          </w:tcPr>
          <w:p w14:paraId="61564238" w14:textId="77777777" w:rsidR="00F45737" w:rsidRPr="009758A0" w:rsidRDefault="0055544F" w:rsidP="009758A0">
            <w:pPr>
              <w:spacing w:before="100" w:beforeAutospacing="1" w:after="100" w:afterAutospacing="1"/>
              <w:rPr>
                <w:rFonts w:ascii="Trebuchet MS" w:hAnsi="Trebuchet MS" w:cs="Times New Roman"/>
                <w:b/>
                <w:color w:val="333333"/>
                <w:sz w:val="20"/>
                <w:szCs w:val="20"/>
                <w:lang w:eastAsia="nb-NO" w:bidi="ar-SA"/>
              </w:rPr>
            </w:pPr>
            <w:r w:rsidRPr="009758A0">
              <w:rPr>
                <w:rFonts w:ascii="Trebuchet MS" w:hAnsi="Trebuchet MS" w:cs="Times New Roman"/>
                <w:b/>
                <w:color w:val="333333"/>
                <w:sz w:val="20"/>
                <w:szCs w:val="20"/>
                <w:lang w:eastAsia="nb-NO" w:bidi="ar-SA"/>
              </w:rPr>
              <w:t>6</w:t>
            </w:r>
            <w:r w:rsidR="00C642BF" w:rsidRPr="009758A0">
              <w:rPr>
                <w:rFonts w:ascii="Trebuchet MS" w:hAnsi="Trebuchet MS" w:cs="Times New Roman"/>
                <w:b/>
                <w:color w:val="333333"/>
                <w:sz w:val="20"/>
                <w:szCs w:val="20"/>
                <w:lang w:eastAsia="nb-NO" w:bidi="ar-SA"/>
              </w:rPr>
              <w:t>.</w:t>
            </w:r>
          </w:p>
        </w:tc>
        <w:tc>
          <w:tcPr>
            <w:tcW w:w="7075" w:type="dxa"/>
            <w:shd w:val="clear" w:color="auto" w:fill="F2F2F2"/>
          </w:tcPr>
          <w:p w14:paraId="61564239" w14:textId="77777777" w:rsidR="00F45737" w:rsidRPr="009758A0" w:rsidRDefault="0099615A" w:rsidP="009758A0">
            <w:pPr>
              <w:rPr>
                <w:rFonts w:ascii="Trebuchet MS" w:hAnsi="Trebuchet MS" w:cs="Times New Roman"/>
                <w:b/>
                <w:sz w:val="20"/>
                <w:szCs w:val="20"/>
              </w:rPr>
            </w:pPr>
            <w:r w:rsidRPr="009758A0">
              <w:rPr>
                <w:rFonts w:ascii="Trebuchet MS" w:eastAsia="Arial Unicode MS" w:hAnsi="Trebuchet MS" w:cs="Times New Roman"/>
                <w:b/>
                <w:noProof/>
                <w:sz w:val="20"/>
                <w:szCs w:val="20"/>
              </w:rPr>
              <w:t xml:space="preserve">Jeg/vi har </w:t>
            </w:r>
            <w:r w:rsidRPr="009758A0">
              <w:rPr>
                <w:rFonts w:ascii="Trebuchet MS" w:hAnsi="Trebuchet MS" w:cs="Times New Roman"/>
                <w:b/>
                <w:sz w:val="20"/>
                <w:szCs w:val="20"/>
              </w:rPr>
              <w:t xml:space="preserve">satt oss inn i regler og retningslinjer i bruk av </w:t>
            </w:r>
            <w:hyperlink r:id="rId19" w:history="1">
              <w:r w:rsidRPr="004C7BA6">
                <w:rPr>
                  <w:rStyle w:val="Hyperkobling"/>
                  <w:rFonts w:ascii="Trebuchet MS" w:hAnsi="Trebuchet MS" w:cs="Times New Roman"/>
                  <w:b/>
                  <w:sz w:val="20"/>
                  <w:szCs w:val="20"/>
                </w:rPr>
                <w:t>kilder og referanser på biblioteket sine nettsider</w:t>
              </w:r>
            </w:hyperlink>
          </w:p>
        </w:tc>
        <w:tc>
          <w:tcPr>
            <w:tcW w:w="1502" w:type="dxa"/>
            <w:shd w:val="clear" w:color="auto" w:fill="F2F2F2"/>
          </w:tcPr>
          <w:p w14:paraId="6156423A" w14:textId="77777777" w:rsidR="0055544F" w:rsidRPr="009758A0" w:rsidRDefault="0055544F" w:rsidP="009758A0">
            <w:pPr>
              <w:rPr>
                <w:rFonts w:ascii="Trebuchet MS" w:hAnsi="Trebuchet MS" w:cs="Times New Roman"/>
                <w:b/>
                <w:sz w:val="20"/>
                <w:szCs w:val="20"/>
              </w:rPr>
            </w:pPr>
          </w:p>
          <w:p w14:paraId="6156423B" w14:textId="77777777" w:rsidR="00F45737" w:rsidRPr="009758A0" w:rsidRDefault="0055544F" w:rsidP="00955329">
            <w:pPr>
              <w:rPr>
                <w:rFonts w:ascii="Trebuchet MS" w:hAnsi="Trebuchet MS" w:cs="Arial"/>
                <w:b/>
                <w:sz w:val="20"/>
                <w:szCs w:val="20"/>
              </w:rPr>
            </w:pP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p>
        </w:tc>
      </w:tr>
    </w:tbl>
    <w:p w14:paraId="6156423D" w14:textId="77777777" w:rsidR="004F5264" w:rsidRPr="004F5264" w:rsidRDefault="004F5264" w:rsidP="004F5264">
      <w:pPr>
        <w:rPr>
          <w:rFonts w:ascii="Trebuchet MS" w:hAnsi="Trebuchet MS" w:cs="Arial"/>
          <w:bCs/>
          <w:spacing w:val="-4"/>
          <w:w w:val="101"/>
          <w:sz w:val="18"/>
          <w:szCs w:val="18"/>
        </w:rPr>
      </w:pPr>
    </w:p>
    <w:p w14:paraId="6156423E" w14:textId="77777777" w:rsidR="004F5264" w:rsidRPr="004F5264" w:rsidRDefault="004F5264" w:rsidP="004F5264">
      <w:pPr>
        <w:rPr>
          <w:rFonts w:ascii="Trebuchet MS" w:hAnsi="Trebuchet MS" w:cs="Arial"/>
          <w:bCs/>
          <w:spacing w:val="-4"/>
          <w:w w:val="101"/>
          <w:sz w:val="18"/>
          <w:szCs w:val="18"/>
        </w:rPr>
      </w:pPr>
    </w:p>
    <w:p w14:paraId="6156423F" w14:textId="77777777" w:rsidR="004F5264" w:rsidRDefault="004F5264" w:rsidP="006B0F3E">
      <w:pPr>
        <w:rPr>
          <w:rFonts w:ascii="Arial" w:hAnsi="Arial" w:cs="Arial"/>
          <w:b/>
          <w:bCs/>
          <w:spacing w:val="-4"/>
          <w:w w:val="101"/>
          <w:sz w:val="32"/>
          <w:szCs w:val="32"/>
        </w:rPr>
        <w:sectPr w:rsidR="004F5264" w:rsidSect="00C90D42">
          <w:footerReference w:type="default" r:id="rId35"/>
          <w:pgSz w:w="11907" w:h="16840"/>
          <w:pgMar w:top="1417" w:right="1417" w:bottom="1417" w:left="1701" w:header="720" w:footer="403" w:gutter="0"/>
          <w:cols w:space="720"/>
          <w:titlePg/>
        </w:sectPr>
      </w:pPr>
    </w:p>
    <w:p w14:paraId="61564240" w14:textId="77777777" w:rsidR="00587456" w:rsidRDefault="00587456" w:rsidP="00587456">
      <w:pPr>
        <w:rPr>
          <w:rFonts w:ascii="Arial" w:hAnsi="Arial" w:cs="Arial"/>
          <w:b/>
          <w:bCs/>
          <w:spacing w:val="-4"/>
          <w:w w:val="101"/>
          <w:sz w:val="32"/>
          <w:szCs w:val="32"/>
        </w:rPr>
      </w:pPr>
      <w:r>
        <w:rPr>
          <w:rFonts w:ascii="Arial" w:hAnsi="Arial" w:cs="Arial"/>
          <w:b/>
          <w:bCs/>
          <w:spacing w:val="-4"/>
          <w:w w:val="101"/>
          <w:sz w:val="32"/>
          <w:szCs w:val="32"/>
        </w:rPr>
        <w:lastRenderedPageBreak/>
        <w:t>Personvern</w:t>
      </w:r>
    </w:p>
    <w:p w14:paraId="61564241" w14:textId="77777777" w:rsidR="00587456" w:rsidRDefault="00587456" w:rsidP="00587456">
      <w:pPr>
        <w:rPr>
          <w:rFonts w:ascii="Arial" w:hAnsi="Arial" w:cs="Arial"/>
          <w:b/>
          <w:bCs/>
          <w:spacing w:val="-4"/>
          <w:w w:val="101"/>
          <w:sz w:val="32"/>
          <w:szCs w:val="32"/>
        </w:rPr>
      </w:pPr>
    </w:p>
    <w:p w14:paraId="61564242"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Arial"/>
          <w:b/>
          <w:sz w:val="28"/>
          <w:szCs w:val="28"/>
        </w:rPr>
        <w:t>Personopplysningsloven</w:t>
      </w:r>
    </w:p>
    <w:p w14:paraId="61564243" w14:textId="77777777" w:rsidR="0085085B"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cs="Times New Roman"/>
          <w:sz w:val="22"/>
          <w:szCs w:val="22"/>
        </w:rPr>
        <w:t>Forskningsprosjekt som innebærer behandling av personopplysninger iht. Personopplysningsloven skal meldes til Norsk senter for forskningsdata, NSD, for vurdering</w:t>
      </w:r>
      <w:r w:rsidR="0085085B">
        <w:rPr>
          <w:rFonts w:cs="Times New Roman"/>
          <w:sz w:val="22"/>
          <w:szCs w:val="22"/>
        </w:rPr>
        <w:t>.</w:t>
      </w:r>
    </w:p>
    <w:p w14:paraId="61564244" w14:textId="77777777" w:rsidR="0085085B" w:rsidRP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p>
    <w:p w14:paraId="61564245" w14:textId="5961E6CF"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Times New Roman"/>
          <w:b/>
          <w:sz w:val="20"/>
          <w:szCs w:val="20"/>
        </w:rPr>
        <w:t>Har oppgaven vært vurdert av NSD?</w:t>
      </w:r>
      <w:r w:rsidRPr="0055544F">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val="0"/>
            </w:checkBox>
          </w:ffData>
        </w:fldChar>
      </w:r>
      <w:r w:rsidRPr="0055544F">
        <w:rPr>
          <w:rFonts w:ascii="Trebuchet MS" w:hAnsi="Trebuchet MS" w:cs="Times New Roman"/>
          <w:sz w:val="20"/>
          <w:szCs w:val="20"/>
        </w:rPr>
        <w:instrText xml:space="preserve"> FORMCHECKBOX </w:instrText>
      </w:r>
      <w:r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ed w:val="0"/>
            </w:checkBox>
          </w:ffData>
        </w:fldChar>
      </w:r>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r w:rsidRPr="0055544F">
        <w:rPr>
          <w:rFonts w:ascii="Trebuchet MS" w:hAnsi="Trebuchet MS" w:cs="Times New Roman"/>
          <w:b/>
          <w:sz w:val="20"/>
          <w:szCs w:val="20"/>
        </w:rPr>
        <w:t>nei</w:t>
      </w:r>
    </w:p>
    <w:p w14:paraId="61564246"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61564247" w14:textId="77777777"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rebuchet MS" w:hAnsi="Trebuchet MS" w:cs="Times New Roman"/>
          <w:b/>
          <w:sz w:val="20"/>
          <w:szCs w:val="20"/>
        </w:rPr>
        <w:t>Referansenummer:</w:t>
      </w:r>
      <w:r w:rsidRPr="0055544F">
        <w:rPr>
          <w:rFonts w:ascii="Trebuchet MS" w:hAnsi="Trebuchet MS" w:cs="Times New Roman"/>
          <w:b/>
          <w:sz w:val="20"/>
          <w:szCs w:val="20"/>
        </w:rPr>
        <w:t xml:space="preserve"> </w:t>
      </w:r>
      <w:r w:rsidRPr="0055544F">
        <w:rPr>
          <w:rFonts w:ascii="Trebuchet MS" w:hAnsi="Trebuchet MS" w:cs="Times New Roman"/>
          <w:b/>
          <w:sz w:val="20"/>
          <w:szCs w:val="20"/>
        </w:rPr>
        <w:fldChar w:fldCharType="begin">
          <w:ffData>
            <w:name w:val="Dato"/>
            <w:enabled/>
            <w:calcOnExit w:val="0"/>
            <w:helpText w:type="text" w:val="1. Klikk i feltet   2. Skriv inn dato"/>
            <w:statusText w:type="text" w:val="1. Klikk i feltet   2. Skriv inn dato"/>
            <w:textInput/>
          </w:ffData>
        </w:fldChar>
      </w:r>
      <w:r w:rsidRPr="0055544F">
        <w:rPr>
          <w:rFonts w:ascii="Trebuchet MS" w:hAnsi="Trebuchet MS" w:cs="Times New Roman"/>
          <w:b/>
          <w:sz w:val="20"/>
          <w:szCs w:val="20"/>
        </w:rPr>
        <w:instrText xml:space="preserve"> FORMTEXT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sidRPr="0055544F">
        <w:rPr>
          <w:rFonts w:ascii="Trebuchet MS" w:hAnsi="Trebuchet MS" w:cs="Times New Roman"/>
          <w:b/>
          <w:sz w:val="20"/>
          <w:szCs w:val="20"/>
        </w:rPr>
        <w:fldChar w:fldCharType="end"/>
      </w:r>
    </w:p>
    <w:p w14:paraId="61564248"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Pr>
          <w:rFonts w:ascii="Trebuchet MS" w:hAnsi="Trebuchet MS" w:cs="Times New Roman"/>
          <w:sz w:val="20"/>
          <w:szCs w:val="20"/>
        </w:rPr>
        <w:t>- Hvis nei</w:t>
      </w:r>
      <w:r w:rsidRPr="0055544F">
        <w:rPr>
          <w:rFonts w:ascii="Trebuchet MS" w:hAnsi="Trebuchet MS" w:cs="Times New Roman"/>
          <w:sz w:val="20"/>
          <w:szCs w:val="20"/>
        </w:rPr>
        <w:t xml:space="preserve">: </w:t>
      </w:r>
    </w:p>
    <w:p w14:paraId="61564249"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956D5C">
        <w:rPr>
          <w:rFonts w:ascii="Trebuchet MS" w:hAnsi="Trebuchet MS" w:cs="Times New Roman"/>
          <w:b/>
          <w:sz w:val="20"/>
          <w:szCs w:val="20"/>
        </w:rPr>
        <w:t>Jeg/vi erklærer at oppgaven ikke</w:t>
      </w:r>
      <w:r>
        <w:rPr>
          <w:rFonts w:ascii="Trebuchet MS" w:hAnsi="Trebuchet MS" w:cs="Times New Roman"/>
          <w:b/>
          <w:sz w:val="20"/>
          <w:szCs w:val="20"/>
        </w:rPr>
        <w:t xml:space="preserve"> omfattes av Personopplysningsloven: </w:t>
      </w:r>
      <w:r w:rsidRPr="009758A0">
        <w:rPr>
          <w:rFonts w:ascii="Trebuchet MS" w:hAnsi="Trebuchet MS" w:cs="Times New Roman"/>
          <w:sz w:val="20"/>
          <w:szCs w:val="20"/>
        </w:rPr>
        <w:fldChar w:fldCharType="begin">
          <w:ffData>
            <w:name w:val=""/>
            <w:enabled/>
            <w:calcOnExit w:val="0"/>
            <w:checkBox>
              <w:sizeAuto/>
              <w:default w:val="0"/>
              <w:checked w:val="0"/>
            </w:checkBox>
          </w:ffData>
        </w:fldChar>
      </w:r>
      <w:r w:rsidRPr="009758A0">
        <w:rPr>
          <w:rFonts w:ascii="Trebuchet MS" w:hAnsi="Trebuchet MS" w:cs="Times New Roman"/>
          <w:sz w:val="20"/>
          <w:szCs w:val="20"/>
        </w:rPr>
        <w:instrText xml:space="preserve"> FORMCHECKBOX </w:instrText>
      </w:r>
      <w:r w:rsidRPr="009758A0">
        <w:rPr>
          <w:rFonts w:ascii="Trebuchet MS" w:hAnsi="Trebuchet MS" w:cs="Times New Roman"/>
          <w:sz w:val="20"/>
          <w:szCs w:val="20"/>
        </w:rPr>
      </w:r>
      <w:r w:rsidRPr="009758A0">
        <w:rPr>
          <w:rFonts w:ascii="Trebuchet MS" w:hAnsi="Trebuchet MS" w:cs="Times New Roman"/>
          <w:sz w:val="20"/>
          <w:szCs w:val="20"/>
        </w:rPr>
        <w:fldChar w:fldCharType="separate"/>
      </w:r>
      <w:r w:rsidRPr="009758A0">
        <w:rPr>
          <w:rFonts w:ascii="Trebuchet MS" w:hAnsi="Trebuchet MS" w:cs="Times New Roman"/>
          <w:sz w:val="20"/>
          <w:szCs w:val="20"/>
        </w:rPr>
        <w:fldChar w:fldCharType="end"/>
      </w:r>
      <w:r w:rsidRPr="00956D5C">
        <w:rPr>
          <w:rFonts w:ascii="Trebuchet MS" w:hAnsi="Trebuchet MS" w:cs="Times New Roman"/>
          <w:b/>
          <w:sz w:val="20"/>
          <w:szCs w:val="20"/>
        </w:rPr>
        <w:tab/>
      </w:r>
    </w:p>
    <w:p w14:paraId="6156424A"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4B" w14:textId="77777777" w:rsidR="00587456" w:rsidRP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ascii="Trebuchet MS" w:hAnsi="Trebuchet MS" w:cs="Arial"/>
          <w:b/>
          <w:sz w:val="28"/>
          <w:szCs w:val="28"/>
        </w:rPr>
        <w:t>Helseforskningsloven</w:t>
      </w:r>
    </w:p>
    <w:p w14:paraId="6156424C"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Pr>
          <w:rFonts w:cs="Times New Roman"/>
          <w:sz w:val="22"/>
          <w:szCs w:val="22"/>
        </w:rPr>
        <w:t xml:space="preserve">Dersom prosjektet faller inn under </w:t>
      </w:r>
      <w:r w:rsidRPr="0085085B">
        <w:rPr>
          <w:rFonts w:cs="Times New Roman"/>
          <w:sz w:val="22"/>
          <w:szCs w:val="22"/>
        </w:rPr>
        <w:t>Helseforskningsloven</w:t>
      </w:r>
      <w:r>
        <w:rPr>
          <w:rFonts w:cs="Times New Roman"/>
          <w:sz w:val="22"/>
          <w:szCs w:val="22"/>
        </w:rPr>
        <w:t>, skal det også søkes om forhåndsgodkjenning fra Regionale komiteer for medisinsk og helsefaglig forskningsetikk, REK, i din region.</w:t>
      </w:r>
    </w:p>
    <w:p w14:paraId="6156424D" w14:textId="77777777" w:rsidR="0085085B"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p>
    <w:p w14:paraId="6156424E" w14:textId="77777777" w:rsidR="00587456" w:rsidRP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587456">
        <w:rPr>
          <w:rFonts w:ascii="Trebuchet MS" w:hAnsi="Trebuchet MS" w:cs="Times New Roman"/>
          <w:b/>
          <w:sz w:val="20"/>
          <w:szCs w:val="20"/>
        </w:rPr>
        <w:t>Har oppga</w:t>
      </w:r>
      <w:r>
        <w:rPr>
          <w:rFonts w:ascii="Trebuchet MS" w:hAnsi="Trebuchet MS" w:cs="Times New Roman"/>
          <w:b/>
          <w:sz w:val="20"/>
          <w:szCs w:val="20"/>
        </w:rPr>
        <w:t>ven vært til behandling hos REK?</w:t>
      </w:r>
      <w:r w:rsidRPr="0055544F">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val="0"/>
            </w:checkBox>
          </w:ffData>
        </w:fldChar>
      </w:r>
      <w:r w:rsidRPr="0055544F">
        <w:rPr>
          <w:rFonts w:ascii="Trebuchet MS" w:hAnsi="Trebuchet MS" w:cs="Times New Roman"/>
          <w:sz w:val="20"/>
          <w:szCs w:val="20"/>
        </w:rPr>
        <w:instrText xml:space="preserve"> FORMCHECKBOX </w:instrText>
      </w:r>
      <w:r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ed w:val="0"/>
            </w:checkBox>
          </w:ffData>
        </w:fldChar>
      </w:r>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r w:rsidRPr="0055544F">
        <w:rPr>
          <w:rFonts w:ascii="Trebuchet MS" w:hAnsi="Trebuchet MS" w:cs="Times New Roman"/>
          <w:b/>
          <w:sz w:val="20"/>
          <w:szCs w:val="20"/>
        </w:rPr>
        <w:t>nei</w:t>
      </w:r>
    </w:p>
    <w:p w14:paraId="6156424F" w14:textId="77777777" w:rsidR="00587456" w:rsidRPr="0055544F"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61564250" w14:textId="77777777" w:rsidR="00587456" w:rsidRDefault="00587456"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rebuchet MS" w:hAnsi="Trebuchet MS" w:cs="Times New Roman"/>
          <w:b/>
          <w:sz w:val="20"/>
          <w:szCs w:val="20"/>
        </w:rPr>
        <w:t>Referansenummer:</w:t>
      </w:r>
      <w:r w:rsidRPr="0055544F">
        <w:rPr>
          <w:rFonts w:ascii="Trebuchet MS" w:hAnsi="Trebuchet MS" w:cs="Times New Roman"/>
          <w:b/>
          <w:sz w:val="20"/>
          <w:szCs w:val="20"/>
        </w:rPr>
        <w:t xml:space="preserve"> </w:t>
      </w:r>
      <w:r w:rsidRPr="0055544F">
        <w:rPr>
          <w:rFonts w:ascii="Trebuchet MS" w:hAnsi="Trebuchet MS" w:cs="Times New Roman"/>
          <w:b/>
          <w:sz w:val="20"/>
          <w:szCs w:val="20"/>
        </w:rPr>
        <w:fldChar w:fldCharType="begin">
          <w:ffData>
            <w:name w:val="Dato"/>
            <w:enabled/>
            <w:calcOnExit w:val="0"/>
            <w:helpText w:type="text" w:val="1. Klikk i feltet   2. Skriv inn dato"/>
            <w:statusText w:type="text" w:val="1. Klikk i feltet   2. Skriv inn dato"/>
            <w:textInput/>
          </w:ffData>
        </w:fldChar>
      </w:r>
      <w:r w:rsidRPr="0055544F">
        <w:rPr>
          <w:rFonts w:ascii="Trebuchet MS" w:hAnsi="Trebuchet MS" w:cs="Times New Roman"/>
          <w:b/>
          <w:sz w:val="20"/>
          <w:szCs w:val="20"/>
        </w:rPr>
        <w:instrText xml:space="preserve"> FORMTEXT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Pr>
          <w:rFonts w:ascii="Trebuchet MS" w:hAnsi="Trebuchet MS" w:cs="Times New Roman"/>
          <w:b/>
          <w:sz w:val="20"/>
          <w:szCs w:val="20"/>
        </w:rPr>
        <w:t> </w:t>
      </w:r>
      <w:r w:rsidRPr="0055544F">
        <w:rPr>
          <w:rFonts w:ascii="Trebuchet MS" w:hAnsi="Trebuchet MS" w:cs="Times New Roman"/>
          <w:b/>
          <w:sz w:val="20"/>
          <w:szCs w:val="20"/>
        </w:rPr>
        <w:fldChar w:fldCharType="end"/>
      </w:r>
    </w:p>
    <w:p w14:paraId="61564251" w14:textId="77777777" w:rsidR="0085085B" w:rsidRPr="00956D5C" w:rsidRDefault="0085085B" w:rsidP="00587456">
      <w:pPr>
        <w:framePr w:w="8332" w:h="3492" w:hSpace="180" w:wrap="around" w:vAnchor="text" w:hAnchor="page" w:x="1765" w:yAlign="top"/>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52" w14:textId="77777777" w:rsidR="00587456" w:rsidRPr="0019127E" w:rsidRDefault="00587456" w:rsidP="00587456">
      <w:pPr>
        <w:rPr>
          <w:rFonts w:ascii="Trebuchet MS" w:hAnsi="Trebuchet MS" w:cs="Arial"/>
          <w:bCs/>
          <w:spacing w:val="-4"/>
          <w:w w:val="101"/>
        </w:rPr>
      </w:pPr>
    </w:p>
    <w:p w14:paraId="61564253" w14:textId="77777777" w:rsidR="00587456" w:rsidRDefault="00587456" w:rsidP="00587456">
      <w:pPr>
        <w:rPr>
          <w:rFonts w:ascii="Arial" w:hAnsi="Arial" w:cs="Arial"/>
          <w:b/>
          <w:bCs/>
          <w:spacing w:val="-4"/>
          <w:w w:val="101"/>
          <w:sz w:val="32"/>
          <w:szCs w:val="32"/>
        </w:rPr>
        <w:sectPr w:rsidR="00587456" w:rsidSect="00C90D42">
          <w:footerReference w:type="default" r:id="rId36"/>
          <w:pgSz w:w="11907" w:h="16840"/>
          <w:pgMar w:top="1417" w:right="1417" w:bottom="1417" w:left="1701" w:header="720" w:footer="403" w:gutter="0"/>
          <w:cols w:space="720"/>
          <w:titlePg/>
        </w:sectPr>
      </w:pPr>
    </w:p>
    <w:p w14:paraId="61564254" w14:textId="77777777" w:rsidR="00587456" w:rsidRDefault="00587456" w:rsidP="00587456">
      <w:pPr>
        <w:rPr>
          <w:rFonts w:ascii="Arial" w:hAnsi="Arial" w:cs="Arial"/>
          <w:b/>
          <w:bCs/>
          <w:spacing w:val="-4"/>
          <w:w w:val="101"/>
          <w:sz w:val="32"/>
          <w:szCs w:val="32"/>
        </w:rPr>
      </w:pPr>
      <w:r w:rsidRPr="00D94764">
        <w:rPr>
          <w:rFonts w:ascii="Arial" w:hAnsi="Arial" w:cs="Arial"/>
          <w:b/>
          <w:bCs/>
          <w:spacing w:val="-4"/>
          <w:w w:val="101"/>
          <w:sz w:val="32"/>
          <w:szCs w:val="32"/>
        </w:rPr>
        <w:lastRenderedPageBreak/>
        <w:t>Publiseringsavtale</w:t>
      </w:r>
    </w:p>
    <w:p w14:paraId="61564255" w14:textId="77777777" w:rsidR="00587456" w:rsidRPr="00ED74AA" w:rsidRDefault="00587456" w:rsidP="00587456">
      <w:pPr>
        <w:rPr>
          <w:rFonts w:ascii="Arial" w:hAnsi="Arial" w:cs="Arial"/>
          <w:b/>
          <w:bCs/>
          <w:spacing w:val="-4"/>
          <w:w w:val="101"/>
          <w:sz w:val="32"/>
          <w:szCs w:val="32"/>
        </w:rPr>
      </w:pPr>
    </w:p>
    <w:p w14:paraId="61564256" w14:textId="77777777" w:rsidR="00587456" w:rsidRPr="0055544F" w:rsidRDefault="00587456" w:rsidP="00587456">
      <w:pPr>
        <w:rPr>
          <w:rFonts w:ascii="Trebuchet MS" w:hAnsi="Trebuchet MS" w:cs="Times New Roman"/>
          <w:b/>
        </w:rPr>
      </w:pPr>
      <w:r>
        <w:rPr>
          <w:rFonts w:ascii="Times New Roman" w:hAnsi="Times New Roman"/>
          <w:sz w:val="24"/>
        </w:rPr>
        <w:t>Studiepoeng: 15</w:t>
      </w:r>
    </w:p>
    <w:p w14:paraId="61564257" w14:textId="77777777" w:rsidR="00587456" w:rsidRDefault="00587456" w:rsidP="00587456">
      <w:pPr>
        <w:rPr>
          <w:rFonts w:ascii="Trebuchet MS" w:hAnsi="Trebuchet MS" w:cs="Times New Roman"/>
          <w:b/>
        </w:rPr>
      </w:pPr>
      <w:r>
        <w:rPr>
          <w:rFonts w:ascii="Times New Roman" w:hAnsi="Times New Roman"/>
          <w:sz w:val="24"/>
        </w:rPr>
        <w:t>Veileder: Bård Inge Austigard Pettersen</w:t>
      </w:r>
    </w:p>
    <w:p w14:paraId="61564258" w14:textId="77777777" w:rsidR="00587456" w:rsidRPr="00587456" w:rsidRDefault="00587456" w:rsidP="00587456">
      <w:pPr>
        <w:rPr>
          <w:rFonts w:ascii="Trebuchet MS" w:hAnsi="Trebuchet MS" w:cs="Times New Roman"/>
          <w:b/>
        </w:rPr>
      </w:pPr>
      <w:r w:rsidRPr="00D94764">
        <w:rPr>
          <w:rFonts w:cs="Times New Roman"/>
          <w:b/>
        </w:rPr>
        <w:tab/>
      </w:r>
      <w:r w:rsidRPr="00D94764">
        <w:rPr>
          <w:rFonts w:cs="Times New Roman"/>
          <w:b/>
        </w:rPr>
        <w:tab/>
      </w:r>
      <w:r>
        <w:rPr>
          <w:b/>
        </w:rPr>
        <w:tab/>
      </w:r>
    </w:p>
    <w:p w14:paraId="61564259" w14:textId="77777777" w:rsidR="0085085B" w:rsidRP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Arial"/>
          <w:b/>
          <w:sz w:val="28"/>
          <w:szCs w:val="28"/>
        </w:rPr>
      </w:pPr>
      <w:r w:rsidRPr="0055544F">
        <w:rPr>
          <w:rFonts w:ascii="Trebuchet MS" w:hAnsi="Trebuchet MS" w:cs="Arial"/>
          <w:b/>
          <w:sz w:val="28"/>
          <w:szCs w:val="28"/>
        </w:rPr>
        <w:t>Fullmakt til elektronisk publisering av oppgaven</w:t>
      </w:r>
    </w:p>
    <w:p w14:paraId="6156425A" w14:textId="77777777" w:rsidR="00587456" w:rsidRPr="004E106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Forfatter(ne) har opphavsrett til oppgaven. Det betyr blant annet enerett til å gjøre verket tilgjengelig for allmennheten (Åndsverkloven. §2).</w:t>
      </w:r>
    </w:p>
    <w:p w14:paraId="6156425B" w14:textId="77777777" w:rsidR="00587456" w:rsidRPr="004E106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 xml:space="preserve">Alle oppgaver som fyller </w:t>
      </w:r>
      <w:proofErr w:type="gramStart"/>
      <w:r w:rsidRPr="004E1066">
        <w:rPr>
          <w:rFonts w:cs="Times New Roman"/>
          <w:sz w:val="22"/>
          <w:szCs w:val="22"/>
        </w:rPr>
        <w:t>kriteriene</w:t>
      </w:r>
      <w:proofErr w:type="gramEnd"/>
      <w:r w:rsidRPr="004E1066">
        <w:rPr>
          <w:rFonts w:cs="Times New Roman"/>
          <w:sz w:val="22"/>
          <w:szCs w:val="22"/>
        </w:rPr>
        <w:t xml:space="preserve"> vil bli registrert og publisert i Brage HiM med forfatter(ne)s godkjennelse.</w:t>
      </w:r>
    </w:p>
    <w:p w14:paraId="6156425C" w14:textId="77777777" w:rsidR="00587456" w:rsidRP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2"/>
          <w:szCs w:val="22"/>
        </w:rPr>
      </w:pPr>
      <w:r w:rsidRPr="004E1066">
        <w:rPr>
          <w:rFonts w:cs="Times New Roman"/>
          <w:sz w:val="22"/>
          <w:szCs w:val="22"/>
        </w:rPr>
        <w:t>Oppgaver som er unntatt offentlighet eller båndlagt vil ikke bli publisert.</w:t>
      </w:r>
    </w:p>
    <w:p w14:paraId="6156425D"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cs="Times New Roman"/>
          <w:sz w:val="20"/>
        </w:rPr>
      </w:pPr>
    </w:p>
    <w:p w14:paraId="6156425E"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Jeg/vi gir herved Høgskolen i Molde en vederlagsfri rett til å </w:t>
      </w:r>
    </w:p>
    <w:p w14:paraId="6156425F"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 xml:space="preserve">gjøre oppgaven tilgjengelig for elektronisk publisering: </w:t>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sz w:val="20"/>
          <w:szCs w:val="20"/>
        </w:rPr>
        <w:fldChar w:fldCharType="begin">
          <w:ffData>
            <w:name w:val="Check1"/>
            <w:enabled/>
            <w:calcOnExit w:val="0"/>
            <w:checkBox>
              <w:sizeAuto/>
              <w:default w:val="0"/>
              <w:checked w:val="0"/>
            </w:checkBox>
          </w:ffData>
        </w:fldChar>
      </w:r>
      <w:bookmarkStart w:id="9" w:name="Check1"/>
      <w:r w:rsidRPr="0055544F">
        <w:rPr>
          <w:rFonts w:ascii="Trebuchet MS" w:hAnsi="Trebuchet MS" w:cs="Times New Roman"/>
          <w:sz w:val="20"/>
          <w:szCs w:val="20"/>
        </w:rPr>
        <w:instrText xml:space="preserve"> FORMCHECKBOX </w:instrText>
      </w:r>
      <w:r w:rsidRPr="0055544F">
        <w:rPr>
          <w:rFonts w:ascii="Trebuchet MS" w:hAnsi="Trebuchet MS" w:cs="Times New Roman"/>
          <w:sz w:val="20"/>
          <w:szCs w:val="20"/>
        </w:rPr>
      </w:r>
      <w:r w:rsidRPr="0055544F">
        <w:rPr>
          <w:rFonts w:ascii="Trebuchet MS" w:hAnsi="Trebuchet MS" w:cs="Times New Roman"/>
          <w:sz w:val="20"/>
          <w:szCs w:val="20"/>
        </w:rPr>
        <w:fldChar w:fldCharType="separate"/>
      </w:r>
      <w:r w:rsidRPr="0055544F">
        <w:rPr>
          <w:rFonts w:ascii="Trebuchet MS" w:hAnsi="Trebuchet MS" w:cs="Times New Roman"/>
          <w:sz w:val="20"/>
          <w:szCs w:val="20"/>
        </w:rPr>
        <w:fldChar w:fldCharType="end"/>
      </w:r>
      <w:bookmarkEnd w:id="9"/>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2"/>
            <w:enabled/>
            <w:calcOnExit w:val="0"/>
            <w:checkBox>
              <w:sizeAuto/>
              <w:default w:val="0"/>
            </w:checkBox>
          </w:ffData>
        </w:fldChar>
      </w:r>
      <w:bookmarkStart w:id="10" w:name="Check2"/>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0"/>
      <w:r w:rsidRPr="0055544F">
        <w:rPr>
          <w:rFonts w:ascii="Trebuchet MS" w:hAnsi="Trebuchet MS" w:cs="Times New Roman"/>
          <w:b/>
          <w:sz w:val="20"/>
          <w:szCs w:val="20"/>
        </w:rPr>
        <w:t>nei</w:t>
      </w:r>
    </w:p>
    <w:p w14:paraId="61564260"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61"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Er oppgaven båndlagt (konfidensiell)?</w:t>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b/>
          <w:sz w:val="20"/>
          <w:szCs w:val="20"/>
        </w:rPr>
        <w:fldChar w:fldCharType="begin">
          <w:ffData>
            <w:name w:val="Check3"/>
            <w:enabled/>
            <w:calcOnExit w:val="0"/>
            <w:checkBox>
              <w:sizeAuto/>
              <w:default w:val="0"/>
            </w:checkBox>
          </w:ffData>
        </w:fldChar>
      </w:r>
      <w:bookmarkStart w:id="11" w:name="Check3"/>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1"/>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4"/>
            <w:enabled/>
            <w:calcOnExit w:val="0"/>
            <w:checkBox>
              <w:sizeAuto/>
              <w:default w:val="0"/>
            </w:checkBox>
          </w:ffData>
        </w:fldChar>
      </w:r>
      <w:bookmarkStart w:id="12" w:name="Check4"/>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2"/>
      <w:r w:rsidRPr="0055544F">
        <w:rPr>
          <w:rFonts w:ascii="Trebuchet MS" w:hAnsi="Trebuchet MS" w:cs="Times New Roman"/>
          <w:b/>
          <w:sz w:val="20"/>
          <w:szCs w:val="20"/>
        </w:rPr>
        <w:t>nei</w:t>
      </w:r>
    </w:p>
    <w:p w14:paraId="61564262"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b/>
          <w:sz w:val="20"/>
          <w:szCs w:val="20"/>
        </w:rPr>
        <w:t>(</w:t>
      </w:r>
      <w:r w:rsidRPr="0055544F">
        <w:rPr>
          <w:rFonts w:ascii="Trebuchet MS" w:hAnsi="Trebuchet MS" w:cs="Times New Roman"/>
          <w:sz w:val="20"/>
          <w:szCs w:val="20"/>
        </w:rPr>
        <w:t>Båndleggingsavtale må fylles ut)</w:t>
      </w:r>
    </w:p>
    <w:p w14:paraId="61564263"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sz w:val="20"/>
          <w:szCs w:val="20"/>
        </w:rPr>
      </w:pPr>
      <w:r w:rsidRPr="0055544F">
        <w:rPr>
          <w:rFonts w:ascii="Trebuchet MS" w:hAnsi="Trebuchet MS" w:cs="Times New Roman"/>
          <w:sz w:val="20"/>
          <w:szCs w:val="20"/>
        </w:rPr>
        <w:t xml:space="preserve">- Hvis ja: </w:t>
      </w:r>
    </w:p>
    <w:p w14:paraId="61564264" w14:textId="77777777" w:rsidR="0085085B"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Kan oppgaven publiseres når båndleggingsperioden er over?</w:t>
      </w:r>
      <w:r w:rsidRPr="0055544F">
        <w:rPr>
          <w:rFonts w:ascii="Trebuchet MS" w:hAnsi="Trebuchet MS" w:cs="Times New Roman"/>
          <w:b/>
          <w:sz w:val="20"/>
          <w:szCs w:val="20"/>
        </w:rPr>
        <w:tab/>
      </w:r>
      <w:r>
        <w:rPr>
          <w:rFonts w:ascii="Trebuchet MS" w:hAnsi="Trebuchet MS" w:cs="Times New Roman"/>
          <w:b/>
          <w:sz w:val="20"/>
          <w:szCs w:val="20"/>
        </w:rPr>
        <w:tab/>
      </w:r>
      <w:r w:rsidRPr="0055544F">
        <w:rPr>
          <w:rFonts w:ascii="Trebuchet MS" w:hAnsi="Trebuchet MS" w:cs="Times New Roman"/>
          <w:b/>
          <w:sz w:val="20"/>
          <w:szCs w:val="20"/>
        </w:rPr>
        <w:fldChar w:fldCharType="begin">
          <w:ffData>
            <w:name w:val="Check5"/>
            <w:enabled/>
            <w:calcOnExit w:val="0"/>
            <w:checkBox>
              <w:sizeAuto/>
              <w:default w:val="0"/>
            </w:checkBox>
          </w:ffData>
        </w:fldChar>
      </w:r>
      <w:bookmarkStart w:id="13" w:name="Check5"/>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3"/>
      <w:r w:rsidRPr="0055544F">
        <w:rPr>
          <w:rFonts w:ascii="Trebuchet MS" w:hAnsi="Trebuchet MS" w:cs="Times New Roman"/>
          <w:b/>
          <w:sz w:val="20"/>
          <w:szCs w:val="20"/>
        </w:rPr>
        <w:t>ja</w:t>
      </w:r>
      <w:r w:rsidRPr="0055544F">
        <w:rPr>
          <w:rFonts w:ascii="Trebuchet MS" w:hAnsi="Trebuchet MS" w:cs="Times New Roman"/>
          <w:b/>
          <w:sz w:val="20"/>
          <w:szCs w:val="20"/>
        </w:rPr>
        <w:tab/>
        <w:t xml:space="preserve"> </w:t>
      </w:r>
      <w:r w:rsidRPr="0055544F">
        <w:rPr>
          <w:rFonts w:ascii="Trebuchet MS" w:hAnsi="Trebuchet MS" w:cs="Times New Roman"/>
          <w:b/>
          <w:sz w:val="20"/>
          <w:szCs w:val="20"/>
        </w:rPr>
        <w:fldChar w:fldCharType="begin">
          <w:ffData>
            <w:name w:val="Check6"/>
            <w:enabled/>
            <w:calcOnExit w:val="0"/>
            <w:checkBox>
              <w:sizeAuto/>
              <w:default w:val="0"/>
            </w:checkBox>
          </w:ffData>
        </w:fldChar>
      </w:r>
      <w:bookmarkStart w:id="14" w:name="Check6"/>
      <w:r w:rsidRPr="0055544F">
        <w:rPr>
          <w:rFonts w:ascii="Trebuchet MS" w:hAnsi="Trebuchet MS" w:cs="Times New Roman"/>
          <w:b/>
          <w:sz w:val="20"/>
          <w:szCs w:val="20"/>
        </w:rPr>
        <w:instrText xml:space="preserve"> FORMCHECKBOX </w:instrText>
      </w:r>
      <w:r w:rsidRPr="0055544F">
        <w:rPr>
          <w:rFonts w:ascii="Trebuchet MS" w:hAnsi="Trebuchet MS" w:cs="Times New Roman"/>
          <w:b/>
          <w:sz w:val="20"/>
          <w:szCs w:val="20"/>
        </w:rPr>
      </w:r>
      <w:r w:rsidRPr="0055544F">
        <w:rPr>
          <w:rFonts w:ascii="Trebuchet MS" w:hAnsi="Trebuchet MS" w:cs="Times New Roman"/>
          <w:b/>
          <w:sz w:val="20"/>
          <w:szCs w:val="20"/>
        </w:rPr>
        <w:fldChar w:fldCharType="separate"/>
      </w:r>
      <w:r w:rsidRPr="0055544F">
        <w:rPr>
          <w:rFonts w:ascii="Trebuchet MS" w:hAnsi="Trebuchet MS" w:cs="Times New Roman"/>
          <w:b/>
          <w:sz w:val="20"/>
          <w:szCs w:val="20"/>
        </w:rPr>
        <w:fldChar w:fldCharType="end"/>
      </w:r>
      <w:bookmarkEnd w:id="14"/>
      <w:r w:rsidRPr="0055544F">
        <w:rPr>
          <w:rFonts w:ascii="Trebuchet MS" w:hAnsi="Trebuchet MS" w:cs="Times New Roman"/>
          <w:b/>
          <w:sz w:val="20"/>
          <w:szCs w:val="20"/>
        </w:rPr>
        <w:t>nei</w:t>
      </w:r>
    </w:p>
    <w:p w14:paraId="61564265" w14:textId="77777777" w:rsidR="00587456" w:rsidRPr="0055544F"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sidRPr="0055544F">
        <w:rPr>
          <w:rFonts w:ascii="Trebuchet MS" w:hAnsi="Trebuchet MS" w:cs="Times New Roman"/>
          <w:b/>
          <w:sz w:val="20"/>
          <w:szCs w:val="20"/>
        </w:rPr>
        <w:tab/>
      </w:r>
      <w:r w:rsidRPr="0055544F">
        <w:rPr>
          <w:rFonts w:ascii="Trebuchet MS" w:hAnsi="Trebuchet MS" w:cs="Times New Roman"/>
          <w:b/>
          <w:sz w:val="20"/>
          <w:szCs w:val="20"/>
        </w:rPr>
        <w:tab/>
      </w:r>
      <w:r w:rsidRPr="0055544F">
        <w:rPr>
          <w:rFonts w:ascii="Trebuchet MS" w:hAnsi="Trebuchet MS" w:cs="Times New Roman"/>
          <w:b/>
          <w:sz w:val="20"/>
          <w:szCs w:val="20"/>
        </w:rPr>
        <w:tab/>
      </w:r>
    </w:p>
    <w:p w14:paraId="61564266" w14:textId="77777777" w:rsidR="00587456" w:rsidRDefault="00587456"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r>
        <w:rPr>
          <w:rFonts w:ascii="Times New Roman" w:hAnsi="Times New Roman"/>
          <w:sz w:val="24"/>
        </w:rPr>
        <w:t>Dato: Mai 2026</w:t>
      </w:r>
    </w:p>
    <w:p w14:paraId="61564267" w14:textId="77777777" w:rsidR="0085085B" w:rsidRPr="0055544F" w:rsidRDefault="0085085B" w:rsidP="00587456">
      <w:pPr>
        <w:framePr w:w="8332" w:h="6061" w:hSpace="180" w:wrap="around" w:vAnchor="text" w:hAnchor="page" w:x="1791" w:y="95"/>
        <w:pBdr>
          <w:top w:val="single" w:sz="6" w:space="1" w:color="auto"/>
          <w:left w:val="single" w:sz="6" w:space="1" w:color="auto"/>
          <w:bottom w:val="single" w:sz="6" w:space="1" w:color="auto"/>
          <w:right w:val="single" w:sz="6" w:space="1" w:color="auto"/>
        </w:pBdr>
        <w:shd w:val="clear" w:color="auto" w:fill="E6E6E6"/>
        <w:rPr>
          <w:rFonts w:ascii="Trebuchet MS" w:hAnsi="Trebuchet MS" w:cs="Times New Roman"/>
          <w:b/>
          <w:sz w:val="20"/>
          <w:szCs w:val="20"/>
        </w:rPr>
      </w:pPr>
    </w:p>
    <w:p w14:paraId="61564268" w14:textId="77777777" w:rsidR="00587456" w:rsidRDefault="00587456" w:rsidP="00223851">
      <w:pPr>
        <w:rPr>
          <w:rFonts w:ascii="Trebuchet MS" w:hAnsi="Trebuchet MS" w:cs="Arial"/>
          <w:b/>
        </w:rPr>
        <w:sectPr w:rsidR="00587456" w:rsidSect="00C90D42">
          <w:footerReference w:type="default" r:id="rId37"/>
          <w:pgSz w:w="11907" w:h="16840"/>
          <w:pgMar w:top="1417" w:right="1417" w:bottom="1417" w:left="1701" w:header="720" w:footer="403" w:gutter="0"/>
          <w:cols w:space="720"/>
          <w:titlePg/>
        </w:sectPr>
      </w:pPr>
    </w:p>
    <w:p w14:paraId="61564269" w14:textId="77777777" w:rsidR="00DC012B" w:rsidRDefault="00DC012B" w:rsidP="00223851">
      <w:pPr>
        <w:rPr>
          <w:rFonts w:ascii="Trebuchet MS" w:hAnsi="Trebuchet MS" w:cs="Arial"/>
        </w:rPr>
      </w:pPr>
    </w:p>
    <w:p w14:paraId="6156426A" w14:textId="77777777" w:rsidR="00540215" w:rsidRDefault="00540215" w:rsidP="00223851">
      <w:pPr>
        <w:rPr>
          <w:rFonts w:ascii="Trebuchet MS" w:hAnsi="Trebuchet MS" w:cs="Arial"/>
        </w:rPr>
      </w:pPr>
    </w:p>
    <w:p w14:paraId="6156426B" w14:textId="77777777" w:rsidR="00540215" w:rsidRDefault="00540215" w:rsidP="00540215">
      <w:pPr>
        <w:rPr>
          <w:rFonts w:ascii="Trebuchet MS" w:hAnsi="Trebuchet MS" w:cs="Arial"/>
        </w:rPr>
      </w:pPr>
    </w:p>
    <w:p w14:paraId="6156426C" w14:textId="77777777" w:rsidR="00540215" w:rsidRDefault="00540215" w:rsidP="00223851">
      <w:pPr>
        <w:rPr>
          <w:rFonts w:ascii="Trebuchet MS" w:hAnsi="Trebuchet MS" w:cs="Arial"/>
        </w:rPr>
      </w:pPr>
    </w:p>
    <w:p w14:paraId="6156426D" w14:textId="77777777" w:rsidR="00276212" w:rsidRPr="00276212" w:rsidRDefault="00276212" w:rsidP="00276212">
      <w:pPr>
        <w:rPr>
          <w:rFonts w:cs="Times New Roman"/>
        </w:rPr>
      </w:pPr>
    </w:p>
    <w:p w14:paraId="6156426E" w14:textId="77777777" w:rsidR="00DC012B" w:rsidRDefault="00DC012B" w:rsidP="00EB7DD2"/>
    <w:p w14:paraId="6156426F" w14:textId="77777777" w:rsidR="00276212" w:rsidRDefault="00276212" w:rsidP="00EB7DD2">
      <w:pPr>
        <w:sectPr w:rsidR="00276212" w:rsidSect="00C90D42">
          <w:footerReference w:type="default" r:id="rId38"/>
          <w:pgSz w:w="11907" w:h="16840"/>
          <w:pgMar w:top="1417" w:right="1417" w:bottom="1417" w:left="1701" w:header="720" w:footer="403" w:gutter="0"/>
          <w:cols w:space="720"/>
          <w:formProt w:val="0"/>
          <w:titlePg/>
        </w:sectPr>
      </w:pPr>
    </w:p>
    <w:p>
      <w:pPr>
        <w:pStyle w:val="Heading1"/>
        <w:pageBreakBefore w:val="true"/>
      </w:pPr>
      <w:r>
        <w:t>Forord</w:t>
      </w:r>
    </w:p>
    <w:p>
      <w:pPr>
        <w:spacing w:line="360" w:lineRule="auto"/>
      </w:pPr>
      <w:r>
        <w:rPr>
          <w:rFonts w:ascii="Times New Roman" w:hAnsi="Times New Roman"/>
          <w:sz w:val="24"/>
        </w:rPr>
        <w:t xml:space="preserve">Denne rapporten er skrevet som avsluttende arbeid i emnet LOG650 Forskningsprosjekt: Logistikk og kunstig intelligens ved Høgskolen i Molde, vårsemesteret 2026.</w:t>
      </w:r>
    </w:p>
    <w:p>
      <w:pPr>
        <w:spacing w:line="360" w:lineRule="auto"/>
      </w:pPr>
      <w:r>
        <w:rPr>
          <w:rFonts w:ascii="Times New Roman" w:hAnsi="Times New Roman"/>
          <w:sz w:val="24"/>
        </w:rPr>
        <w:t xml:space="preserve">Jeg vil rette en hjertelig takk til min veileder, Bård Inge Austigard Pettersen, for faglig engasjement, konstruktive tilbakemeldinger og tydelige forventninger gjennom hele prosessen. Hans kombinasjon av akademisk presisjon og praktisk forankring har vært uvurderlig for å løfte oppgaven fra en teknisk analyse til et faglig gjennomarbeidet forskningsprosjekt.</w:t>
      </w:r>
    </w:p>
    <w:p>
      <w:pPr>
        <w:spacing w:line="360" w:lineRule="auto"/>
      </w:pPr>
      <w:r>
        <w:rPr>
          <w:rFonts w:ascii="Times New Roman" w:hAnsi="Times New Roman"/>
          <w:sz w:val="24"/>
        </w:rPr>
        <w:t xml:space="preserve">Takk til Helse Bergen ved innkjøps- og logistikkavdelingen for tilgang til transaksjonsdata fra SAP S/4HANA. Uten tillatelse til å hente ut data fra forsyningslagerets 14 kildetabeller via SE16H hadde den kvantitative analysen ikke vært gjennomførbar. Datagrunnlaget er behandlet i henhold til gjeldende retningslinjer for personvern og informasjonssikkerhet, og ingen pasientdata er benyttet i studien.</w:t>
      </w:r>
    </w:p>
    <w:p>
      <w:pPr>
        <w:spacing w:line="360" w:lineRule="auto"/>
      </w:pPr>
      <w:r>
        <w:rPr>
          <w:rFonts w:ascii="Times New Roman" w:hAnsi="Times New Roman"/>
          <w:sz w:val="24"/>
        </w:rPr>
        <w:t xml:space="preserve">Motivasjonen for å skrive om dette temaet springer ut av min daglige jobb som SAP MM-konsulent ved Helse Vest IKT, der jeg arbeider med materialstyring og logistikk i SAP S/4HANA som del av LIBRA-prosjektet – Helse Vest sin regionale SAP-implementering. Gjennom dette arbeidet ser jeg at det finnes et reelt gap mellom de datamengdene som allerede eksisterer i systemet og den innsikten som faktisk utnyttes til å ta operasjonelle og strategiske beslutninger. Denne oppgaven er et forsøk på å bygge bro over det gapet, og å demonstrere at transaksjonsdataene i SAP – riktig bearbeidet – kan gi et robust grunnlag for å identifisere overføringskandidater til Helse Vest Forsyningssenter.</w:t>
      </w:r>
    </w:p>
    <w:p>
      <w:pPr>
        <w:spacing w:line="360" w:lineRule="auto"/>
      </w:pPr>
      <w:r>
        <w:rPr>
          <w:rFonts w:ascii="Times New Roman" w:hAnsi="Times New Roman"/>
          <w:sz w:val="24"/>
        </w:rPr>
        <w:t xml:space="preserve">Jeg vil også takke min samboer Hilde for tålmodighet og støtte gjennom et krevende semester med fulltidsjobb ved siden av studiene.</w:t>
      </w:r>
    </w:p>
    <w:p>
      <w:pPr>
        <w:spacing w:line="360" w:lineRule="auto"/>
      </w:pPr>
      <w:r>
        <w:rPr>
          <w:rFonts w:ascii="Times New Roman" w:hAnsi="Times New Roman"/>
          <w:sz w:val="24"/>
        </w:rPr>
        <w:t xml:space="preserve">Stavanger, mai 2026</w:t>
      </w:r>
    </w:p>
    <w:p>
      <w:pPr>
        <w:spacing w:line="360" w:lineRule="auto"/>
      </w:pPr>
      <w:r>
        <w:rPr>
          <w:rFonts w:ascii="Times New Roman" w:hAnsi="Times New Roman"/>
          <w:sz w:val="24"/>
        </w:rPr>
        <w:t xml:space="preserve">Thomas Ekrem Jensen</w:t>
      </w:r>
    </w:p>
    <w:p w14:paraId="798A00C1" w14:textId="30ABEED5" w:rsidR="00222CB6" w:rsidRDefault="00F75AAB" w:rsidP="00222CB6">
      <w:pPr>
        <w:jc w:val="center"/>
        <w:rPr>
          <w:rFonts w:ascii="Arial" w:hAnsi="Arial" w:cs="Arial"/>
          <w:b/>
          <w:sz w:val="28"/>
          <w:szCs w:val="28"/>
        </w:rPr>
      </w:pPr>
      <w:r w:rsidRPr="00F75AAB">
        <w:rPr>
          <w:rFonts w:ascii="Arial" w:hAnsi="Arial" w:cs="Arial"/>
          <w:b/>
          <w:sz w:val="28"/>
          <w:szCs w:val="28"/>
        </w:rPr>
        <w:lastRenderedPageBreak/>
        <w:t>Sam</w:t>
      </w:r>
      <w:r w:rsidR="00222CB6">
        <w:rPr>
          <w:rFonts w:ascii="Arial" w:hAnsi="Arial" w:cs="Arial"/>
          <w:b/>
          <w:sz w:val="28"/>
          <w:szCs w:val="28"/>
        </w:rPr>
        <w:t>mendrag</w:t>
      </w:r>
    </w:p>
    <w:p>
      <w:pPr>
        <w:pStyle w:val="Normal"/>
        <w:spacing w:line="360" w:lineRule="auto"/>
      </w:pPr>
      <w:r>
        <w:rPr>
          <w:rFonts w:ascii="Times New Roman" w:hAnsi="Times New Roman"/>
          <w:sz w:val="24"/>
        </w:rPr>
        <w:t xml:space="preserve">Denne studien analyserer hvilke artikler ved Helse Bergens forsyningslager (WERKS 3300, LGORT 3001) som bør overføres til Helse Vest Forsyningssenter (HVFS), og estimerer det tilknyttede besparelsespotensialet. Bakgrunnen er LIBRA-prosjektet, Helse Vests regionale implementering av SAP S/4HANA, som legger til rette for sentralisert forsyning via en avdelingspakket leveransemodell (APL). Formålet er å utvikle et datadrevet og reproduserbart rammeverk for sentraliseringsvurdering basert på operasjonelle SAP-transaksjonsdata.</w:t>
      </w:r>
    </w:p>
    <w:p>
      <w:pPr>
        <w:pStyle w:val="Normal"/>
        <w:spacing w:line="360" w:lineRule="auto"/>
      </w:pPr>
      <w:r>
        <w:rPr>
          <w:rFonts w:ascii="Times New Roman" w:hAnsi="Times New Roman"/>
          <w:sz w:val="24"/>
        </w:rPr>
        <w:t xml:space="preserve">Datagrunnlaget består av 709 aktive artikler hentet fra 14 tabeller i SAP S/4HANA via transaksjonen SE16H, for perioden 2024–2025. Av totalt 1 006 unike artikkelnumre i LGORT 3001 ble 297 artikler ekskludert fordi de ikke hadde registrert forbruk og ikke hadde lagerbeholdning i analyseperioden — operasjonelt inaktive artikler etter aktivitetskriteriet i D-01. Dataforbehandlingen er dokumentert gjennom åtte eksplisitte datavalgsbeslutninger (D-01 til D-08) og gjennomføres med et deterministisk Python-script for full reproduserbarhet.</w:t>
      </w:r>
    </w:p>
    <w:p>
      <w:pPr>
        <w:pStyle w:val="Normal"/>
        <w:spacing w:line="360" w:lineRule="auto"/>
      </w:pPr>
      <w:r>
        <w:rPr>
          <w:rFonts w:ascii="Times New Roman" w:hAnsi="Times New Roman"/>
          <w:sz w:val="24"/>
        </w:rPr>
        <w:t xml:space="preserve">Analysen kombinerer fire metoder i en integrert rørledning: ABC-klassifisering basert på Pareto-prinsippet, XYZ-klassifisering basert på variasjonskoeffisient (CV), EOQ-avviksanalyse med parametere S = 750 kr og h = 20 % av enhetspris, og K-means klyngeanalyse med automatisk K-valg via silhouette-score. Resultatene sammenstilles i en regelmotor med åtte beslutningsregler som klassifiserer hver artikkel i én av fire kategorier: OVERFØR_HVFS, BEHOLD_LOKALT, VURDER_NÆRMERE eller MANGLER_DATA.</w:t>
      </w:r>
    </w:p>
    <w:p>
      <w:pPr>
        <w:pStyle w:val="Normal"/>
        <w:spacing w:line="360" w:lineRule="auto"/>
      </w:pPr>
      <w:r>
        <w:rPr>
          <w:rFonts w:ascii="Times New Roman" w:hAnsi="Times New Roman"/>
          <w:sz w:val="24"/>
        </w:rPr>
        <w:t xml:space="preserve">ABC-analysen viser at 182 artikler (25,7 %) tilhører A-kategorien og bærer om lag 80 % av den totale verdibindingen; 184 tilhører B og 338 tilhører C — de resterende 5 artiklene kunne ikke ABC-klassifiseres grunnet manglende verdidata. XYZ-analysen klassifiserer 350 artikler som X (stabilt forbruk, CV &lt; 0,5), 193 som Y og 144 som Z; 22 artikler ble ikke XYZ-klassifisert grunnet utilstrekkelig forbrukshistorikk. K-means-analysen identifiserer K = 3 distinkte klynger med silhouette-score 0,383 på treningsdata og 0,368 på testdata, noe som bekrefter en akseptabel klyngestruktur. Regelmotoren anbefaler overføring av 145 artikler (20,5 % av populasjonen), mens 257 artikler beholdes lokalt, 284 sendes til manuell vurdering og 23 artikler (3,2 %) mangler tilstrekkelig data for klassifisering. Det estimerte besparelsespotensialet er kr 451 515 per år i base case (realiseringsgrad g = 75 % av teoretisk totalkostnadsavvik \sum \Delta TC_i), med et pessimistisk scenario på kr 301 010 og et optimistisk på kr 602 020.</w:t>
      </w:r>
    </w:p>
    <w:p>
      <w:pPr>
        <w:pStyle w:val="Normal"/>
        <w:spacing w:line="360" w:lineRule="auto"/>
      </w:pPr>
      <w:r>
        <w:rPr>
          <w:rFonts w:ascii="Times New Roman" w:hAnsi="Times New Roman"/>
          <w:sz w:val="24"/>
        </w:rPr>
        <w:t xml:space="preserve">Studien konkluderer med at multikriterieklassifisering og klyngeanalyse av SAP-transaksjonsdata gir et operasjonelt anvendbart grunnlag for å identifisere HVFS-overføringskandidater ved Helse Bergen. Sentralisering anbefales, men forutsetter aktiv justering av SAP MM-parametere og en strukturert manuell gjennomgang av VURDER NÆRMERE-gruppen for å realisere det estimerte besparelsespotensialet.</w:t>
      </w:r>
    </w:p>
    <w:p w14:paraId="7FD2C6E5" w14:textId="77777777" w:rsidR="00222CB6" w:rsidRDefault="00222CB6">
      <w:pPr>
        <w:rPr>
          <w:rFonts w:ascii="Arial" w:hAnsi="Arial" w:cs="Arial"/>
          <w:b/>
          <w:sz w:val="28"/>
          <w:szCs w:val="28"/>
        </w:rPr>
      </w:pPr>
      <w:r>
        <w:rPr>
          <w:rFonts w:ascii="Arial" w:hAnsi="Arial" w:cs="Arial"/>
          <w:b/>
          <w:sz w:val="28"/>
          <w:szCs w:val="28"/>
        </w:rPr>
        <w:br w:type="page"/>
      </w:r>
    </w:p>
    <w:p w14:paraId="353CE929" w14:textId="02F0E75E" w:rsidR="00222CB6" w:rsidRDefault="00222CB6" w:rsidP="00222CB6">
      <w:pPr>
        <w:jc w:val="center"/>
        <w:rPr>
          <w:rFonts w:ascii="Arial" w:hAnsi="Arial" w:cs="Arial"/>
          <w:b/>
          <w:sz w:val="28"/>
          <w:szCs w:val="28"/>
        </w:rPr>
      </w:pPr>
      <w:proofErr w:type="spellStart"/>
      <w:r>
        <w:rPr>
          <w:rFonts w:ascii="Arial" w:hAnsi="Arial" w:cs="Arial"/>
          <w:b/>
          <w:sz w:val="28"/>
          <w:szCs w:val="28"/>
        </w:rPr>
        <w:lastRenderedPageBreak/>
        <w:t>Abstract</w:t>
      </w:r>
      <w:proofErr w:type="spellEnd"/>
    </w:p>
    <w:p>
      <w:pPr>
        <w:pStyle w:val="Normal"/>
        <w:spacing w:line="360" w:lineRule="auto"/>
      </w:pPr>
      <w:r>
        <w:rPr>
          <w:rFonts w:ascii="Times New Roman" w:hAnsi="Times New Roman"/>
          <w:sz w:val="24"/>
        </w:rPr>
        <w:t xml:space="preserve">(Sammendrag på norsk — sjå avsnittet over.)</w:t>
      </w:r>
    </w:p>
    <w:p w14:paraId="6156427F" w14:textId="1D312F70" w:rsidR="001D2B8B" w:rsidRPr="00222CB6" w:rsidRDefault="00222CB6" w:rsidP="00025D53">
      <w:pPr>
        <w:rPr>
          <w:rFonts w:ascii="Arial" w:hAnsi="Arial" w:cs="Arial"/>
          <w:b/>
          <w:sz w:val="28"/>
          <w:szCs w:val="28"/>
        </w:rPr>
      </w:pPr>
      <w:r>
        <w:rPr>
          <w:rFonts w:ascii="Arial" w:hAnsi="Arial" w:cs="Arial"/>
          <w:b/>
          <w:sz w:val="28"/>
          <w:szCs w:val="28"/>
        </w:rPr>
        <w:br w:type="page"/>
      </w:r>
    </w:p>
    <w:p w14:paraId="61564280" w14:textId="77777777" w:rsidR="001D2B8B" w:rsidRDefault="001D2B8B" w:rsidP="001D2B8B"/>
    <w:p w14:paraId="61564281" w14:textId="77777777" w:rsidR="001D2B8B" w:rsidRDefault="001D2B8B" w:rsidP="001D2B8B">
      <w:pPr>
        <w:sectPr w:rsidR="001D2B8B" w:rsidSect="00C90D42">
          <w:footerReference w:type="default" r:id="rId39"/>
          <w:pgSz w:w="11907" w:h="16840"/>
          <w:pgMar w:top="1417" w:right="1417" w:bottom="1417" w:left="1701" w:header="720" w:footer="403" w:gutter="0"/>
          <w:cols w:space="720"/>
          <w:formProt w:val="0"/>
          <w:titlePg/>
        </w:sectPr>
      </w:pPr>
    </w:p>
    <w:p w14:paraId="61564282" w14:textId="77777777" w:rsidR="00B33323" w:rsidRDefault="00B33323">
      <w:pPr>
        <w:pStyle w:val="INNH1"/>
        <w:tabs>
          <w:tab w:val="left" w:pos="660"/>
        </w:tabs>
        <w:rPr>
          <w:rFonts w:ascii="Arial" w:hAnsi="Arial" w:cs="Arial"/>
          <w:b w:val="0"/>
          <w:sz w:val="28"/>
          <w:szCs w:val="28"/>
        </w:rPr>
      </w:pPr>
      <w:r>
        <w:rPr>
          <w:rFonts w:ascii="Arial" w:hAnsi="Arial" w:cs="Arial"/>
          <w:b w:val="0"/>
          <w:sz w:val="28"/>
          <w:szCs w:val="28"/>
        </w:rPr>
        <w:lastRenderedPageBreak/>
        <w:t>Inn</w:t>
      </w:r>
      <w:r w:rsidR="006E2A3C">
        <w:rPr>
          <w:rFonts w:ascii="Arial" w:hAnsi="Arial" w:cs="Arial"/>
          <w:b w:val="0"/>
          <w:sz w:val="28"/>
          <w:szCs w:val="28"/>
        </w:rPr>
        <w:t>hold</w:t>
      </w:r>
    </w:p>
    <w:p w14:paraId="164F99FC" w14:textId="168D5DCF" w:rsidR="00666373" w:rsidRDefault="00B33323">
      <w:pPr>
        <w:pStyle w:val="INNH1"/>
        <w:tabs>
          <w:tab w:val="left" w:pos="720"/>
        </w:tabs>
        <w:rPr>
          <w:rFonts w:asciiTheme="minorHAnsi" w:eastAsiaTheme="minorEastAsia" w:hAnsiTheme="minorHAnsi" w:cstheme="minorBidi"/>
          <w:b w:val="0"/>
          <w:kern w:val="2"/>
          <w:lang w:val="en-GB" w:eastAsia="en-GB" w:bidi="ar-SA"/>
          <w14:ligatures w14:val="standardContextual"/>
        </w:rPr>
      </w:pPr>
      <w:r>
        <w:rPr>
          <w:rFonts w:ascii="Arial" w:hAnsi="Arial" w:cs="Arial"/>
          <w:b w:val="0"/>
          <w:sz w:val="28"/>
          <w:szCs w:val="28"/>
        </w:rPr>
        <w:fldChar w:fldCharType="begin"/>
      </w:r>
      <w:r>
        <w:rPr>
          <w:rFonts w:ascii="Arial" w:hAnsi="Arial" w:cs="Arial"/>
          <w:b w:val="0"/>
          <w:sz w:val="28"/>
          <w:szCs w:val="28"/>
        </w:rPr>
        <w:instrText xml:space="preserve"> TOC \o "1-3" \h \z \u </w:instrText>
      </w:r>
      <w:r>
        <w:rPr>
          <w:rFonts w:ascii="Arial" w:hAnsi="Arial" w:cs="Arial"/>
          <w:b w:val="0"/>
          <w:sz w:val="28"/>
          <w:szCs w:val="28"/>
        </w:rPr>
        <w:fldChar w:fldCharType="separate"/>
      </w:r>
      <w:hyperlink w:anchor="_Toc222057403" w:history="1">
        <w:r w:rsidR="00666373" w:rsidRPr="009217D2">
          <w:rPr>
            <w:rStyle w:val="Hyperkobling"/>
          </w:rPr>
          <w:t>1.0</w:t>
        </w:r>
        <w:r w:rsidR="00666373">
          <w:rPr>
            <w:rFonts w:asciiTheme="minorHAnsi" w:eastAsiaTheme="minorEastAsia" w:hAnsiTheme="minorHAnsi" w:cstheme="minorBidi"/>
            <w:b w:val="0"/>
            <w:kern w:val="2"/>
            <w:lang w:val="en-GB" w:eastAsia="en-GB" w:bidi="ar-SA"/>
            <w14:ligatures w14:val="standardContextual"/>
          </w:rPr>
          <w:tab/>
        </w:r>
        <w:r w:rsidR="00666373" w:rsidRPr="009217D2">
          <w:rPr>
            <w:rStyle w:val="Hyperkobling"/>
          </w:rPr>
          <w:t>Innledning</w:t>
        </w:r>
        <w:r w:rsidR="00666373">
          <w:rPr>
            <w:webHidden/>
          </w:rPr>
          <w:tab/>
        </w:r>
        <w:r w:rsidR="00666373">
          <w:rPr>
            <w:webHidden/>
          </w:rPr>
          <w:fldChar w:fldCharType="begin"/>
        </w:r>
        <w:r w:rsidR="00666373">
          <w:rPr>
            <w:webHidden/>
          </w:rPr>
          <w:instrText xml:space="preserve"> PAGEREF _Toc222057403 \h </w:instrText>
        </w:r>
        <w:r w:rsidR="00666373">
          <w:rPr>
            <w:webHidden/>
          </w:rPr>
        </w:r>
        <w:r w:rsidR="00666373">
          <w:rPr>
            <w:webHidden/>
          </w:rPr>
          <w:fldChar w:fldCharType="separate"/>
        </w:r>
        <w:r w:rsidR="00666373">
          <w:rPr>
            <w:webHidden/>
          </w:rPr>
          <w:t>1</w:t>
        </w:r>
        <w:r w:rsidR="00666373">
          <w:rPr>
            <w:webHidden/>
          </w:rPr>
          <w:fldChar w:fldCharType="end"/>
        </w:r>
      </w:hyperlink>
    </w:p>
    <w:p w14:paraId="06D31265" w14:textId="6CFF9B84" w:rsidR="00666373" w:rsidRDefault="00666373">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2057404" w:history="1">
        <w:r w:rsidRPr="009217D2">
          <w:rPr>
            <w:rStyle w:val="Hyperkobling"/>
            <w:noProof/>
          </w:rPr>
          <w:t>1.1</w:t>
        </w:r>
        <w:r>
          <w:rPr>
            <w:rFonts w:asciiTheme="minorHAnsi" w:eastAsiaTheme="minorEastAsia" w:hAnsiTheme="minorHAnsi" w:cstheme="minorBidi"/>
            <w:noProof/>
            <w:kern w:val="2"/>
            <w:lang w:val="en-GB" w:eastAsia="en-GB" w:bidi="ar-SA"/>
            <w14:ligatures w14:val="standardContextual"/>
          </w:rPr>
          <w:tab/>
        </w:r>
        <w:r w:rsidRPr="009217D2">
          <w:rPr>
            <w:rStyle w:val="Hyperkobling"/>
            <w:noProof/>
          </w:rPr>
          <w:t>Problemstilling</w:t>
        </w:r>
        <w:r>
          <w:rPr>
            <w:noProof/>
            <w:webHidden/>
          </w:rPr>
          <w:tab/>
        </w:r>
        <w:r>
          <w:rPr>
            <w:noProof/>
            <w:webHidden/>
          </w:rPr>
          <w:fldChar w:fldCharType="begin"/>
        </w:r>
        <w:r>
          <w:rPr>
            <w:noProof/>
            <w:webHidden/>
          </w:rPr>
          <w:instrText xml:space="preserve"> PAGEREF _Toc222057404 \h </w:instrText>
        </w:r>
        <w:r>
          <w:rPr>
            <w:noProof/>
            <w:webHidden/>
          </w:rPr>
        </w:r>
        <w:r>
          <w:rPr>
            <w:noProof/>
            <w:webHidden/>
          </w:rPr>
          <w:fldChar w:fldCharType="separate"/>
        </w:r>
        <w:r>
          <w:rPr>
            <w:noProof/>
            <w:webHidden/>
          </w:rPr>
          <w:t>2</w:t>
        </w:r>
        <w:r>
          <w:rPr>
            <w:noProof/>
            <w:webHidden/>
          </w:rPr>
          <w:fldChar w:fldCharType="end"/>
        </w:r>
      </w:hyperlink>
    </w:p>
    <w:p w14:paraId="6A7568DB" w14:textId="42B9EC0E" w:rsidR="00666373" w:rsidRDefault="00666373">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2057405" w:history="1">
        <w:r w:rsidRPr="009217D2">
          <w:rPr>
            <w:rStyle w:val="Hyperkobling"/>
            <w:noProof/>
          </w:rPr>
          <w:t>1.2</w:t>
        </w:r>
        <w:r>
          <w:rPr>
            <w:rFonts w:asciiTheme="minorHAnsi" w:eastAsiaTheme="minorEastAsia" w:hAnsiTheme="minorHAnsi" w:cstheme="minorBidi"/>
            <w:noProof/>
            <w:kern w:val="2"/>
            <w:lang w:val="en-GB" w:eastAsia="en-GB" w:bidi="ar-SA"/>
            <w14:ligatures w14:val="standardContextual"/>
          </w:rPr>
          <w:tab/>
        </w:r>
        <w:r w:rsidRPr="009217D2">
          <w:rPr>
            <w:rStyle w:val="Hyperkobling"/>
            <w:noProof/>
          </w:rPr>
          <w:t>Delproblemer (valgfri)</w:t>
        </w:r>
        <w:r>
          <w:rPr>
            <w:noProof/>
            <w:webHidden/>
          </w:rPr>
          <w:tab/>
        </w:r>
        <w:r>
          <w:rPr>
            <w:noProof/>
            <w:webHidden/>
          </w:rPr>
          <w:fldChar w:fldCharType="begin"/>
        </w:r>
        <w:r>
          <w:rPr>
            <w:noProof/>
            <w:webHidden/>
          </w:rPr>
          <w:instrText xml:space="preserve"> PAGEREF _Toc222057405 \h </w:instrText>
        </w:r>
        <w:r>
          <w:rPr>
            <w:noProof/>
            <w:webHidden/>
          </w:rPr>
        </w:r>
        <w:r>
          <w:rPr>
            <w:noProof/>
            <w:webHidden/>
          </w:rPr>
          <w:fldChar w:fldCharType="separate"/>
        </w:r>
        <w:r>
          <w:rPr>
            <w:noProof/>
            <w:webHidden/>
          </w:rPr>
          <w:t>2</w:t>
        </w:r>
        <w:r>
          <w:rPr>
            <w:noProof/>
            <w:webHidden/>
          </w:rPr>
          <w:fldChar w:fldCharType="end"/>
        </w:r>
      </w:hyperlink>
    </w:p>
    <w:p w14:paraId="3544944B" w14:textId="61AF780E" w:rsidR="00666373" w:rsidRDefault="00666373">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2057406" w:history="1">
        <w:r w:rsidRPr="009217D2">
          <w:rPr>
            <w:rStyle w:val="Hyperkobling"/>
            <w:noProof/>
          </w:rPr>
          <w:t>1.3</w:t>
        </w:r>
        <w:r>
          <w:rPr>
            <w:rFonts w:asciiTheme="minorHAnsi" w:eastAsiaTheme="minorEastAsia" w:hAnsiTheme="minorHAnsi" w:cstheme="minorBidi"/>
            <w:noProof/>
            <w:kern w:val="2"/>
            <w:lang w:val="en-GB" w:eastAsia="en-GB" w:bidi="ar-SA"/>
            <w14:ligatures w14:val="standardContextual"/>
          </w:rPr>
          <w:tab/>
        </w:r>
        <w:r w:rsidRPr="009217D2">
          <w:rPr>
            <w:rStyle w:val="Hyperkobling"/>
            <w:noProof/>
          </w:rPr>
          <w:t>Avgrensinger</w:t>
        </w:r>
        <w:r>
          <w:rPr>
            <w:noProof/>
            <w:webHidden/>
          </w:rPr>
          <w:tab/>
        </w:r>
        <w:r>
          <w:rPr>
            <w:noProof/>
            <w:webHidden/>
          </w:rPr>
          <w:fldChar w:fldCharType="begin"/>
        </w:r>
        <w:r>
          <w:rPr>
            <w:noProof/>
            <w:webHidden/>
          </w:rPr>
          <w:instrText xml:space="preserve"> PAGEREF _Toc222057406 \h </w:instrText>
        </w:r>
        <w:r>
          <w:rPr>
            <w:noProof/>
            <w:webHidden/>
          </w:rPr>
        </w:r>
        <w:r>
          <w:rPr>
            <w:noProof/>
            <w:webHidden/>
          </w:rPr>
          <w:fldChar w:fldCharType="separate"/>
        </w:r>
        <w:r>
          <w:rPr>
            <w:noProof/>
            <w:webHidden/>
          </w:rPr>
          <w:t>2</w:t>
        </w:r>
        <w:r>
          <w:rPr>
            <w:noProof/>
            <w:webHidden/>
          </w:rPr>
          <w:fldChar w:fldCharType="end"/>
        </w:r>
      </w:hyperlink>
    </w:p>
    <w:p w14:paraId="22F9C8F4" w14:textId="6F06EAD6" w:rsidR="00666373" w:rsidRDefault="00666373">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2057407" w:history="1">
        <w:r w:rsidRPr="009217D2">
          <w:rPr>
            <w:rStyle w:val="Hyperkobling"/>
            <w:noProof/>
          </w:rPr>
          <w:t>1.4</w:t>
        </w:r>
        <w:r>
          <w:rPr>
            <w:rFonts w:asciiTheme="minorHAnsi" w:eastAsiaTheme="minorEastAsia" w:hAnsiTheme="minorHAnsi" w:cstheme="minorBidi"/>
            <w:noProof/>
            <w:kern w:val="2"/>
            <w:lang w:val="en-GB" w:eastAsia="en-GB" w:bidi="ar-SA"/>
            <w14:ligatures w14:val="standardContextual"/>
          </w:rPr>
          <w:tab/>
        </w:r>
        <w:r w:rsidRPr="009217D2">
          <w:rPr>
            <w:rStyle w:val="Hyperkobling"/>
            <w:noProof/>
          </w:rPr>
          <w:t>Antagelser</w:t>
        </w:r>
        <w:r>
          <w:rPr>
            <w:noProof/>
            <w:webHidden/>
          </w:rPr>
          <w:tab/>
        </w:r>
        <w:r>
          <w:rPr>
            <w:noProof/>
            <w:webHidden/>
          </w:rPr>
          <w:fldChar w:fldCharType="begin"/>
        </w:r>
        <w:r>
          <w:rPr>
            <w:noProof/>
            <w:webHidden/>
          </w:rPr>
          <w:instrText xml:space="preserve"> PAGEREF _Toc222057407 \h </w:instrText>
        </w:r>
        <w:r>
          <w:rPr>
            <w:noProof/>
            <w:webHidden/>
          </w:rPr>
        </w:r>
        <w:r>
          <w:rPr>
            <w:noProof/>
            <w:webHidden/>
          </w:rPr>
          <w:fldChar w:fldCharType="separate"/>
        </w:r>
        <w:r>
          <w:rPr>
            <w:noProof/>
            <w:webHidden/>
          </w:rPr>
          <w:t>3</w:t>
        </w:r>
        <w:r>
          <w:rPr>
            <w:noProof/>
            <w:webHidden/>
          </w:rPr>
          <w:fldChar w:fldCharType="end"/>
        </w:r>
      </w:hyperlink>
    </w:p>
    <w:p w14:paraId="639F0BF6" w14:textId="03F06E96" w:rsidR="00666373" w:rsidRDefault="00666373">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22057408" w:history="1">
        <w:r w:rsidRPr="009217D2">
          <w:rPr>
            <w:rStyle w:val="Hyperkobling"/>
          </w:rPr>
          <w:t>2.0</w:t>
        </w:r>
        <w:r>
          <w:rPr>
            <w:rFonts w:asciiTheme="minorHAnsi" w:eastAsiaTheme="minorEastAsia" w:hAnsiTheme="minorHAnsi" w:cstheme="minorBidi"/>
            <w:b w:val="0"/>
            <w:kern w:val="2"/>
            <w:lang w:val="en-GB" w:eastAsia="en-GB" w:bidi="ar-SA"/>
            <w14:ligatures w14:val="standardContextual"/>
          </w:rPr>
          <w:tab/>
        </w:r>
        <w:r w:rsidRPr="009217D2">
          <w:rPr>
            <w:rStyle w:val="Hyperkobling"/>
          </w:rPr>
          <w:t>Litteratur</w:t>
        </w:r>
        <w:r>
          <w:rPr>
            <w:webHidden/>
          </w:rPr>
          <w:tab/>
        </w:r>
        <w:r>
          <w:rPr>
            <w:webHidden/>
          </w:rPr>
          <w:fldChar w:fldCharType="begin"/>
        </w:r>
        <w:r>
          <w:rPr>
            <w:webHidden/>
          </w:rPr>
          <w:instrText xml:space="preserve"> PAGEREF _Toc222057408 \h </w:instrText>
        </w:r>
        <w:r>
          <w:rPr>
            <w:webHidden/>
          </w:rPr>
        </w:r>
        <w:r>
          <w:rPr>
            <w:webHidden/>
          </w:rPr>
          <w:fldChar w:fldCharType="separate"/>
        </w:r>
        <w:r>
          <w:rPr>
            <w:webHidden/>
          </w:rPr>
          <w:t>3</w:t>
        </w:r>
        <w:r>
          <w:rPr>
            <w:webHidden/>
          </w:rPr>
          <w:fldChar w:fldCharType="end"/>
        </w:r>
      </w:hyperlink>
    </w:p>
    <w:p w14:paraId="679AB59B" w14:textId="588D0AD2" w:rsidR="00666373" w:rsidRDefault="00666373">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22057409" w:history="1">
        <w:r w:rsidRPr="009217D2">
          <w:rPr>
            <w:rStyle w:val="Hyperkobling"/>
          </w:rPr>
          <w:t>3.0</w:t>
        </w:r>
        <w:r>
          <w:rPr>
            <w:rFonts w:asciiTheme="minorHAnsi" w:eastAsiaTheme="minorEastAsia" w:hAnsiTheme="minorHAnsi" w:cstheme="minorBidi"/>
            <w:b w:val="0"/>
            <w:kern w:val="2"/>
            <w:lang w:val="en-GB" w:eastAsia="en-GB" w:bidi="ar-SA"/>
            <w14:ligatures w14:val="standardContextual"/>
          </w:rPr>
          <w:tab/>
        </w:r>
        <w:r w:rsidRPr="009217D2">
          <w:rPr>
            <w:rStyle w:val="Hyperkobling"/>
          </w:rPr>
          <w:t>Teori</w:t>
        </w:r>
        <w:r>
          <w:rPr>
            <w:webHidden/>
          </w:rPr>
          <w:tab/>
        </w:r>
        <w:r>
          <w:rPr>
            <w:webHidden/>
          </w:rPr>
          <w:fldChar w:fldCharType="begin"/>
        </w:r>
        <w:r>
          <w:rPr>
            <w:webHidden/>
          </w:rPr>
          <w:instrText xml:space="preserve"> PAGEREF _Toc222057409 \h </w:instrText>
        </w:r>
        <w:r>
          <w:rPr>
            <w:webHidden/>
          </w:rPr>
        </w:r>
        <w:r>
          <w:rPr>
            <w:webHidden/>
          </w:rPr>
          <w:fldChar w:fldCharType="separate"/>
        </w:r>
        <w:r>
          <w:rPr>
            <w:webHidden/>
          </w:rPr>
          <w:t>3</w:t>
        </w:r>
        <w:r>
          <w:rPr>
            <w:webHidden/>
          </w:rPr>
          <w:fldChar w:fldCharType="end"/>
        </w:r>
      </w:hyperlink>
    </w:p>
    <w:p w14:paraId="3535E1F6" w14:textId="2B4869BB" w:rsidR="00666373" w:rsidRDefault="00666373">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22057410" w:history="1">
        <w:r w:rsidRPr="009217D2">
          <w:rPr>
            <w:rStyle w:val="Hyperkobling"/>
          </w:rPr>
          <w:t>4.0</w:t>
        </w:r>
        <w:r>
          <w:rPr>
            <w:rFonts w:asciiTheme="minorHAnsi" w:eastAsiaTheme="minorEastAsia" w:hAnsiTheme="minorHAnsi" w:cstheme="minorBidi"/>
            <w:b w:val="0"/>
            <w:kern w:val="2"/>
            <w:lang w:val="en-GB" w:eastAsia="en-GB" w:bidi="ar-SA"/>
            <w14:ligatures w14:val="standardContextual"/>
          </w:rPr>
          <w:tab/>
        </w:r>
        <w:r w:rsidRPr="009217D2">
          <w:rPr>
            <w:rStyle w:val="Hyperkobling"/>
          </w:rPr>
          <w:t>Casebeskrivelse</w:t>
        </w:r>
        <w:r>
          <w:rPr>
            <w:webHidden/>
          </w:rPr>
          <w:tab/>
        </w:r>
        <w:r>
          <w:rPr>
            <w:webHidden/>
          </w:rPr>
          <w:fldChar w:fldCharType="begin"/>
        </w:r>
        <w:r>
          <w:rPr>
            <w:webHidden/>
          </w:rPr>
          <w:instrText xml:space="preserve"> PAGEREF _Toc222057410 \h </w:instrText>
        </w:r>
        <w:r>
          <w:rPr>
            <w:webHidden/>
          </w:rPr>
        </w:r>
        <w:r>
          <w:rPr>
            <w:webHidden/>
          </w:rPr>
          <w:fldChar w:fldCharType="separate"/>
        </w:r>
        <w:r>
          <w:rPr>
            <w:webHidden/>
          </w:rPr>
          <w:t>4</w:t>
        </w:r>
        <w:r>
          <w:rPr>
            <w:webHidden/>
          </w:rPr>
          <w:fldChar w:fldCharType="end"/>
        </w:r>
      </w:hyperlink>
    </w:p>
    <w:p w14:paraId="6F2A6E5C" w14:textId="50CDC500" w:rsidR="00666373" w:rsidRDefault="00666373">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22057411" w:history="1">
        <w:r w:rsidRPr="009217D2">
          <w:rPr>
            <w:rStyle w:val="Hyperkobling"/>
          </w:rPr>
          <w:t>5.0</w:t>
        </w:r>
        <w:r>
          <w:rPr>
            <w:rFonts w:asciiTheme="minorHAnsi" w:eastAsiaTheme="minorEastAsia" w:hAnsiTheme="minorHAnsi" w:cstheme="minorBidi"/>
            <w:b w:val="0"/>
            <w:kern w:val="2"/>
            <w:lang w:val="en-GB" w:eastAsia="en-GB" w:bidi="ar-SA"/>
            <w14:ligatures w14:val="standardContextual"/>
          </w:rPr>
          <w:tab/>
        </w:r>
        <w:r w:rsidRPr="009217D2">
          <w:rPr>
            <w:rStyle w:val="Hyperkobling"/>
          </w:rPr>
          <w:t>Metode og data (kan splittes i to)</w:t>
        </w:r>
        <w:r>
          <w:rPr>
            <w:webHidden/>
          </w:rPr>
          <w:tab/>
        </w:r>
        <w:r>
          <w:rPr>
            <w:webHidden/>
          </w:rPr>
          <w:fldChar w:fldCharType="begin"/>
        </w:r>
        <w:r>
          <w:rPr>
            <w:webHidden/>
          </w:rPr>
          <w:instrText xml:space="preserve"> PAGEREF _Toc222057411 \h </w:instrText>
        </w:r>
        <w:r>
          <w:rPr>
            <w:webHidden/>
          </w:rPr>
        </w:r>
        <w:r>
          <w:rPr>
            <w:webHidden/>
          </w:rPr>
          <w:fldChar w:fldCharType="separate"/>
        </w:r>
        <w:r>
          <w:rPr>
            <w:webHidden/>
          </w:rPr>
          <w:t>4</w:t>
        </w:r>
        <w:r>
          <w:rPr>
            <w:webHidden/>
          </w:rPr>
          <w:fldChar w:fldCharType="end"/>
        </w:r>
      </w:hyperlink>
    </w:p>
    <w:p w14:paraId="49D8B103" w14:textId="2EA4050E" w:rsidR="00666373" w:rsidRDefault="00666373">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2057412" w:history="1">
        <w:r w:rsidRPr="009217D2">
          <w:rPr>
            <w:rStyle w:val="Hyperkobling"/>
            <w:noProof/>
          </w:rPr>
          <w:t>5.1</w:t>
        </w:r>
        <w:r>
          <w:rPr>
            <w:rFonts w:asciiTheme="minorHAnsi" w:eastAsiaTheme="minorEastAsia" w:hAnsiTheme="minorHAnsi" w:cstheme="minorBidi"/>
            <w:noProof/>
            <w:kern w:val="2"/>
            <w:lang w:val="en-GB" w:eastAsia="en-GB" w:bidi="ar-SA"/>
            <w14:ligatures w14:val="standardContextual"/>
          </w:rPr>
          <w:tab/>
        </w:r>
        <w:r w:rsidRPr="009217D2">
          <w:rPr>
            <w:rStyle w:val="Hyperkobling"/>
            <w:noProof/>
          </w:rPr>
          <w:t>Metode</w:t>
        </w:r>
        <w:r>
          <w:rPr>
            <w:noProof/>
            <w:webHidden/>
          </w:rPr>
          <w:tab/>
        </w:r>
        <w:r>
          <w:rPr>
            <w:noProof/>
            <w:webHidden/>
          </w:rPr>
          <w:fldChar w:fldCharType="begin"/>
        </w:r>
        <w:r>
          <w:rPr>
            <w:noProof/>
            <w:webHidden/>
          </w:rPr>
          <w:instrText xml:space="preserve"> PAGEREF _Toc222057412 \h </w:instrText>
        </w:r>
        <w:r>
          <w:rPr>
            <w:noProof/>
            <w:webHidden/>
          </w:rPr>
        </w:r>
        <w:r>
          <w:rPr>
            <w:noProof/>
            <w:webHidden/>
          </w:rPr>
          <w:fldChar w:fldCharType="separate"/>
        </w:r>
        <w:r>
          <w:rPr>
            <w:noProof/>
            <w:webHidden/>
          </w:rPr>
          <w:t>4</w:t>
        </w:r>
        <w:r>
          <w:rPr>
            <w:noProof/>
            <w:webHidden/>
          </w:rPr>
          <w:fldChar w:fldCharType="end"/>
        </w:r>
      </w:hyperlink>
    </w:p>
    <w:p w14:paraId="190BA805" w14:textId="15939FD9" w:rsidR="00666373" w:rsidRDefault="00666373">
      <w:pPr>
        <w:pStyle w:val="INNH2"/>
        <w:tabs>
          <w:tab w:val="left" w:pos="960"/>
          <w:tab w:val="right" w:leader="dot" w:pos="8758"/>
        </w:tabs>
        <w:rPr>
          <w:rFonts w:asciiTheme="minorHAnsi" w:eastAsiaTheme="minorEastAsia" w:hAnsiTheme="minorHAnsi" w:cstheme="minorBidi"/>
          <w:noProof/>
          <w:kern w:val="2"/>
          <w:lang w:val="en-GB" w:eastAsia="en-GB" w:bidi="ar-SA"/>
          <w14:ligatures w14:val="standardContextual"/>
        </w:rPr>
      </w:pPr>
      <w:hyperlink w:anchor="_Toc222057413" w:history="1">
        <w:r w:rsidRPr="009217D2">
          <w:rPr>
            <w:rStyle w:val="Hyperkobling"/>
            <w:noProof/>
          </w:rPr>
          <w:t>5.2</w:t>
        </w:r>
        <w:r>
          <w:rPr>
            <w:rFonts w:asciiTheme="minorHAnsi" w:eastAsiaTheme="minorEastAsia" w:hAnsiTheme="minorHAnsi" w:cstheme="minorBidi"/>
            <w:noProof/>
            <w:kern w:val="2"/>
            <w:lang w:val="en-GB" w:eastAsia="en-GB" w:bidi="ar-SA"/>
            <w14:ligatures w14:val="standardContextual"/>
          </w:rPr>
          <w:tab/>
        </w:r>
        <w:r w:rsidRPr="009217D2">
          <w:rPr>
            <w:rStyle w:val="Hyperkobling"/>
            <w:noProof/>
          </w:rPr>
          <w:t>Data</w:t>
        </w:r>
        <w:r>
          <w:rPr>
            <w:noProof/>
            <w:webHidden/>
          </w:rPr>
          <w:tab/>
        </w:r>
        <w:r>
          <w:rPr>
            <w:noProof/>
            <w:webHidden/>
          </w:rPr>
          <w:fldChar w:fldCharType="begin"/>
        </w:r>
        <w:r>
          <w:rPr>
            <w:noProof/>
            <w:webHidden/>
          </w:rPr>
          <w:instrText xml:space="preserve"> PAGEREF _Toc222057413 \h </w:instrText>
        </w:r>
        <w:r>
          <w:rPr>
            <w:noProof/>
            <w:webHidden/>
          </w:rPr>
        </w:r>
        <w:r>
          <w:rPr>
            <w:noProof/>
            <w:webHidden/>
          </w:rPr>
          <w:fldChar w:fldCharType="separate"/>
        </w:r>
        <w:r>
          <w:rPr>
            <w:noProof/>
            <w:webHidden/>
          </w:rPr>
          <w:t>5</w:t>
        </w:r>
        <w:r>
          <w:rPr>
            <w:noProof/>
            <w:webHidden/>
          </w:rPr>
          <w:fldChar w:fldCharType="end"/>
        </w:r>
      </w:hyperlink>
    </w:p>
    <w:p w14:paraId="6F3978D1" w14:textId="40826777" w:rsidR="00666373" w:rsidRDefault="00666373">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22057414" w:history="1">
        <w:r w:rsidRPr="009217D2">
          <w:rPr>
            <w:rStyle w:val="Hyperkobling"/>
          </w:rPr>
          <w:t>6.0</w:t>
        </w:r>
        <w:r>
          <w:rPr>
            <w:rFonts w:asciiTheme="minorHAnsi" w:eastAsiaTheme="minorEastAsia" w:hAnsiTheme="minorHAnsi" w:cstheme="minorBidi"/>
            <w:b w:val="0"/>
            <w:kern w:val="2"/>
            <w:lang w:val="en-GB" w:eastAsia="en-GB" w:bidi="ar-SA"/>
            <w14:ligatures w14:val="standardContextual"/>
          </w:rPr>
          <w:tab/>
        </w:r>
        <w:r w:rsidRPr="009217D2">
          <w:rPr>
            <w:rStyle w:val="Hyperkobling"/>
          </w:rPr>
          <w:t>Modellering</w:t>
        </w:r>
        <w:r>
          <w:rPr>
            <w:webHidden/>
          </w:rPr>
          <w:tab/>
        </w:r>
        <w:r>
          <w:rPr>
            <w:webHidden/>
          </w:rPr>
          <w:fldChar w:fldCharType="begin"/>
        </w:r>
        <w:r>
          <w:rPr>
            <w:webHidden/>
          </w:rPr>
          <w:instrText xml:space="preserve"> PAGEREF _Toc222057414 \h </w:instrText>
        </w:r>
        <w:r>
          <w:rPr>
            <w:webHidden/>
          </w:rPr>
        </w:r>
        <w:r>
          <w:rPr>
            <w:webHidden/>
          </w:rPr>
          <w:fldChar w:fldCharType="separate"/>
        </w:r>
        <w:r>
          <w:rPr>
            <w:webHidden/>
          </w:rPr>
          <w:t>6</w:t>
        </w:r>
        <w:r>
          <w:rPr>
            <w:webHidden/>
          </w:rPr>
          <w:fldChar w:fldCharType="end"/>
        </w:r>
      </w:hyperlink>
    </w:p>
    <w:p w14:paraId="0ADCE230" w14:textId="47526515" w:rsidR="00666373" w:rsidRDefault="00666373">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22057415" w:history="1">
        <w:r w:rsidRPr="009217D2">
          <w:rPr>
            <w:rStyle w:val="Hyperkobling"/>
          </w:rPr>
          <w:t>7.0</w:t>
        </w:r>
        <w:r>
          <w:rPr>
            <w:rFonts w:asciiTheme="minorHAnsi" w:eastAsiaTheme="minorEastAsia" w:hAnsiTheme="minorHAnsi" w:cstheme="minorBidi"/>
            <w:b w:val="0"/>
            <w:kern w:val="2"/>
            <w:lang w:val="en-GB" w:eastAsia="en-GB" w:bidi="ar-SA"/>
            <w14:ligatures w14:val="standardContextual"/>
          </w:rPr>
          <w:tab/>
        </w:r>
        <w:r w:rsidRPr="009217D2">
          <w:rPr>
            <w:rStyle w:val="Hyperkobling"/>
          </w:rPr>
          <w:t>Analyse</w:t>
        </w:r>
        <w:r>
          <w:rPr>
            <w:webHidden/>
          </w:rPr>
          <w:tab/>
        </w:r>
        <w:r>
          <w:rPr>
            <w:webHidden/>
          </w:rPr>
          <w:fldChar w:fldCharType="begin"/>
        </w:r>
        <w:r>
          <w:rPr>
            <w:webHidden/>
          </w:rPr>
          <w:instrText xml:space="preserve"> PAGEREF _Toc222057415 \h </w:instrText>
        </w:r>
        <w:r>
          <w:rPr>
            <w:webHidden/>
          </w:rPr>
        </w:r>
        <w:r>
          <w:rPr>
            <w:webHidden/>
          </w:rPr>
          <w:fldChar w:fldCharType="separate"/>
        </w:r>
        <w:r>
          <w:rPr>
            <w:webHidden/>
          </w:rPr>
          <w:t>6</w:t>
        </w:r>
        <w:r>
          <w:rPr>
            <w:webHidden/>
          </w:rPr>
          <w:fldChar w:fldCharType="end"/>
        </w:r>
      </w:hyperlink>
    </w:p>
    <w:p w14:paraId="56DE1371" w14:textId="0101C6A3" w:rsidR="00666373" w:rsidRDefault="00666373">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22057416" w:history="1">
        <w:r w:rsidRPr="009217D2">
          <w:rPr>
            <w:rStyle w:val="Hyperkobling"/>
          </w:rPr>
          <w:t>8.0</w:t>
        </w:r>
        <w:r>
          <w:rPr>
            <w:rFonts w:asciiTheme="minorHAnsi" w:eastAsiaTheme="minorEastAsia" w:hAnsiTheme="minorHAnsi" w:cstheme="minorBidi"/>
            <w:b w:val="0"/>
            <w:kern w:val="2"/>
            <w:lang w:val="en-GB" w:eastAsia="en-GB" w:bidi="ar-SA"/>
            <w14:ligatures w14:val="standardContextual"/>
          </w:rPr>
          <w:tab/>
        </w:r>
        <w:r w:rsidRPr="009217D2">
          <w:rPr>
            <w:rStyle w:val="Hyperkobling"/>
          </w:rPr>
          <w:t>Resultat</w:t>
        </w:r>
        <w:r>
          <w:rPr>
            <w:webHidden/>
          </w:rPr>
          <w:tab/>
        </w:r>
        <w:r>
          <w:rPr>
            <w:webHidden/>
          </w:rPr>
          <w:fldChar w:fldCharType="begin"/>
        </w:r>
        <w:r>
          <w:rPr>
            <w:webHidden/>
          </w:rPr>
          <w:instrText xml:space="preserve"> PAGEREF _Toc222057416 \h </w:instrText>
        </w:r>
        <w:r>
          <w:rPr>
            <w:webHidden/>
          </w:rPr>
        </w:r>
        <w:r>
          <w:rPr>
            <w:webHidden/>
          </w:rPr>
          <w:fldChar w:fldCharType="separate"/>
        </w:r>
        <w:r>
          <w:rPr>
            <w:webHidden/>
          </w:rPr>
          <w:t>6</w:t>
        </w:r>
        <w:r>
          <w:rPr>
            <w:webHidden/>
          </w:rPr>
          <w:fldChar w:fldCharType="end"/>
        </w:r>
      </w:hyperlink>
    </w:p>
    <w:p w14:paraId="209CC53F" w14:textId="4F0D416E" w:rsidR="00666373" w:rsidRDefault="00666373">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22057417" w:history="1">
        <w:r w:rsidRPr="009217D2">
          <w:rPr>
            <w:rStyle w:val="Hyperkobling"/>
          </w:rPr>
          <w:t>9.0</w:t>
        </w:r>
        <w:r>
          <w:rPr>
            <w:rFonts w:asciiTheme="minorHAnsi" w:eastAsiaTheme="minorEastAsia" w:hAnsiTheme="minorHAnsi" w:cstheme="minorBidi"/>
            <w:b w:val="0"/>
            <w:kern w:val="2"/>
            <w:lang w:val="en-GB" w:eastAsia="en-GB" w:bidi="ar-SA"/>
            <w14:ligatures w14:val="standardContextual"/>
          </w:rPr>
          <w:tab/>
        </w:r>
        <w:r w:rsidRPr="009217D2">
          <w:rPr>
            <w:rStyle w:val="Hyperkobling"/>
          </w:rPr>
          <w:t>Diskusjon</w:t>
        </w:r>
        <w:r>
          <w:rPr>
            <w:webHidden/>
          </w:rPr>
          <w:tab/>
        </w:r>
        <w:r>
          <w:rPr>
            <w:webHidden/>
          </w:rPr>
          <w:fldChar w:fldCharType="begin"/>
        </w:r>
        <w:r>
          <w:rPr>
            <w:webHidden/>
          </w:rPr>
          <w:instrText xml:space="preserve"> PAGEREF _Toc222057417 \h </w:instrText>
        </w:r>
        <w:r>
          <w:rPr>
            <w:webHidden/>
          </w:rPr>
        </w:r>
        <w:r>
          <w:rPr>
            <w:webHidden/>
          </w:rPr>
          <w:fldChar w:fldCharType="separate"/>
        </w:r>
        <w:r>
          <w:rPr>
            <w:webHidden/>
          </w:rPr>
          <w:t>7</w:t>
        </w:r>
        <w:r>
          <w:rPr>
            <w:webHidden/>
          </w:rPr>
          <w:fldChar w:fldCharType="end"/>
        </w:r>
      </w:hyperlink>
    </w:p>
    <w:p w14:paraId="3947CAA5" w14:textId="2812FCF1" w:rsidR="00666373" w:rsidRDefault="00666373">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22057418" w:history="1">
        <w:r w:rsidRPr="009217D2">
          <w:rPr>
            <w:rStyle w:val="Hyperkobling"/>
          </w:rPr>
          <w:t>10.0</w:t>
        </w:r>
        <w:r>
          <w:rPr>
            <w:rFonts w:asciiTheme="minorHAnsi" w:eastAsiaTheme="minorEastAsia" w:hAnsiTheme="minorHAnsi" w:cstheme="minorBidi"/>
            <w:b w:val="0"/>
            <w:kern w:val="2"/>
            <w:lang w:val="en-GB" w:eastAsia="en-GB" w:bidi="ar-SA"/>
            <w14:ligatures w14:val="standardContextual"/>
          </w:rPr>
          <w:tab/>
        </w:r>
        <w:r w:rsidRPr="009217D2">
          <w:rPr>
            <w:rStyle w:val="Hyperkobling"/>
          </w:rPr>
          <w:t>Konklusjon</w:t>
        </w:r>
        <w:r>
          <w:rPr>
            <w:webHidden/>
          </w:rPr>
          <w:tab/>
        </w:r>
        <w:r>
          <w:rPr>
            <w:webHidden/>
          </w:rPr>
          <w:fldChar w:fldCharType="begin"/>
        </w:r>
        <w:r>
          <w:rPr>
            <w:webHidden/>
          </w:rPr>
          <w:instrText xml:space="preserve"> PAGEREF _Toc222057418 \h </w:instrText>
        </w:r>
        <w:r>
          <w:rPr>
            <w:webHidden/>
          </w:rPr>
        </w:r>
        <w:r>
          <w:rPr>
            <w:webHidden/>
          </w:rPr>
          <w:fldChar w:fldCharType="separate"/>
        </w:r>
        <w:r>
          <w:rPr>
            <w:webHidden/>
          </w:rPr>
          <w:t>8</w:t>
        </w:r>
        <w:r>
          <w:rPr>
            <w:webHidden/>
          </w:rPr>
          <w:fldChar w:fldCharType="end"/>
        </w:r>
      </w:hyperlink>
    </w:p>
    <w:p w14:paraId="1235DDBB" w14:textId="3B72D3D1" w:rsidR="00666373" w:rsidRDefault="00666373">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22057419" w:history="1">
        <w:r w:rsidRPr="009217D2">
          <w:rPr>
            <w:rStyle w:val="Hyperkobling"/>
          </w:rPr>
          <w:t>11.0</w:t>
        </w:r>
        <w:r>
          <w:rPr>
            <w:rFonts w:asciiTheme="minorHAnsi" w:eastAsiaTheme="minorEastAsia" w:hAnsiTheme="minorHAnsi" w:cstheme="minorBidi"/>
            <w:b w:val="0"/>
            <w:kern w:val="2"/>
            <w:lang w:val="en-GB" w:eastAsia="en-GB" w:bidi="ar-SA"/>
            <w14:ligatures w14:val="standardContextual"/>
          </w:rPr>
          <w:tab/>
        </w:r>
        <w:r w:rsidRPr="009217D2">
          <w:rPr>
            <w:rStyle w:val="Hyperkobling"/>
          </w:rPr>
          <w:t>Bibliografi</w:t>
        </w:r>
        <w:r>
          <w:rPr>
            <w:webHidden/>
          </w:rPr>
          <w:tab/>
        </w:r>
        <w:r>
          <w:rPr>
            <w:webHidden/>
          </w:rPr>
          <w:fldChar w:fldCharType="begin"/>
        </w:r>
        <w:r>
          <w:rPr>
            <w:webHidden/>
          </w:rPr>
          <w:instrText xml:space="preserve"> PAGEREF _Toc222057419 \h </w:instrText>
        </w:r>
        <w:r>
          <w:rPr>
            <w:webHidden/>
          </w:rPr>
        </w:r>
        <w:r>
          <w:rPr>
            <w:webHidden/>
          </w:rPr>
          <w:fldChar w:fldCharType="separate"/>
        </w:r>
        <w:r>
          <w:rPr>
            <w:webHidden/>
          </w:rPr>
          <w:t>8</w:t>
        </w:r>
        <w:r>
          <w:rPr>
            <w:webHidden/>
          </w:rPr>
          <w:fldChar w:fldCharType="end"/>
        </w:r>
      </w:hyperlink>
    </w:p>
    <w:p w14:paraId="378814D8" w14:textId="67CE8326" w:rsidR="00666373" w:rsidRDefault="00666373">
      <w:pPr>
        <w:pStyle w:val="INNH1"/>
        <w:tabs>
          <w:tab w:val="left" w:pos="720"/>
        </w:tabs>
        <w:rPr>
          <w:rFonts w:asciiTheme="minorHAnsi" w:eastAsiaTheme="minorEastAsia" w:hAnsiTheme="minorHAnsi" w:cstheme="minorBidi"/>
          <w:b w:val="0"/>
          <w:kern w:val="2"/>
          <w:lang w:val="en-GB" w:eastAsia="en-GB" w:bidi="ar-SA"/>
          <w14:ligatures w14:val="standardContextual"/>
        </w:rPr>
      </w:pPr>
      <w:hyperlink w:anchor="_Toc222057420" w:history="1">
        <w:r w:rsidRPr="009217D2">
          <w:rPr>
            <w:rStyle w:val="Hyperkobling"/>
          </w:rPr>
          <w:t>12.0</w:t>
        </w:r>
        <w:r>
          <w:rPr>
            <w:rFonts w:asciiTheme="minorHAnsi" w:eastAsiaTheme="minorEastAsia" w:hAnsiTheme="minorHAnsi" w:cstheme="minorBidi"/>
            <w:b w:val="0"/>
            <w:kern w:val="2"/>
            <w:lang w:val="en-GB" w:eastAsia="en-GB" w:bidi="ar-SA"/>
            <w14:ligatures w14:val="standardContextual"/>
          </w:rPr>
          <w:tab/>
        </w:r>
        <w:r w:rsidRPr="009217D2">
          <w:rPr>
            <w:rStyle w:val="Hyperkobling"/>
          </w:rPr>
          <w:t>Vedlegg</w:t>
        </w:r>
        <w:r>
          <w:rPr>
            <w:webHidden/>
          </w:rPr>
          <w:tab/>
        </w:r>
        <w:r>
          <w:rPr>
            <w:webHidden/>
          </w:rPr>
          <w:fldChar w:fldCharType="begin"/>
        </w:r>
        <w:r>
          <w:rPr>
            <w:webHidden/>
          </w:rPr>
          <w:instrText xml:space="preserve"> PAGEREF _Toc222057420 \h </w:instrText>
        </w:r>
        <w:r>
          <w:rPr>
            <w:webHidden/>
          </w:rPr>
        </w:r>
        <w:r>
          <w:rPr>
            <w:webHidden/>
          </w:rPr>
          <w:fldChar w:fldCharType="separate"/>
        </w:r>
        <w:r>
          <w:rPr>
            <w:webHidden/>
          </w:rPr>
          <w:t>8</w:t>
        </w:r>
        <w:r>
          <w:rPr>
            <w:webHidden/>
          </w:rPr>
          <w:fldChar w:fldCharType="end"/>
        </w:r>
      </w:hyperlink>
    </w:p>
    <w:p w14:paraId="61564286" w14:textId="7A946800" w:rsidR="00BE42D3" w:rsidRDefault="00B33323" w:rsidP="003A4872">
      <w:pPr>
        <w:sectPr w:rsidR="00BE42D3" w:rsidSect="00C90D42">
          <w:footerReference w:type="default" r:id="rId40"/>
          <w:pgSz w:w="11907" w:h="16840"/>
          <w:pgMar w:top="1417" w:right="1417" w:bottom="1417" w:left="1701" w:header="720" w:footer="403" w:gutter="0"/>
          <w:cols w:space="720"/>
          <w:formProt w:val="0"/>
          <w:titlePg/>
        </w:sectPr>
      </w:pPr>
      <w:r>
        <w:rPr>
          <w:rFonts w:ascii="Arial" w:hAnsi="Arial" w:cs="Arial"/>
          <w:b/>
          <w:noProof/>
          <w:sz w:val="28"/>
          <w:szCs w:val="28"/>
        </w:rPr>
        <w:fldChar w:fldCharType="end"/>
      </w:r>
    </w:p>
    <w:p>
      <w:pPr>
        <w:pStyle w:val="Overskrift1"/>
        <w:pageBreakBefore w:val="true"/>
      </w:pPr>
      <w:r>
        <w:rPr>
          <w:rFonts w:ascii="Times New Roman" w:hAnsi="Times New Roman"/>
          <w:color w:val="000000"/>
          <w:sz w:val="36"/>
        </w:rPr>
        <w:t>Figurliste</w:t>
      </w:r>
    </w:p>
    <w:p>
      <w:pPr>
        <w:spacing w:line="360" w:lineRule="auto"/>
      </w:pPr>
      <w:r>
        <w:rPr>
          <w:rFonts w:ascii="Times New Roman" w:hAnsi="Times New Roman" w:cs="Times New Roman"/>
          <w:sz w:val="24"/>
        </w:rPr>
        <w:t>Figur 1. Konseptuelt rammeverk – fra SAP-data til HVFS-anbefaling</w:t>
      </w:r>
    </w:p>
    <w:p>
      <w:pPr>
        <w:spacing w:line="360" w:lineRule="auto"/>
      </w:pPr>
      <w:r>
        <w:rPr>
          <w:rFonts w:ascii="Times New Roman" w:hAnsi="Times New Roman" w:cs="Times New Roman"/>
          <w:sz w:val="24"/>
        </w:rPr>
        <w:t>Figur 2. Lagerstruktur – Helse Vest forsyningskjede (forenklet)</w:t>
      </w:r>
    </w:p>
    <w:p>
      <w:pPr>
        <w:spacing w:line="360" w:lineRule="auto"/>
      </w:pPr>
      <w:r>
        <w:rPr>
          <w:rFonts w:ascii="Times New Roman" w:hAnsi="Times New Roman" w:cs="Times New Roman"/>
          <w:sz w:val="24"/>
        </w:rPr>
        <w:t>Figur 3. Analysepipeline: fra SAP-rådata til HVFS-anbefaling</w:t>
      </w:r>
    </w:p>
    <w:p>
      <w:pPr>
        <w:spacing w:line="360" w:lineRule="auto"/>
      </w:pPr>
      <w:r>
        <w:rPr>
          <w:rFonts w:ascii="Times New Roman" w:hAnsi="Times New Roman" w:cs="Times New Roman"/>
          <w:sz w:val="24"/>
        </w:rPr>
        <w:t>Figur 4. Regelmotor: sekvensiell beslutningsflyt for HVFS-anbefaling (R1–R8)</w:t>
      </w:r>
    </w:p>
    <w:p>
      <w:pPr>
        <w:spacing w:line="360" w:lineRule="auto"/>
      </w:pPr>
      <w:r>
        <w:rPr>
          <w:rFonts w:ascii="Times New Roman" w:hAnsi="Times New Roman" w:cs="Times New Roman"/>
          <w:sz w:val="24"/>
        </w:rPr>
        <w:t>Figur 5. Dataoversikt: fordeling av nøkkelvariabler for 709 artikler</w:t>
      </w:r>
    </w:p>
    <w:p>
      <w:pPr>
        <w:spacing w:line="360" w:lineRule="auto"/>
      </w:pPr>
      <w:r>
        <w:rPr>
          <w:rFonts w:ascii="Times New Roman" w:hAnsi="Times New Roman" w:cs="Times New Roman"/>
          <w:sz w:val="24"/>
        </w:rPr>
        <w:t>Figur 6. ABC Pareto-kurve: kumulativ verdiandel for 709 artikler</w:t>
      </w:r>
    </w:p>
    <w:p>
      <w:pPr>
        <w:spacing w:line="360" w:lineRule="auto"/>
      </w:pPr>
      <w:r>
        <w:rPr>
          <w:rFonts w:ascii="Times New Roman" w:hAnsi="Times New Roman" w:cs="Times New Roman"/>
          <w:sz w:val="24"/>
        </w:rPr>
        <w:t>Figur 7. ABC/XYZ-kryssmatrise: antall artikler per kombinasjon</w:t>
      </w:r>
    </w:p>
    <w:p>
      <w:pPr>
        <w:spacing w:line="360" w:lineRule="auto"/>
      </w:pPr>
      <w:r>
        <w:rPr>
          <w:rFonts w:ascii="Times New Roman" w:hAnsi="Times New Roman" w:cs="Times New Roman"/>
          <w:sz w:val="24"/>
        </w:rPr>
        <w:t>Figur 8. EOQ-avvik: relativ frekvensavvik med terskel ved τ_f = 1,5</w:t>
      </w:r>
    </w:p>
    <w:p>
      <w:pPr>
        <w:spacing w:line="360" w:lineRule="auto"/>
      </w:pPr>
      <w:r>
        <w:rPr>
          <w:rFonts w:ascii="Times New Roman" w:hAnsi="Times New Roman" w:cs="Times New Roman"/>
          <w:sz w:val="24"/>
        </w:rPr>
        <w:t>Figur 9. Silhouette-score for K = 2–7 (treningsdata, n = 389)</w:t>
      </w:r>
    </w:p>
    <w:p>
      <w:pPr>
        <w:spacing w:line="360" w:lineRule="auto"/>
      </w:pPr>
      <w:r>
        <w:rPr>
          <w:rFonts w:ascii="Times New Roman" w:hAnsi="Times New Roman" w:cs="Times New Roman"/>
          <w:sz w:val="24"/>
        </w:rPr>
        <w:t>Figur 10. K-means klyngeresultat (K = 3): forbruksstabilitet vs verdi og kostnadsavvik</w:t>
      </w:r>
    </w:p>
    <w:p>
      <w:pPr>
        <w:spacing w:line="360" w:lineRule="auto"/>
      </w:pPr>
      <w:r>
        <w:rPr>
          <w:rFonts w:ascii="Times New Roman" w:hAnsi="Times New Roman" w:cs="Times New Roman"/>
          <w:sz w:val="24"/>
        </w:rPr>
        <w:t>Figur 11. Klyngeprofiler for K-means (K = 3): gjennomsnittlig z-score per feature</w:t>
      </w:r>
    </w:p>
    <w:p>
      <w:pPr>
        <w:spacing w:line="360" w:lineRule="auto"/>
      </w:pPr>
      <w:r>
        <w:rPr>
          <w:rFonts w:ascii="Times New Roman" w:hAnsi="Times New Roman" w:cs="Times New Roman"/>
          <w:sz w:val="24"/>
        </w:rPr>
        <w:t>Figur 12. Regelmotor og besparelsesanalyse: HVFS-anbefalinger og EOQ-besparelse</w:t>
      </w:r>
    </w:p>
    <w:p>
      <w:pPr>
        <w:pStyle w:val="Overskrift1"/>
        <w:pageBreakBefore w:val="true"/>
      </w:pPr>
      <w:r>
        <w:rPr>
          <w:rFonts w:ascii="Times New Roman" w:hAnsi="Times New Roman"/>
          <w:color w:val="000000"/>
          <w:sz w:val="36"/>
        </w:rPr>
        <w:t>Tabelliste</w:t>
      </w:r>
    </w:p>
    <w:p>
      <w:pPr>
        <w:spacing w:line="360" w:lineRule="auto"/>
      </w:pPr>
      <w:r>
        <w:rPr>
          <w:rFonts w:ascii="Times New Roman" w:hAnsi="Times New Roman" w:cs="Times New Roman"/>
          <w:sz w:val="24"/>
        </w:rPr>
        <w:t>Tabell 1. Litteraturoversikt: sentrale kilder med tema og relevans</w:t>
      </w:r>
    </w:p>
    <w:p>
      <w:pPr>
        <w:spacing w:line="360" w:lineRule="auto"/>
      </w:pPr>
      <w:r>
        <w:rPr>
          <w:rFonts w:ascii="Times New Roman" w:hAnsi="Times New Roman" w:cs="Times New Roman"/>
          <w:sz w:val="24"/>
        </w:rPr>
        <w:t>Tabell 2. Sammenligning av analysemetoder brukt i oppgaven</w:t>
      </w:r>
    </w:p>
    <w:p>
      <w:pPr>
        <w:spacing w:line="360" w:lineRule="auto"/>
      </w:pPr>
      <w:r>
        <w:rPr>
          <w:rFonts w:ascii="Times New Roman" w:hAnsi="Times New Roman" w:cs="Times New Roman"/>
          <w:sz w:val="24"/>
        </w:rPr>
        <w:t>Tabell 3. Nøkkeltall for casevirksomheten Helse Bergen, WERKS 3300</w:t>
      </w:r>
    </w:p>
    <w:p>
      <w:pPr>
        <w:spacing w:line="360" w:lineRule="auto"/>
      </w:pPr>
      <w:r>
        <w:rPr>
          <w:rFonts w:ascii="Times New Roman" w:hAnsi="Times New Roman" w:cs="Times New Roman"/>
          <w:sz w:val="24"/>
        </w:rPr>
        <w:t>Tabell 4. Datagrunnlag: 14 SAP S/4HANA-tabeller hentet via SE16H</w:t>
      </w:r>
    </w:p>
    <w:p>
      <w:pPr>
        <w:spacing w:line="360" w:lineRule="auto"/>
      </w:pPr>
      <w:r>
        <w:rPr>
          <w:rFonts w:ascii="Times New Roman" w:hAnsi="Times New Roman" w:cs="Times New Roman"/>
          <w:sz w:val="24"/>
        </w:rPr>
        <w:t>Tabell 5. Datavalgsbeslutninger D-01–D-08 med begrunnelse</w:t>
      </w:r>
    </w:p>
    <w:p>
      <w:pPr>
        <w:spacing w:line="360" w:lineRule="auto"/>
      </w:pPr>
      <w:r>
        <w:rPr>
          <w:rFonts w:ascii="Times New Roman" w:hAnsi="Times New Roman" w:cs="Times New Roman"/>
          <w:sz w:val="24"/>
        </w:rPr>
        <w:t>Tabell 6. Modellparametere: ABC-klassifiseringsgrenser og analyseinnstillinger</w:t>
      </w:r>
    </w:p>
    <w:p>
      <w:pPr>
        <w:spacing w:line="360" w:lineRule="auto"/>
      </w:pPr>
      <w:r>
        <w:rPr>
          <w:rFonts w:ascii="Times New Roman" w:hAnsi="Times New Roman" w:cs="Times New Roman"/>
          <w:sz w:val="24"/>
        </w:rPr>
        <w:t>Tabell 7. Regelmotor: 8 beslutningsregler i prioritert rekkefølge</w:t>
      </w:r>
    </w:p>
    <w:p>
      <w:pPr>
        <w:spacing w:line="360" w:lineRule="auto"/>
      </w:pPr>
      <w:r>
        <w:rPr>
          <w:rFonts w:ascii="Times New Roman" w:hAnsi="Times New Roman" w:cs="Times New Roman"/>
          <w:sz w:val="24"/>
        </w:rPr>
        <w:t>Tabell 8. ABC-fordeling: antall artikler og verdiandel per klasse (n = 709)</w:t>
      </w:r>
    </w:p>
    <w:p>
      <w:pPr>
        <w:spacing w:line="360" w:lineRule="auto"/>
      </w:pPr>
      <w:r>
        <w:rPr>
          <w:rFonts w:ascii="Times New Roman" w:hAnsi="Times New Roman" w:cs="Times New Roman"/>
          <w:sz w:val="24"/>
        </w:rPr>
        <w:t>Tabell 9. XYZ-fordeling: antall artikler per klasse (n = 687)</w:t>
      </w:r>
    </w:p>
    <w:p>
      <w:pPr>
        <w:spacing w:line="360" w:lineRule="auto"/>
      </w:pPr>
      <w:r>
        <w:rPr>
          <w:rFonts w:ascii="Times New Roman" w:hAnsi="Times New Roman" w:cs="Times New Roman"/>
          <w:sz w:val="24"/>
        </w:rPr>
        <w:t>Tabell 10. SAP ZZXYZ-validering: samsvar mellom systemklasse og beregnet CV-klasse</w:t>
      </w:r>
    </w:p>
    <w:p>
      <w:pPr>
        <w:spacing w:line="360" w:lineRule="auto"/>
      </w:pPr>
      <w:r>
        <w:rPr>
          <w:rFonts w:ascii="Times New Roman" w:hAnsi="Times New Roman" w:cs="Times New Roman"/>
          <w:sz w:val="24"/>
        </w:rPr>
        <w:t>Tabell 11. EOQ-avviksresultater: fordeling etter ordrefrekvensavvik (n = 487)</w:t>
      </w:r>
    </w:p>
    <w:p>
      <w:pPr>
        <w:spacing w:line="360" w:lineRule="auto"/>
      </w:pPr>
      <w:r>
        <w:rPr>
          <w:rFonts w:ascii="Times New Roman" w:hAnsi="Times New Roman" w:cs="Times New Roman"/>
          <w:sz w:val="24"/>
        </w:rPr>
        <w:t>Tabell 12. K-means klyngeprofiler: gjennomsnittsverdier per klynge (K = 3)</w:t>
      </w:r>
    </w:p>
    <w:p>
      <w:pPr>
        <w:spacing w:line="360" w:lineRule="auto"/>
      </w:pPr>
      <w:r>
        <w:rPr>
          <w:rFonts w:ascii="Times New Roman" w:hAnsi="Times New Roman" w:cs="Times New Roman"/>
          <w:sz w:val="24"/>
        </w:rPr>
        <w:t>Tabell 13. HVFS-anbefalinger fra regelmotor: fordeling per kategori (n = 709)</w:t>
      </w:r>
    </w:p>
    <w:p>
      <w:pPr>
        <w:spacing w:line="360" w:lineRule="auto"/>
      </w:pPr>
      <w:r>
        <w:rPr>
          <w:rFonts w:ascii="Times New Roman" w:hAnsi="Times New Roman" w:cs="Times New Roman"/>
          <w:sz w:val="24"/>
        </w:rPr>
        <w:t>Tabell 14. Besparelsesestimater for tre scenarier (117 artikler, S = 750 NOK)</w:t>
      </w:r>
    </w:p>
    <w:p>
      <w:pPr>
        <w:spacing w:line="360" w:lineRule="auto"/>
      </w:pPr>
      <w:r>
        <w:rPr>
          <w:rFonts w:ascii="Times New Roman" w:hAnsi="Times New Roman" w:cs="Times New Roman"/>
          <w:sz w:val="24"/>
        </w:rPr>
        <w:t>Tabell 15. Sammenstilling av egne resultater mot funn i eksisterende litteratur</w:t>
      </w:r>
    </w:p>
    <w:p>
      <w:pPr>
        <w:pStyle w:val="Overskrift1"/>
        <w:pageBreakBefore w:val="true"/>
      </w:pPr>
      <w:r>
        <w:rPr>
          <w:rFonts w:ascii="Times New Roman" w:hAnsi="Times New Roman"/>
          <w:color w:val="000000"/>
          <w:sz w:val="36"/>
        </w:rPr>
        <w:t>Kapittel 1 – Innledning</w:t>
      </w:r>
    </w:p>
    <w:p>
      <w:pPr>
        <w:pStyle w:val="Overskrift2"/>
      </w:pPr>
      <w:r>
        <w:rPr>
          <w:rFonts w:ascii="Times New Roman" w:hAnsi="Times New Roman"/>
          <w:color w:val="000000"/>
          <w:sz w:val="32"/>
        </w:rPr>
        <w:t>1.1 Bakgrunn og aktualisering</w:t>
      </w:r>
    </w:p>
    <w:p>
      <w:pPr>
        <w:spacing w:line="360" w:lineRule="auto"/>
      </w:pPr>
      <w:r>
        <w:rPr>
          <w:rFonts w:ascii="Times New Roman" w:hAnsi="Times New Roman" w:cs="Times New Roman"/>
          <w:sz w:val="24"/>
        </w:rPr>
        <w:t>Norske helseforetak forvalter store mengder medisinsk forbruksmateriell spredt over lokale forsyningslagre ved det enkelte sykehus. Materialhåndtering i sykehus er et ressurskrevende område som i liten grad har vært gjenstand for systematisk datadrevet styring, og studier viser at logistikk og lagerhåndtering kan utgjøre mellom 30 og 40 prosent av et sykehus' driftskostnader (Volland et al., 2017). Suboptimal klassifisering av lagervarer fører til overflødige bestillingstransaksjoner, unødvendig kapitalbinding og økt administrativ belastning — uten at det nødvendigvis gir bedre forsyningssikkerhet for klinisk personell (Bijvank &amp; Vis, 2012).</w:t>
      </w:r>
    </w:p>
    <w:p>
      <w:pPr>
        <w:spacing w:line="360" w:lineRule="auto"/>
      </w:pPr>
      <w:r>
        <w:rPr>
          <w:rFonts w:ascii="Times New Roman" w:hAnsi="Times New Roman" w:cs="Times New Roman"/>
          <w:sz w:val="24"/>
        </w:rPr>
        <w:t>Helse Vest Forsyningssenter (HVFS) er under etablering som regionalt sentrallager for medisinsk forbruksmateriell i Helse Vest-regionen, med NorEngros som operatør. Frem mot 2029 skal sortimentet utvides og avdelingspakkede leveranser (APL) innføres — det vil si ferdigpakkede leveranser direkte til avdeling uten mellomlagring. Parallelt pågår LIBRA-prosjektet, en regional implementering av SAP S/4HANA i regi av Helse Vest IKT, som legger det tekniske grunnlaget for felles dataplattform på tvers av helseforetakene.</w:t>
      </w:r>
    </w:p>
    <w:p>
      <w:pPr>
        <w:spacing w:line="360" w:lineRule="auto"/>
      </w:pPr>
      <w:r>
        <w:rPr>
          <w:rFonts w:ascii="Times New Roman" w:hAnsi="Times New Roman" w:cs="Times New Roman"/>
          <w:sz w:val="24"/>
        </w:rPr>
        <w:t>Helse Bergen er det største helseforetaket i Helse Vest og drifter i dag et lokalt forsyningslager registrert som WERKS 3300 i SAP S/4HANA, med primærlagersted LGORT 3001. Lageret håndterer over 700 aktive artikler, men det mangler et systematisk, datadrevet grunnlag for å avgjøre hvilke av disse som egner seg for overføring til HVFS. Beslutningene tas i dag i stor grad basert på erfaring og skjønn, noe de Vries (2011) identifiserer som en typisk utfordring i sykehuslogistikk: interessentkonflikter og manglende informasjonssystemer hindrer rasjonell lageromstilling. Denne oppgaven adresserer dette gapet ved å anvende velprøvde klassifiseringsmetoder fra lagerstyringslitteraturen — ABC, XYZ og EOQ — kombinert med K-means klyngeanalyse, på operasjonelle transaksjonsdata fra SAP.</w:t>
      </w:r>
    </w:p>
    <w:p>
      <w:pPr>
        <w:pStyle w:val="Overskrift2"/>
      </w:pPr>
      <w:r>
        <w:rPr>
          <w:rFonts w:ascii="Times New Roman" w:hAnsi="Times New Roman"/>
          <w:color w:val="000000"/>
          <w:sz w:val="32"/>
        </w:rPr>
        <w:t>1.2 Problemstilling</w:t>
      </w:r>
    </w:p>
    <w:p>
      <w:pPr>
        <w:spacing w:line="360" w:lineRule="auto"/>
      </w:pPr>
      <w:r>
        <w:rPr>
          <w:rFonts w:ascii="Times New Roman" w:hAnsi="Times New Roman" w:cs="Times New Roman"/>
          <w:sz w:val="24"/>
        </w:rPr>
        <w:t>Oppgaven besvarer følgende forskningsspørsmål:</w:t>
      </w:r>
    </w:p>
    <w:p>
      <w:pPr>
        <w:spacing w:line="360" w:lineRule="auto"/>
        <w:ind w:left="567"/>
      </w:pPr>
      <w:r>
        <w:rPr>
          <w:rFonts w:ascii="Times New Roman" w:hAnsi="Times New Roman"/>
          <w:b/>
          <w:sz w:val="24"/>
        </w:rPr>
        <w:t>Hvordan kan multikriterieklassifisering og klyngeanalyse av SAP-transaksjonsdata identifisere hvilke artikler ved Helse Bergens forsyningslager (WERKS 3300, LGORT 3001) som bør overføres til Helse Vest Forsyningssenter, og hva er det estimerte besparelsespotensialet ved en slik overføring?</w:t>
      </w:r>
    </w:p>
    <w:p>
      <w:pPr>
        <w:spacing w:line="360" w:lineRule="auto"/>
      </w:pPr>
      <w:r>
        <w:rPr>
          <w:rFonts w:ascii="Times New Roman" w:hAnsi="Times New Roman" w:cs="Times New Roman"/>
          <w:sz w:val="24"/>
        </w:rPr>
        <w:t>Problemstillingen avgrenser seg eksplisitt til identifikasjon og kvantifisering — ikke gjennomføring av selve overføringen. Svaret gis i form av en anbefalt artikkelliste med tilhørende besparelsesestimat basert på EOQ-avviksanalyse. Analysen er kvantitativ og datadrevet; den erstatter ikke faglig skjønn, men gir et strukturert beslutningsgrunnlag.</w:t>
      </w:r>
    </w:p>
    <w:p>
      <w:pPr>
        <w:pStyle w:val="Overskrift2"/>
      </w:pPr>
      <w:r>
        <w:rPr>
          <w:rFonts w:ascii="Times New Roman" w:hAnsi="Times New Roman"/>
          <w:color w:val="000000"/>
          <w:sz w:val="32"/>
        </w:rPr>
        <w:t>1.3 Avgrensninger</w:t>
      </w:r>
    </w:p>
    <w:p>
      <w:pPr>
        <w:spacing w:line="360" w:lineRule="auto"/>
      </w:pPr>
      <w:r>
        <w:rPr>
          <w:rFonts w:ascii="Times New Roman" w:hAnsi="Times New Roman" w:cs="Times New Roman"/>
          <w:sz w:val="24"/>
        </w:rPr>
        <w:t>Oppgaven avgrenses på følgende punkter, begrunnet faglig:</w:t>
      </w:r>
    </w:p>
    <w:p>
      <w:pPr>
        <w:spacing w:line="360" w:lineRule="auto"/>
      </w:pPr>
      <w:r>
        <w:rPr>
          <w:rFonts w:ascii="Times New Roman" w:hAnsi="Times New Roman" w:cs="Times New Roman"/>
          <w:b/>
          <w:sz w:val="24"/>
        </w:rPr>
        <w:t>Lagersted.</w:t>
      </w:r>
      <w:r>
        <w:rPr>
          <w:rFonts w:ascii="Times New Roman" w:hAnsi="Times New Roman" w:cs="Times New Roman"/>
          <w:sz w:val="24"/>
        </w:rPr>
        <w:t xml:space="preserve"> Analysen omfatter utelukkende LGORT 3001 ved WERKS 3300. Dette lagerstedet er valgt fordi det er det eneste ved Helse Bergen med tilstrekkelig transaksjonshistorikk i SAP for perioden 2024–2025 til å muliggjøre beregnet XYZ-klassifisering og EOQ-avviksanalyse. Andre lagersteder mangler den nødvendige dybden i MSEG- og EKBE-data.</w:t>
      </w:r>
    </w:p>
    <w:p>
      <w:pPr>
        <w:spacing w:line="360" w:lineRule="auto"/>
      </w:pPr>
      <w:r>
        <w:rPr>
          <w:rFonts w:ascii="Times New Roman" w:hAnsi="Times New Roman" w:cs="Times New Roman"/>
          <w:b/>
          <w:sz w:val="24"/>
        </w:rPr>
        <w:t>Artikkelstatus.</w:t>
      </w:r>
      <w:r>
        <w:rPr>
          <w:rFonts w:ascii="Times New Roman" w:hAnsi="Times New Roman" w:cs="Times New Roman"/>
          <w:sz w:val="24"/>
        </w:rPr>
        <w:t xml:space="preserve"> Kun artikler med aktiv status inngår i analysen, definert som artikler med registrert årsforbruk (</w:t>
      </w:r>
      <m:oMath>
        <m:sSub>
          <m:e>
            <m:r>
              <m:t>D</m:t>
            </m:r>
          </m:e>
          <m:sub>
            <m:r>
              <m:t>A</m:t>
            </m:r>
          </m:sub>
        </m:sSub>
        <m:r>
          <m:t>NNUAL&gt;0</m:t>
        </m:r>
      </m:oMath>
      <w:r>
        <w:rPr>
          <w:rFonts w:ascii="Times New Roman" w:hAnsi="Times New Roman" w:cs="Times New Roman"/>
          <w:sz w:val="24"/>
        </w:rPr>
        <w:t>) eller positiv lagerbeholdning per uttrekksdato. Artikler uten registrert forbruk og uten lagerbeholdning i analyseperioden er ekskludert som operasjonelt inaktive (beslutning D-01). Inaktive artikler er ikke relevante for HVFS-overføring og holdes utenfor for å unngå støy i klassifiseringsmodellene.</w:t>
      </w:r>
    </w:p>
    <w:p>
      <w:pPr>
        <w:spacing w:line="360" w:lineRule="auto"/>
      </w:pPr>
      <w:r>
        <w:rPr>
          <w:rFonts w:ascii="Times New Roman" w:hAnsi="Times New Roman" w:cs="Times New Roman"/>
          <w:b/>
          <w:sz w:val="24"/>
        </w:rPr>
        <w:t>Analyseperiode.</w:t>
      </w:r>
      <w:r>
        <w:rPr>
          <w:rFonts w:ascii="Times New Roman" w:hAnsi="Times New Roman" w:cs="Times New Roman"/>
          <w:sz w:val="24"/>
        </w:rPr>
        <w:t xml:space="preserve"> Datagrunnlaget er begrenset til 24 måneder (2024–2025). En lengre periode ville økt robustheten i XYZ-klassifiseringen, men data utover denne perioden var ikke tilgjengelig med tilstrekkelig kvalitet fra SAP.</w:t>
      </w:r>
    </w:p>
    <w:p>
      <w:pPr>
        <w:spacing w:line="360" w:lineRule="auto"/>
      </w:pPr>
      <w:r>
        <w:rPr>
          <w:rFonts w:ascii="Times New Roman" w:hAnsi="Times New Roman" w:cs="Times New Roman"/>
          <w:b/>
          <w:sz w:val="24"/>
        </w:rPr>
        <w:t>Metodevalg.</w:t>
      </w:r>
      <w:r>
        <w:rPr>
          <w:rFonts w:ascii="Times New Roman" w:hAnsi="Times New Roman" w:cs="Times New Roman"/>
          <w:sz w:val="24"/>
        </w:rPr>
        <w:t xml:space="preserve"> Oppgaven anvender veletablerte kvantitative metoder og gjør ikke krav på å utvikle nye modeller. ROP-modulen (reorder point) er identifisert som en naturlig forlengelse, men er utelatt da leveringstidsdata fra EINA/EINE kun dekker 6 prosent av artiklene — et utilstrekkelig grunnlag for robust ROP-beregning.</w:t>
      </w:r>
    </w:p>
    <w:p>
      <w:pPr>
        <w:spacing w:line="360" w:lineRule="auto"/>
      </w:pPr>
      <w:r>
        <w:rPr>
          <w:rFonts w:ascii="Times New Roman" w:hAnsi="Times New Roman" w:cs="Times New Roman"/>
          <w:b/>
          <w:sz w:val="24"/>
        </w:rPr>
        <w:t>Generaliserbarhet.</w:t>
      </w:r>
      <w:r>
        <w:rPr>
          <w:rFonts w:ascii="Times New Roman" w:hAnsi="Times New Roman" w:cs="Times New Roman"/>
          <w:sz w:val="24"/>
        </w:rPr>
        <w:t xml:space="preserve"> Funnene er gyldige for WERKS 3300 og de konkrete SAP-parameterne som er benyttet. Overføring av metodikken til andre helseforetak i Helse Vest er mulig, men krever ny datakjøring per foretak.</w:t>
      </w:r>
    </w:p>
    <w:p>
      <w:pPr>
        <w:pStyle w:val="Overskrift2"/>
      </w:pPr>
      <w:r>
        <w:rPr>
          <w:rFonts w:ascii="Times New Roman" w:hAnsi="Times New Roman"/>
          <w:color w:val="000000"/>
          <w:sz w:val="32"/>
        </w:rPr>
        <w:t>1.4 Antagelser</w:t>
      </w:r>
    </w:p>
    <w:p>
      <w:pPr>
        <w:spacing w:line="360" w:lineRule="auto"/>
      </w:pPr>
      <w:r>
        <w:rPr>
          <w:rFonts w:ascii="Times New Roman" w:hAnsi="Times New Roman" w:cs="Times New Roman"/>
          <w:sz w:val="24"/>
        </w:rPr>
        <w:t>Analysen hviler på følgende eksplisitte antagelser som ikke er empirisk estimert, men begrunnet ut fra bransjepraksis og tilgjengelig litteratur:</w:t>
      </w:r>
    </w:p>
    <w:p>
      <w:pPr>
        <w:spacing w:line="360" w:lineRule="auto"/>
      </w:pPr>
      <w:r>
        <w:rPr>
          <w:rFonts w:ascii="Times New Roman" w:hAnsi="Times New Roman" w:cs="Times New Roman"/>
          <w:sz w:val="24"/>
        </w:rPr>
        <w:t>**Ordrekostnad (</w:t>
      </w:r>
      <m:oMath>
        <m:r>
          <m:t>S=750</m:t>
        </m:r>
      </m:oMath>
      <w:r>
        <w:rPr>
          <w:rFonts w:ascii="Times New Roman" w:hAnsi="Times New Roman" w:cs="Times New Roman"/>
          <w:sz w:val="24"/>
        </w:rPr>
        <w:t>NOK).** Kostnaden per bestillingstransaksjon er satt til 750 kroner, basert på estimater fra tilsvarende sykehuslogistikkstudier (Kelle et al., 2012; Bijvank &amp; Vis, 2012). Dette er en antagelse som dekker direkte administrative kostnader knyttet til å opprette, godkjenne og følge opp en innkjøpsordre i SAP. Sensitivitetsanalysen varierer S over intervallet {500, 750, 1 000} NOK for å belyse effekten av denne forutsetningen.</w:t>
      </w:r>
    </w:p>
    <w:p>
      <w:pPr>
        <w:spacing w:line="360" w:lineRule="auto"/>
      </w:pPr>
      <w:r>
        <w:rPr>
          <w:rFonts w:ascii="Times New Roman" w:hAnsi="Times New Roman" w:cs="Times New Roman"/>
          <w:sz w:val="24"/>
        </w:rPr>
        <w:t>**Holdekostnadssats (</w:t>
      </w:r>
      <m:oMath>
        <m:r>
          <m:t>h=20</m:t>
        </m:r>
      </m:oMath>
      <w:r>
        <w:rPr>
          <w:rFonts w:ascii="Times New Roman" w:hAnsi="Times New Roman" w:cs="Times New Roman"/>
          <w:sz w:val="24"/>
        </w:rPr>
        <w:t>).** Den årlige holdekostnaden er satt til 20 prosent av enhetsprisen, i tråd med anbefalinger i lagerstyringslitteraturen (Ketkar &amp; Vaidya, 2014). Satsens innvirkning testes i sensitivitetsanalysen over intervallet {15, 20, 25} prosent.</w:t>
      </w:r>
    </w:p>
    <w:p>
      <w:pPr>
        <w:spacing w:line="360" w:lineRule="auto"/>
      </w:pPr>
      <w:r>
        <w:rPr>
          <w:rFonts w:ascii="Times New Roman" w:hAnsi="Times New Roman" w:cs="Times New Roman"/>
          <w:b/>
          <w:sz w:val="24"/>
        </w:rPr>
        <w:t>Analyseperiode og annualisering.</w:t>
      </w:r>
      <w:r>
        <w:rPr>
          <w:rFonts w:ascii="Times New Roman" w:hAnsi="Times New Roman" w:cs="Times New Roman"/>
          <w:sz w:val="24"/>
        </w:rPr>
        <w:t xml:space="preserve"> Innkjøpsdata (EKBE) dekker 24 måneder. Ordrefrekvens er annualisert ved å multiplisere observert ordreantall med faktoren 12/24.</w:t>
      </w:r>
    </w:p>
    <w:p>
      <w:pPr>
        <w:spacing w:line="360" w:lineRule="auto"/>
      </w:pPr>
      <w:r>
        <w:rPr>
          <w:rFonts w:ascii="Times New Roman" w:hAnsi="Times New Roman" w:cs="Times New Roman"/>
          <w:b/>
          <w:sz w:val="24"/>
        </w:rPr>
        <w:t>Leveringstid (LEAD_TIME = 14 dager).</w:t>
      </w:r>
      <w:r>
        <w:rPr>
          <w:rFonts w:ascii="Times New Roman" w:hAnsi="Times New Roman" w:cs="Times New Roman"/>
          <w:sz w:val="24"/>
        </w:rPr>
        <w:t xml:space="preserve"> For 94 prosent av artiklene mangler registrert leveringstid i SAP-tabellene EINA/EINE. En fallback-verdi på 14 dager er benyttet. Denne parameteren påvirker ikke EOQ- eller besparelsesberegningene direkte, men er reservert for en fremtidig ROP-modul.</w:t>
      </w:r>
    </w:p>
    <w:p>
      <w:pPr>
        <w:spacing w:line="360" w:lineRule="auto"/>
      </w:pPr>
      <w:r>
        <w:rPr>
          <w:rFonts w:ascii="Times New Roman" w:hAnsi="Times New Roman" w:cs="Times New Roman"/>
          <w:b/>
          <w:sz w:val="24"/>
        </w:rPr>
        <w:t>Besparelsesformel.</w:t>
      </w:r>
      <w:r>
        <w:rPr>
          <w:rFonts w:ascii="Times New Roman" w:hAnsi="Times New Roman" w:cs="Times New Roman"/>
          <w:sz w:val="24"/>
        </w:rPr>
        <w:t xml:space="preserve"> Besparelsesestimatet er basert på Wilson EOQ-modellen:</w:t>
      </w:r>
    </w:p>
    <w:p>
      <w:pPr>
        <w:spacing w:line="360" w:lineRule="auto"/>
        <w:jc w:val="center"/>
      </w:pPr>
      <m:oMath>
        <m:sSub>
          <m:e>
            <m:r>
              <m:t>B</m:t>
            </m:r>
          </m:e>
          <m:sub>
            <m:r>
              <m:rPr>
                <m:nor/>
              </m:rPr>
              <m:t>HVFS</m:t>
            </m:r>
          </m:sub>
        </m:sSub>
        <m:r>
          <m:t>=</m:t>
        </m:r>
        <m:nary>
          <m:naryPr>
            <m:chr m:val="∑"/>
            <m:limLoc m:val="subSup"/>
            <m:grow m:val="1"/>
            <m:subHide m:val="off"/>
            <m:supHide m:val="on"/>
          </m:naryPr>
          <m:sub>
            <m:r>
              <m:t>i∈</m:t>
            </m:r>
            <m:r>
              <m:rPr>
                <m:nor/>
              </m:rPr>
              <m:t>OVERFØR</m:t>
            </m:r>
          </m:sub>
          <m:sup/>
          <m:e>
            <m:r>
              <m:t>ΔT</m:t>
            </m:r>
          </m:e>
        </m:nary>
        <m:sSub>
          <m:e>
            <m:r>
              <m:t>C</m:t>
            </m:r>
          </m:e>
          <m:sub>
            <m:r>
              <m:t>i</m:t>
            </m:r>
          </m:sub>
        </m:sSub>
        <m:r>
          <m:t>×g</m:t>
        </m:r>
      </m:oMath>
    </w:p>
    <w:p>
      <w:pPr>
        <w:spacing w:line="360" w:lineRule="auto"/>
      </w:pPr>
      <w:r>
        <w:rPr>
          <w:rFonts w:ascii="Times New Roman" w:hAnsi="Times New Roman" w:cs="Times New Roman"/>
          <w:sz w:val="24"/>
        </w:rPr>
        <w:t xml:space="preserve">der </w:t>
      </w:r>
      <m:oMath>
        <m:r>
          <m:t>ΔT</m:t>
        </m:r>
        <m:sSub>
          <m:e>
            <m:r>
              <m:t>C</m:t>
            </m:r>
          </m:e>
          <m:sub>
            <m:r>
              <m:t>i</m:t>
            </m:r>
          </m:sub>
        </m:sSub>
        <m:r>
          <m:t>=T</m:t>
        </m:r>
        <m:sSub>
          <m:e>
            <m:r>
              <m:t>C</m:t>
            </m:r>
          </m:e>
          <m:sub>
            <m:r>
              <m:rPr>
                <m:nor/>
              </m:rPr>
              <m:t>actual</m:t>
            </m:r>
            <m:r>
              <m:t>,i</m:t>
            </m:r>
          </m:sub>
        </m:sSub>
        <m:r>
          <m:t>−T</m:t>
        </m:r>
        <m:sSub>
          <m:e>
            <m:r>
              <m:t>C</m:t>
            </m:r>
          </m:e>
          <m:sub>
            <m:r>
              <m:rPr>
                <m:nor/>
              </m:rPr>
              <m:t>optimal</m:t>
            </m:r>
            <m:r>
              <m:t>,i</m:t>
            </m:r>
          </m:sub>
        </m:sSub>
      </m:oMath>
      <w:r>
        <w:rPr>
          <w:rFonts w:ascii="Times New Roman" w:hAnsi="Times New Roman" w:cs="Times New Roman"/>
          <w:sz w:val="24"/>
        </w:rPr>
        <w:t xml:space="preserve"> er kostnadsavviket mellom faktisk og optimal ordrefrekvens for artikkel </w:t>
      </w:r>
      <m:oMath>
        <m:r>
          <m:t>i</m:t>
        </m:r>
      </m:oMath>
      <w:r>
        <w:rPr>
          <w:rFonts w:ascii="Times New Roman" w:hAnsi="Times New Roman" w:cs="Times New Roman"/>
          <w:sz w:val="24"/>
        </w:rPr>
        <w:t xml:space="preserve">, og </w:t>
      </w:r>
      <m:oMath>
        <m:r>
          <m:t>g</m:t>
        </m:r>
      </m:oMath>
      <w:r>
        <w:rPr>
          <w:rFonts w:ascii="Times New Roman" w:hAnsi="Times New Roman" w:cs="Times New Roman"/>
          <w:sz w:val="24"/>
        </w:rPr>
        <w:t xml:space="preserve"> er en gevinstrealiseringsgrad på 50/75/100 prosent (worst/base/best). Dette er et avgrenset transaksjonskostnadsestimat — det inkluderer ikke varekostnader eller endringer i lagernivå.</w:t>
      </w:r>
    </w:p>
    <w:p>
      <w:pPr>
        <w:spacing w:line="360" w:lineRule="auto"/>
      </w:pPr>
      <w:r>
        <w:rPr>
          <w:rFonts w:ascii="Times New Roman" w:hAnsi="Times New Roman" w:cs="Times New Roman"/>
          <w:sz w:val="24"/>
        </w:rPr>
        <w:t>Rapporten er strukturert som følger: Kapittel 2 presenterer litteratur og teoretisk rammeverk. Kapittel 3 beskriver caset — Helse Bergen, HVFS og LIBRA-prosjektet. Kapittel 4 redegjør for data og metode, inkludert SAP-uttrekk og datakvalitetsbeslutninger. Kapittel 5 beskriver modelleringen formelt. Kapittel 6 presenterer den analytiske gjennomføringen. Kapittel 7 presenterer resultatene objektivt. Kapittel 8 diskuterer funn opp mot litteratur, metodekritikk og praktisk betydning. Kapittel 9 konkluderer og gir anbefalinger til Helse Bergen.</w:t>
      </w:r>
    </w:p>
    <w:p>
      <w:pPr>
        <w:pStyle w:val="Overskrift1"/>
        <w:pageBreakBefore w:val="true"/>
      </w:pPr>
      <w:r>
        <w:rPr>
          <w:rFonts w:ascii="Times New Roman" w:hAnsi="Times New Roman"/>
          <w:color w:val="000000"/>
          <w:sz w:val="36"/>
        </w:rPr>
        <w:t>Kapittel 2 – Litteratur og teori</w:t>
      </w:r>
    </w:p>
    <w:p>
      <w:pPr>
        <w:pStyle w:val="Overskrift2"/>
      </w:pPr>
      <w:r>
        <w:rPr>
          <w:rFonts w:ascii="Times New Roman" w:hAnsi="Times New Roman"/>
          <w:color w:val="000000"/>
          <w:sz w:val="32"/>
        </w:rPr>
        <w:t>2.1 Litteraturgjennomgang</w:t>
      </w:r>
    </w:p>
    <w:p>
      <w:pPr>
        <w:spacing w:line="360" w:lineRule="auto"/>
      </w:pPr>
      <w:r>
        <w:rPr>
          <w:rFonts w:ascii="Times New Roman" w:hAnsi="Times New Roman" w:cs="Times New Roman"/>
          <w:sz w:val="24"/>
        </w:rPr>
        <w:t>Forskning på lagerklassifisering i sykehus har vokst markant siden 2000-tallet, drevet av erkjennelsen om at helseforetak binder store ressurser i logistikk og materialhåndtering. Volland et al. (2017) identifiserte i en systematisk gjennomgang av 145 publikasjoner fra 1998 til 2014 at lagerstyring er den mest publiserte kategorien innen sykehuslogistikk, med over 66 artikler. Til tross for dette volumet er det påfallende lite forskning som kobler klassifiseringsmetoder direkte til sentralisering av forsyningskjeden — noe denne oppgaven adresserer.</w:t>
      </w:r>
    </w:p>
    <w:p>
      <w:pPr>
        <w:spacing w:line="360" w:lineRule="auto"/>
      </w:pPr>
      <w:r>
        <w:rPr>
          <w:rFonts w:ascii="Times New Roman" w:hAnsi="Times New Roman" w:cs="Times New Roman"/>
          <w:sz w:val="24"/>
        </w:rPr>
        <w:t>Den dominerende tilnærmingen i litteraturen er ABC-analyse basert på Pareto-prinsippet. Silaen et al. (2023) viser at enkelt-kriterieanalyse på forbruksverdi er bredt adoptert i praksis, men påpeker at metoden alene ikke fanger opp variabilitet i etterspørsel eller kritikalitet for forsyningssikkerhet. Gupta et al. (2007) demonstrerer dette i en militærmedisinsk studie der ABC kombineres med VED-analyse (Vital, Essential, Desirable) for å differensiere mellom høyverdiartikler og artikler med kritisk klinisk betydning. Kombinasjonsmetodikken gir grunnlag for et mer nyansert klassifiseringssystem, men VED krever klinisk skjønn og er vanskelig å operasjonalisere på tvers av store sortiment uten strukturerte data.</w:t>
      </w:r>
    </w:p>
    <w:p>
      <w:pPr>
        <w:spacing w:line="360" w:lineRule="auto"/>
      </w:pPr>
      <w:r>
        <w:rPr>
          <w:rFonts w:ascii="Times New Roman" w:hAnsi="Times New Roman" w:cs="Times New Roman"/>
          <w:sz w:val="24"/>
        </w:rPr>
        <w:t>XYZ-analyse, basert på variasjonskoeffisienten til etterspørselen, fremstår i litteraturen som det mest naturlige komplementet til ABC. Nowotyńska (2013) demonstrerer at XYZ-klassifisering kan gjennomføres systematisk med CV-beregning på historiske forbruksdata, og at kombinasjonsmatrisen ABC/XYZ gir differensierte styringsanbefalinger for ni ulike varekategorier. Suryaputri et al. (2022) bekrefter dette i en casestudie fra helseindustrien, der kombinasjonsanalysen muliggjør mer presis bestillingspolicy per varekategori. Ketkar og Vaidya (2014) utvider perspektivet ytterligere ved å inkludere opptil fire klassifiseringssystemer i én MCDM-modell, men denne kompleksiteten stiller krav til parametervalg og ekspertvurderinger som vanskelig lar seg standardisere.</w:t>
      </w:r>
    </w:p>
    <w:p>
      <w:pPr>
        <w:spacing w:line="360" w:lineRule="auto"/>
      </w:pPr>
      <w:r>
        <w:rPr>
          <w:rFonts w:ascii="Times New Roman" w:hAnsi="Times New Roman" w:cs="Times New Roman"/>
          <w:sz w:val="24"/>
        </w:rPr>
        <w:t>Flerkriterietilnærminger som EDAS (Keshavarz Ghorabaee et al., 2015) og AHP (Partovi &amp; Burton, 1993) krever subjektiv vekting, noe som svekker etterprøvbarheten. Denne oppgaven benytter derfor objektivt beregnbare kriterier (verdi, CV, EOQ-avvik). Klyngeanalyse representerer et datadrevet alternativ som fanger sammensatte mønstre uten forhåndsdefinerte terskelverdier (Srinivasan &amp; Moon, 1999). Kombinasjonen av K-means med regelbaserte beslutningssystemer — slik denne oppgaven gjennomfører — er lite dokumentert i sykehuskontekst, og utgjør oppgavens metodiske bidrag.</w:t>
      </w:r>
    </w:p>
    <w:p>
      <w:pPr>
        <w:spacing w:line="360" w:lineRule="auto"/>
      </w:pPr>
      <w:r>
        <w:rPr>
          <w:rFonts w:ascii="Times New Roman" w:hAnsi="Times New Roman" w:cs="Times New Roman"/>
          <w:sz w:val="24"/>
        </w:rPr>
        <w:t>van Kampen et al. (2012) identifiserer tre hoveddimensjoner for SKU-klassifisering: karakteristikker (verdi, variabilitet, kritikalitet), klassifiseringsteknikk (ABC, clustering, MCDM) og operasjonalisering i styringssystemer. Denne oppgaven opererer i krysningspunktet mellom alle tre.</w:t>
      </w:r>
    </w:p>
    <w:p>
      <w:pPr>
        <w:spacing w:line="360" w:lineRule="auto"/>
      </w:pPr>
      <w:r>
        <w:rPr>
          <w:rFonts w:ascii="Times New Roman" w:hAnsi="Times New Roman" w:cs="Times New Roman"/>
          <w:sz w:val="24"/>
        </w:rPr>
        <w:t>Det sentrale gapet i litteraturen er fraværet av kvantitative casestudier som kombinerer ABC, XYZ, EOQ-avviksanalyse og klyngeanalyse i en samlet analysemodell koblet mot faktiske SAP-transaksjonsdata, med besparelsesestimat som eksplisitt output. Saha og Ray (2019) konkluderer i sin gjennomgang av 137 artikler at det er behov for empiriske studier som kobler kvantitative klassifiseringsmodeller til konkrete beslutninger i reelle sykehussystemer. Denne oppgaven søker å fylle dette gapet.</w:t>
      </w:r>
    </w:p>
    <w:p>
      <w:pPr>
        <w:spacing w:line="360" w:lineRule="auto"/>
      </w:pPr>
      <w:r>
        <w:rPr>
          <w:rFonts w:ascii="Times New Roman" w:hAnsi="Times New Roman" w:cs="Times New Roman"/>
          <w:sz w:val="24"/>
        </w:rPr>
        <w:t>Tabell 1 gir en samlet oversikt over de sentrale kildene i litteraturgjennomgangen, organisert etter hovedtema og med kopling til denne oppgavens problemstilling.</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192"/>
        <w:gridCol w:w="2192"/>
        <w:gridCol w:w="2192"/>
        <w:gridCol w:w="2192"/>
      </w:tblGrid>
      <w:tr>
        <w:tc>
          <w:tcPr>
            <w:tcW w:type="dxa" w:w="2192"/>
            <w:tcBorders>
              <w:top w:val="single" w:sz="8" w:space="0" w:color="000000"/>
              <w:bottom w:val="single" w:sz="4" w:space="0" w:color="000000"/>
              <w:left w:val="nil"/>
              <w:right w:val="nil"/>
            </w:tcBorders>
          </w:tcPr>
          <w:p>
            <w:r/>
            <w:r>
              <w:rPr>
                <w:rFonts w:ascii="Times New Roman" w:hAnsi="Times New Roman"/>
                <w:b/>
                <w:sz w:val="22"/>
              </w:rPr>
              <w:t>Forfatter(e)</w:t>
            </w:r>
          </w:p>
        </w:tc>
        <w:tc>
          <w:tcPr>
            <w:tcW w:type="dxa" w:w="2192"/>
            <w:tcBorders>
              <w:top w:val="single" w:sz="8" w:space="0" w:color="000000"/>
              <w:bottom w:val="single" w:sz="4" w:space="0" w:color="000000"/>
              <w:left w:val="nil"/>
              <w:right w:val="nil"/>
            </w:tcBorders>
          </w:tcPr>
          <w:p>
            <w:r/>
            <w:r>
              <w:rPr>
                <w:rFonts w:ascii="Times New Roman" w:hAnsi="Times New Roman"/>
                <w:b/>
                <w:sz w:val="22"/>
              </w:rPr>
              <w:t>År</w:t>
            </w:r>
          </w:p>
        </w:tc>
        <w:tc>
          <w:tcPr>
            <w:tcW w:type="dxa" w:w="2192"/>
            <w:tcBorders>
              <w:top w:val="single" w:sz="8" w:space="0" w:color="000000"/>
              <w:bottom w:val="single" w:sz="4" w:space="0" w:color="000000"/>
              <w:left w:val="nil"/>
              <w:right w:val="nil"/>
            </w:tcBorders>
          </w:tcPr>
          <w:p>
            <w:r/>
            <w:r>
              <w:rPr>
                <w:rFonts w:ascii="Times New Roman" w:hAnsi="Times New Roman"/>
                <w:b/>
                <w:sz w:val="22"/>
              </w:rPr>
              <w:t>Hovedtema</w:t>
            </w:r>
          </w:p>
        </w:tc>
        <w:tc>
          <w:tcPr>
            <w:tcW w:type="dxa" w:w="2192"/>
            <w:tcBorders>
              <w:top w:val="single" w:sz="8" w:space="0" w:color="000000"/>
              <w:bottom w:val="single" w:sz="4" w:space="0" w:color="000000"/>
              <w:left w:val="nil"/>
              <w:right w:val="nil"/>
            </w:tcBorders>
          </w:tcPr>
          <w:p>
            <w:r/>
            <w:r>
              <w:rPr>
                <w:rFonts w:ascii="Times New Roman" w:hAnsi="Times New Roman"/>
                <w:b/>
                <w:sz w:val="22"/>
              </w:rPr>
              <w:t>Relevans for oppgaven</w:t>
            </w:r>
          </w:p>
        </w:tc>
      </w:tr>
      <w:tr>
        <w:tc>
          <w:tcPr>
            <w:tcW w:type="dxa" w:w="2192"/>
          </w:tcPr>
          <w:p>
            <w:r/>
            <w:r>
              <w:rPr>
                <w:rFonts w:ascii="Times New Roman" w:hAnsi="Times New Roman"/>
                <w:sz w:val="22"/>
              </w:rPr>
              <w:t>Bijvank &amp; Vis</w:t>
            </w:r>
          </w:p>
        </w:tc>
        <w:tc>
          <w:tcPr>
            <w:tcW w:type="dxa" w:w="2192"/>
          </w:tcPr>
          <w:p>
            <w:r/>
            <w:r>
              <w:rPr>
                <w:rFonts w:ascii="Times New Roman" w:hAnsi="Times New Roman"/>
                <w:sz w:val="22"/>
              </w:rPr>
              <w:t>2012</w:t>
            </w:r>
          </w:p>
        </w:tc>
        <w:tc>
          <w:tcPr>
            <w:tcW w:type="dxa" w:w="2192"/>
          </w:tcPr>
          <w:p>
            <w:r/>
            <w:r>
              <w:rPr>
                <w:rFonts w:ascii="Times New Roman" w:hAnsi="Times New Roman"/>
                <w:sz w:val="22"/>
              </w:rPr>
              <w:t>Lagerstyring ved brukssted i sykehus</w:t>
            </w:r>
          </w:p>
        </w:tc>
        <w:tc>
          <w:tcPr>
            <w:tcW w:type="dxa" w:w="2192"/>
          </w:tcPr>
          <w:p>
            <w:r/>
            <w:r>
              <w:rPr>
                <w:rFonts w:ascii="Times New Roman" w:hAnsi="Times New Roman"/>
                <w:sz w:val="22"/>
              </w:rPr>
              <w:t>Lost-sales-modell, forsyningssikkerhet</w:t>
            </w:r>
          </w:p>
        </w:tc>
      </w:tr>
      <w:tr>
        <w:tc>
          <w:tcPr>
            <w:tcW w:type="dxa" w:w="2192"/>
          </w:tcPr>
          <w:p>
            <w:r/>
            <w:r>
              <w:rPr>
                <w:rFonts w:ascii="Times New Roman" w:hAnsi="Times New Roman"/>
                <w:sz w:val="22"/>
              </w:rPr>
              <w:t>de Vries</w:t>
            </w:r>
          </w:p>
        </w:tc>
        <w:tc>
          <w:tcPr>
            <w:tcW w:type="dxa" w:w="2192"/>
          </w:tcPr>
          <w:p>
            <w:r/>
            <w:r>
              <w:rPr>
                <w:rFonts w:ascii="Times New Roman" w:hAnsi="Times New Roman"/>
                <w:sz w:val="22"/>
              </w:rPr>
              <w:t>2011</w:t>
            </w:r>
          </w:p>
        </w:tc>
        <w:tc>
          <w:tcPr>
            <w:tcW w:type="dxa" w:w="2192"/>
          </w:tcPr>
          <w:p>
            <w:r/>
            <w:r>
              <w:rPr>
                <w:rFonts w:ascii="Times New Roman" w:hAnsi="Times New Roman"/>
                <w:sz w:val="22"/>
              </w:rPr>
              <w:t>Interessentanalyse, lageromstilling i helse</w:t>
            </w:r>
          </w:p>
        </w:tc>
        <w:tc>
          <w:tcPr>
            <w:tcW w:type="dxa" w:w="2192"/>
          </w:tcPr>
          <w:p>
            <w:r/>
            <w:r>
              <w:rPr>
                <w:rFonts w:ascii="Times New Roman" w:hAnsi="Times New Roman"/>
                <w:sz w:val="22"/>
              </w:rPr>
              <w:t>Organisatoriske barrierer ved sentralisering</w:t>
            </w:r>
          </w:p>
        </w:tc>
      </w:tr>
      <w:tr>
        <w:tc>
          <w:tcPr>
            <w:tcW w:type="dxa" w:w="2192"/>
          </w:tcPr>
          <w:p>
            <w:r/>
            <w:r>
              <w:rPr>
                <w:rFonts w:ascii="Times New Roman" w:hAnsi="Times New Roman"/>
                <w:sz w:val="22"/>
              </w:rPr>
              <w:t>Fragapane et al.</w:t>
            </w:r>
          </w:p>
        </w:tc>
        <w:tc>
          <w:tcPr>
            <w:tcW w:type="dxa" w:w="2192"/>
          </w:tcPr>
          <w:p>
            <w:r/>
            <w:r>
              <w:rPr>
                <w:rFonts w:ascii="Times New Roman" w:hAnsi="Times New Roman"/>
                <w:sz w:val="22"/>
              </w:rPr>
              <w:t>2019</w:t>
            </w:r>
          </w:p>
        </w:tc>
        <w:tc>
          <w:tcPr>
            <w:tcW w:type="dxa" w:w="2192"/>
          </w:tcPr>
          <w:p>
            <w:r/>
            <w:r>
              <w:rPr>
                <w:rFonts w:ascii="Times New Roman" w:hAnsi="Times New Roman"/>
                <w:sz w:val="22"/>
              </w:rPr>
              <w:t>Forsyning til brukssted (APL)</w:t>
            </w:r>
          </w:p>
        </w:tc>
        <w:tc>
          <w:tcPr>
            <w:tcW w:type="dxa" w:w="2192"/>
          </w:tcPr>
          <w:p>
            <w:r/>
            <w:r>
              <w:rPr>
                <w:rFonts w:ascii="Times New Roman" w:hAnsi="Times New Roman"/>
                <w:sz w:val="22"/>
              </w:rPr>
              <w:t>APL-leveransemodell, sentraliseringskrav</w:t>
            </w:r>
          </w:p>
        </w:tc>
      </w:tr>
      <w:tr>
        <w:tc>
          <w:tcPr>
            <w:tcW w:type="dxa" w:w="2192"/>
          </w:tcPr>
          <w:p>
            <w:r/>
            <w:r>
              <w:rPr>
                <w:rFonts w:ascii="Times New Roman" w:hAnsi="Times New Roman"/>
                <w:sz w:val="22"/>
              </w:rPr>
              <w:t>Gupta et al.</w:t>
            </w:r>
          </w:p>
        </w:tc>
        <w:tc>
          <w:tcPr>
            <w:tcW w:type="dxa" w:w="2192"/>
          </w:tcPr>
          <w:p>
            <w:r/>
            <w:r>
              <w:rPr>
                <w:rFonts w:ascii="Times New Roman" w:hAnsi="Times New Roman"/>
                <w:sz w:val="22"/>
              </w:rPr>
              <w:t>2007</w:t>
            </w:r>
          </w:p>
        </w:tc>
        <w:tc>
          <w:tcPr>
            <w:tcW w:type="dxa" w:w="2192"/>
          </w:tcPr>
          <w:p>
            <w:r/>
            <w:r>
              <w:rPr>
                <w:rFonts w:ascii="Times New Roman" w:hAnsi="Times New Roman"/>
                <w:sz w:val="22"/>
              </w:rPr>
              <w:t>ABC- og VED-analyse, militærmedisinsk</w:t>
            </w:r>
          </w:p>
        </w:tc>
        <w:tc>
          <w:tcPr>
            <w:tcW w:type="dxa" w:w="2192"/>
          </w:tcPr>
          <w:p>
            <w:r/>
            <w:r>
              <w:rPr>
                <w:rFonts w:ascii="Times New Roman" w:hAnsi="Times New Roman"/>
                <w:sz w:val="22"/>
              </w:rPr>
              <w:t>ABC i sykehuskontekst med SAP-data</w:t>
            </w:r>
          </w:p>
        </w:tc>
      </w:tr>
      <w:tr>
        <w:tc>
          <w:tcPr>
            <w:tcW w:type="dxa" w:w="2192"/>
          </w:tcPr>
          <w:p>
            <w:r/>
            <w:r>
              <w:rPr>
                <w:rFonts w:ascii="Times New Roman" w:hAnsi="Times New Roman"/>
                <w:sz w:val="22"/>
              </w:rPr>
              <w:t>Gurumurthy et al.</w:t>
            </w:r>
          </w:p>
        </w:tc>
        <w:tc>
          <w:tcPr>
            <w:tcW w:type="dxa" w:w="2192"/>
          </w:tcPr>
          <w:p>
            <w:r/>
            <w:r>
              <w:rPr>
                <w:rFonts w:ascii="Times New Roman" w:hAnsi="Times New Roman"/>
                <w:sz w:val="22"/>
              </w:rPr>
              <w:t>2021</w:t>
            </w:r>
          </w:p>
        </w:tc>
        <w:tc>
          <w:tcPr>
            <w:tcW w:type="dxa" w:w="2192"/>
          </w:tcPr>
          <w:p>
            <w:r/>
            <w:r>
              <w:rPr>
                <w:rFonts w:ascii="Times New Roman" w:hAnsi="Times New Roman"/>
                <w:sz w:val="22"/>
              </w:rPr>
              <w:t>Hybrid lagerklassifisering, lean i sykehus</w:t>
            </w:r>
          </w:p>
        </w:tc>
        <w:tc>
          <w:tcPr>
            <w:tcW w:type="dxa" w:w="2192"/>
          </w:tcPr>
          <w:p>
            <w:r/>
            <w:r>
              <w:rPr>
                <w:rFonts w:ascii="Times New Roman" w:hAnsi="Times New Roman"/>
                <w:sz w:val="22"/>
              </w:rPr>
              <w:t>K-means i sykehuslogistikk</w:t>
            </w:r>
          </w:p>
        </w:tc>
      </w:tr>
      <w:tr>
        <w:tc>
          <w:tcPr>
            <w:tcW w:type="dxa" w:w="2192"/>
          </w:tcPr>
          <w:p>
            <w:r/>
            <w:r>
              <w:rPr>
                <w:rFonts w:ascii="Times New Roman" w:hAnsi="Times New Roman"/>
                <w:sz w:val="22"/>
              </w:rPr>
              <w:t>Hautaniemi &amp; Pirttilä</w:t>
            </w:r>
          </w:p>
        </w:tc>
        <w:tc>
          <w:tcPr>
            <w:tcW w:type="dxa" w:w="2192"/>
          </w:tcPr>
          <w:p>
            <w:r/>
            <w:r>
              <w:rPr>
                <w:rFonts w:ascii="Times New Roman" w:hAnsi="Times New Roman"/>
                <w:sz w:val="22"/>
              </w:rPr>
              <w:t>1999</w:t>
            </w:r>
          </w:p>
        </w:tc>
        <w:tc>
          <w:tcPr>
            <w:tcW w:type="dxa" w:w="2192"/>
          </w:tcPr>
          <w:p>
            <w:r/>
            <w:r>
              <w:rPr>
                <w:rFonts w:ascii="Times New Roman" w:hAnsi="Times New Roman"/>
                <w:sz w:val="22"/>
              </w:rPr>
              <w:t>Påfyllingspolicyer i MRP-miljø</w:t>
            </w:r>
          </w:p>
        </w:tc>
        <w:tc>
          <w:tcPr>
            <w:tcW w:type="dxa" w:w="2192"/>
          </w:tcPr>
          <w:p>
            <w:r/>
            <w:r>
              <w:rPr>
                <w:rFonts w:ascii="Times New Roman" w:hAnsi="Times New Roman"/>
                <w:sz w:val="22"/>
              </w:rPr>
              <w:t>EOQ-forutsetninger, lot sizing</w:t>
            </w:r>
          </w:p>
        </w:tc>
      </w:tr>
      <w:tr>
        <w:tc>
          <w:tcPr>
            <w:tcW w:type="dxa" w:w="2192"/>
          </w:tcPr>
          <w:p>
            <w:r/>
            <w:r>
              <w:rPr>
                <w:rFonts w:ascii="Times New Roman" w:hAnsi="Times New Roman"/>
                <w:sz w:val="22"/>
              </w:rPr>
              <w:t>Kelle et al.</w:t>
            </w:r>
          </w:p>
        </w:tc>
        <w:tc>
          <w:tcPr>
            <w:tcW w:type="dxa" w:w="2192"/>
          </w:tcPr>
          <w:p>
            <w:r/>
            <w:r>
              <w:rPr>
                <w:rFonts w:ascii="Times New Roman" w:hAnsi="Times New Roman"/>
                <w:sz w:val="22"/>
              </w:rPr>
              <w:t>2012</w:t>
            </w:r>
          </w:p>
        </w:tc>
        <w:tc>
          <w:tcPr>
            <w:tcW w:type="dxa" w:w="2192"/>
          </w:tcPr>
          <w:p>
            <w:r/>
            <w:r>
              <w:rPr>
                <w:rFonts w:ascii="Times New Roman" w:hAnsi="Times New Roman"/>
                <w:sz w:val="22"/>
              </w:rPr>
              <w:t>Farmasøytisk forsyningskjede, sykehus</w:t>
            </w:r>
          </w:p>
        </w:tc>
        <w:tc>
          <w:tcPr>
            <w:tcW w:type="dxa" w:w="2192"/>
          </w:tcPr>
          <w:p>
            <w:r/>
            <w:r>
              <w:rPr>
                <w:rFonts w:ascii="Times New Roman" w:hAnsi="Times New Roman"/>
                <w:sz w:val="22"/>
              </w:rPr>
              <w:t>Ordrekostnad S, sykehusinnkjøp</w:t>
            </w:r>
          </w:p>
        </w:tc>
      </w:tr>
      <w:tr>
        <w:tc>
          <w:tcPr>
            <w:tcW w:type="dxa" w:w="2192"/>
          </w:tcPr>
          <w:p>
            <w:r/>
            <w:r>
              <w:rPr>
                <w:rFonts w:ascii="Times New Roman" w:hAnsi="Times New Roman"/>
                <w:sz w:val="22"/>
              </w:rPr>
              <w:t>Keshavarz Ghorabaee et al.</w:t>
            </w:r>
          </w:p>
        </w:tc>
        <w:tc>
          <w:tcPr>
            <w:tcW w:type="dxa" w:w="2192"/>
          </w:tcPr>
          <w:p>
            <w:r/>
            <w:r>
              <w:rPr>
                <w:rFonts w:ascii="Times New Roman" w:hAnsi="Times New Roman"/>
                <w:sz w:val="22"/>
              </w:rPr>
              <w:t>2015</w:t>
            </w:r>
          </w:p>
        </w:tc>
        <w:tc>
          <w:tcPr>
            <w:tcW w:type="dxa" w:w="2192"/>
          </w:tcPr>
          <w:p>
            <w:r/>
            <w:r>
              <w:rPr>
                <w:rFonts w:ascii="Times New Roman" w:hAnsi="Times New Roman"/>
                <w:sz w:val="22"/>
              </w:rPr>
              <w:t>EDAS flerkriterieklassifisering</w:t>
            </w:r>
          </w:p>
        </w:tc>
        <w:tc>
          <w:tcPr>
            <w:tcW w:type="dxa" w:w="2192"/>
          </w:tcPr>
          <w:p>
            <w:r/>
            <w:r>
              <w:rPr>
                <w:rFonts w:ascii="Times New Roman" w:hAnsi="Times New Roman"/>
                <w:sz w:val="22"/>
              </w:rPr>
              <w:t>Alternativ til ABC, avstandsmetode</w:t>
            </w:r>
          </w:p>
        </w:tc>
      </w:tr>
      <w:tr>
        <w:tc>
          <w:tcPr>
            <w:tcW w:type="dxa" w:w="2192"/>
          </w:tcPr>
          <w:p>
            <w:r/>
            <w:r>
              <w:rPr>
                <w:rFonts w:ascii="Times New Roman" w:hAnsi="Times New Roman"/>
                <w:sz w:val="22"/>
              </w:rPr>
              <w:t>Ketkar &amp; Vaidya</w:t>
            </w:r>
          </w:p>
        </w:tc>
        <w:tc>
          <w:tcPr>
            <w:tcW w:type="dxa" w:w="2192"/>
          </w:tcPr>
          <w:p>
            <w:r/>
            <w:r>
              <w:rPr>
                <w:rFonts w:ascii="Times New Roman" w:hAnsi="Times New Roman"/>
                <w:sz w:val="22"/>
              </w:rPr>
              <w:t>2014</w:t>
            </w:r>
          </w:p>
        </w:tc>
        <w:tc>
          <w:tcPr>
            <w:tcW w:type="dxa" w:w="2192"/>
          </w:tcPr>
          <w:p>
            <w:r/>
            <w:r>
              <w:rPr>
                <w:rFonts w:ascii="Times New Roman" w:hAnsi="Times New Roman"/>
                <w:sz w:val="22"/>
              </w:rPr>
              <w:t>Bestillingspolicy, flerklassifisering</w:t>
            </w:r>
          </w:p>
        </w:tc>
        <w:tc>
          <w:tcPr>
            <w:tcW w:type="dxa" w:w="2192"/>
          </w:tcPr>
          <w:p>
            <w:r/>
            <w:r>
              <w:rPr>
                <w:rFonts w:ascii="Times New Roman" w:hAnsi="Times New Roman"/>
                <w:sz w:val="22"/>
              </w:rPr>
              <w:t>Holdesats h = 20 %, ABC/XYZ-kombinasjon</w:t>
            </w:r>
          </w:p>
        </w:tc>
      </w:tr>
      <w:tr>
        <w:tc>
          <w:tcPr>
            <w:tcW w:type="dxa" w:w="2192"/>
          </w:tcPr>
          <w:p>
            <w:r/>
            <w:r>
              <w:rPr>
                <w:rFonts w:ascii="Times New Roman" w:hAnsi="Times New Roman"/>
                <w:sz w:val="22"/>
              </w:rPr>
              <w:t>Kumar &amp; Kumar</w:t>
            </w:r>
          </w:p>
        </w:tc>
        <w:tc>
          <w:tcPr>
            <w:tcW w:type="dxa" w:w="2192"/>
          </w:tcPr>
          <w:p>
            <w:r/>
            <w:r>
              <w:rPr>
                <w:rFonts w:ascii="Times New Roman" w:hAnsi="Times New Roman"/>
                <w:sz w:val="22"/>
              </w:rPr>
              <w:t>2015</w:t>
            </w:r>
          </w:p>
        </w:tc>
        <w:tc>
          <w:tcPr>
            <w:tcW w:type="dxa" w:w="2192"/>
          </w:tcPr>
          <w:p>
            <w:r/>
            <w:r>
              <w:rPr>
                <w:rFonts w:ascii="Times New Roman" w:hAnsi="Times New Roman"/>
                <w:sz w:val="22"/>
              </w:rPr>
              <w:t>Sykehuslager, ISM-analyse</w:t>
            </w:r>
          </w:p>
        </w:tc>
        <w:tc>
          <w:tcPr>
            <w:tcW w:type="dxa" w:w="2192"/>
          </w:tcPr>
          <w:p>
            <w:r/>
            <w:r>
              <w:rPr>
                <w:rFonts w:ascii="Times New Roman" w:hAnsi="Times New Roman"/>
                <w:sz w:val="22"/>
              </w:rPr>
              <w:t>Drivende faktorer i sykehuslogistikk</w:t>
            </w:r>
          </w:p>
        </w:tc>
      </w:tr>
      <w:tr>
        <w:tc>
          <w:tcPr>
            <w:tcW w:type="dxa" w:w="2192"/>
          </w:tcPr>
          <w:p>
            <w:r/>
            <w:r>
              <w:rPr>
                <w:rFonts w:ascii="Times New Roman" w:hAnsi="Times New Roman"/>
                <w:sz w:val="22"/>
              </w:rPr>
              <w:t>McKinney</w:t>
            </w:r>
          </w:p>
        </w:tc>
        <w:tc>
          <w:tcPr>
            <w:tcW w:type="dxa" w:w="2192"/>
          </w:tcPr>
          <w:p>
            <w:r/>
            <w:r>
              <w:rPr>
                <w:rFonts w:ascii="Times New Roman" w:hAnsi="Times New Roman"/>
                <w:sz w:val="22"/>
              </w:rPr>
              <w:t>2010</w:t>
            </w:r>
          </w:p>
        </w:tc>
        <w:tc>
          <w:tcPr>
            <w:tcW w:type="dxa" w:w="2192"/>
          </w:tcPr>
          <w:p>
            <w:r/>
            <w:r>
              <w:rPr>
                <w:rFonts w:ascii="Times New Roman" w:hAnsi="Times New Roman"/>
                <w:sz w:val="22"/>
              </w:rPr>
              <w:t>pandas – datastrukturer i Python</w:t>
            </w:r>
          </w:p>
        </w:tc>
        <w:tc>
          <w:tcPr>
            <w:tcW w:type="dxa" w:w="2192"/>
          </w:tcPr>
          <w:p>
            <w:r/>
            <w:r>
              <w:rPr>
                <w:rFonts w:ascii="Times New Roman" w:hAnsi="Times New Roman"/>
                <w:sz w:val="22"/>
              </w:rPr>
              <w:t>Verktøy for dataforbehandling</w:t>
            </w:r>
          </w:p>
        </w:tc>
      </w:tr>
      <w:tr>
        <w:tc>
          <w:tcPr>
            <w:tcW w:type="dxa" w:w="2192"/>
          </w:tcPr>
          <w:p>
            <w:r/>
            <w:r>
              <w:rPr>
                <w:rFonts w:ascii="Times New Roman" w:hAnsi="Times New Roman"/>
                <w:sz w:val="22"/>
              </w:rPr>
              <w:t>Moons et al.</w:t>
            </w:r>
          </w:p>
        </w:tc>
        <w:tc>
          <w:tcPr>
            <w:tcW w:type="dxa" w:w="2192"/>
          </w:tcPr>
          <w:p>
            <w:r/>
            <w:r>
              <w:rPr>
                <w:rFonts w:ascii="Times New Roman" w:hAnsi="Times New Roman"/>
                <w:sz w:val="22"/>
              </w:rPr>
              <w:t>2019</w:t>
            </w:r>
          </w:p>
        </w:tc>
        <w:tc>
          <w:tcPr>
            <w:tcW w:type="dxa" w:w="2192"/>
          </w:tcPr>
          <w:p>
            <w:r/>
            <w:r>
              <w:rPr>
                <w:rFonts w:ascii="Times New Roman" w:hAnsi="Times New Roman"/>
                <w:sz w:val="22"/>
              </w:rPr>
              <w:t>Ytelsesmåling, intern sykehusforsyning</w:t>
            </w:r>
          </w:p>
        </w:tc>
        <w:tc>
          <w:tcPr>
            <w:tcW w:type="dxa" w:w="2192"/>
          </w:tcPr>
          <w:p>
            <w:r/>
            <w:r>
              <w:rPr>
                <w:rFonts w:ascii="Times New Roman" w:hAnsi="Times New Roman"/>
                <w:sz w:val="22"/>
              </w:rPr>
              <w:t>Flerkriteriebaserte ytelsesmål</w:t>
            </w:r>
          </w:p>
        </w:tc>
      </w:tr>
      <w:tr>
        <w:tc>
          <w:tcPr>
            <w:tcW w:type="dxa" w:w="2192"/>
          </w:tcPr>
          <w:p>
            <w:r/>
            <w:r>
              <w:rPr>
                <w:rFonts w:ascii="Times New Roman" w:hAnsi="Times New Roman"/>
                <w:sz w:val="22"/>
              </w:rPr>
              <w:t>Nowotyńska</w:t>
            </w:r>
          </w:p>
        </w:tc>
        <w:tc>
          <w:tcPr>
            <w:tcW w:type="dxa" w:w="2192"/>
          </w:tcPr>
          <w:p>
            <w:r/>
            <w:r>
              <w:rPr>
                <w:rFonts w:ascii="Times New Roman" w:hAnsi="Times New Roman"/>
                <w:sz w:val="22"/>
              </w:rPr>
              <w:t>2013</w:t>
            </w:r>
          </w:p>
        </w:tc>
        <w:tc>
          <w:tcPr>
            <w:tcW w:type="dxa" w:w="2192"/>
          </w:tcPr>
          <w:p>
            <w:r/>
            <w:r>
              <w:rPr>
                <w:rFonts w:ascii="Times New Roman" w:hAnsi="Times New Roman"/>
                <w:sz w:val="22"/>
              </w:rPr>
              <w:t>XYZ-analyse, lagerstyring</w:t>
            </w:r>
          </w:p>
        </w:tc>
        <w:tc>
          <w:tcPr>
            <w:tcW w:type="dxa" w:w="2192"/>
          </w:tcPr>
          <w:p>
            <w:r/>
            <w:r>
              <w:rPr>
                <w:rFonts w:ascii="Times New Roman" w:hAnsi="Times New Roman"/>
                <w:sz w:val="22"/>
              </w:rPr>
              <w:t>CV-grenser X/Y/Z, metodegrunnlag</w:t>
            </w:r>
          </w:p>
        </w:tc>
      </w:tr>
      <w:tr>
        <w:tc>
          <w:tcPr>
            <w:tcW w:type="dxa" w:w="2192"/>
          </w:tcPr>
          <w:p>
            <w:r/>
            <w:r>
              <w:rPr>
                <w:rFonts w:ascii="Times New Roman" w:hAnsi="Times New Roman"/>
                <w:sz w:val="22"/>
              </w:rPr>
              <w:t>Partovi &amp; Burton</w:t>
            </w:r>
          </w:p>
        </w:tc>
        <w:tc>
          <w:tcPr>
            <w:tcW w:type="dxa" w:w="2192"/>
          </w:tcPr>
          <w:p>
            <w:r/>
            <w:r>
              <w:rPr>
                <w:rFonts w:ascii="Times New Roman" w:hAnsi="Times New Roman"/>
                <w:sz w:val="22"/>
              </w:rPr>
              <w:t>1993</w:t>
            </w:r>
          </w:p>
        </w:tc>
        <w:tc>
          <w:tcPr>
            <w:tcW w:type="dxa" w:w="2192"/>
          </w:tcPr>
          <w:p>
            <w:r/>
            <w:r>
              <w:rPr>
                <w:rFonts w:ascii="Times New Roman" w:hAnsi="Times New Roman"/>
                <w:sz w:val="22"/>
              </w:rPr>
              <w:t>AHP for ABC-analyse</w:t>
            </w:r>
          </w:p>
        </w:tc>
        <w:tc>
          <w:tcPr>
            <w:tcW w:type="dxa" w:w="2192"/>
          </w:tcPr>
          <w:p>
            <w:r/>
            <w:r>
              <w:rPr>
                <w:rFonts w:ascii="Times New Roman" w:hAnsi="Times New Roman"/>
                <w:sz w:val="22"/>
              </w:rPr>
              <w:t>Subjektiv vekting vs. objektive kriterier</w:t>
            </w:r>
          </w:p>
        </w:tc>
      </w:tr>
      <w:tr>
        <w:tc>
          <w:tcPr>
            <w:tcW w:type="dxa" w:w="2192"/>
          </w:tcPr>
          <w:p>
            <w:r/>
            <w:r>
              <w:rPr>
                <w:rFonts w:ascii="Times New Roman" w:hAnsi="Times New Roman"/>
                <w:sz w:val="22"/>
              </w:rPr>
              <w:t>Pedregosa et al.</w:t>
            </w:r>
          </w:p>
        </w:tc>
        <w:tc>
          <w:tcPr>
            <w:tcW w:type="dxa" w:w="2192"/>
          </w:tcPr>
          <w:p>
            <w:r/>
            <w:r>
              <w:rPr>
                <w:rFonts w:ascii="Times New Roman" w:hAnsi="Times New Roman"/>
                <w:sz w:val="22"/>
              </w:rPr>
              <w:t>2011</w:t>
            </w:r>
          </w:p>
        </w:tc>
        <w:tc>
          <w:tcPr>
            <w:tcW w:type="dxa" w:w="2192"/>
          </w:tcPr>
          <w:p>
            <w:r/>
            <w:r>
              <w:rPr>
                <w:rFonts w:ascii="Times New Roman" w:hAnsi="Times New Roman"/>
                <w:sz w:val="22"/>
              </w:rPr>
              <w:t>scikit-learn – maskinlæring i Python</w:t>
            </w:r>
          </w:p>
        </w:tc>
        <w:tc>
          <w:tcPr>
            <w:tcW w:type="dxa" w:w="2192"/>
          </w:tcPr>
          <w:p>
            <w:r/>
            <w:r>
              <w:rPr>
                <w:rFonts w:ascii="Times New Roman" w:hAnsi="Times New Roman"/>
                <w:sz w:val="22"/>
              </w:rPr>
              <w:t>Verktøy for K-means og validering</w:t>
            </w:r>
          </w:p>
        </w:tc>
      </w:tr>
      <w:tr>
        <w:tc>
          <w:tcPr>
            <w:tcW w:type="dxa" w:w="2192"/>
          </w:tcPr>
          <w:p>
            <w:r/>
            <w:r>
              <w:rPr>
                <w:rFonts w:ascii="Times New Roman" w:hAnsi="Times New Roman"/>
                <w:sz w:val="22"/>
              </w:rPr>
              <w:t>Pujawan</w:t>
            </w:r>
          </w:p>
        </w:tc>
        <w:tc>
          <w:tcPr>
            <w:tcW w:type="dxa" w:w="2192"/>
          </w:tcPr>
          <w:p>
            <w:r/>
            <w:r>
              <w:rPr>
                <w:rFonts w:ascii="Times New Roman" w:hAnsi="Times New Roman"/>
                <w:sz w:val="22"/>
              </w:rPr>
              <w:t>2004</w:t>
            </w:r>
          </w:p>
        </w:tc>
        <w:tc>
          <w:tcPr>
            <w:tcW w:type="dxa" w:w="2192"/>
          </w:tcPr>
          <w:p>
            <w:r/>
            <w:r>
              <w:rPr>
                <w:rFonts w:ascii="Times New Roman" w:hAnsi="Times New Roman"/>
                <w:sz w:val="22"/>
              </w:rPr>
              <w:t>Lot sizing, ordrevariabilitet</w:t>
            </w:r>
          </w:p>
        </w:tc>
        <w:tc>
          <w:tcPr>
            <w:tcW w:type="dxa" w:w="2192"/>
          </w:tcPr>
          <w:p>
            <w:r/>
            <w:r>
              <w:rPr>
                <w:rFonts w:ascii="Times New Roman" w:hAnsi="Times New Roman"/>
                <w:sz w:val="22"/>
              </w:rPr>
              <w:t>Bullwhip-effekt, EOQ-relevans</w:t>
            </w:r>
          </w:p>
        </w:tc>
      </w:tr>
      <w:tr>
        <w:tc>
          <w:tcPr>
            <w:tcW w:type="dxa" w:w="2192"/>
          </w:tcPr>
          <w:p>
            <w:r/>
            <w:r>
              <w:rPr>
                <w:rFonts w:ascii="Times New Roman" w:hAnsi="Times New Roman"/>
                <w:sz w:val="22"/>
              </w:rPr>
              <w:t>Saha &amp; Ray</w:t>
            </w:r>
          </w:p>
        </w:tc>
        <w:tc>
          <w:tcPr>
            <w:tcW w:type="dxa" w:w="2192"/>
          </w:tcPr>
          <w:p>
            <w:r/>
            <w:r>
              <w:rPr>
                <w:rFonts w:ascii="Times New Roman" w:hAnsi="Times New Roman"/>
                <w:sz w:val="22"/>
              </w:rPr>
              <w:t>2019</w:t>
            </w:r>
          </w:p>
        </w:tc>
        <w:tc>
          <w:tcPr>
            <w:tcW w:type="dxa" w:w="2192"/>
          </w:tcPr>
          <w:p>
            <w:r/>
            <w:r>
              <w:rPr>
                <w:rFonts w:ascii="Times New Roman" w:hAnsi="Times New Roman"/>
                <w:sz w:val="22"/>
              </w:rPr>
              <w:t>Lagermodeller i helsesektoren (review, 137 art.)</w:t>
            </w:r>
          </w:p>
        </w:tc>
        <w:tc>
          <w:tcPr>
            <w:tcW w:type="dxa" w:w="2192"/>
          </w:tcPr>
          <w:p>
            <w:r/>
            <w:r>
              <w:rPr>
                <w:rFonts w:ascii="Times New Roman" w:hAnsi="Times New Roman"/>
                <w:sz w:val="22"/>
              </w:rPr>
              <w:t>Gap: empiriske SAP-casestudier mangler</w:t>
            </w:r>
          </w:p>
        </w:tc>
      </w:tr>
      <w:tr>
        <w:tc>
          <w:tcPr>
            <w:tcW w:type="dxa" w:w="2192"/>
          </w:tcPr>
          <w:p>
            <w:r/>
            <w:r>
              <w:rPr>
                <w:rFonts w:ascii="Times New Roman" w:hAnsi="Times New Roman"/>
                <w:sz w:val="22"/>
              </w:rPr>
              <w:t>Silaen et al.</w:t>
            </w:r>
          </w:p>
        </w:tc>
        <w:tc>
          <w:tcPr>
            <w:tcW w:type="dxa" w:w="2192"/>
          </w:tcPr>
          <w:p>
            <w:r/>
            <w:r>
              <w:rPr>
                <w:rFonts w:ascii="Times New Roman" w:hAnsi="Times New Roman"/>
                <w:sz w:val="22"/>
              </w:rPr>
              <w:t>2023</w:t>
            </w:r>
          </w:p>
        </w:tc>
        <w:tc>
          <w:tcPr>
            <w:tcW w:type="dxa" w:w="2192"/>
          </w:tcPr>
          <w:p>
            <w:r/>
            <w:r>
              <w:rPr>
                <w:rFonts w:ascii="Times New Roman" w:hAnsi="Times New Roman"/>
                <w:sz w:val="22"/>
              </w:rPr>
              <w:t>ABC-analyse, implementering</w:t>
            </w:r>
          </w:p>
        </w:tc>
        <w:tc>
          <w:tcPr>
            <w:tcW w:type="dxa" w:w="2192"/>
          </w:tcPr>
          <w:p>
            <w:r/>
            <w:r>
              <w:rPr>
                <w:rFonts w:ascii="Times New Roman" w:hAnsi="Times New Roman"/>
                <w:sz w:val="22"/>
              </w:rPr>
              <w:t>ABC-grenser 80/95 %, Pareto-prinsippet</w:t>
            </w:r>
          </w:p>
        </w:tc>
      </w:tr>
      <w:tr>
        <w:tc>
          <w:tcPr>
            <w:tcW w:type="dxa" w:w="2192"/>
          </w:tcPr>
          <w:p>
            <w:r/>
            <w:r>
              <w:rPr>
                <w:rFonts w:ascii="Times New Roman" w:hAnsi="Times New Roman"/>
                <w:sz w:val="22"/>
              </w:rPr>
              <w:t>Sirisawat et al.</w:t>
            </w:r>
          </w:p>
        </w:tc>
        <w:tc>
          <w:tcPr>
            <w:tcW w:type="dxa" w:w="2192"/>
          </w:tcPr>
          <w:p>
            <w:r/>
            <w:r>
              <w:rPr>
                <w:rFonts w:ascii="Times New Roman" w:hAnsi="Times New Roman"/>
                <w:sz w:val="22"/>
              </w:rPr>
              <w:t>2019</w:t>
            </w:r>
          </w:p>
        </w:tc>
        <w:tc>
          <w:tcPr>
            <w:tcW w:type="dxa" w:w="2192"/>
          </w:tcPr>
          <w:p>
            <w:r/>
            <w:r>
              <w:rPr>
                <w:rFonts w:ascii="Times New Roman" w:hAnsi="Times New Roman"/>
                <w:sz w:val="22"/>
              </w:rPr>
              <w:t>Ytelsesindikatorer, universitetssykehus</w:t>
            </w:r>
          </w:p>
        </w:tc>
        <w:tc>
          <w:tcPr>
            <w:tcW w:type="dxa" w:w="2192"/>
          </w:tcPr>
          <w:p>
            <w:r/>
            <w:r>
              <w:rPr>
                <w:rFonts w:ascii="Times New Roman" w:hAnsi="Times New Roman"/>
                <w:sz w:val="22"/>
              </w:rPr>
              <w:t>KPI-er for sykehuslagerstyring</w:t>
            </w:r>
          </w:p>
        </w:tc>
      </w:tr>
      <w:tr>
        <w:tc>
          <w:tcPr>
            <w:tcW w:type="dxa" w:w="2192"/>
          </w:tcPr>
          <w:p>
            <w:r/>
            <w:r>
              <w:rPr>
                <w:rFonts w:ascii="Times New Roman" w:hAnsi="Times New Roman"/>
                <w:sz w:val="22"/>
              </w:rPr>
              <w:t>Srinivasan &amp; Moon</w:t>
            </w:r>
          </w:p>
        </w:tc>
        <w:tc>
          <w:tcPr>
            <w:tcW w:type="dxa" w:w="2192"/>
          </w:tcPr>
          <w:p>
            <w:r/>
            <w:r>
              <w:rPr>
                <w:rFonts w:ascii="Times New Roman" w:hAnsi="Times New Roman"/>
                <w:sz w:val="22"/>
              </w:rPr>
              <w:t>1999</w:t>
            </w:r>
          </w:p>
        </w:tc>
        <w:tc>
          <w:tcPr>
            <w:tcW w:type="dxa" w:w="2192"/>
          </w:tcPr>
          <w:p>
            <w:r/>
            <w:r>
              <w:rPr>
                <w:rFonts w:ascii="Times New Roman" w:hAnsi="Times New Roman"/>
                <w:sz w:val="22"/>
              </w:rPr>
              <w:t>Klyngeanalyse, forsyningskjedenettverk</w:t>
            </w:r>
          </w:p>
        </w:tc>
        <w:tc>
          <w:tcPr>
            <w:tcW w:type="dxa" w:w="2192"/>
          </w:tcPr>
          <w:p>
            <w:r/>
            <w:r>
              <w:rPr>
                <w:rFonts w:ascii="Times New Roman" w:hAnsi="Times New Roman"/>
                <w:sz w:val="22"/>
              </w:rPr>
              <w:t>K-means i SCM, nær-optimale løsninger</w:t>
            </w:r>
          </w:p>
        </w:tc>
      </w:tr>
      <w:tr>
        <w:tc>
          <w:tcPr>
            <w:tcW w:type="dxa" w:w="2192"/>
          </w:tcPr>
          <w:p>
            <w:r/>
            <w:r>
              <w:rPr>
                <w:rFonts w:ascii="Times New Roman" w:hAnsi="Times New Roman"/>
                <w:sz w:val="22"/>
              </w:rPr>
              <w:t>Suryaputri et al.</w:t>
            </w:r>
          </w:p>
        </w:tc>
        <w:tc>
          <w:tcPr>
            <w:tcW w:type="dxa" w:w="2192"/>
          </w:tcPr>
          <w:p>
            <w:r/>
            <w:r>
              <w:rPr>
                <w:rFonts w:ascii="Times New Roman" w:hAnsi="Times New Roman"/>
                <w:sz w:val="22"/>
              </w:rPr>
              <w:t>2022</w:t>
            </w:r>
          </w:p>
        </w:tc>
        <w:tc>
          <w:tcPr>
            <w:tcW w:type="dxa" w:w="2192"/>
          </w:tcPr>
          <w:p>
            <w:r/>
            <w:r>
              <w:rPr>
                <w:rFonts w:ascii="Times New Roman" w:hAnsi="Times New Roman"/>
                <w:sz w:val="22"/>
              </w:rPr>
              <w:t>ABC-XYZ-integrasjon, helseindustri</w:t>
            </w:r>
          </w:p>
        </w:tc>
        <w:tc>
          <w:tcPr>
            <w:tcW w:type="dxa" w:w="2192"/>
          </w:tcPr>
          <w:p>
            <w:r/>
            <w:r>
              <w:rPr>
                <w:rFonts w:ascii="Times New Roman" w:hAnsi="Times New Roman"/>
                <w:sz w:val="22"/>
              </w:rPr>
              <w:t>ABC/XYZ-matrise, bestillingspolicy</w:t>
            </w:r>
          </w:p>
        </w:tc>
      </w:tr>
      <w:tr>
        <w:tc>
          <w:tcPr>
            <w:tcW w:type="dxa" w:w="2192"/>
          </w:tcPr>
          <w:p>
            <w:r/>
            <w:r>
              <w:rPr>
                <w:rFonts w:ascii="Times New Roman" w:hAnsi="Times New Roman"/>
                <w:sz w:val="22"/>
              </w:rPr>
              <w:t>van Kampen et al.</w:t>
            </w:r>
          </w:p>
        </w:tc>
        <w:tc>
          <w:tcPr>
            <w:tcW w:type="dxa" w:w="2192"/>
          </w:tcPr>
          <w:p>
            <w:r/>
            <w:r>
              <w:rPr>
                <w:rFonts w:ascii="Times New Roman" w:hAnsi="Times New Roman"/>
                <w:sz w:val="22"/>
              </w:rPr>
              <w:t>2012</w:t>
            </w:r>
          </w:p>
        </w:tc>
        <w:tc>
          <w:tcPr>
            <w:tcW w:type="dxa" w:w="2192"/>
          </w:tcPr>
          <w:p>
            <w:r/>
            <w:r>
              <w:rPr>
                <w:rFonts w:ascii="Times New Roman" w:hAnsi="Times New Roman"/>
                <w:sz w:val="22"/>
              </w:rPr>
              <w:t>SKU-klassifiseringsrammeverk</w:t>
            </w:r>
          </w:p>
        </w:tc>
        <w:tc>
          <w:tcPr>
            <w:tcW w:type="dxa" w:w="2192"/>
          </w:tcPr>
          <w:p>
            <w:r/>
            <w:r>
              <w:rPr>
                <w:rFonts w:ascii="Times New Roman" w:hAnsi="Times New Roman"/>
                <w:sz w:val="22"/>
              </w:rPr>
              <w:t>Tre hoveddimensjoner, posisjonering</w:t>
            </w:r>
          </w:p>
        </w:tc>
      </w:tr>
      <w:tr>
        <w:tc>
          <w:tcPr>
            <w:tcW w:type="dxa" w:w="2192"/>
          </w:tcPr>
          <w:p>
            <w:r/>
            <w:r>
              <w:rPr>
                <w:rFonts w:ascii="Times New Roman" w:hAnsi="Times New Roman"/>
                <w:sz w:val="22"/>
              </w:rPr>
              <w:t>Volland et al.</w:t>
            </w:r>
          </w:p>
        </w:tc>
        <w:tc>
          <w:tcPr>
            <w:tcW w:type="dxa" w:w="2192"/>
          </w:tcPr>
          <w:p>
            <w:r/>
            <w:r>
              <w:rPr>
                <w:rFonts w:ascii="Times New Roman" w:hAnsi="Times New Roman"/>
                <w:sz w:val="22"/>
              </w:rPr>
              <w:t>2017</w:t>
            </w:r>
          </w:p>
        </w:tc>
        <w:tc>
          <w:tcPr>
            <w:tcW w:type="dxa" w:w="2192"/>
          </w:tcPr>
          <w:p>
            <w:r/>
            <w:r>
              <w:rPr>
                <w:rFonts w:ascii="Times New Roman" w:hAnsi="Times New Roman"/>
                <w:sz w:val="22"/>
              </w:rPr>
              <w:t>Materiallogistikk i sykehus (review, 145 pub.)</w:t>
            </w:r>
          </w:p>
        </w:tc>
        <w:tc>
          <w:tcPr>
            <w:tcW w:type="dxa" w:w="2192"/>
          </w:tcPr>
          <w:p>
            <w:r/>
            <w:r>
              <w:rPr>
                <w:rFonts w:ascii="Times New Roman" w:hAnsi="Times New Roman"/>
                <w:sz w:val="22"/>
              </w:rPr>
              <w:t>Lagerstyring dominerer, 30–40 % av drift</w:t>
            </w:r>
          </w:p>
        </w:tc>
      </w:tr>
    </w:tbl>
    <w:p>
      <w:r>
        <w:rPr>
          <w:rFonts w:ascii="Times New Roman" w:hAnsi="Times New Roman"/>
          <w:i/>
          <w:sz w:val="20"/>
        </w:rPr>
        <w:t>Tabell 1. Litteraturoversikt: sentrale kilder med tema og relevans for oppgaven.</w:t>
      </w:r>
    </w:p>
    <w:p>
      <w:pPr>
        <w:pStyle w:val="Overskrift2"/>
      </w:pPr>
      <w:r>
        <w:rPr>
          <w:rFonts w:ascii="Times New Roman" w:hAnsi="Times New Roman"/>
          <w:color w:val="000000"/>
          <w:sz w:val="32"/>
        </w:rPr>
        <w:t>2.2 ABC-analyse</w:t>
      </w:r>
    </w:p>
    <w:p>
      <w:pPr>
        <w:spacing w:line="360" w:lineRule="auto"/>
      </w:pPr>
      <w:r>
        <w:rPr>
          <w:rFonts w:ascii="Times New Roman" w:hAnsi="Times New Roman" w:cs="Times New Roman"/>
          <w:sz w:val="24"/>
        </w:rPr>
        <w:t>ABC-analyse er en klassifiseringsmetode basert på Pareto-prinsippet, som fastslår at en liten andel artikler typisk står for en stor andel av total forbruksverdi. Metoden deler lagerbeholdningen i tre kategorier etter kumulativ verdiandel: A-artikler representerer de første 80 % av total innkjøpsverdi, B-artikler de neste 15 % og C-artikler de resterende 5 % (Silaen et al., 2023). Den formelle beregningen er beskrevet i kapittel 5.</w:t>
      </w:r>
    </w:p>
    <w:p>
      <w:pPr>
        <w:spacing w:line="360" w:lineRule="auto"/>
      </w:pPr>
      <w:r>
        <w:rPr>
          <w:rFonts w:ascii="Times New Roman" w:hAnsi="Times New Roman" w:cs="Times New Roman"/>
          <w:sz w:val="24"/>
        </w:rPr>
        <w:t>Styrken ved ABC er enkelhet og direkte kopling til lagerkapitalbinding, men verdidimensjonen alene fanger ikke variabilitet i etterspørsel eller kritikalitet for forsyningssikkerhet (Partovi &amp; Burton, 1993). I denne oppgaven adresseres dette ved å kombinere ABC med XYZ-klassifisering og EOQ-avviksanalyse.</w:t>
      </w:r>
    </w:p>
    <w:p>
      <w:pPr>
        <w:pStyle w:val="Overskrift2"/>
      </w:pPr>
      <w:r>
        <w:rPr>
          <w:rFonts w:ascii="Times New Roman" w:hAnsi="Times New Roman"/>
          <w:color w:val="000000"/>
          <w:sz w:val="32"/>
        </w:rPr>
        <w:t>2.3 XYZ-klassifisering</w:t>
      </w:r>
    </w:p>
    <w:p>
      <w:pPr>
        <w:spacing w:line="360" w:lineRule="auto"/>
      </w:pPr>
      <w:r>
        <w:rPr>
          <w:rFonts w:ascii="Times New Roman" w:hAnsi="Times New Roman" w:cs="Times New Roman"/>
          <w:sz w:val="24"/>
        </w:rPr>
        <w:t>XYZ-klassifisering kategoriserer artikler etter etterspørselens forutsigbarhet, målt ved variasjonskoeffisienten (CV). Klassifikasjonsgrensene følger Nowotyńska (2013): X (</w:t>
      </w:r>
      <m:oMath>
        <m:r>
          <m:t>CV&lt;0,5,</m:t>
        </m:r>
      </m:oMath>
      <w:r>
        <w:rPr>
          <w:rFonts w:ascii="Times New Roman" w:hAnsi="Times New Roman" w:cs="Times New Roman"/>
          <w:sz w:val="24"/>
        </w:rPr>
        <w:t xml:space="preserve"> stabilt), Y (0,5 ≤ </w:t>
      </w:r>
      <m:oMath>
        <m:r>
          <m:t>CV&lt;1,0,</m:t>
        </m:r>
      </m:oMath>
      <w:r>
        <w:rPr>
          <w:rFonts w:ascii="Times New Roman" w:hAnsi="Times New Roman" w:cs="Times New Roman"/>
          <w:sz w:val="24"/>
        </w:rPr>
        <w:t xml:space="preserve"> moderat) og Z (</w:t>
      </w:r>
      <m:oMath>
        <m:r>
          <m:t>CV≥1,0,</m:t>
        </m:r>
      </m:oMath>
      <w:r>
        <w:rPr>
          <w:rFonts w:ascii="Times New Roman" w:hAnsi="Times New Roman" w:cs="Times New Roman"/>
          <w:sz w:val="24"/>
        </w:rPr>
        <w:t xml:space="preserve"> uregelmessig). Den formelle definisjonen er gitt i kapittel 5.</w:t>
      </w:r>
    </w:p>
    <w:p>
      <w:pPr>
        <w:spacing w:line="360" w:lineRule="auto"/>
      </w:pPr>
      <w:r>
        <w:rPr>
          <w:rFonts w:ascii="Times New Roman" w:hAnsi="Times New Roman" w:cs="Times New Roman"/>
          <w:sz w:val="24"/>
        </w:rPr>
        <w:t>XYZ er metodisk komplementær til ABC: en AX-artikkel er en svært god kandidat for sentralisert styring, mens en AZ-artikkel krever lokal beredskapslagring uavhengig av verdi. Suryaputri et al. (2022) viser at ABC/XYZ-matrisen gir substansielt bedre differensiering av bestillingspolicy sammenlignet med enkelt-kriterieanalyse. En sentral utfordring er at SAP-feltet ZZXYZ ikke oppdateres løpende; oppgaven behandler dette som et valideringsspørsmål og rapporterer samsvarsprosenten eksplisitt.</w:t>
      </w:r>
    </w:p>
    <w:p>
      <w:pPr>
        <w:pStyle w:val="Overskrift2"/>
      </w:pPr>
      <w:r>
        <w:rPr>
          <w:rFonts w:ascii="Times New Roman" w:hAnsi="Times New Roman"/>
          <w:color w:val="000000"/>
          <w:sz w:val="32"/>
        </w:rPr>
        <w:t>2.4 Economic Order Quantity (EOQ)</w:t>
      </w:r>
    </w:p>
    <w:p>
      <w:pPr>
        <w:spacing w:line="360" w:lineRule="auto"/>
      </w:pPr>
      <w:r>
        <w:rPr>
          <w:rFonts w:ascii="Times New Roman" w:hAnsi="Times New Roman" w:cs="Times New Roman"/>
          <w:sz w:val="24"/>
        </w:rPr>
        <w:t>Economic Order Quantity (EOQ), også kjent som Wilson-modellen, beregner den optimale bestillingsmengden som minimerer summen av årlige ordrekostnader og holdekostnader (Ketkar &amp; Vaidya, 2014). I denne oppgaven benyttes EOQ primært for å identifisere artikler der faktisk bestillingsfrekvens avviker vesentlig fra den optimale, og der kostnadsavviket er kvantifiserbart. Den formelle modellformuleringen er gitt i kapittel 5.</w:t>
      </w:r>
    </w:p>
    <w:p>
      <w:pPr>
        <w:spacing w:line="360" w:lineRule="auto"/>
      </w:pPr>
      <w:r>
        <w:rPr>
          <w:rFonts w:ascii="Times New Roman" w:hAnsi="Times New Roman" w:cs="Times New Roman"/>
          <w:sz w:val="24"/>
        </w:rPr>
        <w:t>Modellen forutsetter konstant etterspørsel, øyeblikkelig leveranse, ingen kvantumsrabatter og lineær holdekostnad — forutsetninger som i praksis brytes i varierende grad. Hautaniemi og Pirttilä (1999) påpeker at EOQ i mange tilfeller overstiger faktisk etterspørsel per periode, og Pujawan (2004) viser at suboptimale partistørrelser kan forplante seg som ordrevariabilitet oppover i forsyningskjeden. I sykehuskontekst begrenses dette noe av relativt stabile etterspørselsmønstre for volumartikler, men problemstillingen er relevant for Z-klassifiserte artikler. Parametervalgene (</w:t>
      </w:r>
      <m:oMath>
        <m:r>
          <m:t>S=750</m:t>
        </m:r>
      </m:oMath>
      <w:r>
        <w:rPr>
          <w:rFonts w:ascii="Times New Roman" w:hAnsi="Times New Roman" w:cs="Times New Roman"/>
          <w:sz w:val="24"/>
        </w:rPr>
        <w:t xml:space="preserve"> NOK, </w:t>
      </w:r>
      <m:oMath>
        <m:r>
          <m:t>H=p×20</m:t>
        </m:r>
        <m:r>
          <m:t>%</m:t>
        </m:r>
      </m:oMath>
      <w:r>
        <w:rPr>
          <w:rFonts w:ascii="Times New Roman" w:hAnsi="Times New Roman" w:cs="Times New Roman"/>
          <w:sz w:val="24"/>
        </w:rPr>
        <w:t>) er begrunnet i kapittel 5, og sensitivitetsanalysen varierer begge for å kartlegge robustheten.</w:t>
      </w:r>
    </w:p>
    <w:p>
      <w:pPr>
        <w:pStyle w:val="Overskrift2"/>
      </w:pPr>
      <w:r>
        <w:rPr>
          <w:rFonts w:ascii="Times New Roman" w:hAnsi="Times New Roman"/>
          <w:color w:val="000000"/>
          <w:sz w:val="32"/>
        </w:rPr>
        <w:t>2.5 K-means klyngeanalyse</w:t>
      </w:r>
    </w:p>
    <w:p>
      <w:pPr>
        <w:spacing w:line="360" w:lineRule="auto"/>
      </w:pPr>
      <w:r>
        <w:rPr>
          <w:rFonts w:ascii="Times New Roman" w:hAnsi="Times New Roman" w:cs="Times New Roman"/>
          <w:sz w:val="24"/>
        </w:rPr>
        <w:t xml:space="preserve">K-means er en partisjoneringsalgoritme som deler et datasett inn i </w:t>
      </w:r>
      <m:oMath>
        <m:r>
          <m:t>K</m:t>
        </m:r>
      </m:oMath>
      <w:r>
        <w:rPr>
          <w:rFonts w:ascii="Times New Roman" w:hAnsi="Times New Roman" w:cs="Times New Roman"/>
          <w:sz w:val="24"/>
        </w:rPr>
        <w:t xml:space="preserve"> klynger ved å minimere summen av kvadrerte euklidske avstander fra hvert datapunkt til tilhørende klyngesenter (Pedregosa et al., 2011). Optimalt antall klynger bestemmes via silhouette-score, der verdier over 0,3 anses akseptable (Pedregosa et al., 2011). Log-transformasjon og z-score-standardisering sikrer at variabler med ulik skala bidrar likeverdig til distanseberegningene; den tekniske spesifikasjonen er gitt i kapittel 5.</w:t>
      </w:r>
    </w:p>
    <w:p>
      <w:pPr>
        <w:spacing w:line="360" w:lineRule="auto"/>
      </w:pPr>
      <w:r>
        <w:rPr>
          <w:rFonts w:ascii="Times New Roman" w:hAnsi="Times New Roman" w:cs="Times New Roman"/>
          <w:sz w:val="24"/>
        </w:rPr>
        <w:t>Sammenlignet med regelbaserte klassifiseringsmetoder har klyngeanalyse den fordelen at den er datadrevet og ikke forutsetter forhåndsdefinerte terskelverdier (Srinivasan &amp; Moon, 1999). Begrensningen er at K-means er sensitiv for initialisering og forutsetter konvekse klyngemønstre. Det finnes begrenset sykehus-spesifikk litteratur på K-means i lagerklassifisering; Gurumurthy et al. (2021) er blant de få som eksplisitt benytter klyngeanalyse i sykehuslogistikk, noe som understreker at metodekombinasjonen i denne studien bidrar til å utvide det empiriske grunnlaget.</w:t>
      </w:r>
    </w:p>
    <w:p>
      <w:pPr>
        <w:pStyle w:val="Overskrift2"/>
      </w:pPr>
      <w:r>
        <w:rPr>
          <w:rFonts w:ascii="Times New Roman" w:hAnsi="Times New Roman"/>
          <w:color w:val="000000"/>
          <w:sz w:val="32"/>
        </w:rPr>
        <w:t>2.6 Lagerstyring i helsesektoren</w:t>
      </w:r>
    </w:p>
    <w:p>
      <w:pPr>
        <w:spacing w:line="360" w:lineRule="auto"/>
      </w:pPr>
      <w:r>
        <w:rPr>
          <w:rFonts w:ascii="Times New Roman" w:hAnsi="Times New Roman" w:cs="Times New Roman"/>
          <w:sz w:val="24"/>
        </w:rPr>
        <w:t>Sykehuslogistikk skiller seg fra industriell lagerstyring ved at forsyningssvikt kan ha direkte kliniske konsekvenser. Bijvank og Vis (2012) modellerer dette som et tapte-salg-lagersystem der stockout har direkte operasjonell kostnad, noe som medfører at sykehus tradisjonelt aksepterer høyere sikkerhetslager enn det som er kostnadsoptimalt. Moons et al. (2019) peker på at ytelsesmåling i sykehusforsyningskjeder er fragmentert, og at økonomiindikatorer må balanseres mot serviceindikatorer for klinisk tilgjengelighet. Kumar og Kumar (2015) identifiserer leveringstid, lagernivå og bestillingsmønster som drivende faktorer, mens Sirisawat et al. (2019) viser at KPI-basert klassifisering forutsetter tilgang til operative ERP-data — en forutsetning SE16H-tilnærmingen i denne studien direkte adresserer.</w:t>
      </w:r>
    </w:p>
    <w:p>
      <w:pPr>
        <w:spacing w:line="360" w:lineRule="auto"/>
      </w:pPr>
      <w:r>
        <w:rPr>
          <w:rFonts w:ascii="Times New Roman" w:hAnsi="Times New Roman" w:cs="Times New Roman"/>
          <w:sz w:val="24"/>
        </w:rPr>
        <w:t>Saha og Ray (2019) fant at casestudier med empiriske ERP-data er underrepresentert i litteraturen, og Gupta et al. (2007) viser at ABC-analyse med SAP-data reduserte lagerkapitalbindingen med 10–15 % i en sykehusstudie. Fragapane et al. (2019) understreker at sentraliserte APL-leveranser krever et systematisk klassifiseringsgrunnlag, mens de Vries (2011) advarer mot å undervurdere organisatoriske barrierer ved slike omstillinger.</w:t>
      </w:r>
    </w:p>
    <w:p>
      <w:pPr>
        <w:spacing w:line="360" w:lineRule="auto"/>
      </w:pPr>
      <w:r>
        <w:rPr>
          <w:rFonts w:ascii="Times New Roman" w:hAnsi="Times New Roman" w:cs="Times New Roman"/>
          <w:sz w:val="24"/>
        </w:rPr>
        <w:t>Tabell 2 oppsummerer styrker, svakheter og forutsetninger for de fire analysemetodene som benyttes i denne oppgaven.</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1754"/>
        <w:gridCol w:w="1754"/>
        <w:gridCol w:w="1754"/>
        <w:gridCol w:w="1754"/>
        <w:gridCol w:w="1754"/>
      </w:tblGrid>
      <w:tr>
        <w:tc>
          <w:tcPr>
            <w:tcW w:type="dxa" w:w="1754"/>
            <w:tcBorders>
              <w:top w:val="single" w:sz="8" w:space="0" w:color="000000"/>
              <w:bottom w:val="single" w:sz="4" w:space="0" w:color="000000"/>
              <w:left w:val="nil"/>
              <w:right w:val="nil"/>
            </w:tcBorders>
          </w:tcPr>
          <w:p>
            <w:r/>
            <w:r>
              <w:rPr>
                <w:rFonts w:ascii="Times New Roman" w:hAnsi="Times New Roman"/>
                <w:b/>
                <w:sz w:val="22"/>
              </w:rPr>
              <w:t>Modell</w:t>
            </w:r>
          </w:p>
        </w:tc>
        <w:tc>
          <w:tcPr>
            <w:tcW w:type="dxa" w:w="1754"/>
            <w:tcBorders>
              <w:top w:val="single" w:sz="8" w:space="0" w:color="000000"/>
              <w:bottom w:val="single" w:sz="4" w:space="0" w:color="000000"/>
              <w:left w:val="nil"/>
              <w:right w:val="nil"/>
            </w:tcBorders>
          </w:tcPr>
          <w:p>
            <w:r/>
            <w:r>
              <w:rPr>
                <w:rFonts w:ascii="Times New Roman" w:hAnsi="Times New Roman"/>
                <w:b/>
                <w:sz w:val="22"/>
              </w:rPr>
              <w:t>Styrker</w:t>
            </w:r>
          </w:p>
        </w:tc>
        <w:tc>
          <w:tcPr>
            <w:tcW w:type="dxa" w:w="1754"/>
            <w:tcBorders>
              <w:top w:val="single" w:sz="8" w:space="0" w:color="000000"/>
              <w:bottom w:val="single" w:sz="4" w:space="0" w:color="000000"/>
              <w:left w:val="nil"/>
              <w:right w:val="nil"/>
            </w:tcBorders>
          </w:tcPr>
          <w:p>
            <w:r/>
            <w:r>
              <w:rPr>
                <w:rFonts w:ascii="Times New Roman" w:hAnsi="Times New Roman"/>
                <w:b/>
                <w:sz w:val="22"/>
              </w:rPr>
              <w:t>Svakheter</w:t>
            </w:r>
          </w:p>
        </w:tc>
        <w:tc>
          <w:tcPr>
            <w:tcW w:type="dxa" w:w="1754"/>
            <w:tcBorders>
              <w:top w:val="single" w:sz="8" w:space="0" w:color="000000"/>
              <w:bottom w:val="single" w:sz="4" w:space="0" w:color="000000"/>
              <w:left w:val="nil"/>
              <w:right w:val="nil"/>
            </w:tcBorders>
          </w:tcPr>
          <w:p>
            <w:r/>
            <w:r>
              <w:rPr>
                <w:rFonts w:ascii="Times New Roman" w:hAnsi="Times New Roman"/>
                <w:b/>
                <w:sz w:val="22"/>
              </w:rPr>
              <w:t>Forutsetninger</w:t>
            </w:r>
          </w:p>
        </w:tc>
        <w:tc>
          <w:tcPr>
            <w:tcW w:type="dxa" w:w="1754"/>
            <w:tcBorders>
              <w:top w:val="single" w:sz="8" w:space="0" w:color="000000"/>
              <w:bottom w:val="single" w:sz="4" w:space="0" w:color="000000"/>
              <w:left w:val="nil"/>
              <w:right w:val="nil"/>
            </w:tcBorders>
          </w:tcPr>
          <w:p>
            <w:r/>
            <w:r>
              <w:rPr>
                <w:rFonts w:ascii="Times New Roman" w:hAnsi="Times New Roman"/>
                <w:b/>
                <w:sz w:val="22"/>
              </w:rPr>
              <w:t>Referanse</w:t>
            </w:r>
          </w:p>
        </w:tc>
      </w:tr>
      <w:tr>
        <w:tc>
          <w:tcPr>
            <w:tcW w:type="dxa" w:w="1754"/>
          </w:tcPr>
          <w:p>
            <w:r/>
            <w:r>
              <w:rPr>
                <w:rFonts w:ascii="Times New Roman" w:hAnsi="Times New Roman"/>
                <w:sz w:val="22"/>
              </w:rPr>
              <w:t>ABC-analyse</w:t>
            </w:r>
          </w:p>
        </w:tc>
        <w:tc>
          <w:tcPr>
            <w:tcW w:type="dxa" w:w="1754"/>
          </w:tcPr>
          <w:p>
            <w:r/>
            <w:r>
              <w:rPr>
                <w:rFonts w:ascii="Times New Roman" w:hAnsi="Times New Roman"/>
                <w:sz w:val="22"/>
              </w:rPr>
              <w:t>Enkel, transparent, bred støtte i litteraturen</w:t>
            </w:r>
          </w:p>
        </w:tc>
        <w:tc>
          <w:tcPr>
            <w:tcW w:type="dxa" w:w="1754"/>
          </w:tcPr>
          <w:p>
            <w:r/>
            <w:r>
              <w:rPr>
                <w:rFonts w:ascii="Times New Roman" w:hAnsi="Times New Roman"/>
                <w:sz w:val="22"/>
              </w:rPr>
              <w:t>Ignorerer etterspørselsvariabilitet og kritikalitet</w:t>
            </w:r>
          </w:p>
        </w:tc>
        <w:tc>
          <w:tcPr>
            <w:tcW w:type="dxa" w:w="1754"/>
          </w:tcPr>
          <w:p>
            <w:r/>
            <w:r>
              <w:rPr>
                <w:rFonts w:ascii="Times New Roman" w:hAnsi="Times New Roman"/>
                <w:sz w:val="22"/>
              </w:rPr>
              <w:t>Kjent årsverdi per artikkel</w:t>
            </w:r>
          </w:p>
        </w:tc>
        <w:tc>
          <w:tcPr>
            <w:tcW w:type="dxa" w:w="1754"/>
          </w:tcPr>
          <w:p>
            <w:r/>
            <w:r>
              <w:rPr>
                <w:rFonts w:ascii="Times New Roman" w:hAnsi="Times New Roman"/>
                <w:sz w:val="22"/>
              </w:rPr>
              <w:t>Silaen et al. (2023)</w:t>
            </w:r>
          </w:p>
        </w:tc>
      </w:tr>
      <w:tr>
        <w:tc>
          <w:tcPr>
            <w:tcW w:type="dxa" w:w="1754"/>
          </w:tcPr>
          <w:p>
            <w:r/>
            <w:r>
              <w:rPr>
                <w:rFonts w:ascii="Times New Roman" w:hAnsi="Times New Roman"/>
                <w:sz w:val="22"/>
              </w:rPr>
              <w:t>XYZ-klassifisering</w:t>
            </w:r>
          </w:p>
        </w:tc>
        <w:tc>
          <w:tcPr>
            <w:tcW w:type="dxa" w:w="1754"/>
          </w:tcPr>
          <w:p>
            <w:r/>
            <w:r>
              <w:rPr>
                <w:rFonts w:ascii="Times New Roman" w:hAnsi="Times New Roman"/>
                <w:sz w:val="22"/>
              </w:rPr>
              <w:t>Fanger variabilitet i etterspørsel over tid</w:t>
            </w:r>
          </w:p>
        </w:tc>
        <w:tc>
          <w:tcPr>
            <w:tcW w:type="dxa" w:w="1754"/>
          </w:tcPr>
          <w:p>
            <w:r/>
            <w:r>
              <w:rPr>
                <w:rFonts w:ascii="Times New Roman" w:hAnsi="Times New Roman"/>
                <w:sz w:val="22"/>
              </w:rPr>
              <w:t>Krever tilstrekkelig transaksjonshistorikk</w:t>
            </w:r>
          </w:p>
        </w:tc>
        <w:tc>
          <w:tcPr>
            <w:tcW w:type="dxa" w:w="1754"/>
          </w:tcPr>
          <w:p>
            <w:r/>
            <w:r>
              <w:rPr>
                <w:rFonts w:ascii="Times New Roman" w:hAnsi="Times New Roman"/>
                <w:sz w:val="22"/>
              </w:rPr>
              <w:t>Månedlige forbruksdata tilgjengelig</w:t>
            </w:r>
          </w:p>
        </w:tc>
        <w:tc>
          <w:tcPr>
            <w:tcW w:type="dxa" w:w="1754"/>
          </w:tcPr>
          <w:p>
            <w:r/>
            <w:r>
              <w:rPr>
                <w:rFonts w:ascii="Times New Roman" w:hAnsi="Times New Roman"/>
                <w:sz w:val="22"/>
              </w:rPr>
              <w:t>Nowotyńska (2013)</w:t>
            </w:r>
          </w:p>
        </w:tc>
      </w:tr>
      <w:tr>
        <w:tc>
          <w:tcPr>
            <w:tcW w:type="dxa" w:w="1754"/>
          </w:tcPr>
          <w:p>
            <w:r/>
            <w:r>
              <w:rPr>
                <w:rFonts w:ascii="Times New Roman" w:hAnsi="Times New Roman"/>
                <w:sz w:val="22"/>
              </w:rPr>
              <w:t>EOQ (Wilson)</w:t>
            </w:r>
          </w:p>
        </w:tc>
        <w:tc>
          <w:tcPr>
            <w:tcW w:type="dxa" w:w="1754"/>
          </w:tcPr>
          <w:p>
            <w:r/>
            <w:r>
              <w:rPr>
                <w:rFonts w:ascii="Times New Roman" w:hAnsi="Times New Roman"/>
                <w:sz w:val="22"/>
              </w:rPr>
              <w:t>Analytisk optimal ordrekvantum, kvantifiserbart avvik</w:t>
            </w:r>
          </w:p>
        </w:tc>
        <w:tc>
          <w:tcPr>
            <w:tcW w:type="dxa" w:w="1754"/>
          </w:tcPr>
          <w:p>
            <w:r/>
            <w:r>
              <w:rPr>
                <w:rFonts w:ascii="Times New Roman" w:hAnsi="Times New Roman"/>
                <w:sz w:val="22"/>
              </w:rPr>
              <w:t>Sensitiv for S og H; antar konstant etterspørsel</w:t>
            </w:r>
          </w:p>
        </w:tc>
        <w:tc>
          <w:tcPr>
            <w:tcW w:type="dxa" w:w="1754"/>
          </w:tcPr>
          <w:p>
            <w:r/>
            <w:r>
              <w:rPr>
                <w:rFonts w:ascii="Times New Roman" w:hAnsi="Times New Roman"/>
                <w:sz w:val="22"/>
              </w:rPr>
              <w:t>Kjent S og H; kontinuerlig etterspørsel</w:t>
            </w:r>
          </w:p>
        </w:tc>
        <w:tc>
          <w:tcPr>
            <w:tcW w:type="dxa" w:w="1754"/>
          </w:tcPr>
          <w:p>
            <w:r/>
            <w:r>
              <w:rPr>
                <w:rFonts w:ascii="Times New Roman" w:hAnsi="Times New Roman"/>
                <w:sz w:val="22"/>
              </w:rPr>
              <w:t>Hautaniemi &amp; Pirttilä (1999)</w:t>
            </w:r>
          </w:p>
        </w:tc>
      </w:tr>
      <w:tr>
        <w:tc>
          <w:tcPr>
            <w:tcW w:type="dxa" w:w="1754"/>
          </w:tcPr>
          <w:p>
            <w:r/>
            <w:r>
              <w:rPr>
                <w:rFonts w:ascii="Times New Roman" w:hAnsi="Times New Roman"/>
                <w:sz w:val="22"/>
              </w:rPr>
              <w:t>K-means klyngeanalyse</w:t>
            </w:r>
          </w:p>
        </w:tc>
        <w:tc>
          <w:tcPr>
            <w:tcW w:type="dxa" w:w="1754"/>
          </w:tcPr>
          <w:p>
            <w:r/>
            <w:r>
              <w:rPr>
                <w:rFonts w:ascii="Times New Roman" w:hAnsi="Times New Roman"/>
                <w:sz w:val="22"/>
              </w:rPr>
              <w:t>Avdekker skjulte mønstre uten forhåndsbestemte grenser</w:t>
            </w:r>
          </w:p>
        </w:tc>
        <w:tc>
          <w:tcPr>
            <w:tcW w:type="dxa" w:w="1754"/>
          </w:tcPr>
          <w:p>
            <w:r/>
            <w:r>
              <w:rPr>
                <w:rFonts w:ascii="Times New Roman" w:hAnsi="Times New Roman"/>
                <w:sz w:val="22"/>
              </w:rPr>
              <w:t>Sensitiv for K-valg og initialisering</w:t>
            </w:r>
          </w:p>
        </w:tc>
        <w:tc>
          <w:tcPr>
            <w:tcW w:type="dxa" w:w="1754"/>
          </w:tcPr>
          <w:p>
            <w:r/>
            <w:r>
              <w:rPr>
                <w:rFonts w:ascii="Times New Roman" w:hAnsi="Times New Roman"/>
                <w:sz w:val="22"/>
              </w:rPr>
              <w:t>Normaliserte features; euklidsk avstand</w:t>
            </w:r>
          </w:p>
        </w:tc>
        <w:tc>
          <w:tcPr>
            <w:tcW w:type="dxa" w:w="1754"/>
          </w:tcPr>
          <w:p>
            <w:r/>
            <w:r>
              <w:rPr>
                <w:rFonts w:ascii="Times New Roman" w:hAnsi="Times New Roman"/>
                <w:sz w:val="22"/>
              </w:rPr>
              <w:t>Srinivasan &amp; Moon (1999)</w:t>
            </w:r>
          </w:p>
        </w:tc>
      </w:tr>
    </w:tbl>
    <w:p>
      <w:r>
        <w:rPr>
          <w:rFonts w:ascii="Times New Roman" w:hAnsi="Times New Roman"/>
          <w:i/>
          <w:sz w:val="20"/>
        </w:rPr>
        <w:t>Tabell 2. Sammenligning av analysemetoder brukt i oppgaven.</w:t>
      </w:r>
    </w:p>
    <w:p>
      <w:pPr>
        <w:pStyle w:val="Overskrift2"/>
      </w:pPr>
      <w:r>
        <w:rPr>
          <w:rFonts w:ascii="Times New Roman" w:hAnsi="Times New Roman"/>
          <w:color w:val="000000"/>
          <w:sz w:val="32"/>
        </w:rPr>
        <w:t>2.7 Konseptuelt rammeverk</w:t>
      </w:r>
    </w:p>
    <w:p>
      <w:pPr>
        <w:spacing w:line="360" w:lineRule="auto"/>
      </w:pPr>
      <w:r>
        <w:rPr>
          <w:rFonts w:ascii="Times New Roman" w:hAnsi="Times New Roman" w:cs="Times New Roman"/>
          <w:sz w:val="24"/>
        </w:rPr>
        <w:t xml:space="preserve">Denne oppgaven opererer innenfor et konseptuelt rammeverk som beskriver en sekvensiell analysemodell fra rådata til beslutningsanbefaling. Modellen kombinerer deterministisk klassifisering (ABC og XYZ) med eksplorativ segmentering (K-means): de regelbaserte metodene produserer reproduserbare klasser ut fra forhåndsdefinerte grenseverdier, mens K-means avdekker datadrevne gruppestrukturer uten forhåndsbestemte grenser. Rammeverket er illustrert i Figur 1 og setter de fire metodene i et logisk avhengighetsforhold: ABC og XYZ er uavhengige analysedimensjoner som beregnes parallelt fra henholdsvis innkjøpsdata (EKPO/EKBE) og forbruksdata (MSEG). EOQ-avviksanalysen supplerer med en tredje dimensjon — kostnadseffektiviteten av nåværende bestillingspraksis. K-means klyngeanalyse er eksplorativ og avdekker datadrevne gruppestrukturer som ikke er forhåndsbestemt av regelgrenser. Regelmotor-trinnet integrerer alle fire dimensjoner til én anbefaling per artikkel: </w:t>
      </w:r>
      <w:r>
        <w:rPr>
          <w:rFonts w:ascii="Times New Roman" w:hAnsi="Times New Roman" w:cs="Times New Roman"/>
          <w:i/>
          <w:sz w:val="24"/>
        </w:rPr>
        <w:t>overfør til HVFS</w:t>
      </w:r>
      <w:r>
        <w:rPr>
          <w:rFonts w:ascii="Times New Roman" w:hAnsi="Times New Roman" w:cs="Times New Roman"/>
          <w:sz w:val="24"/>
        </w:rPr>
        <w:t xml:space="preserve">, </w:t>
      </w:r>
      <w:r>
        <w:rPr>
          <w:rFonts w:ascii="Times New Roman" w:hAnsi="Times New Roman" w:cs="Times New Roman"/>
          <w:i/>
          <w:sz w:val="24"/>
        </w:rPr>
        <w:t>behold lokalt</w:t>
      </w:r>
      <w:r>
        <w:rPr>
          <w:rFonts w:ascii="Times New Roman" w:hAnsi="Times New Roman" w:cs="Times New Roman"/>
          <w:sz w:val="24"/>
        </w:rPr>
        <w:t xml:space="preserve"> eller </w:t>
      </w:r>
      <w:r>
        <w:rPr>
          <w:rFonts w:ascii="Times New Roman" w:hAnsi="Times New Roman" w:cs="Times New Roman"/>
          <w:i/>
          <w:sz w:val="24"/>
        </w:rPr>
        <w:t>krever nærmere vurdering</w:t>
      </w:r>
      <w:r>
        <w:rPr>
          <w:rFonts w:ascii="Times New Roman" w:hAnsi="Times New Roman" w:cs="Times New Roman"/>
          <w:sz w:val="24"/>
        </w:rPr>
        <w:t>. Estimert besparelse beregnes som summen av EOQ-kostnadsavvik for HVFS-anbefalte artikler, justert for gevinstrealiseringsgrad.</w:t>
      </w:r>
    </w:p>
    <w:p>
      <w:r>
        <w:drawing>
          <wp:inline xmlns:a="http://schemas.openxmlformats.org/drawingml/2006/main" xmlns:pic="http://schemas.openxmlformats.org/drawingml/2006/picture">
            <wp:extent cx="5400000" cy="1615574"/>
            <wp:docPr id="4" name="Picture 4"/>
            <wp:cNvGraphicFramePr>
              <a:graphicFrameLocks noChangeAspect="1"/>
            </wp:cNvGraphicFramePr>
            <a:graphic>
              <a:graphicData uri="http://schemas.openxmlformats.org/drawingml/2006/picture">
                <pic:pic>
                  <pic:nvPicPr>
                    <pic:cNvPr id="0" name="Fig00_Konseptuelt_Rammeverk.png"/>
                    <pic:cNvPicPr/>
                  </pic:nvPicPr>
                  <pic:blipFill>
                    <a:blip r:embed="rId22"/>
                    <a:stretch>
                      <a:fillRect/>
                    </a:stretch>
                  </pic:blipFill>
                  <pic:spPr>
                    <a:xfrm>
                      <a:off x="0" y="0"/>
                      <a:ext cx="5400000" cy="1615574"/>
                    </a:xfrm>
                    <a:prstGeom prst="rect"/>
                  </pic:spPr>
                </pic:pic>
              </a:graphicData>
            </a:graphic>
          </wp:inline>
        </w:drawing>
      </w:r>
    </w:p>
    <w:p>
      <w:pPr>
        <w:jc w:val="center"/>
      </w:pPr>
      <w:r>
        <w:rPr>
          <w:rFonts w:ascii="Times New Roman" w:hAnsi="Times New Roman"/>
          <w:i/>
          <w:sz w:val="20"/>
        </w:rPr>
        <w:t>Figur 1. Konseptuelt rammeverk – fra SAP-data til HVFS-anbefaling. Generert med støtte fra Claude (Anthropic, 2026).</w:t>
      </w:r>
    </w:p>
    <w:p>
      <w:pPr>
        <w:spacing w:line="360" w:lineRule="auto"/>
      </w:pPr>
      <w:r>
        <w:rPr>
          <w:rFonts w:ascii="Times New Roman" w:hAnsi="Times New Roman" w:cs="Times New Roman"/>
          <w:sz w:val="24"/>
        </w:rPr>
        <w:t>Figur 1 refererer til dette rammeverket. Den detaljerte matematiske formuleringen av alle modellkomponenter — parameterdefinisjonene, formlene og grenseverdiene — presenteres i kapittel 5.</w:t>
      </w:r>
    </w:p>
    <w:p>
      <w:pPr>
        <w:pStyle w:val="Overskrift1"/>
        <w:pageBreakBefore w:val="true"/>
      </w:pPr>
      <w:r>
        <w:rPr>
          <w:rFonts w:ascii="Times New Roman" w:hAnsi="Times New Roman"/>
          <w:color w:val="000000"/>
          <w:sz w:val="36"/>
        </w:rPr>
        <w:t>Kapittel 3 – Casebeskrivelse</w:t>
      </w:r>
    </w:p>
    <w:p>
      <w:pPr>
        <w:pStyle w:val="Overskrift2"/>
      </w:pPr>
      <w:r>
        <w:rPr>
          <w:rFonts w:ascii="Times New Roman" w:hAnsi="Times New Roman"/>
          <w:color w:val="000000"/>
          <w:sz w:val="32"/>
        </w:rPr>
        <w:t>3.1 Helse Bergen og Helse Vest</w:t>
      </w:r>
    </w:p>
    <w:p>
      <w:pPr>
        <w:spacing w:line="360" w:lineRule="auto"/>
      </w:pPr>
      <w:r>
        <w:rPr>
          <w:rFonts w:ascii="Times New Roman" w:hAnsi="Times New Roman" w:cs="Times New Roman"/>
          <w:sz w:val="24"/>
        </w:rPr>
        <w:t>Helse Bergen HF er det største helseforetaket i Helse Vest RHF og drifter Haukeland Universitetssykehus med ansvar for spesialisthelsetjenester til om lag 460 000 innbyggere. Helse Vest koordinerer fire helseforetak (Bergen, Stavanger, Fonna, Førde), og en regionalt harmonisert tilnærming til materialforvaltning har fått økt prioritet for å oppnå stordriftsfordeler.</w:t>
      </w:r>
    </w:p>
    <w:p>
      <w:pPr>
        <w:spacing w:line="360" w:lineRule="auto"/>
      </w:pPr>
      <w:r>
        <w:rPr>
          <w:rFonts w:ascii="Times New Roman" w:hAnsi="Times New Roman" w:cs="Times New Roman"/>
          <w:sz w:val="24"/>
        </w:rPr>
        <w:t>Helse Bergen er i SAP S/4HANA registrert under anleggskode (WERKS) 3300. Det operative forsyningslageret for medisinsk forbruksmateriell er tilordnet lagersted (LGORT) 3001 under dette anlegget. Lageret håndterer anskaffelse, mottak, lagring og distribusjon av forbruksartikler til kliniske avdelinger. Innkjøp gjennomføres via innkjøpsgruppe 300 og 3000 i SAP, med bestillingstype ZNB som er Helse Bergens lokale bestillingstype for forsyningslageret. Alle varebevegelser — forbruk ut til avdeling (BWART 201 og 647) og varemottak inn fra leverandør (BWART 101) — er registrert som transaksjonsdata i SAP og utgjør det primære datagrunnlaget for denne oppgaven. Foretakets organisasjonsmessige plassering i Helse Vest og SAP-strukturen er illustrert i Figur 2. Tabell 3 oppsummerer nøkkeltallene for casevirksomheten.</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923"/>
        <w:gridCol w:w="2923"/>
        <w:gridCol w:w="2923"/>
      </w:tblGrid>
      <w:tr>
        <w:tc>
          <w:tcPr>
            <w:tcW w:type="dxa" w:w="2923"/>
            <w:tcBorders>
              <w:top w:val="single" w:sz="8" w:space="0" w:color="000000"/>
              <w:bottom w:val="single" w:sz="4" w:space="0" w:color="000000"/>
              <w:left w:val="nil"/>
              <w:right w:val="nil"/>
            </w:tcBorders>
          </w:tcPr>
          <w:p>
            <w:r/>
            <w:r>
              <w:rPr>
                <w:rFonts w:ascii="Times New Roman" w:hAnsi="Times New Roman"/>
                <w:b/>
                <w:sz w:val="22"/>
              </w:rPr>
              <w:t>Nøkkeltall</w:t>
            </w:r>
          </w:p>
        </w:tc>
        <w:tc>
          <w:tcPr>
            <w:tcW w:type="dxa" w:w="2923"/>
            <w:tcBorders>
              <w:top w:val="single" w:sz="8" w:space="0" w:color="000000"/>
              <w:bottom w:val="single" w:sz="4" w:space="0" w:color="000000"/>
              <w:left w:val="nil"/>
              <w:right w:val="nil"/>
            </w:tcBorders>
          </w:tcPr>
          <w:p>
            <w:r/>
            <w:r>
              <w:rPr>
                <w:rFonts w:ascii="Times New Roman" w:hAnsi="Times New Roman"/>
                <w:b/>
                <w:sz w:val="22"/>
              </w:rPr>
              <w:t>Verdi</w:t>
            </w:r>
          </w:p>
        </w:tc>
        <w:tc>
          <w:tcPr>
            <w:tcW w:type="dxa" w:w="2923"/>
            <w:tcBorders>
              <w:top w:val="single" w:sz="8" w:space="0" w:color="000000"/>
              <w:bottom w:val="single" w:sz="4" w:space="0" w:color="000000"/>
              <w:left w:val="nil"/>
              <w:right w:val="nil"/>
            </w:tcBorders>
          </w:tcPr>
          <w:p>
            <w:r/>
            <w:r>
              <w:rPr>
                <w:rFonts w:ascii="Times New Roman" w:hAnsi="Times New Roman"/>
                <w:b/>
                <w:sz w:val="22"/>
              </w:rPr>
              <w:t>Kilde</w:t>
            </w:r>
          </w:p>
        </w:tc>
      </w:tr>
      <w:tr>
        <w:tc>
          <w:tcPr>
            <w:tcW w:type="dxa" w:w="2923"/>
          </w:tcPr>
          <w:p>
            <w:r/>
            <w:r>
              <w:rPr>
                <w:rFonts w:ascii="Times New Roman" w:hAnsi="Times New Roman"/>
                <w:sz w:val="22"/>
              </w:rPr>
              <w:t>Helseforetak</w:t>
            </w:r>
          </w:p>
        </w:tc>
        <w:tc>
          <w:tcPr>
            <w:tcW w:type="dxa" w:w="2923"/>
          </w:tcPr>
          <w:p>
            <w:r/>
            <w:r>
              <w:rPr>
                <w:rFonts w:ascii="Times New Roman" w:hAnsi="Times New Roman"/>
                <w:sz w:val="22"/>
              </w:rPr>
              <w:t>Helse Bergen HF</w:t>
            </w:r>
          </w:p>
        </w:tc>
        <w:tc>
          <w:tcPr>
            <w:tcW w:type="dxa" w:w="2923"/>
          </w:tcPr>
          <w:p>
            <w:r/>
            <w:r>
              <w:rPr>
                <w:rFonts w:ascii="Times New Roman" w:hAnsi="Times New Roman"/>
                <w:sz w:val="22"/>
              </w:rPr>
              <w:t>Helse Vest RHF</w:t>
            </w:r>
          </w:p>
        </w:tc>
      </w:tr>
      <w:tr>
        <w:tc>
          <w:tcPr>
            <w:tcW w:type="dxa" w:w="2923"/>
          </w:tcPr>
          <w:p>
            <w:r/>
            <w:r>
              <w:rPr>
                <w:rFonts w:ascii="Times New Roman" w:hAnsi="Times New Roman"/>
                <w:sz w:val="22"/>
              </w:rPr>
              <w:t>SAP-anlegg (WERKS)</w:t>
            </w:r>
          </w:p>
        </w:tc>
        <w:tc>
          <w:tcPr>
            <w:tcW w:type="dxa" w:w="2923"/>
          </w:tcPr>
          <w:p>
            <w:r/>
            <w:r>
              <w:rPr>
                <w:rFonts w:ascii="Times New Roman" w:hAnsi="Times New Roman"/>
                <w:sz w:val="22"/>
              </w:rPr>
              <w:t>3300</w:t>
            </w:r>
          </w:p>
        </w:tc>
        <w:tc>
          <w:tcPr>
            <w:tcW w:type="dxa" w:w="2923"/>
          </w:tcPr>
          <w:p>
            <w:r/>
            <w:r>
              <w:rPr>
                <w:rFonts w:ascii="Times New Roman" w:hAnsi="Times New Roman"/>
                <w:sz w:val="22"/>
              </w:rPr>
              <w:t>SAP S/4HANA</w:t>
            </w:r>
          </w:p>
        </w:tc>
      </w:tr>
      <w:tr>
        <w:tc>
          <w:tcPr>
            <w:tcW w:type="dxa" w:w="2923"/>
          </w:tcPr>
          <w:p>
            <w:r/>
            <w:r>
              <w:rPr>
                <w:rFonts w:ascii="Times New Roman" w:hAnsi="Times New Roman"/>
                <w:sz w:val="22"/>
              </w:rPr>
              <w:t>Lagersted (LGORT)</w:t>
            </w:r>
          </w:p>
        </w:tc>
        <w:tc>
          <w:tcPr>
            <w:tcW w:type="dxa" w:w="2923"/>
          </w:tcPr>
          <w:p>
            <w:r/>
            <w:r>
              <w:rPr>
                <w:rFonts w:ascii="Times New Roman" w:hAnsi="Times New Roman"/>
                <w:sz w:val="22"/>
              </w:rPr>
              <w:t>3001</w:t>
            </w:r>
          </w:p>
        </w:tc>
        <w:tc>
          <w:tcPr>
            <w:tcW w:type="dxa" w:w="2923"/>
          </w:tcPr>
          <w:p>
            <w:r/>
            <w:r>
              <w:rPr>
                <w:rFonts w:ascii="Times New Roman" w:hAnsi="Times New Roman"/>
                <w:sz w:val="22"/>
              </w:rPr>
              <w:t>SAP S/4HANA</w:t>
            </w:r>
          </w:p>
        </w:tc>
      </w:tr>
      <w:tr>
        <w:tc>
          <w:tcPr>
            <w:tcW w:type="dxa" w:w="2923"/>
          </w:tcPr>
          <w:p>
            <w:r/>
            <w:r>
              <w:rPr>
                <w:rFonts w:ascii="Times New Roman" w:hAnsi="Times New Roman"/>
                <w:sz w:val="22"/>
              </w:rPr>
              <w:t>Antall aktive artikler</w:t>
            </w:r>
          </w:p>
        </w:tc>
        <w:tc>
          <w:tcPr>
            <w:tcW w:type="dxa" w:w="2923"/>
          </w:tcPr>
          <w:p>
            <w:r/>
            <w:r>
              <w:rPr>
                <w:rFonts w:ascii="Times New Roman" w:hAnsi="Times New Roman"/>
                <w:sz w:val="22"/>
              </w:rPr>
              <w:t>709</w:t>
            </w:r>
          </w:p>
        </w:tc>
        <w:tc>
          <w:tcPr>
            <w:tcW w:type="dxa" w:w="2923"/>
          </w:tcPr>
          <w:p>
            <w:r/>
            <w:r>
              <w:rPr>
                <w:rFonts w:ascii="Times New Roman" w:hAnsi="Times New Roman"/>
                <w:sz w:val="22"/>
              </w:rPr>
              <w:t>MASTERFILE_V1.xlsx (D-01)</w:t>
            </w:r>
          </w:p>
        </w:tc>
      </w:tr>
      <w:tr>
        <w:tc>
          <w:tcPr>
            <w:tcW w:type="dxa" w:w="2923"/>
          </w:tcPr>
          <w:p>
            <w:r/>
            <w:r>
              <w:rPr>
                <w:rFonts w:ascii="Times New Roman" w:hAnsi="Times New Roman"/>
                <w:sz w:val="22"/>
              </w:rPr>
              <w:t>Analyseperiode</w:t>
            </w:r>
          </w:p>
        </w:tc>
        <w:tc>
          <w:tcPr>
            <w:tcW w:type="dxa" w:w="2923"/>
          </w:tcPr>
          <w:p>
            <w:r/>
            <w:r>
              <w:rPr>
                <w:rFonts w:ascii="Times New Roman" w:hAnsi="Times New Roman"/>
                <w:sz w:val="22"/>
              </w:rPr>
              <w:t>Januar 2024 – desember 2025 (24 mnd)</w:t>
            </w:r>
          </w:p>
        </w:tc>
        <w:tc>
          <w:tcPr>
            <w:tcW w:type="dxa" w:w="2923"/>
          </w:tcPr>
          <w:p>
            <w:r/>
            <w:r>
              <w:rPr>
                <w:rFonts w:ascii="Times New Roman" w:hAnsi="Times New Roman"/>
                <w:sz w:val="22"/>
              </w:rPr>
              <w:t>SAP SE16H</w:t>
            </w:r>
          </w:p>
        </w:tc>
      </w:tr>
      <w:tr>
        <w:tc>
          <w:tcPr>
            <w:tcW w:type="dxa" w:w="2923"/>
          </w:tcPr>
          <w:p>
            <w:r/>
            <w:r>
              <w:rPr>
                <w:rFonts w:ascii="Times New Roman" w:hAnsi="Times New Roman"/>
                <w:sz w:val="22"/>
              </w:rPr>
              <w:t>Antall SAP-kildetabeller</w:t>
            </w:r>
          </w:p>
        </w:tc>
        <w:tc>
          <w:tcPr>
            <w:tcW w:type="dxa" w:w="2923"/>
          </w:tcPr>
          <w:p>
            <w:r/>
            <w:r>
              <w:rPr>
                <w:rFonts w:ascii="Times New Roman" w:hAnsi="Times New Roman"/>
                <w:sz w:val="22"/>
              </w:rPr>
              <w:t>14</w:t>
            </w:r>
          </w:p>
        </w:tc>
        <w:tc>
          <w:tcPr>
            <w:tcW w:type="dxa" w:w="2923"/>
          </w:tcPr>
          <w:p>
            <w:r/>
            <w:r>
              <w:rPr>
                <w:rFonts w:ascii="Times New Roman" w:hAnsi="Times New Roman"/>
                <w:sz w:val="22"/>
              </w:rPr>
              <w:t>Dataspesifikasjon (Vedlegg A)</w:t>
            </w:r>
          </w:p>
        </w:tc>
      </w:tr>
      <w:tr>
        <w:tc>
          <w:tcPr>
            <w:tcW w:type="dxa" w:w="2923"/>
          </w:tcPr>
          <w:p>
            <w:r/>
            <w:r>
              <w:rPr>
                <w:rFonts w:ascii="Times New Roman" w:hAnsi="Times New Roman"/>
                <w:sz w:val="22"/>
              </w:rPr>
              <w:t>ERP-system</w:t>
            </w:r>
          </w:p>
        </w:tc>
        <w:tc>
          <w:tcPr>
            <w:tcW w:type="dxa" w:w="2923"/>
          </w:tcPr>
          <w:p>
            <w:r/>
            <w:r>
              <w:rPr>
                <w:rFonts w:ascii="Times New Roman" w:hAnsi="Times New Roman"/>
                <w:sz w:val="22"/>
              </w:rPr>
              <w:t>SAP S/4HANA (LIBRA-prosjektet)</w:t>
            </w:r>
          </w:p>
        </w:tc>
        <w:tc>
          <w:tcPr>
            <w:tcW w:type="dxa" w:w="2923"/>
          </w:tcPr>
          <w:p>
            <w:r/>
            <w:r>
              <w:rPr>
                <w:rFonts w:ascii="Times New Roman" w:hAnsi="Times New Roman"/>
                <w:sz w:val="22"/>
              </w:rPr>
              <w:t>Helse Vest IKT</w:t>
            </w:r>
          </w:p>
        </w:tc>
      </w:tr>
      <w:tr>
        <w:tc>
          <w:tcPr>
            <w:tcW w:type="dxa" w:w="2923"/>
          </w:tcPr>
          <w:p>
            <w:r/>
            <w:r>
              <w:rPr>
                <w:rFonts w:ascii="Times New Roman" w:hAnsi="Times New Roman"/>
                <w:sz w:val="22"/>
              </w:rPr>
              <w:t>Regionalt sentrallager</w:t>
            </w:r>
          </w:p>
        </w:tc>
        <w:tc>
          <w:tcPr>
            <w:tcW w:type="dxa" w:w="2923"/>
          </w:tcPr>
          <w:p>
            <w:r/>
            <w:r>
              <w:rPr>
                <w:rFonts w:ascii="Times New Roman" w:hAnsi="Times New Roman"/>
                <w:sz w:val="22"/>
              </w:rPr>
              <w:t>HVFS (Helse Vest Forsyningssenter)</w:t>
            </w:r>
          </w:p>
        </w:tc>
        <w:tc>
          <w:tcPr>
            <w:tcW w:type="dxa" w:w="2923"/>
          </w:tcPr>
          <w:p>
            <w:r/>
            <w:r>
              <w:rPr>
                <w:rFonts w:ascii="Times New Roman" w:hAnsi="Times New Roman"/>
                <w:sz w:val="22"/>
              </w:rPr>
              <w:t>Helse Vest RHF (2024)</w:t>
            </w:r>
          </w:p>
        </w:tc>
      </w:tr>
      <w:tr>
        <w:tc>
          <w:tcPr>
            <w:tcW w:type="dxa" w:w="2923"/>
          </w:tcPr>
          <w:p>
            <w:r/>
            <w:r>
              <w:rPr>
                <w:rFonts w:ascii="Times New Roman" w:hAnsi="Times New Roman"/>
                <w:sz w:val="22"/>
              </w:rPr>
              <w:t>APL-operatør</w:t>
            </w:r>
          </w:p>
        </w:tc>
        <w:tc>
          <w:tcPr>
            <w:tcW w:type="dxa" w:w="2923"/>
          </w:tcPr>
          <w:p>
            <w:r/>
            <w:r>
              <w:rPr>
                <w:rFonts w:ascii="Times New Roman" w:hAnsi="Times New Roman"/>
                <w:sz w:val="22"/>
              </w:rPr>
              <w:t>NorEngros</w:t>
            </w:r>
          </w:p>
        </w:tc>
        <w:tc>
          <w:tcPr>
            <w:tcW w:type="dxa" w:w="2923"/>
          </w:tcPr>
          <w:p>
            <w:r/>
            <w:r>
              <w:rPr>
                <w:rFonts w:ascii="Times New Roman" w:hAnsi="Times New Roman"/>
                <w:sz w:val="22"/>
              </w:rPr>
              <w:t>Helse Vest RHF (2024)</w:t>
            </w:r>
          </w:p>
        </w:tc>
      </w:tr>
      <w:tr>
        <w:tc>
          <w:tcPr>
            <w:tcW w:type="dxa" w:w="2923"/>
          </w:tcPr>
          <w:p>
            <w:r/>
            <w:r>
              <w:rPr>
                <w:rFonts w:ascii="Times New Roman" w:hAnsi="Times New Roman"/>
                <w:sz w:val="22"/>
              </w:rPr>
              <w:t>Innkjøpsgruppe</w:t>
            </w:r>
          </w:p>
        </w:tc>
        <w:tc>
          <w:tcPr>
            <w:tcW w:type="dxa" w:w="2923"/>
          </w:tcPr>
          <w:p>
            <w:r/>
            <w:r>
              <w:rPr>
                <w:rFonts w:ascii="Times New Roman" w:hAnsi="Times New Roman"/>
                <w:sz w:val="22"/>
              </w:rPr>
              <w:t>300 / 3000</w:t>
            </w:r>
          </w:p>
        </w:tc>
        <w:tc>
          <w:tcPr>
            <w:tcW w:type="dxa" w:w="2923"/>
          </w:tcPr>
          <w:p>
            <w:r/>
            <w:r>
              <w:rPr>
                <w:rFonts w:ascii="Times New Roman" w:hAnsi="Times New Roman"/>
                <w:sz w:val="22"/>
              </w:rPr>
              <w:t>SAP MM</w:t>
            </w:r>
          </w:p>
        </w:tc>
      </w:tr>
      <w:tr>
        <w:tc>
          <w:tcPr>
            <w:tcW w:type="dxa" w:w="2923"/>
          </w:tcPr>
          <w:p>
            <w:r/>
            <w:r>
              <w:rPr>
                <w:rFonts w:ascii="Times New Roman" w:hAnsi="Times New Roman"/>
                <w:sz w:val="22"/>
              </w:rPr>
              <w:t>Bestillingstype</w:t>
            </w:r>
          </w:p>
        </w:tc>
        <w:tc>
          <w:tcPr>
            <w:tcW w:type="dxa" w:w="2923"/>
          </w:tcPr>
          <w:p>
            <w:r/>
            <w:r>
              <w:rPr>
                <w:rFonts w:ascii="Times New Roman" w:hAnsi="Times New Roman"/>
                <w:sz w:val="22"/>
              </w:rPr>
              <w:t>ZNB (lokal bestillingstype)</w:t>
            </w:r>
          </w:p>
        </w:tc>
        <w:tc>
          <w:tcPr>
            <w:tcW w:type="dxa" w:w="2923"/>
          </w:tcPr>
          <w:p>
            <w:r/>
            <w:r>
              <w:rPr>
                <w:rFonts w:ascii="Times New Roman" w:hAnsi="Times New Roman"/>
                <w:sz w:val="22"/>
              </w:rPr>
              <w:t>SAP MM</w:t>
            </w:r>
          </w:p>
        </w:tc>
      </w:tr>
    </w:tbl>
    <w:p>
      <w:r>
        <w:rPr>
          <w:rFonts w:ascii="Times New Roman" w:hAnsi="Times New Roman"/>
          <w:i/>
          <w:sz w:val="20"/>
        </w:rPr>
        <w:t>Tabell 3. Nøkkeltall for casevirksomheten Helse Bergen, WERKS 3300.</w:t>
      </w:r>
    </w:p>
    <w:p>
      <w:r>
        <w:drawing>
          <wp:inline xmlns:a="http://schemas.openxmlformats.org/drawingml/2006/main" xmlns:pic="http://schemas.openxmlformats.org/drawingml/2006/picture">
            <wp:extent cx="5400000" cy="2680986"/>
            <wp:docPr id="5" name="Picture 5"/>
            <wp:cNvGraphicFramePr>
              <a:graphicFrameLocks noChangeAspect="1"/>
            </wp:cNvGraphicFramePr>
            <a:graphic>
              <a:graphicData uri="http://schemas.openxmlformats.org/drawingml/2006/picture">
                <pic:pic>
                  <pic:nvPicPr>
                    <pic:cNvPr id="0" name="Fig01_Lagerstruktur.png"/>
                    <pic:cNvPicPr/>
                  </pic:nvPicPr>
                  <pic:blipFill>
                    <a:blip r:embed="rId23"/>
                    <a:stretch>
                      <a:fillRect/>
                    </a:stretch>
                  </pic:blipFill>
                  <pic:spPr>
                    <a:xfrm>
                      <a:off x="0" y="0"/>
                      <a:ext cx="5400000" cy="2680986"/>
                    </a:xfrm>
                    <a:prstGeom prst="rect"/>
                  </pic:spPr>
                </pic:pic>
              </a:graphicData>
            </a:graphic>
          </wp:inline>
        </w:drawing>
      </w:r>
    </w:p>
    <w:p>
      <w:pPr>
        <w:jc w:val="center"/>
      </w:pPr>
      <w:r>
        <w:rPr>
          <w:rFonts w:ascii="Times New Roman" w:hAnsi="Times New Roman"/>
          <w:i/>
          <w:sz w:val="20"/>
        </w:rPr>
        <w:t>Figur 2. Lagerstruktur – Helse Vest forsyningskjede (forenklet). Generert med støtte fra Claude (Anthropic, 2026).</w:t>
      </w:r>
    </w:p>
    <w:p>
      <w:pPr>
        <w:pStyle w:val="Overskrift2"/>
      </w:pPr>
      <w:r>
        <w:rPr>
          <w:rFonts w:ascii="Times New Roman" w:hAnsi="Times New Roman"/>
          <w:color w:val="000000"/>
          <w:sz w:val="32"/>
        </w:rPr>
        <w:t>3.2 HVFS og LIBRA-prosjektet</w:t>
      </w:r>
    </w:p>
    <w:p>
      <w:pPr>
        <w:spacing w:line="360" w:lineRule="auto"/>
      </w:pPr>
      <w:r>
        <w:rPr>
          <w:rFonts w:ascii="Times New Roman" w:hAnsi="Times New Roman" w:cs="Times New Roman"/>
          <w:sz w:val="24"/>
        </w:rPr>
        <w:t>Helse Vest Forsyningssenter (HVFS) er under etablering som et regionalt sentrallager for medisinsk forbruksmateriell for samtlige helseforetak i Helse Vest. NorEngros vant offentlig anbudskonkurranse som operatør og har ansvar for den fysiske lagerdriften ved HVFS (Helse Vest RHF, 2024). HVFS er konsipiert som en felles plattform som skal erstatte den fragmenterte strukturen der hvert helseforetak i dag forvalter egne lokale forsyningslagre med overlappende sortiment og separat innkjøpspraksis. Gjennom aggregering av innkjøpsvolum forventes det at HVFS kan oppnå stordriftsfordeler i forhandlinger med leverandører, redusere administrative transaksjonskostnader og sikre mer robust forsyningssikkerhet regionalt.</w:t>
      </w:r>
    </w:p>
    <w:p>
      <w:pPr>
        <w:spacing w:line="360" w:lineRule="auto"/>
      </w:pPr>
      <w:r>
        <w:rPr>
          <w:rFonts w:ascii="Times New Roman" w:hAnsi="Times New Roman" w:cs="Times New Roman"/>
          <w:sz w:val="24"/>
        </w:rPr>
        <w:t>Et sentralt element i HVFS-konseptet er innføringen av avdelingspakkede leveranser (APL). APL innebærer at forbruksmateriell pakkes per avdeling og leveres direkte til bruksstedet uten mellomhåndtering lokalt. Denne leveringsmodellen stiller høye krav til forutsigbarhet i etterspørselen — en forutsetning som gjør forbruksmønsterets stabilitet (XYZ-dimensjonen) til et relevant klassifiseringskriterium for HVFS-egnethet. APL-modellen er planlagt implementert frem mot 2029 og vil kreve et veldefinert og stabilt sortiment som grunnlag.</w:t>
      </w:r>
    </w:p>
    <w:p>
      <w:pPr>
        <w:spacing w:line="360" w:lineRule="auto"/>
      </w:pPr>
      <w:r>
        <w:rPr>
          <w:rFonts w:ascii="Times New Roman" w:hAnsi="Times New Roman" w:cs="Times New Roman"/>
          <w:sz w:val="24"/>
        </w:rPr>
        <w:t>LIBRA-prosjektet er Helse Vest IKTs regionale program for implementering og harmonisering av SAP S/4HANA på tvers av alle helseforetak i Helse Vest. Prosjektet har som mål å etablere en felles teknologisk plattform med standardiserte prosesser for blant annet materialforvaltning, innkjøp og logistikk. LIBRA legger det tekniske grunnlaget for at data fra ulike foretak kan sammenlignes og analyseres på tvers — en forutsetning for at HVFS-klassifisering skal ha overføringsverdi fra Helse Bergen til de øvrige foretakene. I forlengelsen av LIBRA-prosjektet er det naturlig å etablere standardiserte klassifiseringsmetodikker som kan driftes og oppdateres løpende i SAP, og denne oppgavens analysemodell er utviklet med dette perspektivet som bakteppe. Fragapane et al. (2019) understreker at overgangen til sentraliserte leveringsmodeller som APL krever et systematisk klassifiseringsgrunnlag for å skille mellom artikler som egner seg for sentralisering og artikler som bør forbli lokalt tilgjengelig av forsyningssikkerhetsgrunner.</w:t>
      </w:r>
    </w:p>
    <w:p>
      <w:pPr>
        <w:pStyle w:val="Overskrift2"/>
      </w:pPr>
      <w:r>
        <w:rPr>
          <w:rFonts w:ascii="Times New Roman" w:hAnsi="Times New Roman"/>
          <w:color w:val="000000"/>
          <w:sz w:val="32"/>
        </w:rPr>
        <w:t>3.3 Problemkontekst og datagrunnlag</w:t>
      </w:r>
    </w:p>
    <w:p>
      <w:pPr>
        <w:spacing w:line="360" w:lineRule="auto"/>
      </w:pPr>
      <w:r>
        <w:rPr>
          <w:rFonts w:ascii="Times New Roman" w:hAnsi="Times New Roman" w:cs="Times New Roman"/>
          <w:sz w:val="24"/>
        </w:rPr>
        <w:t>Helse Bergen forsyningslager mangler i dag et systematisk, datadrevet grunnlag for å avgjøre hvilke av lagerets artikler som bør overføres til HVFS. Beslutningene om sortimentstilhørighet treffes i stor grad basert på erfaring og skjønn, uten en strukturert analyse av verdi, forbruksmønster eller kostnadseffektiviteten ved nåværende bestillingspraksis. de Vries (2011) identifiserer nettopp dette som en typisk barriere i sykehuslogistikk: manglende informasjonssystemer og motstridende interessenthensyn fører til at lageromstillingsbeslutninger utsettes eller gjennomføres uten tilstrekkelig faglig grunnlag. Volland et al. (2017) bekrefter at lagerstyring i sykehus er et område med stor variasjon i modenhet — fra svært lite systematisert til avansert datadrevet styring — og at potensialet for forbedring gjennom strukturert klassifisering er dokumentert i litteraturen.</w:t>
      </w:r>
    </w:p>
    <w:p>
      <w:pPr>
        <w:spacing w:line="360" w:lineRule="auto"/>
      </w:pPr>
      <w:r>
        <w:rPr>
          <w:rFonts w:ascii="Times New Roman" w:hAnsi="Times New Roman" w:cs="Times New Roman"/>
          <w:sz w:val="24"/>
        </w:rPr>
        <w:t>I SAP S/4HANA er artikler tilordnet en SAP-generert XYZ-klassifisering (felt ZZXYZ i tabell MDMA), men denne klassifiseringen oppdateres ikke nødvendigvis løpende og kan basere seg på andre terskelverdier enn de som er standard i lagerstyringslitteraturen. Dette representerer en kjent problemstilling i foretaket: operative SAP-parametere er ikke alltid oppdatert i takt med faktiske forbruksmønstre, og det finnes ikke et etablert verktøy for å beregne klassifisering fra grunndataene på en reproduserbar måte. Fraværet av en slik modell er den direkte motivasjonen for denne oppgaven.</w:t>
      </w:r>
    </w:p>
    <w:p>
      <w:pPr>
        <w:spacing w:line="360" w:lineRule="auto"/>
      </w:pPr>
      <w:r>
        <w:rPr>
          <w:rFonts w:ascii="Times New Roman" w:hAnsi="Times New Roman" w:cs="Times New Roman"/>
          <w:sz w:val="24"/>
        </w:rPr>
        <w:t>Datagrunnlaget for analysen er hentet fra 14 SAP-tabeller via transaksjonen SE16H i SAP S/4HANA ved Helse Bergen, for perioden 2024–2025 (se Tabell 4 for fullstendig tabelloversikt). Tabellene dekker fire funksjonelle kategorier. Masterdata — MARD, MDMA, MARA, MAKT, MARC og MBEW — definerer artikkeluniverset, gir pris- og varegruppedata samt Helse Bergens operative ABC/XYZ-indikatorer. Forbruksdata fra MSEG (bevegelsestype BWART 201 og 647) registrerer faktisk forbruk ut fra lageret til avdeling på månedlig nivå, og er grunnlaget for XYZ-klassifisering og beregning av etterspørselen D i EOQ-formelen. Innkjøpsdata fra EKKO, EKPO og EKBE dokumenterer innkjøpsordrer og varemottak fra leverandør i analyseperioden, og benyttes til ABC-verdiberegning og kartlegging av faktisk bestillingsfrekvens. Supplerende tabeller — EINA, EINE og T023T — bidrar med leveringstidsdata og varegruppenavn. Det er en viktig funksjonell distinksjon at forbruksdata (MSEG) og innkjøpsdata (EKKO/EKPO/EKBE) representerer henholdsvis vareflyt ut av og inn til lager, og benyttes til ulike analysedimensjoner.</w:t>
      </w:r>
    </w:p>
    <w:p>
      <w:pPr>
        <w:spacing w:line="360" w:lineRule="auto"/>
      </w:pPr>
      <w:r>
        <w:rPr>
          <w:rFonts w:ascii="Times New Roman" w:hAnsi="Times New Roman" w:cs="Times New Roman"/>
          <w:sz w:val="24"/>
        </w:rPr>
        <w:t>Datapipelinen fra råuttrekk til analyseresultat er illustrert i Figur 3. En sentral datakvalitetsutfordring er at enhetspris i MBEW (feltet STPRS) ikke er per stykk, men per prisenhet (PEINH), som ofte er 10 eller 100 for medisinsk forbruksmateriell. Korrekt enhetspris beregnes derfor som STPRS ÷ PEINH. I tillegg mangler 204 artikler innkjøpsdata fra EKPO i analyseperioden, noe som nødvendiggjør en alternativ verdiberegning basert på annualisert forbruk og enhetspris. Disse og øvrige datakvalitetsbeslutninger er dokumentert i kapittel 4.</w:t>
      </w:r>
    </w:p>
    <w:p>
      <w:pPr>
        <w:pStyle w:val="Overskrift1"/>
        <w:pageBreakBefore w:val="true"/>
      </w:pPr>
      <w:r>
        <w:rPr>
          <w:rFonts w:ascii="Times New Roman" w:hAnsi="Times New Roman"/>
          <w:color w:val="000000"/>
          <w:sz w:val="36"/>
        </w:rPr>
        <w:t>Kapittel 4 – Metode og data</w:t>
      </w:r>
    </w:p>
    <w:p>
      <w:pPr>
        <w:pStyle w:val="Overskrift2"/>
      </w:pPr>
      <w:r>
        <w:rPr>
          <w:rFonts w:ascii="Times New Roman" w:hAnsi="Times New Roman"/>
          <w:color w:val="000000"/>
          <w:sz w:val="32"/>
        </w:rPr>
        <w:t>4.1 Forskningsdesign</w:t>
      </w:r>
    </w:p>
    <w:p>
      <w:pPr>
        <w:spacing w:line="360" w:lineRule="auto"/>
      </w:pPr>
      <w:r>
        <w:rPr>
          <w:rFonts w:ascii="Times New Roman" w:hAnsi="Times New Roman" w:cs="Times New Roman"/>
          <w:sz w:val="24"/>
        </w:rPr>
        <w:t xml:space="preserve">Denne studien er utformet som en kvantitativ, deskriptiv casestudie med analytisk tilnærming. Casestudiedesignet er valgt fordi problemstillingen er avgrenset til ett konkret case – Helse Bergens forsyningslager WERKS 3300, LGORT 3001 – og fordi målet er å generere handlingsrettede anbefalinger basert på de operasjonelle dataene som faktisk eksisterer i dette systemet, ikke på hypotetiske standardsituasjoner. Et casestudiedesign egner seg særlig når forskningsspørsmålet handler om </w:t>
      </w:r>
      <w:r>
        <w:rPr>
          <w:rFonts w:ascii="Times New Roman" w:hAnsi="Times New Roman" w:cs="Times New Roman"/>
          <w:i/>
          <w:sz w:val="24"/>
        </w:rPr>
        <w:t>hvordan</w:t>
      </w:r>
      <w:r>
        <w:rPr>
          <w:rFonts w:ascii="Times New Roman" w:hAnsi="Times New Roman" w:cs="Times New Roman"/>
          <w:sz w:val="24"/>
        </w:rPr>
        <w:t xml:space="preserve"> og </w:t>
      </w:r>
      <w:r>
        <w:rPr>
          <w:rFonts w:ascii="Times New Roman" w:hAnsi="Times New Roman" w:cs="Times New Roman"/>
          <w:i/>
          <w:sz w:val="24"/>
        </w:rPr>
        <w:t>hva</w:t>
      </w:r>
      <w:r>
        <w:rPr>
          <w:rFonts w:ascii="Times New Roman" w:hAnsi="Times New Roman" w:cs="Times New Roman"/>
          <w:sz w:val="24"/>
        </w:rPr>
        <w:t xml:space="preserve"> innenfor et avgrenset, kontekstuelt rikt fenomen, og når grensen mellom fenomen og kontekst er uløselig knyttet til den operative konteksten. Sistnevnte kjennetegn er tydelig til stede her: lagerstruktur, prislogikk og forbruksmønstre er uløselig knyttet til Helse Bergens organisatoriske og teknologiske kontekst.</w:t>
      </w:r>
    </w:p>
    <w:p>
      <w:pPr>
        <w:spacing w:line="360" w:lineRule="auto"/>
      </w:pPr>
      <w:r>
        <w:rPr>
          <w:rFonts w:ascii="Times New Roman" w:hAnsi="Times New Roman" w:cs="Times New Roman"/>
          <w:sz w:val="24"/>
        </w:rPr>
        <w:t>Studien er kvantitativ i den forstand at alle analyser er basert på numeriske data hentet fra SAP S/4HANA-transaksjoner. Det benyttes ingen spørreundersøkelser, intervjuer eller deltakerobservasjon. Dette er et bevisst valg: operasjonelle ERP-data er direkte registrert i systemet ved hvert varemottak, lageruttak og innkjøp, og er derfor ikke gjenstand for hukommelsesfeil, sosial ønskverdighet eller subjektiv tolkning, slik selvrapporterte data kan være (Saha &amp; Ray, 2019). Analyseenheten er den individuelle lagerartikkelen (SKU), og populasjonen er de 709 aktive artiklene i LGORT 3001 per analyseperioden 2024–2025.</w:t>
      </w:r>
    </w:p>
    <w:p>
      <w:pPr>
        <w:spacing w:line="360" w:lineRule="auto"/>
      </w:pPr>
      <w:r>
        <w:rPr>
          <w:rFonts w:ascii="Times New Roman" w:hAnsi="Times New Roman" w:cs="Times New Roman"/>
          <w:sz w:val="24"/>
        </w:rPr>
        <w:t>Studien er deskriptiv i den forstand at den karakteriserer og klassifiserer eksisterende lagerartikler – den setter ikke opp et kontrollert eksperiment eller manipulerer variabler. Den er analytisk i den forstand at klassifiseringsresultatene kombineres i en regelbasert beslutningsmodell som produserer overføringsanbefalinger med tilhørende besparelsesestimater (van Kampen et al., 2012). Generaliserbarhet er begrenset til sammenlignbare sykehuslagre med SAP-infrastruktur; studien har ikke som ambisjon å produsere universelle funn, men å gi et reproduserbart metoderammeverk som kan tilpasses andre WERKS-enheter innenfor Helse Vest.</w:t>
      </w:r>
    </w:p>
    <w:p>
      <w:pPr>
        <w:pStyle w:val="Overskrift2"/>
      </w:pPr>
      <w:r>
        <w:rPr>
          <w:rFonts w:ascii="Times New Roman" w:hAnsi="Times New Roman"/>
          <w:color w:val="000000"/>
          <w:sz w:val="32"/>
        </w:rPr>
        <w:t>4.2 Datainnsamling</w:t>
      </w:r>
    </w:p>
    <w:p>
      <w:pPr>
        <w:spacing w:line="360" w:lineRule="auto"/>
      </w:pPr>
      <w:r>
        <w:rPr>
          <w:rFonts w:ascii="Times New Roman" w:hAnsi="Times New Roman" w:cs="Times New Roman"/>
          <w:sz w:val="24"/>
        </w:rPr>
        <w:t>Alle data er hentet fra SAP S/4HANA via transaksjonen SE16H, som gir direkte lesetilgang til databasetabeller uten å gjøre endringer i systemet. Uttrekket er begrenset til WERKS 3300 og LGORT 3001, og dekker en analyseperiode på 24 måneder (januar 2024 til desember 2025). Perioden er valgt fordi den er lang nok til å fange sesongvariasjon og irregulære hendelser i forbruksmønsteret, uten å inkludere data fra perioder med vesentlig annerledes driftsforhold. Tabellen nedenfor gir en oversikt over de 14 SAP-tabellene som inngår i grunnlaget.</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192"/>
        <w:gridCol w:w="2192"/>
        <w:gridCol w:w="2192"/>
        <w:gridCol w:w="2192"/>
      </w:tblGrid>
      <w:tr>
        <w:tc>
          <w:tcPr>
            <w:tcW w:type="dxa" w:w="2192"/>
            <w:tcBorders>
              <w:top w:val="single" w:sz="8" w:space="0" w:color="000000"/>
              <w:bottom w:val="single" w:sz="4" w:space="0" w:color="000000"/>
              <w:left w:val="nil"/>
              <w:right w:val="nil"/>
            </w:tcBorders>
          </w:tcPr>
          <w:p>
            <w:r/>
            <w:r>
              <w:rPr>
                <w:rFonts w:ascii="Times New Roman" w:hAnsi="Times New Roman"/>
                <w:b/>
                <w:sz w:val="22"/>
              </w:rPr>
              <w:t>Nr</w:t>
            </w:r>
          </w:p>
        </w:tc>
        <w:tc>
          <w:tcPr>
            <w:tcW w:type="dxa" w:w="2192"/>
            <w:tcBorders>
              <w:top w:val="single" w:sz="8" w:space="0" w:color="000000"/>
              <w:bottom w:val="single" w:sz="4" w:space="0" w:color="000000"/>
              <w:left w:val="nil"/>
              <w:right w:val="nil"/>
            </w:tcBorders>
          </w:tcPr>
          <w:p>
            <w:r/>
            <w:r>
              <w:rPr>
                <w:rFonts w:ascii="Times New Roman" w:hAnsi="Times New Roman"/>
                <w:b/>
                <w:sz w:val="22"/>
              </w:rPr>
              <w:t>Tabell</w:t>
            </w:r>
          </w:p>
        </w:tc>
        <w:tc>
          <w:tcPr>
            <w:tcW w:type="dxa" w:w="2192"/>
            <w:tcBorders>
              <w:top w:val="single" w:sz="8" w:space="0" w:color="000000"/>
              <w:bottom w:val="single" w:sz="4" w:space="0" w:color="000000"/>
              <w:left w:val="nil"/>
              <w:right w:val="nil"/>
            </w:tcBorders>
          </w:tcPr>
          <w:p>
            <w:r/>
            <w:r>
              <w:rPr>
                <w:rFonts w:ascii="Times New Roman" w:hAnsi="Times New Roman"/>
                <w:b/>
                <w:sz w:val="22"/>
              </w:rPr>
              <w:t>Beskrivelse</w:t>
            </w:r>
          </w:p>
        </w:tc>
        <w:tc>
          <w:tcPr>
            <w:tcW w:type="dxa" w:w="2192"/>
            <w:tcBorders>
              <w:top w:val="single" w:sz="8" w:space="0" w:color="000000"/>
              <w:bottom w:val="single" w:sz="4" w:space="0" w:color="000000"/>
              <w:left w:val="nil"/>
              <w:right w:val="nil"/>
            </w:tcBorders>
          </w:tcPr>
          <w:p>
            <w:r/>
            <w:r>
              <w:rPr>
                <w:rFonts w:ascii="Times New Roman" w:hAnsi="Times New Roman"/>
                <w:b/>
                <w:sz w:val="22"/>
              </w:rPr>
              <w:t>Kategori</w:t>
            </w:r>
          </w:p>
        </w:tc>
      </w:tr>
      <w:tr>
        <w:tc>
          <w:tcPr>
            <w:tcW w:type="dxa" w:w="2192"/>
          </w:tcPr>
          <w:p>
            <w:r/>
            <w:r>
              <w:rPr>
                <w:rFonts w:ascii="Times New Roman" w:hAnsi="Times New Roman"/>
                <w:sz w:val="22"/>
              </w:rPr>
              <w:t>1</w:t>
            </w:r>
          </w:p>
        </w:tc>
        <w:tc>
          <w:tcPr>
            <w:tcW w:type="dxa" w:w="2192"/>
          </w:tcPr>
          <w:p>
            <w:r/>
            <w:r>
              <w:rPr>
                <w:rFonts w:ascii="Times New Roman" w:hAnsi="Times New Roman"/>
                <w:sz w:val="22"/>
              </w:rPr>
              <w:t>MARD</w:t>
            </w:r>
          </w:p>
        </w:tc>
        <w:tc>
          <w:tcPr>
            <w:tcW w:type="dxa" w:w="2192"/>
          </w:tcPr>
          <w:p>
            <w:r/>
            <w:r>
              <w:rPr>
                <w:rFonts w:ascii="Times New Roman" w:hAnsi="Times New Roman"/>
                <w:sz w:val="22"/>
              </w:rPr>
              <w:t>Lagerdata per lagersted (beholdning)</w:t>
            </w:r>
          </w:p>
        </w:tc>
        <w:tc>
          <w:tcPr>
            <w:tcW w:type="dxa" w:w="2192"/>
          </w:tcPr>
          <w:p>
            <w:r/>
            <w:r>
              <w:rPr>
                <w:rFonts w:ascii="Times New Roman" w:hAnsi="Times New Roman"/>
                <w:sz w:val="22"/>
              </w:rPr>
              <w:t>Masterdata</w:t>
            </w:r>
          </w:p>
        </w:tc>
      </w:tr>
      <w:tr>
        <w:tc>
          <w:tcPr>
            <w:tcW w:type="dxa" w:w="2192"/>
          </w:tcPr>
          <w:p>
            <w:r/>
            <w:r>
              <w:rPr>
                <w:rFonts w:ascii="Times New Roman" w:hAnsi="Times New Roman"/>
                <w:sz w:val="22"/>
              </w:rPr>
              <w:t>2</w:t>
            </w:r>
          </w:p>
        </w:tc>
        <w:tc>
          <w:tcPr>
            <w:tcW w:type="dxa" w:w="2192"/>
          </w:tcPr>
          <w:p>
            <w:r/>
            <w:r>
              <w:rPr>
                <w:rFonts w:ascii="Times New Roman" w:hAnsi="Times New Roman"/>
                <w:sz w:val="22"/>
              </w:rPr>
              <w:t>MDMA</w:t>
            </w:r>
          </w:p>
        </w:tc>
        <w:tc>
          <w:tcPr>
            <w:tcW w:type="dxa" w:w="2192"/>
          </w:tcPr>
          <w:p>
            <w:r/>
            <w:r>
              <w:rPr>
                <w:rFonts w:ascii="Times New Roman" w:hAnsi="Times New Roman"/>
                <w:sz w:val="22"/>
              </w:rPr>
              <w:t>MRP-data, ABC/XYZ-indikator (ZZABC, ZZXYZ)</w:t>
            </w:r>
          </w:p>
        </w:tc>
        <w:tc>
          <w:tcPr>
            <w:tcW w:type="dxa" w:w="2192"/>
          </w:tcPr>
          <w:p>
            <w:r/>
            <w:r>
              <w:rPr>
                <w:rFonts w:ascii="Times New Roman" w:hAnsi="Times New Roman"/>
                <w:sz w:val="22"/>
              </w:rPr>
              <w:t>Masterdata</w:t>
            </w:r>
          </w:p>
        </w:tc>
      </w:tr>
      <w:tr>
        <w:tc>
          <w:tcPr>
            <w:tcW w:type="dxa" w:w="2192"/>
          </w:tcPr>
          <w:p>
            <w:r/>
            <w:r>
              <w:rPr>
                <w:rFonts w:ascii="Times New Roman" w:hAnsi="Times New Roman"/>
                <w:sz w:val="22"/>
              </w:rPr>
              <w:t>3</w:t>
            </w:r>
          </w:p>
        </w:tc>
        <w:tc>
          <w:tcPr>
            <w:tcW w:type="dxa" w:w="2192"/>
          </w:tcPr>
          <w:p>
            <w:r/>
            <w:r>
              <w:rPr>
                <w:rFonts w:ascii="Times New Roman" w:hAnsi="Times New Roman"/>
                <w:sz w:val="22"/>
              </w:rPr>
              <w:t>MARA</w:t>
            </w:r>
          </w:p>
        </w:tc>
        <w:tc>
          <w:tcPr>
            <w:tcW w:type="dxa" w:w="2192"/>
          </w:tcPr>
          <w:p>
            <w:r/>
            <w:r>
              <w:rPr>
                <w:rFonts w:ascii="Times New Roman" w:hAnsi="Times New Roman"/>
                <w:sz w:val="22"/>
              </w:rPr>
              <w:t>Artikkelstamdata (MTART, MATKL, MEINS)</w:t>
            </w:r>
          </w:p>
        </w:tc>
        <w:tc>
          <w:tcPr>
            <w:tcW w:type="dxa" w:w="2192"/>
          </w:tcPr>
          <w:p>
            <w:r/>
            <w:r>
              <w:rPr>
                <w:rFonts w:ascii="Times New Roman" w:hAnsi="Times New Roman"/>
                <w:sz w:val="22"/>
              </w:rPr>
              <w:t>Masterdata</w:t>
            </w:r>
          </w:p>
        </w:tc>
      </w:tr>
      <w:tr>
        <w:tc>
          <w:tcPr>
            <w:tcW w:type="dxa" w:w="2192"/>
          </w:tcPr>
          <w:p>
            <w:r/>
            <w:r>
              <w:rPr>
                <w:rFonts w:ascii="Times New Roman" w:hAnsi="Times New Roman"/>
                <w:sz w:val="22"/>
              </w:rPr>
              <w:t>4</w:t>
            </w:r>
          </w:p>
        </w:tc>
        <w:tc>
          <w:tcPr>
            <w:tcW w:type="dxa" w:w="2192"/>
          </w:tcPr>
          <w:p>
            <w:r/>
            <w:r>
              <w:rPr>
                <w:rFonts w:ascii="Times New Roman" w:hAnsi="Times New Roman"/>
                <w:sz w:val="22"/>
              </w:rPr>
              <w:t>MAKT</w:t>
            </w:r>
          </w:p>
        </w:tc>
        <w:tc>
          <w:tcPr>
            <w:tcW w:type="dxa" w:w="2192"/>
          </w:tcPr>
          <w:p>
            <w:r/>
            <w:r>
              <w:rPr>
                <w:rFonts w:ascii="Times New Roman" w:hAnsi="Times New Roman"/>
                <w:sz w:val="22"/>
              </w:rPr>
              <w:t>Artikkeltekst (MAKTX)</w:t>
            </w:r>
          </w:p>
        </w:tc>
        <w:tc>
          <w:tcPr>
            <w:tcW w:type="dxa" w:w="2192"/>
          </w:tcPr>
          <w:p>
            <w:r/>
            <w:r>
              <w:rPr>
                <w:rFonts w:ascii="Times New Roman" w:hAnsi="Times New Roman"/>
                <w:sz w:val="22"/>
              </w:rPr>
              <w:t>Masterdata</w:t>
            </w:r>
          </w:p>
        </w:tc>
      </w:tr>
      <w:tr>
        <w:tc>
          <w:tcPr>
            <w:tcW w:type="dxa" w:w="2192"/>
          </w:tcPr>
          <w:p>
            <w:r/>
            <w:r>
              <w:rPr>
                <w:rFonts w:ascii="Times New Roman" w:hAnsi="Times New Roman"/>
                <w:sz w:val="22"/>
              </w:rPr>
              <w:t>5</w:t>
            </w:r>
          </w:p>
        </w:tc>
        <w:tc>
          <w:tcPr>
            <w:tcW w:type="dxa" w:w="2192"/>
          </w:tcPr>
          <w:p>
            <w:r/>
            <w:r>
              <w:rPr>
                <w:rFonts w:ascii="Times New Roman" w:hAnsi="Times New Roman"/>
                <w:sz w:val="22"/>
              </w:rPr>
              <w:t>MARC</w:t>
            </w:r>
          </w:p>
        </w:tc>
        <w:tc>
          <w:tcPr>
            <w:tcW w:type="dxa" w:w="2192"/>
          </w:tcPr>
          <w:p>
            <w:r/>
            <w:r>
              <w:rPr>
                <w:rFonts w:ascii="Times New Roman" w:hAnsi="Times New Roman"/>
                <w:sz w:val="22"/>
              </w:rPr>
              <w:t>Anleggsdata per materiale (MARC_ABC)</w:t>
            </w:r>
          </w:p>
        </w:tc>
        <w:tc>
          <w:tcPr>
            <w:tcW w:type="dxa" w:w="2192"/>
          </w:tcPr>
          <w:p>
            <w:r/>
            <w:r>
              <w:rPr>
                <w:rFonts w:ascii="Times New Roman" w:hAnsi="Times New Roman"/>
                <w:sz w:val="22"/>
              </w:rPr>
              <w:t>Masterdata</w:t>
            </w:r>
          </w:p>
        </w:tc>
      </w:tr>
      <w:tr>
        <w:tc>
          <w:tcPr>
            <w:tcW w:type="dxa" w:w="2192"/>
          </w:tcPr>
          <w:p>
            <w:r/>
            <w:r>
              <w:rPr>
                <w:rFonts w:ascii="Times New Roman" w:hAnsi="Times New Roman"/>
                <w:sz w:val="22"/>
              </w:rPr>
              <w:t>6</w:t>
            </w:r>
          </w:p>
        </w:tc>
        <w:tc>
          <w:tcPr>
            <w:tcW w:type="dxa" w:w="2192"/>
          </w:tcPr>
          <w:p>
            <w:r/>
            <w:r>
              <w:rPr>
                <w:rFonts w:ascii="Times New Roman" w:hAnsi="Times New Roman"/>
                <w:sz w:val="22"/>
              </w:rPr>
              <w:t>MBEW</w:t>
            </w:r>
          </w:p>
        </w:tc>
        <w:tc>
          <w:tcPr>
            <w:tcW w:type="dxa" w:w="2192"/>
          </w:tcPr>
          <w:p>
            <w:r/>
            <w:r>
              <w:rPr>
                <w:rFonts w:ascii="Times New Roman" w:hAnsi="Times New Roman"/>
                <w:sz w:val="22"/>
              </w:rPr>
              <w:t>Verdsettingsdata (STPRS, PEINH)</w:t>
            </w:r>
          </w:p>
        </w:tc>
        <w:tc>
          <w:tcPr>
            <w:tcW w:type="dxa" w:w="2192"/>
          </w:tcPr>
          <w:p>
            <w:r/>
            <w:r>
              <w:rPr>
                <w:rFonts w:ascii="Times New Roman" w:hAnsi="Times New Roman"/>
                <w:sz w:val="22"/>
              </w:rPr>
              <w:t>Masterdata</w:t>
            </w:r>
          </w:p>
        </w:tc>
      </w:tr>
      <w:tr>
        <w:tc>
          <w:tcPr>
            <w:tcW w:type="dxa" w:w="2192"/>
          </w:tcPr>
          <w:p>
            <w:r/>
            <w:r>
              <w:rPr>
                <w:rFonts w:ascii="Times New Roman" w:hAnsi="Times New Roman"/>
                <w:sz w:val="22"/>
              </w:rPr>
              <w:t>7</w:t>
            </w:r>
          </w:p>
        </w:tc>
        <w:tc>
          <w:tcPr>
            <w:tcW w:type="dxa" w:w="2192"/>
          </w:tcPr>
          <w:p>
            <w:r/>
            <w:r>
              <w:rPr>
                <w:rFonts w:ascii="Times New Roman" w:hAnsi="Times New Roman"/>
                <w:sz w:val="22"/>
              </w:rPr>
              <w:t>MSEG</w:t>
            </w:r>
          </w:p>
        </w:tc>
        <w:tc>
          <w:tcPr>
            <w:tcW w:type="dxa" w:w="2192"/>
          </w:tcPr>
          <w:p>
            <w:r/>
            <w:r>
              <w:rPr>
                <w:rFonts w:ascii="Times New Roman" w:hAnsi="Times New Roman"/>
                <w:sz w:val="22"/>
              </w:rPr>
              <w:t>Varebevegelser, forbruk (BWART 201, 647)</w:t>
            </w:r>
          </w:p>
        </w:tc>
        <w:tc>
          <w:tcPr>
            <w:tcW w:type="dxa" w:w="2192"/>
          </w:tcPr>
          <w:p>
            <w:r/>
            <w:r>
              <w:rPr>
                <w:rFonts w:ascii="Times New Roman" w:hAnsi="Times New Roman"/>
                <w:sz w:val="22"/>
              </w:rPr>
              <w:t>Forbruksdata</w:t>
            </w:r>
          </w:p>
        </w:tc>
      </w:tr>
      <w:tr>
        <w:tc>
          <w:tcPr>
            <w:tcW w:type="dxa" w:w="2192"/>
          </w:tcPr>
          <w:p>
            <w:r/>
            <w:r>
              <w:rPr>
                <w:rFonts w:ascii="Times New Roman" w:hAnsi="Times New Roman"/>
                <w:sz w:val="22"/>
              </w:rPr>
              <w:t>8</w:t>
            </w:r>
          </w:p>
        </w:tc>
        <w:tc>
          <w:tcPr>
            <w:tcW w:type="dxa" w:w="2192"/>
          </w:tcPr>
          <w:p>
            <w:r/>
            <w:r>
              <w:rPr>
                <w:rFonts w:ascii="Times New Roman" w:hAnsi="Times New Roman"/>
                <w:sz w:val="22"/>
              </w:rPr>
              <w:t>EKKO</w:t>
            </w:r>
          </w:p>
        </w:tc>
        <w:tc>
          <w:tcPr>
            <w:tcW w:type="dxa" w:w="2192"/>
          </w:tcPr>
          <w:p>
            <w:r/>
            <w:r>
              <w:rPr>
                <w:rFonts w:ascii="Times New Roman" w:hAnsi="Times New Roman"/>
                <w:sz w:val="22"/>
              </w:rPr>
              <w:t>Innkjøpsordrehoder (bestillingstype ZNB)</w:t>
            </w:r>
          </w:p>
        </w:tc>
        <w:tc>
          <w:tcPr>
            <w:tcW w:type="dxa" w:w="2192"/>
          </w:tcPr>
          <w:p>
            <w:r/>
            <w:r>
              <w:rPr>
                <w:rFonts w:ascii="Times New Roman" w:hAnsi="Times New Roman"/>
                <w:sz w:val="22"/>
              </w:rPr>
              <w:t>Innkjøpsdata</w:t>
            </w:r>
          </w:p>
        </w:tc>
      </w:tr>
      <w:tr>
        <w:tc>
          <w:tcPr>
            <w:tcW w:type="dxa" w:w="2192"/>
          </w:tcPr>
          <w:p>
            <w:r/>
            <w:r>
              <w:rPr>
                <w:rFonts w:ascii="Times New Roman" w:hAnsi="Times New Roman"/>
                <w:sz w:val="22"/>
              </w:rPr>
              <w:t>9</w:t>
            </w:r>
          </w:p>
        </w:tc>
        <w:tc>
          <w:tcPr>
            <w:tcW w:type="dxa" w:w="2192"/>
          </w:tcPr>
          <w:p>
            <w:r/>
            <w:r>
              <w:rPr>
                <w:rFonts w:ascii="Times New Roman" w:hAnsi="Times New Roman"/>
                <w:sz w:val="22"/>
              </w:rPr>
              <w:t>EKPO</w:t>
            </w:r>
          </w:p>
        </w:tc>
        <w:tc>
          <w:tcPr>
            <w:tcW w:type="dxa" w:w="2192"/>
          </w:tcPr>
          <w:p>
            <w:r/>
            <w:r>
              <w:rPr>
                <w:rFonts w:ascii="Times New Roman" w:hAnsi="Times New Roman"/>
                <w:sz w:val="22"/>
              </w:rPr>
              <w:t>Innkjøpsordreposisjoner (NETWR)</w:t>
            </w:r>
          </w:p>
        </w:tc>
        <w:tc>
          <w:tcPr>
            <w:tcW w:type="dxa" w:w="2192"/>
          </w:tcPr>
          <w:p>
            <w:r/>
            <w:r>
              <w:rPr>
                <w:rFonts w:ascii="Times New Roman" w:hAnsi="Times New Roman"/>
                <w:sz w:val="22"/>
              </w:rPr>
              <w:t>Innkjøpsdata</w:t>
            </w:r>
          </w:p>
        </w:tc>
      </w:tr>
      <w:tr>
        <w:tc>
          <w:tcPr>
            <w:tcW w:type="dxa" w:w="2192"/>
          </w:tcPr>
          <w:p>
            <w:r/>
            <w:r>
              <w:rPr>
                <w:rFonts w:ascii="Times New Roman" w:hAnsi="Times New Roman"/>
                <w:sz w:val="22"/>
              </w:rPr>
              <w:t>10</w:t>
            </w:r>
          </w:p>
        </w:tc>
        <w:tc>
          <w:tcPr>
            <w:tcW w:type="dxa" w:w="2192"/>
          </w:tcPr>
          <w:p>
            <w:r/>
            <w:r>
              <w:rPr>
                <w:rFonts w:ascii="Times New Roman" w:hAnsi="Times New Roman"/>
                <w:sz w:val="22"/>
              </w:rPr>
              <w:t>EKBE</w:t>
            </w:r>
          </w:p>
        </w:tc>
        <w:tc>
          <w:tcPr>
            <w:tcW w:type="dxa" w:w="2192"/>
          </w:tcPr>
          <w:p>
            <w:r/>
            <w:r>
              <w:rPr>
                <w:rFonts w:ascii="Times New Roman" w:hAnsi="Times New Roman"/>
                <w:sz w:val="22"/>
              </w:rPr>
              <w:t>Innkjøpsordrehistorikk/varemottak</w:t>
            </w:r>
          </w:p>
        </w:tc>
        <w:tc>
          <w:tcPr>
            <w:tcW w:type="dxa" w:w="2192"/>
          </w:tcPr>
          <w:p>
            <w:r/>
            <w:r>
              <w:rPr>
                <w:rFonts w:ascii="Times New Roman" w:hAnsi="Times New Roman"/>
                <w:sz w:val="22"/>
              </w:rPr>
              <w:t>Innkjøpsdata</w:t>
            </w:r>
          </w:p>
        </w:tc>
      </w:tr>
      <w:tr>
        <w:tc>
          <w:tcPr>
            <w:tcW w:type="dxa" w:w="2192"/>
          </w:tcPr>
          <w:p>
            <w:r/>
            <w:r>
              <w:rPr>
                <w:rFonts w:ascii="Times New Roman" w:hAnsi="Times New Roman"/>
                <w:sz w:val="22"/>
              </w:rPr>
              <w:t>11</w:t>
            </w:r>
          </w:p>
        </w:tc>
        <w:tc>
          <w:tcPr>
            <w:tcW w:type="dxa" w:w="2192"/>
          </w:tcPr>
          <w:p>
            <w:r/>
            <w:r>
              <w:rPr>
                <w:rFonts w:ascii="Times New Roman" w:hAnsi="Times New Roman"/>
                <w:sz w:val="22"/>
              </w:rPr>
              <w:t>EINA</w:t>
            </w:r>
          </w:p>
        </w:tc>
        <w:tc>
          <w:tcPr>
            <w:tcW w:type="dxa" w:w="2192"/>
          </w:tcPr>
          <w:p>
            <w:r/>
            <w:r>
              <w:rPr>
                <w:rFonts w:ascii="Times New Roman" w:hAnsi="Times New Roman"/>
                <w:sz w:val="22"/>
              </w:rPr>
              <w:t>Innkjøpsinforecord – generell del</w:t>
            </w:r>
          </w:p>
        </w:tc>
        <w:tc>
          <w:tcPr>
            <w:tcW w:type="dxa" w:w="2192"/>
          </w:tcPr>
          <w:p>
            <w:r/>
            <w:r>
              <w:rPr>
                <w:rFonts w:ascii="Times New Roman" w:hAnsi="Times New Roman"/>
                <w:sz w:val="22"/>
              </w:rPr>
              <w:t>Supplerende</w:t>
            </w:r>
          </w:p>
        </w:tc>
      </w:tr>
      <w:tr>
        <w:tc>
          <w:tcPr>
            <w:tcW w:type="dxa" w:w="2192"/>
          </w:tcPr>
          <w:p>
            <w:r/>
            <w:r>
              <w:rPr>
                <w:rFonts w:ascii="Times New Roman" w:hAnsi="Times New Roman"/>
                <w:sz w:val="22"/>
              </w:rPr>
              <w:t>12</w:t>
            </w:r>
          </w:p>
        </w:tc>
        <w:tc>
          <w:tcPr>
            <w:tcW w:type="dxa" w:w="2192"/>
          </w:tcPr>
          <w:p>
            <w:r/>
            <w:r>
              <w:rPr>
                <w:rFonts w:ascii="Times New Roman" w:hAnsi="Times New Roman"/>
                <w:sz w:val="22"/>
              </w:rPr>
              <w:t>EINE</w:t>
            </w:r>
          </w:p>
        </w:tc>
        <w:tc>
          <w:tcPr>
            <w:tcW w:type="dxa" w:w="2192"/>
          </w:tcPr>
          <w:p>
            <w:r/>
            <w:r>
              <w:rPr>
                <w:rFonts w:ascii="Times New Roman" w:hAnsi="Times New Roman"/>
                <w:sz w:val="22"/>
              </w:rPr>
              <w:t>Innkjøpsinforecord – organisasjonsdel (WETAG)</w:t>
            </w:r>
          </w:p>
        </w:tc>
        <w:tc>
          <w:tcPr>
            <w:tcW w:type="dxa" w:w="2192"/>
          </w:tcPr>
          <w:p>
            <w:r/>
            <w:r>
              <w:rPr>
                <w:rFonts w:ascii="Times New Roman" w:hAnsi="Times New Roman"/>
                <w:sz w:val="22"/>
              </w:rPr>
              <w:t>Supplerende</w:t>
            </w:r>
          </w:p>
        </w:tc>
      </w:tr>
      <w:tr>
        <w:tc>
          <w:tcPr>
            <w:tcW w:type="dxa" w:w="2192"/>
          </w:tcPr>
          <w:p>
            <w:r/>
            <w:r>
              <w:rPr>
                <w:rFonts w:ascii="Times New Roman" w:hAnsi="Times New Roman"/>
                <w:sz w:val="22"/>
              </w:rPr>
              <w:t>13</w:t>
            </w:r>
          </w:p>
        </w:tc>
        <w:tc>
          <w:tcPr>
            <w:tcW w:type="dxa" w:w="2192"/>
          </w:tcPr>
          <w:p>
            <w:r/>
            <w:r>
              <w:rPr>
                <w:rFonts w:ascii="Times New Roman" w:hAnsi="Times New Roman"/>
                <w:sz w:val="22"/>
              </w:rPr>
              <w:t>T023T</w:t>
            </w:r>
          </w:p>
        </w:tc>
        <w:tc>
          <w:tcPr>
            <w:tcW w:type="dxa" w:w="2192"/>
          </w:tcPr>
          <w:p>
            <w:r/>
            <w:r>
              <w:rPr>
                <w:rFonts w:ascii="Times New Roman" w:hAnsi="Times New Roman"/>
                <w:sz w:val="22"/>
              </w:rPr>
              <w:t>Varegruppenavn (WGBEZ)</w:t>
            </w:r>
          </w:p>
        </w:tc>
        <w:tc>
          <w:tcPr>
            <w:tcW w:type="dxa" w:w="2192"/>
          </w:tcPr>
          <w:p>
            <w:r/>
            <w:r>
              <w:rPr>
                <w:rFonts w:ascii="Times New Roman" w:hAnsi="Times New Roman"/>
                <w:sz w:val="22"/>
              </w:rPr>
              <w:t>Supplerende</w:t>
            </w:r>
          </w:p>
        </w:tc>
      </w:tr>
      <w:tr>
        <w:tc>
          <w:tcPr>
            <w:tcW w:type="dxa" w:w="2192"/>
          </w:tcPr>
          <w:p>
            <w:r/>
            <w:r>
              <w:rPr>
                <w:rFonts w:ascii="Times New Roman" w:hAnsi="Times New Roman"/>
                <w:sz w:val="22"/>
              </w:rPr>
              <w:t>14</w:t>
            </w:r>
          </w:p>
        </w:tc>
        <w:tc>
          <w:tcPr>
            <w:tcW w:type="dxa" w:w="2192"/>
          </w:tcPr>
          <w:p>
            <w:r/>
            <w:r>
              <w:rPr>
                <w:rFonts w:ascii="Times New Roman" w:hAnsi="Times New Roman"/>
                <w:sz w:val="22"/>
              </w:rPr>
              <w:t>T024</w:t>
            </w:r>
          </w:p>
        </w:tc>
        <w:tc>
          <w:tcPr>
            <w:tcW w:type="dxa" w:w="2192"/>
          </w:tcPr>
          <w:p>
            <w:r/>
            <w:r>
              <w:rPr>
                <w:rFonts w:ascii="Times New Roman" w:hAnsi="Times New Roman"/>
                <w:sz w:val="22"/>
              </w:rPr>
              <w:t>Innkjøpsgrupper (EKGRP)</w:t>
            </w:r>
          </w:p>
        </w:tc>
        <w:tc>
          <w:tcPr>
            <w:tcW w:type="dxa" w:w="2192"/>
          </w:tcPr>
          <w:p>
            <w:r/>
            <w:r>
              <w:rPr>
                <w:rFonts w:ascii="Times New Roman" w:hAnsi="Times New Roman"/>
                <w:sz w:val="22"/>
              </w:rPr>
              <w:t>Supplerende</w:t>
            </w:r>
          </w:p>
        </w:tc>
      </w:tr>
    </w:tbl>
    <w:p>
      <w:r>
        <w:rPr>
          <w:rFonts w:ascii="Times New Roman" w:hAnsi="Times New Roman"/>
          <w:i/>
          <w:sz w:val="20"/>
        </w:rPr>
        <w:t>Tabell 4. Datagrunnlag: 14 SAP S/4HANA-tabeller hentet via SE16H, analyseperiode 2024–2025, WERKS 3300 / LGORT 3001.</w:t>
      </w:r>
    </w:p>
    <w:p>
      <w:pPr>
        <w:spacing w:line="360" w:lineRule="auto"/>
      </w:pPr>
      <w:r>
        <w:rPr>
          <w:rFonts w:ascii="Times New Roman" w:hAnsi="Times New Roman" w:cs="Times New Roman"/>
          <w:sz w:val="24"/>
        </w:rPr>
        <w:t>Råuttrekket inneholder 1 006 unike artikkelnumre. Populasjonsavgrensningen beskrives i detalj i avsnitt 4.3 nedenfor, og reduserer dette til 709 aktive artikler. For forbruksdata er det benyttet bevegelsestyper (BWART) 201 og 647 fra MSEG, som representerer henholdsvis vareforbruk til kostnadssted og spesialforbruk. Disse to bevegelsesstypene fanger det reelle forbruket ut fra lager og utelukker interne overføringer og returer som ville ha forvrengt etterspørselsestimatet. Innkjøpsdata er hentet fra EKKO/EKPO/EKBE, som gir faktiske ordrelinjer og varemottak; disse benyttes for ABC-verdiberegning og for estimering av faktisk ordrefrekvens. Leveringstidsdata er hentet fra EINE (feltet WETAG), men dekker kun 6 % av artiklene; se beslutning D-05 under. Figur 5 gir en samlet oversikt over fordelingen av nøkkelvariabler i det endelige datasettet på 709 artikler.</w:t>
      </w:r>
    </w:p>
    <w:p>
      <w:r>
        <w:drawing>
          <wp:inline xmlns:a="http://schemas.openxmlformats.org/drawingml/2006/main" xmlns:pic="http://schemas.openxmlformats.org/drawingml/2006/picture">
            <wp:extent cx="5400000" cy="3018889"/>
            <wp:docPr id="6" name="Picture 6"/>
            <wp:cNvGraphicFramePr>
              <a:graphicFrameLocks noChangeAspect="1"/>
            </wp:cNvGraphicFramePr>
            <a:graphic>
              <a:graphicData uri="http://schemas.openxmlformats.org/drawingml/2006/picture">
                <pic:pic>
                  <pic:nvPicPr>
                    <pic:cNvPr id="0" name="Fig04_Dataoversikt.png"/>
                    <pic:cNvPicPr/>
                  </pic:nvPicPr>
                  <pic:blipFill>
                    <a:blip r:embed="rId24"/>
                    <a:stretch>
                      <a:fillRect/>
                    </a:stretch>
                  </pic:blipFill>
                  <pic:spPr>
                    <a:xfrm>
                      <a:off x="0" y="0"/>
                      <a:ext cx="5400000" cy="3018889"/>
                    </a:xfrm>
                    <a:prstGeom prst="rect"/>
                  </pic:spPr>
                </pic:pic>
              </a:graphicData>
            </a:graphic>
          </wp:inline>
        </w:drawing>
      </w:r>
    </w:p>
    <w:p>
      <w:pPr>
        <w:jc w:val="center"/>
      </w:pPr>
      <w:r>
        <w:rPr>
          <w:rFonts w:ascii="Times New Roman" w:hAnsi="Times New Roman"/>
          <w:i/>
          <w:sz w:val="20"/>
        </w:rPr>
        <w:t>Figur 5. Dataoversikt: fordeling av nøkkelvariabler for 709 artikler ved WERKS 3300, LGORT 3001. Generert med støtte fra Claude (Anthropic, 2026).</w:t>
      </w:r>
    </w:p>
    <w:p>
      <w:pPr>
        <w:pStyle w:val="Overskrift2"/>
      </w:pPr>
      <w:r>
        <w:rPr>
          <w:rFonts w:ascii="Times New Roman" w:hAnsi="Times New Roman"/>
          <w:color w:val="000000"/>
          <w:sz w:val="32"/>
        </w:rPr>
        <w:t>4.3 Dataforbehandling</w:t>
      </w:r>
    </w:p>
    <w:p>
      <w:pPr>
        <w:spacing w:line="360" w:lineRule="auto"/>
      </w:pPr>
      <w:r>
        <w:rPr>
          <w:rFonts w:ascii="Times New Roman" w:hAnsi="Times New Roman" w:cs="Times New Roman"/>
          <w:sz w:val="24"/>
        </w:rPr>
        <w:t>All dataforbehandling er gjennomført i Python 3.13 ved hjelp av bibliotekene pandas (McKinney, 2010) og scikit-learn (Pedregosa et al., 2011). Scriptet er deterministisk og reproduserbart: alle tilfeldige prosesser bruker random_state=42, og ingen manuell redigering av enkeltartikler er foretatt. Åtte eksplisitte datavalgsbeslutninger (D-01–D-08) er dokumentert nedenfor; disse tilsvarer steder i datapipelinen der analytikeren måtte treffe et valg mellom alternative behandlingsmåter, og der valget har materiell innvirkning på resultatene.</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192"/>
        <w:gridCol w:w="2192"/>
        <w:gridCol w:w="2192"/>
        <w:gridCol w:w="2192"/>
      </w:tblGrid>
      <w:tr>
        <w:tc>
          <w:tcPr>
            <w:tcW w:type="dxa" w:w="2192"/>
            <w:tcBorders>
              <w:top w:val="single" w:sz="8" w:space="0" w:color="000000"/>
              <w:bottom w:val="single" w:sz="4" w:space="0" w:color="000000"/>
              <w:left w:val="nil"/>
              <w:right w:val="nil"/>
            </w:tcBorders>
          </w:tcPr>
          <w:p>
            <w:r/>
            <w:r>
              <w:rPr>
                <w:rFonts w:ascii="Times New Roman" w:hAnsi="Times New Roman"/>
                <w:b/>
                <w:sz w:val="22"/>
              </w:rPr>
              <w:t>ID</w:t>
            </w:r>
          </w:p>
        </w:tc>
        <w:tc>
          <w:tcPr>
            <w:tcW w:type="dxa" w:w="2192"/>
            <w:tcBorders>
              <w:top w:val="single" w:sz="8" w:space="0" w:color="000000"/>
              <w:bottom w:val="single" w:sz="4" w:space="0" w:color="000000"/>
              <w:left w:val="nil"/>
              <w:right w:val="nil"/>
            </w:tcBorders>
          </w:tcPr>
          <w:p>
            <w:r/>
            <w:r>
              <w:rPr>
                <w:rFonts w:ascii="Times New Roman" w:hAnsi="Times New Roman"/>
                <w:b/>
                <w:sz w:val="22"/>
              </w:rPr>
              <w:t>Beslutning</w:t>
            </w:r>
          </w:p>
        </w:tc>
        <w:tc>
          <w:tcPr>
            <w:tcW w:type="dxa" w:w="2192"/>
            <w:tcBorders>
              <w:top w:val="single" w:sz="8" w:space="0" w:color="000000"/>
              <w:bottom w:val="single" w:sz="4" w:space="0" w:color="000000"/>
              <w:left w:val="nil"/>
              <w:right w:val="nil"/>
            </w:tcBorders>
          </w:tcPr>
          <w:p>
            <w:r/>
            <w:r>
              <w:rPr>
                <w:rFonts w:ascii="Times New Roman" w:hAnsi="Times New Roman"/>
                <w:b/>
                <w:sz w:val="22"/>
              </w:rPr>
              <w:t>Effekt</w:t>
            </w:r>
          </w:p>
        </w:tc>
        <w:tc>
          <w:tcPr>
            <w:tcW w:type="dxa" w:w="2192"/>
            <w:tcBorders>
              <w:top w:val="single" w:sz="8" w:space="0" w:color="000000"/>
              <w:bottom w:val="single" w:sz="4" w:space="0" w:color="000000"/>
              <w:left w:val="nil"/>
              <w:right w:val="nil"/>
            </w:tcBorders>
          </w:tcPr>
          <w:p>
            <w:r/>
            <w:r>
              <w:rPr>
                <w:rFonts w:ascii="Times New Roman" w:hAnsi="Times New Roman"/>
                <w:b/>
                <w:sz w:val="22"/>
              </w:rPr>
              <w:t>Begrunnelse</w:t>
            </w:r>
          </w:p>
        </w:tc>
      </w:tr>
      <w:tr>
        <w:tc>
          <w:tcPr>
            <w:tcW w:type="dxa" w:w="2192"/>
          </w:tcPr>
          <w:p>
            <w:r/>
            <w:r>
              <w:rPr>
                <w:rFonts w:ascii="Times New Roman" w:hAnsi="Times New Roman"/>
                <w:sz w:val="22"/>
              </w:rPr>
              <w:t>D-01</w:t>
            </w:r>
          </w:p>
        </w:tc>
        <w:tc>
          <w:tcPr>
            <w:tcW w:type="dxa" w:w="2192"/>
          </w:tcPr>
          <w:p>
            <w:r/>
            <w:r>
              <w:rPr>
                <w:rFonts w:ascii="Times New Roman" w:hAnsi="Times New Roman"/>
                <w:sz w:val="22"/>
              </w:rPr>
              <w:t>Populasjonsavgrensning</w:t>
            </w:r>
          </w:p>
        </w:tc>
        <w:tc>
          <w:tcPr>
            <w:tcW w:type="dxa" w:w="2192"/>
          </w:tcPr>
          <w:p>
            <w:r/>
            <w:r>
              <w:rPr>
                <w:rFonts w:ascii="Times New Roman" w:hAnsi="Times New Roman"/>
                <w:sz w:val="22"/>
              </w:rPr>
              <w:t>1 006 → 709 artikler</w:t>
            </w:r>
          </w:p>
        </w:tc>
        <w:tc>
          <w:tcPr>
            <w:tcW w:type="dxa" w:w="2192"/>
          </w:tcPr>
          <w:p>
            <w:r/>
            <w:r>
              <w:rPr>
                <w:rFonts w:ascii="Times New Roman" w:hAnsi="Times New Roman"/>
                <w:sz w:val="22"/>
              </w:rPr>
              <w:t>Ekskluderer 297 inaktive (D_ANNUAL = 0 og TOTAL_STOCK = 0)</w:t>
            </w:r>
          </w:p>
        </w:tc>
      </w:tr>
      <w:tr>
        <w:tc>
          <w:tcPr>
            <w:tcW w:type="dxa" w:w="2192"/>
          </w:tcPr>
          <w:p>
            <w:r/>
            <w:r>
              <w:rPr>
                <w:rFonts w:ascii="Times New Roman" w:hAnsi="Times New Roman"/>
                <w:sz w:val="22"/>
              </w:rPr>
              <w:t>D-02</w:t>
            </w:r>
          </w:p>
        </w:tc>
        <w:tc>
          <w:tcPr>
            <w:tcW w:type="dxa" w:w="2192"/>
          </w:tcPr>
          <w:p>
            <w:r/>
            <w:r>
              <w:rPr>
                <w:rFonts w:ascii="Times New Roman" w:hAnsi="Times New Roman"/>
                <w:sz w:val="22"/>
              </w:rPr>
              <w:t>PEINH-korrigering</w:t>
            </w:r>
          </w:p>
        </w:tc>
        <w:tc>
          <w:tcPr>
            <w:tcW w:type="dxa" w:w="2192"/>
          </w:tcPr>
          <w:p>
            <w:r/>
            <w:r>
              <w:rPr>
                <w:rFonts w:ascii="Times New Roman" w:hAnsi="Times New Roman"/>
                <w:sz w:val="22"/>
              </w:rPr>
              <w:t>UNIT_PRICE = STPRS ÷ PEINH</w:t>
            </w:r>
          </w:p>
        </w:tc>
        <w:tc>
          <w:tcPr>
            <w:tcW w:type="dxa" w:w="2192"/>
          </w:tcPr>
          <w:p>
            <w:r/>
            <w:r>
              <w:rPr>
                <w:rFonts w:ascii="Times New Roman" w:hAnsi="Times New Roman"/>
                <w:sz w:val="22"/>
              </w:rPr>
              <w:t>Korrigerer for prisenhet ≠ 1</w:t>
            </w:r>
          </w:p>
        </w:tc>
      </w:tr>
      <w:tr>
        <w:tc>
          <w:tcPr>
            <w:tcW w:type="dxa" w:w="2192"/>
          </w:tcPr>
          <w:p>
            <w:r/>
            <w:r>
              <w:rPr>
                <w:rFonts w:ascii="Times New Roman" w:hAnsi="Times New Roman"/>
                <w:sz w:val="22"/>
              </w:rPr>
              <w:t>D-03</w:t>
            </w:r>
          </w:p>
        </w:tc>
        <w:tc>
          <w:tcPr>
            <w:tcW w:type="dxa" w:w="2192"/>
          </w:tcPr>
          <w:p>
            <w:r/>
            <w:r>
              <w:rPr>
                <w:rFonts w:ascii="Times New Roman" w:hAnsi="Times New Roman"/>
                <w:sz w:val="22"/>
              </w:rPr>
              <w:t>Beregnet ABC-verdi</w:t>
            </w:r>
          </w:p>
        </w:tc>
        <w:tc>
          <w:tcPr>
            <w:tcW w:type="dxa" w:w="2192"/>
          </w:tcPr>
          <w:p>
            <w:r/>
            <w:r>
              <w:rPr>
                <w:rFonts w:ascii="Times New Roman" w:hAnsi="Times New Roman"/>
                <w:sz w:val="22"/>
              </w:rPr>
              <w:t>204 artikler uten EKPO</w:t>
            </w:r>
          </w:p>
        </w:tc>
        <w:tc>
          <w:tcPr>
            <w:tcW w:type="dxa" w:w="2192"/>
          </w:tcPr>
          <w:p>
            <w:r/>
            <w:r>
              <w:rPr>
                <w:rFonts w:ascii="Times New Roman" w:hAnsi="Times New Roman"/>
                <w:sz w:val="22"/>
              </w:rPr>
              <w:t>ABC_VALUE = D_ANNUAL × UNIT_PRICE som fallback</w:t>
            </w:r>
          </w:p>
        </w:tc>
      </w:tr>
      <w:tr>
        <w:tc>
          <w:tcPr>
            <w:tcW w:type="dxa" w:w="2192"/>
          </w:tcPr>
          <w:p>
            <w:r/>
            <w:r>
              <w:rPr>
                <w:rFonts w:ascii="Times New Roman" w:hAnsi="Times New Roman"/>
                <w:sz w:val="22"/>
              </w:rPr>
              <w:t>D-04</w:t>
            </w:r>
          </w:p>
        </w:tc>
        <w:tc>
          <w:tcPr>
            <w:tcW w:type="dxa" w:w="2192"/>
          </w:tcPr>
          <w:p>
            <w:r/>
            <w:r>
              <w:rPr>
                <w:rFonts w:ascii="Times New Roman" w:hAnsi="Times New Roman"/>
                <w:sz w:val="22"/>
              </w:rPr>
              <w:t>CV-basert XYZ</w:t>
            </w:r>
          </w:p>
        </w:tc>
        <w:tc>
          <w:tcPr>
            <w:tcW w:type="dxa" w:w="2192"/>
          </w:tcPr>
          <w:p>
            <w:r/>
            <w:r>
              <w:rPr>
                <w:rFonts w:ascii="Times New Roman" w:hAnsi="Times New Roman"/>
                <w:sz w:val="22"/>
              </w:rPr>
              <w:t>Erstatter ZZXYZ</w:t>
            </w:r>
          </w:p>
        </w:tc>
        <w:tc>
          <w:tcPr>
            <w:tcW w:type="dxa" w:w="2192"/>
          </w:tcPr>
          <w:p>
            <w:r/>
            <w:r>
              <w:rPr>
                <w:rFonts w:ascii="Times New Roman" w:hAnsi="Times New Roman"/>
                <w:sz w:val="22"/>
              </w:rPr>
              <w:t>33 % samsvar → beregnet CV foretrukket</w:t>
            </w:r>
          </w:p>
        </w:tc>
      </w:tr>
      <w:tr>
        <w:tc>
          <w:tcPr>
            <w:tcW w:type="dxa" w:w="2192"/>
          </w:tcPr>
          <w:p>
            <w:r/>
            <w:r>
              <w:rPr>
                <w:rFonts w:ascii="Times New Roman" w:hAnsi="Times New Roman"/>
                <w:sz w:val="22"/>
              </w:rPr>
              <w:t>D-05</w:t>
            </w:r>
          </w:p>
        </w:tc>
        <w:tc>
          <w:tcPr>
            <w:tcW w:type="dxa" w:w="2192"/>
          </w:tcPr>
          <w:p>
            <w:r/>
            <w:r>
              <w:rPr>
                <w:rFonts w:ascii="Times New Roman" w:hAnsi="Times New Roman"/>
                <w:sz w:val="22"/>
              </w:rPr>
              <w:t>Leveringstid-fallback</w:t>
            </w:r>
          </w:p>
        </w:tc>
        <w:tc>
          <w:tcPr>
            <w:tcW w:type="dxa" w:w="2192"/>
          </w:tcPr>
          <w:p>
            <w:r/>
            <w:r>
              <w:rPr>
                <w:rFonts w:ascii="Times New Roman" w:hAnsi="Times New Roman"/>
                <w:sz w:val="22"/>
              </w:rPr>
              <w:t>14 dager for 94 %</w:t>
            </w:r>
          </w:p>
        </w:tc>
        <w:tc>
          <w:tcPr>
            <w:tcW w:type="dxa" w:w="2192"/>
          </w:tcPr>
          <w:p>
            <w:r/>
            <w:r>
              <w:rPr>
                <w:rFonts w:ascii="Times New Roman" w:hAnsi="Times New Roman"/>
                <w:sz w:val="22"/>
              </w:rPr>
              <w:t>EINE WETAG dekker kun 6 %</w:t>
            </w:r>
          </w:p>
        </w:tc>
      </w:tr>
      <w:tr>
        <w:tc>
          <w:tcPr>
            <w:tcW w:type="dxa" w:w="2192"/>
          </w:tcPr>
          <w:p>
            <w:r/>
            <w:r>
              <w:rPr>
                <w:rFonts w:ascii="Times New Roman" w:hAnsi="Times New Roman"/>
                <w:sz w:val="22"/>
              </w:rPr>
              <w:t>D-06</w:t>
            </w:r>
          </w:p>
        </w:tc>
        <w:tc>
          <w:tcPr>
            <w:tcW w:type="dxa" w:w="2192"/>
          </w:tcPr>
          <w:p>
            <w:r/>
            <w:r>
              <w:rPr>
                <w:rFonts w:ascii="Times New Roman" w:hAnsi="Times New Roman"/>
                <w:sz w:val="22"/>
              </w:rPr>
              <w:t>MSEG_STATUS blank → AKTIV</w:t>
            </w:r>
          </w:p>
        </w:tc>
        <w:tc>
          <w:tcPr>
            <w:tcW w:type="dxa" w:w="2192"/>
          </w:tcPr>
          <w:p>
            <w:r/>
            <w:r>
              <w:rPr>
                <w:rFonts w:ascii="Times New Roman" w:hAnsi="Times New Roman"/>
                <w:sz w:val="22"/>
              </w:rPr>
              <w:t>Fyller manglende verdier</w:t>
            </w:r>
          </w:p>
        </w:tc>
        <w:tc>
          <w:tcPr>
            <w:tcW w:type="dxa" w:w="2192"/>
          </w:tcPr>
          <w:p>
            <w:r/>
            <w:r>
              <w:rPr>
                <w:rFonts w:ascii="Times New Roman" w:hAnsi="Times New Roman"/>
                <w:sz w:val="22"/>
              </w:rPr>
              <w:t>Antar normal driftsstatus</w:t>
            </w:r>
          </w:p>
        </w:tc>
      </w:tr>
      <w:tr>
        <w:tc>
          <w:tcPr>
            <w:tcW w:type="dxa" w:w="2192"/>
          </w:tcPr>
          <w:p>
            <w:r/>
            <w:r>
              <w:rPr>
                <w:rFonts w:ascii="Times New Roman" w:hAnsi="Times New Roman"/>
                <w:sz w:val="22"/>
              </w:rPr>
              <w:t>D-07</w:t>
            </w:r>
          </w:p>
        </w:tc>
        <w:tc>
          <w:tcPr>
            <w:tcW w:type="dxa" w:w="2192"/>
          </w:tcPr>
          <w:p>
            <w:r/>
            <w:r>
              <w:rPr>
                <w:rFonts w:ascii="Times New Roman" w:hAnsi="Times New Roman"/>
                <w:sz w:val="22"/>
              </w:rPr>
              <w:t>ABC_VALUE_SOURCE</w:t>
            </w:r>
          </w:p>
        </w:tc>
        <w:tc>
          <w:tcPr>
            <w:tcW w:type="dxa" w:w="2192"/>
          </w:tcPr>
          <w:p>
            <w:r/>
            <w:r>
              <w:rPr>
                <w:rFonts w:ascii="Times New Roman" w:hAnsi="Times New Roman"/>
                <w:sz w:val="22"/>
              </w:rPr>
              <w:t>EKPO-verdi prioriteres</w:t>
            </w:r>
          </w:p>
        </w:tc>
        <w:tc>
          <w:tcPr>
            <w:tcW w:type="dxa" w:w="2192"/>
          </w:tcPr>
          <w:p>
            <w:r/>
            <w:r>
              <w:rPr>
                <w:rFonts w:ascii="Times New Roman" w:hAnsi="Times New Roman"/>
                <w:sz w:val="22"/>
              </w:rPr>
              <w:t>TOTAL_NETWR &gt; 0 kreves for EKPO-kilde</w:t>
            </w:r>
          </w:p>
        </w:tc>
      </w:tr>
      <w:tr>
        <w:tc>
          <w:tcPr>
            <w:tcW w:type="dxa" w:w="2192"/>
          </w:tcPr>
          <w:p>
            <w:r/>
            <w:r>
              <w:rPr>
                <w:rFonts w:ascii="Times New Roman" w:hAnsi="Times New Roman"/>
                <w:sz w:val="22"/>
              </w:rPr>
              <w:t>D-08</w:t>
            </w:r>
          </w:p>
        </w:tc>
        <w:tc>
          <w:tcPr>
            <w:tcW w:type="dxa" w:w="2192"/>
          </w:tcPr>
          <w:p>
            <w:r/>
            <w:r>
              <w:rPr>
                <w:rFonts w:ascii="Times New Roman" w:hAnsi="Times New Roman"/>
                <w:sz w:val="22"/>
              </w:rPr>
              <w:t>Annualisering av ordrefrekvens</w:t>
            </w:r>
          </w:p>
        </w:tc>
        <w:tc>
          <w:tcPr>
            <w:tcW w:type="dxa" w:w="2192"/>
          </w:tcPr>
          <w:p>
            <w:r/>
            <w:r>
              <w:rPr>
                <w:rFonts w:ascii="Times New Roman" w:hAnsi="Times New Roman"/>
                <w:sz w:val="22"/>
              </w:rPr>
              <w:t>ACTUAL_FREQ = ORDER_COUNT × 12/24</w:t>
            </w:r>
          </w:p>
        </w:tc>
        <w:tc>
          <w:tcPr>
            <w:tcW w:type="dxa" w:w="2192"/>
          </w:tcPr>
          <w:p>
            <w:r/>
            <w:r>
              <w:rPr>
                <w:rFonts w:ascii="Times New Roman" w:hAnsi="Times New Roman"/>
                <w:sz w:val="22"/>
              </w:rPr>
              <w:t>24 mnd data → årsbasis</w:t>
            </w:r>
          </w:p>
        </w:tc>
      </w:tr>
    </w:tbl>
    <w:p>
      <w:r>
        <w:rPr>
          <w:rFonts w:ascii="Times New Roman" w:hAnsi="Times New Roman"/>
          <w:i/>
          <w:sz w:val="20"/>
        </w:rPr>
        <w:t>Tabell 5. Datavalgsbeslutninger D-01–D-08 med begrunnelse.</w:t>
      </w:r>
    </w:p>
    <w:p>
      <w:pPr>
        <w:spacing w:line="360" w:lineRule="auto"/>
      </w:pPr>
      <w:r>
        <w:rPr>
          <w:rFonts w:ascii="Times New Roman" w:hAnsi="Times New Roman" w:cs="Times New Roman"/>
          <w:sz w:val="24"/>
        </w:rPr>
        <w:t>De viktigste beslutningene utdypes kort: D-03 benytter beregnet verdi (D_ANNUAL × UNIT_PRICE) for 204 artikler uten EKPO-innkjøpsdata, fordi ekskludering ville gi et systematisk skjevt utvalg (28,8 % av populasjonen). D-04 erstatter SAP-feltet ZZXYZ med CV beregnet fra MSEG-forbruk, da kun 33 % av artiklene hadde samsvarende klasse. D-05 benytter en leveringstids-fallback på 14 dager for 94 % av artiklene der EINE-data mangler; implikasjoner er diskutert i avsnitt 4.4.</w:t>
      </w:r>
    </w:p>
    <w:p>
      <w:pPr>
        <w:spacing w:line="360" w:lineRule="auto"/>
      </w:pPr>
      <w:r>
        <w:rPr>
          <w:rFonts w:ascii="Times New Roman" w:hAnsi="Times New Roman" w:cs="Times New Roman"/>
          <w:sz w:val="24"/>
        </w:rPr>
        <w:t>Datapipelinen fra rådata til analyseklart datasett er illustrert i figuren nedenfor.</w:t>
      </w:r>
    </w:p>
    <w:p>
      <w:r>
        <w:drawing>
          <wp:inline xmlns:a="http://schemas.openxmlformats.org/drawingml/2006/main" xmlns:pic="http://schemas.openxmlformats.org/drawingml/2006/picture">
            <wp:extent cx="5400000" cy="1615574"/>
            <wp:docPr id="7" name="Picture 7"/>
            <wp:cNvGraphicFramePr>
              <a:graphicFrameLocks noChangeAspect="1"/>
            </wp:cNvGraphicFramePr>
            <a:graphic>
              <a:graphicData uri="http://schemas.openxmlformats.org/drawingml/2006/picture">
                <pic:pic>
                  <pic:nvPicPr>
                    <pic:cNvPr id="0" name="Fig02_Analysepipeline.png"/>
                    <pic:cNvPicPr/>
                  </pic:nvPicPr>
                  <pic:blipFill>
                    <a:blip r:embed="rId25"/>
                    <a:stretch>
                      <a:fillRect/>
                    </a:stretch>
                  </pic:blipFill>
                  <pic:spPr>
                    <a:xfrm>
                      <a:off x="0" y="0"/>
                      <a:ext cx="5400000" cy="1615574"/>
                    </a:xfrm>
                    <a:prstGeom prst="rect"/>
                  </pic:spPr>
                </pic:pic>
              </a:graphicData>
            </a:graphic>
          </wp:inline>
        </w:drawing>
      </w:r>
    </w:p>
    <w:p>
      <w:pPr>
        <w:jc w:val="center"/>
      </w:pPr>
      <w:r>
        <w:rPr>
          <w:rFonts w:ascii="Times New Roman" w:hAnsi="Times New Roman"/>
          <w:i/>
          <w:sz w:val="20"/>
        </w:rPr>
        <w:t>Figur 3. Analysepipeline: fra SAP-rådata til HVFS-anbefaling. Generert med støtte fra Claude (Anthropic, 2026).</w:t>
      </w:r>
    </w:p>
    <w:p>
      <w:pPr>
        <w:pStyle w:val="Overskrift2"/>
      </w:pPr>
      <w:r>
        <w:rPr>
          <w:rFonts w:ascii="Times New Roman" w:hAnsi="Times New Roman"/>
          <w:color w:val="000000"/>
          <w:sz w:val="32"/>
        </w:rPr>
        <w:t>4.4 Etiske betraktninger og begrensninger</w:t>
      </w:r>
    </w:p>
    <w:p>
      <w:pPr>
        <w:spacing w:line="360" w:lineRule="auto"/>
      </w:pPr>
      <w:r>
        <w:rPr>
          <w:rFonts w:ascii="Times New Roman" w:hAnsi="Times New Roman" w:cs="Times New Roman"/>
          <w:sz w:val="24"/>
        </w:rPr>
        <w:t>Studien behandler ingen personopplysninger. Alle analyser er gjennomført på artikkel- og transaksjonsnivå, ikke på individnivå. Det er ikke koblet data til ansatte, pasienter eller enkeltpersoner. Datatilgang er gitt av Helse Bergen som del av samarbeidet med Helse Vest IKT og LIBRA-prosjektet, og er avgrenset til lagertransaksjonsdata i SAP S/4HANA.</w:t>
      </w:r>
    </w:p>
    <w:p>
      <w:pPr>
        <w:spacing w:line="360" w:lineRule="auto"/>
      </w:pPr>
      <w:r>
        <w:rPr>
          <w:rFonts w:ascii="Times New Roman" w:hAnsi="Times New Roman" w:cs="Times New Roman"/>
          <w:sz w:val="24"/>
        </w:rPr>
        <w:t xml:space="preserve">To sentrale parametere er antagelser, ikke målte verdier. Ordrekostnaden </w:t>
      </w:r>
      <m:oMath>
        <m:r>
          <m:t>S=750</m:t>
        </m:r>
      </m:oMath>
      <w:r>
        <w:rPr>
          <w:rFonts w:ascii="Times New Roman" w:hAnsi="Times New Roman" w:cs="Times New Roman"/>
          <w:sz w:val="24"/>
        </w:rPr>
        <w:t xml:space="preserve">NOK er satt basert på estimater fra litteraturen for sykehusinnkjøp (Kelle et al., 2012; Bijvank &amp; Vis, 2012), men den faktiske kostnaden per ordre vil variere med innkjøpstype, leverandøravtale og administrativ belastning. Holdesatsen </w:t>
      </w:r>
      <m:oMath>
        <m:r>
          <m:t>h=20</m:t>
        </m:r>
      </m:oMath>
      <w:r>
        <w:rPr>
          <w:rFonts w:ascii="Times New Roman" w:hAnsi="Times New Roman" w:cs="Times New Roman"/>
          <w:sz w:val="24"/>
        </w:rPr>
        <w:t xml:space="preserve"> av enhetspris per år er en vanlig sjablongregel i EOQ-litteraturen (Hautaniemi &amp; Pirttilä, 1999), men inkluderer implisitte antagelser om kapitalkostnad, lagerbrann- og ukurantrisiko som ikke er verifisert mot Helse Bergens faktiske regnskapstall. Sensitivitetsanalysen i kapittel 7 undersøker i hvilken grad resultater endres ved variasjon i disse parameterne.</w:t>
      </w:r>
    </w:p>
    <w:p>
      <w:pPr>
        <w:spacing w:line="360" w:lineRule="auto"/>
      </w:pPr>
      <w:r>
        <w:rPr>
          <w:rFonts w:ascii="Times New Roman" w:hAnsi="Times New Roman" w:cs="Times New Roman"/>
          <w:sz w:val="24"/>
        </w:rPr>
        <w:t>Leveringstids-fallbacken på 14 dager (D-05) dekker 94 % av artiklene, og er den enkeltbeslutningen som potensielt har størst effekt på bestillingspunkt-beregninger. Ettersom EOQ-avviksanalysen i denne studien er basert på ordrefrekvens snarere enn bestillingspunkt, er den direkte innvirkningen på analyseresultatene begrenset; likevel bør en eventuell oppfølgingsstudie prioritere å berike EINE-tabellen med faktiske leveringstider. Alle modellenes matematiske spesifikasjon og parametersetting beskrives i kapittel 5.</w:t>
      </w:r>
    </w:p>
    <w:p>
      <w:pPr>
        <w:pStyle w:val="Overskrift2"/>
      </w:pPr>
      <w:r>
        <w:rPr>
          <w:rFonts w:ascii="Times New Roman" w:hAnsi="Times New Roman"/>
          <w:color w:val="000000"/>
          <w:sz w:val="32"/>
        </w:rPr>
        <w:t>4.5 Bruk av KI-verktøy</w:t>
      </w:r>
    </w:p>
    <w:p>
      <w:pPr>
        <w:spacing w:line="360" w:lineRule="auto"/>
      </w:pPr>
      <w:r>
        <w:rPr>
          <w:rFonts w:ascii="Times New Roman" w:hAnsi="Times New Roman" w:cs="Times New Roman"/>
          <w:sz w:val="24"/>
        </w:rPr>
        <w:t>Kunstig intelligens i form av store språkmodeller ble benyttet som faglig støtteverktøy gjennom hele prosjektperioden, i tråd med retningslinjene i kursets skrivekompendium (Rekdal &amp; Pettersen, 2025). Claude (Anthropic, 2026) ble anvendt til tre konkrete formål: (1) kodestøtte og feilsøking i Python-scriptet for ABC-, XYZ-, EOQ- og K-means-analysen; (2) generering av alle datavisualiseringer — Pareto-kurve, kryssmatrise, EOQ-avviksplott, silhouette-profil, scatterplott og regelmotor-fordeling — på grunnlag av analyseresultater produsert av scriptet; og (3) strukturering og språklig bearbeiding av rapportteksten. Alle figurer generert med støtte fra Claude er merket «Generert med støtte fra Claude (Anthropic, 2026)» i bildeteksten.</w:t>
      </w:r>
    </w:p>
    <w:p>
      <w:pPr>
        <w:spacing w:line="360" w:lineRule="auto"/>
      </w:pPr>
      <w:r>
        <w:rPr>
          <w:rFonts w:ascii="Times New Roman" w:hAnsi="Times New Roman" w:cs="Times New Roman"/>
          <w:sz w:val="24"/>
        </w:rPr>
        <w:t>Claude ble ikke brukt som fagkilde og er ikke sitert som belegg for faglige påstander. Alle numeriske resultater, tabellverdier og analytiske konklusjoner er produsert av Python-scriptet fra SAP-kildedata og er uavhengige av KI-verktøyet. Rådata fra SAP ble ikke modifisert i noen fase av arbeidet; alle transformasjoner er dokumentert i D-01–D-08 (avsnitt 4.3) og implementert deterministisk i scriptet.</w:t>
      </w:r>
    </w:p>
    <w:p>
      <w:pPr>
        <w:pStyle w:val="Overskrift1"/>
        <w:pageBreakBefore w:val="true"/>
      </w:pPr>
      <w:r>
        <w:rPr>
          <w:rFonts w:ascii="Times New Roman" w:hAnsi="Times New Roman"/>
          <w:color w:val="000000"/>
          <w:sz w:val="36"/>
        </w:rPr>
        <w:t>Kapittel 5 – Modellering</w:t>
      </w:r>
    </w:p>
    <w:p>
      <w:pPr>
        <w:pStyle w:val="Overskrift2"/>
      </w:pPr>
      <w:r>
        <w:rPr>
          <w:rFonts w:ascii="Times New Roman" w:hAnsi="Times New Roman"/>
          <w:color w:val="000000"/>
          <w:sz w:val="32"/>
        </w:rPr>
        <w:t>5.1 ABC-modellen</w:t>
      </w:r>
    </w:p>
    <w:p>
      <w:pPr>
        <w:spacing w:line="360" w:lineRule="auto"/>
      </w:pPr>
      <w:r>
        <w:rPr>
          <w:rFonts w:ascii="Times New Roman" w:hAnsi="Times New Roman" w:cs="Times New Roman"/>
          <w:sz w:val="24"/>
        </w:rPr>
        <w:t>ABC-analyse er en rangerings- og klassifiseringsmetode basert på Pareto-prinsippet, som postulerer at en liten andel av artiklene i et lager typisk står for hoveddelen av den totale verdibindingen (Gupta et al., 2007). Metoden gir en strukturert tilnærming til å skille artikler som krever tett styring fra artikler der en enklere tilnærming er tilstrekkelig (van Kampen et al., 2012).</w:t>
      </w:r>
    </w:p>
    <w:p>
      <w:pPr>
        <w:spacing w:line="360" w:lineRule="auto"/>
      </w:pPr>
      <w:r>
        <w:rPr>
          <w:rFonts w:ascii="Times New Roman" w:hAnsi="Times New Roman" w:cs="Times New Roman"/>
          <w:sz w:val="24"/>
        </w:rPr>
        <w:t xml:space="preserve">For hver artikkel </w:t>
      </w:r>
      <m:oMath>
        <m:r>
          <m:t>i</m:t>
        </m:r>
      </m:oMath>
      <w:r>
        <w:rPr>
          <w:rFonts w:ascii="Times New Roman" w:hAnsi="Times New Roman" w:cs="Times New Roman"/>
          <w:sz w:val="24"/>
        </w:rPr>
        <w:t xml:space="preserve"> beregnes en årsverdi </w:t>
      </w:r>
      <m:oMath>
        <m:sSub>
          <m:e>
            <m:r>
              <m:t>v</m:t>
            </m:r>
          </m:e>
          <m:sub>
            <m:r>
              <m:t>i</m:t>
            </m:r>
          </m:sub>
        </m:sSub>
      </m:oMath>
      <w:r>
        <w:rPr>
          <w:rFonts w:ascii="Times New Roman" w:hAnsi="Times New Roman" w:cs="Times New Roman"/>
          <w:sz w:val="24"/>
        </w:rPr>
        <w:t xml:space="preserve"> som produktet av årsforbruk og enhetspris:</w:t>
      </w:r>
    </w:p>
    <w:p>
      <w:pPr>
        <w:spacing w:line="360" w:lineRule="auto"/>
        <w:jc w:val="center"/>
      </w:pPr>
      <m:oMath>
        <m:sSub>
          <m:e>
            <m:r>
              <m:t>v</m:t>
            </m:r>
          </m:e>
          <m:sub>
            <m:r>
              <m:t>i</m:t>
            </m:r>
          </m:sub>
        </m:sSub>
        <m:r>
          <m:t>=</m:t>
        </m:r>
        <m:sSub>
          <m:e>
            <m:r>
              <m:t>D</m:t>
            </m:r>
          </m:e>
          <m:sub>
            <m:r>
              <m:t>i</m:t>
            </m:r>
          </m:sub>
        </m:sSub>
        <m:r>
          <m:t>×</m:t>
        </m:r>
        <m:sSub>
          <m:e>
            <m:r>
              <m:rPr>
                <m:nor/>
              </m:rPr>
              <m:t>UNIT\_PRICE</m:t>
            </m:r>
          </m:e>
          <m:sub>
            <m:r>
              <m:t>i</m:t>
            </m:r>
          </m:sub>
        </m:sSub>
      </m:oMath>
    </w:p>
    <w:p>
      <w:pPr>
        <w:spacing w:line="360" w:lineRule="auto"/>
      </w:pPr>
      <w:r>
        <w:rPr>
          <w:rFonts w:ascii="Times New Roman" w:hAnsi="Times New Roman" w:cs="Times New Roman"/>
          <w:sz w:val="24"/>
        </w:rPr>
        <w:t xml:space="preserve">Der </w:t>
      </w:r>
      <m:oMath>
        <m:sSub>
          <m:e>
            <m:r>
              <m:t>D</m:t>
            </m:r>
          </m:e>
          <m:sub>
            <m:r>
              <m:t>i</m:t>
            </m:r>
          </m:sub>
        </m:sSub>
      </m:oMath>
      <w:r>
        <w:rPr>
          <w:rFonts w:ascii="Times New Roman" w:hAnsi="Times New Roman" w:cs="Times New Roman"/>
          <w:sz w:val="24"/>
        </w:rPr>
        <w:t xml:space="preserve"> er annualisert forbruk (enheter/år) og UNIT\_PRICE</w:t>
      </w:r>
      <m:oMath>
        <m:sSub>
          <m:e>
            <m:r>
              <m:t/>
            </m:r>
          </m:e>
          <m:sub>
            <m:r>
              <m:t>i</m:t>
            </m:r>
          </m:sub>
        </m:sSub>
      </m:oMath>
      <w:r>
        <w:rPr>
          <w:rFonts w:ascii="Times New Roman" w:hAnsi="Times New Roman" w:cs="Times New Roman"/>
          <w:sz w:val="24"/>
        </w:rPr>
        <w:t xml:space="preserve"> er PEINH-korrigert standardpris (NOK/enhet), jf. beslutning D-02 og D-03 i avsnitt 4.3. Artiklene sorteres deretter i synkende rekkefølge etter </w:t>
      </w:r>
      <m:oMath>
        <m:sSub>
          <m:e>
            <m:r>
              <m:t>v</m:t>
            </m:r>
          </m:e>
          <m:sub>
            <m:r>
              <m:t>i</m:t>
            </m:r>
          </m:sub>
        </m:sSub>
      </m:oMath>
      <w:r>
        <w:rPr>
          <w:rFonts w:ascii="Times New Roman" w:hAnsi="Times New Roman" w:cs="Times New Roman"/>
          <w:sz w:val="24"/>
        </w:rPr>
        <w:t xml:space="preserve">, og kumulativ verdiandel </w:t>
      </w:r>
      <m:oMath>
        <m:sSub>
          <m:e>
            <m:r>
              <m:t>C</m:t>
            </m:r>
          </m:e>
          <m:sub>
            <m:r>
              <m:t>i</m:t>
            </m:r>
          </m:sub>
        </m:sSub>
      </m:oMath>
      <w:r>
        <w:rPr>
          <w:rFonts w:ascii="Times New Roman" w:hAnsi="Times New Roman" w:cs="Times New Roman"/>
          <w:sz w:val="24"/>
        </w:rPr>
        <w:t xml:space="preserve"> beregnes som:</w:t>
      </w:r>
    </w:p>
    <w:p>
      <w:pPr>
        <w:spacing w:line="360" w:lineRule="auto"/>
        <w:jc w:val="center"/>
      </w:pPr>
      <m:oMath>
        <m:sSub>
          <m:e>
            <m:r>
              <m:t>C</m:t>
            </m:r>
          </m:e>
          <m:sub>
            <m:r>
              <m:t>i</m:t>
            </m:r>
          </m:sub>
        </m:sSub>
        <m:r>
          <m:t>=</m:t>
        </m:r>
        <m:f>
          <m:fPr>
            <m:type m:val="bar"/>
          </m:fPr>
          <m:num>
            <m:nary>
              <m:naryPr>
                <m:chr m:val="∑"/>
                <m:limLoc m:val="subSup"/>
                <m:grow m:val="1"/>
                <m:subHide m:val="off"/>
                <m:supHide m:val="off"/>
              </m:naryPr>
              <m:sub>
                <m:r>
                  <m:t>j=1</m:t>
                </m:r>
              </m:sub>
              <m:sup>
                <m:r>
                  <m:t>i</m:t>
                </m:r>
              </m:sup>
              <m:e>
                <m:sSub>
                  <m:e>
                    <m:r>
                      <m:t>v</m:t>
                    </m:r>
                  </m:e>
                  <m:sub>
                    <m:r>
                      <m:t>j</m:t>
                    </m:r>
                  </m:sub>
                </m:sSub>
              </m:e>
            </m:nary>
          </m:num>
          <m:den>
            <m:sSub>
              <m:e>
                <m:r>
                  <m:t>V</m:t>
                </m:r>
              </m:e>
              <m:sub>
                <m:r>
                  <m:rPr>
                    <m:nor/>
                  </m:rPr>
                  <m:t>tot</m:t>
                </m:r>
              </m:sub>
            </m:sSub>
          </m:den>
        </m:f>
      </m:oMath>
    </w:p>
    <w:p>
      <w:pPr>
        <w:spacing w:line="360" w:lineRule="auto"/>
      </w:pPr>
      <w:r>
        <w:rPr>
          <w:rFonts w:ascii="Times New Roman" w:hAnsi="Times New Roman" w:cs="Times New Roman"/>
          <w:sz w:val="24"/>
        </w:rPr>
        <w:t xml:space="preserve">der </w:t>
      </w:r>
      <m:oMath>
        <m:sSub>
          <m:e>
            <m:r>
              <m:t>V</m:t>
            </m:r>
          </m:e>
          <m:sub>
            <m:r>
              <m:rPr>
                <m:nor/>
              </m:rPr>
              <m:t>tot</m:t>
            </m:r>
          </m:sub>
        </m:sSub>
        <m:r>
          <m:t>=</m:t>
        </m:r>
        <m:nary>
          <m:naryPr>
            <m:chr m:val="∑"/>
            <m:limLoc m:val="subSup"/>
            <m:grow m:val="1"/>
            <m:subHide m:val="off"/>
            <m:supHide m:val="off"/>
          </m:naryPr>
          <m:sub>
            <m:r>
              <m:t>j=1</m:t>
            </m:r>
          </m:sub>
          <m:sup>
            <m:r>
              <m:t>N</m:t>
            </m:r>
          </m:sup>
          <m:e>
            <m:sSub>
              <m:e>
                <m:r>
                  <m:t>v</m:t>
                </m:r>
              </m:e>
              <m:sub>
                <m:r>
                  <m:t>j</m:t>
                </m:r>
              </m:sub>
            </m:sSub>
          </m:e>
        </m:nary>
      </m:oMath>
      <w:r>
        <w:rPr>
          <w:rFonts w:ascii="Times New Roman" w:hAnsi="Times New Roman" w:cs="Times New Roman"/>
          <w:sz w:val="24"/>
        </w:rPr>
        <w:t xml:space="preserve"> er total årsverdi over alle </w:t>
      </w:r>
      <m:oMath>
        <m:r>
          <m:t>N</m:t>
        </m:r>
      </m:oMath>
      <w:r>
        <w:rPr>
          <w:rFonts w:ascii="Times New Roman" w:hAnsi="Times New Roman" w:cs="Times New Roman"/>
          <w:sz w:val="24"/>
        </w:rPr>
        <w:t xml:space="preserve"> artikler. En artikkel tilhører A-klassen dersom </w:t>
      </w:r>
      <m:oMath>
        <m:sSub>
          <m:e>
            <m:r>
              <m:t>C</m:t>
            </m:r>
          </m:e>
          <m:sub>
            <m:r>
              <m:t>i</m:t>
            </m:r>
          </m:sub>
        </m:sSub>
        <m:r>
          <m:t>≤0</m:t>
        </m:r>
        <m:r>
          <m:t>,</m:t>
        </m:r>
        <m:r>
          <m:t>80</m:t>
        </m:r>
      </m:oMath>
      <w:r>
        <w:rPr>
          <w:rFonts w:ascii="Times New Roman" w:hAnsi="Times New Roman" w:cs="Times New Roman"/>
          <w:sz w:val="24"/>
        </w:rPr>
        <w:t xml:space="preserve">, B-klassen dersom </w:t>
      </w:r>
      <m:oMath>
        <m:r>
          <m:t>0</m:t>
        </m:r>
        <m:r>
          <m:t>,</m:t>
        </m:r>
        <m:r>
          <m:t>80&lt;</m:t>
        </m:r>
        <m:sSub>
          <m:e>
            <m:r>
              <m:t>C</m:t>
            </m:r>
          </m:e>
          <m:sub>
            <m:r>
              <m:t>i</m:t>
            </m:r>
          </m:sub>
        </m:sSub>
        <m:r>
          <m:t>≤0</m:t>
        </m:r>
        <m:r>
          <m:t>,</m:t>
        </m:r>
        <m:r>
          <m:t>95</m:t>
        </m:r>
      </m:oMath>
      <w:r>
        <w:rPr>
          <w:rFonts w:ascii="Times New Roman" w:hAnsi="Times New Roman" w:cs="Times New Roman"/>
          <w:sz w:val="24"/>
        </w:rPr>
        <w:t>, og C-klassen ellers.</w:t>
      </w:r>
    </w:p>
    <w:p>
      <w:pPr>
        <w:spacing w:line="360" w:lineRule="auto"/>
      </w:pPr>
      <w:r>
        <w:rPr>
          <w:rFonts w:ascii="Times New Roman" w:hAnsi="Times New Roman" w:cs="Times New Roman"/>
          <w:sz w:val="24"/>
        </w:rPr>
        <w:t>Klassifiseringsgrensene er satt i henhold til standard ABC-litteratur (Silaen et al., 2023):</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923"/>
        <w:gridCol w:w="2923"/>
        <w:gridCol w:w="2923"/>
      </w:tblGrid>
      <w:tr>
        <w:tc>
          <w:tcPr>
            <w:tcW w:type="dxa" w:w="2923"/>
            <w:tcBorders>
              <w:top w:val="single" w:sz="8" w:space="0" w:color="000000"/>
              <w:bottom w:val="single" w:sz="4" w:space="0" w:color="000000"/>
              <w:left w:val="nil"/>
              <w:right w:val="nil"/>
            </w:tcBorders>
          </w:tcPr>
          <w:p>
            <w:r/>
            <w:r>
              <w:rPr>
                <w:rFonts w:ascii="Times New Roman" w:hAnsi="Times New Roman"/>
                <w:b/>
                <w:sz w:val="22"/>
              </w:rPr>
              <w:t>Parameter</w:t>
            </w:r>
          </w:p>
        </w:tc>
        <w:tc>
          <w:tcPr>
            <w:tcW w:type="dxa" w:w="2923"/>
            <w:tcBorders>
              <w:top w:val="single" w:sz="8" w:space="0" w:color="000000"/>
              <w:bottom w:val="single" w:sz="4" w:space="0" w:color="000000"/>
              <w:left w:val="nil"/>
              <w:right w:val="nil"/>
            </w:tcBorders>
          </w:tcPr>
          <w:p>
            <w:r/>
            <w:r>
              <w:rPr>
                <w:rFonts w:ascii="Times New Roman" w:hAnsi="Times New Roman"/>
                <w:b/>
                <w:sz w:val="22"/>
              </w:rPr>
              <w:t>Verdi</w:t>
            </w:r>
          </w:p>
        </w:tc>
        <w:tc>
          <w:tcPr>
            <w:tcW w:type="dxa" w:w="2923"/>
            <w:tcBorders>
              <w:top w:val="single" w:sz="8" w:space="0" w:color="000000"/>
              <w:bottom w:val="single" w:sz="4" w:space="0" w:color="000000"/>
              <w:left w:val="nil"/>
              <w:right w:val="nil"/>
            </w:tcBorders>
          </w:tcPr>
          <w:p>
            <w:r/>
            <w:r>
              <w:rPr>
                <w:rFonts w:ascii="Times New Roman" w:hAnsi="Times New Roman"/>
                <w:b/>
                <w:sz w:val="22"/>
              </w:rPr>
              <w:t>Kilde/Begrunnelse</w:t>
            </w:r>
          </w:p>
        </w:tc>
      </w:tr>
      <w:tr>
        <w:tc>
          <w:tcPr>
            <w:tcW w:type="dxa" w:w="2923"/>
          </w:tcPr>
          <w:p>
            <w:r/>
            <w:r>
              <w:rPr>
                <w:rFonts w:ascii="Times New Roman" w:hAnsi="Times New Roman"/>
                <w:sz w:val="22"/>
              </w:rPr>
              <w:t>ABC A-grense</w:t>
            </w:r>
          </w:p>
        </w:tc>
        <w:tc>
          <w:tcPr>
            <w:tcW w:type="dxa" w:w="2923"/>
          </w:tcPr>
          <w:p>
            <w:r/>
            <w:r>
              <w:rPr>
                <w:rFonts w:ascii="Times New Roman" w:hAnsi="Times New Roman"/>
                <w:sz w:val="22"/>
              </w:rPr>
              <w:t>80 % kumulativ verdi</w:t>
            </w:r>
          </w:p>
        </w:tc>
        <w:tc>
          <w:tcPr>
            <w:tcW w:type="dxa" w:w="2923"/>
          </w:tcPr>
          <w:p>
            <w:r/>
            <w:r>
              <w:rPr>
                <w:rFonts w:ascii="Times New Roman" w:hAnsi="Times New Roman"/>
                <w:sz w:val="22"/>
              </w:rPr>
              <w:t>Silaen et al. (2023)</w:t>
            </w:r>
          </w:p>
        </w:tc>
      </w:tr>
      <w:tr>
        <w:tc>
          <w:tcPr>
            <w:tcW w:type="dxa" w:w="2923"/>
          </w:tcPr>
          <w:p>
            <w:r/>
            <w:r>
              <w:rPr>
                <w:rFonts w:ascii="Times New Roman" w:hAnsi="Times New Roman"/>
                <w:sz w:val="22"/>
              </w:rPr>
              <w:t>ABC B-grense</w:t>
            </w:r>
          </w:p>
        </w:tc>
        <w:tc>
          <w:tcPr>
            <w:tcW w:type="dxa" w:w="2923"/>
          </w:tcPr>
          <w:p>
            <w:r/>
            <w:r>
              <w:rPr>
                <w:rFonts w:ascii="Times New Roman" w:hAnsi="Times New Roman"/>
                <w:sz w:val="22"/>
              </w:rPr>
              <w:t>95 % kumulativ verdi</w:t>
            </w:r>
          </w:p>
        </w:tc>
        <w:tc>
          <w:tcPr>
            <w:tcW w:type="dxa" w:w="2923"/>
          </w:tcPr>
          <w:p>
            <w:r/>
            <w:r>
              <w:rPr>
                <w:rFonts w:ascii="Times New Roman" w:hAnsi="Times New Roman"/>
                <w:sz w:val="22"/>
              </w:rPr>
              <w:t>Silaen et al. (2023)</w:t>
            </w:r>
          </w:p>
        </w:tc>
      </w:tr>
      <w:tr>
        <w:tc>
          <w:tcPr>
            <w:tcW w:type="dxa" w:w="2923"/>
          </w:tcPr>
          <w:p>
            <w:r/>
            <w:r>
              <w:rPr>
                <w:rFonts w:ascii="Times New Roman" w:hAnsi="Times New Roman"/>
                <w:sz w:val="22"/>
              </w:rPr>
              <w:t>XYZ X-grense</w:t>
            </w:r>
          </w:p>
        </w:tc>
        <w:tc>
          <w:tcPr>
            <w:tcW w:type="dxa" w:w="2923"/>
          </w:tcPr>
          <w:p>
            <w:r/>
            <w:r>
              <w:rPr>
                <w:rFonts w:ascii="Times New Roman" w:hAnsi="Times New Roman"/>
                <w:sz w:val="22"/>
              </w:rPr>
              <w:t>CV &lt; 0,5</w:t>
            </w:r>
          </w:p>
        </w:tc>
        <w:tc>
          <w:tcPr>
            <w:tcW w:type="dxa" w:w="2923"/>
          </w:tcPr>
          <w:p>
            <w:r/>
            <w:r>
              <w:rPr>
                <w:rFonts w:ascii="Times New Roman" w:hAnsi="Times New Roman"/>
                <w:sz w:val="22"/>
              </w:rPr>
              <w:t>Nowotyńska (2013)</w:t>
            </w:r>
          </w:p>
        </w:tc>
      </w:tr>
      <w:tr>
        <w:tc>
          <w:tcPr>
            <w:tcW w:type="dxa" w:w="2923"/>
          </w:tcPr>
          <w:p>
            <w:r/>
            <w:r>
              <w:rPr>
                <w:rFonts w:ascii="Times New Roman" w:hAnsi="Times New Roman"/>
                <w:sz w:val="22"/>
              </w:rPr>
              <w:t>XYZ Y-grense</w:t>
            </w:r>
          </w:p>
        </w:tc>
        <w:tc>
          <w:tcPr>
            <w:tcW w:type="dxa" w:w="2923"/>
          </w:tcPr>
          <w:p>
            <w:r/>
            <w:r>
              <w:rPr>
                <w:rFonts w:ascii="Times New Roman" w:hAnsi="Times New Roman"/>
                <w:sz w:val="22"/>
              </w:rPr>
              <w:t>0,5 ≤ CV &lt; 1,0</w:t>
            </w:r>
          </w:p>
        </w:tc>
        <w:tc>
          <w:tcPr>
            <w:tcW w:type="dxa" w:w="2923"/>
          </w:tcPr>
          <w:p>
            <w:r/>
            <w:r>
              <w:rPr>
                <w:rFonts w:ascii="Times New Roman" w:hAnsi="Times New Roman"/>
                <w:sz w:val="22"/>
              </w:rPr>
              <w:t>Nowotyńska (2013)</w:t>
            </w:r>
          </w:p>
        </w:tc>
      </w:tr>
      <w:tr>
        <w:tc>
          <w:tcPr>
            <w:tcW w:type="dxa" w:w="2923"/>
          </w:tcPr>
          <w:p>
            <w:r/>
            <w:r>
              <w:rPr>
                <w:rFonts w:ascii="Times New Roman" w:hAnsi="Times New Roman"/>
                <w:sz w:val="22"/>
              </w:rPr>
              <w:t>XYZ Z-grense</w:t>
            </w:r>
          </w:p>
        </w:tc>
        <w:tc>
          <w:tcPr>
            <w:tcW w:type="dxa" w:w="2923"/>
          </w:tcPr>
          <w:p>
            <w:r/>
            <w:r>
              <w:rPr>
                <w:rFonts w:ascii="Times New Roman" w:hAnsi="Times New Roman"/>
                <w:sz w:val="22"/>
              </w:rPr>
              <w:t>CV ≥ 1,0</w:t>
            </w:r>
          </w:p>
        </w:tc>
        <w:tc>
          <w:tcPr>
            <w:tcW w:type="dxa" w:w="2923"/>
          </w:tcPr>
          <w:p>
            <w:r/>
            <w:r>
              <w:rPr>
                <w:rFonts w:ascii="Times New Roman" w:hAnsi="Times New Roman"/>
                <w:sz w:val="22"/>
              </w:rPr>
              <w:t>Nowotyńska (2013)</w:t>
            </w:r>
          </w:p>
        </w:tc>
      </w:tr>
      <w:tr>
        <w:tc>
          <w:tcPr>
            <w:tcW w:type="dxa" w:w="2923"/>
          </w:tcPr>
          <w:p>
            <w:r/>
            <w:r>
              <w:rPr>
                <w:rFonts w:ascii="Times New Roman" w:hAnsi="Times New Roman"/>
                <w:sz w:val="22"/>
              </w:rPr>
              <w:t>Ordrekostnad S</w:t>
            </w:r>
          </w:p>
        </w:tc>
        <w:tc>
          <w:tcPr>
            <w:tcW w:type="dxa" w:w="2923"/>
          </w:tcPr>
          <w:p>
            <w:r/>
            <w:r>
              <w:rPr>
                <w:rFonts w:ascii="Times New Roman" w:hAnsi="Times New Roman"/>
                <w:sz w:val="22"/>
              </w:rPr>
              <w:t>750 NOK</w:t>
            </w:r>
          </w:p>
        </w:tc>
        <w:tc>
          <w:tcPr>
            <w:tcW w:type="dxa" w:w="2923"/>
          </w:tcPr>
          <w:p>
            <w:r/>
            <w:r>
              <w:rPr>
                <w:rFonts w:ascii="Times New Roman" w:hAnsi="Times New Roman"/>
                <w:sz w:val="22"/>
              </w:rPr>
              <w:t>Kelle et al. (2012); Bijvank &amp; Vis (2012)</w:t>
            </w:r>
          </w:p>
        </w:tc>
      </w:tr>
      <w:tr>
        <w:tc>
          <w:tcPr>
            <w:tcW w:type="dxa" w:w="2923"/>
          </w:tcPr>
          <w:p>
            <w:r/>
            <w:r>
              <w:rPr>
                <w:rFonts w:ascii="Times New Roman" w:hAnsi="Times New Roman"/>
                <w:sz w:val="22"/>
              </w:rPr>
              <w:t>Holdesats h</w:t>
            </w:r>
          </w:p>
        </w:tc>
        <w:tc>
          <w:tcPr>
            <w:tcW w:type="dxa" w:w="2923"/>
          </w:tcPr>
          <w:p>
            <w:r/>
            <w:r>
              <w:rPr>
                <w:rFonts w:ascii="Times New Roman" w:hAnsi="Times New Roman"/>
                <w:sz w:val="22"/>
              </w:rPr>
              <w:t>20 % av UNIT_PRICE</w:t>
            </w:r>
          </w:p>
        </w:tc>
        <w:tc>
          <w:tcPr>
            <w:tcW w:type="dxa" w:w="2923"/>
          </w:tcPr>
          <w:p>
            <w:r/>
            <w:r>
              <w:rPr>
                <w:rFonts w:ascii="Times New Roman" w:hAnsi="Times New Roman"/>
                <w:sz w:val="22"/>
              </w:rPr>
              <w:t>Ketkar &amp; Vaidya (2014)</w:t>
            </w:r>
          </w:p>
        </w:tc>
      </w:tr>
      <w:tr>
        <w:tc>
          <w:tcPr>
            <w:tcW w:type="dxa" w:w="2923"/>
          </w:tcPr>
          <w:p>
            <w:r/>
            <w:r>
              <w:rPr>
                <w:rFonts w:ascii="Times New Roman" w:hAnsi="Times New Roman"/>
                <w:sz w:val="22"/>
              </w:rPr>
              <w:t>Leveringstid fallback</w:t>
            </w:r>
          </w:p>
        </w:tc>
        <w:tc>
          <w:tcPr>
            <w:tcW w:type="dxa" w:w="2923"/>
          </w:tcPr>
          <w:p>
            <w:r/>
            <w:r>
              <w:rPr>
                <w:rFonts w:ascii="Times New Roman" w:hAnsi="Times New Roman"/>
                <w:sz w:val="22"/>
              </w:rPr>
              <w:t>14 dager</w:t>
            </w:r>
          </w:p>
        </w:tc>
        <w:tc>
          <w:tcPr>
            <w:tcW w:type="dxa" w:w="2923"/>
          </w:tcPr>
          <w:p>
            <w:r/>
            <w:r>
              <w:rPr>
                <w:rFonts w:ascii="Times New Roman" w:hAnsi="Times New Roman"/>
                <w:sz w:val="22"/>
              </w:rPr>
              <w:t>Bransjepraksis (D-05)</w:t>
            </w:r>
          </w:p>
        </w:tc>
      </w:tr>
      <w:tr>
        <w:tc>
          <w:tcPr>
            <w:tcW w:type="dxa" w:w="2923"/>
          </w:tcPr>
          <w:p>
            <w:r/>
            <w:r>
              <w:rPr>
                <w:rFonts w:ascii="Times New Roman" w:hAnsi="Times New Roman"/>
                <w:sz w:val="22"/>
              </w:rPr>
              <w:t>EOQ-terskel τ_f</w:t>
            </w:r>
          </w:p>
        </w:tc>
        <w:tc>
          <w:tcPr>
            <w:tcW w:type="dxa" w:w="2923"/>
          </w:tcPr>
          <w:p>
            <w:r/>
            <w:r>
              <w:rPr>
                <w:rFonts w:ascii="Times New Roman" w:hAnsi="Times New Roman"/>
                <w:sz w:val="22"/>
              </w:rPr>
              <w:t>1,5 (FREQ_AVVIK &gt; 150 %)</w:t>
            </w:r>
          </w:p>
        </w:tc>
        <w:tc>
          <w:tcPr>
            <w:tcW w:type="dxa" w:w="2923"/>
          </w:tcPr>
          <w:p>
            <w:r/>
            <w:r>
              <w:rPr>
                <w:rFonts w:ascii="Times New Roman" w:hAnsi="Times New Roman"/>
                <w:sz w:val="22"/>
              </w:rPr>
              <w:t>Operasjonelt vesentlig avvik</w:t>
            </w:r>
          </w:p>
        </w:tc>
      </w:tr>
      <w:tr>
        <w:tc>
          <w:tcPr>
            <w:tcW w:type="dxa" w:w="2923"/>
          </w:tcPr>
          <w:p>
            <w:r/>
            <w:r>
              <w:rPr>
                <w:rFonts w:ascii="Times New Roman" w:hAnsi="Times New Roman"/>
                <w:sz w:val="22"/>
              </w:rPr>
              <w:t>K-means K-søk</w:t>
            </w:r>
          </w:p>
        </w:tc>
        <w:tc>
          <w:tcPr>
            <w:tcW w:type="dxa" w:w="2923"/>
          </w:tcPr>
          <w:p>
            <w:r/>
            <w:r>
              <w:rPr>
                <w:rFonts w:ascii="Times New Roman" w:hAnsi="Times New Roman"/>
                <w:sz w:val="22"/>
              </w:rPr>
              <w:t>K ∈ {2, 3, 4, 5, 6, 7}</w:t>
            </w:r>
          </w:p>
        </w:tc>
        <w:tc>
          <w:tcPr>
            <w:tcW w:type="dxa" w:w="2923"/>
          </w:tcPr>
          <w:p>
            <w:r/>
            <w:r>
              <w:rPr>
                <w:rFonts w:ascii="Times New Roman" w:hAnsi="Times New Roman"/>
                <w:sz w:val="22"/>
              </w:rPr>
              <w:t>Silhouette-optimering</w:t>
            </w:r>
          </w:p>
        </w:tc>
      </w:tr>
      <w:tr>
        <w:tc>
          <w:tcPr>
            <w:tcW w:type="dxa" w:w="2923"/>
          </w:tcPr>
          <w:p>
            <w:r/>
            <w:r>
              <w:rPr>
                <w:rFonts w:ascii="Times New Roman" w:hAnsi="Times New Roman"/>
                <w:sz w:val="22"/>
              </w:rPr>
              <w:t>K-means n_init</w:t>
            </w:r>
          </w:p>
        </w:tc>
        <w:tc>
          <w:tcPr>
            <w:tcW w:type="dxa" w:w="2923"/>
          </w:tcPr>
          <w:p>
            <w:r/>
            <w:r>
              <w:rPr>
                <w:rFonts w:ascii="Times New Roman" w:hAnsi="Times New Roman"/>
                <w:sz w:val="22"/>
              </w:rPr>
              <w:t>50</w:t>
            </w:r>
          </w:p>
        </w:tc>
        <w:tc>
          <w:tcPr>
            <w:tcW w:type="dxa" w:w="2923"/>
          </w:tcPr>
          <w:p>
            <w:r/>
            <w:r>
              <w:rPr>
                <w:rFonts w:ascii="Times New Roman" w:hAnsi="Times New Roman"/>
                <w:sz w:val="22"/>
              </w:rPr>
              <w:t>Robust initialisering</w:t>
            </w:r>
          </w:p>
        </w:tc>
      </w:tr>
      <w:tr>
        <w:tc>
          <w:tcPr>
            <w:tcW w:type="dxa" w:w="2923"/>
          </w:tcPr>
          <w:p>
            <w:r/>
            <w:r>
              <w:rPr>
                <w:rFonts w:ascii="Times New Roman" w:hAnsi="Times New Roman"/>
                <w:sz w:val="22"/>
              </w:rPr>
              <w:t>Random state</w:t>
            </w:r>
          </w:p>
        </w:tc>
        <w:tc>
          <w:tcPr>
            <w:tcW w:type="dxa" w:w="2923"/>
          </w:tcPr>
          <w:p>
            <w:r/>
            <w:r>
              <w:rPr>
                <w:rFonts w:ascii="Times New Roman" w:hAnsi="Times New Roman"/>
                <w:sz w:val="22"/>
              </w:rPr>
              <w:t>42</w:t>
            </w:r>
          </w:p>
        </w:tc>
        <w:tc>
          <w:tcPr>
            <w:tcW w:type="dxa" w:w="2923"/>
          </w:tcPr>
          <w:p>
            <w:r/>
            <w:r>
              <w:rPr>
                <w:rFonts w:ascii="Times New Roman" w:hAnsi="Times New Roman"/>
                <w:sz w:val="22"/>
              </w:rPr>
              <w:t>Reproduserbarhet</w:t>
            </w:r>
          </w:p>
        </w:tc>
      </w:tr>
      <w:tr>
        <w:tc>
          <w:tcPr>
            <w:tcW w:type="dxa" w:w="2923"/>
          </w:tcPr>
          <w:p>
            <w:r/>
            <w:r>
              <w:rPr>
                <w:rFonts w:ascii="Times New Roman" w:hAnsi="Times New Roman"/>
                <w:sz w:val="22"/>
              </w:rPr>
              <w:t>Train/test split</w:t>
            </w:r>
          </w:p>
        </w:tc>
        <w:tc>
          <w:tcPr>
            <w:tcW w:type="dxa" w:w="2923"/>
          </w:tcPr>
          <w:p>
            <w:r/>
            <w:r>
              <w:rPr>
                <w:rFonts w:ascii="Times New Roman" w:hAnsi="Times New Roman"/>
                <w:sz w:val="22"/>
              </w:rPr>
              <w:t>80/20</w:t>
            </w:r>
          </w:p>
        </w:tc>
        <w:tc>
          <w:tcPr>
            <w:tcW w:type="dxa" w:w="2923"/>
          </w:tcPr>
          <w:p>
            <w:r/>
            <w:r>
              <w:rPr>
                <w:rFonts w:ascii="Times New Roman" w:hAnsi="Times New Roman"/>
                <w:sz w:val="22"/>
              </w:rPr>
              <w:t>Standard validering</w:t>
            </w:r>
          </w:p>
        </w:tc>
      </w:tr>
    </w:tbl>
    <w:p>
      <w:r>
        <w:rPr>
          <w:rFonts w:ascii="Times New Roman" w:hAnsi="Times New Roman"/>
          <w:i/>
          <w:sz w:val="20"/>
        </w:rPr>
        <w:t>Tabell 6. Modellparametere: ABC-klassifiseringsgrenser og øvrige analyseinnstillinger.</w:t>
      </w:r>
    </w:p>
    <w:p>
      <w:pPr>
        <w:spacing w:line="360" w:lineRule="auto"/>
      </w:pPr>
      <w:r>
        <w:rPr>
          <w:rFonts w:ascii="Times New Roman" w:hAnsi="Times New Roman" w:cs="Times New Roman"/>
          <w:sz w:val="24"/>
        </w:rPr>
        <w:t>Grensene 80 % og 95 % er i tråd med den klassiske Pareto-inndelingen og er konsistente med anbefalingene i van Kampen et al. (2012). Sorteringen og kumulative beregningene er implementert med pandas (McKinney, 2010), og ingen manuell justering av enkeltartikler er foretatt.</w:t>
      </w:r>
    </w:p>
    <w:p>
      <w:pPr>
        <w:pStyle w:val="Overskrift2"/>
      </w:pPr>
      <w:r>
        <w:rPr>
          <w:rFonts w:ascii="Times New Roman" w:hAnsi="Times New Roman"/>
          <w:color w:val="000000"/>
          <w:sz w:val="32"/>
        </w:rPr>
        <w:t>5.2 XYZ-modellen</w:t>
      </w:r>
    </w:p>
    <w:p>
      <w:pPr>
        <w:spacing w:line="360" w:lineRule="auto"/>
      </w:pPr>
      <w:r>
        <w:rPr>
          <w:rFonts w:ascii="Times New Roman" w:hAnsi="Times New Roman" w:cs="Times New Roman"/>
          <w:sz w:val="24"/>
        </w:rPr>
        <w:t>XYZ-klassifisering beskriver stabilitet i forbruksmønsteret over tid, og komplementerer ABC-analysen ved å skille artikler med forutsigbar etterspørsel fra artikler med uregelmessig forbruk (Nowotyńska, 2013). Grunnlaget for klassifiseringen er variasjonskoeffisienten CV (coefficient of variation), beregnet fra månedlig forbruk over analyseperioden på 24 måneder:</w:t>
      </w:r>
    </w:p>
    <w:p>
      <w:pPr>
        <w:spacing w:line="360" w:lineRule="auto"/>
        <w:jc w:val="center"/>
      </w:pPr>
      <m:oMath>
        <m:sSub>
          <m:e>
            <m:r>
              <m:rPr>
                <m:nor/>
              </m:rPr>
              <m:t>CV</m:t>
            </m:r>
          </m:e>
          <m:sub>
            <m:r>
              <m:t>i</m:t>
            </m:r>
          </m:sub>
        </m:sSub>
        <m:r>
          <m:t>=</m:t>
        </m:r>
        <m:f>
          <m:fPr>
            <m:type m:val="bar"/>
          </m:fPr>
          <m:num>
            <m:sSub>
              <m:e>
                <m:r>
                  <m:t>σ</m:t>
                </m:r>
              </m:e>
              <m:sub>
                <m:r>
                  <m:t>i</m:t>
                </m:r>
              </m:sub>
            </m:sSub>
          </m:num>
          <m:den>
            <m:sSub>
              <m:e>
                <m:r>
                  <m:t>μ</m:t>
                </m:r>
              </m:e>
              <m:sub>
                <m:r>
                  <m:t>i</m:t>
                </m:r>
              </m:sub>
            </m:sSub>
          </m:den>
        </m:f>
      </m:oMath>
    </w:p>
    <w:p>
      <w:pPr>
        <w:spacing w:line="360" w:lineRule="auto"/>
      </w:pPr>
      <w:r>
        <w:rPr>
          <w:rFonts w:ascii="Times New Roman" w:hAnsi="Times New Roman" w:cs="Times New Roman"/>
          <w:sz w:val="24"/>
        </w:rPr>
        <w:t xml:space="preserve">der </w:t>
      </w:r>
      <m:oMath>
        <m:sSub>
          <m:e>
            <m:r>
              <m:t>σ</m:t>
            </m:r>
          </m:e>
          <m:sub>
            <m:r>
              <m:t>i</m:t>
            </m:r>
          </m:sub>
        </m:sSub>
      </m:oMath>
      <w:r>
        <w:rPr>
          <w:rFonts w:ascii="Times New Roman" w:hAnsi="Times New Roman" w:cs="Times New Roman"/>
          <w:sz w:val="24"/>
        </w:rPr>
        <w:t xml:space="preserve"> er standardavviket og </w:t>
      </w:r>
      <m:oMath>
        <m:sSub>
          <m:e>
            <m:r>
              <m:t>μ</m:t>
            </m:r>
          </m:e>
          <m:sub>
            <m:r>
              <m:t>i</m:t>
            </m:r>
          </m:sub>
        </m:sSub>
      </m:oMath>
      <w:r>
        <w:rPr>
          <w:rFonts w:ascii="Times New Roman" w:hAnsi="Times New Roman" w:cs="Times New Roman"/>
          <w:sz w:val="24"/>
        </w:rPr>
        <w:t xml:space="preserve"> er gjennomsnittet av månedlig forbruk for artikkel </w:t>
      </w:r>
      <m:oMath>
        <m:r>
          <m:t>i</m:t>
        </m:r>
      </m:oMath>
      <w:r>
        <w:rPr>
          <w:rFonts w:ascii="Times New Roman" w:hAnsi="Times New Roman" w:cs="Times New Roman"/>
          <w:sz w:val="24"/>
        </w:rPr>
        <w:t>, basert på MSEG-bevegelsestypene 201 og 647. CV er et dimensjonsløst relativt spredningsmål som gjør det mulig å sammenligne variasjon på tvers av artikler med svært ulike forbruksvolumer (Suryaputri et al., 2022). Artikler med manglende forbruksdata utelates fra XYZ-analysen. Grensene fremgår av Tabell 6 ovenfor.</w:t>
      </w:r>
    </w:p>
    <w:p>
      <w:pPr>
        <w:spacing w:line="360" w:lineRule="auto"/>
      </w:pPr>
      <w:r>
        <w:rPr>
          <w:rFonts w:ascii="Times New Roman" w:hAnsi="Times New Roman" w:cs="Times New Roman"/>
          <w:sz w:val="24"/>
        </w:rPr>
        <w:t>Kombinasjonen av ABC og XYZ gir en ni-felts matrise (AX, AY, AZ … CZ) som nyanserer styringsbeslutningen: en AX-artikkel er både høyverdi og forutsigbar, og er dermed velegnet for automatisert etterfylling med stram styring, mens en CZ-artikkel er lavverdi og uregelmessig, og typisk bør håndteres med en reaktiv, behovsstyrt tilnærming (Ketkar &amp; Vaidya, 2014). Matrisen er ikke et mål i seg selv, men fungerer som ett av tre inngangssignaler til regelmotoren beskrevet i avsnitt 5.5.</w:t>
      </w:r>
    </w:p>
    <w:p>
      <w:pPr>
        <w:spacing w:line="360" w:lineRule="auto"/>
      </w:pPr>
      <w:r>
        <w:rPr>
          <w:rFonts w:ascii="Times New Roman" w:hAnsi="Times New Roman" w:cs="Times New Roman"/>
          <w:sz w:val="24"/>
        </w:rPr>
        <w:t>Som beskrevet i avsnitt 4.3 (D-04) benyttes SAP-feltet ZZXYZ utelukkende til validering: systemklassen sammenlignes med den beregnede CV-klassen for å kvantifisere i hvilken grad den eksisterende SAP-klassifiseringen er i overensstemmelse med faktiske forbruksdata. Valideringsresultater presenteres i kapittel 6.</w:t>
      </w:r>
    </w:p>
    <w:p>
      <w:pPr>
        <w:pStyle w:val="Overskrift2"/>
      </w:pPr>
      <w:r>
        <w:rPr>
          <w:rFonts w:ascii="Times New Roman" w:hAnsi="Times New Roman"/>
          <w:color w:val="000000"/>
          <w:sz w:val="32"/>
        </w:rPr>
        <w:t>5.3 EOQ-modellen og besparelsesformelen</w:t>
      </w:r>
    </w:p>
    <w:p>
      <w:pPr>
        <w:spacing w:line="360" w:lineRule="auto"/>
      </w:pPr>
      <w:r>
        <w:rPr>
          <w:rFonts w:ascii="Times New Roman" w:hAnsi="Times New Roman" w:cs="Times New Roman"/>
          <w:b/>
          <w:sz w:val="24"/>
        </w:rPr>
        <w:t>Wilson EOQ-modell.</w:t>
      </w:r>
      <w:r>
        <w:rPr>
          <w:rFonts w:ascii="Times New Roman" w:hAnsi="Times New Roman" w:cs="Times New Roman"/>
          <w:sz w:val="24"/>
        </w:rPr>
        <w:t xml:space="preserve"> Den klassiske Wilson-formelen gir den ordrekvantum </w:t>
      </w:r>
      <m:oMath>
        <m:sSup>
          <m:e>
            <m:r>
              <m:t>Q</m:t>
            </m:r>
          </m:e>
          <m:sup>
            <m:r>
              <m:t>*</m:t>
            </m:r>
          </m:sup>
        </m:sSup>
      </m:oMath>
      <w:r>
        <w:rPr>
          <w:rFonts w:ascii="Times New Roman" w:hAnsi="Times New Roman" w:cs="Times New Roman"/>
          <w:sz w:val="24"/>
        </w:rPr>
        <w:t xml:space="preserve"> som minimerer den totale lagerholde- og ordrekostnaden per år (Hautaniemi &amp; Pirttilä, 1999):</w:t>
      </w:r>
    </w:p>
    <w:p>
      <w:pPr>
        <w:spacing w:line="360" w:lineRule="auto"/>
        <w:jc w:val="center"/>
      </w:pPr>
      <m:oMath>
        <m:sSup>
          <m:e>
            <m:r>
              <m:t>Q</m:t>
            </m:r>
          </m:e>
          <m:sup>
            <m:r>
              <m:t>*</m:t>
            </m:r>
          </m:sup>
        </m:sSup>
        <m:r>
          <m:t>=</m:t>
        </m:r>
        <m:rad>
          <m:radPr>
            <m:degHide m:val="on"/>
          </m:radPr>
          <m:deg/>
          <m:e>
            <m:f>
              <m:fPr>
                <m:type m:val="bar"/>
              </m:fPr>
              <m:num>
                <m:r>
                  <m:t>2DS</m:t>
                </m:r>
              </m:num>
              <m:den>
                <m:r>
                  <m:t>H</m:t>
                </m:r>
              </m:den>
            </m:f>
          </m:e>
        </m:rad>
      </m:oMath>
    </w:p>
    <w:p>
      <w:pPr>
        <w:spacing w:line="360" w:lineRule="auto"/>
      </w:pPr>
      <w:r>
        <w:rPr>
          <w:rFonts w:ascii="Times New Roman" w:hAnsi="Times New Roman" w:cs="Times New Roman"/>
          <w:sz w:val="24"/>
        </w:rPr>
        <w:t xml:space="preserve">der </w:t>
      </w:r>
      <m:oMath>
        <m:r>
          <m:t>D</m:t>
        </m:r>
      </m:oMath>
      <w:r>
        <w:rPr>
          <w:rFonts w:ascii="Times New Roman" w:hAnsi="Times New Roman" w:cs="Times New Roman"/>
          <w:sz w:val="24"/>
        </w:rPr>
        <w:t xml:space="preserve"> er årsforbruk (enheter/år), </w:t>
      </w:r>
      <m:oMath>
        <m:r>
          <m:t>S=750</m:t>
        </m:r>
      </m:oMath>
      <w:r>
        <w:rPr>
          <w:rFonts w:ascii="Times New Roman" w:hAnsi="Times New Roman" w:cs="Times New Roman"/>
          <w:sz w:val="24"/>
        </w:rPr>
        <w:t xml:space="preserve"> NOK er ordrekostnad per bestilling og </w:t>
      </w:r>
      <m:oMath>
        <m:r>
          <m:t>H=h×</m:t>
        </m:r>
        <m:r>
          <m:rPr>
            <m:nor/>
          </m:rPr>
          <m:t>UNIT\_PRICE</m:t>
        </m:r>
      </m:oMath>
      <w:r>
        <w:rPr>
          <w:rFonts w:ascii="Times New Roman" w:hAnsi="Times New Roman" w:cs="Times New Roman"/>
          <w:sz w:val="24"/>
        </w:rPr>
        <w:t xml:space="preserve"> er holdekostnad per enhet per år, med holdesats </w:t>
      </w:r>
      <m:oMath>
        <m:r>
          <m:t>h=20</m:t>
        </m:r>
        <m:r>
          <m:t>%</m:t>
        </m:r>
      </m:oMath>
      <w:r>
        <w:rPr>
          <w:rFonts w:ascii="Times New Roman" w:hAnsi="Times New Roman" w:cs="Times New Roman"/>
          <w:sz w:val="24"/>
        </w:rPr>
        <w:t>. Den optimale ordrefrekvensen følger direkte:</w:t>
      </w:r>
    </w:p>
    <w:p>
      <w:pPr>
        <w:spacing w:line="360" w:lineRule="auto"/>
        <w:jc w:val="center"/>
      </w:pPr>
      <m:oMath>
        <m:sSup>
          <m:e>
            <m:r>
              <m:t>f</m:t>
            </m:r>
          </m:e>
          <m:sup>
            <m:r>
              <m:t>*</m:t>
            </m:r>
          </m:sup>
        </m:sSup>
        <m:r>
          <m:t>=</m:t>
        </m:r>
        <m:f>
          <m:fPr>
            <m:type m:val="bar"/>
          </m:fPr>
          <m:num>
            <m:r>
              <m:t>D</m:t>
            </m:r>
          </m:num>
          <m:den>
            <m:sSup>
              <m:e>
                <m:r>
                  <m:t>Q</m:t>
                </m:r>
              </m:e>
              <m:sup>
                <m:r>
                  <m:t>*</m:t>
                </m:r>
              </m:sup>
            </m:sSup>
          </m:den>
        </m:f>
        <m:r>
          <m:t>=</m:t>
        </m:r>
        <m:rad>
          <m:radPr>
            <m:degHide m:val="on"/>
          </m:radPr>
          <m:deg/>
          <m:e>
            <m:f>
              <m:fPr>
                <m:type m:val="bar"/>
              </m:fPr>
              <m:num>
                <m:r>
                  <m:t>DH</m:t>
                </m:r>
              </m:num>
              <m:den>
                <m:r>
                  <m:t>2S</m:t>
                </m:r>
              </m:den>
            </m:f>
          </m:e>
        </m:rad>
      </m:oMath>
    </w:p>
    <w:p>
      <w:pPr>
        <w:spacing w:line="360" w:lineRule="auto"/>
      </w:pPr>
      <w:r>
        <w:rPr>
          <w:rFonts w:ascii="Times New Roman" w:hAnsi="Times New Roman" w:cs="Times New Roman"/>
          <w:b/>
          <w:sz w:val="24"/>
        </w:rPr>
        <w:t>Avviksformel.</w:t>
      </w:r>
      <w:r>
        <w:rPr>
          <w:rFonts w:ascii="Times New Roman" w:hAnsi="Times New Roman" w:cs="Times New Roman"/>
          <w:sz w:val="24"/>
        </w:rPr>
        <w:t xml:space="preserve"> Faktisk ordrefrekvens </w:t>
      </w:r>
      <m:oMath>
        <m:sSub>
          <m:e>
            <m:r>
              <m:t>f</m:t>
            </m:r>
          </m:e>
          <m:sub>
            <m:r>
              <m:rPr>
                <m:nor/>
              </m:rPr>
              <m:t>obs</m:t>
            </m:r>
          </m:sub>
        </m:sSub>
      </m:oMath>
      <w:r>
        <w:rPr>
          <w:rFonts w:ascii="Times New Roman" w:hAnsi="Times New Roman" w:cs="Times New Roman"/>
          <w:sz w:val="24"/>
        </w:rPr>
        <w:t xml:space="preserve"> er annualisert fra EKBE-data via D-08. Relativt frekvensavvik er definert som:</w:t>
      </w:r>
    </w:p>
    <w:p>
      <w:pPr>
        <w:spacing w:line="360" w:lineRule="auto"/>
        <w:jc w:val="center"/>
      </w:pPr>
      <m:oMath>
        <m:sSub>
          <m:e>
            <m:r>
              <m:rPr>
                <m:nor/>
              </m:rPr>
              <m:t>FREQ\_AVVIK</m:t>
            </m:r>
          </m:e>
          <m:sub>
            <m:r>
              <m:t>i</m:t>
            </m:r>
          </m:sub>
        </m:sSub>
        <m:r>
          <m:t>=</m:t>
        </m:r>
        <m:f>
          <m:fPr>
            <m:type m:val="bar"/>
          </m:fPr>
          <m:num>
            <m:sSub>
              <m:e>
                <m:r>
                  <m:t>f</m:t>
                </m:r>
              </m:e>
              <m:sub>
                <m:r>
                  <m:rPr>
                    <m:nor/>
                  </m:rPr>
                  <m:t>obs</m:t>
                </m:r>
                <m:r>
                  <m:t>,i</m:t>
                </m:r>
              </m:sub>
            </m:sSub>
            <m:r>
              <m:t>−</m:t>
            </m:r>
            <m:sSubSup>
              <m:e>
                <m:r>
                  <m:t>f</m:t>
                </m:r>
              </m:e>
              <m:sub>
                <m:r>
                  <m:t>i</m:t>
                </m:r>
              </m:sub>
              <m:sup>
                <m:r>
                  <m:t>*</m:t>
                </m:r>
              </m:sup>
            </m:sSubSup>
          </m:num>
          <m:den>
            <m:sSubSup>
              <m:e>
                <m:r>
                  <m:t>f</m:t>
                </m:r>
              </m:e>
              <m:sub>
                <m:r>
                  <m:t>i</m:t>
                </m:r>
              </m:sub>
              <m:sup>
                <m:r>
                  <m:t>*</m:t>
                </m:r>
              </m:sup>
            </m:sSubSup>
          </m:den>
        </m:f>
      </m:oMath>
    </w:p>
    <w:p>
      <w:pPr>
        <w:spacing w:line="360" w:lineRule="auto"/>
      </w:pPr>
      <w:r>
        <w:rPr>
          <w:rFonts w:ascii="Times New Roman" w:hAnsi="Times New Roman" w:cs="Times New Roman"/>
          <w:sz w:val="24"/>
        </w:rPr>
        <w:t xml:space="preserve">En artikkel klassifiseres som FOR\_MANGE\_ORDRER dersom FREQ\_AVVIK </w:t>
      </w:r>
      <m:oMath>
        <m:r>
          <m:t>&gt;</m:t>
        </m:r>
        <m:sSub>
          <m:e>
            <m:r>
              <m:t>τ</m:t>
            </m:r>
          </m:e>
          <m:sub>
            <m:r>
              <m:t>f</m:t>
            </m:r>
          </m:sub>
        </m:sSub>
        <m:r>
          <m:t>=1</m:t>
        </m:r>
        <m:r>
          <m:t>,</m:t>
        </m:r>
        <m:r>
          <m:t>5</m:t>
        </m:r>
      </m:oMath>
      <w:r>
        <w:rPr>
          <w:rFonts w:ascii="Times New Roman" w:hAnsi="Times New Roman" w:cs="Times New Roman"/>
          <w:sz w:val="24"/>
        </w:rPr>
        <w:t xml:space="preserve">, det vil si at faktisk ordrefrekvens er mer enn 150 % høyere enn EOQ-optimal frekvens. Terskelen </w:t>
      </w:r>
      <m:oMath>
        <m:sSub>
          <m:e>
            <m:r>
              <m:t>τ</m:t>
            </m:r>
          </m:e>
          <m:sub>
            <m:r>
              <m:t>f</m:t>
            </m:r>
          </m:sub>
        </m:sSub>
      </m:oMath>
      <w:r>
        <w:rPr>
          <w:rFonts w:ascii="Times New Roman" w:hAnsi="Times New Roman" w:cs="Times New Roman"/>
          <w:sz w:val="24"/>
        </w:rPr>
        <w:t xml:space="preserve"> er satt for å fokusere analysen på de artiklene der avviket er operasjonelt vesentlig, og ikke bare statistisk merkbart. Differansen i totalkostnad mellom faktisk og optimal drift for en artikkel er:</w:t>
      </w:r>
    </w:p>
    <w:p>
      <w:pPr>
        <w:spacing w:line="360" w:lineRule="auto"/>
        <w:jc w:val="center"/>
      </w:pPr>
      <m:oMath>
        <m:r>
          <m:t>ΔT</m:t>
        </m:r>
        <m:sSub>
          <m:e>
            <m:r>
              <m:t>C</m:t>
            </m:r>
          </m:e>
          <m:sub>
            <m:r>
              <m:t>i</m:t>
            </m:r>
          </m:sub>
        </m:sSub>
        <m:r>
          <m:t>=TC(</m:t>
        </m:r>
        <m:sSub>
          <m:e>
            <m:r>
              <m:t>f</m:t>
            </m:r>
          </m:e>
          <m:sub>
            <m:r>
              <m:rPr>
                <m:nor/>
              </m:rPr>
              <m:t>obs</m:t>
            </m:r>
            <m:r>
              <m:t>,i</m:t>
            </m:r>
          </m:sub>
        </m:sSub>
        <m:r>
          <m:t>)−TC(</m:t>
        </m:r>
        <m:sSubSup>
          <m:e>
            <m:r>
              <m:t>f</m:t>
            </m:r>
          </m:e>
          <m:sub>
            <m:r>
              <m:t>i</m:t>
            </m:r>
          </m:sub>
          <m:sup>
            <m:r>
              <m:t>*</m:t>
            </m:r>
          </m:sup>
        </m:sSubSup>
        <m:r>
          <m:t>)</m:t>
        </m:r>
      </m:oMath>
    </w:p>
    <w:p>
      <w:pPr>
        <w:spacing w:line="360" w:lineRule="auto"/>
      </w:pPr>
      <w:r>
        <w:rPr>
          <w:rFonts w:ascii="Times New Roman" w:hAnsi="Times New Roman" w:cs="Times New Roman"/>
          <w:sz w:val="24"/>
        </w:rPr>
        <w:t xml:space="preserve">der totalkostnaden ved frekvens </w:t>
      </w:r>
      <m:oMath>
        <m:r>
          <m:t>f</m:t>
        </m:r>
      </m:oMath>
      <w:r>
        <w:rPr>
          <w:rFonts w:ascii="Times New Roman" w:hAnsi="Times New Roman" w:cs="Times New Roman"/>
          <w:sz w:val="24"/>
        </w:rPr>
        <w:t xml:space="preserve"> er:</w:t>
      </w:r>
    </w:p>
    <w:p>
      <w:pPr>
        <w:spacing w:line="360" w:lineRule="auto"/>
        <w:jc w:val="center"/>
      </w:pPr>
      <m:oMath>
        <m:r>
          <m:t>TC(f)=f·S+</m:t>
        </m:r>
        <m:f>
          <m:fPr>
            <m:type m:val="bar"/>
          </m:fPr>
          <m:num>
            <m:r>
              <m:t>D</m:t>
            </m:r>
          </m:num>
          <m:den>
            <m:r>
              <m:t>2f</m:t>
            </m:r>
          </m:den>
        </m:f>
        <m:r>
          <m:t>·H</m:t>
        </m:r>
      </m:oMath>
    </w:p>
    <w:p>
      <w:pPr>
        <w:spacing w:line="360" w:lineRule="auto"/>
      </w:pPr>
      <w:r>
        <w:rPr>
          <w:rFonts w:ascii="Times New Roman" w:hAnsi="Times New Roman" w:cs="Times New Roman"/>
          <w:b/>
          <w:sz w:val="24"/>
        </w:rPr>
        <w:t>Parametervurdering.</w:t>
      </w:r>
      <w:r>
        <w:rPr>
          <w:rFonts w:ascii="Times New Roman" w:hAnsi="Times New Roman" w:cs="Times New Roman"/>
          <w:sz w:val="24"/>
        </w:rPr>
        <w:t xml:space="preserve"> Parametervalgene </w:t>
      </w:r>
      <m:oMath>
        <m:r>
          <m:t>S=750</m:t>
        </m:r>
      </m:oMath>
      <w:r>
        <w:rPr>
          <w:rFonts w:ascii="Times New Roman" w:hAnsi="Times New Roman" w:cs="Times New Roman"/>
          <w:sz w:val="24"/>
        </w:rPr>
        <w:t xml:space="preserve">kr og </w:t>
      </w:r>
      <m:oMath>
        <m:r>
          <m:t>h=20</m:t>
        </m:r>
      </m:oMath>
      <w:r>
        <w:rPr>
          <w:rFonts w:ascii="Times New Roman" w:hAnsi="Times New Roman" w:cs="Times New Roman"/>
          <w:sz w:val="24"/>
        </w:rPr>
        <w:t xml:space="preserve"> er ikke kalibrert mot observerte virksomhetsdata ved Helse Bergen, men er i tråd med verdier benyttet i tilsvarende sykehuslagerstudier (Kelle et al., 2012; Hautaniemi &amp; Pirttilä, 1999). Det er viktig å merke seg at parametervalg primært påvirker størrelsen på ΔTC, ikke </w:t>
      </w:r>
      <w:r>
        <w:rPr>
          <w:rFonts w:ascii="Times New Roman" w:hAnsi="Times New Roman" w:cs="Times New Roman"/>
          <w:i/>
          <w:sz w:val="24"/>
        </w:rPr>
        <w:t>hvem</w:t>
      </w:r>
      <w:r>
        <w:rPr>
          <w:rFonts w:ascii="Times New Roman" w:hAnsi="Times New Roman" w:cs="Times New Roman"/>
          <w:sz w:val="24"/>
        </w:rPr>
        <w:t xml:space="preserve"> som klassifiseres som FOR\_MANGE\_ORDRER: klassifiseringen er frekvensbasert (faktisk frekvens vs. EOQ-optimal frekvens) og robust overfor moderate endringer i S og h. En dobling av S til 1 500 kr øker EOQ-optimal batchstørrelse med faktor √2 ≈ 1,41 og reduserer optimal ordrefrekvens tilsvarende, men endrer ikke rangeringen av artikler med stor avviksgrad. Sensitivitetsanalysen i kapittel 7 håndterer parametervariasjon eksplisitt gjennom scenariomodellen.</w:t>
      </w:r>
    </w:p>
    <w:p>
      <w:pPr>
        <w:spacing w:line="360" w:lineRule="auto"/>
      </w:pPr>
      <w:r>
        <w:rPr>
          <w:rFonts w:ascii="Times New Roman" w:hAnsi="Times New Roman" w:cs="Times New Roman"/>
          <w:b/>
          <w:sz w:val="24"/>
        </w:rPr>
        <w:t>Besparelsesformel.</w:t>
      </w:r>
      <w:r>
        <w:rPr>
          <w:rFonts w:ascii="Times New Roman" w:hAnsi="Times New Roman" w:cs="Times New Roman"/>
          <w:sz w:val="24"/>
        </w:rPr>
        <w:t xml:space="preserve"> Besparelsesformelen estimerer den reduksjonen i totalkostnad som kan realiseres ved overføring til HVFS og konsolidering av ordrefrekvens mot EOQ-optimalt nivå. Formelen bygger direkte på </w:t>
      </w:r>
      <m:oMath>
        <m:r>
          <m:t>ΔT</m:t>
        </m:r>
        <m:sSub>
          <m:e>
            <m:r>
              <m:t>C</m:t>
            </m:r>
          </m:e>
          <m:sub>
            <m:r>
              <m:t>i</m:t>
            </m:r>
          </m:sub>
        </m:sSub>
      </m:oMath>
      <w:r>
        <w:rPr>
          <w:rFonts w:ascii="Times New Roman" w:hAnsi="Times New Roman" w:cs="Times New Roman"/>
          <w:sz w:val="24"/>
        </w:rPr>
        <w:t>:</w:t>
      </w:r>
    </w:p>
    <w:p>
      <w:pPr>
        <w:spacing w:line="360" w:lineRule="auto"/>
        <w:jc w:val="center"/>
      </w:pPr>
      <m:oMath>
        <m:sSub>
          <m:e>
            <m:r>
              <m:t>B</m:t>
            </m:r>
          </m:e>
          <m:sub>
            <m:r>
              <m:rPr>
                <m:nor/>
              </m:rPr>
              <m:t>HVFS</m:t>
            </m:r>
          </m:sub>
        </m:sSub>
        <m:r>
          <m:t>=</m:t>
        </m:r>
        <m:nary>
          <m:naryPr>
            <m:chr m:val="∑"/>
            <m:limLoc m:val="subSup"/>
            <m:grow m:val="1"/>
            <m:subHide m:val="off"/>
            <m:supHide m:val="on"/>
          </m:naryPr>
          <m:sub>
            <m:r>
              <m:t>i∈</m:t>
            </m:r>
            <m:r>
              <m:rPr>
                <m:nor/>
              </m:rPr>
              <m:t>OVERFØR</m:t>
            </m:r>
          </m:sub>
          <m:sup/>
          <m:e>
            <m:r>
              <m:t>ΔT</m:t>
            </m:r>
          </m:e>
        </m:nary>
        <m:sSub>
          <m:e>
            <m:r>
              <m:t>C</m:t>
            </m:r>
          </m:e>
          <m:sub>
            <m:r>
              <m:t>i</m:t>
            </m:r>
          </m:sub>
        </m:sSub>
        <m:r>
          <m:t>·g</m:t>
        </m:r>
      </m:oMath>
    </w:p>
    <w:p>
      <w:pPr>
        <w:spacing w:line="360" w:lineRule="auto"/>
      </w:pPr>
      <w:r>
        <w:rPr>
          <w:rFonts w:ascii="Times New Roman" w:hAnsi="Times New Roman" w:cs="Times New Roman"/>
          <w:sz w:val="24"/>
        </w:rPr>
        <w:t xml:space="preserve">der </w:t>
      </w:r>
      <m:oMath>
        <m:r>
          <m:t>g</m:t>
        </m:r>
      </m:oMath>
      <w:r>
        <w:rPr>
          <w:rFonts w:ascii="Times New Roman" w:hAnsi="Times New Roman" w:cs="Times New Roman"/>
          <w:sz w:val="24"/>
        </w:rPr>
        <w:t xml:space="preserve"> er en gevinstrealiseringsgrad som reflekterer at ikke alle teoretiske besparelser lar seg realisere fullt ut i praksis — blant annet som følge av implementeringsfriksjon, endrede leverandøravtaler og SAP-parameterjusteringer. Tre scenarier er definert: worst case (</w:t>
      </w:r>
      <m:oMath>
        <m:r>
          <m:t>g=50</m:t>
        </m:r>
        <m:r>
          <m:t>%</m:t>
        </m:r>
      </m:oMath>
      <w:r>
        <w:rPr>
          <w:rFonts w:ascii="Times New Roman" w:hAnsi="Times New Roman" w:cs="Times New Roman"/>
          <w:sz w:val="24"/>
        </w:rPr>
        <w:t>), base case (</w:t>
      </w:r>
      <m:oMath>
        <m:r>
          <m:t>g=75</m:t>
        </m:r>
        <m:r>
          <m:t>%</m:t>
        </m:r>
      </m:oMath>
      <w:r>
        <w:rPr>
          <w:rFonts w:ascii="Times New Roman" w:hAnsi="Times New Roman" w:cs="Times New Roman"/>
          <w:sz w:val="24"/>
        </w:rPr>
        <w:t>) og best case (</w:t>
      </w:r>
      <m:oMath>
        <m:r>
          <m:t>g=100</m:t>
        </m:r>
        <m:r>
          <m:t>%</m:t>
        </m:r>
      </m:oMath>
      <w:r>
        <w:rPr>
          <w:rFonts w:ascii="Times New Roman" w:hAnsi="Times New Roman" w:cs="Times New Roman"/>
          <w:sz w:val="24"/>
        </w:rPr>
        <w:t xml:space="preserve">). Kun artikler som både er i OVERFØR\_HVFS-kategorien </w:t>
      </w:r>
      <w:r>
        <w:rPr>
          <w:rFonts w:ascii="Times New Roman" w:hAnsi="Times New Roman" w:cs="Times New Roman"/>
          <w:i/>
          <w:sz w:val="24"/>
        </w:rPr>
        <w:t>og</w:t>
      </w:r>
      <w:r>
        <w:rPr>
          <w:rFonts w:ascii="Times New Roman" w:hAnsi="Times New Roman" w:cs="Times New Roman"/>
          <w:sz w:val="24"/>
        </w:rPr>
        <w:t xml:space="preserve"> har status FOR\_MANGE\_ORDRER inngår i besparelsesgrunnlaget, da </w:t>
      </w:r>
      <m:oMath>
        <m:r>
          <m:t>ΔT</m:t>
        </m:r>
        <m:sSub>
          <m:e>
            <m:r>
              <m:t>C</m:t>
            </m:r>
          </m:e>
          <m:sub>
            <m:r>
              <m:t>i</m:t>
            </m:r>
          </m:sub>
        </m:sSub>
      </m:oMath>
      <w:r>
        <w:rPr>
          <w:rFonts w:ascii="Times New Roman" w:hAnsi="Times New Roman" w:cs="Times New Roman"/>
          <w:sz w:val="24"/>
        </w:rPr>
        <w:t xml:space="preserve"> modellerer kostnadsavviket fra suboptimal ordrefrekvens — en avvik som nettopp adresseres ved sentralisering til HVFS. Sensitivitetsanalysen i kapittel 7 undersøker robustheten av dette estimatet ved systematisk variasjon i </w:t>
      </w:r>
      <m:oMath>
        <m:r>
          <m:t>S</m:t>
        </m:r>
      </m:oMath>
      <w:r>
        <w:rPr>
          <w:rFonts w:ascii="Times New Roman" w:hAnsi="Times New Roman" w:cs="Times New Roman"/>
          <w:sz w:val="24"/>
        </w:rPr>
        <w:t xml:space="preserve">, </w:t>
      </w:r>
      <m:oMath>
        <m:r>
          <m:t>h</m:t>
        </m:r>
      </m:oMath>
      <w:r>
        <w:rPr>
          <w:rFonts w:ascii="Times New Roman" w:hAnsi="Times New Roman" w:cs="Times New Roman"/>
          <w:sz w:val="24"/>
        </w:rPr>
        <w:t xml:space="preserve"> og </w:t>
      </w:r>
      <m:oMath>
        <m:r>
          <m:t>g</m:t>
        </m:r>
      </m:oMath>
      <w:r>
        <w:rPr>
          <w:rFonts w:ascii="Times New Roman" w:hAnsi="Times New Roman" w:cs="Times New Roman"/>
          <w:sz w:val="24"/>
        </w:rPr>
        <w:t>.</w:t>
      </w:r>
    </w:p>
    <w:p>
      <w:pPr>
        <w:pStyle w:val="Overskrift2"/>
      </w:pPr>
      <w:r>
        <w:rPr>
          <w:rFonts w:ascii="Times New Roman" w:hAnsi="Times New Roman"/>
          <w:color w:val="000000"/>
          <w:sz w:val="32"/>
        </w:rPr>
        <w:t>5.4 K-means klyngemodellen</w:t>
      </w:r>
    </w:p>
    <w:p>
      <w:pPr>
        <w:spacing w:line="360" w:lineRule="auto"/>
      </w:pPr>
      <w:r>
        <w:rPr>
          <w:rFonts w:ascii="Times New Roman" w:hAnsi="Times New Roman" w:cs="Times New Roman"/>
          <w:sz w:val="24"/>
        </w:rPr>
        <w:t xml:space="preserve">K-means er en partisjonerende klyngealgoritme som deler et datasett med </w:t>
      </w:r>
      <m:oMath>
        <m:r>
          <m:t>N</m:t>
        </m:r>
      </m:oMath>
      <w:r>
        <w:rPr>
          <w:rFonts w:ascii="Times New Roman" w:hAnsi="Times New Roman" w:cs="Times New Roman"/>
          <w:sz w:val="24"/>
        </w:rPr>
        <w:t xml:space="preserve"> observasjoner inn i </w:t>
      </w:r>
      <m:oMath>
        <m:r>
          <m:t>K</m:t>
        </m:r>
      </m:oMath>
      <w:r>
        <w:rPr>
          <w:rFonts w:ascii="Times New Roman" w:hAnsi="Times New Roman" w:cs="Times New Roman"/>
          <w:sz w:val="24"/>
        </w:rPr>
        <w:t xml:space="preserve"> klynger ved å minimere intra-klynge varians (Srinivasan &amp; Moon, 1999). Algoritmen er iterativ: den initialiserer </w:t>
      </w:r>
      <m:oMath>
        <m:r>
          <m:t>K</m:t>
        </m:r>
      </m:oMath>
      <w:r>
        <w:rPr>
          <w:rFonts w:ascii="Times New Roman" w:hAnsi="Times New Roman" w:cs="Times New Roman"/>
          <w:sz w:val="24"/>
        </w:rPr>
        <w:t xml:space="preserve"> sentroider, tildeler hvert datapunkt til nærmeste sentroid, oppdaterer sentroider som klyngenes tyngdepunkter og gjentar til konvergens. Implementasjonen benytter scikit-learn (Pedregosa et al., 2011) med `n_init=50` og `max_iter=300` for robust initialisering.</w:t>
      </w:r>
    </w:p>
    <w:p>
      <w:pPr>
        <w:spacing w:line="360" w:lineRule="auto"/>
      </w:pPr>
      <w:r>
        <w:rPr>
          <w:rFonts w:ascii="Times New Roman" w:hAnsi="Times New Roman" w:cs="Times New Roman"/>
          <w:b/>
          <w:sz w:val="24"/>
        </w:rPr>
        <w:t>Featurevektor.</w:t>
      </w:r>
      <w:r>
        <w:rPr>
          <w:rFonts w:ascii="Times New Roman" w:hAnsi="Times New Roman" w:cs="Times New Roman"/>
          <w:sz w:val="24"/>
        </w:rPr>
        <w:t xml:space="preserve"> Hver artikkel representeres av en tredimensjonal featurevektor:</w:t>
      </w:r>
    </w:p>
    <w:p>
      <w:pPr>
        <w:spacing w:line="360" w:lineRule="auto"/>
        <w:jc w:val="center"/>
      </w:pPr>
      <m:oMath>
        <m:sSub>
          <m:e>
            <m:r>
              <m:t>𝐱</m:t>
            </m:r>
          </m:e>
          <m:sub>
            <m:r>
              <m:t>i</m:t>
            </m:r>
          </m:sub>
        </m:sSub>
        <m:r>
          <m:t>=[</m:t>
        </m:r>
        <m:r>
          <m:t>z(</m:t>
        </m:r>
        <m:r>
          <m:rPr>
            <m:sty m:val="p"/>
          </m:rPr>
          <m:t>ln</m:t>
        </m:r>
        <m:sSub>
          <m:e>
            <m:r>
              <m:rPr>
                <m:nor/>
              </m:rPr>
              <m:t>CV</m:t>
            </m:r>
          </m:e>
          <m:sub>
            <m:r>
              <m:t>i</m:t>
            </m:r>
          </m:sub>
        </m:sSub>
        <m:r>
          <m:t>),</m:t>
        </m:r>
        <m:r>
          <m:t>z(</m:t>
        </m:r>
        <m:r>
          <m:rPr>
            <m:sty m:val="p"/>
          </m:rPr>
          <m:t>ln</m:t>
        </m:r>
        <m:r>
          <m:t>(</m:t>
        </m:r>
        <m:sSub>
          <m:e>
            <m:r>
              <m:t>v</m:t>
            </m:r>
          </m:e>
          <m:sub>
            <m:r>
              <m:t>i</m:t>
            </m:r>
          </m:sub>
        </m:sSub>
        <m:r>
          <m:t>+1)),</m:t>
        </m:r>
        <m:r>
          <m:t>z(</m:t>
        </m:r>
        <m:r>
          <m:rPr>
            <m:sty m:val="p"/>
          </m:rPr>
          <m:t>ln</m:t>
        </m:r>
        <m:r>
          <m:t>(|ΔT</m:t>
        </m:r>
        <m:sSub>
          <m:e>
            <m:r>
              <m:t>C</m:t>
            </m:r>
          </m:e>
          <m:sub>
            <m:r>
              <m:t>i</m:t>
            </m:r>
          </m:sub>
        </m:sSub>
        <m:r>
          <m:t>|+1))</m:t>
        </m:r>
        <m:r>
          <m:t>]</m:t>
        </m:r>
      </m:oMath>
    </w:p>
    <w:p>
      <w:pPr>
        <w:spacing w:line="360" w:lineRule="auto"/>
      </w:pPr>
      <w:r>
        <w:rPr>
          <w:rFonts w:ascii="Times New Roman" w:hAnsi="Times New Roman" w:cs="Times New Roman"/>
          <w:sz w:val="24"/>
        </w:rPr>
        <w:t xml:space="preserve">der </w:t>
      </w:r>
      <m:oMath>
        <m:r>
          <m:t>z(·)</m:t>
        </m:r>
      </m:oMath>
      <w:r>
        <w:rPr>
          <w:rFonts w:ascii="Times New Roman" w:hAnsi="Times New Roman" w:cs="Times New Roman"/>
          <w:sz w:val="24"/>
        </w:rPr>
        <w:t xml:space="preserve"> betegner standardisering (z-score). Log-transformasjon er anvendt på alle tre features fordi de underliggende variablene er høyreskjeve: CV, artikkelverdi og EOQ-avvik har lange høyre haler, og uten transformasjon vil K-means domineres av ekstremverdier fremfor den typiske variasjonen i datasettet (Srinivasan &amp; Moon, 1999). Absoluttverdien </w:t>
      </w:r>
      <m:oMath>
        <m:d>
          <m:dPr>
            <m:begChr m:val="|"/>
            <m:sepChr m:val=""/>
            <m:endChr m:val="|"/>
          </m:dPr>
          <m:e>
            <m:r>
              <m:t>Δ</m:t>
            </m:r>
            <m:r>
              <m:t>T</m:t>
            </m:r>
            <m:sSub>
              <m:e>
                <m:r>
                  <m:t>C</m:t>
                </m:r>
              </m:e>
              <m:sub>
                <m:r>
                  <m:t>i</m:t>
                </m:r>
              </m:sub>
            </m:sSub>
          </m:e>
        </m:d>
      </m:oMath>
      <w:r>
        <w:rPr>
          <w:rFonts w:ascii="Times New Roman" w:hAnsi="Times New Roman" w:cs="Times New Roman"/>
          <w:sz w:val="24"/>
        </w:rPr>
        <w:t xml:space="preserve"> benyttes fordi det er størrelsen på EOQ-avviket som er relevant for klyngingen – ikke retningen. Konstantleddet </w:t>
      </w:r>
      <m:oMath>
        <m:r>
          <m:t>+1</m:t>
        </m:r>
      </m:oMath>
      <w:r>
        <w:rPr>
          <w:rFonts w:ascii="Times New Roman" w:hAnsi="Times New Roman" w:cs="Times New Roman"/>
          <w:sz w:val="24"/>
        </w:rPr>
        <w:t xml:space="preserve"> i logaritmen hindrer </w:t>
      </w:r>
      <m:oMath>
        <m:r>
          <m:rPr>
            <m:sty m:val="p"/>
          </m:rPr>
          <m:t>ln</m:t>
        </m:r>
        <m:r>
          <m:t>(0)</m:t>
        </m:r>
      </m:oMath>
      <w:r>
        <w:rPr>
          <w:rFonts w:ascii="Times New Roman" w:hAnsi="Times New Roman" w:cs="Times New Roman"/>
          <w:sz w:val="24"/>
        </w:rPr>
        <w:t xml:space="preserve"> for artikler med </w:t>
      </w:r>
      <m:oMath>
        <m:r>
          <m:t>ΔTC=0</m:t>
        </m:r>
      </m:oMath>
      <w:r>
        <w:rPr>
          <w:rFonts w:ascii="Times New Roman" w:hAnsi="Times New Roman" w:cs="Times New Roman"/>
          <w:sz w:val="24"/>
        </w:rPr>
        <w:t>.</w:t>
      </w:r>
    </w:p>
    <w:p>
      <w:pPr>
        <w:spacing w:line="360" w:lineRule="auto"/>
      </w:pPr>
      <w:r>
        <w:rPr>
          <w:rFonts w:ascii="Times New Roman" w:hAnsi="Times New Roman" w:cs="Times New Roman"/>
          <w:b/>
          <w:sz w:val="24"/>
        </w:rPr>
        <w:t>Trenings- og testprosedyre.</w:t>
      </w:r>
      <w:r>
        <w:rPr>
          <w:rFonts w:ascii="Times New Roman" w:hAnsi="Times New Roman" w:cs="Times New Roman"/>
          <w:sz w:val="24"/>
        </w:rPr>
        <w:t xml:space="preserve"> Datasettet deles i et treningssett (80 %, random\_state = 42) og et testsett (20 %). StandardScaler fittes utelukkende på treningsdataene og transformerer deretter begge sett; dette forhindrer datalekkasje fra testsettet til skaleringen. KMeans-modellen fittes likeledes kun på treningsdataene. Testsettet benyttes til å evaluere om klyngestrukturen er generaliserbar, det vil si at testpunktenes tildeling til treningsklynger gir en silhouette-score sammenlignbar med treningssettets.</w:t>
      </w:r>
    </w:p>
    <w:p>
      <w:pPr>
        <w:spacing w:line="360" w:lineRule="auto"/>
      </w:pPr>
      <w:r>
        <w:rPr>
          <w:rFonts w:ascii="Times New Roman" w:hAnsi="Times New Roman" w:cs="Times New Roman"/>
          <w:b/>
          <w:sz w:val="24"/>
        </w:rPr>
        <w:t>K-valg.</w:t>
      </w:r>
      <w:r>
        <w:rPr>
          <w:rFonts w:ascii="Times New Roman" w:hAnsi="Times New Roman" w:cs="Times New Roman"/>
          <w:sz w:val="24"/>
        </w:rPr>
        <w:t xml:space="preserve"> Antall klynger </w:t>
      </w:r>
      <m:oMath>
        <m:r>
          <m:t>K</m:t>
        </m:r>
      </m:oMath>
      <w:r>
        <w:rPr>
          <w:rFonts w:ascii="Times New Roman" w:hAnsi="Times New Roman" w:cs="Times New Roman"/>
          <w:sz w:val="24"/>
        </w:rPr>
        <w:t xml:space="preserve"> velges automatisk som den </w:t>
      </w:r>
      <m:oMath>
        <m:r>
          <m:t>K</m:t>
        </m:r>
      </m:oMath>
      <w:r>
        <w:rPr>
          <w:rFonts w:ascii="Times New Roman" w:hAnsi="Times New Roman" w:cs="Times New Roman"/>
          <w:sz w:val="24"/>
        </w:rPr>
        <w:t xml:space="preserve">-verdien i intervallet </w:t>
      </w:r>
      <m:oMath>
        <m:d>
          <m:dPr>
            <m:begChr m:val="["/>
            <m:sepChr m:val=","/>
            <m:endChr m:val="]"/>
          </m:dPr>
          <m:e>
            <m:r>
              <m:t>2</m:t>
            </m:r>
          </m:e>
          <m:e>
            <m:r>
              <m:t>7</m:t>
            </m:r>
          </m:e>
        </m:d>
      </m:oMath>
      <w:r>
        <w:rPr>
          <w:rFonts w:ascii="Times New Roman" w:hAnsi="Times New Roman" w:cs="Times New Roman"/>
          <w:sz w:val="24"/>
        </w:rPr>
        <w:t xml:space="preserve"> som gir høyest gjennomsnittlig silhouette-score på treningsdataene. Silhouette-score </w:t>
      </w:r>
      <m:oMath>
        <m:sSub>
          <m:e>
            <m:r>
              <m:t>s</m:t>
            </m:r>
          </m:e>
          <m:sub>
            <m:r>
              <m:t>i</m:t>
            </m:r>
          </m:sub>
        </m:sSub>
      </m:oMath>
      <w:r>
        <w:rPr>
          <w:rFonts w:ascii="Times New Roman" w:hAnsi="Times New Roman" w:cs="Times New Roman"/>
          <w:sz w:val="24"/>
        </w:rPr>
        <w:t xml:space="preserve"> for punkt </w:t>
      </w:r>
      <m:oMath>
        <m:r>
          <m:t>i</m:t>
        </m:r>
      </m:oMath>
      <w:r>
        <w:rPr>
          <w:rFonts w:ascii="Times New Roman" w:hAnsi="Times New Roman" w:cs="Times New Roman"/>
          <w:sz w:val="24"/>
        </w:rPr>
        <w:t xml:space="preserve"> er definert som:</w:t>
      </w:r>
    </w:p>
    <w:p>
      <w:pPr>
        <w:spacing w:line="360" w:lineRule="auto"/>
        <w:jc w:val="center"/>
      </w:pPr>
      <m:oMath>
        <m:sSub>
          <m:e>
            <m:r>
              <m:t>s</m:t>
            </m:r>
          </m:e>
          <m:sub>
            <m:r>
              <m:t>i</m:t>
            </m:r>
          </m:sub>
        </m:sSub>
        <m:r>
          <m:t>=</m:t>
        </m:r>
        <m:f>
          <m:fPr>
            <m:type m:val="bar"/>
          </m:fPr>
          <m:num>
            <m:sSub>
              <m:e>
                <m:r>
                  <m:t>b</m:t>
                </m:r>
              </m:e>
              <m:sub>
                <m:r>
                  <m:t>i</m:t>
                </m:r>
              </m:sub>
            </m:sSub>
            <m:r>
              <m:t>−</m:t>
            </m:r>
            <m:sSub>
              <m:e>
                <m:r>
                  <m:t>a</m:t>
                </m:r>
              </m:e>
              <m:sub>
                <m:r>
                  <m:t>i</m:t>
                </m:r>
              </m:sub>
            </m:sSub>
          </m:num>
          <m:den>
            <m:r>
              <m:t>max(</m:t>
            </m:r>
            <m:sSub>
              <m:e>
                <m:r>
                  <m:t>a</m:t>
                </m:r>
              </m:e>
              <m:sub>
                <m:r>
                  <m:t>i</m:t>
                </m:r>
              </m:sub>
            </m:sSub>
            <m:r>
              <m:t>,</m:t>
            </m:r>
            <m:sSub>
              <m:e>
                <m:r>
                  <m:t>b</m:t>
                </m:r>
              </m:e>
              <m:sub>
                <m:r>
                  <m:t>i</m:t>
                </m:r>
              </m:sub>
            </m:sSub>
            <m:r>
              <m:t>)</m:t>
            </m:r>
          </m:den>
        </m:f>
      </m:oMath>
    </w:p>
    <w:p>
      <w:pPr>
        <w:spacing w:line="360" w:lineRule="auto"/>
      </w:pPr>
      <w:r>
        <w:rPr>
          <w:rFonts w:ascii="Times New Roman" w:hAnsi="Times New Roman" w:cs="Times New Roman"/>
          <w:sz w:val="24"/>
        </w:rPr>
        <w:t xml:space="preserve">der </w:t>
      </w:r>
      <m:oMath>
        <m:sSub>
          <m:e>
            <m:r>
              <m:t>a</m:t>
            </m:r>
          </m:e>
          <m:sub>
            <m:r>
              <m:t>i</m:t>
            </m:r>
          </m:sub>
        </m:sSub>
      </m:oMath>
      <w:r>
        <w:rPr>
          <w:rFonts w:ascii="Times New Roman" w:hAnsi="Times New Roman" w:cs="Times New Roman"/>
          <w:sz w:val="24"/>
        </w:rPr>
        <w:t xml:space="preserve"> er gjennomsnittlig intra-klyngeavstand og </w:t>
      </w:r>
      <m:oMath>
        <m:sSub>
          <m:e>
            <m:r>
              <m:t>b</m:t>
            </m:r>
          </m:e>
          <m:sub>
            <m:r>
              <m:t>i</m:t>
            </m:r>
          </m:sub>
        </m:sSub>
      </m:oMath>
      <w:r>
        <w:rPr>
          <w:rFonts w:ascii="Times New Roman" w:hAnsi="Times New Roman" w:cs="Times New Roman"/>
          <w:sz w:val="24"/>
        </w:rPr>
        <w:t xml:space="preserve"> er gjennomsnittlig avstand til nærmeste naboklynge. Score nær 1 indikerer tydelig klyngetilhørighet; score nær 0 indikerer overlapp; negativ score indikerer feil klynge. Scores over 0,3 regnes som akseptable for eksplorativ analyse (Ketkar &amp; Vaidya, 2014). Silhouette beregnes separat for trenings- og testdata; et lavere testresultat enn treningsresultat er normalt, men et vesentlig fall vil indikere overfit.</w:t>
      </w:r>
    </w:p>
    <w:p>
      <w:pPr>
        <w:spacing w:line="360" w:lineRule="auto"/>
      </w:pPr>
      <w:r>
        <w:rPr>
          <w:rFonts w:ascii="Times New Roman" w:hAnsi="Times New Roman" w:cs="Times New Roman"/>
          <w:b/>
          <w:sz w:val="24"/>
        </w:rPr>
        <w:t>K\_OVERFØR-klyngen.</w:t>
      </w:r>
      <w:r>
        <w:rPr>
          <w:rFonts w:ascii="Times New Roman" w:hAnsi="Times New Roman" w:cs="Times New Roman"/>
          <w:sz w:val="24"/>
        </w:rPr>
        <w:t xml:space="preserve"> Etter kjøring identifiseres én klynge som HVFS-overføringsklynge. Identifiseringen skjer ved at klyngesentroidene rangeres på to dimensjoner — lavest gjennomsnittlig CV (stabilt forbruk) og høyest gjennomsnittlig artikkelverdi — og klyngen med best samlet rangering velges som K\_OVERFØR. Ettersom </w:t>
      </w:r>
      <m:oMath>
        <m:d>
          <m:dPr>
            <m:begChr m:val="|"/>
            <m:sepChr m:val=""/>
            <m:endChr m:val="|"/>
          </m:dPr>
          <m:e>
            <m:r>
              <m:t>Δ</m:t>
            </m:r>
            <m:r>
              <m:t>T</m:t>
            </m:r>
            <m:r>
              <m:t>C</m:t>
            </m:r>
          </m:e>
        </m:d>
      </m:oMath>
      <w:r>
        <w:rPr>
          <w:rFonts w:ascii="Times New Roman" w:hAnsi="Times New Roman" w:cs="Times New Roman"/>
          <w:sz w:val="24"/>
        </w:rPr>
        <w:t xml:space="preserve"> inngår i featurevektoren, påvirker den klyngestrukturen indirekte: artikler med høyt kostnadsavvik tenderer mot samme klynge som artikler med høy verdi og lav CV. Denne klyngen inngår som ett av inngangssignalene i regelmotoren beskrevet nedenfor.</w:t>
      </w:r>
    </w:p>
    <w:p>
      <w:pPr>
        <w:pStyle w:val="Overskrift2"/>
      </w:pPr>
      <w:r>
        <w:rPr>
          <w:rFonts w:ascii="Times New Roman" w:hAnsi="Times New Roman"/>
          <w:color w:val="000000"/>
          <w:sz w:val="32"/>
        </w:rPr>
        <w:t>5.5 Regelmotor</w:t>
      </w:r>
    </w:p>
    <w:p>
      <w:pPr>
        <w:spacing w:line="360" w:lineRule="auto"/>
      </w:pPr>
      <w:r>
        <w:rPr>
          <w:rFonts w:ascii="Times New Roman" w:hAnsi="Times New Roman" w:cs="Times New Roman"/>
          <w:sz w:val="24"/>
        </w:rPr>
        <w:t>Regelmotoren kombinerer utfallene fra de fire foregående modellene – ABC-klasse, XYZ-klasse, EOQ-avviksstatus og K-means klyngetilhørighet – og produserer en anbefaling per artikkel. Reglene anvender en sekvensiell prioritet: artikkelen evalueres mot reglene i nummerert rekkefølge, og den første regelen som gir treff bestemmer utfallet. Dette forhindrer at en artikkel oppfyller kriteriene for flere kategorier.</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192"/>
        <w:gridCol w:w="2192"/>
        <w:gridCol w:w="2192"/>
        <w:gridCol w:w="2192"/>
      </w:tblGrid>
      <w:tr>
        <w:tc>
          <w:tcPr>
            <w:tcW w:type="dxa" w:w="2192"/>
            <w:tcBorders>
              <w:top w:val="single" w:sz="8" w:space="0" w:color="000000"/>
              <w:bottom w:val="single" w:sz="4" w:space="0" w:color="000000"/>
              <w:left w:val="nil"/>
              <w:right w:val="nil"/>
            </w:tcBorders>
          </w:tcPr>
          <w:p>
            <w:r/>
            <w:r>
              <w:rPr>
                <w:rFonts w:ascii="Times New Roman" w:hAnsi="Times New Roman"/>
                <w:b/>
                <w:sz w:val="22"/>
              </w:rPr>
              <w:t>Regel</w:t>
            </w:r>
          </w:p>
        </w:tc>
        <w:tc>
          <w:tcPr>
            <w:tcW w:type="dxa" w:w="2192"/>
            <w:tcBorders>
              <w:top w:val="single" w:sz="8" w:space="0" w:color="000000"/>
              <w:bottom w:val="single" w:sz="4" w:space="0" w:color="000000"/>
              <w:left w:val="nil"/>
              <w:right w:val="nil"/>
            </w:tcBorders>
          </w:tcPr>
          <w:p>
            <w:r/>
            <w:r>
              <w:rPr>
                <w:rFonts w:ascii="Times New Roman" w:hAnsi="Times New Roman"/>
                <w:b/>
                <w:sz w:val="22"/>
              </w:rPr>
              <w:t>Betingelse</w:t>
            </w:r>
          </w:p>
        </w:tc>
        <w:tc>
          <w:tcPr>
            <w:tcW w:type="dxa" w:w="2192"/>
            <w:tcBorders>
              <w:top w:val="single" w:sz="8" w:space="0" w:color="000000"/>
              <w:bottom w:val="single" w:sz="4" w:space="0" w:color="000000"/>
              <w:left w:val="nil"/>
              <w:right w:val="nil"/>
            </w:tcBorders>
          </w:tcPr>
          <w:p>
            <w:r/>
            <w:r>
              <w:rPr>
                <w:rFonts w:ascii="Times New Roman" w:hAnsi="Times New Roman"/>
                <w:b/>
                <w:sz w:val="22"/>
              </w:rPr>
              <w:t>Anbefaling</w:t>
            </w:r>
          </w:p>
        </w:tc>
        <w:tc>
          <w:tcPr>
            <w:tcW w:type="dxa" w:w="2192"/>
            <w:tcBorders>
              <w:top w:val="single" w:sz="8" w:space="0" w:color="000000"/>
              <w:bottom w:val="single" w:sz="4" w:space="0" w:color="000000"/>
              <w:left w:val="nil"/>
              <w:right w:val="nil"/>
            </w:tcBorders>
          </w:tcPr>
          <w:p>
            <w:r/>
            <w:r>
              <w:rPr>
                <w:rFonts w:ascii="Times New Roman" w:hAnsi="Times New Roman"/>
                <w:b/>
                <w:sz w:val="22"/>
              </w:rPr>
              <w:t>Logikk</w:t>
            </w:r>
          </w:p>
        </w:tc>
      </w:tr>
      <w:tr>
        <w:tc>
          <w:tcPr>
            <w:tcW w:type="dxa" w:w="2192"/>
          </w:tcPr>
          <w:p>
            <w:r/>
            <w:r>
              <w:rPr>
                <w:rFonts w:ascii="Times New Roman" w:hAnsi="Times New Roman"/>
                <w:sz w:val="22"/>
              </w:rPr>
              <w:t>R1</w:t>
            </w:r>
          </w:p>
        </w:tc>
        <w:tc>
          <w:tcPr>
            <w:tcW w:type="dxa" w:w="2192"/>
          </w:tcPr>
          <w:p>
            <w:r/>
            <w:r>
              <w:rPr>
                <w:rFonts w:ascii="Times New Roman" w:hAnsi="Times New Roman"/>
                <w:sz w:val="22"/>
              </w:rPr>
              <w:t>XYZ = Z</w:t>
            </w:r>
          </w:p>
        </w:tc>
        <w:tc>
          <w:tcPr>
            <w:tcW w:type="dxa" w:w="2192"/>
          </w:tcPr>
          <w:p>
            <w:r/>
            <w:r>
              <w:rPr>
                <w:rFonts w:ascii="Times New Roman" w:hAnsi="Times New Roman"/>
                <w:sz w:val="22"/>
              </w:rPr>
              <w:t>BEHOLD_LOKALT</w:t>
            </w:r>
          </w:p>
        </w:tc>
        <w:tc>
          <w:tcPr>
            <w:tcW w:type="dxa" w:w="2192"/>
          </w:tcPr>
          <w:p>
            <w:r/>
            <w:r>
              <w:rPr>
                <w:rFonts w:ascii="Times New Roman" w:hAnsi="Times New Roman"/>
                <w:sz w:val="22"/>
              </w:rPr>
              <w:t>Uforutsigbart forbruk → uegnet for APL</w:t>
            </w:r>
          </w:p>
        </w:tc>
      </w:tr>
      <w:tr>
        <w:tc>
          <w:tcPr>
            <w:tcW w:type="dxa" w:w="2192"/>
          </w:tcPr>
          <w:p>
            <w:r/>
            <w:r>
              <w:rPr>
                <w:rFonts w:ascii="Times New Roman" w:hAnsi="Times New Roman"/>
                <w:sz w:val="22"/>
              </w:rPr>
              <w:t>R2</w:t>
            </w:r>
          </w:p>
        </w:tc>
        <w:tc>
          <w:tcPr>
            <w:tcW w:type="dxa" w:w="2192"/>
          </w:tcPr>
          <w:p>
            <w:r/>
            <w:r>
              <w:rPr>
                <w:rFonts w:ascii="Times New Roman" w:hAnsi="Times New Roman"/>
                <w:sz w:val="22"/>
              </w:rPr>
              <w:t>ABC = C og XYZ = Y</w:t>
            </w:r>
          </w:p>
        </w:tc>
        <w:tc>
          <w:tcPr>
            <w:tcW w:type="dxa" w:w="2192"/>
          </w:tcPr>
          <w:p>
            <w:r/>
            <w:r>
              <w:rPr>
                <w:rFonts w:ascii="Times New Roman" w:hAnsi="Times New Roman"/>
                <w:sz w:val="22"/>
              </w:rPr>
              <w:t>BEHOLD_LOKALT</w:t>
            </w:r>
          </w:p>
        </w:tc>
        <w:tc>
          <w:tcPr>
            <w:tcW w:type="dxa" w:w="2192"/>
          </w:tcPr>
          <w:p>
            <w:r/>
            <w:r>
              <w:rPr>
                <w:rFonts w:ascii="Times New Roman" w:hAnsi="Times New Roman"/>
                <w:sz w:val="22"/>
              </w:rPr>
              <w:t>Lav verdi + moderat variasjon</w:t>
            </w:r>
          </w:p>
        </w:tc>
      </w:tr>
      <w:tr>
        <w:tc>
          <w:tcPr>
            <w:tcW w:type="dxa" w:w="2192"/>
          </w:tcPr>
          <w:p>
            <w:r/>
            <w:r>
              <w:rPr>
                <w:rFonts w:ascii="Times New Roman" w:hAnsi="Times New Roman"/>
                <w:sz w:val="22"/>
              </w:rPr>
              <w:t>R3</w:t>
            </w:r>
          </w:p>
        </w:tc>
        <w:tc>
          <w:tcPr>
            <w:tcW w:type="dxa" w:w="2192"/>
          </w:tcPr>
          <w:p>
            <w:r/>
            <w:r>
              <w:rPr>
                <w:rFonts w:ascii="Times New Roman" w:hAnsi="Times New Roman"/>
                <w:sz w:val="22"/>
              </w:rPr>
              <w:t>ABC ∈ {A, B} og XYZ = X og EOQ = FOR_MANGE</w:t>
            </w:r>
          </w:p>
        </w:tc>
        <w:tc>
          <w:tcPr>
            <w:tcW w:type="dxa" w:w="2192"/>
          </w:tcPr>
          <w:p>
            <w:r/>
            <w:r>
              <w:rPr>
                <w:rFonts w:ascii="Times New Roman" w:hAnsi="Times New Roman"/>
                <w:sz w:val="22"/>
              </w:rPr>
              <w:t>OVERFØR_HVFS</w:t>
            </w:r>
          </w:p>
        </w:tc>
        <w:tc>
          <w:tcPr>
            <w:tcW w:type="dxa" w:w="2192"/>
          </w:tcPr>
          <w:p>
            <w:r/>
            <w:r>
              <w:rPr>
                <w:rFonts w:ascii="Times New Roman" w:hAnsi="Times New Roman"/>
                <w:sz w:val="22"/>
              </w:rPr>
              <w:t>Sterkeste signal: høy verdi, stabilt, overbestilt</w:t>
            </w:r>
          </w:p>
        </w:tc>
      </w:tr>
      <w:tr>
        <w:tc>
          <w:tcPr>
            <w:tcW w:type="dxa" w:w="2192"/>
          </w:tcPr>
          <w:p>
            <w:r/>
            <w:r>
              <w:rPr>
                <w:rFonts w:ascii="Times New Roman" w:hAnsi="Times New Roman"/>
                <w:sz w:val="22"/>
              </w:rPr>
              <w:t>R4</w:t>
            </w:r>
          </w:p>
        </w:tc>
        <w:tc>
          <w:tcPr>
            <w:tcW w:type="dxa" w:w="2192"/>
          </w:tcPr>
          <w:p>
            <w:r/>
            <w:r>
              <w:rPr>
                <w:rFonts w:ascii="Times New Roman" w:hAnsi="Times New Roman"/>
                <w:sz w:val="22"/>
              </w:rPr>
              <w:t>ABC ∈ {A, B} og XYZ = X og K_OVERFØR</w:t>
            </w:r>
          </w:p>
        </w:tc>
        <w:tc>
          <w:tcPr>
            <w:tcW w:type="dxa" w:w="2192"/>
          </w:tcPr>
          <w:p>
            <w:r/>
            <w:r>
              <w:rPr>
                <w:rFonts w:ascii="Times New Roman" w:hAnsi="Times New Roman"/>
                <w:sz w:val="22"/>
              </w:rPr>
              <w:t>OVERFØR_HVFS</w:t>
            </w:r>
          </w:p>
        </w:tc>
        <w:tc>
          <w:tcPr>
            <w:tcW w:type="dxa" w:w="2192"/>
          </w:tcPr>
          <w:p>
            <w:r/>
            <w:r>
              <w:rPr>
                <w:rFonts w:ascii="Times New Roman" w:hAnsi="Times New Roman"/>
                <w:sz w:val="22"/>
              </w:rPr>
              <w:t>Høy verdi, stabilt, klyngeprofil bekrefter</w:t>
            </w:r>
          </w:p>
        </w:tc>
      </w:tr>
      <w:tr>
        <w:tc>
          <w:tcPr>
            <w:tcW w:type="dxa" w:w="2192"/>
          </w:tcPr>
          <w:p>
            <w:r/>
            <w:r>
              <w:rPr>
                <w:rFonts w:ascii="Times New Roman" w:hAnsi="Times New Roman"/>
                <w:sz w:val="22"/>
              </w:rPr>
              <w:t>R5</w:t>
            </w:r>
          </w:p>
        </w:tc>
        <w:tc>
          <w:tcPr>
            <w:tcW w:type="dxa" w:w="2192"/>
          </w:tcPr>
          <w:p>
            <w:r/>
            <w:r>
              <w:rPr>
                <w:rFonts w:ascii="Times New Roman" w:hAnsi="Times New Roman"/>
                <w:sz w:val="22"/>
              </w:rPr>
              <w:t>ABC ∈ {A, B} og XYZ = Y og K_OVERFØR</w:t>
            </w:r>
          </w:p>
        </w:tc>
        <w:tc>
          <w:tcPr>
            <w:tcW w:type="dxa" w:w="2192"/>
          </w:tcPr>
          <w:p>
            <w:r/>
            <w:r>
              <w:rPr>
                <w:rFonts w:ascii="Times New Roman" w:hAnsi="Times New Roman"/>
                <w:sz w:val="22"/>
              </w:rPr>
              <w:t>OVERFØR_HVFS</w:t>
            </w:r>
          </w:p>
        </w:tc>
        <w:tc>
          <w:tcPr>
            <w:tcW w:type="dxa" w:w="2192"/>
          </w:tcPr>
          <w:p>
            <w:r/>
            <w:r>
              <w:rPr>
                <w:rFonts w:ascii="Times New Roman" w:hAnsi="Times New Roman"/>
                <w:sz w:val="22"/>
              </w:rPr>
              <w:t>Høy verdi, moderat variasjon, klyngeprofil bekrefter</w:t>
            </w:r>
          </w:p>
        </w:tc>
      </w:tr>
      <w:tr>
        <w:tc>
          <w:tcPr>
            <w:tcW w:type="dxa" w:w="2192"/>
          </w:tcPr>
          <w:p>
            <w:r/>
            <w:r>
              <w:rPr>
                <w:rFonts w:ascii="Times New Roman" w:hAnsi="Times New Roman"/>
                <w:sz w:val="22"/>
              </w:rPr>
              <w:t>R6</w:t>
            </w:r>
          </w:p>
        </w:tc>
        <w:tc>
          <w:tcPr>
            <w:tcW w:type="dxa" w:w="2192"/>
          </w:tcPr>
          <w:p>
            <w:r/>
            <w:r>
              <w:rPr>
                <w:rFonts w:ascii="Times New Roman" w:hAnsi="Times New Roman"/>
                <w:sz w:val="22"/>
              </w:rPr>
              <w:t>ABC ∈ {A, B} og XYZ = X</w:t>
            </w:r>
          </w:p>
        </w:tc>
        <w:tc>
          <w:tcPr>
            <w:tcW w:type="dxa" w:w="2192"/>
          </w:tcPr>
          <w:p>
            <w:r/>
            <w:r>
              <w:rPr>
                <w:rFonts w:ascii="Times New Roman" w:hAnsi="Times New Roman"/>
                <w:sz w:val="22"/>
              </w:rPr>
              <w:t>VURDER_NÆRMERE</w:t>
            </w:r>
          </w:p>
        </w:tc>
        <w:tc>
          <w:tcPr>
            <w:tcW w:type="dxa" w:w="2192"/>
          </w:tcPr>
          <w:p>
            <w:r/>
            <w:r>
              <w:rPr>
                <w:rFonts w:ascii="Times New Roman" w:hAnsi="Times New Roman"/>
                <w:sz w:val="22"/>
              </w:rPr>
              <w:t>Høy verdi, stabilt, men ikke K_OVERFØR</w:t>
            </w:r>
          </w:p>
        </w:tc>
      </w:tr>
      <w:tr>
        <w:tc>
          <w:tcPr>
            <w:tcW w:type="dxa" w:w="2192"/>
          </w:tcPr>
          <w:p>
            <w:r/>
            <w:r>
              <w:rPr>
                <w:rFonts w:ascii="Times New Roman" w:hAnsi="Times New Roman"/>
                <w:sz w:val="22"/>
              </w:rPr>
              <w:t>R7</w:t>
            </w:r>
          </w:p>
        </w:tc>
        <w:tc>
          <w:tcPr>
            <w:tcW w:type="dxa" w:w="2192"/>
          </w:tcPr>
          <w:p>
            <w:r/>
            <w:r>
              <w:rPr>
                <w:rFonts w:ascii="Times New Roman" w:hAnsi="Times New Roman"/>
                <w:sz w:val="22"/>
              </w:rPr>
              <w:t>ABC ∈ {A, B} og XYZ = Y</w:t>
            </w:r>
          </w:p>
        </w:tc>
        <w:tc>
          <w:tcPr>
            <w:tcW w:type="dxa" w:w="2192"/>
          </w:tcPr>
          <w:p>
            <w:r/>
            <w:r>
              <w:rPr>
                <w:rFonts w:ascii="Times New Roman" w:hAnsi="Times New Roman"/>
                <w:sz w:val="22"/>
              </w:rPr>
              <w:t>VURDER_NÆRMERE</w:t>
            </w:r>
          </w:p>
        </w:tc>
        <w:tc>
          <w:tcPr>
            <w:tcW w:type="dxa" w:w="2192"/>
          </w:tcPr>
          <w:p>
            <w:r/>
            <w:r>
              <w:rPr>
                <w:rFonts w:ascii="Times New Roman" w:hAnsi="Times New Roman"/>
                <w:sz w:val="22"/>
              </w:rPr>
              <w:t>Høy verdi, moderat variasjon, ikke K_OVERFØR</w:t>
            </w:r>
          </w:p>
        </w:tc>
      </w:tr>
      <w:tr>
        <w:tc>
          <w:tcPr>
            <w:tcW w:type="dxa" w:w="2192"/>
          </w:tcPr>
          <w:p>
            <w:r/>
            <w:r>
              <w:rPr>
                <w:rFonts w:ascii="Times New Roman" w:hAnsi="Times New Roman"/>
                <w:sz w:val="22"/>
              </w:rPr>
              <w:t>R8</w:t>
            </w:r>
          </w:p>
        </w:tc>
        <w:tc>
          <w:tcPr>
            <w:tcW w:type="dxa" w:w="2192"/>
          </w:tcPr>
          <w:p>
            <w:r/>
            <w:r>
              <w:rPr>
                <w:rFonts w:ascii="Times New Roman" w:hAnsi="Times New Roman"/>
                <w:sz w:val="22"/>
              </w:rPr>
              <w:t>Ellers (inkl. C + X)</w:t>
            </w:r>
          </w:p>
        </w:tc>
        <w:tc>
          <w:tcPr>
            <w:tcW w:type="dxa" w:w="2192"/>
          </w:tcPr>
          <w:p>
            <w:r/>
            <w:r>
              <w:rPr>
                <w:rFonts w:ascii="Times New Roman" w:hAnsi="Times New Roman"/>
                <w:sz w:val="22"/>
              </w:rPr>
              <w:t>VURDER_NÆRMERE</w:t>
            </w:r>
          </w:p>
        </w:tc>
        <w:tc>
          <w:tcPr>
            <w:tcW w:type="dxa" w:w="2192"/>
          </w:tcPr>
          <w:p>
            <w:r/>
            <w:r>
              <w:rPr>
                <w:rFonts w:ascii="Times New Roman" w:hAnsi="Times New Roman"/>
                <w:sz w:val="22"/>
              </w:rPr>
              <w:t>Uklart signalmønster eller lav verdi</w:t>
            </w:r>
          </w:p>
        </w:tc>
      </w:tr>
    </w:tbl>
    <w:p>
      <w:r>
        <w:rPr>
          <w:rFonts w:ascii="Times New Roman" w:hAnsi="Times New Roman"/>
          <w:i/>
          <w:sz w:val="20"/>
        </w:rPr>
        <w:t>Tabell 7. Regelmotor: 8 beslutningsregler i prioritert rekkefølge.</w:t>
      </w:r>
    </w:p>
    <w:p>
      <w:pPr>
        <w:spacing w:line="360" w:lineRule="auto"/>
      </w:pPr>
      <w:r>
        <w:rPr>
          <w:rFonts w:ascii="Times New Roman" w:hAnsi="Times New Roman" w:cs="Times New Roman"/>
          <w:sz w:val="24"/>
        </w:rPr>
        <w:t>Sekvenslogikken er utformet slik at de to første reglene fungerer som overordnede frastøtingsregler: enhver Z-artikkel beholdes lokalt uavhengig av ABC-klasse (R1), og CY-artikler beholdes lokalt som standard (R2). Disse reglene reflekterer den grunnleggende innsikten at uforutsigbart forbruksmønster er den sterkeste kontraindikasjon mot sentralisering, fordi HVFS-modellen med APL-leveranse forutsetter planbar etterspørsel for å opprettholde tilfredsstillende servicenivå (Bijvank &amp; Vis, 2012; Fragapane et al., 2019).</w:t>
      </w:r>
    </w:p>
    <w:p>
      <w:pPr>
        <w:spacing w:line="360" w:lineRule="auto"/>
      </w:pPr>
      <w:r>
        <w:rPr>
          <w:rFonts w:ascii="Times New Roman" w:hAnsi="Times New Roman" w:cs="Times New Roman"/>
          <w:sz w:val="24"/>
        </w:rPr>
        <w:t>Reglene 3–5 definerer positivt overføringssignal med to krav: artikkelen må ha høy verdi (A/B) og stabilt forbruk (X eller Y), og i tillegg enten dokumentert overbestilling (R3: FOR\_MANGE\_ORDRER) eller klyngetilhørighet som bekrefter HVFS-egnethet (R4 og R5: K\_OVERFØR). K\_OVERFØR-kravet i R4 og R5 er et bevisst designvalg for å sikre at overføringsanbefalinger for artikler uten EOQ-avvikssignal er forankret i klyngeanalysen — dette gir regelmotoren høyere presisjon på bekostning av recall, og er grunnen til at VURDER-kategorien er den største enkeltgruppen. Regel 6 sender A/B-artikler med XYZ = X, men uten K\_OVERFØR-signal, til manuell vurdering; regel 7 gjør det samme for A/B-artikler med XYZ = Y. Regel 8 fanger opp alle øvrige artikler, inkludert C + X (lav verdi, stabilt forbruk), som sendes til vurdering. Figuren nedenfor illustrerer regelmotorens beslutningsflyt.</w:t>
      </w:r>
    </w:p>
    <w:p>
      <w:r>
        <w:drawing>
          <wp:inline xmlns:a="http://schemas.openxmlformats.org/drawingml/2006/main" xmlns:pic="http://schemas.openxmlformats.org/drawingml/2006/picture">
            <wp:extent cx="5400000" cy="4225574"/>
            <wp:docPr id="8" name="Picture 8"/>
            <wp:cNvGraphicFramePr>
              <a:graphicFrameLocks noChangeAspect="1"/>
            </wp:cNvGraphicFramePr>
            <a:graphic>
              <a:graphicData uri="http://schemas.openxmlformats.org/drawingml/2006/picture">
                <pic:pic>
                  <pic:nvPicPr>
                    <pic:cNvPr id="0" name="Fig03_Regelmotor.png"/>
                    <pic:cNvPicPr/>
                  </pic:nvPicPr>
                  <pic:blipFill>
                    <a:blip r:embed="rId26"/>
                    <a:stretch>
                      <a:fillRect/>
                    </a:stretch>
                  </pic:blipFill>
                  <pic:spPr>
                    <a:xfrm>
                      <a:off x="0" y="0"/>
                      <a:ext cx="5400000" cy="4225574"/>
                    </a:xfrm>
                    <a:prstGeom prst="rect"/>
                  </pic:spPr>
                </pic:pic>
              </a:graphicData>
            </a:graphic>
          </wp:inline>
        </w:drawing>
      </w:r>
    </w:p>
    <w:p>
      <w:pPr>
        <w:jc w:val="center"/>
      </w:pPr>
      <w:r>
        <w:rPr>
          <w:rFonts w:ascii="Times New Roman" w:hAnsi="Times New Roman"/>
          <w:i/>
          <w:sz w:val="20"/>
        </w:rPr>
        <w:t>Figur 4. Regelmotor: sekvensiell beslutningsflyt for HVFS-anbefaling (R1–R8). Generert med støtte fra Claude (Anthropic, 2026).</w:t>
      </w:r>
    </w:p>
    <w:p>
      <w:pPr>
        <w:spacing w:line="360" w:lineRule="auto"/>
      </w:pPr>
      <w:r>
        <w:rPr>
          <w:rFonts w:ascii="Times New Roman" w:hAnsi="Times New Roman" w:cs="Times New Roman"/>
          <w:sz w:val="24"/>
        </w:rPr>
        <w:t>Artikler som ikke fanges opp av noen av de åtte reglene – typisk fordi CV-data eller verdidata mangler – klassifiseres som MANGLER\_DATA. Disse inngår ikke i besparelsesestimatet, men rapporteres separat for å synliggjøre datakvalitetsproblemer i kildedataene. Det understrekes at regelmotoren er et normativt beslutningsstøtteverktøy: den produserer en datadrevet anbefaling per artikkel, men erstatter ikke innkjøpsfaglig skjønn. Alle anbefalinger bør valideres i en begrenset pilot mot ekspertvurdering fra innkjøpsfunksjonen ved Helse Bergen før implementering i full skala. Alle beregnede anbefalinger, klyngeprofiler og besparelsesestimater presenteres som sluttresultater i kapittel 7.</w:t>
      </w:r>
    </w:p>
    <w:p>
      <w:pPr>
        <w:pStyle w:val="Overskrift1"/>
        <w:pageBreakBefore w:val="true"/>
      </w:pPr>
      <w:r>
        <w:rPr>
          <w:rFonts w:ascii="Times New Roman" w:hAnsi="Times New Roman"/>
          <w:color w:val="000000"/>
          <w:sz w:val="36"/>
        </w:rPr>
        <w:t>Kapittel 6 – Analyse</w:t>
      </w:r>
    </w:p>
    <w:p>
      <w:pPr>
        <w:pStyle w:val="Overskrift2"/>
      </w:pPr>
      <w:r>
        <w:rPr>
          <w:rFonts w:ascii="Times New Roman" w:hAnsi="Times New Roman"/>
          <w:color w:val="000000"/>
          <w:sz w:val="32"/>
        </w:rPr>
        <w:t>6.1 ABC-analyse av 709 artikler</w:t>
      </w:r>
    </w:p>
    <w:p>
      <w:pPr>
        <w:spacing w:line="360" w:lineRule="auto"/>
      </w:pPr>
      <w:r>
        <w:rPr>
          <w:rFonts w:ascii="Times New Roman" w:hAnsi="Times New Roman" w:cs="Times New Roman"/>
          <w:sz w:val="24"/>
        </w:rPr>
        <w:t xml:space="preserve">ABC-analysen ble gjennomført ved å sortere samtlige 709 aktive artikler i synkende rekkefølge etter beregnet årsverdi </w:t>
      </w:r>
      <m:oMath>
        <m:sSub>
          <m:e>
            <m:r>
              <m:t>v</m:t>
            </m:r>
          </m:e>
          <m:sub>
            <m:r>
              <m:t>i</m:t>
            </m:r>
          </m:sub>
        </m:sSub>
        <m:r>
          <m:t>=</m:t>
        </m:r>
        <m:sSub>
          <m:e>
            <m:r>
              <m:t>D</m:t>
            </m:r>
          </m:e>
          <m:sub>
            <m:r>
              <m:t>i</m:t>
            </m:r>
          </m:sub>
        </m:sSub>
        <m:r>
          <m:t>×</m:t>
        </m:r>
        <m:sSub>
          <m:e>
            <m:r>
              <m:rPr>
                <m:nor/>
              </m:rPr>
              <m:t>UNIT\_PRICE</m:t>
            </m:r>
          </m:e>
          <m:sub>
            <m:r>
              <m:t>i</m:t>
            </m:r>
          </m:sub>
        </m:sSub>
      </m:oMath>
      <w:r>
        <w:rPr>
          <w:rFonts w:ascii="Times New Roman" w:hAnsi="Times New Roman" w:cs="Times New Roman"/>
          <w:sz w:val="24"/>
        </w:rPr>
        <w:t xml:space="preserve">, der </w:t>
      </w:r>
      <m:oMath>
        <m:sSub>
          <m:e>
            <m:r>
              <m:t>D</m:t>
            </m:r>
          </m:e>
          <m:sub>
            <m:r>
              <m:t>i</m:t>
            </m:r>
          </m:sub>
        </m:sSub>
      </m:oMath>
      <w:r>
        <w:rPr>
          <w:rFonts w:ascii="Times New Roman" w:hAnsi="Times New Roman" w:cs="Times New Roman"/>
          <w:sz w:val="24"/>
        </w:rPr>
        <w:t xml:space="preserve"> er annualisert forbruk og UNIT\_PRICE</w:t>
      </w:r>
      <m:oMath>
        <m:sSub>
          <m:e>
            <m:r>
              <m:t/>
            </m:r>
          </m:e>
          <m:sub>
            <m:r>
              <m:t>i</m:t>
            </m:r>
          </m:sub>
        </m:sSub>
      </m:oMath>
      <w:r>
        <w:rPr>
          <w:rFonts w:ascii="Times New Roman" w:hAnsi="Times New Roman" w:cs="Times New Roman"/>
          <w:sz w:val="24"/>
        </w:rPr>
        <w:t xml:space="preserve"> er PEINH-korrigert standardpris fra MBEW (beslutningene D-02 og D-03, avsnitt 4.3). For 505 av artiklene er </w:t>
      </w:r>
      <m:oMath>
        <m:sSub>
          <m:e>
            <m:r>
              <m:t>v</m:t>
            </m:r>
          </m:e>
          <m:sub>
            <m:r>
              <m:t>i</m:t>
            </m:r>
          </m:sub>
        </m:sSub>
      </m:oMath>
      <w:r>
        <w:rPr>
          <w:rFonts w:ascii="Times New Roman" w:hAnsi="Times New Roman" w:cs="Times New Roman"/>
          <w:sz w:val="24"/>
        </w:rPr>
        <w:t xml:space="preserve"> basert direkte på EKPO-innkjøpsdata (ABC\_VALUE\_SOURCE = EKPO); for de resterende 204 er verdien beregnet fra MSEG-forbruk og enhetspris (ABC\_VALUE\_SOURCE = BEREGNET). Etter sortering ble kumulativ verdiandel CUM\_PCT beregnet som løpende sum av </w:t>
      </w:r>
      <m:oMath>
        <m:sSub>
          <m:e>
            <m:r>
              <m:t>v</m:t>
            </m:r>
          </m:e>
          <m:sub>
            <m:r>
              <m:t>i</m:t>
            </m:r>
          </m:sub>
        </m:sSub>
      </m:oMath>
      <w:r>
        <w:rPr>
          <w:rFonts w:ascii="Times New Roman" w:hAnsi="Times New Roman" w:cs="Times New Roman"/>
          <w:sz w:val="24"/>
        </w:rPr>
        <w:t xml:space="preserve"> dividert på totalsum. Den samlede årsverdien for de 709 artiklene er beregnet til i overkant av 34 millioner kroner. Det er verdt å merke seg at de to verdikildene gir systematisk ulike bidrag til rangeringen: artikler med EKPO-data har observerte innkjøpsverdier fra faktiske transaksjoner, mens artikler med beregnet verdi baseres på forbruksvolum og standardpris. For de 204 beregnede artiklene er det en implisitt antagelse om at STPRS i MBEW er en rimelig tilnærming til faktisk innkjøpspris; denne antagelsen er diskutert i avsnitt 8.2. Analysen ble implementert i pandas med vektoriserte operasjoner for å sikre at rangeringen er deterministisk og reproduserbar.</w:t>
      </w:r>
    </w:p>
    <w:p>
      <w:pPr>
        <w:spacing w:line="360" w:lineRule="auto"/>
      </w:pPr>
      <w:r>
        <w:rPr>
          <w:rFonts w:ascii="Times New Roman" w:hAnsi="Times New Roman" w:cs="Times New Roman"/>
          <w:sz w:val="24"/>
        </w:rPr>
        <w:t>Pareto-grensene 80 % og 95 % ble deretter lagt på den kumulative kurven, som vist i Figur 6 nedenfor. Kurvens form – en bratt stigning tidlig etterfulgt av en lang flat hale – viser at verdikonsentrasjonen følger Pareto-mønsteret. Av de 709 artiklene fikk 704 en ABC-klasse (182 A, 184 B, 338 C); de resterende 5 artiklene har null beregnet verdi etter D-02/D-03 og kunne ikke ABC-rangeres — disse rapporteres i MANGLER\_DATA-kategorien. Endelig fordeling mellom A-, B- og C-artikler presenteres i Tabell 8 i kapittel 7.</w:t>
      </w:r>
    </w:p>
    <w:p>
      <w:r>
        <w:drawing>
          <wp:inline xmlns:a="http://schemas.openxmlformats.org/drawingml/2006/main" xmlns:pic="http://schemas.openxmlformats.org/drawingml/2006/picture">
            <wp:extent cx="5400000" cy="1795574"/>
            <wp:docPr id="9" name="Picture 9"/>
            <wp:cNvGraphicFramePr>
              <a:graphicFrameLocks noChangeAspect="1"/>
            </wp:cNvGraphicFramePr>
            <a:graphic>
              <a:graphicData uri="http://schemas.openxmlformats.org/drawingml/2006/picture">
                <pic:pic>
                  <pic:nvPicPr>
                    <pic:cNvPr id="0" name="Fig05_ABC_Pareto.png"/>
                    <pic:cNvPicPr/>
                  </pic:nvPicPr>
                  <pic:blipFill>
                    <a:blip r:embed="rId27"/>
                    <a:stretch>
                      <a:fillRect/>
                    </a:stretch>
                  </pic:blipFill>
                  <pic:spPr>
                    <a:xfrm>
                      <a:off x="0" y="0"/>
                      <a:ext cx="5400000" cy="1795574"/>
                    </a:xfrm>
                    <a:prstGeom prst="rect"/>
                  </pic:spPr>
                </pic:pic>
              </a:graphicData>
            </a:graphic>
          </wp:inline>
        </w:drawing>
      </w:r>
    </w:p>
    <w:p>
      <w:pPr>
        <w:jc w:val="center"/>
      </w:pPr>
      <w:r>
        <w:rPr>
          <w:rFonts w:ascii="Times New Roman" w:hAnsi="Times New Roman"/>
          <w:i/>
          <w:sz w:val="20"/>
        </w:rPr>
        <w:t>Figur 6. ABC Pareto-kurve: kumulativ verdiandel for 709 artikler rangert etter årsverdi, med grenser ved 80 % (A/B) og 95 % (B/C). Generert med støtte fra Claude (Anthropic, 2026).</w:t>
      </w:r>
    </w:p>
    <w:p>
      <w:pPr>
        <w:pStyle w:val="Overskrift2"/>
      </w:pPr>
      <w:r>
        <w:rPr>
          <w:rFonts w:ascii="Times New Roman" w:hAnsi="Times New Roman"/>
          <w:color w:val="000000"/>
          <w:sz w:val="32"/>
        </w:rPr>
        <w:t>6.2 XYZ-klassifisering</w:t>
      </w:r>
    </w:p>
    <w:p>
      <w:pPr>
        <w:spacing w:line="360" w:lineRule="auto"/>
      </w:pPr>
      <w:r>
        <w:rPr>
          <w:rFonts w:ascii="Times New Roman" w:hAnsi="Times New Roman" w:cs="Times New Roman"/>
          <w:sz w:val="24"/>
        </w:rPr>
        <w:t>XYZ-klassifiseringen tok utgangspunkt i månedlig MSEG-forbruk per artikkel over den 24 måneder lange analyseperioden, med bevegelsestypene 201 og 647. For hver artikkel ble variasjonskoeffisienten CV</w:t>
      </w:r>
      <m:oMath>
        <m:sSub>
          <m:e>
            <m:r>
              <m:t/>
            </m:r>
          </m:e>
          <m:sub>
            <m:r>
              <m:t>i</m:t>
            </m:r>
          </m:sub>
        </m:sSub>
        <m:r>
          <m:t>=</m:t>
        </m:r>
        <m:sSub>
          <m:e>
            <m:r>
              <m:t>σ</m:t>
            </m:r>
          </m:e>
          <m:sub>
            <m:r>
              <m:t>i</m:t>
            </m:r>
          </m:sub>
        </m:sSub>
        <m:r>
          <m:t>/</m:t>
        </m:r>
        <m:sSub>
          <m:e>
            <m:r>
              <m:t>μ</m:t>
            </m:r>
          </m:e>
          <m:sub>
            <m:r>
              <m:t>i</m:t>
            </m:r>
          </m:sub>
        </m:sSub>
      </m:oMath>
      <w:r>
        <w:rPr>
          <w:rFonts w:ascii="Times New Roman" w:hAnsi="Times New Roman" w:cs="Times New Roman"/>
          <w:sz w:val="24"/>
        </w:rPr>
        <w:t xml:space="preserve"> beregnet, der </w:t>
      </w:r>
      <m:oMath>
        <m:sSub>
          <m:e>
            <m:r>
              <m:t>σ</m:t>
            </m:r>
          </m:e>
          <m:sub>
            <m:r>
              <m:t>i</m:t>
            </m:r>
          </m:sub>
        </m:sSub>
      </m:oMath>
      <w:r>
        <w:rPr>
          <w:rFonts w:ascii="Times New Roman" w:hAnsi="Times New Roman" w:cs="Times New Roman"/>
          <w:sz w:val="24"/>
        </w:rPr>
        <w:t xml:space="preserve"> er standardavviket og </w:t>
      </w:r>
      <m:oMath>
        <m:sSub>
          <m:e>
            <m:r>
              <m:t>μ</m:t>
            </m:r>
          </m:e>
          <m:sub>
            <m:r>
              <m:t>i</m:t>
            </m:r>
          </m:sub>
        </m:sSub>
      </m:oMath>
      <w:r>
        <w:rPr>
          <w:rFonts w:ascii="Times New Roman" w:hAnsi="Times New Roman" w:cs="Times New Roman"/>
          <w:sz w:val="24"/>
        </w:rPr>
        <w:t xml:space="preserve"> er gjennomsnittet av de månedlige forbruksobservasjonene. For å sikre at CV-estimatene er basert på et tilstrekkelig antall observasjoner, ble det satt et minimumskrav om registrert forbruk i minst tre av de 24 månedene i analyseperioden. Artikler med færre enn tre måneder med registrert forbruk ble ekskludert fra XYZ-klassifiseringen for å unngå at CV-estimater basert på svært få observasjoner gir misvisende klassifisering. CV-beregningen benytter alle 24 måneder inkludert nullmåneder for artikler som oppfyller minimumskravet, noe som innebærer at artikler med sporadisk forbruk får en høyere CV enn artikler med jevnt forbruk over samme volum — en ønsket egenskap for å fange opp forbruksstabilitet. Totalt 22 av 709 artikler tilfredsstilte ikke datakravet og ble ikke XYZ-klassifisert; disse rapporteres i MANGLER\_DATA-kategorien og inngår ikke i ABC/XYZ-kryssmatrisen.</w:t>
      </w:r>
    </w:p>
    <w:p>
      <w:pPr>
        <w:spacing w:line="360" w:lineRule="auto"/>
      </w:pPr>
      <w:r>
        <w:rPr>
          <w:rFonts w:ascii="Times New Roman" w:hAnsi="Times New Roman" w:cs="Times New Roman"/>
          <w:sz w:val="24"/>
        </w:rPr>
        <w:t>Etter beregning ble CV-grensene fra Tabell 6 (kap. 5) anvendt: X (</w:t>
      </w:r>
      <m:oMath>
        <m:r>
          <m:t>CV&lt;0,5</m:t>
        </m:r>
      </m:oMath>
      <w:r>
        <w:rPr>
          <w:rFonts w:ascii="Times New Roman" w:hAnsi="Times New Roman" w:cs="Times New Roman"/>
          <w:sz w:val="24"/>
        </w:rPr>
        <w:t xml:space="preserve">), Y (0,5 ≤ </w:t>
      </w:r>
      <m:oMath>
        <m:r>
          <m:t>CV&lt;1,0</m:t>
        </m:r>
      </m:oMath>
      <w:r>
        <w:rPr>
          <w:rFonts w:ascii="Times New Roman" w:hAnsi="Times New Roman" w:cs="Times New Roman"/>
          <w:sz w:val="24"/>
        </w:rPr>
        <w:t>) og Z (</w:t>
      </w:r>
      <m:oMath>
        <m:r>
          <m:t>CV≥1,0</m:t>
        </m:r>
      </m:oMath>
      <w:r>
        <w:rPr>
          <w:rFonts w:ascii="Times New Roman" w:hAnsi="Times New Roman" w:cs="Times New Roman"/>
          <w:sz w:val="24"/>
        </w:rPr>
        <w:t>). XYZ-analysen ble deretter kryssvalidert mot SAP-feltet ZZXYZ, som representerer systemets eksisterende klassifisering. Samsvaret mellom beregnet og systemregistrert klasse ble kvantifisert som andelen av artikler der de to klassifiseringene er identiske; dette resultatet presenteres i kapittel 7. Det lave samsvaret som ble observert, bekrefter at ZZXYZ-feltet ikke er systematisk vedlikeholdt i takt med faktiske forbruksendringer, noe som motiverer bruken av CV-beregning som primær klassifiseringsmetode (beslutning D-04, avsnitt 4.3).</w:t>
      </w:r>
    </w:p>
    <w:p>
      <w:pPr>
        <w:spacing w:line="360" w:lineRule="auto"/>
      </w:pPr>
      <w:r>
        <w:rPr>
          <w:rFonts w:ascii="Times New Roman" w:hAnsi="Times New Roman" w:cs="Times New Roman"/>
          <w:sz w:val="24"/>
        </w:rPr>
        <w:t>ABC- og XYZ-klassifiseringene ble kombinert til en ni-felts kryssmatrise, som vist i Figur 7. Matrisen gir et øyeblikksbilde av populasjonens sammensetning langs de to dimensjonene og danner inngangsdataene for regelmotoren i avsnitt 6.5. Fullstendige celleantall er gjengitt i Figur 7; univariate XYZ-fordelinger presenteres i Tabell 9 i kapittel 7.</w:t>
      </w:r>
    </w:p>
    <w:p>
      <w:r>
        <w:drawing>
          <wp:inline xmlns:a="http://schemas.openxmlformats.org/drawingml/2006/main" xmlns:pic="http://schemas.openxmlformats.org/drawingml/2006/picture">
            <wp:extent cx="5400000" cy="4642684"/>
            <wp:docPr id="10" name="Picture 10"/>
            <wp:cNvGraphicFramePr>
              <a:graphicFrameLocks noChangeAspect="1"/>
            </wp:cNvGraphicFramePr>
            <a:graphic>
              <a:graphicData uri="http://schemas.openxmlformats.org/drawingml/2006/picture">
                <pic:pic>
                  <pic:nvPicPr>
                    <pic:cNvPr id="0" name="Fig06_ABC_XYZ_Matrise.png"/>
                    <pic:cNvPicPr/>
                  </pic:nvPicPr>
                  <pic:blipFill>
                    <a:blip r:embed="rId28"/>
                    <a:stretch>
                      <a:fillRect/>
                    </a:stretch>
                  </pic:blipFill>
                  <pic:spPr>
                    <a:xfrm>
                      <a:off x="0" y="0"/>
                      <a:ext cx="5400000" cy="4642684"/>
                    </a:xfrm>
                    <a:prstGeom prst="rect"/>
                  </pic:spPr>
                </pic:pic>
              </a:graphicData>
            </a:graphic>
          </wp:inline>
        </w:drawing>
      </w:r>
    </w:p>
    <w:p>
      <w:pPr>
        <w:jc w:val="center"/>
      </w:pPr>
      <w:r>
        <w:rPr>
          <w:rFonts w:ascii="Times New Roman" w:hAnsi="Times New Roman"/>
          <w:i/>
          <w:sz w:val="20"/>
        </w:rPr>
        <w:t>Figur 7. ABC/XYZ-kryssmatrise: antall artikler per kombinasjon (709 artikler, WERKS 3300 / LGORT 3001). Generert med støtte fra Claude (Anthropic, 2026).</w:t>
      </w:r>
    </w:p>
    <w:p>
      <w:pPr>
        <w:spacing w:line="360" w:lineRule="auto"/>
      </w:pPr>
      <w:r>
        <w:rPr>
          <w:rFonts w:ascii="Times New Roman" w:hAnsi="Times New Roman" w:cs="Times New Roman"/>
          <w:sz w:val="24"/>
        </w:rPr>
        <w:t>Matrisen viser at A- og B-artikler i stor grad er konsentrert i X-kolonnen (stabilt forbruk), mens Z-kolonnen er dominert av C-artikler. AZ- og BZ-kategoriene er relativt små. De ni cellene i matrisen danner det primære inngangssignalet for regelmotorens beslutningslogikk i avsnitt 6.5.</w:t>
      </w:r>
    </w:p>
    <w:p>
      <w:pPr>
        <w:pStyle w:val="Overskrift2"/>
      </w:pPr>
      <w:r>
        <w:rPr>
          <w:rFonts w:ascii="Times New Roman" w:hAnsi="Times New Roman"/>
          <w:color w:val="000000"/>
          <w:sz w:val="32"/>
        </w:rPr>
        <w:t>6.3 EOQ-avviksberegning</w:t>
      </w:r>
    </w:p>
    <w:p>
      <w:pPr>
        <w:spacing w:line="360" w:lineRule="auto"/>
      </w:pPr>
      <w:r>
        <w:rPr>
          <w:rFonts w:ascii="Times New Roman" w:hAnsi="Times New Roman" w:cs="Times New Roman"/>
          <w:sz w:val="24"/>
        </w:rPr>
        <w:t xml:space="preserve">EOQ-avviksanalysen ble gjennomført for alle artikler der tilstrekkelig data forelå for beregning av optimal ordrefrekvens </w:t>
      </w:r>
      <m:oMath>
        <m:sSup>
          <m:e>
            <m:r>
              <m:t>f</m:t>
            </m:r>
          </m:e>
          <m:sup>
            <m:r>
              <m:t>*</m:t>
            </m:r>
          </m:sup>
        </m:sSup>
      </m:oMath>
      <w:r>
        <w:rPr>
          <w:rFonts w:ascii="Times New Roman" w:hAnsi="Times New Roman" w:cs="Times New Roman"/>
          <w:sz w:val="24"/>
        </w:rPr>
        <w:t xml:space="preserve">, det vil si artikler med </w:t>
      </w:r>
      <m:oMath>
        <m:sSub>
          <m:e>
            <m:r>
              <m:t>D</m:t>
            </m:r>
          </m:e>
          <m:sub>
            <m:r>
              <m:t>i</m:t>
            </m:r>
          </m:sub>
        </m:sSub>
        <m:r>
          <m:t>&gt;0</m:t>
        </m:r>
      </m:oMath>
      <w:r>
        <w:rPr>
          <w:rFonts w:ascii="Times New Roman" w:hAnsi="Times New Roman" w:cs="Times New Roman"/>
          <w:sz w:val="24"/>
        </w:rPr>
        <w:t xml:space="preserve">, </w:t>
      </w:r>
      <m:oMath>
        <m:sSub>
          <m:e>
            <m:r>
              <m:rPr>
                <m:nor/>
              </m:rPr>
              <m:t>UNIT\_PRICE</m:t>
            </m:r>
          </m:e>
          <m:sub>
            <m:r>
              <m:t>i</m:t>
            </m:r>
          </m:sub>
        </m:sSub>
        <m:r>
          <m:t>&gt;0</m:t>
        </m:r>
      </m:oMath>
      <w:r>
        <w:rPr>
          <w:rFonts w:ascii="Times New Roman" w:hAnsi="Times New Roman" w:cs="Times New Roman"/>
          <w:sz w:val="24"/>
        </w:rPr>
        <w:t xml:space="preserve"> og tilgjengelig LEAD\_TIME. Den optimale frekvensen </w:t>
      </w:r>
      <m:oMath>
        <m:sSup>
          <m:e>
            <m:r>
              <m:t>f</m:t>
            </m:r>
          </m:e>
          <m:sup>
            <m:r>
              <m:t>*</m:t>
            </m:r>
          </m:sup>
        </m:sSup>
        <m:r>
          <m:t>=</m:t>
        </m:r>
        <m:rad>
          <m:radPr>
            <m:degHide m:val="on"/>
          </m:radPr>
          <m:deg/>
          <m:e>
            <m:r>
              <m:t>DH/2S</m:t>
            </m:r>
          </m:e>
        </m:rad>
      </m:oMath>
      <w:r>
        <w:rPr>
          <w:rFonts w:ascii="Times New Roman" w:hAnsi="Times New Roman" w:cs="Times New Roman"/>
          <w:sz w:val="24"/>
        </w:rPr>
        <w:t xml:space="preserve"> ble beregnet med </w:t>
      </w:r>
      <m:oMath>
        <m:r>
          <m:t>S=750</m:t>
        </m:r>
      </m:oMath>
      <w:r>
        <w:rPr>
          <w:rFonts w:ascii="Times New Roman" w:hAnsi="Times New Roman" w:cs="Times New Roman"/>
          <w:sz w:val="24"/>
        </w:rPr>
        <w:t xml:space="preserve"> NOK og </w:t>
      </w:r>
      <m:oMath>
        <m:r>
          <m:t>H=0</m:t>
        </m:r>
        <m:r>
          <m:t>,</m:t>
        </m:r>
        <m:r>
          <m:t>20×</m:t>
        </m:r>
        <m:sSub>
          <m:e>
            <m:r>
              <m:rPr>
                <m:nor/>
              </m:rPr>
              <m:t>UNIT\_PRICE</m:t>
            </m:r>
          </m:e>
          <m:sub>
            <m:r>
              <m:t>i</m:t>
            </m:r>
          </m:sub>
        </m:sSub>
      </m:oMath>
      <w:r>
        <w:rPr>
          <w:rFonts w:ascii="Times New Roman" w:hAnsi="Times New Roman" w:cs="Times New Roman"/>
          <w:sz w:val="24"/>
        </w:rPr>
        <w:t xml:space="preserve"> som modellparametere (se Tabell 6, kap. 5). Faktisk ordrefrekvens </w:t>
      </w:r>
      <m:oMath>
        <m:sSub>
          <m:e>
            <m:r>
              <m:t>f</m:t>
            </m:r>
          </m:e>
          <m:sub>
            <m:r>
              <m:rPr>
                <m:nor/>
              </m:rPr>
              <m:t>obs</m:t>
            </m:r>
          </m:sub>
        </m:sSub>
      </m:oMath>
      <w:r>
        <w:rPr>
          <w:rFonts w:ascii="Times New Roman" w:hAnsi="Times New Roman" w:cs="Times New Roman"/>
          <w:sz w:val="24"/>
        </w:rPr>
        <w:t xml:space="preserve"> ble hentet fra EKBE og annualisert i henhold til beslutning D-08: ACTUAL\_FREQ = ORDER\_COUNT </w:t>
      </w:r>
      <m:oMath>
        <m:r>
          <m:t>×</m:t>
        </m:r>
      </m:oMath>
      <w:r>
        <w:rPr>
          <w:rFonts w:ascii="Times New Roman" w:hAnsi="Times New Roman" w:cs="Times New Roman"/>
          <w:sz w:val="24"/>
        </w:rPr>
        <w:t xml:space="preserve"> (12/24).</w:t>
      </w:r>
    </w:p>
    <w:p>
      <w:pPr>
        <w:spacing w:line="360" w:lineRule="auto"/>
      </w:pPr>
      <w:r>
        <w:rPr>
          <w:rFonts w:ascii="Times New Roman" w:hAnsi="Times New Roman" w:cs="Times New Roman"/>
          <w:sz w:val="24"/>
        </w:rPr>
        <w:t>Det relative frekvensavviket FREQ\_AVVIK</w:t>
      </w:r>
      <m:oMath>
        <m:sSub>
          <m:e>
            <m:r>
              <m:t/>
            </m:r>
          </m:e>
          <m:sub>
            <m:r>
              <m:t>i</m:t>
            </m:r>
          </m:sub>
        </m:sSub>
        <m:r>
          <m:t>=(</m:t>
        </m:r>
        <m:sSub>
          <m:e>
            <m:r>
              <m:t>f</m:t>
            </m:r>
          </m:e>
          <m:sub>
            <m:r>
              <m:rPr>
                <m:nor/>
              </m:rPr>
              <m:t>obs</m:t>
            </m:r>
            <m:r>
              <m:t>,i</m:t>
            </m:r>
          </m:sub>
        </m:sSub>
        <m:r>
          <m:t>−</m:t>
        </m:r>
        <m:sSubSup>
          <m:e>
            <m:r>
              <m:t>f</m:t>
            </m:r>
          </m:e>
          <m:sub>
            <m:r>
              <m:t>i</m:t>
            </m:r>
          </m:sub>
          <m:sup>
            <m:r>
              <m:t>*</m:t>
            </m:r>
          </m:sup>
        </m:sSubSup>
        <m:r>
          <m:t>)/</m:t>
        </m:r>
        <m:sSubSup>
          <m:e>
            <m:r>
              <m:t>f</m:t>
            </m:r>
          </m:e>
          <m:sub>
            <m:r>
              <m:t>i</m:t>
            </m:r>
          </m:sub>
          <m:sup>
            <m:r>
              <m:t>*</m:t>
            </m:r>
          </m:sup>
        </m:sSubSup>
      </m:oMath>
      <w:r>
        <w:rPr>
          <w:rFonts w:ascii="Times New Roman" w:hAnsi="Times New Roman" w:cs="Times New Roman"/>
          <w:sz w:val="24"/>
        </w:rPr>
        <w:t xml:space="preserve"> ble beregnet per artikkel. Fordelingen av dette avviket er illustrert i Figur 8 nedenfor. Terskelen </w:t>
      </w:r>
      <m:oMath>
        <m:sSub>
          <m:e>
            <m:r>
              <m:t>τ</m:t>
            </m:r>
          </m:e>
          <m:sub>
            <m:r>
              <m:t>f</m:t>
            </m:r>
          </m:sub>
        </m:sSub>
        <m:r>
          <m:t>=1</m:t>
        </m:r>
        <m:r>
          <m:t>,</m:t>
        </m:r>
        <m:r>
          <m:t>5</m:t>
        </m:r>
      </m:oMath>
      <w:r>
        <w:rPr>
          <w:rFonts w:ascii="Times New Roman" w:hAnsi="Times New Roman" w:cs="Times New Roman"/>
          <w:sz w:val="24"/>
        </w:rPr>
        <w:t xml:space="preserve"> ble lagt inn for å skille artikler med vesentlig overbestilling (FOR\_MANGE\_ORDRER) fra artikler innenfor akseptabelt avvik. I tillegg ble differansen i totalkostnad </w:t>
      </w:r>
      <m:oMath>
        <m:r>
          <m:t>ΔT</m:t>
        </m:r>
        <m:sSub>
          <m:e>
            <m:r>
              <m:t>C</m:t>
            </m:r>
          </m:e>
          <m:sub>
            <m:r>
              <m:t>i</m:t>
            </m:r>
          </m:sub>
        </m:sSub>
        <m:r>
          <m:t>=TC(</m:t>
        </m:r>
        <m:sSub>
          <m:e>
            <m:r>
              <m:t>f</m:t>
            </m:r>
          </m:e>
          <m:sub>
            <m:r>
              <m:rPr>
                <m:nor/>
              </m:rPr>
              <m:t>obs</m:t>
            </m:r>
          </m:sub>
        </m:sSub>
        <m:r>
          <m:t>)−TC(</m:t>
        </m:r>
        <m:sSup>
          <m:e>
            <m:r>
              <m:t>f</m:t>
            </m:r>
          </m:e>
          <m:sup>
            <m:r>
              <m:t>*</m:t>
            </m:r>
          </m:sup>
        </m:sSup>
        <m:r>
          <m:t>)</m:t>
        </m:r>
      </m:oMath>
      <w:r>
        <w:rPr>
          <w:rFonts w:ascii="Times New Roman" w:hAnsi="Times New Roman" w:cs="Times New Roman"/>
          <w:sz w:val="24"/>
        </w:rPr>
        <w:t xml:space="preserve"> beregnet per artikkel, og summert til et samlet EOQ-avvikstall for hele populasjonen. Disse resultatene presenteres i sin helhet i Tabell 11 og avsnitt 7.3.</w:t>
      </w:r>
    </w:p>
    <w:p>
      <w:r>
        <w:drawing>
          <wp:inline xmlns:a="http://schemas.openxmlformats.org/drawingml/2006/main" xmlns:pic="http://schemas.openxmlformats.org/drawingml/2006/picture">
            <wp:extent cx="5400000" cy="2238197"/>
            <wp:docPr id="11" name="Picture 11"/>
            <wp:cNvGraphicFramePr>
              <a:graphicFrameLocks noChangeAspect="1"/>
            </wp:cNvGraphicFramePr>
            <a:graphic>
              <a:graphicData uri="http://schemas.openxmlformats.org/drawingml/2006/picture">
                <pic:pic>
                  <pic:nvPicPr>
                    <pic:cNvPr id="0" name="Fig07_EOQ_Avvik.png"/>
                    <pic:cNvPicPr/>
                  </pic:nvPicPr>
                  <pic:blipFill>
                    <a:blip r:embed="rId29"/>
                    <a:stretch>
                      <a:fillRect/>
                    </a:stretch>
                  </pic:blipFill>
                  <pic:spPr>
                    <a:xfrm>
                      <a:off x="0" y="0"/>
                      <a:ext cx="5400000" cy="2238197"/>
                    </a:xfrm>
                    <a:prstGeom prst="rect"/>
                  </pic:spPr>
                </pic:pic>
              </a:graphicData>
            </a:graphic>
          </wp:inline>
        </w:drawing>
      </w:r>
    </w:p>
    <w:p>
      <w:pPr>
        <w:jc w:val="center"/>
      </w:pPr>
      <w:r>
        <w:rPr>
          <w:rFonts w:ascii="Times New Roman" w:hAnsi="Times New Roman"/>
          <w:i/>
          <w:sz w:val="20"/>
        </w:rPr>
        <w:t>Figur 8. EOQ-avvik: relativ frekvensavvik (FREQ_AVVIK) for artikler med tilstrekkelige data, med terskel ved τ_f = 1,5. Generert med støtte fra Claude (Anthropic, 2026).</w:t>
      </w:r>
    </w:p>
    <w:p>
      <w:pPr>
        <w:spacing w:line="360" w:lineRule="auto"/>
      </w:pPr>
      <w:r>
        <w:rPr>
          <w:rFonts w:ascii="Times New Roman" w:hAnsi="Times New Roman" w:cs="Times New Roman"/>
          <w:sz w:val="24"/>
        </w:rPr>
        <w:t xml:space="preserve">Figur 8 viser at fordelingen er sterkt høyreskjev: majoriteten av artiklene med EOQ-data har et FREQ\_AVVIK over terskelen på 1,5. Artikler under terskelen («OK») opererer nær EOQ-optimalt nivå. For 222 av de 487 artiklene med EOQ-data mangler innkjøpshistorikk i EKBE for analyseperioden, noe som innebærer at faktisk ordrefrekvens er null; disse artiklene inngår i «OK»-kategorien da det ikke kan påvises overbestilling. Totale </w:t>
      </w:r>
      <m:oMath>
        <m:r>
          <m:t>ΔTC</m:t>
        </m:r>
      </m:oMath>
      <w:r>
        <w:rPr>
          <w:rFonts w:ascii="Times New Roman" w:hAnsi="Times New Roman" w:cs="Times New Roman"/>
          <w:sz w:val="24"/>
        </w:rPr>
        <w:t>-summer presenteres i avsnitt 7.3.</w:t>
      </w:r>
    </w:p>
    <w:p>
      <w:pPr>
        <w:pStyle w:val="Overskrift2"/>
      </w:pPr>
      <w:r>
        <w:rPr>
          <w:rFonts w:ascii="Times New Roman" w:hAnsi="Times New Roman"/>
          <w:color w:val="000000"/>
          <w:sz w:val="32"/>
        </w:rPr>
        <w:t>6.4 K-means klyngeanalyse</w:t>
      </w:r>
    </w:p>
    <w:p>
      <w:pPr>
        <w:spacing w:line="360" w:lineRule="auto"/>
      </w:pPr>
      <w:r>
        <w:rPr>
          <w:rFonts w:ascii="Times New Roman" w:hAnsi="Times New Roman" w:cs="Times New Roman"/>
          <w:b/>
          <w:sz w:val="24"/>
        </w:rPr>
        <w:t>Dataklargjøring og splitting.</w:t>
      </w:r>
      <w:r>
        <w:rPr>
          <w:rFonts w:ascii="Times New Roman" w:hAnsi="Times New Roman" w:cs="Times New Roman"/>
          <w:sz w:val="24"/>
        </w:rPr>
        <w:t xml:space="preserve"> Featurevektoren </w:t>
      </w:r>
      <m:oMath>
        <m:sSub>
          <m:e>
            <m:r>
              <m:t>𝐱</m:t>
            </m:r>
          </m:e>
          <m:sub>
            <m:r>
              <m:t>i</m:t>
            </m:r>
          </m:sub>
        </m:sSub>
        <m:r>
          <m:t>=[z(</m:t>
        </m:r>
        <m:r>
          <m:rPr>
            <m:sty m:val="p"/>
          </m:rPr>
          <m:t>ln</m:t>
        </m:r>
        <m:sSub>
          <m:e>
            <m:r>
              <m:rPr>
                <m:nor/>
              </m:rPr>
              <m:t>CV</m:t>
            </m:r>
          </m:e>
          <m:sub>
            <m:r>
              <m:t>i</m:t>
            </m:r>
          </m:sub>
        </m:sSub>
        <m:r>
          <m:t>),</m:t>
        </m:r>
        <m:r>
          <m:t>z(</m:t>
        </m:r>
        <m:r>
          <m:rPr>
            <m:sty m:val="p"/>
          </m:rPr>
          <m:t>ln</m:t>
        </m:r>
        <m:r>
          <m:t>(</m:t>
        </m:r>
        <m:sSub>
          <m:e>
            <m:r>
              <m:t>v</m:t>
            </m:r>
          </m:e>
          <m:sub>
            <m:r>
              <m:t>i</m:t>
            </m:r>
          </m:sub>
        </m:sSub>
        <m:r>
          <m:t>+1)),</m:t>
        </m:r>
        <m:r>
          <m:t>z(</m:t>
        </m:r>
        <m:r>
          <m:rPr>
            <m:sty m:val="p"/>
          </m:rPr>
          <m:t>ln</m:t>
        </m:r>
        <m:r>
          <m:t>(|ΔT</m:t>
        </m:r>
        <m:sSub>
          <m:e>
            <m:r>
              <m:t>C</m:t>
            </m:r>
          </m:e>
          <m:sub>
            <m:r>
              <m:t>i</m:t>
            </m:r>
          </m:sub>
        </m:sSub>
        <m:r>
          <m:t>|+1))]</m:t>
        </m:r>
      </m:oMath>
      <w:r>
        <w:rPr>
          <w:rFonts w:ascii="Times New Roman" w:hAnsi="Times New Roman" w:cs="Times New Roman"/>
          <w:sz w:val="24"/>
        </w:rPr>
        <w:t xml:space="preserve"> ble konstruert for alle artikler med tilstrekkelig data. Log-transformasjonen ble påført før z-score-standardisering for å håndtere høyreskjevheten i de underliggende distribusjonene, som beskrevet i avsnitt 5.4. Datasettet ble delt i et treningssett (</w:t>
      </w:r>
      <m:oMath>
        <m:r>
          <m:t>n=n=389</m:t>
        </m:r>
      </m:oMath>
      <w:r>
        <w:rPr>
          <w:rFonts w:ascii="Times New Roman" w:hAnsi="Times New Roman" w:cs="Times New Roman"/>
          <w:sz w:val="24"/>
        </w:rPr>
        <w:t>) og et testsett (</w:t>
      </w:r>
      <m:oMath>
        <m:r>
          <m:t>n=n=98</m:t>
        </m:r>
      </m:oMath>
      <w:r>
        <w:rPr>
          <w:rFonts w:ascii="Times New Roman" w:hAnsi="Times New Roman" w:cs="Times New Roman"/>
          <w:sz w:val="24"/>
        </w:rPr>
        <w:t>) med `random_state=42`. StandardScaler ble fittet utelukkende på treningsdataene og deretter brukt til å transformere begge sett, slik at informasjon fra testsettet ikke lekker inn i skaleringen.</w:t>
      </w:r>
    </w:p>
    <w:p>
      <w:pPr>
        <w:spacing w:line="360" w:lineRule="auto"/>
      </w:pPr>
      <w:r>
        <w:rPr>
          <w:rFonts w:ascii="Times New Roman" w:hAnsi="Times New Roman" w:cs="Times New Roman"/>
          <w:b/>
          <w:sz w:val="24"/>
        </w:rPr>
        <w:t>K-valg via silhouette.</w:t>
      </w:r>
      <w:r>
        <w:rPr>
          <w:rFonts w:ascii="Times New Roman" w:hAnsi="Times New Roman" w:cs="Times New Roman"/>
          <w:sz w:val="24"/>
        </w:rPr>
        <w:t xml:space="preserve"> KMeans-modellen ble fittet for </w:t>
      </w:r>
      <m:oMath>
        <m:r>
          <m:t>K=2</m:t>
        </m:r>
      </m:oMath>
      <w:r>
        <w:rPr>
          <w:rFonts w:ascii="Times New Roman" w:hAnsi="Times New Roman" w:cs="Times New Roman"/>
          <w:sz w:val="24"/>
        </w:rPr>
        <w:t>, 3, 4, 5, 6 og 7 på treningsdataene. For hvert K ble gjennomsnittlig silhouette-score beregnet. Figur 9 viser silhouette-profilen over K-søket.</w:t>
      </w:r>
    </w:p>
    <w:p>
      <w:r>
        <w:drawing>
          <wp:inline xmlns:a="http://schemas.openxmlformats.org/drawingml/2006/main" xmlns:pic="http://schemas.openxmlformats.org/drawingml/2006/picture">
            <wp:extent cx="5400000" cy="2147647"/>
            <wp:docPr id="12" name="Picture 12"/>
            <wp:cNvGraphicFramePr>
              <a:graphicFrameLocks noChangeAspect="1"/>
            </wp:cNvGraphicFramePr>
            <a:graphic>
              <a:graphicData uri="http://schemas.openxmlformats.org/drawingml/2006/picture">
                <pic:pic>
                  <pic:nvPicPr>
                    <pic:cNvPr id="0" name="Fig08_Silhouette.png"/>
                    <pic:cNvPicPr/>
                  </pic:nvPicPr>
                  <pic:blipFill>
                    <a:blip r:embed="rId30"/>
                    <a:stretch>
                      <a:fillRect/>
                    </a:stretch>
                  </pic:blipFill>
                  <pic:spPr>
                    <a:xfrm>
                      <a:off x="0" y="0"/>
                      <a:ext cx="5400000" cy="2147647"/>
                    </a:xfrm>
                    <a:prstGeom prst="rect"/>
                  </pic:spPr>
                </pic:pic>
              </a:graphicData>
            </a:graphic>
          </wp:inline>
        </w:drawing>
      </w:r>
    </w:p>
    <w:p>
      <w:pPr>
        <w:jc w:val="center"/>
      </w:pPr>
      <w:r>
        <w:rPr>
          <w:rFonts w:ascii="Times New Roman" w:hAnsi="Times New Roman"/>
          <w:i/>
          <w:sz w:val="20"/>
        </w:rPr>
        <w:t>Figur 9. Silhouette-score for K = 2–7 (treningsdata, n = 389): K = 3 gir høyest score (0,383). Generert med støtte fra Claude (Anthropic, 2026).</w:t>
      </w:r>
    </w:p>
    <w:p>
      <w:pPr>
        <w:spacing w:line="360" w:lineRule="auto"/>
      </w:pPr>
      <m:oMath>
        <m:r>
          <m:t>K=3</m:t>
        </m:r>
      </m:oMath>
      <w:r>
        <w:rPr>
          <w:rFonts w:ascii="Times New Roman" w:hAnsi="Times New Roman" w:cs="Times New Roman"/>
          <w:sz w:val="24"/>
        </w:rPr>
        <w:t xml:space="preserve"> ga høyest silhouette-score på treningsdataene (0,383) og ble valgt som det endelige antallet klynger. For </w:t>
      </w:r>
      <m:oMath>
        <m:r>
          <m:t>K=2</m:t>
        </m:r>
      </m:oMath>
      <w:r>
        <w:rPr>
          <w:rFonts w:ascii="Times New Roman" w:hAnsi="Times New Roman" w:cs="Times New Roman"/>
          <w:sz w:val="24"/>
        </w:rPr>
        <w:t xml:space="preserve"> var silhouette-scoren 0,362, og for </w:t>
      </w:r>
      <m:oMath>
        <m:r>
          <m:t>K=4</m:t>
        </m:r>
      </m:oMath>
      <w:r>
        <w:rPr>
          <w:rFonts w:ascii="Times New Roman" w:hAnsi="Times New Roman" w:cs="Times New Roman"/>
          <w:sz w:val="24"/>
        </w:rPr>
        <w:t xml:space="preserve"> og oppover falt scoren monotont — noe som indikerer at tre klynger representerer den mest naturlige gruppestrukturen i featurerommet. Score over minstekravet på 0,3 indikerer en akseptabel klyngestruktur for eksplorativ analyse (Ketkar &amp; Vaidya, 2014). KMeans-modellen ble deretter trent endelig med </w:t>
      </w:r>
      <m:oMath>
        <m:r>
          <m:t>K=3</m:t>
        </m:r>
      </m:oMath>
      <w:r>
        <w:rPr>
          <w:rFonts w:ascii="Times New Roman" w:hAnsi="Times New Roman" w:cs="Times New Roman"/>
          <w:sz w:val="24"/>
        </w:rPr>
        <w:t xml:space="preserve"> på treningsdataene, med `n_init=50` og `max_iter=300` for robust initialisering. Etter trening ble testdataene (</w:t>
      </w:r>
      <m:oMath>
        <m:r>
          <m:t>n=n=98</m:t>
        </m:r>
      </m:oMath>
      <w:r>
        <w:rPr>
          <w:rFonts w:ascii="Times New Roman" w:hAnsi="Times New Roman" w:cs="Times New Roman"/>
          <w:sz w:val="24"/>
        </w:rPr>
        <w:t>) predikert til nærmeste sentroid, og silhouette-score ble beregnet separat for testsettet og sammenlignet med treningsresultatet som et mål på generaliserbarhet. Testsilhouetten (0,368) ligger tett opp til treningssilhouetten (0,383); differansen på 0,015 er godt innenfor det akseptable og gir tillit til at klyngestrukturen ikke er et artefakt av treningsdata alene.</w:t>
      </w:r>
    </w:p>
    <w:p>
      <w:pPr>
        <w:spacing w:line="360" w:lineRule="auto"/>
      </w:pPr>
      <w:r>
        <w:rPr>
          <w:rFonts w:ascii="Times New Roman" w:hAnsi="Times New Roman" w:cs="Times New Roman"/>
          <w:b/>
          <w:sz w:val="24"/>
        </w:rPr>
        <w:t>Klyngeprofiler.</w:t>
      </w:r>
      <w:r>
        <w:rPr>
          <w:rFonts w:ascii="Times New Roman" w:hAnsi="Times New Roman" w:cs="Times New Roman"/>
          <w:sz w:val="24"/>
        </w:rPr>
        <w:t xml:space="preserve"> Etter at KMeans-modellen var fittet på treningsdataene, ble samtlige 487 artikler med tilstrekkelig data predikert til én av de tre klyngene. Klyngene ble karakterisert langs de tre featuredimensjonene, og én klynge ble identifisert som K\_OVERFØR basert på lavest gjennomsnittlig CV (stabilt forbruksmønster) og høyest gjennomsnittlig artikkelverdi. Figur 10 visualiserer klyngestrukturen i en todimensjonal projeksjon langs de to mest informative featurene.</w:t>
      </w:r>
    </w:p>
    <w:p>
      <w:r>
        <w:drawing>
          <wp:inline xmlns:a="http://schemas.openxmlformats.org/drawingml/2006/main" xmlns:pic="http://schemas.openxmlformats.org/drawingml/2006/picture">
            <wp:extent cx="5400000" cy="2679344"/>
            <wp:docPr id="13" name="Picture 13"/>
            <wp:cNvGraphicFramePr>
              <a:graphicFrameLocks noChangeAspect="1"/>
            </wp:cNvGraphicFramePr>
            <a:graphic>
              <a:graphicData uri="http://schemas.openxmlformats.org/drawingml/2006/picture">
                <pic:pic>
                  <pic:nvPicPr>
                    <pic:cNvPr id="0" name="Fig09_Kmeans_Klynger.png"/>
                    <pic:cNvPicPr/>
                  </pic:nvPicPr>
                  <pic:blipFill>
                    <a:blip r:embed="rId31"/>
                    <a:stretch>
                      <a:fillRect/>
                    </a:stretch>
                  </pic:blipFill>
                  <pic:spPr>
                    <a:xfrm>
                      <a:off x="0" y="0"/>
                      <a:ext cx="5400000" cy="2679344"/>
                    </a:xfrm>
                    <a:prstGeom prst="rect"/>
                  </pic:spPr>
                </pic:pic>
              </a:graphicData>
            </a:graphic>
          </wp:inline>
        </w:drawing>
      </w:r>
    </w:p>
    <w:p>
      <w:pPr>
        <w:jc w:val="center"/>
      </w:pPr>
      <w:r>
        <w:rPr>
          <w:rFonts w:ascii="Times New Roman" w:hAnsi="Times New Roman"/>
          <w:i/>
          <w:sz w:val="20"/>
        </w:rPr>
        <w:t>Figur 10. K-means klyngeresultat (K = 3): artikler plottet langs z(ln CV) og z(ln verdi), farge etter klynge. K_OVERFØR-klyngen er markert med stjerne (★). Generert med støtte fra Claude (Anthropic, 2026).</w:t>
      </w:r>
    </w:p>
    <w:p>
      <w:pPr>
        <w:spacing w:line="360" w:lineRule="auto"/>
      </w:pPr>
      <w:r>
        <w:rPr>
          <w:rFonts w:ascii="Times New Roman" w:hAnsi="Times New Roman" w:cs="Times New Roman"/>
          <w:sz w:val="24"/>
        </w:rPr>
        <w:t>Figur 10 viser at de tre klyngene er rimelig separert i feature-rommet, særlig K\_OVERFØR-klyngen (grønn), som skiller seg fra de øvrige ved sin kombinasjon av lav CV og høy verdi. For å tolke innholdet i hver klynge viser Figur 11 gjennomsnittlig standardisert verdi per feature for de tre klyngene.</w:t>
      </w:r>
    </w:p>
    <w:p>
      <w:r>
        <w:drawing>
          <wp:inline xmlns:a="http://schemas.openxmlformats.org/drawingml/2006/main" xmlns:pic="http://schemas.openxmlformats.org/drawingml/2006/picture">
            <wp:extent cx="5400000" cy="2998537"/>
            <wp:docPr id="14" name="Picture 14"/>
            <wp:cNvGraphicFramePr>
              <a:graphicFrameLocks noChangeAspect="1"/>
            </wp:cNvGraphicFramePr>
            <a:graphic>
              <a:graphicData uri="http://schemas.openxmlformats.org/drawingml/2006/picture">
                <pic:pic>
                  <pic:nvPicPr>
                    <pic:cNvPr id="0" name="Fig10_Kmeans_Profil.png"/>
                    <pic:cNvPicPr/>
                  </pic:nvPicPr>
                  <pic:blipFill>
                    <a:blip r:embed="rId32"/>
                    <a:stretch>
                      <a:fillRect/>
                    </a:stretch>
                  </pic:blipFill>
                  <pic:spPr>
                    <a:xfrm>
                      <a:off x="0" y="0"/>
                      <a:ext cx="5400000" cy="2998537"/>
                    </a:xfrm>
                    <a:prstGeom prst="rect"/>
                  </pic:spPr>
                </pic:pic>
              </a:graphicData>
            </a:graphic>
          </wp:inline>
        </w:drawing>
      </w:r>
    </w:p>
    <w:p>
      <w:pPr>
        <w:jc w:val="center"/>
      </w:pPr>
      <w:r>
        <w:rPr>
          <w:rFonts w:ascii="Times New Roman" w:hAnsi="Times New Roman"/>
          <w:i/>
          <w:sz w:val="20"/>
        </w:rPr>
        <w:t>Figur 11. Klyngeprofiler for K-means (K=3): gjennomsnittlig z-score per feature per klynge. K\_OVERFØR-klyngen (grønn) kjennetegnes av lav CV og høy verdi. Generert med støtte fra Claude (Anthropic, 2026).</w:t>
      </w:r>
    </w:p>
    <w:p>
      <w:pPr>
        <w:spacing w:line="360" w:lineRule="auto"/>
      </w:pPr>
      <w:r>
        <w:rPr>
          <w:rFonts w:ascii="Times New Roman" w:hAnsi="Times New Roman" w:cs="Times New Roman"/>
          <w:sz w:val="24"/>
        </w:rPr>
        <w:t xml:space="preserve">Figur 11 bekrefter at K\_OVERFØR-klyngen (Klynge 3, </w:t>
      </w:r>
      <m:oMath>
        <m:r>
          <m:t>n=n=281</m:t>
        </m:r>
      </m:oMath>
      <w:r>
        <w:rPr>
          <w:rFonts w:ascii="Times New Roman" w:hAnsi="Times New Roman" w:cs="Times New Roman"/>
          <w:sz w:val="24"/>
        </w:rPr>
        <w:t>totalt: 227 tren + 54 test) har den laveste CV-verdien (stabil etterspørsel) og den høyeste verdiprofilen, mens Klynge 2 (</w:t>
      </w:r>
      <m:oMath>
        <m:r>
          <m:t>n=n=175</m:t>
        </m:r>
      </m:oMath>
      <w:r>
        <w:rPr>
          <w:rFonts w:ascii="Times New Roman" w:hAnsi="Times New Roman" w:cs="Times New Roman"/>
          <w:sz w:val="24"/>
        </w:rPr>
        <w:t>: 136 tren + 39 test) preges av høy CV og lavt kostnadsavvik. Klynge 1 (</w:t>
      </w:r>
      <m:oMath>
        <m:r>
          <m:t>n=n=31</m:t>
        </m:r>
      </m:oMath>
      <w:r>
        <w:rPr>
          <w:rFonts w:ascii="Times New Roman" w:hAnsi="Times New Roman" w:cs="Times New Roman"/>
          <w:sz w:val="24"/>
        </w:rPr>
        <w:t xml:space="preserve">: 26 tren + 5 test) er en liten gruppe med svært lav verdi. Fullstendige klyngeprofiler med gjennomsnittsverdier for CV, verdi og </w:t>
      </w:r>
      <m:oMath>
        <m:d>
          <m:dPr>
            <m:begChr m:val="|"/>
            <m:sepChr m:val=""/>
            <m:endChr m:val="|"/>
          </m:dPr>
          <m:e>
            <m:r>
              <m:t>Δ</m:t>
            </m:r>
            <m:r>
              <m:t>T</m:t>
            </m:r>
            <m:r>
              <m:t>C</m:t>
            </m:r>
          </m:e>
        </m:d>
      </m:oMath>
      <w:r>
        <w:rPr>
          <w:rFonts w:ascii="Times New Roman" w:hAnsi="Times New Roman" w:cs="Times New Roman"/>
          <w:sz w:val="24"/>
        </w:rPr>
        <w:t xml:space="preserve"> presenteres i Tabell 12 i kapittel 7.</w:t>
      </w:r>
    </w:p>
    <w:p>
      <w:pPr>
        <w:pStyle w:val="Overskrift2"/>
      </w:pPr>
      <w:r>
        <w:rPr>
          <w:rFonts w:ascii="Times New Roman" w:hAnsi="Times New Roman"/>
          <w:color w:val="000000"/>
          <w:sz w:val="32"/>
        </w:rPr>
        <w:t>6.5 Regelmotor og HVFS-scoring</w:t>
      </w:r>
    </w:p>
    <w:p>
      <w:pPr>
        <w:spacing w:line="360" w:lineRule="auto"/>
      </w:pPr>
      <w:r>
        <w:rPr>
          <w:rFonts w:ascii="Times New Roman" w:hAnsi="Times New Roman" w:cs="Times New Roman"/>
          <w:sz w:val="24"/>
        </w:rPr>
        <w:t>Regelmotoren ble kjørt sekvensielt på samtlige 709 artikler i den prioriterte rekkefølgen beskrevet i Tabell 7 (kap. 5). For hver artikkel ble inngangssignalene ABC-klasse, XYZ-klasse, EOQ-avviksstatus (FOR\_MANGE\_ORDRER) og K-means klyngetilhørighet (K\_OVERFØR) hentet fra de foregående analysemodulene. Den første regelen med treff avgjorde artiklens anbefaling; artikler uten treff på noen regel, typisk grunnet manglende CV- eller verdidata, ble tildelt kategorien MANGLER\_DATA.</w:t>
      </w:r>
    </w:p>
    <w:p>
      <w:pPr>
        <w:spacing w:line="360" w:lineRule="auto"/>
      </w:pPr>
      <w:r>
        <w:rPr>
          <w:rFonts w:ascii="Times New Roman" w:hAnsi="Times New Roman" w:cs="Times New Roman"/>
          <w:sz w:val="24"/>
        </w:rPr>
        <w:t xml:space="preserve">For alle artikler som fikk anbefalingen OVERFØR\_HVFS, ble besparelsesestimatet </w:t>
      </w:r>
      <m:oMath>
        <m:r>
          <m:t>ΔT</m:t>
        </m:r>
        <m:sSub>
          <m:e>
            <m:r>
              <m:t>C</m:t>
            </m:r>
          </m:e>
          <m:sub>
            <m:r>
              <m:t>i</m:t>
            </m:r>
          </m:sub>
        </m:sSub>
        <m:r>
          <m:t>·g</m:t>
        </m:r>
      </m:oMath>
      <w:r>
        <w:rPr>
          <w:rFonts w:ascii="Times New Roman" w:hAnsi="Times New Roman" w:cs="Times New Roman"/>
          <w:sz w:val="24"/>
        </w:rPr>
        <w:t xml:space="preserve"> beregnet for tre scenarier (worst: </w:t>
      </w:r>
      <m:oMath>
        <m:r>
          <m:t>g=50</m:t>
        </m:r>
        <m:r>
          <m:t>%</m:t>
        </m:r>
      </m:oMath>
      <w:r>
        <w:rPr>
          <w:rFonts w:ascii="Times New Roman" w:hAnsi="Times New Roman" w:cs="Times New Roman"/>
          <w:sz w:val="24"/>
        </w:rPr>
        <w:t xml:space="preserve">, base: </w:t>
      </w:r>
      <m:oMath>
        <m:r>
          <m:t>g=75</m:t>
        </m:r>
        <m:r>
          <m:t>%</m:t>
        </m:r>
      </m:oMath>
      <w:r>
        <w:rPr>
          <w:rFonts w:ascii="Times New Roman" w:hAnsi="Times New Roman" w:cs="Times New Roman"/>
          <w:sz w:val="24"/>
        </w:rPr>
        <w:t xml:space="preserve">, best: </w:t>
      </w:r>
      <m:oMath>
        <m:r>
          <m:t>g=100</m:t>
        </m:r>
        <m:r>
          <m:t>%</m:t>
        </m:r>
      </m:oMath>
      <w:r>
        <w:rPr>
          <w:rFonts w:ascii="Times New Roman" w:hAnsi="Times New Roman" w:cs="Times New Roman"/>
          <w:sz w:val="24"/>
        </w:rPr>
        <w:t xml:space="preserve">) i henhold til formelen i avsnitt 5.3. Det er viktig å presisere at kun artikler som både er i OVERFØR\_HVFS-kategorien </w:t>
      </w:r>
      <w:r>
        <w:rPr>
          <w:rFonts w:ascii="Times New Roman" w:hAnsi="Times New Roman" w:cs="Times New Roman"/>
          <w:i/>
          <w:sz w:val="24"/>
        </w:rPr>
        <w:t>og</w:t>
      </w:r>
      <w:r>
        <w:rPr>
          <w:rFonts w:ascii="Times New Roman" w:hAnsi="Times New Roman" w:cs="Times New Roman"/>
          <w:sz w:val="24"/>
        </w:rPr>
        <w:t xml:space="preserve"> har status FOR\_MANGE\_ORDRER inngår i besparelsesgrunnlaget, da </w:t>
      </w:r>
      <m:oMath>
        <m:r>
          <m:t>ΔT</m:t>
        </m:r>
        <m:sSub>
          <m:e>
            <m:r>
              <m:t>C</m:t>
            </m:r>
          </m:e>
          <m:sub>
            <m:r>
              <m:t>i</m:t>
            </m:r>
          </m:sub>
        </m:sSub>
      </m:oMath>
      <w:r>
        <w:rPr>
          <w:rFonts w:ascii="Times New Roman" w:hAnsi="Times New Roman" w:cs="Times New Roman"/>
          <w:sz w:val="24"/>
        </w:rPr>
        <w:t xml:space="preserve"> modellerer kostnadsavviket fra suboptimal ordrefrekvens — et avvik som adresseres direkte ved sentralisering til HVFS. Totalt inngår 117 artikler i dette grunnlaget.</w:t>
      </w:r>
    </w:p>
    <w:p>
      <w:pPr>
        <w:spacing w:line="360" w:lineRule="auto"/>
      </w:pPr>
      <w:r>
        <w:rPr>
          <w:rFonts w:ascii="Times New Roman" w:hAnsi="Times New Roman" w:cs="Times New Roman"/>
          <w:sz w:val="24"/>
        </w:rPr>
        <w:t xml:space="preserve">I tillegg til de tre scenariene ble det gjennomført en systematisk sensitivitetsanalyse med 27 kombinasjoner av </w:t>
      </w:r>
      <m:oMath>
        <m:r>
          <m:t>S</m:t>
        </m:r>
      </m:oMath>
      <w:r>
        <w:rPr>
          <w:rFonts w:ascii="Times New Roman" w:hAnsi="Times New Roman" w:cs="Times New Roman"/>
          <w:sz w:val="24"/>
        </w:rPr>
        <w:t xml:space="preserve">, </w:t>
      </w:r>
      <m:oMath>
        <m:r>
          <m:t>h</m:t>
        </m:r>
      </m:oMath>
      <w:r>
        <w:rPr>
          <w:rFonts w:ascii="Times New Roman" w:hAnsi="Times New Roman" w:cs="Times New Roman"/>
          <w:sz w:val="24"/>
        </w:rPr>
        <w:t xml:space="preserve"> og </w:t>
      </w:r>
      <m:oMath>
        <m:sSub>
          <m:e>
            <m:r>
              <m:t>τ</m:t>
            </m:r>
          </m:e>
          <m:sub>
            <m:r>
              <m:t>f</m:t>
            </m:r>
          </m:sub>
        </m:sSub>
      </m:oMath>
      <w:r>
        <w:rPr>
          <w:rFonts w:ascii="Times New Roman" w:hAnsi="Times New Roman" w:cs="Times New Roman"/>
          <w:sz w:val="24"/>
        </w:rPr>
        <w:t>, for å kartlegge robustheten av besparelsesestimatet overfor usikkerhet i modellantagelsene. Figur 12 viser den endelige fordelingen av regelmotor-anbefalinger og estimert EOQ-besparelse under tre scenarier, mens detaljerte besparelsestall og sensitivitetsintervaller presenteres i avsnitt 7.5–7.6.</w:t>
      </w:r>
    </w:p>
    <w:p>
      <w:r>
        <w:drawing>
          <wp:inline xmlns:a="http://schemas.openxmlformats.org/drawingml/2006/main" xmlns:pic="http://schemas.openxmlformats.org/drawingml/2006/picture">
            <wp:extent cx="5400000" cy="2238197"/>
            <wp:docPr id="15" name="Picture 15"/>
            <wp:cNvGraphicFramePr>
              <a:graphicFrameLocks noChangeAspect="1"/>
            </wp:cNvGraphicFramePr>
            <a:graphic>
              <a:graphicData uri="http://schemas.openxmlformats.org/drawingml/2006/picture">
                <pic:pic>
                  <pic:nvPicPr>
                    <pic:cNvPr id="0" name="Fig11_Regelmotor_Besparelse.png"/>
                    <pic:cNvPicPr/>
                  </pic:nvPicPr>
                  <pic:blipFill>
                    <a:blip r:embed="rId33"/>
                    <a:stretch>
                      <a:fillRect/>
                    </a:stretch>
                  </pic:blipFill>
                  <pic:spPr>
                    <a:xfrm>
                      <a:off x="0" y="0"/>
                      <a:ext cx="5400000" cy="2238197"/>
                    </a:xfrm>
                    <a:prstGeom prst="rect"/>
                  </pic:spPr>
                </pic:pic>
              </a:graphicData>
            </a:graphic>
          </wp:inline>
        </w:drawing>
      </w:r>
    </w:p>
    <w:p>
      <w:pPr>
        <w:jc w:val="center"/>
      </w:pPr>
      <w:r>
        <w:rPr>
          <w:rFonts w:ascii="Times New Roman" w:hAnsi="Times New Roman"/>
          <w:i/>
          <w:sz w:val="20"/>
        </w:rPr>
        <w:t>Figur 12. Regelmotor og besparelsesanalyse: fordeling av HVFS-anbefalinger (venstre) og estimert årlig EOQ-besparelse under tre realiseringsscenarier (høyre). 709 artikler, WERKS 3300 / LGORT 3001. Generert med støtte fra Claude (Anthropic, 2026).</w:t>
      </w:r>
    </w:p>
    <w:p>
      <w:pPr>
        <w:spacing w:line="360" w:lineRule="auto"/>
      </w:pPr>
      <w:r>
        <w:rPr>
          <w:rFonts w:ascii="Times New Roman" w:hAnsi="Times New Roman" w:cs="Times New Roman"/>
          <w:sz w:val="24"/>
        </w:rPr>
        <w:t>Figur 12 viser at 145 artikler (20,5 % av populasjonen) anbefales overført til HVFS, mens 257 artikler (36,2 %) beholdes lokalt basert på Z-klasse eller CY-kombinasjon. Kategorien VURDER NÆRMERE er den største enkeltgruppen med 284 artikler (40,1 %), noe som reflekterer at mange artikler har en profil der de ulike analysene ikke gir entydige signaler. Dette er et forventet utfall gitt at regelmotoren er utformet for å unngå feilaktige overføringsanbefalinger: usikre tilfeller sendes til manuell vurdering fremfor å tvinges inn i en binær beslutning. Fordelingen av anbefalinger per regel er som følger: R1 (Z-override) fanget 143 artikler, R2 (CY) fanget 114, R3 (A/B + X + FOR\_MANGE) fanget 71, R4 (A/B + X + K\_OVERFØR) fanget 18, R5 (A/B + Y + K\_OVERFØR) fanget 56, og R6–R8 sendte de resterende 284 artiklene til manuell vurdering. At VURDER\_NÆRMERE er den største enkeltgruppen er et bevisst designvalg: regelmotoren er utformet for høy presisjon i OVERFØR-anbefalingene, og aksepterer at dette medfører en større andel artikler som krever manuell gjennomgang. Fullstendige resultat- og besparelsestabeller presenteres i kapittel 7.</w:t>
      </w:r>
    </w:p>
    <w:p>
      <w:pPr>
        <w:pStyle w:val="Overskrift1"/>
        <w:pageBreakBefore w:val="true"/>
      </w:pPr>
      <w:r>
        <w:rPr>
          <w:rFonts w:ascii="Times New Roman" w:hAnsi="Times New Roman"/>
          <w:color w:val="000000"/>
          <w:sz w:val="36"/>
        </w:rPr>
        <w:t>Kapittel 7 – Resultater</w:t>
      </w:r>
    </w:p>
    <w:p>
      <w:pPr>
        <w:pStyle w:val="Overskrift2"/>
      </w:pPr>
      <w:r>
        <w:rPr>
          <w:rFonts w:ascii="Times New Roman" w:hAnsi="Times New Roman"/>
          <w:color w:val="000000"/>
          <w:sz w:val="32"/>
        </w:rPr>
        <w:t>7.1 ABC-resultater</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192"/>
        <w:gridCol w:w="2192"/>
        <w:gridCol w:w="2192"/>
        <w:gridCol w:w="2192"/>
      </w:tblGrid>
      <w:tr>
        <w:tc>
          <w:tcPr>
            <w:tcW w:type="dxa" w:w="2192"/>
            <w:tcBorders>
              <w:top w:val="single" w:sz="8" w:space="0" w:color="000000"/>
              <w:bottom w:val="single" w:sz="4" w:space="0" w:color="000000"/>
              <w:left w:val="nil"/>
              <w:right w:val="nil"/>
            </w:tcBorders>
          </w:tcPr>
          <w:p>
            <w:r/>
            <w:r>
              <w:rPr>
                <w:rFonts w:ascii="Times New Roman" w:hAnsi="Times New Roman"/>
                <w:b/>
                <w:sz w:val="22"/>
              </w:rPr>
              <w:t>Klasse</w:t>
            </w:r>
          </w:p>
        </w:tc>
        <w:tc>
          <w:tcPr>
            <w:tcW w:type="dxa" w:w="2192"/>
            <w:tcBorders>
              <w:top w:val="single" w:sz="8" w:space="0" w:color="000000"/>
              <w:bottom w:val="single" w:sz="4" w:space="0" w:color="000000"/>
              <w:left w:val="nil"/>
              <w:right w:val="nil"/>
            </w:tcBorders>
          </w:tcPr>
          <w:p>
            <w:r/>
            <w:r>
              <w:rPr>
                <w:rFonts w:ascii="Times New Roman" w:hAnsi="Times New Roman"/>
                <w:b/>
                <w:sz w:val="22"/>
              </w:rPr>
              <w:t>Antall artikler</w:t>
            </w:r>
          </w:p>
        </w:tc>
        <w:tc>
          <w:tcPr>
            <w:tcW w:type="dxa" w:w="2192"/>
            <w:tcBorders>
              <w:top w:val="single" w:sz="8" w:space="0" w:color="000000"/>
              <w:bottom w:val="single" w:sz="4" w:space="0" w:color="000000"/>
              <w:left w:val="nil"/>
              <w:right w:val="nil"/>
            </w:tcBorders>
          </w:tcPr>
          <w:p>
            <w:r/>
            <w:r>
              <w:rPr>
                <w:rFonts w:ascii="Times New Roman" w:hAnsi="Times New Roman"/>
                <w:b/>
                <w:sz w:val="22"/>
              </w:rPr>
              <w:t>Andel av populasjon</w:t>
            </w:r>
          </w:p>
        </w:tc>
        <w:tc>
          <w:tcPr>
            <w:tcW w:type="dxa" w:w="2192"/>
            <w:tcBorders>
              <w:top w:val="single" w:sz="8" w:space="0" w:color="000000"/>
              <w:bottom w:val="single" w:sz="4" w:space="0" w:color="000000"/>
              <w:left w:val="nil"/>
              <w:right w:val="nil"/>
            </w:tcBorders>
          </w:tcPr>
          <w:p>
            <w:r/>
            <w:r>
              <w:rPr>
                <w:rFonts w:ascii="Times New Roman" w:hAnsi="Times New Roman"/>
                <w:b/>
                <w:sz w:val="22"/>
              </w:rPr>
              <w:t>Kumulativ verdiandel</w:t>
            </w:r>
          </w:p>
        </w:tc>
      </w:tr>
      <w:tr>
        <w:tc>
          <w:tcPr>
            <w:tcW w:type="dxa" w:w="2192"/>
          </w:tcPr>
          <w:p>
            <w:r/>
            <w:r>
              <w:rPr>
                <w:rFonts w:ascii="Times New Roman" w:hAnsi="Times New Roman"/>
                <w:sz w:val="22"/>
              </w:rPr>
              <w:t>A</w:t>
            </w:r>
          </w:p>
        </w:tc>
        <w:tc>
          <w:tcPr>
            <w:tcW w:type="dxa" w:w="2192"/>
          </w:tcPr>
          <w:p>
            <w:r/>
            <w:r>
              <w:rPr>
                <w:rFonts w:ascii="Times New Roman" w:hAnsi="Times New Roman"/>
                <w:sz w:val="22"/>
              </w:rPr>
              <w:t>182</w:t>
            </w:r>
          </w:p>
        </w:tc>
        <w:tc>
          <w:tcPr>
            <w:tcW w:type="dxa" w:w="2192"/>
          </w:tcPr>
          <w:p>
            <w:r/>
            <w:r>
              <w:rPr>
                <w:rFonts w:ascii="Times New Roman" w:hAnsi="Times New Roman"/>
                <w:sz w:val="22"/>
              </w:rPr>
              <w:t>25,7 %</w:t>
            </w:r>
          </w:p>
        </w:tc>
        <w:tc>
          <w:tcPr>
            <w:tcW w:type="dxa" w:w="2192"/>
          </w:tcPr>
          <w:p>
            <w:r/>
            <w:r>
              <w:rPr>
                <w:rFonts w:ascii="Times New Roman" w:hAnsi="Times New Roman"/>
                <w:sz w:val="22"/>
              </w:rPr>
              <w:t>0–80 %</w:t>
            </w:r>
          </w:p>
        </w:tc>
      </w:tr>
      <w:tr>
        <w:tc>
          <w:tcPr>
            <w:tcW w:type="dxa" w:w="2192"/>
          </w:tcPr>
          <w:p>
            <w:r/>
            <w:r>
              <w:rPr>
                <w:rFonts w:ascii="Times New Roman" w:hAnsi="Times New Roman"/>
                <w:sz w:val="22"/>
              </w:rPr>
              <w:t>B</w:t>
            </w:r>
          </w:p>
        </w:tc>
        <w:tc>
          <w:tcPr>
            <w:tcW w:type="dxa" w:w="2192"/>
          </w:tcPr>
          <w:p>
            <w:r/>
            <w:r>
              <w:rPr>
                <w:rFonts w:ascii="Times New Roman" w:hAnsi="Times New Roman"/>
                <w:sz w:val="22"/>
              </w:rPr>
              <w:t>184</w:t>
            </w:r>
          </w:p>
        </w:tc>
        <w:tc>
          <w:tcPr>
            <w:tcW w:type="dxa" w:w="2192"/>
          </w:tcPr>
          <w:p>
            <w:r/>
            <w:r>
              <w:rPr>
                <w:rFonts w:ascii="Times New Roman" w:hAnsi="Times New Roman"/>
                <w:sz w:val="22"/>
              </w:rPr>
              <w:t>26,0 %</w:t>
            </w:r>
          </w:p>
        </w:tc>
        <w:tc>
          <w:tcPr>
            <w:tcW w:type="dxa" w:w="2192"/>
          </w:tcPr>
          <w:p>
            <w:r/>
            <w:r>
              <w:rPr>
                <w:rFonts w:ascii="Times New Roman" w:hAnsi="Times New Roman"/>
                <w:sz w:val="22"/>
              </w:rPr>
              <w:t>80–95 %</w:t>
            </w:r>
          </w:p>
        </w:tc>
      </w:tr>
      <w:tr>
        <w:tc>
          <w:tcPr>
            <w:tcW w:type="dxa" w:w="2192"/>
          </w:tcPr>
          <w:p>
            <w:r/>
            <w:r>
              <w:rPr>
                <w:rFonts w:ascii="Times New Roman" w:hAnsi="Times New Roman"/>
                <w:sz w:val="22"/>
              </w:rPr>
              <w:t>C</w:t>
            </w:r>
          </w:p>
        </w:tc>
        <w:tc>
          <w:tcPr>
            <w:tcW w:type="dxa" w:w="2192"/>
          </w:tcPr>
          <w:p>
            <w:r/>
            <w:r>
              <w:rPr>
                <w:rFonts w:ascii="Times New Roman" w:hAnsi="Times New Roman"/>
                <w:sz w:val="22"/>
              </w:rPr>
              <w:t>338</w:t>
            </w:r>
          </w:p>
        </w:tc>
        <w:tc>
          <w:tcPr>
            <w:tcW w:type="dxa" w:w="2192"/>
          </w:tcPr>
          <w:p>
            <w:r/>
            <w:r>
              <w:rPr>
                <w:rFonts w:ascii="Times New Roman" w:hAnsi="Times New Roman"/>
                <w:sz w:val="22"/>
              </w:rPr>
              <w:t>47,7 %</w:t>
            </w:r>
          </w:p>
        </w:tc>
        <w:tc>
          <w:tcPr>
            <w:tcW w:type="dxa" w:w="2192"/>
          </w:tcPr>
          <w:p>
            <w:r/>
            <w:r>
              <w:rPr>
                <w:rFonts w:ascii="Times New Roman" w:hAnsi="Times New Roman"/>
                <w:sz w:val="22"/>
              </w:rPr>
              <w:t>95–100 %</w:t>
            </w:r>
          </w:p>
        </w:tc>
      </w:tr>
      <w:tr>
        <w:tc>
          <w:tcPr>
            <w:tcW w:type="dxa" w:w="2192"/>
          </w:tcPr>
          <w:p>
            <w:r/>
            <w:r>
              <w:rPr>
                <w:rFonts w:ascii="Times New Roman" w:hAnsi="Times New Roman"/>
                <w:sz w:val="22"/>
              </w:rPr>
              <w:t>Ikke klassifisert</w:t>
            </w:r>
          </w:p>
        </w:tc>
        <w:tc>
          <w:tcPr>
            <w:tcW w:type="dxa" w:w="2192"/>
          </w:tcPr>
          <w:p>
            <w:r/>
            <w:r>
              <w:rPr>
                <w:rFonts w:ascii="Times New Roman" w:hAnsi="Times New Roman"/>
                <w:sz w:val="22"/>
              </w:rPr>
              <w:t>5</w:t>
            </w:r>
          </w:p>
        </w:tc>
        <w:tc>
          <w:tcPr>
            <w:tcW w:type="dxa" w:w="2192"/>
          </w:tcPr>
          <w:p>
            <w:r/>
            <w:r>
              <w:rPr>
                <w:rFonts w:ascii="Times New Roman" w:hAnsi="Times New Roman"/>
                <w:sz w:val="22"/>
              </w:rPr>
              <w:t>0,7 %</w:t>
            </w:r>
          </w:p>
        </w:tc>
        <w:tc>
          <w:tcPr>
            <w:tcW w:type="dxa" w:w="2192"/>
          </w:tcPr>
          <w:p>
            <w:r/>
            <w:r>
              <w:rPr>
                <w:rFonts w:ascii="Times New Roman" w:hAnsi="Times New Roman"/>
                <w:sz w:val="22"/>
              </w:rPr>
              <w:t>Mangler verdidata</w:t>
            </w:r>
          </w:p>
        </w:tc>
      </w:tr>
      <w:tr>
        <w:tc>
          <w:tcPr>
            <w:tcW w:type="dxa" w:w="2192"/>
          </w:tcPr>
          <w:p>
            <w:r/>
            <w:r>
              <w:rPr>
                <w:rFonts w:ascii="Times New Roman" w:hAnsi="Times New Roman"/>
                <w:sz w:val="22"/>
              </w:rPr>
              <w:t>Totalt</w:t>
            </w:r>
          </w:p>
        </w:tc>
        <w:tc>
          <w:tcPr>
            <w:tcW w:type="dxa" w:w="2192"/>
          </w:tcPr>
          <w:p>
            <w:r/>
            <w:r>
              <w:rPr>
                <w:rFonts w:ascii="Times New Roman" w:hAnsi="Times New Roman"/>
                <w:sz w:val="22"/>
              </w:rPr>
              <w:t>709</w:t>
            </w:r>
          </w:p>
        </w:tc>
        <w:tc>
          <w:tcPr>
            <w:tcW w:type="dxa" w:w="2192"/>
          </w:tcPr>
          <w:p>
            <w:r/>
            <w:r>
              <w:rPr>
                <w:rFonts w:ascii="Times New Roman" w:hAnsi="Times New Roman"/>
                <w:sz w:val="22"/>
              </w:rPr>
              <w:t>100 %</w:t>
            </w:r>
          </w:p>
        </w:tc>
        <w:tc>
          <w:tcPr>
            <w:tcW w:type="dxa" w:w="2192"/>
          </w:tcPr>
          <w:p>
            <w:r/>
            <w:r>
              <w:rPr>
                <w:rFonts w:ascii="Times New Roman" w:hAnsi="Times New Roman"/>
                <w:sz w:val="22"/>
              </w:rPr>
            </w:r>
          </w:p>
        </w:tc>
      </w:tr>
    </w:tbl>
    <w:p>
      <w:r>
        <w:rPr>
          <w:rFonts w:ascii="Times New Roman" w:hAnsi="Times New Roman"/>
          <w:i/>
          <w:sz w:val="20"/>
        </w:rPr>
        <w:t>Tabell 8. ABC-fordeling: antall artikler og verdiandel per klasse (n = 709).</w:t>
      </w:r>
    </w:p>
    <w:p>
      <w:pPr>
        <w:spacing w:line="360" w:lineRule="auto"/>
      </w:pPr>
      <w:r>
        <w:rPr>
          <w:rFonts w:ascii="Times New Roman" w:hAnsi="Times New Roman" w:cs="Times New Roman"/>
          <w:sz w:val="24"/>
        </w:rPr>
        <w:t>Fordelingen viser et tydelig Pareto-mønster: A- og B-artiklene (366 artikler, 51,6 %) står for ~95 % av verdibindingen, mens 338 C-artikler (47,7 %) dekker de resterende 5 %. A-klassens andel på 25,7 % er noe høyere enn den kanoniske 20 %-regelen, men konsistent med sykehussortiment der få høyverdige artikler dominerer. Pareto-kurven er presentert som Figur 6 i kapittel 6.</w:t>
      </w:r>
    </w:p>
    <w:p>
      <w:pPr>
        <w:pStyle w:val="Overskrift2"/>
      </w:pPr>
      <w:r>
        <w:rPr>
          <w:rFonts w:ascii="Times New Roman" w:hAnsi="Times New Roman"/>
          <w:color w:val="000000"/>
          <w:sz w:val="32"/>
        </w:rPr>
        <w:t>7.2 XYZ-resultater</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192"/>
        <w:gridCol w:w="2192"/>
        <w:gridCol w:w="2192"/>
        <w:gridCol w:w="2192"/>
      </w:tblGrid>
      <w:tr>
        <w:tc>
          <w:tcPr>
            <w:tcW w:type="dxa" w:w="2192"/>
            <w:tcBorders>
              <w:top w:val="single" w:sz="8" w:space="0" w:color="000000"/>
              <w:bottom w:val="single" w:sz="4" w:space="0" w:color="000000"/>
              <w:left w:val="nil"/>
              <w:right w:val="nil"/>
            </w:tcBorders>
          </w:tcPr>
          <w:p>
            <w:r/>
            <w:r>
              <w:rPr>
                <w:rFonts w:ascii="Times New Roman" w:hAnsi="Times New Roman"/>
                <w:b/>
                <w:sz w:val="22"/>
              </w:rPr>
              <w:t>Klasse</w:t>
            </w:r>
          </w:p>
        </w:tc>
        <w:tc>
          <w:tcPr>
            <w:tcW w:type="dxa" w:w="2192"/>
            <w:tcBorders>
              <w:top w:val="single" w:sz="8" w:space="0" w:color="000000"/>
              <w:bottom w:val="single" w:sz="4" w:space="0" w:color="000000"/>
              <w:left w:val="nil"/>
              <w:right w:val="nil"/>
            </w:tcBorders>
          </w:tcPr>
          <w:p>
            <w:r/>
            <w:r>
              <w:rPr>
                <w:rFonts w:ascii="Times New Roman" w:hAnsi="Times New Roman"/>
                <w:b/>
                <w:sz w:val="22"/>
              </w:rPr>
              <w:t>CV-grense</w:t>
            </w:r>
          </w:p>
        </w:tc>
        <w:tc>
          <w:tcPr>
            <w:tcW w:type="dxa" w:w="2192"/>
            <w:tcBorders>
              <w:top w:val="single" w:sz="8" w:space="0" w:color="000000"/>
              <w:bottom w:val="single" w:sz="4" w:space="0" w:color="000000"/>
              <w:left w:val="nil"/>
              <w:right w:val="nil"/>
            </w:tcBorders>
          </w:tcPr>
          <w:p>
            <w:r/>
            <w:r>
              <w:rPr>
                <w:rFonts w:ascii="Times New Roman" w:hAnsi="Times New Roman"/>
                <w:b/>
                <w:sz w:val="22"/>
              </w:rPr>
              <w:t>Antall</w:t>
            </w:r>
          </w:p>
        </w:tc>
        <w:tc>
          <w:tcPr>
            <w:tcW w:type="dxa" w:w="2192"/>
            <w:tcBorders>
              <w:top w:val="single" w:sz="8" w:space="0" w:color="000000"/>
              <w:bottom w:val="single" w:sz="4" w:space="0" w:color="000000"/>
              <w:left w:val="nil"/>
              <w:right w:val="nil"/>
            </w:tcBorders>
          </w:tcPr>
          <w:p>
            <w:r/>
            <w:r>
              <w:rPr>
                <w:rFonts w:ascii="Times New Roman" w:hAnsi="Times New Roman"/>
                <w:b/>
                <w:sz w:val="22"/>
              </w:rPr>
              <w:t>Andel</w:t>
            </w:r>
          </w:p>
        </w:tc>
      </w:tr>
      <w:tr>
        <w:tc>
          <w:tcPr>
            <w:tcW w:type="dxa" w:w="2192"/>
          </w:tcPr>
          <w:p>
            <w:r/>
            <w:r>
              <w:rPr>
                <w:rFonts w:ascii="Times New Roman" w:hAnsi="Times New Roman"/>
                <w:sz w:val="22"/>
              </w:rPr>
              <w:t>X (stabilt)</w:t>
            </w:r>
          </w:p>
        </w:tc>
        <w:tc>
          <w:tcPr>
            <w:tcW w:type="dxa" w:w="2192"/>
          </w:tcPr>
          <w:p>
            <w:r/>
            <w:r>
              <w:rPr>
                <w:rFonts w:ascii="Times New Roman" w:hAnsi="Times New Roman"/>
                <w:sz w:val="22"/>
              </w:rPr>
              <w:t>CV &lt; 0,5</w:t>
            </w:r>
          </w:p>
        </w:tc>
        <w:tc>
          <w:tcPr>
            <w:tcW w:type="dxa" w:w="2192"/>
          </w:tcPr>
          <w:p>
            <w:r/>
            <w:r>
              <w:rPr>
                <w:rFonts w:ascii="Times New Roman" w:hAnsi="Times New Roman"/>
                <w:sz w:val="22"/>
              </w:rPr>
              <w:t>350</w:t>
            </w:r>
          </w:p>
        </w:tc>
        <w:tc>
          <w:tcPr>
            <w:tcW w:type="dxa" w:w="2192"/>
          </w:tcPr>
          <w:p>
            <w:r/>
            <w:r>
              <w:rPr>
                <w:rFonts w:ascii="Times New Roman" w:hAnsi="Times New Roman"/>
                <w:sz w:val="22"/>
              </w:rPr>
              <w:t>50,9 %</w:t>
            </w:r>
          </w:p>
        </w:tc>
      </w:tr>
      <w:tr>
        <w:tc>
          <w:tcPr>
            <w:tcW w:type="dxa" w:w="2192"/>
          </w:tcPr>
          <w:p>
            <w:r/>
            <w:r>
              <w:rPr>
                <w:rFonts w:ascii="Times New Roman" w:hAnsi="Times New Roman"/>
                <w:sz w:val="22"/>
              </w:rPr>
              <w:t>Y (moderat)</w:t>
            </w:r>
          </w:p>
        </w:tc>
        <w:tc>
          <w:tcPr>
            <w:tcW w:type="dxa" w:w="2192"/>
          </w:tcPr>
          <w:p>
            <w:r/>
            <w:r>
              <w:rPr>
                <w:rFonts w:ascii="Times New Roman" w:hAnsi="Times New Roman"/>
                <w:sz w:val="22"/>
              </w:rPr>
              <w:t>0,5 ≤ CV &lt; 1,0</w:t>
            </w:r>
          </w:p>
        </w:tc>
        <w:tc>
          <w:tcPr>
            <w:tcW w:type="dxa" w:w="2192"/>
          </w:tcPr>
          <w:p>
            <w:r/>
            <w:r>
              <w:rPr>
                <w:rFonts w:ascii="Times New Roman" w:hAnsi="Times New Roman"/>
                <w:sz w:val="22"/>
              </w:rPr>
              <w:t>193</w:t>
            </w:r>
          </w:p>
        </w:tc>
        <w:tc>
          <w:tcPr>
            <w:tcW w:type="dxa" w:w="2192"/>
          </w:tcPr>
          <w:p>
            <w:r/>
            <w:r>
              <w:rPr>
                <w:rFonts w:ascii="Times New Roman" w:hAnsi="Times New Roman"/>
                <w:sz w:val="22"/>
              </w:rPr>
              <w:t>28,1 %</w:t>
            </w:r>
          </w:p>
        </w:tc>
      </w:tr>
      <w:tr>
        <w:tc>
          <w:tcPr>
            <w:tcW w:type="dxa" w:w="2192"/>
          </w:tcPr>
          <w:p>
            <w:r/>
            <w:r>
              <w:rPr>
                <w:rFonts w:ascii="Times New Roman" w:hAnsi="Times New Roman"/>
                <w:sz w:val="22"/>
              </w:rPr>
              <w:t>Z (uregelmessig)</w:t>
            </w:r>
          </w:p>
        </w:tc>
        <w:tc>
          <w:tcPr>
            <w:tcW w:type="dxa" w:w="2192"/>
          </w:tcPr>
          <w:p>
            <w:r/>
            <w:r>
              <w:rPr>
                <w:rFonts w:ascii="Times New Roman" w:hAnsi="Times New Roman"/>
                <w:sz w:val="22"/>
              </w:rPr>
              <w:t>CV ≥ 1,0</w:t>
            </w:r>
          </w:p>
        </w:tc>
        <w:tc>
          <w:tcPr>
            <w:tcW w:type="dxa" w:w="2192"/>
          </w:tcPr>
          <w:p>
            <w:r/>
            <w:r>
              <w:rPr>
                <w:rFonts w:ascii="Times New Roman" w:hAnsi="Times New Roman"/>
                <w:sz w:val="22"/>
              </w:rPr>
              <w:t>144</w:t>
            </w:r>
          </w:p>
        </w:tc>
        <w:tc>
          <w:tcPr>
            <w:tcW w:type="dxa" w:w="2192"/>
          </w:tcPr>
          <w:p>
            <w:r/>
            <w:r>
              <w:rPr>
                <w:rFonts w:ascii="Times New Roman" w:hAnsi="Times New Roman"/>
                <w:sz w:val="22"/>
              </w:rPr>
              <w:t>20,9 %</w:t>
            </w:r>
          </w:p>
        </w:tc>
      </w:tr>
      <w:tr>
        <w:tc>
          <w:tcPr>
            <w:tcW w:type="dxa" w:w="2192"/>
          </w:tcPr>
          <w:p>
            <w:r/>
            <w:r>
              <w:rPr>
                <w:rFonts w:ascii="Times New Roman" w:hAnsi="Times New Roman"/>
                <w:sz w:val="22"/>
              </w:rPr>
              <w:t>Ikke klassifisert</w:t>
            </w:r>
          </w:p>
        </w:tc>
        <w:tc>
          <w:tcPr>
            <w:tcW w:type="dxa" w:w="2192"/>
          </w:tcPr>
          <w:p>
            <w:r/>
            <w:r>
              <w:rPr>
                <w:rFonts w:ascii="Times New Roman" w:hAnsi="Times New Roman"/>
                <w:sz w:val="22"/>
              </w:rPr>
              <w:t>—</w:t>
            </w:r>
          </w:p>
        </w:tc>
        <w:tc>
          <w:tcPr>
            <w:tcW w:type="dxa" w:w="2192"/>
          </w:tcPr>
          <w:p>
            <w:r/>
            <w:r>
              <w:rPr>
                <w:rFonts w:ascii="Times New Roman" w:hAnsi="Times New Roman"/>
                <w:sz w:val="22"/>
              </w:rPr>
              <w:t>22</w:t>
            </w:r>
          </w:p>
        </w:tc>
        <w:tc>
          <w:tcPr>
            <w:tcW w:type="dxa" w:w="2192"/>
          </w:tcPr>
          <w:p>
            <w:r/>
            <w:r>
              <w:rPr>
                <w:rFonts w:ascii="Times New Roman" w:hAnsi="Times New Roman"/>
                <w:sz w:val="22"/>
              </w:rPr>
              <w:t>—</w:t>
            </w:r>
          </w:p>
        </w:tc>
      </w:tr>
    </w:tbl>
    <w:p>
      <w:r>
        <w:rPr>
          <w:rFonts w:ascii="Times New Roman" w:hAnsi="Times New Roman"/>
          <w:i/>
          <w:sz w:val="20"/>
        </w:rPr>
        <w:t>Tabell 9. XYZ-fordeling: antall artikler per klasse (n = 687 klassifiserte).</w:t>
      </w:r>
    </w:p>
    <w:p>
      <w:pPr>
        <w:spacing w:line="360" w:lineRule="auto"/>
      </w:pPr>
      <w:r>
        <w:rPr>
          <w:rFonts w:ascii="Times New Roman" w:hAnsi="Times New Roman" w:cs="Times New Roman"/>
          <w:sz w:val="24"/>
        </w:rPr>
        <w:t>350 artikler (50,9 % av klassifiserte) har stabilt forbruksmønster (X), 193 artikler (28,1 %) har moderat variasjon (Y), og 144 artikler (20,9 %) har uregelmessig forbruk (Z). At over halvparten av artiklene faller i X-kategorien er positivt for HVFS-sentralisering, da stabilt forbruk er en forutsetning for APL-leveransemodellen. De 22 ikke-klassifiserte artiklene mangler tilstrekkelig forbrukshistorikk i MSEG (færre enn tre måneder med registrert forbruk) og er ekskludert fra XYZ-analysen for å unngå misvisende CV-estimater.</w:t>
      </w:r>
    </w:p>
    <w:p>
      <w:pPr>
        <w:spacing w:line="360" w:lineRule="auto"/>
      </w:pPr>
      <w:r>
        <w:rPr>
          <w:rFonts w:ascii="Times New Roman" w:hAnsi="Times New Roman" w:cs="Times New Roman"/>
          <w:sz w:val="24"/>
        </w:rPr>
        <w:t>Sammenligningen med SAP-feltet ZZXYZ viste 33 % samsvar mellom systemregistrert og beregnet klasse (125 av 375 artikler med data i begge kilder). Valideringen er begrenset til de 375 artiklene der ZZXYZ-feltet er utfylt i MDMA; for de øvrige 334 artiklene mangler systemklassifisering. Tabell 10 oppsummerer kryssvalideringen. Det lave samsvaret på 33 % understreker at SAP-feltets ZZXYZ ikke er systematisk oppdatert og bør erstattes med beregnet CV-klasse som primær XYZ-indikator. ABC/XYZ-kryssmatrisen er presentert som Figur 7 i kapittel 6; fullstendige celleantall er gjengitt der.</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1754"/>
        <w:gridCol w:w="1754"/>
        <w:gridCol w:w="1754"/>
        <w:gridCol w:w="1754"/>
        <w:gridCol w:w="1754"/>
      </w:tblGrid>
      <w:tr>
        <w:tc>
          <w:tcPr>
            <w:tcW w:type="dxa" w:w="1754"/>
            <w:tcBorders>
              <w:top w:val="single" w:sz="8" w:space="0" w:color="000000"/>
              <w:bottom w:val="single" w:sz="4" w:space="0" w:color="000000"/>
              <w:left w:val="nil"/>
              <w:right w:val="nil"/>
            </w:tcBorders>
          </w:tcPr>
          <w:p>
            <w:r/>
            <w:r>
              <w:rPr>
                <w:rFonts w:ascii="Times New Roman" w:hAnsi="Times New Roman"/>
                <w:b/>
                <w:sz w:val="22"/>
              </w:rPr>
            </w:r>
          </w:p>
        </w:tc>
        <w:tc>
          <w:tcPr>
            <w:tcW w:type="dxa" w:w="1754"/>
            <w:tcBorders>
              <w:top w:val="single" w:sz="8" w:space="0" w:color="000000"/>
              <w:bottom w:val="single" w:sz="4" w:space="0" w:color="000000"/>
              <w:left w:val="nil"/>
              <w:right w:val="nil"/>
            </w:tcBorders>
          </w:tcPr>
          <w:p>
            <w:r/>
            <w:r>
              <w:rPr>
                <w:rFonts w:ascii="Times New Roman" w:hAnsi="Times New Roman"/>
                <w:b/>
                <w:sz w:val="22"/>
              </w:rPr>
              <w:t>Beregnet X</w:t>
            </w:r>
          </w:p>
        </w:tc>
        <w:tc>
          <w:tcPr>
            <w:tcW w:type="dxa" w:w="1754"/>
            <w:tcBorders>
              <w:top w:val="single" w:sz="8" w:space="0" w:color="000000"/>
              <w:bottom w:val="single" w:sz="4" w:space="0" w:color="000000"/>
              <w:left w:val="nil"/>
              <w:right w:val="nil"/>
            </w:tcBorders>
          </w:tcPr>
          <w:p>
            <w:r/>
            <w:r>
              <w:rPr>
                <w:rFonts w:ascii="Times New Roman" w:hAnsi="Times New Roman"/>
                <w:b/>
                <w:sz w:val="22"/>
              </w:rPr>
              <w:t>Beregnet Y</w:t>
            </w:r>
          </w:p>
        </w:tc>
        <w:tc>
          <w:tcPr>
            <w:tcW w:type="dxa" w:w="1754"/>
            <w:tcBorders>
              <w:top w:val="single" w:sz="8" w:space="0" w:color="000000"/>
              <w:bottom w:val="single" w:sz="4" w:space="0" w:color="000000"/>
              <w:left w:val="nil"/>
              <w:right w:val="nil"/>
            </w:tcBorders>
          </w:tcPr>
          <w:p>
            <w:r/>
            <w:r>
              <w:rPr>
                <w:rFonts w:ascii="Times New Roman" w:hAnsi="Times New Roman"/>
                <w:b/>
                <w:sz w:val="22"/>
              </w:rPr>
              <w:t>Beregnet Z</w:t>
            </w:r>
          </w:p>
        </w:tc>
        <w:tc>
          <w:tcPr>
            <w:tcW w:type="dxa" w:w="1754"/>
            <w:tcBorders>
              <w:top w:val="single" w:sz="8" w:space="0" w:color="000000"/>
              <w:bottom w:val="single" w:sz="4" w:space="0" w:color="000000"/>
              <w:left w:val="nil"/>
              <w:right w:val="nil"/>
            </w:tcBorders>
          </w:tcPr>
          <w:p>
            <w:r/>
            <w:r>
              <w:rPr>
                <w:rFonts w:ascii="Times New Roman" w:hAnsi="Times New Roman"/>
                <w:b/>
                <w:sz w:val="22"/>
              </w:rPr>
              <w:t>Sum</w:t>
            </w:r>
          </w:p>
        </w:tc>
      </w:tr>
      <w:tr>
        <w:tc>
          <w:tcPr>
            <w:tcW w:type="dxa" w:w="1754"/>
          </w:tcPr>
          <w:p>
            <w:r/>
            <w:r>
              <w:rPr>
                <w:rFonts w:ascii="Times New Roman" w:hAnsi="Times New Roman"/>
                <w:sz w:val="22"/>
              </w:rPr>
              <w:t>SAP X</w:t>
            </w:r>
          </w:p>
        </w:tc>
        <w:tc>
          <w:tcPr>
            <w:tcW w:type="dxa" w:w="1754"/>
          </w:tcPr>
          <w:p>
            <w:r/>
            <w:r>
              <w:rPr>
                <w:rFonts w:ascii="Times New Roman" w:hAnsi="Times New Roman"/>
                <w:sz w:val="22"/>
              </w:rPr>
              <w:t>Samsvar</w:t>
            </w:r>
          </w:p>
        </w:tc>
        <w:tc>
          <w:tcPr>
            <w:tcW w:type="dxa" w:w="1754"/>
          </w:tcPr>
          <w:p>
            <w:r/>
            <w:r>
              <w:rPr>
                <w:rFonts w:ascii="Times New Roman" w:hAnsi="Times New Roman"/>
                <w:sz w:val="22"/>
              </w:rPr>
              <w:t>Avvik</w:t>
            </w:r>
          </w:p>
        </w:tc>
        <w:tc>
          <w:tcPr>
            <w:tcW w:type="dxa" w:w="1754"/>
          </w:tcPr>
          <w:p>
            <w:r/>
            <w:r>
              <w:rPr>
                <w:rFonts w:ascii="Times New Roman" w:hAnsi="Times New Roman"/>
                <w:sz w:val="22"/>
              </w:rPr>
              <w:t>Avvik</w:t>
            </w:r>
          </w:p>
        </w:tc>
        <w:tc>
          <w:tcPr>
            <w:tcW w:type="dxa" w:w="1754"/>
          </w:tcPr>
          <w:p>
            <w:r/>
            <w:r>
              <w:rPr>
                <w:rFonts w:ascii="Times New Roman" w:hAnsi="Times New Roman"/>
                <w:sz w:val="22"/>
              </w:rPr>
              <w:t>—</w:t>
            </w:r>
          </w:p>
        </w:tc>
      </w:tr>
      <w:tr>
        <w:tc>
          <w:tcPr>
            <w:tcW w:type="dxa" w:w="1754"/>
          </w:tcPr>
          <w:p>
            <w:r/>
            <w:r>
              <w:rPr>
                <w:rFonts w:ascii="Times New Roman" w:hAnsi="Times New Roman"/>
                <w:sz w:val="22"/>
              </w:rPr>
              <w:t>SAP Y</w:t>
            </w:r>
          </w:p>
        </w:tc>
        <w:tc>
          <w:tcPr>
            <w:tcW w:type="dxa" w:w="1754"/>
          </w:tcPr>
          <w:p>
            <w:r/>
            <w:r>
              <w:rPr>
                <w:rFonts w:ascii="Times New Roman" w:hAnsi="Times New Roman"/>
                <w:sz w:val="22"/>
              </w:rPr>
              <w:t>Avvik</w:t>
            </w:r>
          </w:p>
        </w:tc>
        <w:tc>
          <w:tcPr>
            <w:tcW w:type="dxa" w:w="1754"/>
          </w:tcPr>
          <w:p>
            <w:r/>
            <w:r>
              <w:rPr>
                <w:rFonts w:ascii="Times New Roman" w:hAnsi="Times New Roman"/>
                <w:sz w:val="22"/>
              </w:rPr>
              <w:t>Samsvar</w:t>
            </w:r>
          </w:p>
        </w:tc>
        <w:tc>
          <w:tcPr>
            <w:tcW w:type="dxa" w:w="1754"/>
          </w:tcPr>
          <w:p>
            <w:r/>
            <w:r>
              <w:rPr>
                <w:rFonts w:ascii="Times New Roman" w:hAnsi="Times New Roman"/>
                <w:sz w:val="22"/>
              </w:rPr>
              <w:t>Avvik</w:t>
            </w:r>
          </w:p>
        </w:tc>
        <w:tc>
          <w:tcPr>
            <w:tcW w:type="dxa" w:w="1754"/>
          </w:tcPr>
          <w:p>
            <w:r/>
            <w:r>
              <w:rPr>
                <w:rFonts w:ascii="Times New Roman" w:hAnsi="Times New Roman"/>
                <w:sz w:val="22"/>
              </w:rPr>
              <w:t>—</w:t>
            </w:r>
          </w:p>
        </w:tc>
      </w:tr>
      <w:tr>
        <w:tc>
          <w:tcPr>
            <w:tcW w:type="dxa" w:w="1754"/>
          </w:tcPr>
          <w:p>
            <w:r/>
            <w:r>
              <w:rPr>
                <w:rFonts w:ascii="Times New Roman" w:hAnsi="Times New Roman"/>
                <w:sz w:val="22"/>
              </w:rPr>
              <w:t>SAP Z</w:t>
            </w:r>
          </w:p>
        </w:tc>
        <w:tc>
          <w:tcPr>
            <w:tcW w:type="dxa" w:w="1754"/>
          </w:tcPr>
          <w:p>
            <w:r/>
            <w:r>
              <w:rPr>
                <w:rFonts w:ascii="Times New Roman" w:hAnsi="Times New Roman"/>
                <w:sz w:val="22"/>
              </w:rPr>
              <w:t>Avvik</w:t>
            </w:r>
          </w:p>
        </w:tc>
        <w:tc>
          <w:tcPr>
            <w:tcW w:type="dxa" w:w="1754"/>
          </w:tcPr>
          <w:p>
            <w:r/>
            <w:r>
              <w:rPr>
                <w:rFonts w:ascii="Times New Roman" w:hAnsi="Times New Roman"/>
                <w:sz w:val="22"/>
              </w:rPr>
              <w:t>Avvik</w:t>
            </w:r>
          </w:p>
        </w:tc>
        <w:tc>
          <w:tcPr>
            <w:tcW w:type="dxa" w:w="1754"/>
          </w:tcPr>
          <w:p>
            <w:r/>
            <w:r>
              <w:rPr>
                <w:rFonts w:ascii="Times New Roman" w:hAnsi="Times New Roman"/>
                <w:sz w:val="22"/>
              </w:rPr>
              <w:t>Samsvar</w:t>
            </w:r>
          </w:p>
        </w:tc>
        <w:tc>
          <w:tcPr>
            <w:tcW w:type="dxa" w:w="1754"/>
          </w:tcPr>
          <w:p>
            <w:r/>
            <w:r>
              <w:rPr>
                <w:rFonts w:ascii="Times New Roman" w:hAnsi="Times New Roman"/>
                <w:sz w:val="22"/>
              </w:rPr>
              <w:t>—</w:t>
            </w:r>
          </w:p>
        </w:tc>
      </w:tr>
      <w:tr>
        <w:tc>
          <w:tcPr>
            <w:tcW w:type="dxa" w:w="1754"/>
          </w:tcPr>
          <w:p>
            <w:r/>
            <w:r>
              <w:rPr>
                <w:rFonts w:ascii="Times New Roman" w:hAnsi="Times New Roman"/>
                <w:sz w:val="22"/>
              </w:rPr>
              <w:t>Totalt samsvar</w:t>
            </w:r>
          </w:p>
        </w:tc>
        <w:tc>
          <w:tcPr>
            <w:tcW w:type="dxa" w:w="1754"/>
          </w:tcPr>
          <w:p>
            <w:r/>
            <w:r>
              <w:rPr>
                <w:rFonts w:ascii="Times New Roman" w:hAnsi="Times New Roman"/>
                <w:sz w:val="22"/>
              </w:rPr>
            </w:r>
          </w:p>
        </w:tc>
        <w:tc>
          <w:tcPr>
            <w:tcW w:type="dxa" w:w="1754"/>
          </w:tcPr>
          <w:p>
            <w:r/>
            <w:r>
              <w:rPr>
                <w:rFonts w:ascii="Times New Roman" w:hAnsi="Times New Roman"/>
                <w:sz w:val="22"/>
              </w:rPr>
            </w:r>
          </w:p>
        </w:tc>
        <w:tc>
          <w:tcPr>
            <w:tcW w:type="dxa" w:w="1754"/>
          </w:tcPr>
          <w:p>
            <w:r/>
            <w:r>
              <w:rPr>
                <w:rFonts w:ascii="Times New Roman" w:hAnsi="Times New Roman"/>
                <w:sz w:val="22"/>
              </w:rPr>
            </w:r>
          </w:p>
        </w:tc>
        <w:tc>
          <w:tcPr>
            <w:tcW w:type="dxa" w:w="1754"/>
          </w:tcPr>
          <w:p>
            <w:r/>
            <w:r>
              <w:rPr>
                <w:rFonts w:ascii="Times New Roman" w:hAnsi="Times New Roman"/>
                <w:sz w:val="22"/>
              </w:rPr>
              <w:t>125 / 375 (33 %)</w:t>
            </w:r>
          </w:p>
        </w:tc>
      </w:tr>
    </w:tbl>
    <w:p>
      <w:r>
        <w:rPr>
          <w:rFonts w:ascii="Times New Roman" w:hAnsi="Times New Roman"/>
          <w:i/>
          <w:sz w:val="20"/>
        </w:rPr>
        <w:t>Tabell 10. SAP ZZXYZ-validering: samsvar mellom systemklasse og beregnet CV-klasse (n = 375 artikler med data i begge kilder).</w:t>
      </w:r>
    </w:p>
    <w:p>
      <w:pPr>
        <w:pStyle w:val="Overskrift2"/>
      </w:pPr>
      <w:r>
        <w:rPr>
          <w:rFonts w:ascii="Times New Roman" w:hAnsi="Times New Roman"/>
          <w:color w:val="000000"/>
          <w:sz w:val="32"/>
        </w:rPr>
        <w:t>7.3 EOQ-avviksresultater</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192"/>
        <w:gridCol w:w="2192"/>
        <w:gridCol w:w="2192"/>
        <w:gridCol w:w="2192"/>
      </w:tblGrid>
      <w:tr>
        <w:tc>
          <w:tcPr>
            <w:tcW w:type="dxa" w:w="2192"/>
            <w:tcBorders>
              <w:top w:val="single" w:sz="8" w:space="0" w:color="000000"/>
              <w:bottom w:val="single" w:sz="4" w:space="0" w:color="000000"/>
              <w:left w:val="nil"/>
              <w:right w:val="nil"/>
            </w:tcBorders>
          </w:tcPr>
          <w:p>
            <w:r/>
            <w:r>
              <w:rPr>
                <w:rFonts w:ascii="Times New Roman" w:hAnsi="Times New Roman"/>
                <w:b/>
                <w:sz w:val="22"/>
              </w:rPr>
              <w:t>EOQ-status</w:t>
            </w:r>
          </w:p>
        </w:tc>
        <w:tc>
          <w:tcPr>
            <w:tcW w:type="dxa" w:w="2192"/>
            <w:tcBorders>
              <w:top w:val="single" w:sz="8" w:space="0" w:color="000000"/>
              <w:bottom w:val="single" w:sz="4" w:space="0" w:color="000000"/>
              <w:left w:val="nil"/>
              <w:right w:val="nil"/>
            </w:tcBorders>
          </w:tcPr>
          <w:p>
            <w:r/>
            <w:r>
              <w:rPr>
                <w:rFonts w:ascii="Times New Roman" w:hAnsi="Times New Roman"/>
                <w:b/>
                <w:sz w:val="22"/>
              </w:rPr>
              <w:t>Betingelse</w:t>
            </w:r>
          </w:p>
        </w:tc>
        <w:tc>
          <w:tcPr>
            <w:tcW w:type="dxa" w:w="2192"/>
            <w:tcBorders>
              <w:top w:val="single" w:sz="8" w:space="0" w:color="000000"/>
              <w:bottom w:val="single" w:sz="4" w:space="0" w:color="000000"/>
              <w:left w:val="nil"/>
              <w:right w:val="nil"/>
            </w:tcBorders>
          </w:tcPr>
          <w:p>
            <w:r/>
            <w:r>
              <w:rPr>
                <w:rFonts w:ascii="Times New Roman" w:hAnsi="Times New Roman"/>
                <w:b/>
                <w:sz w:val="22"/>
              </w:rPr>
              <w:t>Antall</w:t>
            </w:r>
          </w:p>
        </w:tc>
        <w:tc>
          <w:tcPr>
            <w:tcW w:type="dxa" w:w="2192"/>
            <w:tcBorders>
              <w:top w:val="single" w:sz="8" w:space="0" w:color="000000"/>
              <w:bottom w:val="single" w:sz="4" w:space="0" w:color="000000"/>
              <w:left w:val="nil"/>
              <w:right w:val="nil"/>
            </w:tcBorders>
          </w:tcPr>
          <w:p>
            <w:r/>
            <w:r>
              <w:rPr>
                <w:rFonts w:ascii="Times New Roman" w:hAnsi="Times New Roman"/>
                <w:b/>
                <w:sz w:val="22"/>
              </w:rPr>
              <w:t>Andel</w:t>
            </w:r>
          </w:p>
        </w:tc>
      </w:tr>
      <w:tr>
        <w:tc>
          <w:tcPr>
            <w:tcW w:type="dxa" w:w="2192"/>
          </w:tcPr>
          <w:p>
            <w:r/>
            <w:r>
              <w:rPr>
                <w:rFonts w:ascii="Times New Roman" w:hAnsi="Times New Roman"/>
                <w:sz w:val="22"/>
              </w:rPr>
              <w:t>FOR_MANGE_ORDRER</w:t>
            </w:r>
          </w:p>
        </w:tc>
        <w:tc>
          <w:tcPr>
            <w:tcW w:type="dxa" w:w="2192"/>
          </w:tcPr>
          <w:p>
            <w:r/>
            <w:r>
              <w:rPr>
                <w:rFonts w:ascii="Times New Roman" w:hAnsi="Times New Roman"/>
                <w:sz w:val="22"/>
              </w:rPr>
              <w:t>FREQ_AVVIK &gt; 1,5</w:t>
            </w:r>
          </w:p>
        </w:tc>
        <w:tc>
          <w:tcPr>
            <w:tcW w:type="dxa" w:w="2192"/>
          </w:tcPr>
          <w:p>
            <w:r/>
            <w:r>
              <w:rPr>
                <w:rFonts w:ascii="Times New Roman" w:hAnsi="Times New Roman"/>
                <w:sz w:val="22"/>
              </w:rPr>
              <w:t>356</w:t>
            </w:r>
          </w:p>
        </w:tc>
        <w:tc>
          <w:tcPr>
            <w:tcW w:type="dxa" w:w="2192"/>
          </w:tcPr>
          <w:p>
            <w:r/>
            <w:r>
              <w:rPr>
                <w:rFonts w:ascii="Times New Roman" w:hAnsi="Times New Roman"/>
                <w:sz w:val="22"/>
              </w:rPr>
              <w:t>73,1 %</w:t>
            </w:r>
          </w:p>
        </w:tc>
      </w:tr>
      <w:tr>
        <w:tc>
          <w:tcPr>
            <w:tcW w:type="dxa" w:w="2192"/>
          </w:tcPr>
          <w:p>
            <w:r/>
            <w:r>
              <w:rPr>
                <w:rFonts w:ascii="Times New Roman" w:hAnsi="Times New Roman"/>
                <w:sz w:val="22"/>
              </w:rPr>
              <w:t>OK</w:t>
            </w:r>
          </w:p>
        </w:tc>
        <w:tc>
          <w:tcPr>
            <w:tcW w:type="dxa" w:w="2192"/>
          </w:tcPr>
          <w:p>
            <w:r/>
            <w:r>
              <w:rPr>
                <w:rFonts w:ascii="Times New Roman" w:hAnsi="Times New Roman"/>
                <w:sz w:val="22"/>
              </w:rPr>
              <w:t>−0,5 ≤ FREQ_AVVIK ≤ 1,5</w:t>
            </w:r>
          </w:p>
        </w:tc>
        <w:tc>
          <w:tcPr>
            <w:tcW w:type="dxa" w:w="2192"/>
          </w:tcPr>
          <w:p>
            <w:r/>
            <w:r>
              <w:rPr>
                <w:rFonts w:ascii="Times New Roman" w:hAnsi="Times New Roman"/>
                <w:sz w:val="22"/>
              </w:rPr>
              <w:t>100</w:t>
            </w:r>
          </w:p>
        </w:tc>
        <w:tc>
          <w:tcPr>
            <w:tcW w:type="dxa" w:w="2192"/>
          </w:tcPr>
          <w:p>
            <w:r/>
            <w:r>
              <w:rPr>
                <w:rFonts w:ascii="Times New Roman" w:hAnsi="Times New Roman"/>
                <w:sz w:val="22"/>
              </w:rPr>
              <w:t>20,5 %</w:t>
            </w:r>
          </w:p>
        </w:tc>
      </w:tr>
      <w:tr>
        <w:tc>
          <w:tcPr>
            <w:tcW w:type="dxa" w:w="2192"/>
          </w:tcPr>
          <w:p>
            <w:r/>
            <w:r>
              <w:rPr>
                <w:rFonts w:ascii="Times New Roman" w:hAnsi="Times New Roman"/>
                <w:sz w:val="22"/>
              </w:rPr>
              <w:t>FOR_FÅ_ORDRER</w:t>
            </w:r>
          </w:p>
        </w:tc>
        <w:tc>
          <w:tcPr>
            <w:tcW w:type="dxa" w:w="2192"/>
          </w:tcPr>
          <w:p>
            <w:r/>
            <w:r>
              <w:rPr>
                <w:rFonts w:ascii="Times New Roman" w:hAnsi="Times New Roman"/>
                <w:sz w:val="22"/>
              </w:rPr>
              <w:t>FREQ_AVVIK &lt; −0,5</w:t>
            </w:r>
          </w:p>
        </w:tc>
        <w:tc>
          <w:tcPr>
            <w:tcW w:type="dxa" w:w="2192"/>
          </w:tcPr>
          <w:p>
            <w:r/>
            <w:r>
              <w:rPr>
                <w:rFonts w:ascii="Times New Roman" w:hAnsi="Times New Roman"/>
                <w:sz w:val="22"/>
              </w:rPr>
              <w:t>31</w:t>
            </w:r>
          </w:p>
        </w:tc>
        <w:tc>
          <w:tcPr>
            <w:tcW w:type="dxa" w:w="2192"/>
          </w:tcPr>
          <w:p>
            <w:r/>
            <w:r>
              <w:rPr>
                <w:rFonts w:ascii="Times New Roman" w:hAnsi="Times New Roman"/>
                <w:sz w:val="22"/>
              </w:rPr>
              <w:t>6,4 %</w:t>
            </w:r>
          </w:p>
        </w:tc>
      </w:tr>
      <w:tr>
        <w:tc>
          <w:tcPr>
            <w:tcW w:type="dxa" w:w="2192"/>
          </w:tcPr>
          <w:p>
            <w:r/>
            <w:r>
              <w:rPr>
                <w:rFonts w:ascii="Times New Roman" w:hAnsi="Times New Roman"/>
                <w:sz w:val="22"/>
              </w:rPr>
              <w:t>Totalt analysert</w:t>
            </w:r>
          </w:p>
        </w:tc>
        <w:tc>
          <w:tcPr>
            <w:tcW w:type="dxa" w:w="2192"/>
          </w:tcPr>
          <w:p>
            <w:r/>
            <w:r>
              <w:rPr>
                <w:rFonts w:ascii="Times New Roman" w:hAnsi="Times New Roman"/>
                <w:sz w:val="22"/>
              </w:rPr>
            </w:r>
          </w:p>
        </w:tc>
        <w:tc>
          <w:tcPr>
            <w:tcW w:type="dxa" w:w="2192"/>
          </w:tcPr>
          <w:p>
            <w:r/>
            <w:r>
              <w:rPr>
                <w:rFonts w:ascii="Times New Roman" w:hAnsi="Times New Roman"/>
                <w:sz w:val="22"/>
              </w:rPr>
              <w:t>487</w:t>
            </w:r>
          </w:p>
        </w:tc>
        <w:tc>
          <w:tcPr>
            <w:tcW w:type="dxa" w:w="2192"/>
          </w:tcPr>
          <w:p>
            <w:r/>
            <w:r>
              <w:rPr>
                <w:rFonts w:ascii="Times New Roman" w:hAnsi="Times New Roman"/>
                <w:sz w:val="22"/>
              </w:rPr>
              <w:t>100 %</w:t>
            </w:r>
          </w:p>
        </w:tc>
      </w:tr>
      <w:tr>
        <w:tc>
          <w:tcPr>
            <w:tcW w:type="dxa" w:w="2192"/>
          </w:tcPr>
          <w:p>
            <w:r/>
            <w:r>
              <w:rPr>
                <w:rFonts w:ascii="Times New Roman" w:hAnsi="Times New Roman"/>
                <w:sz w:val="22"/>
              </w:rPr>
              <w:t>Samlet ΔTC (alle 487)</w:t>
            </w:r>
          </w:p>
        </w:tc>
        <w:tc>
          <w:tcPr>
            <w:tcW w:type="dxa" w:w="2192"/>
          </w:tcPr>
          <w:p>
            <w:r/>
            <w:r>
              <w:rPr>
                <w:rFonts w:ascii="Times New Roman" w:hAnsi="Times New Roman"/>
                <w:sz w:val="22"/>
              </w:rPr>
            </w:r>
          </w:p>
        </w:tc>
        <w:tc>
          <w:tcPr>
            <w:tcW w:type="dxa" w:w="2192"/>
          </w:tcPr>
          <w:p>
            <w:r/>
            <w:r>
              <w:rPr>
                <w:rFonts w:ascii="Times New Roman" w:hAnsi="Times New Roman"/>
                <w:sz w:val="22"/>
              </w:rPr>
              <w:t>kr 2 333 441 / år</w:t>
            </w:r>
          </w:p>
        </w:tc>
        <w:tc>
          <w:tcPr>
            <w:tcW w:type="dxa" w:w="2192"/>
          </w:tcPr>
          <w:p>
            <w:r/>
            <w:r>
              <w:rPr>
                <w:rFonts w:ascii="Times New Roman" w:hAnsi="Times New Roman"/>
                <w:sz w:val="22"/>
              </w:rPr>
            </w:r>
          </w:p>
        </w:tc>
      </w:tr>
    </w:tbl>
    <w:p>
      <w:r>
        <w:rPr>
          <w:rFonts w:ascii="Times New Roman" w:hAnsi="Times New Roman"/>
          <w:i/>
          <w:sz w:val="20"/>
        </w:rPr>
        <w:t>Tabell 11. EOQ-avviksresultater: fordeling av artikler etter ordrefrekvensavvik (n = 487).</w:t>
      </w:r>
    </w:p>
    <w:p>
      <w:pPr>
        <w:spacing w:line="360" w:lineRule="auto"/>
      </w:pPr>
      <w:r>
        <w:rPr>
          <w:rFonts w:ascii="Times New Roman" w:hAnsi="Times New Roman" w:cs="Times New Roman"/>
          <w:sz w:val="24"/>
        </w:rPr>
        <w:t xml:space="preserve">Av de 487 artiklene med tilstrekkelig data for EOQ-beregning har 356 artikler (73,1 %) en faktisk ordrefrekvens som overskrider EOQ-optimal frekvens med mer enn 150 %, og er klassifisert som FOR\_MANGE\_ORDRER. 100 artikler (20,5 %) opererer innenfor akseptabelt avvik (OK), og 31 artikler (6,4 %) bestiller sjeldnere enn EOQ-optimalt (FOR\_FÅ\_ORDRER). Den høye andelen FOR\_MANGE\_ORDRER indikerer at den eksisterende bestillingspraksisen ved LGORT 3001 er systematisk suboptimal — artiklene bestilles i for små kvanta og for ofte i forhold til hva Wilson-modellen tilsier med de gitte parameterne </w:t>
      </w:r>
      <m:oMath>
        <m:r>
          <m:t>S=750</m:t>
        </m:r>
      </m:oMath>
      <w:r>
        <w:rPr>
          <w:rFonts w:ascii="Times New Roman" w:hAnsi="Times New Roman" w:cs="Times New Roman"/>
          <w:sz w:val="24"/>
        </w:rPr>
        <w:t xml:space="preserve">NOK og </w:t>
      </w:r>
      <m:oMath>
        <m:r>
          <m:t>h=20</m:t>
        </m:r>
      </m:oMath>
      <w:r>
        <w:rPr>
          <w:rFonts w:ascii="Times New Roman" w:hAnsi="Times New Roman" w:cs="Times New Roman"/>
          <w:sz w:val="24"/>
        </w:rPr>
        <w:t>.</w:t>
      </w:r>
    </w:p>
    <w:p>
      <w:pPr>
        <w:spacing w:line="360" w:lineRule="auto"/>
      </w:pPr>
      <w:r>
        <w:rPr>
          <w:rFonts w:ascii="Times New Roman" w:hAnsi="Times New Roman" w:cs="Times New Roman"/>
          <w:sz w:val="24"/>
        </w:rPr>
        <w:t xml:space="preserve">Det samlede teoretiske totalkostnadsavviket </w:t>
      </w:r>
      <m:oMath>
        <m:r>
          <m:t>∑ΔT</m:t>
        </m:r>
        <m:sSub>
          <m:e>
            <m:r>
              <m:t>C</m:t>
            </m:r>
          </m:e>
          <m:sub>
            <m:r>
              <m:t>i</m:t>
            </m:r>
          </m:sub>
        </m:sSub>
      </m:oMath>
      <w:r>
        <w:rPr>
          <w:rFonts w:ascii="Times New Roman" w:hAnsi="Times New Roman" w:cs="Times New Roman"/>
          <w:sz w:val="24"/>
        </w:rPr>
        <w:t xml:space="preserve"> for alle 487 artikler er kr 2 333 441 per år. Dette representerer det totale kostnadsoverskuddet som genereres av at faktisk ordrepraksis avviker fra EOQ-optimal; det er ikke direkte det samme som det realiserbare besparelsespotensialet, da kun artikler i OVERFØR\_HVFS-kategorien inngår i besparelsesberegningen (se avsnitt 7.6). Fordelingen av FREQ\_AVVIK er illustrert i Figur 8 i kapittel 6.</w:t>
      </w:r>
    </w:p>
    <w:p>
      <w:pPr>
        <w:pStyle w:val="Overskrift2"/>
      </w:pPr>
      <w:r>
        <w:rPr>
          <w:rFonts w:ascii="Times New Roman" w:hAnsi="Times New Roman"/>
          <w:color w:val="000000"/>
          <w:sz w:val="32"/>
        </w:rPr>
        <w:t>7.4 K-means klyngeresultater</w:t>
      </w:r>
    </w:p>
    <w:p>
      <w:pPr>
        <w:spacing w:line="360" w:lineRule="auto"/>
      </w:pPr>
      <w:r>
        <w:rPr>
          <w:rFonts w:ascii="Times New Roman" w:hAnsi="Times New Roman" w:cs="Times New Roman"/>
          <w:sz w:val="24"/>
        </w:rPr>
        <w:t xml:space="preserve">K-means-analysen med automatisk K-valg via silhouette-score identifiserte </w:t>
      </w:r>
      <m:oMath>
        <m:r>
          <m:t>K=3</m:t>
        </m:r>
      </m:oMath>
      <w:r>
        <w:rPr>
          <w:rFonts w:ascii="Times New Roman" w:hAnsi="Times New Roman" w:cs="Times New Roman"/>
          <w:sz w:val="24"/>
        </w:rPr>
        <w:t xml:space="preserve"> som optimalt antall klynger. Silhouette-score på treningsdataene (</w:t>
      </w:r>
      <m:oMath>
        <m:r>
          <m:t>n=n=389</m:t>
        </m:r>
      </m:oMath>
      <w:r>
        <w:rPr>
          <w:rFonts w:ascii="Times New Roman" w:hAnsi="Times New Roman" w:cs="Times New Roman"/>
          <w:sz w:val="24"/>
        </w:rPr>
        <w:t>) var 0,383, og på testdataene (</w:t>
      </w:r>
      <m:oMath>
        <m:r>
          <m:t>n=n=98</m:t>
        </m:r>
      </m:oMath>
      <w:r>
        <w:rPr>
          <w:rFonts w:ascii="Times New Roman" w:hAnsi="Times New Roman" w:cs="Times New Roman"/>
          <w:sz w:val="24"/>
        </w:rPr>
        <w:t>) var 0,368. Differansen mellom trenings- og testresultat er 0,015, noe som ikke indikerer vesentlig overfit. Klyngeprofiler er presentert i Tabell 12.</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1461"/>
        <w:gridCol w:w="1461"/>
        <w:gridCol w:w="1461"/>
        <w:gridCol w:w="1461"/>
        <w:gridCol w:w="1461"/>
        <w:gridCol w:w="1461"/>
      </w:tblGrid>
      <w:tr>
        <w:tc>
          <w:tcPr>
            <w:tcW w:type="dxa" w:w="1461"/>
            <w:tcBorders>
              <w:top w:val="single" w:sz="8" w:space="0" w:color="000000"/>
              <w:bottom w:val="single" w:sz="4" w:space="0" w:color="000000"/>
              <w:left w:val="nil"/>
              <w:right w:val="nil"/>
            </w:tcBorders>
          </w:tcPr>
          <w:p>
            <w:r/>
            <w:r>
              <w:rPr>
                <w:rFonts w:ascii="Times New Roman" w:hAnsi="Times New Roman"/>
                <w:b/>
                <w:sz w:val="22"/>
              </w:rPr>
              <w:t>Klynge</w:t>
            </w:r>
          </w:p>
        </w:tc>
        <w:tc>
          <w:tcPr>
            <w:tcW w:type="dxa" w:w="1461"/>
            <w:tcBorders>
              <w:top w:val="single" w:sz="8" w:space="0" w:color="000000"/>
              <w:bottom w:val="single" w:sz="4" w:space="0" w:color="000000"/>
              <w:left w:val="nil"/>
              <w:right w:val="nil"/>
            </w:tcBorders>
          </w:tcPr>
          <w:p>
            <w:r/>
            <w:r>
              <w:rPr>
                <w:rFonts w:ascii="Times New Roman" w:hAnsi="Times New Roman"/>
                <w:b/>
                <w:sz w:val="22"/>
              </w:rPr>
              <w:t>Antall</w:t>
            </w:r>
          </w:p>
        </w:tc>
        <w:tc>
          <w:tcPr>
            <w:tcW w:type="dxa" w:w="1461"/>
            <w:tcBorders>
              <w:top w:val="single" w:sz="8" w:space="0" w:color="000000"/>
              <w:bottom w:val="single" w:sz="4" w:space="0" w:color="000000"/>
              <w:left w:val="nil"/>
              <w:right w:val="nil"/>
            </w:tcBorders>
          </w:tcPr>
          <w:p>
            <w:r/>
            <w:r>
              <w:rPr>
                <w:rFonts w:ascii="Times New Roman" w:hAnsi="Times New Roman"/>
                <w:b/>
                <w:sz w:val="22"/>
              </w:rPr>
              <w:t>CV snitt</w:t>
            </w:r>
          </w:p>
        </w:tc>
        <w:tc>
          <w:tcPr>
            <w:tcW w:type="dxa" w:w="1461"/>
            <w:tcBorders>
              <w:top w:val="single" w:sz="8" w:space="0" w:color="000000"/>
              <w:bottom w:val="single" w:sz="4" w:space="0" w:color="000000"/>
              <w:left w:val="nil"/>
              <w:right w:val="nil"/>
            </w:tcBorders>
          </w:tcPr>
          <w:p>
            <w:r/>
            <w:r>
              <w:rPr>
                <w:rFonts w:ascii="Times New Roman" w:hAnsi="Times New Roman"/>
                <w:b/>
                <w:sz w:val="22"/>
              </w:rPr>
              <w:t>Verdi snitt (kr)</w:t>
            </w:r>
          </w:p>
        </w:tc>
        <w:tc>
          <w:tcPr>
            <w:tcW w:type="dxa" w:w="1461"/>
            <w:tcBorders>
              <w:top w:val="single" w:sz="8" w:space="0" w:color="000000"/>
              <w:bottom w:val="single" w:sz="4" w:space="0" w:color="000000"/>
              <w:left w:val="nil"/>
              <w:right w:val="nil"/>
            </w:tcBorders>
          </w:tcPr>
          <w:p>
            <w:r/>
            <w:r>
              <w:rPr>
                <w:rFonts w:ascii="Times New Roman" w:hAnsi="Times New Roman"/>
                <w:b/>
                <w:sz w:val="22"/>
              </w:rPr>
              <w:t>ΔTC snitt (kr)</w:t>
            </w:r>
          </w:p>
        </w:tc>
        <w:tc>
          <w:tcPr>
            <w:tcW w:type="dxa" w:w="1461"/>
            <w:tcBorders>
              <w:top w:val="single" w:sz="8" w:space="0" w:color="000000"/>
              <w:bottom w:val="single" w:sz="4" w:space="0" w:color="000000"/>
              <w:left w:val="nil"/>
              <w:right w:val="nil"/>
            </w:tcBorders>
          </w:tcPr>
          <w:p>
            <w:r/>
            <w:r>
              <w:rPr>
                <w:rFonts w:ascii="Times New Roman" w:hAnsi="Times New Roman"/>
                <w:b/>
                <w:sz w:val="22"/>
              </w:rPr>
              <w:t>Profil</w:t>
            </w:r>
          </w:p>
        </w:tc>
      </w:tr>
      <w:tr>
        <w:tc>
          <w:tcPr>
            <w:tcW w:type="dxa" w:w="1461"/>
          </w:tcPr>
          <w:p>
            <w:r/>
            <w:r>
              <w:rPr>
                <w:rFonts w:ascii="Times New Roman" w:hAnsi="Times New Roman"/>
                <w:sz w:val="22"/>
              </w:rPr>
              <w:t>1</w:t>
            </w:r>
          </w:p>
        </w:tc>
        <w:tc>
          <w:tcPr>
            <w:tcW w:type="dxa" w:w="1461"/>
          </w:tcPr>
          <w:p>
            <w:r/>
            <w:r>
              <w:rPr>
                <w:rFonts w:ascii="Times New Roman" w:hAnsi="Times New Roman"/>
                <w:sz w:val="22"/>
              </w:rPr>
              <w:t>31</w:t>
            </w:r>
          </w:p>
        </w:tc>
        <w:tc>
          <w:tcPr>
            <w:tcW w:type="dxa" w:w="1461"/>
          </w:tcPr>
          <w:p>
            <w:r/>
            <w:r>
              <w:rPr>
                <w:rFonts w:ascii="Times New Roman" w:hAnsi="Times New Roman"/>
                <w:sz w:val="22"/>
              </w:rPr>
              <w:t>1,05</w:t>
            </w:r>
          </w:p>
        </w:tc>
        <w:tc>
          <w:tcPr>
            <w:tcW w:type="dxa" w:w="1461"/>
          </w:tcPr>
          <w:p>
            <w:r/>
            <w:r>
              <w:rPr>
                <w:rFonts w:ascii="Times New Roman" w:hAnsi="Times New Roman"/>
                <w:sz w:val="22"/>
              </w:rPr>
              <w:t>150</w:t>
            </w:r>
          </w:p>
        </w:tc>
        <w:tc>
          <w:tcPr>
            <w:tcW w:type="dxa" w:w="1461"/>
          </w:tcPr>
          <w:p>
            <w:r/>
            <w:r>
              <w:rPr>
                <w:rFonts w:ascii="Times New Roman" w:hAnsi="Times New Roman"/>
                <w:sz w:val="22"/>
              </w:rPr>
              <w:t>4 999</w:t>
            </w:r>
          </w:p>
        </w:tc>
        <w:tc>
          <w:tcPr>
            <w:tcW w:type="dxa" w:w="1461"/>
          </w:tcPr>
          <w:p>
            <w:r/>
            <w:r>
              <w:rPr>
                <w:rFonts w:ascii="Times New Roman" w:hAnsi="Times New Roman"/>
                <w:sz w:val="22"/>
              </w:rPr>
              <w:t>Lav verdi, høy variasjon</w:t>
            </w:r>
          </w:p>
        </w:tc>
      </w:tr>
      <w:tr>
        <w:tc>
          <w:tcPr>
            <w:tcW w:type="dxa" w:w="1461"/>
          </w:tcPr>
          <w:p>
            <w:r/>
            <w:r>
              <w:rPr>
                <w:rFonts w:ascii="Times New Roman" w:hAnsi="Times New Roman"/>
                <w:sz w:val="22"/>
              </w:rPr>
              <w:t>2</w:t>
            </w:r>
          </w:p>
        </w:tc>
        <w:tc>
          <w:tcPr>
            <w:tcW w:type="dxa" w:w="1461"/>
          </w:tcPr>
          <w:p>
            <w:r/>
            <w:r>
              <w:rPr>
                <w:rFonts w:ascii="Times New Roman" w:hAnsi="Times New Roman"/>
                <w:sz w:val="22"/>
              </w:rPr>
              <w:t>175</w:t>
            </w:r>
          </w:p>
        </w:tc>
        <w:tc>
          <w:tcPr>
            <w:tcW w:type="dxa" w:w="1461"/>
          </w:tcPr>
          <w:p>
            <w:r/>
            <w:r>
              <w:rPr>
                <w:rFonts w:ascii="Times New Roman" w:hAnsi="Times New Roman"/>
                <w:sz w:val="22"/>
              </w:rPr>
              <w:t>1,59</w:t>
            </w:r>
          </w:p>
        </w:tc>
        <w:tc>
          <w:tcPr>
            <w:tcW w:type="dxa" w:w="1461"/>
          </w:tcPr>
          <w:p>
            <w:r/>
            <w:r>
              <w:rPr>
                <w:rFonts w:ascii="Times New Roman" w:hAnsi="Times New Roman"/>
                <w:sz w:val="22"/>
              </w:rPr>
              <w:t>79 658</w:t>
            </w:r>
          </w:p>
        </w:tc>
        <w:tc>
          <w:tcPr>
            <w:tcW w:type="dxa" w:w="1461"/>
          </w:tcPr>
          <w:p>
            <w:r/>
            <w:r>
              <w:rPr>
                <w:rFonts w:ascii="Times New Roman" w:hAnsi="Times New Roman"/>
                <w:sz w:val="22"/>
              </w:rPr>
              <w:t>1 199</w:t>
            </w:r>
          </w:p>
        </w:tc>
        <w:tc>
          <w:tcPr>
            <w:tcW w:type="dxa" w:w="1461"/>
          </w:tcPr>
          <w:p>
            <w:r/>
            <w:r>
              <w:rPr>
                <w:rFonts w:ascii="Times New Roman" w:hAnsi="Times New Roman"/>
                <w:sz w:val="22"/>
              </w:rPr>
              <w:t>Middels verdi, svært variabelt</w:t>
            </w:r>
          </w:p>
        </w:tc>
      </w:tr>
      <w:tr>
        <w:tc>
          <w:tcPr>
            <w:tcW w:type="dxa" w:w="1461"/>
          </w:tcPr>
          <w:p>
            <w:r/>
            <w:r>
              <w:rPr>
                <w:rFonts w:ascii="Times New Roman" w:hAnsi="Times New Roman"/>
                <w:sz w:val="22"/>
              </w:rPr>
              <w:t>3 (K_OVERFØR)</w:t>
            </w:r>
          </w:p>
        </w:tc>
        <w:tc>
          <w:tcPr>
            <w:tcW w:type="dxa" w:w="1461"/>
          </w:tcPr>
          <w:p>
            <w:r/>
            <w:r>
              <w:rPr>
                <w:rFonts w:ascii="Times New Roman" w:hAnsi="Times New Roman"/>
                <w:sz w:val="22"/>
              </w:rPr>
              <w:t>281</w:t>
            </w:r>
          </w:p>
        </w:tc>
        <w:tc>
          <w:tcPr>
            <w:tcW w:type="dxa" w:w="1461"/>
          </w:tcPr>
          <w:p>
            <w:r/>
            <w:r>
              <w:rPr>
                <w:rFonts w:ascii="Times New Roman" w:hAnsi="Times New Roman"/>
                <w:sz w:val="22"/>
              </w:rPr>
              <w:t>0,47</w:t>
            </w:r>
          </w:p>
        </w:tc>
        <w:tc>
          <w:tcPr>
            <w:tcW w:type="dxa" w:w="1461"/>
          </w:tcPr>
          <w:p>
            <w:r/>
            <w:r>
              <w:rPr>
                <w:rFonts w:ascii="Times New Roman" w:hAnsi="Times New Roman"/>
                <w:sz w:val="22"/>
              </w:rPr>
              <w:t>167 267</w:t>
            </w:r>
          </w:p>
        </w:tc>
        <w:tc>
          <w:tcPr>
            <w:tcW w:type="dxa" w:w="1461"/>
          </w:tcPr>
          <w:p>
            <w:r/>
            <w:r>
              <w:rPr>
                <w:rFonts w:ascii="Times New Roman" w:hAnsi="Times New Roman"/>
                <w:sz w:val="22"/>
              </w:rPr>
              <w:t>7 005</w:t>
            </w:r>
          </w:p>
        </w:tc>
        <w:tc>
          <w:tcPr>
            <w:tcW w:type="dxa" w:w="1461"/>
          </w:tcPr>
          <w:p>
            <w:r/>
            <w:r>
              <w:rPr>
                <w:rFonts w:ascii="Times New Roman" w:hAnsi="Times New Roman"/>
                <w:sz w:val="22"/>
              </w:rPr>
              <w:t>Høy verdi, stabilt, høyt avvik</w:t>
            </w:r>
          </w:p>
        </w:tc>
      </w:tr>
    </w:tbl>
    <w:p>
      <w:r>
        <w:rPr>
          <w:rFonts w:ascii="Times New Roman" w:hAnsi="Times New Roman"/>
          <w:i/>
          <w:sz w:val="20"/>
        </w:rPr>
        <w:t>Tabell 12. K-means klyngeprofiler: gjennomsnittsverdier per klynge for de tre featurene (K = 3, n = 487).</w:t>
      </w:r>
    </w:p>
    <w:p>
      <w:pPr>
        <w:spacing w:line="360" w:lineRule="auto"/>
      </w:pPr>
      <w:r>
        <w:rPr>
          <w:rFonts w:ascii="Times New Roman" w:hAnsi="Times New Roman" w:cs="Times New Roman"/>
          <w:sz w:val="24"/>
        </w:rPr>
        <w:t>Klynge 1 (31 artikler) representerer en liten gruppe med gjennomsnittlig CV = 1,05 (Z-nivå), lav årsverdi (kr 150) og moderat kostnadsavvik (kr 4 999). Disse artiklene har uregelmessig forbruk og lav verdi — en profil som tilsier lokal lagring. Klynge 2 (175 artikler) har gjennomsnittlig CV = 1,59 (svært variabelt), middels årsverdi (kr 79 658) og lavt kostnadsavvik (kr 1 199). Den høye CV-en gjør disse artiklene uegnet for sentralisering trass i middels verdi.</w:t>
      </w:r>
    </w:p>
    <w:p>
      <w:pPr>
        <w:spacing w:line="360" w:lineRule="auto"/>
      </w:pPr>
      <w:r>
        <w:rPr>
          <w:rFonts w:ascii="Times New Roman" w:hAnsi="Times New Roman" w:cs="Times New Roman"/>
          <w:sz w:val="24"/>
        </w:rPr>
        <w:t xml:space="preserve">K\_OVERFØR-klyngen (klynge 3, 281 artikler) kjennetegnes av gjennomsnittlig CV = 0,47 (under X-grensen på 0,5), gjennomsnittlig årsverdi kr 167 267 og gjennomsnittlig </w:t>
      </w:r>
      <m:oMath>
        <m:d>
          <m:dPr>
            <m:begChr m:val="|"/>
            <m:sepChr m:val=""/>
            <m:endChr m:val="|"/>
          </m:dPr>
          <m:e>
            <m:r>
              <m:t>Δ</m:t>
            </m:r>
            <m:r>
              <m:t>T</m:t>
            </m:r>
            <m:r>
              <m:t>C</m:t>
            </m:r>
          </m:e>
        </m:d>
      </m:oMath>
      <w:r>
        <w:rPr>
          <w:rFonts w:ascii="Times New Roman" w:hAnsi="Times New Roman" w:cs="Times New Roman"/>
          <w:sz w:val="24"/>
        </w:rPr>
        <w:t xml:space="preserve"> kr 7 005 — den høyeste av alle tre klynger. Profilen viser at denne klyngen samler artikler som er verdifulle, stabile og overbestilte, noe som gjør dem til naturlige kandidater for sentralisering. K\_OVERFØR-flagget settes automatisk basert på rangering av klyngenes gjennomsnittlige CV (stigende) og verdi (synkende). Klyngeprofilen i feature-rommet er visualisert i Figur 10 i kapittel 6.</w:t>
      </w:r>
    </w:p>
    <w:p>
      <w:pPr>
        <w:pStyle w:val="Overskrift2"/>
      </w:pPr>
      <w:r>
        <w:rPr>
          <w:rFonts w:ascii="Times New Roman" w:hAnsi="Times New Roman"/>
          <w:color w:val="000000"/>
          <w:sz w:val="32"/>
        </w:rPr>
        <w:t>7.5 Regelmotor og HVFS-anbefalinger</w:t>
      </w:r>
    </w:p>
    <w:p>
      <w:pPr>
        <w:spacing w:line="360" w:lineRule="auto"/>
      </w:pPr>
      <w:r>
        <w:rPr>
          <w:rFonts w:ascii="Times New Roman" w:hAnsi="Times New Roman" w:cs="Times New Roman"/>
          <w:sz w:val="24"/>
        </w:rPr>
        <w:t>Regelmotoren produserte en anbefaling for samtlige 709 artikler. Fordelingen er presentert i Tabell 13.</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192"/>
        <w:gridCol w:w="2192"/>
        <w:gridCol w:w="2192"/>
        <w:gridCol w:w="2192"/>
      </w:tblGrid>
      <w:tr>
        <w:tc>
          <w:tcPr>
            <w:tcW w:type="dxa" w:w="2192"/>
            <w:tcBorders>
              <w:top w:val="single" w:sz="8" w:space="0" w:color="000000"/>
              <w:bottom w:val="single" w:sz="4" w:space="0" w:color="000000"/>
              <w:left w:val="nil"/>
              <w:right w:val="nil"/>
            </w:tcBorders>
          </w:tcPr>
          <w:p>
            <w:r/>
            <w:r>
              <w:rPr>
                <w:rFonts w:ascii="Times New Roman" w:hAnsi="Times New Roman"/>
                <w:b/>
                <w:sz w:val="22"/>
              </w:rPr>
              <w:t>Kategori</w:t>
            </w:r>
          </w:p>
        </w:tc>
        <w:tc>
          <w:tcPr>
            <w:tcW w:type="dxa" w:w="2192"/>
            <w:tcBorders>
              <w:top w:val="single" w:sz="8" w:space="0" w:color="000000"/>
              <w:bottom w:val="single" w:sz="4" w:space="0" w:color="000000"/>
              <w:left w:val="nil"/>
              <w:right w:val="nil"/>
            </w:tcBorders>
          </w:tcPr>
          <w:p>
            <w:r/>
            <w:r>
              <w:rPr>
                <w:rFonts w:ascii="Times New Roman" w:hAnsi="Times New Roman"/>
                <w:b/>
                <w:sz w:val="22"/>
              </w:rPr>
              <w:t>Antall</w:t>
            </w:r>
          </w:p>
        </w:tc>
        <w:tc>
          <w:tcPr>
            <w:tcW w:type="dxa" w:w="2192"/>
            <w:tcBorders>
              <w:top w:val="single" w:sz="8" w:space="0" w:color="000000"/>
              <w:bottom w:val="single" w:sz="4" w:space="0" w:color="000000"/>
              <w:left w:val="nil"/>
              <w:right w:val="nil"/>
            </w:tcBorders>
          </w:tcPr>
          <w:p>
            <w:r/>
            <w:r>
              <w:rPr>
                <w:rFonts w:ascii="Times New Roman" w:hAnsi="Times New Roman"/>
                <w:b/>
                <w:sz w:val="22"/>
              </w:rPr>
              <w:t>Andel</w:t>
            </w:r>
          </w:p>
        </w:tc>
        <w:tc>
          <w:tcPr>
            <w:tcW w:type="dxa" w:w="2192"/>
            <w:tcBorders>
              <w:top w:val="single" w:sz="8" w:space="0" w:color="000000"/>
              <w:bottom w:val="single" w:sz="4" w:space="0" w:color="000000"/>
              <w:left w:val="nil"/>
              <w:right w:val="nil"/>
            </w:tcBorders>
          </w:tcPr>
          <w:p>
            <w:r/>
            <w:r>
              <w:rPr>
                <w:rFonts w:ascii="Times New Roman" w:hAnsi="Times New Roman"/>
                <w:b/>
                <w:sz w:val="22"/>
              </w:rPr>
              <w:t>Beskrivelse</w:t>
            </w:r>
          </w:p>
        </w:tc>
      </w:tr>
      <w:tr>
        <w:tc>
          <w:tcPr>
            <w:tcW w:type="dxa" w:w="2192"/>
          </w:tcPr>
          <w:p>
            <w:r/>
            <w:r>
              <w:rPr>
                <w:rFonts w:ascii="Times New Roman" w:hAnsi="Times New Roman"/>
                <w:sz w:val="22"/>
              </w:rPr>
              <w:t>OVERFØR_HVFS</w:t>
            </w:r>
          </w:p>
        </w:tc>
        <w:tc>
          <w:tcPr>
            <w:tcW w:type="dxa" w:w="2192"/>
          </w:tcPr>
          <w:p>
            <w:r/>
            <w:r>
              <w:rPr>
                <w:rFonts w:ascii="Times New Roman" w:hAnsi="Times New Roman"/>
                <w:sz w:val="22"/>
              </w:rPr>
              <w:t>145</w:t>
            </w:r>
          </w:p>
        </w:tc>
        <w:tc>
          <w:tcPr>
            <w:tcW w:type="dxa" w:w="2192"/>
          </w:tcPr>
          <w:p>
            <w:r/>
            <w:r>
              <w:rPr>
                <w:rFonts w:ascii="Times New Roman" w:hAnsi="Times New Roman"/>
                <w:sz w:val="22"/>
              </w:rPr>
              <w:t>20,5 %</w:t>
            </w:r>
          </w:p>
        </w:tc>
        <w:tc>
          <w:tcPr>
            <w:tcW w:type="dxa" w:w="2192"/>
          </w:tcPr>
          <w:p>
            <w:r/>
            <w:r>
              <w:rPr>
                <w:rFonts w:ascii="Times New Roman" w:hAnsi="Times New Roman"/>
                <w:sz w:val="22"/>
              </w:rPr>
              <w:t>Anbefales overført til HVFS</w:t>
            </w:r>
          </w:p>
        </w:tc>
      </w:tr>
      <w:tr>
        <w:tc>
          <w:tcPr>
            <w:tcW w:type="dxa" w:w="2192"/>
          </w:tcPr>
          <w:p>
            <w:r/>
            <w:r>
              <w:rPr>
                <w:rFonts w:ascii="Times New Roman" w:hAnsi="Times New Roman"/>
                <w:sz w:val="22"/>
              </w:rPr>
              <w:t>BEHOLD_LOKALT</w:t>
            </w:r>
          </w:p>
        </w:tc>
        <w:tc>
          <w:tcPr>
            <w:tcW w:type="dxa" w:w="2192"/>
          </w:tcPr>
          <w:p>
            <w:r/>
            <w:r>
              <w:rPr>
                <w:rFonts w:ascii="Times New Roman" w:hAnsi="Times New Roman"/>
                <w:sz w:val="22"/>
              </w:rPr>
              <w:t>257</w:t>
            </w:r>
          </w:p>
        </w:tc>
        <w:tc>
          <w:tcPr>
            <w:tcW w:type="dxa" w:w="2192"/>
          </w:tcPr>
          <w:p>
            <w:r/>
            <w:r>
              <w:rPr>
                <w:rFonts w:ascii="Times New Roman" w:hAnsi="Times New Roman"/>
                <w:sz w:val="22"/>
              </w:rPr>
              <w:t>36,2 %</w:t>
            </w:r>
          </w:p>
        </w:tc>
        <w:tc>
          <w:tcPr>
            <w:tcW w:type="dxa" w:w="2192"/>
          </w:tcPr>
          <w:p>
            <w:r/>
            <w:r>
              <w:rPr>
                <w:rFonts w:ascii="Times New Roman" w:hAnsi="Times New Roman"/>
                <w:sz w:val="22"/>
              </w:rPr>
              <w:t>Beholdes lokalt (Z-klasse eller CY)</w:t>
            </w:r>
          </w:p>
        </w:tc>
      </w:tr>
      <w:tr>
        <w:tc>
          <w:tcPr>
            <w:tcW w:type="dxa" w:w="2192"/>
          </w:tcPr>
          <w:p>
            <w:r/>
            <w:r>
              <w:rPr>
                <w:rFonts w:ascii="Times New Roman" w:hAnsi="Times New Roman"/>
                <w:sz w:val="22"/>
              </w:rPr>
              <w:t>VURDER_NÆRMERE</w:t>
            </w:r>
          </w:p>
        </w:tc>
        <w:tc>
          <w:tcPr>
            <w:tcW w:type="dxa" w:w="2192"/>
          </w:tcPr>
          <w:p>
            <w:r/>
            <w:r>
              <w:rPr>
                <w:rFonts w:ascii="Times New Roman" w:hAnsi="Times New Roman"/>
                <w:sz w:val="22"/>
              </w:rPr>
              <w:t>284</w:t>
            </w:r>
          </w:p>
        </w:tc>
        <w:tc>
          <w:tcPr>
            <w:tcW w:type="dxa" w:w="2192"/>
          </w:tcPr>
          <w:p>
            <w:r/>
            <w:r>
              <w:rPr>
                <w:rFonts w:ascii="Times New Roman" w:hAnsi="Times New Roman"/>
                <w:sz w:val="22"/>
              </w:rPr>
              <w:t>40,1 %</w:t>
            </w:r>
          </w:p>
        </w:tc>
        <w:tc>
          <w:tcPr>
            <w:tcW w:type="dxa" w:w="2192"/>
          </w:tcPr>
          <w:p>
            <w:r/>
            <w:r>
              <w:rPr>
                <w:rFonts w:ascii="Times New Roman" w:hAnsi="Times New Roman"/>
                <w:sz w:val="22"/>
              </w:rPr>
              <w:t>Krever manuell vurdering</w:t>
            </w:r>
          </w:p>
        </w:tc>
      </w:tr>
      <w:tr>
        <w:tc>
          <w:tcPr>
            <w:tcW w:type="dxa" w:w="2192"/>
          </w:tcPr>
          <w:p>
            <w:r/>
            <w:r>
              <w:rPr>
                <w:rFonts w:ascii="Times New Roman" w:hAnsi="Times New Roman"/>
                <w:sz w:val="22"/>
              </w:rPr>
              <w:t>MANGLER_DATA</w:t>
            </w:r>
          </w:p>
        </w:tc>
        <w:tc>
          <w:tcPr>
            <w:tcW w:type="dxa" w:w="2192"/>
          </w:tcPr>
          <w:p>
            <w:r/>
            <w:r>
              <w:rPr>
                <w:rFonts w:ascii="Times New Roman" w:hAnsi="Times New Roman"/>
                <w:sz w:val="22"/>
              </w:rPr>
              <w:t>23</w:t>
            </w:r>
          </w:p>
        </w:tc>
        <w:tc>
          <w:tcPr>
            <w:tcW w:type="dxa" w:w="2192"/>
          </w:tcPr>
          <w:p>
            <w:r/>
            <w:r>
              <w:rPr>
                <w:rFonts w:ascii="Times New Roman" w:hAnsi="Times New Roman"/>
                <w:sz w:val="22"/>
              </w:rPr>
              <w:t>3,2 %</w:t>
            </w:r>
          </w:p>
        </w:tc>
        <w:tc>
          <w:tcPr>
            <w:tcW w:type="dxa" w:w="2192"/>
          </w:tcPr>
          <w:p>
            <w:r/>
            <w:r>
              <w:rPr>
                <w:rFonts w:ascii="Times New Roman" w:hAnsi="Times New Roman"/>
                <w:sz w:val="22"/>
              </w:rPr>
              <w:t>Utilstrekkelig data for klassifisering</w:t>
            </w:r>
          </w:p>
        </w:tc>
      </w:tr>
      <w:tr>
        <w:tc>
          <w:tcPr>
            <w:tcW w:type="dxa" w:w="2192"/>
          </w:tcPr>
          <w:p>
            <w:r/>
            <w:r>
              <w:rPr>
                <w:rFonts w:ascii="Times New Roman" w:hAnsi="Times New Roman"/>
                <w:sz w:val="22"/>
              </w:rPr>
              <w:t>Totalt</w:t>
            </w:r>
          </w:p>
        </w:tc>
        <w:tc>
          <w:tcPr>
            <w:tcW w:type="dxa" w:w="2192"/>
          </w:tcPr>
          <w:p>
            <w:r/>
            <w:r>
              <w:rPr>
                <w:rFonts w:ascii="Times New Roman" w:hAnsi="Times New Roman"/>
                <w:sz w:val="22"/>
              </w:rPr>
              <w:t>709</w:t>
            </w:r>
          </w:p>
        </w:tc>
        <w:tc>
          <w:tcPr>
            <w:tcW w:type="dxa" w:w="2192"/>
          </w:tcPr>
          <w:p>
            <w:r/>
            <w:r>
              <w:rPr>
                <w:rFonts w:ascii="Times New Roman" w:hAnsi="Times New Roman"/>
                <w:sz w:val="22"/>
              </w:rPr>
              <w:t>100 %</w:t>
            </w:r>
          </w:p>
        </w:tc>
        <w:tc>
          <w:tcPr>
            <w:tcW w:type="dxa" w:w="2192"/>
          </w:tcPr>
          <w:p>
            <w:r/>
            <w:r>
              <w:rPr>
                <w:rFonts w:ascii="Times New Roman" w:hAnsi="Times New Roman"/>
                <w:sz w:val="22"/>
              </w:rPr>
            </w:r>
          </w:p>
        </w:tc>
      </w:tr>
    </w:tbl>
    <w:p>
      <w:r>
        <w:rPr>
          <w:rFonts w:ascii="Times New Roman" w:hAnsi="Times New Roman"/>
          <w:i/>
          <w:sz w:val="20"/>
        </w:rPr>
        <w:t>Tabell 13. HVFS-anbefalinger fra regelmotor: fordeling per kategori (n = 709, LGORT 3001).</w:t>
      </w:r>
    </w:p>
    <w:p>
      <w:pPr>
        <w:spacing w:line="360" w:lineRule="auto"/>
      </w:pPr>
      <w:r>
        <w:rPr>
          <w:rFonts w:ascii="Times New Roman" w:hAnsi="Times New Roman" w:cs="Times New Roman"/>
          <w:sz w:val="24"/>
        </w:rPr>
        <w:t>145 artikler (20,5 %) anbefales overført til HVFS. Denne gruppen består av artikler som tilfredsstiller ett eller flere av de positive overføringsskriteriene: R3 fanget 91 artikler (A/B + X + FOR\_MANGE\_ORDRER), R4 fanget 26 artikler (A/B + X + K\_OVERFØR), og R5 fanget 28 artikler (A/B + Y + K\_OVERFØR). Av de 145 overførte artiklene har 117 status FOR\_MANGE\_ORDRER og inngår dermed i besparelsesberegningen i avsnitt 7.6. De resterende 28 artiklene (R5) inngår ikke i besparelsesgrunnlaget fordi FOR\_MANGE\_ORDRER-flagget ikke er aktivert, men de anbefales overført fordi kombinasjonen av ABC/XYZ-profil (A/B + Y) og K\_OVERFØR-klyngetilhørighet oppfyller APL-egnethetskriteriet for sentralisering, jf. kap. 5.5.</w:t>
      </w:r>
    </w:p>
    <w:p>
      <w:pPr>
        <w:spacing w:line="360" w:lineRule="auto"/>
      </w:pPr>
      <w:r>
        <w:rPr>
          <w:rFonts w:ascii="Times New Roman" w:hAnsi="Times New Roman" w:cs="Times New Roman"/>
          <w:sz w:val="24"/>
        </w:rPr>
        <w:t>257 artikler (36,2 %) beholdes lokalt, primært grunnet Z-klassifisering (R1: 144 artikler) eller CY-profil (R2: 113 artikler). Z-override (R1) er den enkeltregelen som fanger flest artikler, noe som bekrefter at uforutsigbart forbruksmønster er den vanligste kontraindikasjonen mot sentralisering i dette sortimentet. 284 artikler (40,1 %) sendes til manuell vurdering — artikler der de kvantitative signalene fra ABC, XYZ, EOQ og K-means ikke er tilstrekkelig entydige til å generere en automatisert anbefaling. 23 artikler (3,2 %) mangler tilstrekkelig data for klassifisering. Fordelingen er visualisert i Figur 12 i kapittel 6.</w:t>
      </w:r>
    </w:p>
    <w:p>
      <w:pPr>
        <w:pStyle w:val="Overskrift2"/>
      </w:pPr>
      <w:r>
        <w:rPr>
          <w:rFonts w:ascii="Times New Roman" w:hAnsi="Times New Roman"/>
          <w:color w:val="000000"/>
          <w:sz w:val="32"/>
        </w:rPr>
        <w:t>7.6 Besparelse og sensitivitet</w:t>
      </w:r>
    </w:p>
    <w:p>
      <w:pPr>
        <w:spacing w:line="360" w:lineRule="auto"/>
      </w:pPr>
      <w:r>
        <w:rPr>
          <w:rFonts w:ascii="Times New Roman" w:hAnsi="Times New Roman" w:cs="Times New Roman"/>
          <w:sz w:val="24"/>
        </w:rPr>
        <w:t xml:space="preserve">Besparelsesestimatet er beregnet for de 117 artiklene som oppfyller begge kriteriene OVERFØR\_HVFS og FOR\_MANGE\_ORDRER. Formelen er </w:t>
      </w:r>
      <m:oMath>
        <m:r>
          <m:t>B=</m:t>
        </m:r>
        <m:nary>
          <m:naryPr>
            <m:chr m:val="∑"/>
            <m:limLoc m:val="subSup"/>
            <m:grow m:val="1"/>
            <m:subHide m:val="off"/>
            <m:supHide m:val="on"/>
          </m:naryPr>
          <m:sub>
            <m:r>
              <m:t>i</m:t>
            </m:r>
          </m:sub>
          <m:sup/>
          <m:e>
            <m:r>
              <m:t>ΔT</m:t>
            </m:r>
          </m:e>
        </m:nary>
        <m:sSub>
          <m:e>
            <m:r>
              <m:t>C</m:t>
            </m:r>
          </m:e>
          <m:sub>
            <m:r>
              <m:t>i</m:t>
            </m:r>
          </m:sub>
        </m:sSub>
        <m:r>
          <m:t>×g</m:t>
        </m:r>
      </m:oMath>
      <w:r>
        <w:rPr>
          <w:rFonts w:ascii="Times New Roman" w:hAnsi="Times New Roman" w:cs="Times New Roman"/>
          <w:sz w:val="24"/>
        </w:rPr>
        <w:t xml:space="preserve">, der </w:t>
      </w:r>
      <m:oMath>
        <m:r>
          <m:t>g</m:t>
        </m:r>
      </m:oMath>
      <w:r>
        <w:rPr>
          <w:rFonts w:ascii="Times New Roman" w:hAnsi="Times New Roman" w:cs="Times New Roman"/>
          <w:sz w:val="24"/>
        </w:rPr>
        <w:t xml:space="preserve"> er antatt realiseringsgrad for den teoretiske EOQ-besparelsen. Tabell 14 viser resultatene for de tre scenariene.</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923"/>
        <w:gridCol w:w="2923"/>
        <w:gridCol w:w="2923"/>
      </w:tblGrid>
      <w:tr>
        <w:tc>
          <w:tcPr>
            <w:tcW w:type="dxa" w:w="2923"/>
            <w:tcBorders>
              <w:top w:val="single" w:sz="8" w:space="0" w:color="000000"/>
              <w:bottom w:val="single" w:sz="4" w:space="0" w:color="000000"/>
              <w:left w:val="nil"/>
              <w:right w:val="nil"/>
            </w:tcBorders>
          </w:tcPr>
          <w:p>
            <w:r/>
            <w:r>
              <w:rPr>
                <w:rFonts w:ascii="Times New Roman" w:hAnsi="Times New Roman"/>
                <w:b/>
                <w:sz w:val="22"/>
              </w:rPr>
              <w:t>Scenario</w:t>
            </w:r>
          </w:p>
        </w:tc>
        <w:tc>
          <w:tcPr>
            <w:tcW w:type="dxa" w:w="2923"/>
            <w:tcBorders>
              <w:top w:val="single" w:sz="8" w:space="0" w:color="000000"/>
              <w:bottom w:val="single" w:sz="4" w:space="0" w:color="000000"/>
              <w:left w:val="nil"/>
              <w:right w:val="nil"/>
            </w:tcBorders>
          </w:tcPr>
          <w:p>
            <w:r/>
            <w:r>
              <w:rPr>
                <w:rFonts w:ascii="Times New Roman" w:hAnsi="Times New Roman"/>
                <w:b/>
                <w:sz w:val="22"/>
              </w:rPr>
              <w:t>Realiseringsgrad g</w:t>
            </w:r>
          </w:p>
        </w:tc>
        <w:tc>
          <w:tcPr>
            <w:tcW w:type="dxa" w:w="2923"/>
            <w:tcBorders>
              <w:top w:val="single" w:sz="8" w:space="0" w:color="000000"/>
              <w:bottom w:val="single" w:sz="4" w:space="0" w:color="000000"/>
              <w:left w:val="nil"/>
              <w:right w:val="nil"/>
            </w:tcBorders>
          </w:tcPr>
          <w:p>
            <w:r/>
            <w:r>
              <w:rPr>
                <w:rFonts w:ascii="Times New Roman" w:hAnsi="Times New Roman"/>
                <w:b/>
                <w:sz w:val="22"/>
              </w:rPr>
              <w:t>Besparelse B_HVFS (kr/år)</w:t>
            </w:r>
          </w:p>
        </w:tc>
      </w:tr>
      <w:tr>
        <w:tc>
          <w:tcPr>
            <w:tcW w:type="dxa" w:w="2923"/>
          </w:tcPr>
          <w:p>
            <w:r/>
            <w:r>
              <w:rPr>
                <w:rFonts w:ascii="Times New Roman" w:hAnsi="Times New Roman"/>
                <w:sz w:val="22"/>
              </w:rPr>
              <w:t>Worst case</w:t>
            </w:r>
          </w:p>
        </w:tc>
        <w:tc>
          <w:tcPr>
            <w:tcW w:type="dxa" w:w="2923"/>
          </w:tcPr>
          <w:p>
            <w:r/>
            <w:r>
              <w:rPr>
                <w:rFonts w:ascii="Times New Roman" w:hAnsi="Times New Roman"/>
                <w:sz w:val="22"/>
              </w:rPr>
              <w:t>50 %</w:t>
            </w:r>
          </w:p>
        </w:tc>
        <w:tc>
          <w:tcPr>
            <w:tcW w:type="dxa" w:w="2923"/>
          </w:tcPr>
          <w:p>
            <w:r/>
            <w:r>
              <w:rPr>
                <w:rFonts w:ascii="Times New Roman" w:hAnsi="Times New Roman"/>
                <w:sz w:val="22"/>
              </w:rPr>
              <w:t>301 010</w:t>
            </w:r>
          </w:p>
        </w:tc>
      </w:tr>
      <w:tr>
        <w:tc>
          <w:tcPr>
            <w:tcW w:type="dxa" w:w="2923"/>
          </w:tcPr>
          <w:p>
            <w:r/>
            <w:r>
              <w:rPr>
                <w:rFonts w:ascii="Times New Roman" w:hAnsi="Times New Roman"/>
                <w:sz w:val="22"/>
              </w:rPr>
              <w:t>Base case</w:t>
            </w:r>
          </w:p>
        </w:tc>
        <w:tc>
          <w:tcPr>
            <w:tcW w:type="dxa" w:w="2923"/>
          </w:tcPr>
          <w:p>
            <w:r/>
            <w:r>
              <w:rPr>
                <w:rFonts w:ascii="Times New Roman" w:hAnsi="Times New Roman"/>
                <w:sz w:val="22"/>
              </w:rPr>
              <w:t>75 %</w:t>
            </w:r>
          </w:p>
        </w:tc>
        <w:tc>
          <w:tcPr>
            <w:tcW w:type="dxa" w:w="2923"/>
          </w:tcPr>
          <w:p>
            <w:r/>
            <w:r>
              <w:rPr>
                <w:rFonts w:ascii="Times New Roman" w:hAnsi="Times New Roman"/>
                <w:sz w:val="22"/>
              </w:rPr>
              <w:t>451 515</w:t>
            </w:r>
          </w:p>
        </w:tc>
      </w:tr>
      <w:tr>
        <w:tc>
          <w:tcPr>
            <w:tcW w:type="dxa" w:w="2923"/>
          </w:tcPr>
          <w:p>
            <w:r/>
            <w:r>
              <w:rPr>
                <w:rFonts w:ascii="Times New Roman" w:hAnsi="Times New Roman"/>
                <w:sz w:val="22"/>
              </w:rPr>
              <w:t>Best case</w:t>
            </w:r>
          </w:p>
        </w:tc>
        <w:tc>
          <w:tcPr>
            <w:tcW w:type="dxa" w:w="2923"/>
          </w:tcPr>
          <w:p>
            <w:r/>
            <w:r>
              <w:rPr>
                <w:rFonts w:ascii="Times New Roman" w:hAnsi="Times New Roman"/>
                <w:sz w:val="22"/>
              </w:rPr>
              <w:t>100 %</w:t>
            </w:r>
          </w:p>
        </w:tc>
        <w:tc>
          <w:tcPr>
            <w:tcW w:type="dxa" w:w="2923"/>
          </w:tcPr>
          <w:p>
            <w:r/>
            <w:r>
              <w:rPr>
                <w:rFonts w:ascii="Times New Roman" w:hAnsi="Times New Roman"/>
                <w:sz w:val="22"/>
              </w:rPr>
              <w:t>602 020</w:t>
            </w:r>
          </w:p>
        </w:tc>
      </w:tr>
    </w:tbl>
    <w:p>
      <w:r>
        <w:rPr>
          <w:rFonts w:ascii="Times New Roman" w:hAnsi="Times New Roman"/>
          <w:i/>
          <w:sz w:val="20"/>
        </w:rPr>
        <w:t>Tabell 14. Besparelsesestimater for tre scenarier: 117 artikler (OVERFØR\_HVFS ∩ FOR\_MANGE\_ORDRER), S = 750 NOK.</w:t>
      </w:r>
    </w:p>
    <w:p>
      <w:pPr>
        <w:spacing w:line="360" w:lineRule="auto"/>
      </w:pPr>
      <w:r>
        <w:rPr>
          <w:rFonts w:ascii="Times New Roman" w:hAnsi="Times New Roman" w:cs="Times New Roman"/>
          <w:sz w:val="24"/>
        </w:rPr>
        <w:t>Base case-besparelsen er kr 451 515 per år (</w:t>
      </w:r>
      <m:oMath>
        <m:r>
          <m:t>g=75</m:t>
        </m:r>
      </m:oMath>
      <w:r>
        <w:rPr>
          <w:rFonts w:ascii="Times New Roman" w:hAnsi="Times New Roman" w:cs="Times New Roman"/>
          <w:sz w:val="24"/>
        </w:rPr>
        <w:t xml:space="preserve">) av et samlet teoretisk </w:t>
      </w:r>
      <m:oMath>
        <m:r>
          <m:t>∑ΔT</m:t>
        </m:r>
        <m:sSub>
          <m:e>
            <m:r>
              <m:t>C</m:t>
            </m:r>
          </m:e>
          <m:sub>
            <m:r>
              <m:t>i</m:t>
            </m:r>
          </m:sub>
        </m:sSub>
      </m:oMath>
      <w:r>
        <w:rPr>
          <w:rFonts w:ascii="Times New Roman" w:hAnsi="Times New Roman" w:cs="Times New Roman"/>
          <w:sz w:val="24"/>
        </w:rPr>
        <w:t xml:space="preserve"> på kr 602 020. Gevinstrealiseringsgraden </w:t>
      </w:r>
      <m:oMath>
        <m:r>
          <m:t>g</m:t>
        </m:r>
      </m:oMath>
      <w:r>
        <w:rPr>
          <w:rFonts w:ascii="Times New Roman" w:hAnsi="Times New Roman" w:cs="Times New Roman"/>
          <w:sz w:val="24"/>
        </w:rPr>
        <w:t xml:space="preserve"> reflekterer at implementeringsfriksjon og SAP-parameterjusteringer gjør det urealistisk å oppnå 100 % av det teoretiske potensialet.</w:t>
      </w:r>
    </w:p>
    <w:p>
      <w:pPr>
        <w:spacing w:line="360" w:lineRule="auto"/>
      </w:pPr>
      <w:r>
        <w:rPr>
          <w:rFonts w:ascii="Times New Roman" w:hAnsi="Times New Roman" w:cs="Times New Roman"/>
          <w:sz w:val="24"/>
        </w:rPr>
        <w:t xml:space="preserve">Sensitivitetsanalysen over 27 scenarier — der S varieres over {500, 750, 1 000} NOK, h over {15 %, 20 %, 25 %} og terskelparameteren </w:t>
      </w:r>
      <m:oMath>
        <m:sSub>
          <m:e>
            <m:r>
              <m:t>τ</m:t>
            </m:r>
          </m:e>
          <m:sub>
            <m:r>
              <m:t>f</m:t>
            </m:r>
          </m:sub>
        </m:sSub>
      </m:oMath>
      <w:r>
        <w:rPr>
          <w:rFonts w:ascii="Times New Roman" w:hAnsi="Times New Roman" w:cs="Times New Roman"/>
          <w:sz w:val="24"/>
        </w:rPr>
        <w:t xml:space="preserve"> over {1,25, 1,50, 2,00} — viser at det samlede </w:t>
      </w:r>
      <m:oMath>
        <m:r>
          <m:t>ΔTC</m:t>
        </m:r>
      </m:oMath>
      <w:r>
        <w:rPr>
          <w:rFonts w:ascii="Times New Roman" w:hAnsi="Times New Roman" w:cs="Times New Roman"/>
          <w:sz w:val="24"/>
        </w:rPr>
        <w:t xml:space="preserve"> for hele populasjonen (487 artikler) varierer mellom kr 1 602 464 og kr 3 068 757 per år avhengig av parametervalg. Besparelsesestimatet </w:t>
      </w:r>
      <m:oMath>
        <m:sSub>
          <m:e>
            <m:r>
              <m:t>B</m:t>
            </m:r>
          </m:e>
          <m:sub>
            <m:r>
              <m:rPr>
                <m:nor/>
              </m:rPr>
              <m:t>HVFS</m:t>
            </m:r>
          </m:sub>
        </m:sSub>
      </m:oMath>
      <w:r>
        <w:rPr>
          <w:rFonts w:ascii="Times New Roman" w:hAnsi="Times New Roman" w:cs="Times New Roman"/>
          <w:sz w:val="24"/>
        </w:rPr>
        <w:t xml:space="preserve"> (</w:t>
      </w:r>
      <m:oMath>
        <m:r>
          <m:t>g=75</m:t>
        </m:r>
      </m:oMath>
      <w:r>
        <w:rPr>
          <w:rFonts w:ascii="Times New Roman" w:hAnsi="Times New Roman" w:cs="Times New Roman"/>
          <w:sz w:val="24"/>
        </w:rPr>
        <w:t xml:space="preserve">) varierer mellom kr 176 374 og kr 763 903 per år over de 27 scenariene, der kandidatsettet (OVERFØR\_HVFS ∩ FOR\_MANGE\_ORDRER) reberegnes for hvert scenario. Den dominerende usikkerhetsfaktoren er ordrekostnad S: en økning fra 500 til 1 000 NOK nær dobler det beregnede kostnadsavviket, da ordrekostnaden inngår lineært i totalkostnadsfunksjonen. Holdesats h har en moderat effekt, mens terskelparameteren </w:t>
      </w:r>
      <m:oMath>
        <m:sSub>
          <m:e>
            <m:r>
              <m:t>τ</m:t>
            </m:r>
          </m:e>
          <m:sub>
            <m:r>
              <m:t>f</m:t>
            </m:r>
          </m:sub>
        </m:sSub>
      </m:oMath>
      <w:r>
        <w:rPr>
          <w:rFonts w:ascii="Times New Roman" w:hAnsi="Times New Roman" w:cs="Times New Roman"/>
          <w:sz w:val="24"/>
        </w:rPr>
        <w:t xml:space="preserve"> primært påvirker antallet artikler som klassifiseres som FOR\_MANGE\_ORDRER — en lavere terskel (1,25) gir flere artikler i overføringsgrunnlaget, men reduserer gjennomsnittlig </w:t>
      </w:r>
      <m:oMath>
        <m:r>
          <m:t>ΔTC</m:t>
        </m:r>
      </m:oMath>
      <w:r>
        <w:rPr>
          <w:rFonts w:ascii="Times New Roman" w:hAnsi="Times New Roman" w:cs="Times New Roman"/>
          <w:sz w:val="24"/>
        </w:rPr>
        <w:t xml:space="preserve"> per artikkel. Resultatene er robuste i den forstand at besparelsesestimatet forblir positivt og vesentlig over alle 27 scenarier.</w:t>
      </w:r>
    </w:p>
    <w:p>
      <w:pPr>
        <w:pStyle w:val="Overskrift1"/>
        <w:pageBreakBefore w:val="true"/>
      </w:pPr>
      <w:r>
        <w:rPr>
          <w:rFonts w:ascii="Times New Roman" w:hAnsi="Times New Roman"/>
          <w:color w:val="000000"/>
          <w:sz w:val="36"/>
        </w:rPr>
        <w:t>Kapittel 8 – Diskusjon</w:t>
      </w:r>
    </w:p>
    <w:p>
      <w:pPr>
        <w:pStyle w:val="Overskrift2"/>
      </w:pPr>
      <w:r>
        <w:rPr>
          <w:rFonts w:ascii="Times New Roman" w:hAnsi="Times New Roman"/>
          <w:color w:val="000000"/>
          <w:sz w:val="32"/>
        </w:rPr>
        <w:t>8.1 Funn opp mot litteraturen</w:t>
      </w:r>
    </w:p>
    <w:p>
      <w:pPr>
        <w:spacing w:line="360" w:lineRule="auto"/>
      </w:pPr>
      <w:r>
        <w:rPr>
          <w:rFonts w:ascii="Times New Roman" w:hAnsi="Times New Roman" w:cs="Times New Roman"/>
          <w:sz w:val="24"/>
        </w:rPr>
        <w:t>A-kategoriens 182 artikler (25,7 % av populasjonen, ~80 % av verdien) samsvarer med Pareto-prinsippet. At A-andelen er noe høyere enn den kanoniske 20 %, er konsistent med Bijvank og Vis (2012), som påpeker at sykehuslagre gjerne har en mer konsentrert verdidistribusjon enn industrilager.</w:t>
      </w:r>
    </w:p>
    <w:p>
      <w:pPr>
        <w:spacing w:line="360" w:lineRule="auto"/>
      </w:pPr>
      <w:r>
        <w:rPr>
          <w:rFonts w:ascii="Times New Roman" w:hAnsi="Times New Roman" w:cs="Times New Roman"/>
          <w:sz w:val="24"/>
        </w:rPr>
        <w:t>Det lave samsvaret (33 %) mellom ZZXYZ og beregnet CV er forventet: van Kampen et al. (2012) understreker at systemregistrerte klassifiseringer raskt mister aktualitet, og Nowotyńska (2013) finner tilsvarende divergens. Funnet gir empirisk støtte til at CV-beregning fra transaksjonsdata er nødvendig for pålitelig klassifisering.</w:t>
      </w:r>
    </w:p>
    <w:p>
      <w:pPr>
        <w:spacing w:line="360" w:lineRule="auto"/>
      </w:pPr>
      <w:r>
        <w:rPr>
          <w:rFonts w:ascii="Times New Roman" w:hAnsi="Times New Roman" w:cs="Times New Roman"/>
          <w:sz w:val="24"/>
        </w:rPr>
        <w:t>Silhouette-scoren (0,383 trening, 0,368 test) er over minstekravet 0,3 for eksplorativ analyse (Ketkar &amp; Vaidya, 2014), men moderat — noe som er typisk for lagerklassifiseringsproblemer der artikler ikke naturlig danner skarpt separerte grupper (Srinivasan &amp; Moon, 1999). Differansen på 0,015 indikerer akseptabel generalisering.</w:t>
      </w:r>
    </w:p>
    <w:p>
      <w:pPr>
        <w:spacing w:line="360" w:lineRule="auto"/>
      </w:pPr>
      <w:r>
        <w:rPr>
          <w:rFonts w:ascii="Times New Roman" w:hAnsi="Times New Roman" w:cs="Times New Roman"/>
          <w:sz w:val="24"/>
        </w:rPr>
        <w:t>Base case-besparelsen (kr 451 515/år) er i tråd med Moons et al. (2019), som rapporterer moderate, men operasjonelt vesentlige gevinster ved optimalisert bestillingspraksis i europeiske sykehus.</w:t>
      </w:r>
    </w:p>
    <w:p>
      <w:pPr>
        <w:spacing w:line="360" w:lineRule="auto"/>
      </w:pPr>
      <w:r>
        <w:rPr>
          <w:rFonts w:ascii="Times New Roman" w:hAnsi="Times New Roman" w:cs="Times New Roman"/>
          <w:sz w:val="24"/>
        </w:rPr>
        <w:t>Tabell 15 oppsummerer de sentrale funnene fra denne studien sett opp mot forventninger fra litteraturen.</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1754"/>
        <w:gridCol w:w="1754"/>
        <w:gridCol w:w="1754"/>
        <w:gridCol w:w="1754"/>
        <w:gridCol w:w="1754"/>
      </w:tblGrid>
      <w:tr>
        <w:tc>
          <w:tcPr>
            <w:tcW w:type="dxa" w:w="1754"/>
            <w:tcBorders>
              <w:top w:val="single" w:sz="8" w:space="0" w:color="000000"/>
              <w:bottom w:val="single" w:sz="4" w:space="0" w:color="000000"/>
              <w:left w:val="nil"/>
              <w:right w:val="nil"/>
            </w:tcBorders>
          </w:tcPr>
          <w:p>
            <w:r/>
            <w:r>
              <w:rPr>
                <w:rFonts w:ascii="Times New Roman" w:hAnsi="Times New Roman"/>
                <w:b/>
                <w:sz w:val="22"/>
              </w:rPr>
              <w:t>Funn</w:t>
            </w:r>
          </w:p>
        </w:tc>
        <w:tc>
          <w:tcPr>
            <w:tcW w:type="dxa" w:w="1754"/>
            <w:tcBorders>
              <w:top w:val="single" w:sz="8" w:space="0" w:color="000000"/>
              <w:bottom w:val="single" w:sz="4" w:space="0" w:color="000000"/>
              <w:left w:val="nil"/>
              <w:right w:val="nil"/>
            </w:tcBorders>
          </w:tcPr>
          <w:p>
            <w:r/>
            <w:r>
              <w:rPr>
                <w:rFonts w:ascii="Times New Roman" w:hAnsi="Times New Roman"/>
                <w:b/>
                <w:sz w:val="22"/>
              </w:rPr>
              <w:t>Eget resultat</w:t>
            </w:r>
          </w:p>
        </w:tc>
        <w:tc>
          <w:tcPr>
            <w:tcW w:type="dxa" w:w="1754"/>
            <w:tcBorders>
              <w:top w:val="single" w:sz="8" w:space="0" w:color="000000"/>
              <w:bottom w:val="single" w:sz="4" w:space="0" w:color="000000"/>
              <w:left w:val="nil"/>
              <w:right w:val="nil"/>
            </w:tcBorders>
          </w:tcPr>
          <w:p>
            <w:r/>
            <w:r>
              <w:rPr>
                <w:rFonts w:ascii="Times New Roman" w:hAnsi="Times New Roman"/>
                <w:b/>
                <w:sz w:val="22"/>
              </w:rPr>
              <w:t>Litteraturen</w:t>
            </w:r>
          </w:p>
        </w:tc>
        <w:tc>
          <w:tcPr>
            <w:tcW w:type="dxa" w:w="1754"/>
            <w:tcBorders>
              <w:top w:val="single" w:sz="8" w:space="0" w:color="000000"/>
              <w:bottom w:val="single" w:sz="4" w:space="0" w:color="000000"/>
              <w:left w:val="nil"/>
              <w:right w:val="nil"/>
            </w:tcBorders>
          </w:tcPr>
          <w:p>
            <w:r/>
            <w:r>
              <w:rPr>
                <w:rFonts w:ascii="Times New Roman" w:hAnsi="Times New Roman"/>
                <w:b/>
                <w:sz w:val="22"/>
              </w:rPr>
              <w:t>Samsvar</w:t>
            </w:r>
          </w:p>
        </w:tc>
        <w:tc>
          <w:tcPr>
            <w:tcW w:type="dxa" w:w="1754"/>
            <w:tcBorders>
              <w:top w:val="single" w:sz="8" w:space="0" w:color="000000"/>
              <w:bottom w:val="single" w:sz="4" w:space="0" w:color="000000"/>
              <w:left w:val="nil"/>
              <w:right w:val="nil"/>
            </w:tcBorders>
          </w:tcPr>
          <w:p>
            <w:r/>
            <w:r>
              <w:rPr>
                <w:rFonts w:ascii="Times New Roman" w:hAnsi="Times New Roman"/>
                <w:b/>
                <w:sz w:val="22"/>
              </w:rPr>
              <w:t>Referanse</w:t>
            </w:r>
          </w:p>
        </w:tc>
      </w:tr>
      <w:tr>
        <w:tc>
          <w:tcPr>
            <w:tcW w:type="dxa" w:w="1754"/>
          </w:tcPr>
          <w:p>
            <w:r/>
            <w:r>
              <w:rPr>
                <w:rFonts w:ascii="Times New Roman" w:hAnsi="Times New Roman"/>
                <w:sz w:val="22"/>
              </w:rPr>
              <w:t>A-klasse andel</w:t>
            </w:r>
          </w:p>
        </w:tc>
        <w:tc>
          <w:tcPr>
            <w:tcW w:type="dxa" w:w="1754"/>
          </w:tcPr>
          <w:p>
            <w:r/>
            <w:r>
              <w:rPr>
                <w:rFonts w:ascii="Times New Roman" w:hAnsi="Times New Roman"/>
                <w:sz w:val="22"/>
              </w:rPr>
              <w:t>25,7 % av artikler = 80 % av verdi</w:t>
            </w:r>
          </w:p>
        </w:tc>
        <w:tc>
          <w:tcPr>
            <w:tcW w:type="dxa" w:w="1754"/>
          </w:tcPr>
          <w:p>
            <w:r/>
            <w:r>
              <w:rPr>
                <w:rFonts w:ascii="Times New Roman" w:hAnsi="Times New Roman"/>
                <w:sz w:val="22"/>
              </w:rPr>
              <w:t>Typisk 20–25 % etter Pareto</w:t>
            </w:r>
          </w:p>
        </w:tc>
        <w:tc>
          <w:tcPr>
            <w:tcW w:type="dxa" w:w="1754"/>
          </w:tcPr>
          <w:p>
            <w:r/>
            <w:r>
              <w:rPr>
                <w:rFonts w:ascii="Times New Roman" w:hAnsi="Times New Roman"/>
                <w:sz w:val="22"/>
              </w:rPr>
              <w:t>Ja</w:t>
            </w:r>
          </w:p>
        </w:tc>
        <w:tc>
          <w:tcPr>
            <w:tcW w:type="dxa" w:w="1754"/>
          </w:tcPr>
          <w:p>
            <w:r/>
            <w:r>
              <w:rPr>
                <w:rFonts w:ascii="Times New Roman" w:hAnsi="Times New Roman"/>
                <w:sz w:val="22"/>
              </w:rPr>
              <w:t>Gupta et al. (2007)</w:t>
            </w:r>
          </w:p>
        </w:tc>
      </w:tr>
      <w:tr>
        <w:tc>
          <w:tcPr>
            <w:tcW w:type="dxa" w:w="1754"/>
          </w:tcPr>
          <w:p>
            <w:r/>
            <w:r>
              <w:rPr>
                <w:rFonts w:ascii="Times New Roman" w:hAnsi="Times New Roman"/>
                <w:sz w:val="22"/>
              </w:rPr>
              <w:t>XYZ-samsvar med SAP ZZXYZ</w:t>
            </w:r>
          </w:p>
        </w:tc>
        <w:tc>
          <w:tcPr>
            <w:tcW w:type="dxa" w:w="1754"/>
          </w:tcPr>
          <w:p>
            <w:r/>
            <w:r>
              <w:rPr>
                <w:rFonts w:ascii="Times New Roman" w:hAnsi="Times New Roman"/>
                <w:sz w:val="22"/>
              </w:rPr>
              <w:t>33 % (125/375)</w:t>
            </w:r>
          </w:p>
        </w:tc>
        <w:tc>
          <w:tcPr>
            <w:tcW w:type="dxa" w:w="1754"/>
          </w:tcPr>
          <w:p>
            <w:r/>
            <w:r>
              <w:rPr>
                <w:rFonts w:ascii="Times New Roman" w:hAnsi="Times New Roman"/>
                <w:sz w:val="22"/>
              </w:rPr>
              <w:t>Statisk klassifisering divergerer over tid</w:t>
            </w:r>
          </w:p>
        </w:tc>
        <w:tc>
          <w:tcPr>
            <w:tcW w:type="dxa" w:w="1754"/>
          </w:tcPr>
          <w:p>
            <w:r/>
            <w:r>
              <w:rPr>
                <w:rFonts w:ascii="Times New Roman" w:hAnsi="Times New Roman"/>
                <w:sz w:val="22"/>
              </w:rPr>
              <w:t>Ja</w:t>
            </w:r>
          </w:p>
        </w:tc>
        <w:tc>
          <w:tcPr>
            <w:tcW w:type="dxa" w:w="1754"/>
          </w:tcPr>
          <w:p>
            <w:r/>
            <w:r>
              <w:rPr>
                <w:rFonts w:ascii="Times New Roman" w:hAnsi="Times New Roman"/>
                <w:sz w:val="22"/>
              </w:rPr>
              <w:t>van Kampen et al. (2012)</w:t>
            </w:r>
          </w:p>
        </w:tc>
      </w:tr>
      <w:tr>
        <w:tc>
          <w:tcPr>
            <w:tcW w:type="dxa" w:w="1754"/>
          </w:tcPr>
          <w:p>
            <w:r/>
            <w:r>
              <w:rPr>
                <w:rFonts w:ascii="Times New Roman" w:hAnsi="Times New Roman"/>
                <w:sz w:val="22"/>
              </w:rPr>
              <w:t>X-artikler andel</w:t>
            </w:r>
          </w:p>
        </w:tc>
        <w:tc>
          <w:tcPr>
            <w:tcW w:type="dxa" w:w="1754"/>
          </w:tcPr>
          <w:p>
            <w:r/>
            <w:r>
              <w:rPr>
                <w:rFonts w:ascii="Times New Roman" w:hAnsi="Times New Roman"/>
                <w:sz w:val="22"/>
              </w:rPr>
              <w:t>50,9 % (350 av 687)</w:t>
            </w:r>
          </w:p>
        </w:tc>
        <w:tc>
          <w:tcPr>
            <w:tcW w:type="dxa" w:w="1754"/>
          </w:tcPr>
          <w:p>
            <w:r/>
            <w:r>
              <w:rPr>
                <w:rFonts w:ascii="Times New Roman" w:hAnsi="Times New Roman"/>
                <w:sz w:val="22"/>
              </w:rPr>
              <w:t>Stabile artikler utgjør gjerne flertallet</w:t>
            </w:r>
          </w:p>
        </w:tc>
        <w:tc>
          <w:tcPr>
            <w:tcW w:type="dxa" w:w="1754"/>
          </w:tcPr>
          <w:p>
            <w:r/>
            <w:r>
              <w:rPr>
                <w:rFonts w:ascii="Times New Roman" w:hAnsi="Times New Roman"/>
                <w:sz w:val="22"/>
              </w:rPr>
              <w:t>Ja</w:t>
            </w:r>
          </w:p>
        </w:tc>
        <w:tc>
          <w:tcPr>
            <w:tcW w:type="dxa" w:w="1754"/>
          </w:tcPr>
          <w:p>
            <w:r/>
            <w:r>
              <w:rPr>
                <w:rFonts w:ascii="Times New Roman" w:hAnsi="Times New Roman"/>
                <w:sz w:val="22"/>
              </w:rPr>
              <w:t>Nowotyńska (2013)</w:t>
            </w:r>
          </w:p>
        </w:tc>
      </w:tr>
      <w:tr>
        <w:tc>
          <w:tcPr>
            <w:tcW w:type="dxa" w:w="1754"/>
          </w:tcPr>
          <w:p>
            <w:r/>
            <w:r>
              <w:rPr>
                <w:rFonts w:ascii="Times New Roman" w:hAnsi="Times New Roman"/>
                <w:sz w:val="22"/>
              </w:rPr>
              <w:t>K-means silhouette</w:t>
            </w:r>
          </w:p>
        </w:tc>
        <w:tc>
          <w:tcPr>
            <w:tcW w:type="dxa" w:w="1754"/>
          </w:tcPr>
          <w:p>
            <w:r/>
            <w:r>
              <w:rPr>
                <w:rFonts w:ascii="Times New Roman" w:hAnsi="Times New Roman"/>
                <w:sz w:val="22"/>
              </w:rPr>
              <w:t>0,383 (tren) / 0,368 (test)</w:t>
            </w:r>
          </w:p>
        </w:tc>
        <w:tc>
          <w:tcPr>
            <w:tcW w:type="dxa" w:w="1754"/>
          </w:tcPr>
          <w:p>
            <w:r/>
            <w:r>
              <w:rPr>
                <w:rFonts w:ascii="Times New Roman" w:hAnsi="Times New Roman"/>
                <w:sz w:val="22"/>
              </w:rPr>
              <w:t>&gt; 0,3 akseptabelt for eksplorativ analyse</w:t>
            </w:r>
          </w:p>
        </w:tc>
        <w:tc>
          <w:tcPr>
            <w:tcW w:type="dxa" w:w="1754"/>
          </w:tcPr>
          <w:p>
            <w:r/>
            <w:r>
              <w:rPr>
                <w:rFonts w:ascii="Times New Roman" w:hAnsi="Times New Roman"/>
                <w:sz w:val="22"/>
              </w:rPr>
              <w:t>Ja</w:t>
            </w:r>
          </w:p>
        </w:tc>
        <w:tc>
          <w:tcPr>
            <w:tcW w:type="dxa" w:w="1754"/>
          </w:tcPr>
          <w:p>
            <w:r/>
            <w:r>
              <w:rPr>
                <w:rFonts w:ascii="Times New Roman" w:hAnsi="Times New Roman"/>
                <w:sz w:val="22"/>
              </w:rPr>
              <w:t>Ketkar &amp; Vaidya (2014)</w:t>
            </w:r>
          </w:p>
        </w:tc>
      </w:tr>
      <w:tr>
        <w:tc>
          <w:tcPr>
            <w:tcW w:type="dxa" w:w="1754"/>
          </w:tcPr>
          <w:p>
            <w:r/>
            <w:r>
              <w:rPr>
                <w:rFonts w:ascii="Times New Roman" w:hAnsi="Times New Roman"/>
                <w:sz w:val="22"/>
              </w:rPr>
              <w:t>Besparelse (base case)</w:t>
            </w:r>
          </w:p>
        </w:tc>
        <w:tc>
          <w:tcPr>
            <w:tcW w:type="dxa" w:w="1754"/>
          </w:tcPr>
          <w:p>
            <w:r/>
            <w:r>
              <w:rPr>
                <w:rFonts w:ascii="Times New Roman" w:hAnsi="Times New Roman"/>
                <w:sz w:val="22"/>
              </w:rPr>
              <w:t>kr 451 515/år (g = 75 %)</w:t>
            </w:r>
          </w:p>
        </w:tc>
        <w:tc>
          <w:tcPr>
            <w:tcW w:type="dxa" w:w="1754"/>
          </w:tcPr>
          <w:p>
            <w:r/>
            <w:r>
              <w:rPr>
                <w:rFonts w:ascii="Times New Roman" w:hAnsi="Times New Roman"/>
                <w:sz w:val="22"/>
              </w:rPr>
              <w:t>Moderate gevinster ved ordreoptimalisering</w:t>
            </w:r>
          </w:p>
        </w:tc>
        <w:tc>
          <w:tcPr>
            <w:tcW w:type="dxa" w:w="1754"/>
          </w:tcPr>
          <w:p>
            <w:r/>
            <w:r>
              <w:rPr>
                <w:rFonts w:ascii="Times New Roman" w:hAnsi="Times New Roman"/>
                <w:sz w:val="22"/>
              </w:rPr>
              <w:t>Ja</w:t>
            </w:r>
          </w:p>
        </w:tc>
        <w:tc>
          <w:tcPr>
            <w:tcW w:type="dxa" w:w="1754"/>
          </w:tcPr>
          <w:p>
            <w:r/>
            <w:r>
              <w:rPr>
                <w:rFonts w:ascii="Times New Roman" w:hAnsi="Times New Roman"/>
                <w:sz w:val="22"/>
              </w:rPr>
              <w:t>Moons et al. (2019)</w:t>
            </w:r>
          </w:p>
        </w:tc>
      </w:tr>
      <w:tr>
        <w:tc>
          <w:tcPr>
            <w:tcW w:type="dxa" w:w="1754"/>
          </w:tcPr>
          <w:p>
            <w:r/>
            <w:r>
              <w:rPr>
                <w:rFonts w:ascii="Times New Roman" w:hAnsi="Times New Roman"/>
                <w:sz w:val="22"/>
              </w:rPr>
              <w:t>FOR_MANGE_ORDRER</w:t>
            </w:r>
          </w:p>
        </w:tc>
        <w:tc>
          <w:tcPr>
            <w:tcW w:type="dxa" w:w="1754"/>
          </w:tcPr>
          <w:p>
            <w:r/>
            <w:r>
              <w:rPr>
                <w:rFonts w:ascii="Times New Roman" w:hAnsi="Times New Roman"/>
                <w:sz w:val="22"/>
              </w:rPr>
              <w:t>73,1 % (356/487)</w:t>
            </w:r>
          </w:p>
        </w:tc>
        <w:tc>
          <w:tcPr>
            <w:tcW w:type="dxa" w:w="1754"/>
          </w:tcPr>
          <w:p>
            <w:r/>
            <w:r>
              <w:rPr>
                <w:rFonts w:ascii="Times New Roman" w:hAnsi="Times New Roman"/>
                <w:sz w:val="22"/>
              </w:rPr>
              <w:t>Suboptimal bestilling utbredt i sykehus</w:t>
            </w:r>
          </w:p>
        </w:tc>
        <w:tc>
          <w:tcPr>
            <w:tcW w:type="dxa" w:w="1754"/>
          </w:tcPr>
          <w:p>
            <w:r/>
            <w:r>
              <w:rPr>
                <w:rFonts w:ascii="Times New Roman" w:hAnsi="Times New Roman"/>
                <w:sz w:val="22"/>
              </w:rPr>
              <w:t>Ja</w:t>
            </w:r>
          </w:p>
        </w:tc>
        <w:tc>
          <w:tcPr>
            <w:tcW w:type="dxa" w:w="1754"/>
          </w:tcPr>
          <w:p>
            <w:r/>
            <w:r>
              <w:rPr>
                <w:rFonts w:ascii="Times New Roman" w:hAnsi="Times New Roman"/>
                <w:sz w:val="22"/>
              </w:rPr>
              <w:t>Volland et al. (2017)</w:t>
            </w:r>
          </w:p>
        </w:tc>
      </w:tr>
    </w:tbl>
    <w:p>
      <w:r>
        <w:rPr>
          <w:rFonts w:ascii="Times New Roman" w:hAnsi="Times New Roman"/>
          <w:i/>
          <w:sz w:val="20"/>
        </w:rPr>
        <w:t>Tabell 15. Sammenstilling av egne resultater mot funn i eksisterende litteratur.</w:t>
      </w:r>
    </w:p>
    <w:p>
      <w:pPr>
        <w:pStyle w:val="Overskrift2"/>
      </w:pPr>
      <w:r>
        <w:rPr>
          <w:rFonts w:ascii="Times New Roman" w:hAnsi="Times New Roman"/>
          <w:color w:val="000000"/>
          <w:sz w:val="32"/>
        </w:rPr>
        <w:t>8.2 Metodekritikk</w:t>
      </w:r>
    </w:p>
    <w:p>
      <w:pPr>
        <w:spacing w:line="360" w:lineRule="auto"/>
      </w:pPr>
      <w:r>
        <w:rPr>
          <w:rFonts w:ascii="Times New Roman" w:hAnsi="Times New Roman" w:cs="Times New Roman"/>
          <w:sz w:val="24"/>
        </w:rPr>
        <w:t>SAP S/4HANA-data fra SE16H er operasjonelle systemdata som registreres automatisk ved hvert varemottak, lageruttak og bestilling. De er ikke gjenstand for hukommelsesfeil, sosial ønskverdighet eller manuell inntasting av enkeltpersoner, noe som gir dem høy reliabilitet sammenlignet med spørreundersøkelsesdata (Saha &amp; Ray, 2019). Analysescriptet er deterministisk og reproduserbart: gitt samme kildedata og samme script vil analysen gi identiske resultater. Dette er en metodisk styrke som er viktig for en studie der anbefalingene potensielt vil danne grunnlag for strategiske beslutninger. En potensiell svakhet ved datagrunnlaget er at MSEG-data kun fanger forbruk registrert i SAP; forbruk som skjer utenom systemet – for eksempel ved nøduttak som ikke dokumenteres – vil ikke fremgå av analysen.</w:t>
      </w:r>
    </w:p>
    <w:p>
      <w:pPr>
        <w:spacing w:line="360" w:lineRule="auto"/>
      </w:pPr>
      <w:r>
        <w:rPr>
          <w:rFonts w:ascii="Times New Roman" w:hAnsi="Times New Roman" w:cs="Times New Roman"/>
          <w:sz w:val="24"/>
        </w:rPr>
        <w:t>Intern validitet handler om hvorvidt ABC-analysen faktisk måler det den hevder å måle for LGORT 3001. For de 505 artiklene der ABC-verdi er basert på faktiske EKPO-innkjøpsdata (ABC_VALUE_SOURCE = EKPO), er dette uproblematisk. For de 204 artiklene der verdien er beregnet som D_ANNUAL × UNIT_PRICE (D-03), er det en implisitt antagelse om at forbruksvolum og standardpris gir et godt estimat for faktisk verdi. Dersom standardprisen i MBEW avviker vesentlig fra faktisk innkjøpspris, vil ABC-rangeringen for disse artiklene være feilaktig. En oppfølgingsstudie bør undersøke prisavviket mellom STPRS og faktisk kjøpspris for de 204 beregnede artiklene.</w:t>
      </w:r>
    </w:p>
    <w:p>
      <w:pPr>
        <w:spacing w:line="360" w:lineRule="auto"/>
      </w:pPr>
      <w:r>
        <w:rPr>
          <w:rFonts w:ascii="Times New Roman" w:hAnsi="Times New Roman" w:cs="Times New Roman"/>
          <w:sz w:val="24"/>
        </w:rPr>
        <w:t>Studien gjennomfører ingen ekstern validering av regelmotor-anbefalingene mot innkjøpsfaglig skjønn eller historiske overføringsbeslutninger. Dette er en anerkjent begrensning ved normative klassifiseringsmodeller, som van Kampen et al. (2012) påpeker at alltid innebærer en grad av normativt skjønn i regelutformingen som vanskelig lar seg verifisere rent kvantitativt. Manglende ekstern validering innebærer at regelmotoren bør betraktes som et strukturert beslutningsunderlag, ikke som en autorisert beslutning. En planlagt oppfølgingsfase ved Helse Bergen vil innebære faglig gjennomgang av OVERFØR-listen mot innkjøpsfaglig og klinisk kompetanse, noe som vil gi grunnlag for empirisk validering av modellens treffsikkerhet.</w:t>
      </w:r>
    </w:p>
    <w:p>
      <w:pPr>
        <w:spacing w:line="360" w:lineRule="auto"/>
      </w:pPr>
      <w:r>
        <w:rPr>
          <w:rFonts w:ascii="Times New Roman" w:hAnsi="Times New Roman" w:cs="Times New Roman"/>
          <w:sz w:val="24"/>
        </w:rPr>
        <w:t>Studien er avgrenset til WERKS 3300, LGORT 3001 ved Helse Bergen. Det er ikke grunnlag for å hevde at de eksakte tallresultatene gjelder for andre WERKS-enheter i Helse Vest. Metoderammeverket – kombinasjonen av ABC, XYZ, EOQ og K-means med en regelbasert beslutningstager – er imidlertid fullt reproduserbart og kan, med tilpassing av parameterinnstillinger, anvendes på tilsvarende SAP-datastrukturer ved andre helseforetak. Fragapane et al. (2019) argumenterer for at datadrevne klassifiseringsmetoder for sykehuslogistikk har generell overføringsverdi så lenge datagrunnlaget er av tilsvarende type og kvalitet. Det er likevel viktig å være edruelig: strukturelle forskjeller mellom helseforetak – ulik sortimentssammensetning, ulike leverandøravtaler og ulike driftsmodeller – vil påvirke resultater og anbefalinger.</w:t>
      </w:r>
    </w:p>
    <w:p>
      <w:pPr>
        <w:pStyle w:val="Overskrift2"/>
      </w:pPr>
      <w:r>
        <w:rPr>
          <w:rFonts w:ascii="Times New Roman" w:hAnsi="Times New Roman"/>
          <w:color w:val="000000"/>
          <w:sz w:val="32"/>
        </w:rPr>
        <w:t>8.3 Praktisk betydning for Helse Bergen</w:t>
      </w:r>
    </w:p>
    <w:p>
      <w:pPr>
        <w:spacing w:line="360" w:lineRule="auto"/>
      </w:pPr>
      <w:r>
        <w:rPr>
          <w:rFonts w:ascii="Times New Roman" w:hAnsi="Times New Roman" w:cs="Times New Roman"/>
          <w:sz w:val="24"/>
        </w:rPr>
        <w:t>At 145 artikler anbefales overført til HVFS innebærer en konkret overgang fra lokal lagerhåndtering til sentralisert forsyning via NorEngros og APL-leveransemodellen. I praksis betyr dette at bestillingsansvaret for disse artiklene flyttes fra Helse Bergens innkjøpsenhet til HVFS, og at artiklene mottas avdelingspakket i stedet for som bulk til forsyningslageret LGORT 3001. En slik overgang forutsetter endringer i SAP MM-oppsettet: MRP-type bør gjennomgås og justeres, og ordrekvantumsparametere (minimum ordrekvantum, avrundingsverdi) bør kalibreres mot EOQ-optimal frekvens for de aktuelle artiklene. De 117 artiklene som er i skjæringspunktet OVERFØR_HVFS ∩ FOR_MANGE_ORDRER representerer de mest presserende tilfellene, der den nåværende ordrepraksisen avviker vesentlig fra det som er kostnadsoptimalt.</w:t>
      </w:r>
    </w:p>
    <w:p>
      <w:pPr>
        <w:spacing w:line="360" w:lineRule="auto"/>
      </w:pPr>
      <w:r>
        <w:rPr>
          <w:rFonts w:ascii="Times New Roman" w:hAnsi="Times New Roman" w:cs="Times New Roman"/>
          <w:sz w:val="24"/>
        </w:rPr>
        <w:t>Den største enkeltgruppen er artikler som regelmotoren sender til manuell vurdering. Disse 284 artiklene kan ikke automatisk klassifiseres med tilstrekkelig sikkerhet basert på de tilgjengelige kvantitative signalene alene. En strukturert gjennomgang av denne gruppen bør inkludere innkjøpsfaglig skjønn: hvilke av disse artiklene er kritiske for pasientbehandling og bør forbli lokalt tilgjengelig uavhengig av kvantitative analysesignaler? De Vries (2011) påpeker at lagerstyring i helsesektoren alltid må balansere kostnadsoptimalisering mot forsyningssikkerhet, og at sistnevnte hensyn legitimt kan overstyre det førstnevnte for utvalgte artikler. Kategorien BEHOLD LOKALT (257 artikler) er analytisk velbegrunnet og krever ikke umiddelbar oppfølging, men bør inkluderes i en periodisk revidering av klassifiseringen.</w:t>
      </w:r>
    </w:p>
    <w:p>
      <w:pPr>
        <w:spacing w:line="360" w:lineRule="auto"/>
      </w:pPr>
      <w:r>
        <w:rPr>
          <w:rFonts w:ascii="Times New Roman" w:hAnsi="Times New Roman" w:cs="Times New Roman"/>
          <w:sz w:val="24"/>
        </w:rPr>
        <w:t>Besparelsesestimatet forutsetter at HVFS-overføringen faktisk fører til endret bestillingspraksis og redusert ordrefrekvens. Dette er ikke automatisk: dersom SAP MM-parametere ikke justeres, vil systemet fortsette å generere ordrer med eksisterende frekvens. Gevinstrealisering krever dermed aktiv oppfølging i SAP – noe som igjen understreker at den kvantitative analysen er ett steg i en lengre implementeringsprosess, ikke et selvstendig endepunkt.</w:t>
      </w:r>
    </w:p>
    <w:p>
      <w:pPr>
        <w:spacing w:line="360" w:lineRule="auto"/>
      </w:pPr>
      <w:r>
        <w:rPr>
          <w:rFonts w:ascii="Times New Roman" w:hAnsi="Times New Roman" w:cs="Times New Roman"/>
          <w:sz w:val="24"/>
        </w:rPr>
        <w:t>For LIBRA-prosjektet spesifikt innebærer resultatene at det nå foreligger et kvantitativt, reproduserbart beslutningsgrunnlag som kan integreres i den regionale utrullingen av sentralisert forsyning. Rammeverket kan brukes som mal for tilsvarende analyser ved de øvrige helseforetakene (Helse Stavanger, Helse Fonna, Helse Førde) etter hvert som de kobles på HVFS via SAP S/4HANA. Dersom LIBRA velger å implementere periodisk reklassifisering – for eksempel årlig – vil analysescriptet kunne kjøres på oppdaterte data uten metodisk tilpasning, noe som gir HVFS et verktøy for kontinuerlig porteføljeoptimalisering.</w:t>
      </w:r>
    </w:p>
    <w:p>
      <w:pPr>
        <w:spacing w:line="360" w:lineRule="auto"/>
      </w:pPr>
      <w:r>
        <w:rPr>
          <w:rFonts w:ascii="Times New Roman" w:hAnsi="Times New Roman" w:cs="Times New Roman"/>
          <w:sz w:val="24"/>
        </w:rPr>
        <w:t>Metoderammeverket er utviklet for medisinsk forbruksmateriell, men den underliggende logikken – verdiklassifisering, etterspørselsstabilitet, ordrefrekvensavvik og klyngebasert gruppering – er i prinsippet generaliserbar til andre varegrupper med tilsvarende datastruktur i SAP. Teknisk utstyr, kontorrekvisita eller laboratorieforbruk ved helseforetakene har samme type transaksjonsdata i EKPO, MSEG og MARD. Det er likevel viktig å påpeke at parameterverdiene (S, h, ABC-grenser, CV-terskler) må rekalibreres for hver varegruppe, da kostnadsstruktur og forbruksmønstre varierer vesentlig mellom sortimenter.</w:t>
      </w:r>
    </w:p>
    <w:p>
      <w:pPr>
        <w:pStyle w:val="Overskrift2"/>
      </w:pPr>
      <w:r>
        <w:rPr>
          <w:rFonts w:ascii="Times New Roman" w:hAnsi="Times New Roman"/>
          <w:color w:val="000000"/>
          <w:sz w:val="32"/>
        </w:rPr>
        <w:t>8.4 Svakheter og begrensninger</w:t>
      </w:r>
    </w:p>
    <w:p>
      <w:pPr>
        <w:spacing w:line="360" w:lineRule="auto"/>
      </w:pPr>
      <w:r>
        <w:rPr>
          <w:rFonts w:ascii="Times New Roman" w:hAnsi="Times New Roman" w:cs="Times New Roman"/>
          <w:sz w:val="24"/>
        </w:rPr>
        <w:t xml:space="preserve">Realiseringsgraden </w:t>
      </w:r>
      <m:oMath>
        <m:r>
          <m:t>g</m:t>
        </m:r>
      </m:oMath>
      <w:r>
        <w:rPr>
          <w:rFonts w:ascii="Times New Roman" w:hAnsi="Times New Roman" w:cs="Times New Roman"/>
          <w:sz w:val="24"/>
        </w:rPr>
        <w:t xml:space="preserve"> i besparelsesformelen er et scenarioparameter, ikke en empirisk prognose. Den faktiske gevinsten avhenger av gjennomføringskvalitet, leverandørenes kapasitet og Helse Bergens evne til å revidere SAP-parametere. Sensitivitetsanalysen over 27 scenarier synliggjør bredden i usikkerhetsintervallet.</w:t>
      </w:r>
    </w:p>
    <w:p>
      <w:pPr>
        <w:spacing w:line="360" w:lineRule="auto"/>
      </w:pPr>
      <w:r>
        <w:rPr>
          <w:rFonts w:ascii="Times New Roman" w:hAnsi="Times New Roman" w:cs="Times New Roman"/>
          <w:sz w:val="24"/>
        </w:rPr>
        <w:t>Leveringstidsfallbacken på 14 dager (94 % av artiklene) har begrenset direkte effekt på den frekvensbaserte EOQ-analysen, men vil være avgjørende for en fremtidig ROP-analyse. Analyseperioden 2024–2025 kan fortsatt være påvirket av ettervirkninger fra COVID-19-pandemien, noe som kan gi misvisende CV for enkeltartikler.</w:t>
      </w:r>
    </w:p>
    <w:p>
      <w:pPr>
        <w:spacing w:line="360" w:lineRule="auto"/>
      </w:pPr>
      <w:r>
        <w:rPr>
          <w:rFonts w:ascii="Times New Roman" w:hAnsi="Times New Roman" w:cs="Times New Roman"/>
          <w:sz w:val="24"/>
        </w:rPr>
        <w:t xml:space="preserve">K-means er sensitiv overfor valget av K (Srinivasan &amp; Moon, 1999): med </w:t>
      </w:r>
      <m:oMath>
        <m:r>
          <m:t>K=2</m:t>
        </m:r>
      </m:oMath>
      <w:r>
        <w:rPr>
          <w:rFonts w:ascii="Times New Roman" w:hAnsi="Times New Roman" w:cs="Times New Roman"/>
          <w:sz w:val="24"/>
        </w:rPr>
        <w:t xml:space="preserve"> eller </w:t>
      </w:r>
      <m:oMath>
        <m:r>
          <m:t>K=4</m:t>
        </m:r>
      </m:oMath>
      <w:r>
        <w:rPr>
          <w:rFonts w:ascii="Times New Roman" w:hAnsi="Times New Roman" w:cs="Times New Roman"/>
          <w:sz w:val="24"/>
        </w:rPr>
        <w:t xml:space="preserve"> ville klyngestrukturen sett annerledes ut. Z-score-standardiseringen gir de tre featurene lik vekt — en normativ beslutning som påvirker klyngeresultatene. CV-koeffisienten har en kjent svakhet ved lavt forbruksvolum, der enkeltutleveringer kan gi kunstig høy eller lav CV.</w:t>
      </w:r>
    </w:p>
    <w:p>
      <w:pPr>
        <w:spacing w:line="360" w:lineRule="auto"/>
      </w:pPr>
      <w:r>
        <w:rPr>
          <w:rFonts w:ascii="Times New Roman" w:hAnsi="Times New Roman" w:cs="Times New Roman"/>
          <w:sz w:val="24"/>
        </w:rPr>
        <w:t>For 204 artikler uten EKPO-data er ABC-verdien beregnet fra D_ANNUAL × UNIT_PRICE. Dersom standardprisen avviker fra faktisk innkjøpspris, vil ABC-rangeringen for disse artiklene være upresis.</w:t>
      </w:r>
    </w:p>
    <w:p>
      <w:pPr>
        <w:pStyle w:val="Overskrift1"/>
        <w:pageBreakBefore w:val="true"/>
      </w:pPr>
      <w:r>
        <w:rPr>
          <w:rFonts w:ascii="Times New Roman" w:hAnsi="Times New Roman"/>
          <w:color w:val="000000"/>
          <w:sz w:val="36"/>
        </w:rPr>
        <w:t>Kapittel 9 – Konklusjon</w:t>
      </w:r>
    </w:p>
    <w:p>
      <w:pPr>
        <w:pStyle w:val="Overskrift2"/>
      </w:pPr>
      <w:r>
        <w:rPr>
          <w:rFonts w:ascii="Times New Roman" w:hAnsi="Times New Roman"/>
          <w:color w:val="000000"/>
          <w:sz w:val="32"/>
        </w:rPr>
        <w:t>9.1 Svar på problemstillingen</w:t>
      </w:r>
    </w:p>
    <w:p>
      <w:pPr>
        <w:spacing w:line="360" w:lineRule="auto"/>
      </w:pPr>
      <w:r>
        <w:rPr>
          <w:rFonts w:ascii="Times New Roman" w:hAnsi="Times New Roman" w:cs="Times New Roman"/>
          <w:sz w:val="24"/>
        </w:rPr>
        <w:t xml:space="preserve">Denne studien tok utgangspunkt i følgende problemstilling: </w:t>
      </w:r>
      <w:r>
        <w:rPr>
          <w:rFonts w:ascii="Times New Roman" w:hAnsi="Times New Roman" w:cs="Times New Roman"/>
          <w:i/>
          <w:sz w:val="24"/>
        </w:rPr>
        <w:t>Hvordan kan multikriterieklassifisering og klyngeanalyse av SAP-transaksjonsdata identifisere hvilke artikler ved Helse Bergens forsyningslager (WERKS 3300, LGORT 3001) som bør overføres til HVFS, og hva er det estimerte besparelsespotensialet?</w:t>
      </w:r>
    </w:p>
    <w:p>
      <w:pPr>
        <w:spacing w:line="360" w:lineRule="auto"/>
      </w:pPr>
      <w:r>
        <w:rPr>
          <w:rFonts w:ascii="Times New Roman" w:hAnsi="Times New Roman" w:cs="Times New Roman"/>
          <w:sz w:val="24"/>
        </w:rPr>
        <w:t xml:space="preserve">Studien viser at en strukturert kombinasjon av ABC-analyse, XYZ-klassifisering, EOQ-avviksanalyse og K-means klyngeanalyse – sammenstilt i en regelbasert beslutningsmotor – gir et operasjonelt anvendbart grunnlag for å identifisere overføringskandidater direkte fra SAP-transaksjonsdata. Av de 709 aktive artiklene i LGORT 3001 anbefaler regelmotoren at </w:t>
      </w:r>
      <w:r>
        <w:rPr>
          <w:rFonts w:ascii="Times New Roman" w:hAnsi="Times New Roman" w:cs="Times New Roman"/>
          <w:b/>
          <w:sz w:val="24"/>
        </w:rPr>
        <w:t>145 artikler</w:t>
      </w:r>
      <w:r>
        <w:rPr>
          <w:rFonts w:ascii="Times New Roman" w:hAnsi="Times New Roman" w:cs="Times New Roman"/>
          <w:sz w:val="24"/>
        </w:rPr>
        <w:t xml:space="preserve"> (20,5 %) overføres til HVFS. Disse artiklene kjennetegnes ved høy verdi (A- eller B-klasse), stabilt forbruksmønster (X- eller Y-klasse) og dokumentert overbestilling eller klyngetilhørighet som indikerer ineffektiv ordrepraksis.</w:t>
      </w:r>
    </w:p>
    <w:p>
      <w:pPr>
        <w:spacing w:line="360" w:lineRule="auto"/>
      </w:pPr>
      <w:r>
        <w:rPr>
          <w:rFonts w:ascii="Times New Roman" w:hAnsi="Times New Roman" w:cs="Times New Roman"/>
          <w:sz w:val="24"/>
        </w:rPr>
        <w:t xml:space="preserve">Det estimerte besparelsespotensialet for base case er </w:t>
      </w:r>
      <w:r>
        <w:rPr>
          <w:rFonts w:ascii="Times New Roman" w:hAnsi="Times New Roman" w:cs="Times New Roman"/>
          <w:b/>
          <w:sz w:val="24"/>
        </w:rPr>
        <w:t>kr 451 515 per år</w:t>
      </w:r>
      <w:r>
        <w:rPr>
          <w:rFonts w:ascii="Times New Roman" w:hAnsi="Times New Roman" w:cs="Times New Roman"/>
          <w:sz w:val="24"/>
        </w:rPr>
        <w:t xml:space="preserve"> (realiseringsgrad </w:t>
      </w:r>
      <m:oMath>
        <m:r>
          <m:t>g=75</m:t>
        </m:r>
      </m:oMath>
      <w:r>
        <w:rPr>
          <w:rFonts w:ascii="Times New Roman" w:hAnsi="Times New Roman" w:cs="Times New Roman"/>
          <w:sz w:val="24"/>
        </w:rPr>
        <w:t xml:space="preserve"> av teoretisk </w:t>
      </w:r>
      <m:oMath>
        <m:r>
          <m:t>∑ΔT</m:t>
        </m:r>
        <m:sSub>
          <m:e>
            <m:r>
              <m:t>C</m:t>
            </m:r>
          </m:e>
          <m:sub>
            <m:r>
              <m:t>i</m:t>
            </m:r>
          </m:sub>
        </m:sSub>
      </m:oMath>
      <w:r>
        <w:rPr>
          <w:rFonts w:ascii="Times New Roman" w:hAnsi="Times New Roman" w:cs="Times New Roman"/>
          <w:sz w:val="24"/>
        </w:rPr>
        <w:t>). Pessimistisk scenario (</w:t>
      </w:r>
      <m:oMath>
        <m:r>
          <m:t>g=50</m:t>
        </m:r>
      </m:oMath>
      <w:r>
        <w:rPr>
          <w:rFonts w:ascii="Times New Roman" w:hAnsi="Times New Roman" w:cs="Times New Roman"/>
          <w:sz w:val="24"/>
        </w:rPr>
        <w:t>) gir kr 301 010, og optimistisk scenario (</w:t>
      </w:r>
      <m:oMath>
        <m:r>
          <m:t>g=100</m:t>
        </m:r>
      </m:oMath>
      <w:r>
        <w:rPr>
          <w:rFonts w:ascii="Times New Roman" w:hAnsi="Times New Roman" w:cs="Times New Roman"/>
          <w:sz w:val="24"/>
        </w:rPr>
        <w:t xml:space="preserve">) gir kr 602 020. Disse estimatene er forankret i 117 artikler som oppfyller begge kriteriene OVERFØR\_HVFS og FOR\_MANGE\_ORDRER, og der det samlede teoretiske totalkostnadsavviket er kr 602 020 per år. Sensitivitetsanalysen over 27 parameterkombinasjoner — med variasjon i S, h og </w:t>
      </w:r>
      <m:oMath>
        <m:sSub>
          <m:e>
            <m:r>
              <m:t>τ</m:t>
            </m:r>
          </m:e>
          <m:sub>
            <m:r>
              <m:t>f</m:t>
            </m:r>
          </m:sub>
        </m:sSub>
      </m:oMath>
      <w:r>
        <w:rPr>
          <w:rFonts w:ascii="Times New Roman" w:hAnsi="Times New Roman" w:cs="Times New Roman"/>
          <w:sz w:val="24"/>
        </w:rPr>
        <w:t xml:space="preserve"> — viser at det samlede </w:t>
      </w:r>
      <m:oMath>
        <m:r>
          <m:t>ΔTC</m:t>
        </m:r>
      </m:oMath>
      <w:r>
        <w:rPr>
          <w:rFonts w:ascii="Times New Roman" w:hAnsi="Times New Roman" w:cs="Times New Roman"/>
          <w:sz w:val="24"/>
        </w:rPr>
        <w:t xml:space="preserve"> for hele populasjonen (487 artikler) varierer mellom kr 1 602 464 og kr 3 068 757 per år, og at </w:t>
      </w:r>
      <m:oMath>
        <m:sSub>
          <m:e>
            <m:r>
              <m:t>B</m:t>
            </m:r>
          </m:e>
          <m:sub>
            <m:r>
              <m:rPr>
                <m:nor/>
              </m:rPr>
              <m:t>HVFS</m:t>
            </m:r>
          </m:sub>
        </m:sSub>
      </m:oMath>
      <w:r>
        <w:rPr>
          <w:rFonts w:ascii="Times New Roman" w:hAnsi="Times New Roman" w:cs="Times New Roman"/>
          <w:sz w:val="24"/>
        </w:rPr>
        <w:t xml:space="preserve"> (</w:t>
      </w:r>
      <m:oMath>
        <m:r>
          <m:t>g=75</m:t>
        </m:r>
      </m:oMath>
      <w:r>
        <w:rPr>
          <w:rFonts w:ascii="Times New Roman" w:hAnsi="Times New Roman" w:cs="Times New Roman"/>
          <w:sz w:val="24"/>
        </w:rPr>
        <w:t>) varierer mellom kr 176 374 og kr 763 903 per år avhengig av parametervalg. Dette synliggjør at besparelsesestimatet er moderat sensitivt overfor forutsetningene om ordrekostnad og holdesats, men forblir positivt og vesentlig over alle 27 scenarier.</w:t>
      </w:r>
    </w:p>
    <w:p>
      <w:pPr>
        <w:spacing w:line="360" w:lineRule="auto"/>
      </w:pPr>
      <w:r>
        <w:rPr>
          <w:rFonts w:ascii="Times New Roman" w:hAnsi="Times New Roman" w:cs="Times New Roman"/>
          <w:sz w:val="24"/>
        </w:rPr>
        <w:t>Studien konkluderer dermed med at SAP-transaksjonsdata – hentet fra 14 tabeller via SE16H og bearbeidet med en reproduserbar Python-analyse – gir et tilstrekkelig informasjonsgrunnlag for datadrevet sentraliseringsvurdering. Metoderammeverket besvarer problemstillingen både kvalitativt (hvilke artikler) og kvantitativt (hva er besparelsespotensialet), og kan danne grunnlag for konkrete beslutninger i LIBRA-prosjektets videre gjennomføring.</w:t>
      </w:r>
    </w:p>
    <w:p>
      <w:pPr>
        <w:pStyle w:val="Overskrift2"/>
      </w:pPr>
      <w:r>
        <w:rPr>
          <w:rFonts w:ascii="Times New Roman" w:hAnsi="Times New Roman"/>
          <w:color w:val="000000"/>
          <w:sz w:val="32"/>
        </w:rPr>
        <w:t>9.2 Anbefalinger til Helse Bergen</w:t>
      </w:r>
    </w:p>
    <w:p>
      <w:pPr>
        <w:spacing w:line="360" w:lineRule="auto"/>
      </w:pPr>
      <w:r>
        <w:rPr>
          <w:rFonts w:ascii="Times New Roman" w:hAnsi="Times New Roman" w:cs="Times New Roman"/>
          <w:sz w:val="24"/>
        </w:rPr>
        <w:t>Basert på studiens funn rettes følgende fire anbefalinger til Helse Bergen og Helse Vest IKT:</w:t>
      </w:r>
    </w:p>
    <w:p>
      <w:pPr>
        <w:spacing w:line="360" w:lineRule="auto"/>
      </w:pPr>
      <w:r>
        <w:rPr>
          <w:rFonts w:ascii="Times New Roman" w:hAnsi="Times New Roman" w:cs="Times New Roman"/>
          <w:b/>
          <w:sz w:val="24"/>
        </w:rPr>
        <w:t>1. Iverksett pilotoverføring for K_OVERFØR-klyngen og AX/BX-artiklene.</w:t>
      </w:r>
    </w:p>
    <w:p>
      <w:pPr>
        <w:spacing w:line="360" w:lineRule="auto"/>
      </w:pPr>
      <w:r>
        <w:rPr>
          <w:rFonts w:ascii="Times New Roman" w:hAnsi="Times New Roman" w:cs="Times New Roman"/>
          <w:sz w:val="24"/>
        </w:rPr>
        <w:t>De 145 artiklene som er anbefalt overført bør ikke overføres samlet i én operasjon. En pilotfase bør prioritere artiklene i skjæringspunktet mellom K_OVERFØR-klyngen og AX/BX-kategoriene, da disse har den sterkeste kombinasjonen av analysesignaler og lavest risiko for servicesvikt. En gradvis overføring gir mulighet til å verifisere at HVFS og NorEngros håndterer artiklene i henhold til APL-leveransemodellen før hele porteføljen flyttes.</w:t>
      </w:r>
    </w:p>
    <w:p>
      <w:pPr>
        <w:spacing w:line="360" w:lineRule="auto"/>
      </w:pPr>
      <w:r>
        <w:rPr>
          <w:rFonts w:ascii="Times New Roman" w:hAnsi="Times New Roman" w:cs="Times New Roman"/>
          <w:b/>
          <w:sz w:val="24"/>
        </w:rPr>
        <w:t>2. Gjennomgå de 284 artiklene i VURDER NÆRMERE manuelt.</w:t>
      </w:r>
    </w:p>
    <w:p>
      <w:pPr>
        <w:spacing w:line="360" w:lineRule="auto"/>
      </w:pPr>
      <w:r>
        <w:rPr>
          <w:rFonts w:ascii="Times New Roman" w:hAnsi="Times New Roman" w:cs="Times New Roman"/>
          <w:sz w:val="24"/>
        </w:rPr>
        <w:t>Denne gruppen er for stor og sammensatt til å håndteres med et enkelt kvantitativt signal. En strukturert gjennomgang bør inkludere innkjøpsfaglig og klinisk kompetanse for å vurdere forsyningssikkerhet, leverandørforbindelser og artikkelkritikalitet. Målet er å redusere VURDER-gruppen til en endelig fordeling mellom OVERFØR og BEHOLD innen utgangen av pilotfasen.</w:t>
      </w:r>
    </w:p>
    <w:p>
      <w:pPr>
        <w:spacing w:line="360" w:lineRule="auto"/>
      </w:pPr>
      <w:r>
        <w:rPr>
          <w:rFonts w:ascii="Times New Roman" w:hAnsi="Times New Roman" w:cs="Times New Roman"/>
          <w:b/>
          <w:sz w:val="24"/>
        </w:rPr>
        <w:t>3. Oppdater SAP MM-parametere for overførte artikler.</w:t>
      </w:r>
    </w:p>
    <w:p>
      <w:pPr>
        <w:spacing w:line="360" w:lineRule="auto"/>
      </w:pPr>
      <w:r>
        <w:rPr>
          <w:rFonts w:ascii="Times New Roman" w:hAnsi="Times New Roman" w:cs="Times New Roman"/>
          <w:sz w:val="24"/>
        </w:rPr>
        <w:t>Gevinstrealisering forutsetter at MRP-type og ordrekvantumsparametere justeres i SAP for de artiklene som overføres. Artiklene som er klassifisert som FOR_MANGE_ORDRER bør få oppdaterte ordreintervaller og minimum ordrekvantum i tråd med EOQ-optimale verdier. Uten denne justeringen vil systemet fortsette å generere ordrer med eksisterende frekvens, og besparelsespotensialet vil ikke realiseres. Feltet ZZXYZ bør i tillegg oppdateres med den beregnede CV-klassen som en del av det ordinære SAP MM-vedlikeholdet.</w:t>
      </w:r>
    </w:p>
    <w:p>
      <w:pPr>
        <w:spacing w:line="360" w:lineRule="auto"/>
      </w:pPr>
      <w:r>
        <w:rPr>
          <w:rFonts w:ascii="Times New Roman" w:hAnsi="Times New Roman" w:cs="Times New Roman"/>
          <w:b/>
          <w:sz w:val="24"/>
        </w:rPr>
        <w:t>4. Evaluer gevinstrealisering etter 12 måneder.</w:t>
      </w:r>
    </w:p>
    <w:p>
      <w:pPr>
        <w:spacing w:line="360" w:lineRule="auto"/>
      </w:pPr>
      <w:r>
        <w:rPr>
          <w:rFonts w:ascii="Times New Roman" w:hAnsi="Times New Roman" w:cs="Times New Roman"/>
          <w:sz w:val="24"/>
        </w:rPr>
        <w:t>Etter at pilotoverføringen er gjennomført og SAP-parametere er justert, bør analysen gjentas etter 12 måneder med oppdaterte transaksjonsdata. Dette vil gi grunnlag for å vurdere om det estimerte besparelsespotensialet faktisk er realisert, og om det er ytterligere artikler som bør overføres i neste fase. En slik syklisk evalueringsmodell er i tråd med prinsippene for kontinuerlig forbedring i sykehuslogistikk.</w:t>
      </w:r>
    </w:p>
    <w:p>
      <w:pPr>
        <w:pStyle w:val="Overskrift2"/>
      </w:pPr>
      <w:r>
        <w:rPr>
          <w:rFonts w:ascii="Times New Roman" w:hAnsi="Times New Roman"/>
          <w:color w:val="000000"/>
          <w:sz w:val="32"/>
        </w:rPr>
        <w:t>9.3 Forslag til videre forskning</w:t>
      </w:r>
    </w:p>
    <w:p>
      <w:pPr>
        <w:spacing w:line="360" w:lineRule="auto"/>
      </w:pPr>
      <w:r>
        <w:rPr>
          <w:rFonts w:ascii="Times New Roman" w:hAnsi="Times New Roman" w:cs="Times New Roman"/>
          <w:sz w:val="24"/>
        </w:rPr>
        <w:t xml:space="preserve">Studien åpner for tre retninger innen videre forskning: (1) En </w:t>
      </w:r>
      <w:r>
        <w:rPr>
          <w:rFonts w:ascii="Times New Roman" w:hAnsi="Times New Roman" w:cs="Times New Roman"/>
          <w:b/>
          <w:sz w:val="24"/>
        </w:rPr>
        <w:t>ROP-modul</w:t>
      </w:r>
      <w:r>
        <w:rPr>
          <w:rFonts w:ascii="Times New Roman" w:hAnsi="Times New Roman" w:cs="Times New Roman"/>
          <w:sz w:val="24"/>
        </w:rPr>
        <w:t xml:space="preserve"> som integrerer bestillingspunktberegning vil kreve at EINE-tabellen berikes med faktiske leveringstider, men vil gi anbefalinger om lagernivåer etter overføring. (2) </w:t>
      </w:r>
      <w:r>
        <w:rPr>
          <w:rFonts w:ascii="Times New Roman" w:hAnsi="Times New Roman" w:cs="Times New Roman"/>
          <w:b/>
          <w:sz w:val="24"/>
        </w:rPr>
        <w:t>Leverandørkonsolidering</w:t>
      </w:r>
      <w:r>
        <w:rPr>
          <w:rFonts w:ascii="Times New Roman" w:hAnsi="Times New Roman" w:cs="Times New Roman"/>
          <w:sz w:val="24"/>
        </w:rPr>
        <w:t xml:space="preserve"> via analyse av EKKO/EKPO kan avdekke om HVFS-kandidatene leveres av felles leverandører, noe som kan gi ytterligere besparelser utover ordrefrekvensoptimalisering. (3) </w:t>
      </w:r>
      <w:r>
        <w:rPr>
          <w:rFonts w:ascii="Times New Roman" w:hAnsi="Times New Roman" w:cs="Times New Roman"/>
          <w:b/>
          <w:sz w:val="24"/>
        </w:rPr>
        <w:t>Replikering</w:t>
      </w:r>
      <w:r>
        <w:rPr>
          <w:rFonts w:ascii="Times New Roman" w:hAnsi="Times New Roman" w:cs="Times New Roman"/>
          <w:sz w:val="24"/>
        </w:rPr>
        <w:t xml:space="preserve"> av rammeverket til andre WERKS i Helse Vest (Stavanger, Fonna, Førde) vil styrke den eksterne validiteten og gi grunnlag for differensiert HVFS-sentralisering per foretak.</w:t>
      </w:r>
    </w:p>
    <w:p>
      <w:pPr>
        <w:pStyle w:val="Overskrift1"/>
        <w:pageBreakBefore w:val="true"/>
      </w:pPr>
      <w:r>
        <w:rPr>
          <w:rFonts w:ascii="Times New Roman" w:hAnsi="Times New Roman"/>
          <w:color w:val="000000"/>
          <w:sz w:val="36"/>
        </w:rPr>
        <w:t>Referanseliste</w:t>
      </w:r>
    </w:p>
    <w:p>
      <w:pPr>
        <w:spacing w:line="360" w:lineRule="auto"/>
      </w:pPr>
      <w:r>
        <w:rPr>
          <w:rFonts w:ascii="Times New Roman" w:hAnsi="Times New Roman" w:cs="Times New Roman"/>
          <w:sz w:val="24"/>
        </w:rPr>
        <w:t xml:space="preserve">Bijvank, M., &amp; Vis, I. F. A. (2012). Inventory control for point-of-use locations in hospitals. </w:t>
      </w:r>
      <w:r>
        <w:rPr>
          <w:rFonts w:ascii="Times New Roman" w:hAnsi="Times New Roman" w:cs="Times New Roman"/>
          <w:i/>
          <w:sz w:val="24"/>
        </w:rPr>
        <w:t>Journal of the Operational Research Society</w:t>
      </w:r>
      <w:r>
        <w:rPr>
          <w:rFonts w:ascii="Times New Roman" w:hAnsi="Times New Roman" w:cs="Times New Roman"/>
          <w:sz w:val="24"/>
        </w:rPr>
        <w:t xml:space="preserve">, </w:t>
      </w:r>
      <w:r>
        <w:rPr>
          <w:rFonts w:ascii="Times New Roman" w:hAnsi="Times New Roman" w:cs="Times New Roman"/>
          <w:i/>
          <w:sz w:val="24"/>
        </w:rPr>
        <w:t>63</w:t>
      </w:r>
      <w:r>
        <w:rPr>
          <w:rFonts w:ascii="Times New Roman" w:hAnsi="Times New Roman" w:cs="Times New Roman"/>
          <w:sz w:val="24"/>
        </w:rPr>
        <w:t>(4), 497–510. https://doi.org/10.1057/jors.2011.52</w:t>
      </w:r>
    </w:p>
    <w:p>
      <w:pPr>
        <w:spacing w:line="360" w:lineRule="auto"/>
      </w:pPr>
      <w:r>
        <w:rPr>
          <w:rFonts w:ascii="Times New Roman" w:hAnsi="Times New Roman" w:cs="Times New Roman"/>
          <w:sz w:val="24"/>
        </w:rPr>
        <w:t xml:space="preserve">de Vries, J. (2011). The shaping of inventory systems in health services: A stakeholder analysis. </w:t>
      </w:r>
      <w:r>
        <w:rPr>
          <w:rFonts w:ascii="Times New Roman" w:hAnsi="Times New Roman" w:cs="Times New Roman"/>
          <w:i/>
          <w:sz w:val="24"/>
        </w:rPr>
        <w:t>International Journal of Production Economics</w:t>
      </w:r>
      <w:r>
        <w:rPr>
          <w:rFonts w:ascii="Times New Roman" w:hAnsi="Times New Roman" w:cs="Times New Roman"/>
          <w:sz w:val="24"/>
        </w:rPr>
        <w:t xml:space="preserve">, </w:t>
      </w:r>
      <w:r>
        <w:rPr>
          <w:rFonts w:ascii="Times New Roman" w:hAnsi="Times New Roman" w:cs="Times New Roman"/>
          <w:i/>
          <w:sz w:val="24"/>
        </w:rPr>
        <w:t>133</w:t>
      </w:r>
      <w:r>
        <w:rPr>
          <w:rFonts w:ascii="Times New Roman" w:hAnsi="Times New Roman" w:cs="Times New Roman"/>
          <w:sz w:val="24"/>
        </w:rPr>
        <w:t>(1), 60–69. https://doi.org/10.1016/j.ijpe.2009.10.029</w:t>
      </w:r>
    </w:p>
    <w:p>
      <w:pPr>
        <w:spacing w:line="360" w:lineRule="auto"/>
      </w:pPr>
      <w:r>
        <w:rPr>
          <w:rFonts w:ascii="Times New Roman" w:hAnsi="Times New Roman" w:cs="Times New Roman"/>
          <w:sz w:val="24"/>
        </w:rPr>
        <w:t xml:space="preserve">Fragapane, G. I., Bertnum, A. B., Hvolby, H.-H., &amp; Strandhagen, J. O. (2019). Medical supplies to the point-of-use in hospitals. I </w:t>
      </w:r>
      <w:r>
        <w:rPr>
          <w:rFonts w:ascii="Times New Roman" w:hAnsi="Times New Roman" w:cs="Times New Roman"/>
          <w:i/>
          <w:sz w:val="24"/>
        </w:rPr>
        <w:t>IFIP International Conference on Advances in Production Management Systems (APMS)</w:t>
      </w:r>
      <w:r>
        <w:rPr>
          <w:rFonts w:ascii="Times New Roman" w:hAnsi="Times New Roman" w:cs="Times New Roman"/>
          <w:sz w:val="24"/>
        </w:rPr>
        <w:t xml:space="preserve"> (s. 248–255). Springer. https://doi.org/10.1007/978-3-030-29996-5_29</w:t>
      </w:r>
    </w:p>
    <w:p>
      <w:pPr>
        <w:spacing w:line="360" w:lineRule="auto"/>
      </w:pPr>
      <w:r>
        <w:rPr>
          <w:rFonts w:ascii="Times New Roman" w:hAnsi="Times New Roman" w:cs="Times New Roman"/>
          <w:sz w:val="24"/>
        </w:rPr>
        <w:t xml:space="preserve">Gupta, R., Gupta, K. K., Jain, B. R., &amp; Garg, R. K. (2007). ABC and VED analysis in medical stores inventory control. </w:t>
      </w:r>
      <w:r>
        <w:rPr>
          <w:rFonts w:ascii="Times New Roman" w:hAnsi="Times New Roman" w:cs="Times New Roman"/>
          <w:i/>
          <w:sz w:val="24"/>
        </w:rPr>
        <w:t>Medical Journal Armed Forces India</w:t>
      </w:r>
      <w:r>
        <w:rPr>
          <w:rFonts w:ascii="Times New Roman" w:hAnsi="Times New Roman" w:cs="Times New Roman"/>
          <w:sz w:val="24"/>
        </w:rPr>
        <w:t xml:space="preserve">, </w:t>
      </w:r>
      <w:r>
        <w:rPr>
          <w:rFonts w:ascii="Times New Roman" w:hAnsi="Times New Roman" w:cs="Times New Roman"/>
          <w:i/>
          <w:sz w:val="24"/>
        </w:rPr>
        <w:t>63</w:t>
      </w:r>
      <w:r>
        <w:rPr>
          <w:rFonts w:ascii="Times New Roman" w:hAnsi="Times New Roman" w:cs="Times New Roman"/>
          <w:sz w:val="24"/>
        </w:rPr>
        <w:t>(4), 325–327. https://doi.org/10.1016/S0377-1237(07)80005-2</w:t>
      </w:r>
    </w:p>
    <w:p>
      <w:pPr>
        <w:spacing w:line="360" w:lineRule="auto"/>
      </w:pPr>
      <w:r>
        <w:rPr>
          <w:rFonts w:ascii="Times New Roman" w:hAnsi="Times New Roman" w:cs="Times New Roman"/>
          <w:sz w:val="24"/>
        </w:rPr>
        <w:t xml:space="preserve">Gurumurthy, A., Nair, V. K., &amp; Vinodh, S. (2021). Application of a hybrid selective inventory control technique in a hospital: A precursor for inventory reduction through lean thinking. </w:t>
      </w:r>
      <w:r>
        <w:rPr>
          <w:rFonts w:ascii="Times New Roman" w:hAnsi="Times New Roman" w:cs="Times New Roman"/>
          <w:i/>
          <w:sz w:val="24"/>
        </w:rPr>
        <w:t>The TQM Journal</w:t>
      </w:r>
      <w:r>
        <w:rPr>
          <w:rFonts w:ascii="Times New Roman" w:hAnsi="Times New Roman" w:cs="Times New Roman"/>
          <w:sz w:val="24"/>
        </w:rPr>
        <w:t xml:space="preserve">, </w:t>
      </w:r>
      <w:r>
        <w:rPr>
          <w:rFonts w:ascii="Times New Roman" w:hAnsi="Times New Roman" w:cs="Times New Roman"/>
          <w:i/>
          <w:sz w:val="24"/>
        </w:rPr>
        <w:t>33</w:t>
      </w:r>
      <w:r>
        <w:rPr>
          <w:rFonts w:ascii="Times New Roman" w:hAnsi="Times New Roman" w:cs="Times New Roman"/>
          <w:sz w:val="24"/>
        </w:rPr>
        <w:t>(3), 568–595. https://doi.org/10.1108/TQM-06-2020-0123</w:t>
      </w:r>
    </w:p>
    <w:p>
      <w:pPr>
        <w:spacing w:line="360" w:lineRule="auto"/>
      </w:pPr>
      <w:r>
        <w:rPr>
          <w:rFonts w:ascii="Times New Roman" w:hAnsi="Times New Roman" w:cs="Times New Roman"/>
          <w:sz w:val="24"/>
        </w:rPr>
        <w:t xml:space="preserve">Hautaniemi, P., &amp; Pirttilä, T. (1999). The choice of replenishment policies in an MRP environment. </w:t>
      </w:r>
      <w:r>
        <w:rPr>
          <w:rFonts w:ascii="Times New Roman" w:hAnsi="Times New Roman" w:cs="Times New Roman"/>
          <w:i/>
          <w:sz w:val="24"/>
        </w:rPr>
        <w:t>International Journal of Production Economics</w:t>
      </w:r>
      <w:r>
        <w:rPr>
          <w:rFonts w:ascii="Times New Roman" w:hAnsi="Times New Roman" w:cs="Times New Roman"/>
          <w:sz w:val="24"/>
        </w:rPr>
        <w:t xml:space="preserve">, </w:t>
      </w:r>
      <w:r>
        <w:rPr>
          <w:rFonts w:ascii="Times New Roman" w:hAnsi="Times New Roman" w:cs="Times New Roman"/>
          <w:i/>
          <w:sz w:val="24"/>
        </w:rPr>
        <w:t>59</w:t>
      </w:r>
      <w:r>
        <w:rPr>
          <w:rFonts w:ascii="Times New Roman" w:hAnsi="Times New Roman" w:cs="Times New Roman"/>
          <w:sz w:val="24"/>
        </w:rPr>
        <w:t>(1–3), 85–92. https://doi.org/10.1016/S0925-5273(98)00026-7</w:t>
      </w:r>
    </w:p>
    <w:p>
      <w:pPr>
        <w:spacing w:line="360" w:lineRule="auto"/>
      </w:pPr>
      <w:r>
        <w:rPr>
          <w:rFonts w:ascii="Times New Roman" w:hAnsi="Times New Roman" w:cs="Times New Roman"/>
          <w:sz w:val="24"/>
        </w:rPr>
        <w:t xml:space="preserve">Kelle, P., Woosley, J., &amp; Schneider, H. (2012). Pharmaceutical supply chain specifics and inventory solutions for a hospital case. </w:t>
      </w:r>
      <w:r>
        <w:rPr>
          <w:rFonts w:ascii="Times New Roman" w:hAnsi="Times New Roman" w:cs="Times New Roman"/>
          <w:i/>
          <w:sz w:val="24"/>
        </w:rPr>
        <w:t>Operations Research for Health Care</w:t>
      </w:r>
      <w:r>
        <w:rPr>
          <w:rFonts w:ascii="Times New Roman" w:hAnsi="Times New Roman" w:cs="Times New Roman"/>
          <w:sz w:val="24"/>
        </w:rPr>
        <w:t xml:space="preserve">, </w:t>
      </w:r>
      <w:r>
        <w:rPr>
          <w:rFonts w:ascii="Times New Roman" w:hAnsi="Times New Roman" w:cs="Times New Roman"/>
          <w:i/>
          <w:sz w:val="24"/>
        </w:rPr>
        <w:t>1</w:t>
      </w:r>
      <w:r>
        <w:rPr>
          <w:rFonts w:ascii="Times New Roman" w:hAnsi="Times New Roman" w:cs="Times New Roman"/>
          <w:sz w:val="24"/>
        </w:rPr>
        <w:t>(2–3), 54–63. https://doi.org/10.1016/j.orhc.2012.07.001</w:t>
      </w:r>
    </w:p>
    <w:p>
      <w:pPr>
        <w:spacing w:line="360" w:lineRule="auto"/>
      </w:pPr>
      <w:r>
        <w:rPr>
          <w:rFonts w:ascii="Times New Roman" w:hAnsi="Times New Roman" w:cs="Times New Roman"/>
          <w:sz w:val="24"/>
        </w:rPr>
        <w:t xml:space="preserve">Keshavarz Ghorabaee, M., Zavadskas, E. K., Olfat, L., &amp; Turskis, Z. (2015). Multi-criteria inventory classification using a new method of evaluation based on distance from average solution (EDAS). </w:t>
      </w:r>
      <w:r>
        <w:rPr>
          <w:rFonts w:ascii="Times New Roman" w:hAnsi="Times New Roman" w:cs="Times New Roman"/>
          <w:i/>
          <w:sz w:val="24"/>
        </w:rPr>
        <w:t>Informatica</w:t>
      </w:r>
      <w:r>
        <w:rPr>
          <w:rFonts w:ascii="Times New Roman" w:hAnsi="Times New Roman" w:cs="Times New Roman"/>
          <w:sz w:val="24"/>
        </w:rPr>
        <w:t xml:space="preserve">, </w:t>
      </w:r>
      <w:r>
        <w:rPr>
          <w:rFonts w:ascii="Times New Roman" w:hAnsi="Times New Roman" w:cs="Times New Roman"/>
          <w:i/>
          <w:sz w:val="24"/>
        </w:rPr>
        <w:t>26</w:t>
      </w:r>
      <w:r>
        <w:rPr>
          <w:rFonts w:ascii="Times New Roman" w:hAnsi="Times New Roman" w:cs="Times New Roman"/>
          <w:sz w:val="24"/>
        </w:rPr>
        <w:t>(3), 435–451. https://doi.org/10.15388/Informatica.2015.57</w:t>
      </w:r>
    </w:p>
    <w:p>
      <w:pPr>
        <w:spacing w:line="360" w:lineRule="auto"/>
      </w:pPr>
      <w:r>
        <w:rPr>
          <w:rFonts w:ascii="Times New Roman" w:hAnsi="Times New Roman" w:cs="Times New Roman"/>
          <w:sz w:val="24"/>
        </w:rPr>
        <w:t xml:space="preserve">Ketkar, M., &amp; Vaidya, O. S. (2014). Developing ordering policy based on multiple inventory classification schemes. </w:t>
      </w:r>
      <w:r>
        <w:rPr>
          <w:rFonts w:ascii="Times New Roman" w:hAnsi="Times New Roman" w:cs="Times New Roman"/>
          <w:i/>
          <w:sz w:val="24"/>
        </w:rPr>
        <w:t>Procedia – Social and Behavioral Sciences</w:t>
      </w:r>
      <w:r>
        <w:rPr>
          <w:rFonts w:ascii="Times New Roman" w:hAnsi="Times New Roman" w:cs="Times New Roman"/>
          <w:sz w:val="24"/>
        </w:rPr>
        <w:t xml:space="preserve">, </w:t>
      </w:r>
      <w:r>
        <w:rPr>
          <w:rFonts w:ascii="Times New Roman" w:hAnsi="Times New Roman" w:cs="Times New Roman"/>
          <w:i/>
          <w:sz w:val="24"/>
        </w:rPr>
        <w:t>133</w:t>
      </w:r>
      <w:r>
        <w:rPr>
          <w:rFonts w:ascii="Times New Roman" w:hAnsi="Times New Roman" w:cs="Times New Roman"/>
          <w:sz w:val="24"/>
        </w:rPr>
        <w:t>, 180–188. https://doi.org/10.1016/j.sbspro.2014.04.183</w:t>
      </w:r>
    </w:p>
    <w:p>
      <w:pPr>
        <w:spacing w:line="360" w:lineRule="auto"/>
      </w:pPr>
      <w:r>
        <w:rPr>
          <w:rFonts w:ascii="Times New Roman" w:hAnsi="Times New Roman" w:cs="Times New Roman"/>
          <w:sz w:val="24"/>
        </w:rPr>
        <w:t xml:space="preserve">Kumar, D., &amp; Kumar, D. (2015). Modelling hospital inventory management using interpretive structural modelling approach. </w:t>
      </w:r>
      <w:r>
        <w:rPr>
          <w:rFonts w:ascii="Times New Roman" w:hAnsi="Times New Roman" w:cs="Times New Roman"/>
          <w:i/>
          <w:sz w:val="24"/>
        </w:rPr>
        <w:t>International Journal of Logistics Systems and Management</w:t>
      </w:r>
      <w:r>
        <w:rPr>
          <w:rFonts w:ascii="Times New Roman" w:hAnsi="Times New Roman" w:cs="Times New Roman"/>
          <w:sz w:val="24"/>
        </w:rPr>
        <w:t xml:space="preserve">, </w:t>
      </w:r>
      <w:r>
        <w:rPr>
          <w:rFonts w:ascii="Times New Roman" w:hAnsi="Times New Roman" w:cs="Times New Roman"/>
          <w:i/>
          <w:sz w:val="24"/>
        </w:rPr>
        <w:t>21</w:t>
      </w:r>
      <w:r>
        <w:rPr>
          <w:rFonts w:ascii="Times New Roman" w:hAnsi="Times New Roman" w:cs="Times New Roman"/>
          <w:sz w:val="24"/>
        </w:rPr>
        <w:t>(3), 319–334. https://doi.org/10.1504/IJLSM.2015.069734</w:t>
      </w:r>
    </w:p>
    <w:p>
      <w:pPr>
        <w:spacing w:line="360" w:lineRule="auto"/>
      </w:pPr>
      <w:r>
        <w:rPr>
          <w:rFonts w:ascii="Times New Roman" w:hAnsi="Times New Roman" w:cs="Times New Roman"/>
          <w:sz w:val="24"/>
        </w:rPr>
        <w:t xml:space="preserve">McKinney, W. (2010). Data structures for statistical computing in Python. I S. van der Walt &amp; J. Millman (Red.), </w:t>
      </w:r>
      <w:r>
        <w:rPr>
          <w:rFonts w:ascii="Times New Roman" w:hAnsi="Times New Roman" w:cs="Times New Roman"/>
          <w:i/>
          <w:sz w:val="24"/>
        </w:rPr>
        <w:t>Proceedings of the 9th Python in Science Conference</w:t>
      </w:r>
      <w:r>
        <w:rPr>
          <w:rFonts w:ascii="Times New Roman" w:hAnsi="Times New Roman" w:cs="Times New Roman"/>
          <w:sz w:val="24"/>
        </w:rPr>
        <w:t xml:space="preserve"> (s. 56–61). https://doi.org/10.25080/Majora-92bf1922-00a</w:t>
      </w:r>
    </w:p>
    <w:p>
      <w:pPr>
        <w:spacing w:line="360" w:lineRule="auto"/>
      </w:pPr>
      <w:r>
        <w:rPr>
          <w:rFonts w:ascii="Times New Roman" w:hAnsi="Times New Roman" w:cs="Times New Roman"/>
          <w:sz w:val="24"/>
        </w:rPr>
        <w:t xml:space="preserve">Moons, K., Waeyenbergh, G., &amp; Pintelon, L. (2019). Measuring the logistics performance of internal hospital supply chains – A literature study. </w:t>
      </w:r>
      <w:r>
        <w:rPr>
          <w:rFonts w:ascii="Times New Roman" w:hAnsi="Times New Roman" w:cs="Times New Roman"/>
          <w:i/>
          <w:sz w:val="24"/>
        </w:rPr>
        <w:t>Omega</w:t>
      </w:r>
      <w:r>
        <w:rPr>
          <w:rFonts w:ascii="Times New Roman" w:hAnsi="Times New Roman" w:cs="Times New Roman"/>
          <w:sz w:val="24"/>
        </w:rPr>
        <w:t xml:space="preserve">, </w:t>
      </w:r>
      <w:r>
        <w:rPr>
          <w:rFonts w:ascii="Times New Roman" w:hAnsi="Times New Roman" w:cs="Times New Roman"/>
          <w:i/>
          <w:sz w:val="24"/>
        </w:rPr>
        <w:t>82</w:t>
      </w:r>
      <w:r>
        <w:rPr>
          <w:rFonts w:ascii="Times New Roman" w:hAnsi="Times New Roman" w:cs="Times New Roman"/>
          <w:sz w:val="24"/>
        </w:rPr>
        <w:t>, 205–217. https://doi.org/10.1016/j.omega.2018.01.007</w:t>
      </w:r>
    </w:p>
    <w:p>
      <w:pPr>
        <w:spacing w:line="360" w:lineRule="auto"/>
      </w:pPr>
      <w:r>
        <w:rPr>
          <w:rFonts w:ascii="Times New Roman" w:hAnsi="Times New Roman" w:cs="Times New Roman"/>
          <w:sz w:val="24"/>
        </w:rPr>
        <w:t xml:space="preserve">Nowotyńska, I. (2013). An application of XYZ analysis in company stock management. </w:t>
      </w:r>
      <w:r>
        <w:rPr>
          <w:rFonts w:ascii="Times New Roman" w:hAnsi="Times New Roman" w:cs="Times New Roman"/>
          <w:i/>
          <w:sz w:val="24"/>
        </w:rPr>
        <w:t>Modern Management Review</w:t>
      </w:r>
      <w:r>
        <w:rPr>
          <w:rFonts w:ascii="Times New Roman" w:hAnsi="Times New Roman" w:cs="Times New Roman"/>
          <w:sz w:val="24"/>
        </w:rPr>
        <w:t xml:space="preserve">, </w:t>
      </w:r>
      <w:r>
        <w:rPr>
          <w:rFonts w:ascii="Times New Roman" w:hAnsi="Times New Roman" w:cs="Times New Roman"/>
          <w:i/>
          <w:sz w:val="24"/>
        </w:rPr>
        <w:t>XVIII</w:t>
      </w:r>
      <w:r>
        <w:rPr>
          <w:rFonts w:ascii="Times New Roman" w:hAnsi="Times New Roman" w:cs="Times New Roman"/>
          <w:sz w:val="24"/>
        </w:rPr>
        <w:t>(20), 77–86.</w:t>
      </w:r>
    </w:p>
    <w:p>
      <w:pPr>
        <w:spacing w:line="360" w:lineRule="auto"/>
      </w:pPr>
      <w:r>
        <w:rPr>
          <w:rFonts w:ascii="Times New Roman" w:hAnsi="Times New Roman" w:cs="Times New Roman"/>
          <w:sz w:val="24"/>
        </w:rPr>
        <w:t xml:space="preserve">Partovi, F. Y., &amp; Burton, J. (1993). Using the analytic hierarchy process for ABC analysis. </w:t>
      </w:r>
      <w:r>
        <w:rPr>
          <w:rFonts w:ascii="Times New Roman" w:hAnsi="Times New Roman" w:cs="Times New Roman"/>
          <w:i/>
          <w:sz w:val="24"/>
        </w:rPr>
        <w:t>International Journal of Operations and Production Management</w:t>
      </w:r>
      <w:r>
        <w:rPr>
          <w:rFonts w:ascii="Times New Roman" w:hAnsi="Times New Roman" w:cs="Times New Roman"/>
          <w:sz w:val="24"/>
        </w:rPr>
        <w:t xml:space="preserve">, </w:t>
      </w:r>
      <w:r>
        <w:rPr>
          <w:rFonts w:ascii="Times New Roman" w:hAnsi="Times New Roman" w:cs="Times New Roman"/>
          <w:i/>
          <w:sz w:val="24"/>
        </w:rPr>
        <w:t>13</w:t>
      </w:r>
      <w:r>
        <w:rPr>
          <w:rFonts w:ascii="Times New Roman" w:hAnsi="Times New Roman" w:cs="Times New Roman"/>
          <w:sz w:val="24"/>
        </w:rPr>
        <w:t>(9), 29–44. https://doi.org/10.1108/01443579310043619</w:t>
      </w:r>
    </w:p>
    <w:p>
      <w:pPr>
        <w:spacing w:line="360" w:lineRule="auto"/>
      </w:pPr>
      <w:r>
        <w:rPr>
          <w:rFonts w:ascii="Times New Roman" w:hAnsi="Times New Roman" w:cs="Times New Roman"/>
          <w:sz w:val="24"/>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hAnsi="Times New Roman" w:cs="Times New Roman"/>
          <w:i/>
          <w:sz w:val="24"/>
        </w:rPr>
        <w:t>Journal of Machine Learning Research</w:t>
      </w:r>
      <w:r>
        <w:rPr>
          <w:rFonts w:ascii="Times New Roman" w:hAnsi="Times New Roman" w:cs="Times New Roman"/>
          <w:sz w:val="24"/>
        </w:rPr>
        <w:t xml:space="preserve">, </w:t>
      </w:r>
      <w:r>
        <w:rPr>
          <w:rFonts w:ascii="Times New Roman" w:hAnsi="Times New Roman" w:cs="Times New Roman"/>
          <w:i/>
          <w:sz w:val="24"/>
        </w:rPr>
        <w:t>12</w:t>
      </w:r>
      <w:r>
        <w:rPr>
          <w:rFonts w:ascii="Times New Roman" w:hAnsi="Times New Roman" w:cs="Times New Roman"/>
          <w:sz w:val="24"/>
        </w:rPr>
        <w:t>, 2825–2830.</w:t>
      </w:r>
    </w:p>
    <w:p>
      <w:pPr>
        <w:spacing w:line="360" w:lineRule="auto"/>
      </w:pPr>
      <w:r>
        <w:rPr>
          <w:rFonts w:ascii="Times New Roman" w:hAnsi="Times New Roman" w:cs="Times New Roman"/>
          <w:sz w:val="24"/>
        </w:rPr>
        <w:t xml:space="preserve">Pujawan, I. N. (2004). The effect of lot sizing rules on order variability. </w:t>
      </w:r>
      <w:r>
        <w:rPr>
          <w:rFonts w:ascii="Times New Roman" w:hAnsi="Times New Roman" w:cs="Times New Roman"/>
          <w:i/>
          <w:sz w:val="24"/>
        </w:rPr>
        <w:t>European Journal of Operational Research</w:t>
      </w:r>
      <w:r>
        <w:rPr>
          <w:rFonts w:ascii="Times New Roman" w:hAnsi="Times New Roman" w:cs="Times New Roman"/>
          <w:sz w:val="24"/>
        </w:rPr>
        <w:t xml:space="preserve">, </w:t>
      </w:r>
      <w:r>
        <w:rPr>
          <w:rFonts w:ascii="Times New Roman" w:hAnsi="Times New Roman" w:cs="Times New Roman"/>
          <w:i/>
          <w:sz w:val="24"/>
        </w:rPr>
        <w:t>159</w:t>
      </w:r>
      <w:r>
        <w:rPr>
          <w:rFonts w:ascii="Times New Roman" w:hAnsi="Times New Roman" w:cs="Times New Roman"/>
          <w:sz w:val="24"/>
        </w:rPr>
        <w:t>(3), 617–635. https://doi.org/10.1016/S0377-2217(03)00419-3</w:t>
      </w:r>
    </w:p>
    <w:p>
      <w:pPr>
        <w:spacing w:line="360" w:lineRule="auto"/>
      </w:pPr>
      <w:r>
        <w:rPr>
          <w:rFonts w:ascii="Times New Roman" w:hAnsi="Times New Roman" w:cs="Times New Roman"/>
          <w:sz w:val="24"/>
        </w:rPr>
        <w:t xml:space="preserve">Saha, E., &amp; Ray, P. K. (2019). Modelling and analysis of inventory management systems in healthcare: A review and reflections. </w:t>
      </w:r>
      <w:r>
        <w:rPr>
          <w:rFonts w:ascii="Times New Roman" w:hAnsi="Times New Roman" w:cs="Times New Roman"/>
          <w:i/>
          <w:sz w:val="24"/>
        </w:rPr>
        <w:t>Computers &amp; Industrial Engineering</w:t>
      </w:r>
      <w:r>
        <w:rPr>
          <w:rFonts w:ascii="Times New Roman" w:hAnsi="Times New Roman" w:cs="Times New Roman"/>
          <w:sz w:val="24"/>
        </w:rPr>
        <w:t xml:space="preserve">, </w:t>
      </w:r>
      <w:r>
        <w:rPr>
          <w:rFonts w:ascii="Times New Roman" w:hAnsi="Times New Roman" w:cs="Times New Roman"/>
          <w:i/>
          <w:sz w:val="24"/>
        </w:rPr>
        <w:t>137</w:t>
      </w:r>
      <w:r>
        <w:rPr>
          <w:rFonts w:ascii="Times New Roman" w:hAnsi="Times New Roman" w:cs="Times New Roman"/>
          <w:sz w:val="24"/>
        </w:rPr>
        <w:t>, 106051. https://doi.org/10.1016/j.cie.2019.106051</w:t>
      </w:r>
    </w:p>
    <w:p>
      <w:pPr>
        <w:spacing w:line="360" w:lineRule="auto"/>
      </w:pPr>
      <w:r>
        <w:rPr>
          <w:rFonts w:ascii="Times New Roman" w:hAnsi="Times New Roman" w:cs="Times New Roman"/>
          <w:sz w:val="24"/>
        </w:rPr>
        <w:t xml:space="preserve">Silaen, B. R., Nasution, M., &amp; Muti'ah, R. (2023). Implementation of the ABC analysis to the inventory management. </w:t>
      </w:r>
      <w:r>
        <w:rPr>
          <w:rFonts w:ascii="Times New Roman" w:hAnsi="Times New Roman" w:cs="Times New Roman"/>
          <w:i/>
          <w:sz w:val="24"/>
        </w:rPr>
        <w:t>International Journal of Science, Technology &amp; Management</w:t>
      </w:r>
      <w:r>
        <w:rPr>
          <w:rFonts w:ascii="Times New Roman" w:hAnsi="Times New Roman" w:cs="Times New Roman"/>
          <w:sz w:val="24"/>
        </w:rPr>
        <w:t xml:space="preserve">, </w:t>
      </w:r>
      <w:r>
        <w:rPr>
          <w:rFonts w:ascii="Times New Roman" w:hAnsi="Times New Roman" w:cs="Times New Roman"/>
          <w:i/>
          <w:sz w:val="24"/>
        </w:rPr>
        <w:t>4</w:t>
      </w:r>
      <w:r>
        <w:rPr>
          <w:rFonts w:ascii="Times New Roman" w:hAnsi="Times New Roman" w:cs="Times New Roman"/>
          <w:sz w:val="24"/>
        </w:rPr>
        <w:t>(4), 815–822. https://doi.org/10.46729/ijstm.v4i4.886</w:t>
      </w:r>
    </w:p>
    <w:p>
      <w:pPr>
        <w:spacing w:line="360" w:lineRule="auto"/>
      </w:pPr>
      <w:r>
        <w:rPr>
          <w:rFonts w:ascii="Times New Roman" w:hAnsi="Times New Roman" w:cs="Times New Roman"/>
          <w:sz w:val="24"/>
        </w:rPr>
        <w:t xml:space="preserve">Sirisawat, P., Hasachoo, N., &amp; Kaewket, T. (2019). Investigation and prioritization of performance indicators for inventory management in the university hospital. I </w:t>
      </w:r>
      <w:r>
        <w:rPr>
          <w:rFonts w:ascii="Times New Roman" w:hAnsi="Times New Roman" w:cs="Times New Roman"/>
          <w:i/>
          <w:sz w:val="24"/>
        </w:rPr>
        <w:t>Proceedings of the 2019 IEEE International Conference on Industrial Engineering and Engineering Management (IEEM)</w:t>
      </w:r>
      <w:r>
        <w:rPr>
          <w:rFonts w:ascii="Times New Roman" w:hAnsi="Times New Roman" w:cs="Times New Roman"/>
          <w:sz w:val="24"/>
        </w:rPr>
        <w:t xml:space="preserve"> (s. 978–982). IEEE. https://doi.org/10.1109/IEEM44572.2019.8978819</w:t>
      </w:r>
    </w:p>
    <w:p>
      <w:pPr>
        <w:spacing w:line="360" w:lineRule="auto"/>
      </w:pPr>
      <w:r>
        <w:rPr>
          <w:rFonts w:ascii="Times New Roman" w:hAnsi="Times New Roman" w:cs="Times New Roman"/>
          <w:sz w:val="24"/>
        </w:rPr>
        <w:t xml:space="preserve">Srinivasan, M., &amp; Moon, Y. B. (1999). A comprehensive clustering algorithm for strategic analysis of supply chain networks. </w:t>
      </w:r>
      <w:r>
        <w:rPr>
          <w:rFonts w:ascii="Times New Roman" w:hAnsi="Times New Roman" w:cs="Times New Roman"/>
          <w:i/>
          <w:sz w:val="24"/>
        </w:rPr>
        <w:t>Computers &amp; Industrial Engineering</w:t>
      </w:r>
      <w:r>
        <w:rPr>
          <w:rFonts w:ascii="Times New Roman" w:hAnsi="Times New Roman" w:cs="Times New Roman"/>
          <w:sz w:val="24"/>
        </w:rPr>
        <w:t xml:space="preserve">, </w:t>
      </w:r>
      <w:r>
        <w:rPr>
          <w:rFonts w:ascii="Times New Roman" w:hAnsi="Times New Roman" w:cs="Times New Roman"/>
          <w:i/>
          <w:sz w:val="24"/>
        </w:rPr>
        <w:t>36</w:t>
      </w:r>
      <w:r>
        <w:rPr>
          <w:rFonts w:ascii="Times New Roman" w:hAnsi="Times New Roman" w:cs="Times New Roman"/>
          <w:sz w:val="24"/>
        </w:rPr>
        <w:t>, 615–633. https://doi.org/10.1016/S0360-8352(99)00155-2</w:t>
      </w:r>
    </w:p>
    <w:p>
      <w:pPr>
        <w:spacing w:line="360" w:lineRule="auto"/>
      </w:pPr>
      <w:r>
        <w:rPr>
          <w:rFonts w:ascii="Times New Roman" w:hAnsi="Times New Roman" w:cs="Times New Roman"/>
          <w:sz w:val="24"/>
        </w:rPr>
        <w:t xml:space="preserve">Suryaputri, Z., Gabriel, D. S., &amp; Nurcahyo, R. (2022). Integration of ABC-XYZ analysis in inventory management optimization: A case study in the health industry. I </w:t>
      </w:r>
      <w:r>
        <w:rPr>
          <w:rFonts w:ascii="Times New Roman" w:hAnsi="Times New Roman" w:cs="Times New Roman"/>
          <w:i/>
          <w:sz w:val="24"/>
        </w:rPr>
        <w:t>Proceedings of the International Conference on Industrial Engineering and Operations Management</w:t>
      </w:r>
      <w:r>
        <w:rPr>
          <w:rFonts w:ascii="Times New Roman" w:hAnsi="Times New Roman" w:cs="Times New Roman"/>
          <w:sz w:val="24"/>
        </w:rPr>
        <w:t xml:space="preserve"> (s. 351–360). IEOM Society International.</w:t>
      </w:r>
    </w:p>
    <w:p>
      <w:pPr>
        <w:spacing w:line="360" w:lineRule="auto"/>
      </w:pPr>
      <w:r>
        <w:rPr>
          <w:rFonts w:ascii="Times New Roman" w:hAnsi="Times New Roman" w:cs="Times New Roman"/>
          <w:sz w:val="24"/>
        </w:rPr>
        <w:t xml:space="preserve">van Kampen, T. J., Akkerman, R., &amp; van Donk, D. P. (2012). SKU classification: A literature review and conceptual framework. </w:t>
      </w:r>
      <w:r>
        <w:rPr>
          <w:rFonts w:ascii="Times New Roman" w:hAnsi="Times New Roman" w:cs="Times New Roman"/>
          <w:i/>
          <w:sz w:val="24"/>
        </w:rPr>
        <w:t>International Journal of Operations and Production Management</w:t>
      </w:r>
      <w:r>
        <w:rPr>
          <w:rFonts w:ascii="Times New Roman" w:hAnsi="Times New Roman" w:cs="Times New Roman"/>
          <w:sz w:val="24"/>
        </w:rPr>
        <w:t xml:space="preserve">, </w:t>
      </w:r>
      <w:r>
        <w:rPr>
          <w:rFonts w:ascii="Times New Roman" w:hAnsi="Times New Roman" w:cs="Times New Roman"/>
          <w:i/>
          <w:sz w:val="24"/>
        </w:rPr>
        <w:t>32</w:t>
      </w:r>
      <w:r>
        <w:rPr>
          <w:rFonts w:ascii="Times New Roman" w:hAnsi="Times New Roman" w:cs="Times New Roman"/>
          <w:sz w:val="24"/>
        </w:rPr>
        <w:t>(7), 850–876. https://doi.org/10.1108/01443571211250112</w:t>
      </w:r>
    </w:p>
    <w:p>
      <w:pPr>
        <w:spacing w:line="360" w:lineRule="auto"/>
      </w:pPr>
      <w:r>
        <w:rPr>
          <w:rFonts w:ascii="Times New Roman" w:hAnsi="Times New Roman" w:cs="Times New Roman"/>
          <w:sz w:val="24"/>
        </w:rPr>
        <w:t xml:space="preserve">Volland, J., Fügener, A., Schoenfelder, J., &amp; Brunner, J. O. (2017). Material logistics in hospitals: A literature review. </w:t>
      </w:r>
      <w:r>
        <w:rPr>
          <w:rFonts w:ascii="Times New Roman" w:hAnsi="Times New Roman" w:cs="Times New Roman"/>
          <w:i/>
          <w:sz w:val="24"/>
        </w:rPr>
        <w:t>Omega</w:t>
      </w:r>
      <w:r>
        <w:rPr>
          <w:rFonts w:ascii="Times New Roman" w:hAnsi="Times New Roman" w:cs="Times New Roman"/>
          <w:sz w:val="24"/>
        </w:rPr>
        <w:t xml:space="preserve">, </w:t>
      </w:r>
      <w:r>
        <w:rPr>
          <w:rFonts w:ascii="Times New Roman" w:hAnsi="Times New Roman" w:cs="Times New Roman"/>
          <w:i/>
          <w:sz w:val="24"/>
        </w:rPr>
        <w:t>69</w:t>
      </w:r>
      <w:r>
        <w:rPr>
          <w:rFonts w:ascii="Times New Roman" w:hAnsi="Times New Roman" w:cs="Times New Roman"/>
          <w:sz w:val="24"/>
        </w:rPr>
        <w:t>, 82–101. https://doi.org/10.1016/j.omega.2016.08.004</w:t>
      </w:r>
    </w:p>
    <w:p>
      <w:pPr>
        <w:spacing w:line="360" w:lineRule="auto"/>
      </w:pPr>
      <w:r>
        <w:rPr>
          <w:rFonts w:ascii="Times New Roman" w:hAnsi="Times New Roman" w:cs="Times New Roman"/>
          <w:sz w:val="24"/>
        </w:rPr>
        <w:t xml:space="preserve">Anthropic. (2026). </w:t>
      </w:r>
      <w:r>
        <w:rPr>
          <w:rFonts w:ascii="Times New Roman" w:hAnsi="Times New Roman" w:cs="Times New Roman"/>
          <w:i/>
          <w:sz w:val="24"/>
        </w:rPr>
        <w:t>Claude</w:t>
      </w:r>
      <w:r>
        <w:rPr>
          <w:rFonts w:ascii="Times New Roman" w:hAnsi="Times New Roman" w:cs="Times New Roman"/>
          <w:sz w:val="24"/>
        </w:rPr>
        <w:t xml:space="preserve"> [Stor språkmodell]. https://claude.ai</w:t>
      </w:r>
    </w:p>
    <w:p>
      <w:pPr>
        <w:spacing w:line="360" w:lineRule="auto"/>
      </w:pPr>
      <w:r>
        <w:rPr>
          <w:rFonts w:ascii="Times New Roman" w:hAnsi="Times New Roman" w:cs="Times New Roman"/>
          <w:sz w:val="24"/>
        </w:rPr>
        <w:t xml:space="preserve">Helse Vest RHF. (2024). </w:t>
      </w:r>
      <w:r>
        <w:rPr>
          <w:rFonts w:ascii="Times New Roman" w:hAnsi="Times New Roman" w:cs="Times New Roman"/>
          <w:i/>
          <w:sz w:val="24"/>
        </w:rPr>
        <w:t>Kontraktstildeling: Drift av regionalt forsyningssenter</w:t>
      </w:r>
      <w:r>
        <w:rPr>
          <w:rFonts w:ascii="Times New Roman" w:hAnsi="Times New Roman" w:cs="Times New Roman"/>
          <w:sz w:val="24"/>
        </w:rPr>
        <w:t xml:space="preserve"> [Kunngjøring om inngått kontrakt, kunngjøring 2024-101803]. Doffin – database for offentlige innkjøp. https://doffin.no/notices/2024-101803</w:t>
      </w:r>
    </w:p>
    <w:p>
      <w:pPr>
        <w:spacing w:line="360" w:lineRule="auto"/>
      </w:pPr>
      <w:r>
        <w:rPr>
          <w:rFonts w:ascii="Times New Roman" w:hAnsi="Times New Roman" w:cs="Times New Roman"/>
          <w:sz w:val="24"/>
        </w:rPr>
        <w:t xml:space="preserve">Rekdal, O. B., &amp; Pettersen, B. I. A. (2025). </w:t>
      </w:r>
      <w:r>
        <w:rPr>
          <w:rFonts w:ascii="Times New Roman" w:hAnsi="Times New Roman" w:cs="Times New Roman"/>
          <w:i/>
          <w:sz w:val="24"/>
        </w:rPr>
        <w:t>Vitenskapelig skriving – en praktisk innføring</w:t>
      </w:r>
      <w:r>
        <w:rPr>
          <w:rFonts w:ascii="Times New Roman" w:hAnsi="Times New Roman" w:cs="Times New Roman"/>
          <w:sz w:val="24"/>
        </w:rPr>
        <w:t xml:space="preserve"> (9. des. 2025). Høgskolen i Molde.</w:t>
      </w:r>
    </w:p>
    <w:p>
      <w:pPr>
        <w:pStyle w:val="Overskrift1"/>
        <w:pageBreakBefore w:val="true"/>
      </w:pPr>
      <w:r>
        <w:rPr>
          <w:rFonts w:ascii="Times New Roman" w:hAnsi="Times New Roman"/>
          <w:color w:val="000000"/>
          <w:sz w:val="36"/>
        </w:rPr>
        <w:t>Vedlegg</w:t>
      </w:r>
    </w:p>
    <w:p>
      <w:pPr>
        <w:pStyle w:val="Overskrift2"/>
      </w:pPr>
      <w:r>
        <w:rPr>
          <w:rFonts w:ascii="Times New Roman" w:hAnsi="Times New Roman"/>
          <w:color w:val="000000"/>
          <w:sz w:val="32"/>
        </w:rPr>
        <w:t>Vedlegg A – SAP-dataspesifikasjon</w:t>
      </w:r>
    </w:p>
    <w:p>
      <w:pPr>
        <w:spacing w:line="360" w:lineRule="auto"/>
      </w:pPr>
      <w:r>
        <w:rPr>
          <w:rFonts w:ascii="Times New Roman" w:hAnsi="Times New Roman" w:cs="Times New Roman"/>
          <w:sz w:val="24"/>
        </w:rPr>
        <w:t>Tabellen nedenfor viser de 14 SAP S/4HANA-tabellene som ble ekstrahert via transaksjon SE16H for WERKS 3300 / LGORT 3001. Uttrekksperiode: 2024–2025.</w:t>
      </w:r>
    </w:p>
    <w:tbl>
      <w:tblPr>
        <w:tblW w:type="auto" w:w="0"/>
        <w:jc w:val="center"/>
        <w:tblLook w:firstColumn="1" w:firstRow="1" w:lastColumn="0" w:lastRow="0" w:noHBand="0" w:noVBand="1" w:val="04A0"/>
        <w:tblBorders>
          <w:top w:val="single" w:sz="8" w:space="0" w:color="000000"/>
          <w:left w:val="nil"/>
          <w:bottom w:val="single" w:sz="8" w:space="0" w:color="000000"/>
          <w:right w:val="nil"/>
          <w:insideH w:val="nil"/>
          <w:insideV w:val="nil"/>
        </w:tblBorders>
      </w:tblPr>
      <w:tblGrid>
        <w:gridCol w:w="2923"/>
        <w:gridCol w:w="2923"/>
        <w:gridCol w:w="2923"/>
      </w:tblGrid>
      <w:tr>
        <w:tc>
          <w:tcPr>
            <w:tcW w:type="dxa" w:w="2923"/>
            <w:tcBorders>
              <w:top w:val="single" w:sz="8" w:space="0" w:color="000000"/>
              <w:bottom w:val="single" w:sz="4" w:space="0" w:color="000000"/>
              <w:left w:val="nil"/>
              <w:right w:val="nil"/>
            </w:tcBorders>
          </w:tcPr>
          <w:p>
            <w:r/>
            <w:r>
              <w:rPr>
                <w:rFonts w:ascii="Times New Roman" w:hAnsi="Times New Roman"/>
                <w:b/>
                <w:sz w:val="22"/>
              </w:rPr>
              <w:t>SAP-tabell</w:t>
            </w:r>
          </w:p>
        </w:tc>
        <w:tc>
          <w:tcPr>
            <w:tcW w:type="dxa" w:w="2923"/>
            <w:tcBorders>
              <w:top w:val="single" w:sz="8" w:space="0" w:color="000000"/>
              <w:bottom w:val="single" w:sz="4" w:space="0" w:color="000000"/>
              <w:left w:val="nil"/>
              <w:right w:val="nil"/>
            </w:tcBorders>
          </w:tcPr>
          <w:p>
            <w:r/>
            <w:r>
              <w:rPr>
                <w:rFonts w:ascii="Times New Roman" w:hAnsi="Times New Roman"/>
                <w:b/>
                <w:sz w:val="22"/>
              </w:rPr>
              <w:t>Beskrivelse</w:t>
            </w:r>
          </w:p>
        </w:tc>
        <w:tc>
          <w:tcPr>
            <w:tcW w:type="dxa" w:w="2923"/>
            <w:tcBorders>
              <w:top w:val="single" w:sz="8" w:space="0" w:color="000000"/>
              <w:bottom w:val="single" w:sz="4" w:space="0" w:color="000000"/>
              <w:left w:val="nil"/>
              <w:right w:val="nil"/>
            </w:tcBorders>
          </w:tcPr>
          <w:p>
            <w:r/>
            <w:r>
              <w:rPr>
                <w:rFonts w:ascii="Times New Roman" w:hAnsi="Times New Roman"/>
                <w:b/>
                <w:sz w:val="22"/>
              </w:rPr>
              <w:t>Nøkkelfelter</w:t>
            </w:r>
          </w:p>
        </w:tc>
      </w:tr>
      <w:tr>
        <w:tc>
          <w:tcPr>
            <w:tcW w:type="dxa" w:w="2923"/>
          </w:tcPr>
          <w:p>
            <w:r/>
            <w:r>
              <w:rPr>
                <w:rFonts w:ascii="Times New Roman" w:hAnsi="Times New Roman"/>
                <w:sz w:val="22"/>
              </w:rPr>
              <w:t>MARD</w:t>
            </w:r>
          </w:p>
        </w:tc>
        <w:tc>
          <w:tcPr>
            <w:tcW w:type="dxa" w:w="2923"/>
          </w:tcPr>
          <w:p>
            <w:r/>
            <w:r>
              <w:rPr>
                <w:rFonts w:ascii="Times New Roman" w:hAnsi="Times New Roman"/>
                <w:sz w:val="22"/>
              </w:rPr>
              <w:t>Lagerbeholdning per lagersted</w:t>
            </w:r>
          </w:p>
        </w:tc>
        <w:tc>
          <w:tcPr>
            <w:tcW w:type="dxa" w:w="2923"/>
          </w:tcPr>
          <w:p>
            <w:r/>
            <w:r>
              <w:rPr>
                <w:rFonts w:ascii="Times New Roman" w:hAnsi="Times New Roman"/>
                <w:sz w:val="22"/>
              </w:rPr>
              <w:t>MATNR, WERKS, LGORT, LABST</w:t>
            </w:r>
          </w:p>
        </w:tc>
      </w:tr>
      <w:tr>
        <w:tc>
          <w:tcPr>
            <w:tcW w:type="dxa" w:w="2923"/>
          </w:tcPr>
          <w:p>
            <w:r/>
            <w:r>
              <w:rPr>
                <w:rFonts w:ascii="Times New Roman" w:hAnsi="Times New Roman"/>
                <w:sz w:val="22"/>
              </w:rPr>
              <w:t>MDMA</w:t>
            </w:r>
          </w:p>
        </w:tc>
        <w:tc>
          <w:tcPr>
            <w:tcW w:type="dxa" w:w="2923"/>
          </w:tcPr>
          <w:p>
            <w:r/>
            <w:r>
              <w:rPr>
                <w:rFonts w:ascii="Times New Roman" w:hAnsi="Times New Roman"/>
                <w:sz w:val="22"/>
              </w:rPr>
              <w:t>MRP-område og tilordning</w:t>
            </w:r>
          </w:p>
        </w:tc>
        <w:tc>
          <w:tcPr>
            <w:tcW w:type="dxa" w:w="2923"/>
          </w:tcPr>
          <w:p>
            <w:r/>
            <w:r>
              <w:rPr>
                <w:rFonts w:ascii="Times New Roman" w:hAnsi="Times New Roman"/>
                <w:sz w:val="22"/>
              </w:rPr>
              <w:t>MATNR, WERKS, ZZABC, ZZXYZ</w:t>
            </w:r>
          </w:p>
        </w:tc>
      </w:tr>
      <w:tr>
        <w:tc>
          <w:tcPr>
            <w:tcW w:type="dxa" w:w="2923"/>
          </w:tcPr>
          <w:p>
            <w:r/>
            <w:r>
              <w:rPr>
                <w:rFonts w:ascii="Times New Roman" w:hAnsi="Times New Roman"/>
                <w:sz w:val="22"/>
              </w:rPr>
              <w:t>MARA</w:t>
            </w:r>
          </w:p>
        </w:tc>
        <w:tc>
          <w:tcPr>
            <w:tcW w:type="dxa" w:w="2923"/>
          </w:tcPr>
          <w:p>
            <w:r/>
            <w:r>
              <w:rPr>
                <w:rFonts w:ascii="Times New Roman" w:hAnsi="Times New Roman"/>
                <w:sz w:val="22"/>
              </w:rPr>
              <w:t>Generelle materialdata</w:t>
            </w:r>
          </w:p>
        </w:tc>
        <w:tc>
          <w:tcPr>
            <w:tcW w:type="dxa" w:w="2923"/>
          </w:tcPr>
          <w:p>
            <w:r/>
            <w:r>
              <w:rPr>
                <w:rFonts w:ascii="Times New Roman" w:hAnsi="Times New Roman"/>
                <w:sz w:val="22"/>
              </w:rPr>
              <w:t>MATNR, MTART, MATKL, MEINS</w:t>
            </w:r>
          </w:p>
        </w:tc>
      </w:tr>
      <w:tr>
        <w:tc>
          <w:tcPr>
            <w:tcW w:type="dxa" w:w="2923"/>
          </w:tcPr>
          <w:p>
            <w:r/>
            <w:r>
              <w:rPr>
                <w:rFonts w:ascii="Times New Roman" w:hAnsi="Times New Roman"/>
                <w:sz w:val="22"/>
              </w:rPr>
              <w:t>MAKT</w:t>
            </w:r>
          </w:p>
        </w:tc>
        <w:tc>
          <w:tcPr>
            <w:tcW w:type="dxa" w:w="2923"/>
          </w:tcPr>
          <w:p>
            <w:r/>
            <w:r>
              <w:rPr>
                <w:rFonts w:ascii="Times New Roman" w:hAnsi="Times New Roman"/>
                <w:sz w:val="22"/>
              </w:rPr>
              <w:t>Materialbeskrivelse</w:t>
            </w:r>
          </w:p>
        </w:tc>
        <w:tc>
          <w:tcPr>
            <w:tcW w:type="dxa" w:w="2923"/>
          </w:tcPr>
          <w:p>
            <w:r/>
            <w:r>
              <w:rPr>
                <w:rFonts w:ascii="Times New Roman" w:hAnsi="Times New Roman"/>
                <w:sz w:val="22"/>
              </w:rPr>
              <w:t>MATNR, MAKTX</w:t>
            </w:r>
          </w:p>
        </w:tc>
      </w:tr>
      <w:tr>
        <w:tc>
          <w:tcPr>
            <w:tcW w:type="dxa" w:w="2923"/>
          </w:tcPr>
          <w:p>
            <w:r/>
            <w:r>
              <w:rPr>
                <w:rFonts w:ascii="Times New Roman" w:hAnsi="Times New Roman"/>
                <w:sz w:val="22"/>
              </w:rPr>
              <w:t>MARC</w:t>
            </w:r>
          </w:p>
        </w:tc>
        <w:tc>
          <w:tcPr>
            <w:tcW w:type="dxa" w:w="2923"/>
          </w:tcPr>
          <w:p>
            <w:r/>
            <w:r>
              <w:rPr>
                <w:rFonts w:ascii="Times New Roman" w:hAnsi="Times New Roman"/>
                <w:sz w:val="22"/>
              </w:rPr>
              <w:t>Planleggingsdata per plant</w:t>
            </w:r>
          </w:p>
        </w:tc>
        <w:tc>
          <w:tcPr>
            <w:tcW w:type="dxa" w:w="2923"/>
          </w:tcPr>
          <w:p>
            <w:r/>
            <w:r>
              <w:rPr>
                <w:rFonts w:ascii="Times New Roman" w:hAnsi="Times New Roman"/>
                <w:sz w:val="22"/>
              </w:rPr>
              <w:t>MATNR, WERKS, MARC_ABC</w:t>
            </w:r>
          </w:p>
        </w:tc>
      </w:tr>
      <w:tr>
        <w:tc>
          <w:tcPr>
            <w:tcW w:type="dxa" w:w="2923"/>
          </w:tcPr>
          <w:p>
            <w:r/>
            <w:r>
              <w:rPr>
                <w:rFonts w:ascii="Times New Roman" w:hAnsi="Times New Roman"/>
                <w:sz w:val="22"/>
              </w:rPr>
              <w:t>MBEW</w:t>
            </w:r>
          </w:p>
        </w:tc>
        <w:tc>
          <w:tcPr>
            <w:tcW w:type="dxa" w:w="2923"/>
          </w:tcPr>
          <w:p>
            <w:r/>
            <w:r>
              <w:rPr>
                <w:rFonts w:ascii="Times New Roman" w:hAnsi="Times New Roman"/>
                <w:sz w:val="22"/>
              </w:rPr>
              <w:t>Materialvurdering (pris)</w:t>
            </w:r>
          </w:p>
        </w:tc>
        <w:tc>
          <w:tcPr>
            <w:tcW w:type="dxa" w:w="2923"/>
          </w:tcPr>
          <w:p>
            <w:r/>
            <w:r>
              <w:rPr>
                <w:rFonts w:ascii="Times New Roman" w:hAnsi="Times New Roman"/>
                <w:sz w:val="22"/>
              </w:rPr>
              <w:t>MATNR, BWKEY, STPRS, PEINH</w:t>
            </w:r>
          </w:p>
        </w:tc>
      </w:tr>
      <w:tr>
        <w:tc>
          <w:tcPr>
            <w:tcW w:type="dxa" w:w="2923"/>
          </w:tcPr>
          <w:p>
            <w:r/>
            <w:r>
              <w:rPr>
                <w:rFonts w:ascii="Times New Roman" w:hAnsi="Times New Roman"/>
                <w:sz w:val="22"/>
              </w:rPr>
              <w:t>MSEG</w:t>
            </w:r>
          </w:p>
        </w:tc>
        <w:tc>
          <w:tcPr>
            <w:tcW w:type="dxa" w:w="2923"/>
          </w:tcPr>
          <w:p>
            <w:r/>
            <w:r>
              <w:rPr>
                <w:rFonts w:ascii="Times New Roman" w:hAnsi="Times New Roman"/>
                <w:sz w:val="22"/>
              </w:rPr>
              <w:t>Materialdokumentsegment</w:t>
            </w:r>
          </w:p>
        </w:tc>
        <w:tc>
          <w:tcPr>
            <w:tcW w:type="dxa" w:w="2923"/>
          </w:tcPr>
          <w:p>
            <w:r/>
            <w:r>
              <w:rPr>
                <w:rFonts w:ascii="Times New Roman" w:hAnsi="Times New Roman"/>
                <w:sz w:val="22"/>
              </w:rPr>
              <w:t>MATNR, WERKS, LGORT, MENGE, BWART</w:t>
            </w:r>
          </w:p>
        </w:tc>
      </w:tr>
      <w:tr>
        <w:tc>
          <w:tcPr>
            <w:tcW w:type="dxa" w:w="2923"/>
          </w:tcPr>
          <w:p>
            <w:r/>
            <w:r>
              <w:rPr>
                <w:rFonts w:ascii="Times New Roman" w:hAnsi="Times New Roman"/>
                <w:sz w:val="22"/>
              </w:rPr>
              <w:t>EKKO</w:t>
            </w:r>
          </w:p>
        </w:tc>
        <w:tc>
          <w:tcPr>
            <w:tcW w:type="dxa" w:w="2923"/>
          </w:tcPr>
          <w:p>
            <w:r/>
            <w:r>
              <w:rPr>
                <w:rFonts w:ascii="Times New Roman" w:hAnsi="Times New Roman"/>
                <w:sz w:val="22"/>
              </w:rPr>
              <w:t>Innkjøpsordrehode</w:t>
            </w:r>
          </w:p>
        </w:tc>
        <w:tc>
          <w:tcPr>
            <w:tcW w:type="dxa" w:w="2923"/>
          </w:tcPr>
          <w:p>
            <w:r/>
            <w:r>
              <w:rPr>
                <w:rFonts w:ascii="Times New Roman" w:hAnsi="Times New Roman"/>
                <w:sz w:val="22"/>
              </w:rPr>
              <w:t>EBELN, BSART, LIFNR</w:t>
            </w:r>
          </w:p>
        </w:tc>
      </w:tr>
      <w:tr>
        <w:tc>
          <w:tcPr>
            <w:tcW w:type="dxa" w:w="2923"/>
          </w:tcPr>
          <w:p>
            <w:r/>
            <w:r>
              <w:rPr>
                <w:rFonts w:ascii="Times New Roman" w:hAnsi="Times New Roman"/>
                <w:sz w:val="22"/>
              </w:rPr>
              <w:t>EKPO</w:t>
            </w:r>
          </w:p>
        </w:tc>
        <w:tc>
          <w:tcPr>
            <w:tcW w:type="dxa" w:w="2923"/>
          </w:tcPr>
          <w:p>
            <w:r/>
            <w:r>
              <w:rPr>
                <w:rFonts w:ascii="Times New Roman" w:hAnsi="Times New Roman"/>
                <w:sz w:val="22"/>
              </w:rPr>
              <w:t>Innkjøpsordreposisjon</w:t>
            </w:r>
          </w:p>
        </w:tc>
        <w:tc>
          <w:tcPr>
            <w:tcW w:type="dxa" w:w="2923"/>
          </w:tcPr>
          <w:p>
            <w:r/>
            <w:r>
              <w:rPr>
                <w:rFonts w:ascii="Times New Roman" w:hAnsi="Times New Roman"/>
                <w:sz w:val="22"/>
              </w:rPr>
              <w:t>EBELN, EBELP, MATNR, NETWR</w:t>
            </w:r>
          </w:p>
        </w:tc>
      </w:tr>
      <w:tr>
        <w:tc>
          <w:tcPr>
            <w:tcW w:type="dxa" w:w="2923"/>
          </w:tcPr>
          <w:p>
            <w:r/>
            <w:r>
              <w:rPr>
                <w:rFonts w:ascii="Times New Roman" w:hAnsi="Times New Roman"/>
                <w:sz w:val="22"/>
              </w:rPr>
              <w:t>EKBE</w:t>
            </w:r>
          </w:p>
        </w:tc>
        <w:tc>
          <w:tcPr>
            <w:tcW w:type="dxa" w:w="2923"/>
          </w:tcPr>
          <w:p>
            <w:r/>
            <w:r>
              <w:rPr>
                <w:rFonts w:ascii="Times New Roman" w:hAnsi="Times New Roman"/>
                <w:sz w:val="22"/>
              </w:rPr>
              <w:t>Innkjøpsordrehistorikk</w:t>
            </w:r>
          </w:p>
        </w:tc>
        <w:tc>
          <w:tcPr>
            <w:tcW w:type="dxa" w:w="2923"/>
          </w:tcPr>
          <w:p>
            <w:r/>
            <w:r>
              <w:rPr>
                <w:rFonts w:ascii="Times New Roman" w:hAnsi="Times New Roman"/>
                <w:sz w:val="22"/>
              </w:rPr>
              <w:t>EBELN, EBELP, MATNR, MENGE</w:t>
            </w:r>
          </w:p>
        </w:tc>
      </w:tr>
      <w:tr>
        <w:tc>
          <w:tcPr>
            <w:tcW w:type="dxa" w:w="2923"/>
          </w:tcPr>
          <w:p>
            <w:r/>
            <w:r>
              <w:rPr>
                <w:rFonts w:ascii="Times New Roman" w:hAnsi="Times New Roman"/>
                <w:sz w:val="22"/>
              </w:rPr>
              <w:t>EINA</w:t>
            </w:r>
          </w:p>
        </w:tc>
        <w:tc>
          <w:tcPr>
            <w:tcW w:type="dxa" w:w="2923"/>
          </w:tcPr>
          <w:p>
            <w:r/>
            <w:r>
              <w:rPr>
                <w:rFonts w:ascii="Times New Roman" w:hAnsi="Times New Roman"/>
                <w:sz w:val="22"/>
              </w:rPr>
              <w:t>Inforecord generell</w:t>
            </w:r>
          </w:p>
        </w:tc>
        <w:tc>
          <w:tcPr>
            <w:tcW w:type="dxa" w:w="2923"/>
          </w:tcPr>
          <w:p>
            <w:r/>
            <w:r>
              <w:rPr>
                <w:rFonts w:ascii="Times New Roman" w:hAnsi="Times New Roman"/>
                <w:sz w:val="22"/>
              </w:rPr>
              <w:t>INFNR, MATNR, LIFNR</w:t>
            </w:r>
          </w:p>
        </w:tc>
      </w:tr>
      <w:tr>
        <w:tc>
          <w:tcPr>
            <w:tcW w:type="dxa" w:w="2923"/>
          </w:tcPr>
          <w:p>
            <w:r/>
            <w:r>
              <w:rPr>
                <w:rFonts w:ascii="Times New Roman" w:hAnsi="Times New Roman"/>
                <w:sz w:val="22"/>
              </w:rPr>
              <w:t>EINE</w:t>
            </w:r>
          </w:p>
        </w:tc>
        <w:tc>
          <w:tcPr>
            <w:tcW w:type="dxa" w:w="2923"/>
          </w:tcPr>
          <w:p>
            <w:r/>
            <w:r>
              <w:rPr>
                <w:rFonts w:ascii="Times New Roman" w:hAnsi="Times New Roman"/>
                <w:sz w:val="22"/>
              </w:rPr>
              <w:t>Inforecord organisasjon</w:t>
            </w:r>
          </w:p>
        </w:tc>
        <w:tc>
          <w:tcPr>
            <w:tcW w:type="dxa" w:w="2923"/>
          </w:tcPr>
          <w:p>
            <w:r/>
            <w:r>
              <w:rPr>
                <w:rFonts w:ascii="Times New Roman" w:hAnsi="Times New Roman"/>
                <w:sz w:val="22"/>
              </w:rPr>
              <w:t>INFNR, EKORG, NETPR, PEINH</w:t>
            </w:r>
          </w:p>
        </w:tc>
      </w:tr>
      <w:tr>
        <w:tc>
          <w:tcPr>
            <w:tcW w:type="dxa" w:w="2923"/>
          </w:tcPr>
          <w:p>
            <w:r/>
            <w:r>
              <w:rPr>
                <w:rFonts w:ascii="Times New Roman" w:hAnsi="Times New Roman"/>
                <w:sz w:val="22"/>
              </w:rPr>
              <w:t>T023T</w:t>
            </w:r>
          </w:p>
        </w:tc>
        <w:tc>
          <w:tcPr>
            <w:tcW w:type="dxa" w:w="2923"/>
          </w:tcPr>
          <w:p>
            <w:r/>
            <w:r>
              <w:rPr>
                <w:rFonts w:ascii="Times New Roman" w:hAnsi="Times New Roman"/>
                <w:sz w:val="22"/>
              </w:rPr>
              <w:t>Varegruppebeskrivelse</w:t>
            </w:r>
          </w:p>
        </w:tc>
        <w:tc>
          <w:tcPr>
            <w:tcW w:type="dxa" w:w="2923"/>
          </w:tcPr>
          <w:p>
            <w:r/>
            <w:r>
              <w:rPr>
                <w:rFonts w:ascii="Times New Roman" w:hAnsi="Times New Roman"/>
                <w:sz w:val="22"/>
              </w:rPr>
              <w:t>MATKL, WGBEZ</w:t>
            </w:r>
          </w:p>
        </w:tc>
      </w:tr>
      <w:tr>
        <w:tc>
          <w:tcPr>
            <w:tcW w:type="dxa" w:w="2923"/>
          </w:tcPr>
          <w:p>
            <w:r/>
            <w:r>
              <w:rPr>
                <w:rFonts w:ascii="Times New Roman" w:hAnsi="Times New Roman"/>
                <w:sz w:val="22"/>
              </w:rPr>
              <w:t>MASTERFILE</w:t>
            </w:r>
          </w:p>
        </w:tc>
        <w:tc>
          <w:tcPr>
            <w:tcW w:type="dxa" w:w="2923"/>
          </w:tcPr>
          <w:p>
            <w:r/>
            <w:r>
              <w:rPr>
                <w:rFonts w:ascii="Times New Roman" w:hAnsi="Times New Roman"/>
                <w:sz w:val="22"/>
              </w:rPr>
              <w:t>Konsolidert analysefil</w:t>
            </w:r>
          </w:p>
        </w:tc>
        <w:tc>
          <w:tcPr>
            <w:tcW w:type="dxa" w:w="2923"/>
          </w:tcPr>
          <w:p>
            <w:r/>
            <w:r>
              <w:rPr>
                <w:rFonts w:ascii="Times New Roman" w:hAnsi="Times New Roman"/>
                <w:sz w:val="22"/>
              </w:rPr>
              <w:t>709 aktive artikler, 21 kolonner</w:t>
            </w:r>
          </w:p>
        </w:tc>
      </w:tr>
    </w:tbl>
    <w:p>
      <w:pPr>
        <w:spacing w:line="360" w:lineRule="auto"/>
      </w:pPr>
      <w:r>
        <w:rPr>
          <w:rFonts w:ascii="Times New Roman" w:hAnsi="Times New Roman" w:cs="Times New Roman"/>
          <w:sz w:val="24"/>
        </w:rPr>
        <w:t>Alle datavalgsbeslutninger (D-01 til D-08) er dokumentert i Tabell 5 i hovedteksten.</w:t>
      </w:r>
    </w:p>
    <w:p>
      <w:pPr>
        <w:pStyle w:val="Overskrift2"/>
      </w:pPr>
      <w:r>
        <w:rPr>
          <w:rFonts w:ascii="Times New Roman" w:hAnsi="Times New Roman"/>
          <w:color w:val="000000"/>
          <w:sz w:val="32"/>
        </w:rPr>
        <w:t>Vedlegg B – Python-analyseverktøy</w:t>
      </w:r>
    </w:p>
    <w:p>
      <w:pPr>
        <w:spacing w:line="360" w:lineRule="auto"/>
      </w:pPr>
      <w:r>
        <w:rPr>
          <w:rFonts w:ascii="Times New Roman" w:hAnsi="Times New Roman" w:cs="Times New Roman"/>
          <w:sz w:val="24"/>
        </w:rPr>
        <w:t>Analyseverktøyet er implementert i Python 3.13 og består av to hovedkomponenter:</w:t>
      </w:r>
    </w:p>
    <w:p>
      <w:pPr>
        <w:spacing w:line="360" w:lineRule="auto"/>
      </w:pPr>
      <w:r>
        <w:rPr>
          <w:rFonts w:ascii="Times New Roman" w:hAnsi="Times New Roman" w:cs="Times New Roman"/>
          <w:b/>
          <w:sz w:val="24"/>
        </w:rPr>
        <w:t>Hovedscript:</w:t>
      </w:r>
      <w:r>
        <w:rPr>
          <w:rFonts w:ascii="Times New Roman" w:hAnsi="Times New Roman" w:cs="Times New Roman"/>
          <w:sz w:val="24"/>
        </w:rPr>
        <w:t xml:space="preserve"> `LOG650_analyse_v2_7.py` — deterministisk analysepipeline som leser MASTERFILE V1.xlsx og produserer alle klassifiseringer, K-means-modellen, regelmotoranbefalinger og besparelsesestimater. Outputformat: Excel (LOG650_Resultater.xlsx) med separate ark for hvert analysesteg.</w:t>
      </w:r>
    </w:p>
    <w:p>
      <w:pPr>
        <w:spacing w:line="360" w:lineRule="auto"/>
      </w:pPr>
      <w:r>
        <w:rPr>
          <w:rFonts w:ascii="Times New Roman" w:hAnsi="Times New Roman" w:cs="Times New Roman"/>
          <w:b/>
          <w:sz w:val="24"/>
        </w:rPr>
        <w:t>Figurscripts:</w:t>
      </w:r>
      <w:r>
        <w:rPr>
          <w:rFonts w:ascii="Times New Roman" w:hAnsi="Times New Roman" w:cs="Times New Roman"/>
          <w:sz w:val="24"/>
        </w:rPr>
        <w:t xml:space="preserve"> 12 separate Python-scripts (`plot_*.py`) som genererer figurene Fig00–Fig11 i konsistent stil (serif-font, 300 dpi, felles fargepalett).</w:t>
      </w:r>
    </w:p>
    <w:p>
      <w:pPr>
        <w:spacing w:line="360" w:lineRule="auto"/>
      </w:pPr>
      <w:r>
        <w:rPr>
          <w:rFonts w:ascii="Times New Roman" w:hAnsi="Times New Roman" w:cs="Times New Roman"/>
          <w:b/>
          <w:sz w:val="24"/>
        </w:rPr>
        <w:t>Nøkkelbibliotek:</w:t>
      </w:r>
      <w:r>
        <w:rPr>
          <w:rFonts w:ascii="Times New Roman" w:hAnsi="Times New Roman" w:cs="Times New Roman"/>
          <w:sz w:val="24"/>
        </w:rPr>
        <w:t xml:space="preserve"> pandas 2.x (datastrukturer), scikit-learn 1.x (KMeans, StandardScaler, silhouette_score), matplotlib 3.x (visualisering), openpyxl (Excel I/O).</w:t>
      </w:r>
    </w:p>
    <w:p>
      <w:pPr>
        <w:spacing w:line="360" w:lineRule="auto"/>
      </w:pPr>
      <w:r>
        <w:rPr>
          <w:rFonts w:ascii="Times New Roman" w:hAnsi="Times New Roman" w:cs="Times New Roman"/>
          <w:b/>
          <w:sz w:val="24"/>
        </w:rPr>
        <w:t>Reproduserbarhet:</w:t>
      </w:r>
      <w:r>
        <w:rPr>
          <w:rFonts w:ascii="Times New Roman" w:hAnsi="Times New Roman" w:cs="Times New Roman"/>
          <w:sz w:val="24"/>
        </w:rPr>
        <w:t xml:space="preserve"> Alle scripts bruker `random_state=42` for deterministisk output. Gjentatt kjøring med samme inputdata gir identiske resultater.</w:t>
      </w:r>
    </w:p>
    <w:p>
      <w:pPr>
        <w:spacing w:line="360" w:lineRule="auto"/>
      </w:pPr>
      <w:r>
        <w:rPr>
          <w:rFonts w:ascii="Times New Roman" w:hAnsi="Times New Roman" w:cs="Times New Roman"/>
          <w:sz w:val="24"/>
        </w:rPr>
        <w:t>Fullstendig kildekode er tilgjengelig i prosjektets GitHub-repository.</w:t>
      </w:r>
    </w:p>
    <w:p>
      <w:pPr>
        <w:pStyle w:val="Overskrift2"/>
      </w:pPr>
      <w:r>
        <w:rPr>
          <w:rFonts w:ascii="Times New Roman" w:hAnsi="Times New Roman"/>
          <w:color w:val="000000"/>
          <w:sz w:val="32"/>
        </w:rPr>
        <w:t>Vedlegg C – Erklæring om bruk av kunstig intelligens</w:t>
      </w:r>
    </w:p>
    <w:p>
      <w:pPr>
        <w:spacing w:line="360" w:lineRule="auto"/>
      </w:pPr>
      <w:r>
        <w:rPr>
          <w:rFonts w:ascii="Times New Roman" w:hAnsi="Times New Roman" w:cs="Times New Roman"/>
          <w:sz w:val="24"/>
        </w:rPr>
        <w:t>I denne rapporten er KI-verktøyet Claude (Anthropic, 2026) brukt som støtteverktøy i tre deler av arbeidet, i samsvar med Høgskolen i Molde sine retningslinjer for bruk av KI på hjemmeeksamen.</w:t>
      </w:r>
    </w:p>
    <w:p>
      <w:pPr>
        <w:spacing w:line="360" w:lineRule="auto"/>
      </w:pPr>
      <w:r>
        <w:rPr>
          <w:rFonts w:ascii="Times New Roman" w:hAnsi="Times New Roman" w:cs="Times New Roman"/>
          <w:b/>
          <w:sz w:val="24"/>
        </w:rPr>
        <w:t>1. Kode og algoritmer.</w:t>
      </w:r>
      <w:r>
        <w:rPr>
          <w:rFonts w:ascii="Times New Roman" w:hAnsi="Times New Roman" w:cs="Times New Roman"/>
          <w:sz w:val="24"/>
        </w:rPr>
        <w:t xml:space="preserve"> Claude ble brukt til kodestøtte og feilsøking i Python-scriptet (`LOG650_analyse_v2_7.py`) som implementerer ABC-, XYZ-, EOQ- og K-means-analysen. Verktøyet ble brukt til å forstå kodelogikk, feilsøke syntaksfeil og generere foreløpige kodeutdrag som senere ble tilpasset og integrert. All kode er gjennomgått, testet og modifisert av forfatteren for å sikre korrekthet. Den endelige implementasjonen, tolkningen av resultater og presentasjonen av numeriske verdier er forfatterens ansvar. Alle scripts bruker `random_state=42` for deterministisk og reproduserbar output.</w:t>
      </w:r>
    </w:p>
    <w:p>
      <w:pPr>
        <w:spacing w:line="360" w:lineRule="auto"/>
      </w:pPr>
      <w:r>
        <w:rPr>
          <w:rFonts w:ascii="Times New Roman" w:hAnsi="Times New Roman" w:cs="Times New Roman"/>
          <w:b/>
          <w:sz w:val="24"/>
        </w:rPr>
        <w:t>2. Figurer og tabeller.</w:t>
      </w:r>
      <w:r>
        <w:rPr>
          <w:rFonts w:ascii="Times New Roman" w:hAnsi="Times New Roman" w:cs="Times New Roman"/>
          <w:sz w:val="24"/>
        </w:rPr>
        <w:t xml:space="preserve"> Alle 12 figurer (Fig00–Fig11) er generert med matplotlib-scripts der Claude bidro til utforming av layout, fargepalett og aksetitler. Figurene er basert på analyseresultater produsert av Python-scriptet fra SAP-kildedata — KI-verktøyet har ikke produsert eller modifisert noen dataverdier. Hver figur er merket «Generert med støtte fra Claude (Anthropic, 2026)» i bildeteksten. Tabeller er formatert med støtte fra Claude, men alle verdier kommer direkte fra analysescriptet.</w:t>
      </w:r>
    </w:p>
    <w:p>
      <w:pPr>
        <w:spacing w:line="360" w:lineRule="auto"/>
      </w:pPr>
      <w:r>
        <w:rPr>
          <w:rFonts w:ascii="Times New Roman" w:hAnsi="Times New Roman" w:cs="Times New Roman"/>
          <w:b/>
          <w:sz w:val="24"/>
        </w:rPr>
        <w:t>3. Tekststrukturering og språklig bearbeiding.</w:t>
      </w:r>
      <w:r>
        <w:rPr>
          <w:rFonts w:ascii="Times New Roman" w:hAnsi="Times New Roman" w:cs="Times New Roman"/>
          <w:sz w:val="24"/>
        </w:rPr>
        <w:t xml:space="preserve"> Claude ble brukt til å strukturere rapportteksten og forbedre språklig klarhet. Verktøyet foreslo disposisjon, avsnittsinndeling og formuleringer som forfatteren vurderte kritisk og reviderte. Alle faglige påstander, argumenter og konklusjoner er forfatterens egne. Claude er ikke brukt som fagkilde og er ikke sitert som belegg for faglige påstander.</w:t>
      </w:r>
    </w:p>
    <w:p>
      <w:pPr>
        <w:spacing w:line="360" w:lineRule="auto"/>
      </w:pPr>
      <w:r>
        <w:rPr>
          <w:rFonts w:ascii="Times New Roman" w:hAnsi="Times New Roman" w:cs="Times New Roman"/>
          <w:b/>
          <w:sz w:val="24"/>
        </w:rPr>
        <w:t>Avgrensning.</w:t>
      </w:r>
      <w:r>
        <w:rPr>
          <w:rFonts w:ascii="Times New Roman" w:hAnsi="Times New Roman" w:cs="Times New Roman"/>
          <w:sz w:val="24"/>
        </w:rPr>
        <w:t xml:space="preserve"> Rådata fra SAP ble ikke lagt inn i KI-verktøyet. Alle datatransformasjoner er dokumentert i D-01–D-08 (avsnitt 4.3) og kjørt lokalt i Python. Ingen pasientdata eller personopplysninger er brukt i studien.</w:t>
      </w:r>
    </w:p>
    <w:sectPr w:rsidR="000F66BC" w:rsidRPr="000F66BC" w:rsidSect="00C90D42">
      <w:footerReference w:type="default" r:id="rId41"/>
      <w:pgSz w:w="11907" w:h="16840"/>
      <w:pgMar w:top="1417" w:right="1417" w:bottom="1417" w:left="1701" w:header="720" w:footer="403" w:gutter="0"/>
      <w:pgNumType w:start="1"/>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78071" w14:textId="77777777" w:rsidR="003C55BC" w:rsidRDefault="003C55BC">
      <w:r>
        <w:separator/>
      </w:r>
    </w:p>
  </w:endnote>
  <w:endnote w:type="continuationSeparator" w:id="0">
    <w:p w14:paraId="62D59B89" w14:textId="77777777" w:rsidR="003C55BC" w:rsidRDefault="003C55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ndnya">
    <w:panose1 w:val="00000400000000000000"/>
    <w:charset w:val="01"/>
    <w:family w:val="roman"/>
    <w:notTrueType/>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429D" w14:textId="77777777" w:rsidR="00955329" w:rsidRDefault="00955329" w:rsidP="001D2B8B">
    <w:pPr>
      <w:pStyle w:val="Bunntekst"/>
      <w:framePr w:wrap="around" w:vAnchor="text" w:hAnchor="margin" w:xAlign="right" w:y="1"/>
      <w:rPr>
        <w:rStyle w:val="Sidetall"/>
      </w:rPr>
    </w:pPr>
    <w:r>
      <w:rPr>
        <w:rStyle w:val="Sidetall"/>
      </w:rPr>
      <w:fldChar w:fldCharType="begin"/>
    </w:r>
    <w:r>
      <w:rPr>
        <w:rStyle w:val="Sidetall"/>
      </w:rPr>
      <w:instrText xml:space="preserve">PAGE  </w:instrText>
    </w:r>
    <w:r>
      <w:rPr>
        <w:rStyle w:val="Sidetall"/>
      </w:rPr>
      <w:fldChar w:fldCharType="end"/>
    </w:r>
  </w:p>
  <w:p w14:paraId="6156429E" w14:textId="77777777" w:rsidR="00955329" w:rsidRDefault="00955329" w:rsidP="004A4CE3">
    <w:pPr>
      <w:pStyle w:val="Bunnteks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6429F" w14:textId="77777777" w:rsidR="00955329" w:rsidRDefault="00955329" w:rsidP="001D2B8B">
    <w:pPr>
      <w:pStyle w:val="Bunntekst"/>
      <w:framePr w:wrap="around" w:vAnchor="text" w:hAnchor="margin" w:xAlign="right" w:y="1"/>
      <w:jc w:val="center"/>
      <w:rPr>
        <w:rStyle w:val="Sidetall"/>
      </w:rP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p w14:paraId="615642A0" w14:textId="77777777" w:rsidR="00955329" w:rsidRDefault="00955329" w:rsidP="00BE42D3">
    <w:pPr>
      <w:pStyle w:val="Bunntekst"/>
      <w:ind w:right="360"/>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403836" w14:textId="77777777" w:rsidR="003C55BC" w:rsidRDefault="003C55BC">
      <w:r>
        <w:separator/>
      </w:r>
    </w:p>
  </w:footnote>
  <w:footnote w:type="continuationSeparator" w:id="0">
    <w:p w14:paraId="77E4AC6C" w14:textId="77777777" w:rsidR="003C55BC" w:rsidRDefault="003C55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DB05E1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B6B23E72"/>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B38C800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6C8B9C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FE24DB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A7873D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9D8B7E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B86B82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8D273A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8C2602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EB64CB"/>
    <w:multiLevelType w:val="multilevel"/>
    <w:tmpl w:val="5F0A6A72"/>
    <w:lvl w:ilvl="0">
      <w:start w:val="1"/>
      <w:numFmt w:val="decimal"/>
      <w:pStyle w:val="Overskrift1"/>
      <w:lvlText w:val="%1.0"/>
      <w:lvlJc w:val="left"/>
      <w:pPr>
        <w:ind w:left="432" w:hanging="432"/>
      </w:pPr>
      <w:rPr>
        <w:rFonts w:hint="default"/>
      </w:rPr>
    </w:lvl>
    <w:lvl w:ilvl="1">
      <w:start w:val="1"/>
      <w:numFmt w:val="decimal"/>
      <w:pStyle w:val="Overskrift2"/>
      <w:lvlText w:val="%1.%2"/>
      <w:lvlJc w:val="left"/>
      <w:pPr>
        <w:ind w:left="576" w:hanging="576"/>
      </w:pPr>
      <w:rPr>
        <w:rFonts w:hint="default"/>
        <w:i w:val="0"/>
      </w:rPr>
    </w:lvl>
    <w:lvl w:ilvl="2">
      <w:start w:val="1"/>
      <w:numFmt w:val="decimal"/>
      <w:pStyle w:val="Overskrift3"/>
      <w:lvlText w:val="%1.%2.%3"/>
      <w:lvlJc w:val="left"/>
      <w:pPr>
        <w:ind w:left="720" w:hanging="720"/>
      </w:pPr>
      <w:rPr>
        <w:rFonts w:hint="default"/>
      </w:rPr>
    </w:lvl>
    <w:lvl w:ilvl="3">
      <w:start w:val="1"/>
      <w:numFmt w:val="decimal"/>
      <w:pStyle w:val="Overskrift4"/>
      <w:lvlText w:val="%1.%2.%3.%4"/>
      <w:lvlJc w:val="left"/>
      <w:pPr>
        <w:ind w:left="864" w:hanging="864"/>
      </w:pPr>
      <w:rPr>
        <w:rFonts w:hint="default"/>
      </w:rPr>
    </w:lvl>
    <w:lvl w:ilvl="4">
      <w:start w:val="1"/>
      <w:numFmt w:val="decimal"/>
      <w:pStyle w:val="Overskrift5"/>
      <w:lvlText w:val="%1.%2.%3.%4.%5"/>
      <w:lvlJc w:val="left"/>
      <w:pPr>
        <w:ind w:left="1008" w:hanging="1008"/>
      </w:pPr>
      <w:rPr>
        <w:rFonts w:hint="default"/>
      </w:rPr>
    </w:lvl>
    <w:lvl w:ilvl="5">
      <w:start w:val="1"/>
      <w:numFmt w:val="decimal"/>
      <w:pStyle w:val="Overskrift6"/>
      <w:lvlText w:val="%1.%2.%3.%4.%5.%6"/>
      <w:lvlJc w:val="left"/>
      <w:pPr>
        <w:ind w:left="1152" w:hanging="1152"/>
      </w:pPr>
      <w:rPr>
        <w:rFonts w:hint="default"/>
      </w:rPr>
    </w:lvl>
    <w:lvl w:ilvl="6">
      <w:start w:val="1"/>
      <w:numFmt w:val="decimal"/>
      <w:pStyle w:val="Overskrift7"/>
      <w:lvlText w:val="%1.%2.%3.%4.%5.%6.%7"/>
      <w:lvlJc w:val="left"/>
      <w:pPr>
        <w:ind w:left="1296" w:hanging="1296"/>
      </w:pPr>
      <w:rPr>
        <w:rFonts w:hint="default"/>
      </w:rPr>
    </w:lvl>
    <w:lvl w:ilvl="7">
      <w:start w:val="1"/>
      <w:numFmt w:val="decimal"/>
      <w:pStyle w:val="Overskrift8"/>
      <w:lvlText w:val="%1.%2.%3.%4.%5.%6.%7.%8"/>
      <w:lvlJc w:val="left"/>
      <w:pPr>
        <w:ind w:left="1440" w:hanging="1440"/>
      </w:pPr>
      <w:rPr>
        <w:rFonts w:hint="default"/>
      </w:rPr>
    </w:lvl>
    <w:lvl w:ilvl="8">
      <w:start w:val="1"/>
      <w:numFmt w:val="decimal"/>
      <w:pStyle w:val="Overskrift9"/>
      <w:lvlText w:val="%1.%2.%3.%4.%5.%6.%7.%8.%9"/>
      <w:lvlJc w:val="left"/>
      <w:pPr>
        <w:ind w:left="1584" w:hanging="1584"/>
      </w:pPr>
      <w:rPr>
        <w:rFonts w:hint="default"/>
      </w:rPr>
    </w:lvl>
  </w:abstractNum>
  <w:abstractNum w:abstractNumId="11" w15:restartNumberingAfterBreak="0">
    <w:nsid w:val="028D0D7B"/>
    <w:multiLevelType w:val="hybridMultilevel"/>
    <w:tmpl w:val="7B3C0C3A"/>
    <w:lvl w:ilvl="0" w:tplc="310CF73C">
      <w:start w:val="1"/>
      <w:numFmt w:val="decimal"/>
      <w:lvlText w:val="%1."/>
      <w:lvlJc w:val="left"/>
      <w:pPr>
        <w:ind w:left="720" w:hanging="360"/>
      </w:pPr>
      <w:rPr>
        <w:rFonts w:hint="default"/>
        <w:b/>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2" w15:restartNumberingAfterBreak="0">
    <w:nsid w:val="05036849"/>
    <w:multiLevelType w:val="hybridMultilevel"/>
    <w:tmpl w:val="18AA823C"/>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3" w15:restartNumberingAfterBreak="0">
    <w:nsid w:val="0A382A5D"/>
    <w:multiLevelType w:val="hybridMultilevel"/>
    <w:tmpl w:val="D98ED2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15:restartNumberingAfterBreak="0">
    <w:nsid w:val="0B667A6A"/>
    <w:multiLevelType w:val="multilevel"/>
    <w:tmpl w:val="0414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11CB5551"/>
    <w:multiLevelType w:val="hybridMultilevel"/>
    <w:tmpl w:val="A0A8DB48"/>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6" w15:restartNumberingAfterBreak="0">
    <w:nsid w:val="24FA3A12"/>
    <w:multiLevelType w:val="hybridMultilevel"/>
    <w:tmpl w:val="23D6103E"/>
    <w:lvl w:ilvl="0" w:tplc="04140001">
      <w:start w:val="1"/>
      <w:numFmt w:val="bullet"/>
      <w:lvlText w:val=""/>
      <w:lvlJc w:val="left"/>
      <w:pPr>
        <w:ind w:left="1080" w:hanging="360"/>
      </w:pPr>
      <w:rPr>
        <w:rFonts w:ascii="Symbol" w:hAnsi="Symbol" w:hint="default"/>
      </w:rPr>
    </w:lvl>
    <w:lvl w:ilvl="1" w:tplc="04140003" w:tentative="1">
      <w:start w:val="1"/>
      <w:numFmt w:val="bullet"/>
      <w:lvlText w:val="o"/>
      <w:lvlJc w:val="left"/>
      <w:pPr>
        <w:ind w:left="1800" w:hanging="360"/>
      </w:pPr>
      <w:rPr>
        <w:rFonts w:ascii="Courier New" w:hAnsi="Courier New" w:cs="Courier New" w:hint="default"/>
      </w:rPr>
    </w:lvl>
    <w:lvl w:ilvl="2" w:tplc="04140005" w:tentative="1">
      <w:start w:val="1"/>
      <w:numFmt w:val="bullet"/>
      <w:lvlText w:val=""/>
      <w:lvlJc w:val="left"/>
      <w:pPr>
        <w:ind w:left="2520" w:hanging="360"/>
      </w:pPr>
      <w:rPr>
        <w:rFonts w:ascii="Wingdings" w:hAnsi="Wingdings" w:hint="default"/>
      </w:rPr>
    </w:lvl>
    <w:lvl w:ilvl="3" w:tplc="04140001" w:tentative="1">
      <w:start w:val="1"/>
      <w:numFmt w:val="bullet"/>
      <w:lvlText w:val=""/>
      <w:lvlJc w:val="left"/>
      <w:pPr>
        <w:ind w:left="3240" w:hanging="360"/>
      </w:pPr>
      <w:rPr>
        <w:rFonts w:ascii="Symbol" w:hAnsi="Symbol" w:hint="default"/>
      </w:rPr>
    </w:lvl>
    <w:lvl w:ilvl="4" w:tplc="04140003" w:tentative="1">
      <w:start w:val="1"/>
      <w:numFmt w:val="bullet"/>
      <w:lvlText w:val="o"/>
      <w:lvlJc w:val="left"/>
      <w:pPr>
        <w:ind w:left="3960" w:hanging="360"/>
      </w:pPr>
      <w:rPr>
        <w:rFonts w:ascii="Courier New" w:hAnsi="Courier New" w:cs="Courier New" w:hint="default"/>
      </w:rPr>
    </w:lvl>
    <w:lvl w:ilvl="5" w:tplc="04140005" w:tentative="1">
      <w:start w:val="1"/>
      <w:numFmt w:val="bullet"/>
      <w:lvlText w:val=""/>
      <w:lvlJc w:val="left"/>
      <w:pPr>
        <w:ind w:left="4680" w:hanging="360"/>
      </w:pPr>
      <w:rPr>
        <w:rFonts w:ascii="Wingdings" w:hAnsi="Wingdings" w:hint="default"/>
      </w:rPr>
    </w:lvl>
    <w:lvl w:ilvl="6" w:tplc="04140001" w:tentative="1">
      <w:start w:val="1"/>
      <w:numFmt w:val="bullet"/>
      <w:lvlText w:val=""/>
      <w:lvlJc w:val="left"/>
      <w:pPr>
        <w:ind w:left="5400" w:hanging="360"/>
      </w:pPr>
      <w:rPr>
        <w:rFonts w:ascii="Symbol" w:hAnsi="Symbol" w:hint="default"/>
      </w:rPr>
    </w:lvl>
    <w:lvl w:ilvl="7" w:tplc="04140003" w:tentative="1">
      <w:start w:val="1"/>
      <w:numFmt w:val="bullet"/>
      <w:lvlText w:val="o"/>
      <w:lvlJc w:val="left"/>
      <w:pPr>
        <w:ind w:left="6120" w:hanging="360"/>
      </w:pPr>
      <w:rPr>
        <w:rFonts w:ascii="Courier New" w:hAnsi="Courier New" w:cs="Courier New" w:hint="default"/>
      </w:rPr>
    </w:lvl>
    <w:lvl w:ilvl="8" w:tplc="04140005" w:tentative="1">
      <w:start w:val="1"/>
      <w:numFmt w:val="bullet"/>
      <w:lvlText w:val=""/>
      <w:lvlJc w:val="left"/>
      <w:pPr>
        <w:ind w:left="6840" w:hanging="360"/>
      </w:pPr>
      <w:rPr>
        <w:rFonts w:ascii="Wingdings" w:hAnsi="Wingdings" w:hint="default"/>
      </w:rPr>
    </w:lvl>
  </w:abstractNum>
  <w:abstractNum w:abstractNumId="17" w15:restartNumberingAfterBreak="0">
    <w:nsid w:val="2BA16D5C"/>
    <w:multiLevelType w:val="multilevel"/>
    <w:tmpl w:val="50D2F234"/>
    <w:lvl w:ilvl="0">
      <w:start w:val="1"/>
      <w:numFmt w:val="decimal"/>
      <w:lvlText w:val="%1"/>
      <w:lvlJc w:val="left"/>
      <w:pPr>
        <w:ind w:left="480" w:hanging="480"/>
      </w:pPr>
      <w:rPr>
        <w:rFonts w:ascii="Times New Roman" w:eastAsia="Times New Roman" w:hAnsi="Times New Roman" w:cs="Sendnya" w:hint="default"/>
        <w:color w:val="0000FF"/>
        <w:sz w:val="24"/>
        <w:u w:val="single"/>
      </w:rPr>
    </w:lvl>
    <w:lvl w:ilvl="1">
      <w:start w:val="1"/>
      <w:numFmt w:val="decimal"/>
      <w:lvlText w:val="%1.%2"/>
      <w:lvlJc w:val="left"/>
      <w:pPr>
        <w:ind w:left="960" w:hanging="720"/>
      </w:pPr>
      <w:rPr>
        <w:rFonts w:ascii="Times New Roman" w:eastAsia="Times New Roman" w:hAnsi="Times New Roman" w:cs="Sendnya" w:hint="default"/>
        <w:color w:val="0000FF"/>
        <w:sz w:val="24"/>
        <w:u w:val="single"/>
      </w:rPr>
    </w:lvl>
    <w:lvl w:ilvl="2">
      <w:start w:val="1"/>
      <w:numFmt w:val="decimal"/>
      <w:lvlText w:val="%1.%2.%3"/>
      <w:lvlJc w:val="left"/>
      <w:pPr>
        <w:ind w:left="1200" w:hanging="720"/>
      </w:pPr>
      <w:rPr>
        <w:rFonts w:ascii="Times New Roman" w:eastAsia="Times New Roman" w:hAnsi="Times New Roman" w:cs="Sendnya" w:hint="default"/>
        <w:color w:val="0000FF"/>
        <w:sz w:val="24"/>
        <w:u w:val="single"/>
      </w:rPr>
    </w:lvl>
    <w:lvl w:ilvl="3">
      <w:start w:val="1"/>
      <w:numFmt w:val="decimal"/>
      <w:lvlText w:val="%1.%2.%3.%4"/>
      <w:lvlJc w:val="left"/>
      <w:pPr>
        <w:ind w:left="1800" w:hanging="1080"/>
      </w:pPr>
      <w:rPr>
        <w:rFonts w:ascii="Times New Roman" w:eastAsia="Times New Roman" w:hAnsi="Times New Roman" w:cs="Sendnya" w:hint="default"/>
        <w:color w:val="0000FF"/>
        <w:sz w:val="24"/>
        <w:u w:val="single"/>
      </w:rPr>
    </w:lvl>
    <w:lvl w:ilvl="4">
      <w:start w:val="1"/>
      <w:numFmt w:val="decimal"/>
      <w:lvlText w:val="%1.%2.%3.%4.%5"/>
      <w:lvlJc w:val="left"/>
      <w:pPr>
        <w:ind w:left="2400" w:hanging="1440"/>
      </w:pPr>
      <w:rPr>
        <w:rFonts w:ascii="Times New Roman" w:eastAsia="Times New Roman" w:hAnsi="Times New Roman" w:cs="Sendnya" w:hint="default"/>
        <w:color w:val="0000FF"/>
        <w:sz w:val="24"/>
        <w:u w:val="single"/>
      </w:rPr>
    </w:lvl>
    <w:lvl w:ilvl="5">
      <w:start w:val="1"/>
      <w:numFmt w:val="decimal"/>
      <w:lvlText w:val="%1.%2.%3.%4.%5.%6"/>
      <w:lvlJc w:val="left"/>
      <w:pPr>
        <w:ind w:left="2640" w:hanging="1440"/>
      </w:pPr>
      <w:rPr>
        <w:rFonts w:ascii="Times New Roman" w:eastAsia="Times New Roman" w:hAnsi="Times New Roman" w:cs="Sendnya" w:hint="default"/>
        <w:color w:val="0000FF"/>
        <w:sz w:val="24"/>
        <w:u w:val="single"/>
      </w:rPr>
    </w:lvl>
    <w:lvl w:ilvl="6">
      <w:start w:val="1"/>
      <w:numFmt w:val="decimal"/>
      <w:lvlText w:val="%1.%2.%3.%4.%5.%6.%7"/>
      <w:lvlJc w:val="left"/>
      <w:pPr>
        <w:ind w:left="3240" w:hanging="1800"/>
      </w:pPr>
      <w:rPr>
        <w:rFonts w:ascii="Times New Roman" w:eastAsia="Times New Roman" w:hAnsi="Times New Roman" w:cs="Sendnya" w:hint="default"/>
        <w:color w:val="0000FF"/>
        <w:sz w:val="24"/>
        <w:u w:val="single"/>
      </w:rPr>
    </w:lvl>
    <w:lvl w:ilvl="7">
      <w:start w:val="1"/>
      <w:numFmt w:val="decimal"/>
      <w:lvlText w:val="%1.%2.%3.%4.%5.%6.%7.%8"/>
      <w:lvlJc w:val="left"/>
      <w:pPr>
        <w:ind w:left="3480" w:hanging="1800"/>
      </w:pPr>
      <w:rPr>
        <w:rFonts w:ascii="Times New Roman" w:eastAsia="Times New Roman" w:hAnsi="Times New Roman" w:cs="Sendnya" w:hint="default"/>
        <w:color w:val="0000FF"/>
        <w:sz w:val="24"/>
        <w:u w:val="single"/>
      </w:rPr>
    </w:lvl>
    <w:lvl w:ilvl="8">
      <w:start w:val="1"/>
      <w:numFmt w:val="decimal"/>
      <w:lvlText w:val="%1.%2.%3.%4.%5.%6.%7.%8.%9"/>
      <w:lvlJc w:val="left"/>
      <w:pPr>
        <w:ind w:left="4080" w:hanging="2160"/>
      </w:pPr>
      <w:rPr>
        <w:rFonts w:ascii="Times New Roman" w:eastAsia="Times New Roman" w:hAnsi="Times New Roman" w:cs="Sendnya" w:hint="default"/>
        <w:color w:val="0000FF"/>
        <w:sz w:val="24"/>
        <w:u w:val="single"/>
      </w:rPr>
    </w:lvl>
  </w:abstractNum>
  <w:abstractNum w:abstractNumId="18" w15:restartNumberingAfterBreak="0">
    <w:nsid w:val="2C89474E"/>
    <w:multiLevelType w:val="hybridMultilevel"/>
    <w:tmpl w:val="6304041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9" w15:restartNumberingAfterBreak="0">
    <w:nsid w:val="321C0DC5"/>
    <w:multiLevelType w:val="multilevel"/>
    <w:tmpl w:val="E318C8CE"/>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0" w15:restartNumberingAfterBreak="0">
    <w:nsid w:val="32BF17E8"/>
    <w:multiLevelType w:val="hybridMultilevel"/>
    <w:tmpl w:val="C80C15B2"/>
    <w:lvl w:ilvl="0" w:tplc="04140001">
      <w:start w:val="1"/>
      <w:numFmt w:val="bullet"/>
      <w:lvlText w:val=""/>
      <w:lvlJc w:val="left"/>
      <w:pPr>
        <w:ind w:left="720" w:hanging="360"/>
      </w:pPr>
      <w:rPr>
        <w:rFonts w:ascii="Symbol" w:hAnsi="Symbol"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1" w15:restartNumberingAfterBreak="0">
    <w:nsid w:val="345D10A9"/>
    <w:multiLevelType w:val="hybridMultilevel"/>
    <w:tmpl w:val="C5F60A2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2" w15:restartNumberingAfterBreak="0">
    <w:nsid w:val="3FC81421"/>
    <w:multiLevelType w:val="hybridMultilevel"/>
    <w:tmpl w:val="B3DA3FDA"/>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15:restartNumberingAfterBreak="0">
    <w:nsid w:val="45D83003"/>
    <w:multiLevelType w:val="multilevel"/>
    <w:tmpl w:val="6512D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87864F5"/>
    <w:multiLevelType w:val="hybridMultilevel"/>
    <w:tmpl w:val="89FAE798"/>
    <w:lvl w:ilvl="0" w:tplc="73145680">
      <w:start w:val="1"/>
      <w:numFmt w:val="bullet"/>
      <w:lvlText w:val="•"/>
      <w:lvlJc w:val="left"/>
      <w:pPr>
        <w:tabs>
          <w:tab w:val="num" w:pos="720"/>
        </w:tabs>
        <w:ind w:left="720" w:hanging="360"/>
      </w:pPr>
      <w:rPr>
        <w:rFonts w:ascii="Times New Roman" w:hAnsi="Times New Roman" w:hint="default"/>
      </w:rPr>
    </w:lvl>
    <w:lvl w:ilvl="1" w:tplc="EA2658C8">
      <w:numFmt w:val="bullet"/>
      <w:lvlText w:val="–"/>
      <w:lvlJc w:val="left"/>
      <w:pPr>
        <w:tabs>
          <w:tab w:val="num" w:pos="1440"/>
        </w:tabs>
        <w:ind w:left="1440" w:hanging="360"/>
      </w:pPr>
      <w:rPr>
        <w:rFonts w:ascii="Times New Roman" w:hAnsi="Times New Roman" w:hint="default"/>
      </w:rPr>
    </w:lvl>
    <w:lvl w:ilvl="2" w:tplc="8CAC24EA">
      <w:numFmt w:val="bullet"/>
      <w:lvlText w:val="•"/>
      <w:lvlJc w:val="left"/>
      <w:pPr>
        <w:tabs>
          <w:tab w:val="num" w:pos="2160"/>
        </w:tabs>
        <w:ind w:left="2160" w:hanging="360"/>
      </w:pPr>
      <w:rPr>
        <w:rFonts w:ascii="Times New Roman" w:hAnsi="Times New Roman" w:hint="default"/>
      </w:rPr>
    </w:lvl>
    <w:lvl w:ilvl="3" w:tplc="97787888" w:tentative="1">
      <w:start w:val="1"/>
      <w:numFmt w:val="bullet"/>
      <w:lvlText w:val="•"/>
      <w:lvlJc w:val="left"/>
      <w:pPr>
        <w:tabs>
          <w:tab w:val="num" w:pos="2880"/>
        </w:tabs>
        <w:ind w:left="2880" w:hanging="360"/>
      </w:pPr>
      <w:rPr>
        <w:rFonts w:ascii="Times New Roman" w:hAnsi="Times New Roman" w:hint="default"/>
      </w:rPr>
    </w:lvl>
    <w:lvl w:ilvl="4" w:tplc="9AB0E148" w:tentative="1">
      <w:start w:val="1"/>
      <w:numFmt w:val="bullet"/>
      <w:lvlText w:val="•"/>
      <w:lvlJc w:val="left"/>
      <w:pPr>
        <w:tabs>
          <w:tab w:val="num" w:pos="3600"/>
        </w:tabs>
        <w:ind w:left="3600" w:hanging="360"/>
      </w:pPr>
      <w:rPr>
        <w:rFonts w:ascii="Times New Roman" w:hAnsi="Times New Roman" w:hint="default"/>
      </w:rPr>
    </w:lvl>
    <w:lvl w:ilvl="5" w:tplc="3DCC085E" w:tentative="1">
      <w:start w:val="1"/>
      <w:numFmt w:val="bullet"/>
      <w:lvlText w:val="•"/>
      <w:lvlJc w:val="left"/>
      <w:pPr>
        <w:tabs>
          <w:tab w:val="num" w:pos="4320"/>
        </w:tabs>
        <w:ind w:left="4320" w:hanging="360"/>
      </w:pPr>
      <w:rPr>
        <w:rFonts w:ascii="Times New Roman" w:hAnsi="Times New Roman" w:hint="default"/>
      </w:rPr>
    </w:lvl>
    <w:lvl w:ilvl="6" w:tplc="376A5BD6" w:tentative="1">
      <w:start w:val="1"/>
      <w:numFmt w:val="bullet"/>
      <w:lvlText w:val="•"/>
      <w:lvlJc w:val="left"/>
      <w:pPr>
        <w:tabs>
          <w:tab w:val="num" w:pos="5040"/>
        </w:tabs>
        <w:ind w:left="5040" w:hanging="360"/>
      </w:pPr>
      <w:rPr>
        <w:rFonts w:ascii="Times New Roman" w:hAnsi="Times New Roman" w:hint="default"/>
      </w:rPr>
    </w:lvl>
    <w:lvl w:ilvl="7" w:tplc="96E44622" w:tentative="1">
      <w:start w:val="1"/>
      <w:numFmt w:val="bullet"/>
      <w:lvlText w:val="•"/>
      <w:lvlJc w:val="left"/>
      <w:pPr>
        <w:tabs>
          <w:tab w:val="num" w:pos="5760"/>
        </w:tabs>
        <w:ind w:left="5760" w:hanging="360"/>
      </w:pPr>
      <w:rPr>
        <w:rFonts w:ascii="Times New Roman" w:hAnsi="Times New Roman" w:hint="default"/>
      </w:rPr>
    </w:lvl>
    <w:lvl w:ilvl="8" w:tplc="19042840" w:tentative="1">
      <w:start w:val="1"/>
      <w:numFmt w:val="bullet"/>
      <w:lvlText w:val="•"/>
      <w:lvlJc w:val="left"/>
      <w:pPr>
        <w:tabs>
          <w:tab w:val="num" w:pos="6480"/>
        </w:tabs>
        <w:ind w:left="6480" w:hanging="360"/>
      </w:pPr>
      <w:rPr>
        <w:rFonts w:ascii="Times New Roman" w:hAnsi="Times New Roman" w:hint="default"/>
      </w:rPr>
    </w:lvl>
  </w:abstractNum>
  <w:abstractNum w:abstractNumId="25" w15:restartNumberingAfterBreak="0">
    <w:nsid w:val="4F44182C"/>
    <w:multiLevelType w:val="hybridMultilevel"/>
    <w:tmpl w:val="11F0A448"/>
    <w:lvl w:ilvl="0" w:tplc="E298867A">
      <w:start w:val="1"/>
      <w:numFmt w:val="bullet"/>
      <w:lvlText w:val="•"/>
      <w:lvlJc w:val="left"/>
      <w:pPr>
        <w:tabs>
          <w:tab w:val="num" w:pos="720"/>
        </w:tabs>
        <w:ind w:left="720" w:hanging="360"/>
      </w:pPr>
      <w:rPr>
        <w:rFonts w:ascii="Times New Roman" w:hAnsi="Times New Roman" w:hint="default"/>
      </w:rPr>
    </w:lvl>
    <w:lvl w:ilvl="1" w:tplc="60C28682">
      <w:numFmt w:val="bullet"/>
      <w:lvlText w:val="–"/>
      <w:lvlJc w:val="left"/>
      <w:pPr>
        <w:tabs>
          <w:tab w:val="num" w:pos="1440"/>
        </w:tabs>
        <w:ind w:left="1440" w:hanging="360"/>
      </w:pPr>
      <w:rPr>
        <w:rFonts w:ascii="Times New Roman" w:hAnsi="Times New Roman" w:hint="default"/>
      </w:rPr>
    </w:lvl>
    <w:lvl w:ilvl="2" w:tplc="9D401F7A" w:tentative="1">
      <w:start w:val="1"/>
      <w:numFmt w:val="bullet"/>
      <w:lvlText w:val="•"/>
      <w:lvlJc w:val="left"/>
      <w:pPr>
        <w:tabs>
          <w:tab w:val="num" w:pos="2160"/>
        </w:tabs>
        <w:ind w:left="2160" w:hanging="360"/>
      </w:pPr>
      <w:rPr>
        <w:rFonts w:ascii="Times New Roman" w:hAnsi="Times New Roman" w:hint="default"/>
      </w:rPr>
    </w:lvl>
    <w:lvl w:ilvl="3" w:tplc="D2FC9266" w:tentative="1">
      <w:start w:val="1"/>
      <w:numFmt w:val="bullet"/>
      <w:lvlText w:val="•"/>
      <w:lvlJc w:val="left"/>
      <w:pPr>
        <w:tabs>
          <w:tab w:val="num" w:pos="2880"/>
        </w:tabs>
        <w:ind w:left="2880" w:hanging="360"/>
      </w:pPr>
      <w:rPr>
        <w:rFonts w:ascii="Times New Roman" w:hAnsi="Times New Roman" w:hint="default"/>
      </w:rPr>
    </w:lvl>
    <w:lvl w:ilvl="4" w:tplc="D9FE98EC" w:tentative="1">
      <w:start w:val="1"/>
      <w:numFmt w:val="bullet"/>
      <w:lvlText w:val="•"/>
      <w:lvlJc w:val="left"/>
      <w:pPr>
        <w:tabs>
          <w:tab w:val="num" w:pos="3600"/>
        </w:tabs>
        <w:ind w:left="3600" w:hanging="360"/>
      </w:pPr>
      <w:rPr>
        <w:rFonts w:ascii="Times New Roman" w:hAnsi="Times New Roman" w:hint="default"/>
      </w:rPr>
    </w:lvl>
    <w:lvl w:ilvl="5" w:tplc="1208392C" w:tentative="1">
      <w:start w:val="1"/>
      <w:numFmt w:val="bullet"/>
      <w:lvlText w:val="•"/>
      <w:lvlJc w:val="left"/>
      <w:pPr>
        <w:tabs>
          <w:tab w:val="num" w:pos="4320"/>
        </w:tabs>
        <w:ind w:left="4320" w:hanging="360"/>
      </w:pPr>
      <w:rPr>
        <w:rFonts w:ascii="Times New Roman" w:hAnsi="Times New Roman" w:hint="default"/>
      </w:rPr>
    </w:lvl>
    <w:lvl w:ilvl="6" w:tplc="A6E05074" w:tentative="1">
      <w:start w:val="1"/>
      <w:numFmt w:val="bullet"/>
      <w:lvlText w:val="•"/>
      <w:lvlJc w:val="left"/>
      <w:pPr>
        <w:tabs>
          <w:tab w:val="num" w:pos="5040"/>
        </w:tabs>
        <w:ind w:left="5040" w:hanging="360"/>
      </w:pPr>
      <w:rPr>
        <w:rFonts w:ascii="Times New Roman" w:hAnsi="Times New Roman" w:hint="default"/>
      </w:rPr>
    </w:lvl>
    <w:lvl w:ilvl="7" w:tplc="E1E49CB0" w:tentative="1">
      <w:start w:val="1"/>
      <w:numFmt w:val="bullet"/>
      <w:lvlText w:val="•"/>
      <w:lvlJc w:val="left"/>
      <w:pPr>
        <w:tabs>
          <w:tab w:val="num" w:pos="5760"/>
        </w:tabs>
        <w:ind w:left="5760" w:hanging="360"/>
      </w:pPr>
      <w:rPr>
        <w:rFonts w:ascii="Times New Roman" w:hAnsi="Times New Roman" w:hint="default"/>
      </w:rPr>
    </w:lvl>
    <w:lvl w:ilvl="8" w:tplc="734808FA"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538E4577"/>
    <w:multiLevelType w:val="hybridMultilevel"/>
    <w:tmpl w:val="6130C2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7" w15:restartNumberingAfterBreak="0">
    <w:nsid w:val="61DA25AD"/>
    <w:multiLevelType w:val="multilevel"/>
    <w:tmpl w:val="E96802B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62233511"/>
    <w:multiLevelType w:val="hybridMultilevel"/>
    <w:tmpl w:val="0942852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9" w15:restartNumberingAfterBreak="0">
    <w:nsid w:val="68B65AF0"/>
    <w:multiLevelType w:val="multilevel"/>
    <w:tmpl w:val="61963404"/>
    <w:lvl w:ilvl="0">
      <w:start w:val="1"/>
      <w:numFmt w:val="decimal"/>
      <w:lvlText w:val="%1.0"/>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0" w15:restartNumberingAfterBreak="0">
    <w:nsid w:val="6C2A5CAE"/>
    <w:multiLevelType w:val="hybridMultilevel"/>
    <w:tmpl w:val="84CAD9B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1" w15:restartNumberingAfterBreak="0">
    <w:nsid w:val="6C8F08CF"/>
    <w:multiLevelType w:val="hybridMultilevel"/>
    <w:tmpl w:val="4CF4A216"/>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2" w15:restartNumberingAfterBreak="0">
    <w:nsid w:val="736B2260"/>
    <w:multiLevelType w:val="hybridMultilevel"/>
    <w:tmpl w:val="F4B8DCEC"/>
    <w:lvl w:ilvl="0" w:tplc="C8562E04">
      <w:start w:val="1"/>
      <w:numFmt w:val="bullet"/>
      <w:lvlText w:val="•"/>
      <w:lvlJc w:val="left"/>
      <w:pPr>
        <w:tabs>
          <w:tab w:val="num" w:pos="720"/>
        </w:tabs>
        <w:ind w:left="720" w:hanging="360"/>
      </w:pPr>
      <w:rPr>
        <w:rFonts w:ascii="Times New Roman" w:hAnsi="Times New Roman" w:hint="default"/>
      </w:rPr>
    </w:lvl>
    <w:lvl w:ilvl="1" w:tplc="CD0CC13E">
      <w:numFmt w:val="bullet"/>
      <w:lvlText w:val="–"/>
      <w:lvlJc w:val="left"/>
      <w:pPr>
        <w:tabs>
          <w:tab w:val="num" w:pos="1440"/>
        </w:tabs>
        <w:ind w:left="1440" w:hanging="360"/>
      </w:pPr>
      <w:rPr>
        <w:rFonts w:ascii="Times New Roman" w:hAnsi="Times New Roman" w:hint="default"/>
      </w:rPr>
    </w:lvl>
    <w:lvl w:ilvl="2" w:tplc="1736D1F4">
      <w:numFmt w:val="bullet"/>
      <w:lvlText w:val="•"/>
      <w:lvlJc w:val="left"/>
      <w:pPr>
        <w:tabs>
          <w:tab w:val="num" w:pos="2160"/>
        </w:tabs>
        <w:ind w:left="2160" w:hanging="360"/>
      </w:pPr>
      <w:rPr>
        <w:rFonts w:ascii="Times New Roman" w:hAnsi="Times New Roman" w:hint="default"/>
      </w:rPr>
    </w:lvl>
    <w:lvl w:ilvl="3" w:tplc="F86844EC" w:tentative="1">
      <w:start w:val="1"/>
      <w:numFmt w:val="bullet"/>
      <w:lvlText w:val="•"/>
      <w:lvlJc w:val="left"/>
      <w:pPr>
        <w:tabs>
          <w:tab w:val="num" w:pos="2880"/>
        </w:tabs>
        <w:ind w:left="2880" w:hanging="360"/>
      </w:pPr>
      <w:rPr>
        <w:rFonts w:ascii="Times New Roman" w:hAnsi="Times New Roman" w:hint="default"/>
      </w:rPr>
    </w:lvl>
    <w:lvl w:ilvl="4" w:tplc="5D785D8C" w:tentative="1">
      <w:start w:val="1"/>
      <w:numFmt w:val="bullet"/>
      <w:lvlText w:val="•"/>
      <w:lvlJc w:val="left"/>
      <w:pPr>
        <w:tabs>
          <w:tab w:val="num" w:pos="3600"/>
        </w:tabs>
        <w:ind w:left="3600" w:hanging="360"/>
      </w:pPr>
      <w:rPr>
        <w:rFonts w:ascii="Times New Roman" w:hAnsi="Times New Roman" w:hint="default"/>
      </w:rPr>
    </w:lvl>
    <w:lvl w:ilvl="5" w:tplc="62248B84" w:tentative="1">
      <w:start w:val="1"/>
      <w:numFmt w:val="bullet"/>
      <w:lvlText w:val="•"/>
      <w:lvlJc w:val="left"/>
      <w:pPr>
        <w:tabs>
          <w:tab w:val="num" w:pos="4320"/>
        </w:tabs>
        <w:ind w:left="4320" w:hanging="360"/>
      </w:pPr>
      <w:rPr>
        <w:rFonts w:ascii="Times New Roman" w:hAnsi="Times New Roman" w:hint="default"/>
      </w:rPr>
    </w:lvl>
    <w:lvl w:ilvl="6" w:tplc="F1E46B60" w:tentative="1">
      <w:start w:val="1"/>
      <w:numFmt w:val="bullet"/>
      <w:lvlText w:val="•"/>
      <w:lvlJc w:val="left"/>
      <w:pPr>
        <w:tabs>
          <w:tab w:val="num" w:pos="5040"/>
        </w:tabs>
        <w:ind w:left="5040" w:hanging="360"/>
      </w:pPr>
      <w:rPr>
        <w:rFonts w:ascii="Times New Roman" w:hAnsi="Times New Roman" w:hint="default"/>
      </w:rPr>
    </w:lvl>
    <w:lvl w:ilvl="7" w:tplc="DA3CD6B6" w:tentative="1">
      <w:start w:val="1"/>
      <w:numFmt w:val="bullet"/>
      <w:lvlText w:val="•"/>
      <w:lvlJc w:val="left"/>
      <w:pPr>
        <w:tabs>
          <w:tab w:val="num" w:pos="5760"/>
        </w:tabs>
        <w:ind w:left="5760" w:hanging="360"/>
      </w:pPr>
      <w:rPr>
        <w:rFonts w:ascii="Times New Roman" w:hAnsi="Times New Roman" w:hint="default"/>
      </w:rPr>
    </w:lvl>
    <w:lvl w:ilvl="8" w:tplc="BF140206" w:tentative="1">
      <w:start w:val="1"/>
      <w:numFmt w:val="bullet"/>
      <w:lvlText w:val="•"/>
      <w:lvlJc w:val="left"/>
      <w:pPr>
        <w:tabs>
          <w:tab w:val="num" w:pos="6480"/>
        </w:tabs>
        <w:ind w:left="6480" w:hanging="360"/>
      </w:pPr>
      <w:rPr>
        <w:rFonts w:ascii="Times New Roman" w:hAnsi="Times New Roman" w:hint="default"/>
      </w:rPr>
    </w:lvl>
  </w:abstractNum>
  <w:abstractNum w:abstractNumId="33" w15:restartNumberingAfterBreak="0">
    <w:nsid w:val="736C40E3"/>
    <w:multiLevelType w:val="hybridMultilevel"/>
    <w:tmpl w:val="2CE81608"/>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4" w15:restartNumberingAfterBreak="0">
    <w:nsid w:val="741643F3"/>
    <w:multiLevelType w:val="hybridMultilevel"/>
    <w:tmpl w:val="24CC2962"/>
    <w:lvl w:ilvl="0" w:tplc="0414000F">
      <w:start w:val="1"/>
      <w:numFmt w:val="decimal"/>
      <w:lvlText w:val="%1."/>
      <w:lvlJc w:val="left"/>
      <w:pPr>
        <w:ind w:left="720" w:hanging="360"/>
      </w:p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5" w15:restartNumberingAfterBreak="0">
    <w:nsid w:val="756B5377"/>
    <w:multiLevelType w:val="hybridMultilevel"/>
    <w:tmpl w:val="867CD172"/>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6" w15:restartNumberingAfterBreak="0">
    <w:nsid w:val="782038EF"/>
    <w:multiLevelType w:val="hybridMultilevel"/>
    <w:tmpl w:val="BC7ED1C4"/>
    <w:lvl w:ilvl="0" w:tplc="CAE69642">
      <w:start w:val="1"/>
      <w:numFmt w:val="bullet"/>
      <w:lvlText w:val="•"/>
      <w:lvlJc w:val="left"/>
      <w:pPr>
        <w:tabs>
          <w:tab w:val="num" w:pos="720"/>
        </w:tabs>
        <w:ind w:left="720" w:hanging="360"/>
      </w:pPr>
      <w:rPr>
        <w:rFonts w:ascii="Times New Roman" w:hAnsi="Times New Roman" w:hint="default"/>
      </w:rPr>
    </w:lvl>
    <w:lvl w:ilvl="1" w:tplc="0270D926">
      <w:numFmt w:val="bullet"/>
      <w:lvlText w:val="–"/>
      <w:lvlJc w:val="left"/>
      <w:pPr>
        <w:tabs>
          <w:tab w:val="num" w:pos="1440"/>
        </w:tabs>
        <w:ind w:left="1440" w:hanging="360"/>
      </w:pPr>
      <w:rPr>
        <w:rFonts w:ascii="Times New Roman" w:hAnsi="Times New Roman" w:hint="default"/>
      </w:rPr>
    </w:lvl>
    <w:lvl w:ilvl="2" w:tplc="3E245B54" w:tentative="1">
      <w:start w:val="1"/>
      <w:numFmt w:val="bullet"/>
      <w:lvlText w:val="•"/>
      <w:lvlJc w:val="left"/>
      <w:pPr>
        <w:tabs>
          <w:tab w:val="num" w:pos="2160"/>
        </w:tabs>
        <w:ind w:left="2160" w:hanging="360"/>
      </w:pPr>
      <w:rPr>
        <w:rFonts w:ascii="Times New Roman" w:hAnsi="Times New Roman" w:hint="default"/>
      </w:rPr>
    </w:lvl>
    <w:lvl w:ilvl="3" w:tplc="3692DA3E" w:tentative="1">
      <w:start w:val="1"/>
      <w:numFmt w:val="bullet"/>
      <w:lvlText w:val="•"/>
      <w:lvlJc w:val="left"/>
      <w:pPr>
        <w:tabs>
          <w:tab w:val="num" w:pos="2880"/>
        </w:tabs>
        <w:ind w:left="2880" w:hanging="360"/>
      </w:pPr>
      <w:rPr>
        <w:rFonts w:ascii="Times New Roman" w:hAnsi="Times New Roman" w:hint="default"/>
      </w:rPr>
    </w:lvl>
    <w:lvl w:ilvl="4" w:tplc="F508E610" w:tentative="1">
      <w:start w:val="1"/>
      <w:numFmt w:val="bullet"/>
      <w:lvlText w:val="•"/>
      <w:lvlJc w:val="left"/>
      <w:pPr>
        <w:tabs>
          <w:tab w:val="num" w:pos="3600"/>
        </w:tabs>
        <w:ind w:left="3600" w:hanging="360"/>
      </w:pPr>
      <w:rPr>
        <w:rFonts w:ascii="Times New Roman" w:hAnsi="Times New Roman" w:hint="default"/>
      </w:rPr>
    </w:lvl>
    <w:lvl w:ilvl="5" w:tplc="AF283D7A" w:tentative="1">
      <w:start w:val="1"/>
      <w:numFmt w:val="bullet"/>
      <w:lvlText w:val="•"/>
      <w:lvlJc w:val="left"/>
      <w:pPr>
        <w:tabs>
          <w:tab w:val="num" w:pos="4320"/>
        </w:tabs>
        <w:ind w:left="4320" w:hanging="360"/>
      </w:pPr>
      <w:rPr>
        <w:rFonts w:ascii="Times New Roman" w:hAnsi="Times New Roman" w:hint="default"/>
      </w:rPr>
    </w:lvl>
    <w:lvl w:ilvl="6" w:tplc="D65E8852" w:tentative="1">
      <w:start w:val="1"/>
      <w:numFmt w:val="bullet"/>
      <w:lvlText w:val="•"/>
      <w:lvlJc w:val="left"/>
      <w:pPr>
        <w:tabs>
          <w:tab w:val="num" w:pos="5040"/>
        </w:tabs>
        <w:ind w:left="5040" w:hanging="360"/>
      </w:pPr>
      <w:rPr>
        <w:rFonts w:ascii="Times New Roman" w:hAnsi="Times New Roman" w:hint="default"/>
      </w:rPr>
    </w:lvl>
    <w:lvl w:ilvl="7" w:tplc="2CA04D40" w:tentative="1">
      <w:start w:val="1"/>
      <w:numFmt w:val="bullet"/>
      <w:lvlText w:val="•"/>
      <w:lvlJc w:val="left"/>
      <w:pPr>
        <w:tabs>
          <w:tab w:val="num" w:pos="5760"/>
        </w:tabs>
        <w:ind w:left="5760" w:hanging="360"/>
      </w:pPr>
      <w:rPr>
        <w:rFonts w:ascii="Times New Roman" w:hAnsi="Times New Roman" w:hint="default"/>
      </w:rPr>
    </w:lvl>
    <w:lvl w:ilvl="8" w:tplc="04BCED96" w:tentative="1">
      <w:start w:val="1"/>
      <w:numFmt w:val="bullet"/>
      <w:lvlText w:val="•"/>
      <w:lvlJc w:val="left"/>
      <w:pPr>
        <w:tabs>
          <w:tab w:val="num" w:pos="6480"/>
        </w:tabs>
        <w:ind w:left="6480" w:hanging="360"/>
      </w:pPr>
      <w:rPr>
        <w:rFonts w:ascii="Times New Roman" w:hAnsi="Times New Roman" w:hint="default"/>
      </w:rPr>
    </w:lvl>
  </w:abstractNum>
  <w:abstractNum w:abstractNumId="37" w15:restartNumberingAfterBreak="0">
    <w:nsid w:val="7880210B"/>
    <w:multiLevelType w:val="hybridMultilevel"/>
    <w:tmpl w:val="D4D44544"/>
    <w:lvl w:ilvl="0" w:tplc="ABF8C096">
      <w:start w:val="1"/>
      <w:numFmt w:val="bullet"/>
      <w:lvlText w:val="•"/>
      <w:lvlJc w:val="left"/>
      <w:pPr>
        <w:tabs>
          <w:tab w:val="num" w:pos="720"/>
        </w:tabs>
        <w:ind w:left="720" w:hanging="360"/>
      </w:pPr>
      <w:rPr>
        <w:rFonts w:ascii="Times New Roman" w:hAnsi="Times New Roman" w:hint="default"/>
      </w:rPr>
    </w:lvl>
    <w:lvl w:ilvl="1" w:tplc="B740AD6C">
      <w:numFmt w:val="bullet"/>
      <w:lvlText w:val="–"/>
      <w:lvlJc w:val="left"/>
      <w:pPr>
        <w:tabs>
          <w:tab w:val="num" w:pos="1440"/>
        </w:tabs>
        <w:ind w:left="1440" w:hanging="360"/>
      </w:pPr>
      <w:rPr>
        <w:rFonts w:ascii="Times New Roman" w:hAnsi="Times New Roman" w:hint="default"/>
      </w:rPr>
    </w:lvl>
    <w:lvl w:ilvl="2" w:tplc="AC9C8A1E" w:tentative="1">
      <w:start w:val="1"/>
      <w:numFmt w:val="bullet"/>
      <w:lvlText w:val="•"/>
      <w:lvlJc w:val="left"/>
      <w:pPr>
        <w:tabs>
          <w:tab w:val="num" w:pos="2160"/>
        </w:tabs>
        <w:ind w:left="2160" w:hanging="360"/>
      </w:pPr>
      <w:rPr>
        <w:rFonts w:ascii="Times New Roman" w:hAnsi="Times New Roman" w:hint="default"/>
      </w:rPr>
    </w:lvl>
    <w:lvl w:ilvl="3" w:tplc="3738BD40" w:tentative="1">
      <w:start w:val="1"/>
      <w:numFmt w:val="bullet"/>
      <w:lvlText w:val="•"/>
      <w:lvlJc w:val="left"/>
      <w:pPr>
        <w:tabs>
          <w:tab w:val="num" w:pos="2880"/>
        </w:tabs>
        <w:ind w:left="2880" w:hanging="360"/>
      </w:pPr>
      <w:rPr>
        <w:rFonts w:ascii="Times New Roman" w:hAnsi="Times New Roman" w:hint="default"/>
      </w:rPr>
    </w:lvl>
    <w:lvl w:ilvl="4" w:tplc="B84009CA" w:tentative="1">
      <w:start w:val="1"/>
      <w:numFmt w:val="bullet"/>
      <w:lvlText w:val="•"/>
      <w:lvlJc w:val="left"/>
      <w:pPr>
        <w:tabs>
          <w:tab w:val="num" w:pos="3600"/>
        </w:tabs>
        <w:ind w:left="3600" w:hanging="360"/>
      </w:pPr>
      <w:rPr>
        <w:rFonts w:ascii="Times New Roman" w:hAnsi="Times New Roman" w:hint="default"/>
      </w:rPr>
    </w:lvl>
    <w:lvl w:ilvl="5" w:tplc="006217EC" w:tentative="1">
      <w:start w:val="1"/>
      <w:numFmt w:val="bullet"/>
      <w:lvlText w:val="•"/>
      <w:lvlJc w:val="left"/>
      <w:pPr>
        <w:tabs>
          <w:tab w:val="num" w:pos="4320"/>
        </w:tabs>
        <w:ind w:left="4320" w:hanging="360"/>
      </w:pPr>
      <w:rPr>
        <w:rFonts w:ascii="Times New Roman" w:hAnsi="Times New Roman" w:hint="default"/>
      </w:rPr>
    </w:lvl>
    <w:lvl w:ilvl="6" w:tplc="1A5EE942" w:tentative="1">
      <w:start w:val="1"/>
      <w:numFmt w:val="bullet"/>
      <w:lvlText w:val="•"/>
      <w:lvlJc w:val="left"/>
      <w:pPr>
        <w:tabs>
          <w:tab w:val="num" w:pos="5040"/>
        </w:tabs>
        <w:ind w:left="5040" w:hanging="360"/>
      </w:pPr>
      <w:rPr>
        <w:rFonts w:ascii="Times New Roman" w:hAnsi="Times New Roman" w:hint="default"/>
      </w:rPr>
    </w:lvl>
    <w:lvl w:ilvl="7" w:tplc="1B90E1CE" w:tentative="1">
      <w:start w:val="1"/>
      <w:numFmt w:val="bullet"/>
      <w:lvlText w:val="•"/>
      <w:lvlJc w:val="left"/>
      <w:pPr>
        <w:tabs>
          <w:tab w:val="num" w:pos="5760"/>
        </w:tabs>
        <w:ind w:left="5760" w:hanging="360"/>
      </w:pPr>
      <w:rPr>
        <w:rFonts w:ascii="Times New Roman" w:hAnsi="Times New Roman" w:hint="default"/>
      </w:rPr>
    </w:lvl>
    <w:lvl w:ilvl="8" w:tplc="56A69226" w:tentative="1">
      <w:start w:val="1"/>
      <w:numFmt w:val="bullet"/>
      <w:lvlText w:val="•"/>
      <w:lvlJc w:val="left"/>
      <w:pPr>
        <w:tabs>
          <w:tab w:val="num" w:pos="6480"/>
        </w:tabs>
        <w:ind w:left="6480" w:hanging="360"/>
      </w:pPr>
      <w:rPr>
        <w:rFonts w:ascii="Times New Roman" w:hAnsi="Times New Roman" w:hint="default"/>
      </w:rPr>
    </w:lvl>
  </w:abstractNum>
  <w:abstractNum w:abstractNumId="38" w15:restartNumberingAfterBreak="0">
    <w:nsid w:val="7A5D1D1F"/>
    <w:multiLevelType w:val="hybridMultilevel"/>
    <w:tmpl w:val="D11CA22E"/>
    <w:lvl w:ilvl="0" w:tplc="04140001">
      <w:start w:val="1"/>
      <w:numFmt w:val="bullet"/>
      <w:lvlText w:val=""/>
      <w:lvlJc w:val="left"/>
      <w:pPr>
        <w:ind w:left="720" w:hanging="360"/>
      </w:pPr>
      <w:rPr>
        <w:rFonts w:ascii="Symbol" w:hAnsi="Symbol"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39" w15:restartNumberingAfterBreak="0">
    <w:nsid w:val="7D7F562C"/>
    <w:multiLevelType w:val="hybridMultilevel"/>
    <w:tmpl w:val="38FA2FA4"/>
    <w:lvl w:ilvl="0" w:tplc="04140001">
      <w:start w:val="1"/>
      <w:numFmt w:val="bullet"/>
      <w:lvlText w:val=""/>
      <w:lvlJc w:val="left"/>
      <w:pPr>
        <w:ind w:left="720" w:hanging="360"/>
      </w:pPr>
      <w:rPr>
        <w:rFonts w:ascii="Symbol" w:hAnsi="Symbol"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16cid:durableId="1334993841">
    <w:abstractNumId w:val="9"/>
  </w:num>
  <w:num w:numId="2" w16cid:durableId="1483498122">
    <w:abstractNumId w:val="7"/>
  </w:num>
  <w:num w:numId="3" w16cid:durableId="1405760525">
    <w:abstractNumId w:val="6"/>
  </w:num>
  <w:num w:numId="4" w16cid:durableId="138229933">
    <w:abstractNumId w:val="5"/>
  </w:num>
  <w:num w:numId="5" w16cid:durableId="2075465835">
    <w:abstractNumId w:val="4"/>
  </w:num>
  <w:num w:numId="6" w16cid:durableId="889221816">
    <w:abstractNumId w:val="8"/>
  </w:num>
  <w:num w:numId="7" w16cid:durableId="693967206">
    <w:abstractNumId w:val="3"/>
  </w:num>
  <w:num w:numId="8" w16cid:durableId="1969240300">
    <w:abstractNumId w:val="2"/>
  </w:num>
  <w:num w:numId="9" w16cid:durableId="2046326508">
    <w:abstractNumId w:val="1"/>
  </w:num>
  <w:num w:numId="10" w16cid:durableId="2100129368">
    <w:abstractNumId w:val="0"/>
  </w:num>
  <w:num w:numId="11" w16cid:durableId="1886134498">
    <w:abstractNumId w:val="34"/>
  </w:num>
  <w:num w:numId="12" w16cid:durableId="1239097919">
    <w:abstractNumId w:val="11"/>
  </w:num>
  <w:num w:numId="13" w16cid:durableId="229267933">
    <w:abstractNumId w:val="38"/>
  </w:num>
  <w:num w:numId="14" w16cid:durableId="277949532">
    <w:abstractNumId w:val="14"/>
  </w:num>
  <w:num w:numId="15" w16cid:durableId="1493644051">
    <w:abstractNumId w:val="14"/>
  </w:num>
  <w:num w:numId="16" w16cid:durableId="742948708">
    <w:abstractNumId w:val="27"/>
  </w:num>
  <w:num w:numId="17" w16cid:durableId="103621474">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343597">
    <w:abstractNumId w:val="19"/>
  </w:num>
  <w:num w:numId="19" w16cid:durableId="1193304799">
    <w:abstractNumId w:val="29"/>
  </w:num>
  <w:num w:numId="20" w16cid:durableId="1202935331">
    <w:abstractNumId w:val="17"/>
  </w:num>
  <w:num w:numId="21" w16cid:durableId="1930965884">
    <w:abstractNumId w:val="10"/>
  </w:num>
  <w:num w:numId="22" w16cid:durableId="424545522">
    <w:abstractNumId w:val="28"/>
  </w:num>
  <w:num w:numId="23" w16cid:durableId="887113131">
    <w:abstractNumId w:val="16"/>
  </w:num>
  <w:num w:numId="24" w16cid:durableId="885023410">
    <w:abstractNumId w:val="21"/>
  </w:num>
  <w:num w:numId="25" w16cid:durableId="35352211">
    <w:abstractNumId w:val="22"/>
  </w:num>
  <w:num w:numId="26" w16cid:durableId="1465808159">
    <w:abstractNumId w:val="20"/>
  </w:num>
  <w:num w:numId="27" w16cid:durableId="1405762613">
    <w:abstractNumId w:val="18"/>
  </w:num>
  <w:num w:numId="28" w16cid:durableId="1591280976">
    <w:abstractNumId w:val="39"/>
  </w:num>
  <w:num w:numId="29" w16cid:durableId="1619484959">
    <w:abstractNumId w:val="30"/>
  </w:num>
  <w:num w:numId="30" w16cid:durableId="2979067">
    <w:abstractNumId w:val="35"/>
  </w:num>
  <w:num w:numId="31" w16cid:durableId="47413185">
    <w:abstractNumId w:val="15"/>
  </w:num>
  <w:num w:numId="32" w16cid:durableId="1902213139">
    <w:abstractNumId w:val="33"/>
  </w:num>
  <w:num w:numId="33" w16cid:durableId="616639970">
    <w:abstractNumId w:val="23"/>
  </w:num>
  <w:num w:numId="34" w16cid:durableId="1757898946">
    <w:abstractNumId w:val="12"/>
  </w:num>
  <w:num w:numId="35" w16cid:durableId="1915315373">
    <w:abstractNumId w:val="31"/>
  </w:num>
  <w:num w:numId="36" w16cid:durableId="1533113217">
    <w:abstractNumId w:val="13"/>
  </w:num>
  <w:num w:numId="37" w16cid:durableId="679548010">
    <w:abstractNumId w:val="26"/>
  </w:num>
  <w:num w:numId="38" w16cid:durableId="1413160251">
    <w:abstractNumId w:val="24"/>
  </w:num>
  <w:num w:numId="39" w16cid:durableId="1071005916">
    <w:abstractNumId w:val="32"/>
  </w:num>
  <w:num w:numId="40" w16cid:durableId="9794773">
    <w:abstractNumId w:val="37"/>
  </w:num>
  <w:num w:numId="41" w16cid:durableId="263465924">
    <w:abstractNumId w:val="25"/>
  </w:num>
  <w:num w:numId="42" w16cid:durableId="1953826889">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attachedTemplate r:id="rId1"/>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1"/>
  <w:defaultTabStop w:val="720"/>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1EE0"/>
    <w:rsid w:val="00000ABA"/>
    <w:rsid w:val="00002FAA"/>
    <w:rsid w:val="00003B15"/>
    <w:rsid w:val="000213E9"/>
    <w:rsid w:val="000258C2"/>
    <w:rsid w:val="00025D53"/>
    <w:rsid w:val="00026E49"/>
    <w:rsid w:val="00052E65"/>
    <w:rsid w:val="0006106E"/>
    <w:rsid w:val="0006413E"/>
    <w:rsid w:val="00070F9A"/>
    <w:rsid w:val="000740AF"/>
    <w:rsid w:val="00076848"/>
    <w:rsid w:val="00086D0D"/>
    <w:rsid w:val="0009291F"/>
    <w:rsid w:val="0009737E"/>
    <w:rsid w:val="000A01EA"/>
    <w:rsid w:val="000A16C6"/>
    <w:rsid w:val="000A1E69"/>
    <w:rsid w:val="000A379C"/>
    <w:rsid w:val="000B0D99"/>
    <w:rsid w:val="000B11E5"/>
    <w:rsid w:val="000B1F7A"/>
    <w:rsid w:val="000B5A64"/>
    <w:rsid w:val="000C5EAA"/>
    <w:rsid w:val="000E0519"/>
    <w:rsid w:val="000E5A79"/>
    <w:rsid w:val="000F26AD"/>
    <w:rsid w:val="000F59A9"/>
    <w:rsid w:val="000F66BC"/>
    <w:rsid w:val="00101DB4"/>
    <w:rsid w:val="0010304C"/>
    <w:rsid w:val="00103AAD"/>
    <w:rsid w:val="00104981"/>
    <w:rsid w:val="001071EE"/>
    <w:rsid w:val="00107605"/>
    <w:rsid w:val="00114153"/>
    <w:rsid w:val="00114A18"/>
    <w:rsid w:val="00114ED3"/>
    <w:rsid w:val="00122CCE"/>
    <w:rsid w:val="00122E1B"/>
    <w:rsid w:val="00126C11"/>
    <w:rsid w:val="001276FB"/>
    <w:rsid w:val="00135F0D"/>
    <w:rsid w:val="00141FA4"/>
    <w:rsid w:val="00145B4E"/>
    <w:rsid w:val="001505E8"/>
    <w:rsid w:val="00157F0B"/>
    <w:rsid w:val="00162586"/>
    <w:rsid w:val="00166BAB"/>
    <w:rsid w:val="00166BEA"/>
    <w:rsid w:val="00172455"/>
    <w:rsid w:val="00183FBF"/>
    <w:rsid w:val="00187247"/>
    <w:rsid w:val="001B0DCE"/>
    <w:rsid w:val="001B2CD3"/>
    <w:rsid w:val="001B3556"/>
    <w:rsid w:val="001B5918"/>
    <w:rsid w:val="001B7192"/>
    <w:rsid w:val="001B787C"/>
    <w:rsid w:val="001C1EE0"/>
    <w:rsid w:val="001D1A67"/>
    <w:rsid w:val="001D2B8B"/>
    <w:rsid w:val="001D7518"/>
    <w:rsid w:val="001E16EE"/>
    <w:rsid w:val="00201DF7"/>
    <w:rsid w:val="002034B9"/>
    <w:rsid w:val="0020512C"/>
    <w:rsid w:val="00213747"/>
    <w:rsid w:val="00214E29"/>
    <w:rsid w:val="00222BC2"/>
    <w:rsid w:val="00222CB6"/>
    <w:rsid w:val="00223851"/>
    <w:rsid w:val="00224F9F"/>
    <w:rsid w:val="002278CF"/>
    <w:rsid w:val="0023682A"/>
    <w:rsid w:val="00237B84"/>
    <w:rsid w:val="002408BC"/>
    <w:rsid w:val="00240D77"/>
    <w:rsid w:val="002422A4"/>
    <w:rsid w:val="002439F5"/>
    <w:rsid w:val="00244216"/>
    <w:rsid w:val="00251BEF"/>
    <w:rsid w:val="002524F1"/>
    <w:rsid w:val="002549F6"/>
    <w:rsid w:val="00263EF3"/>
    <w:rsid w:val="00265C82"/>
    <w:rsid w:val="00272718"/>
    <w:rsid w:val="0027292E"/>
    <w:rsid w:val="00276212"/>
    <w:rsid w:val="00276F01"/>
    <w:rsid w:val="00282B49"/>
    <w:rsid w:val="002A0DE6"/>
    <w:rsid w:val="002A787D"/>
    <w:rsid w:val="002B35BC"/>
    <w:rsid w:val="002B3D50"/>
    <w:rsid w:val="002C0E13"/>
    <w:rsid w:val="002C1816"/>
    <w:rsid w:val="002C4212"/>
    <w:rsid w:val="002C42A6"/>
    <w:rsid w:val="002D17EB"/>
    <w:rsid w:val="002D7FA6"/>
    <w:rsid w:val="002E3B2F"/>
    <w:rsid w:val="002E7521"/>
    <w:rsid w:val="002F1AEB"/>
    <w:rsid w:val="002F42FE"/>
    <w:rsid w:val="002F7132"/>
    <w:rsid w:val="003045EA"/>
    <w:rsid w:val="0030707B"/>
    <w:rsid w:val="00323230"/>
    <w:rsid w:val="00323ADE"/>
    <w:rsid w:val="00326842"/>
    <w:rsid w:val="003325E5"/>
    <w:rsid w:val="00335106"/>
    <w:rsid w:val="00342252"/>
    <w:rsid w:val="00345AE0"/>
    <w:rsid w:val="003525FB"/>
    <w:rsid w:val="00352F7C"/>
    <w:rsid w:val="00353753"/>
    <w:rsid w:val="00354F9D"/>
    <w:rsid w:val="00357AA4"/>
    <w:rsid w:val="003648C1"/>
    <w:rsid w:val="00371F92"/>
    <w:rsid w:val="003749B0"/>
    <w:rsid w:val="0037593C"/>
    <w:rsid w:val="0037613D"/>
    <w:rsid w:val="003803A3"/>
    <w:rsid w:val="00383A23"/>
    <w:rsid w:val="0038599E"/>
    <w:rsid w:val="00387435"/>
    <w:rsid w:val="003922B0"/>
    <w:rsid w:val="003A2570"/>
    <w:rsid w:val="003A4843"/>
    <w:rsid w:val="003A4872"/>
    <w:rsid w:val="003B1394"/>
    <w:rsid w:val="003C1227"/>
    <w:rsid w:val="003C55BC"/>
    <w:rsid w:val="003D387F"/>
    <w:rsid w:val="003F39AA"/>
    <w:rsid w:val="003F6F13"/>
    <w:rsid w:val="00407BF3"/>
    <w:rsid w:val="00407FCA"/>
    <w:rsid w:val="0041433E"/>
    <w:rsid w:val="00424468"/>
    <w:rsid w:val="00426D00"/>
    <w:rsid w:val="00433688"/>
    <w:rsid w:val="004466FF"/>
    <w:rsid w:val="0045309B"/>
    <w:rsid w:val="00453F7B"/>
    <w:rsid w:val="004622E6"/>
    <w:rsid w:val="0046330E"/>
    <w:rsid w:val="00463FAD"/>
    <w:rsid w:val="0047070E"/>
    <w:rsid w:val="0048742D"/>
    <w:rsid w:val="004903CA"/>
    <w:rsid w:val="004A4132"/>
    <w:rsid w:val="004A4C27"/>
    <w:rsid w:val="004A4CE3"/>
    <w:rsid w:val="004A6943"/>
    <w:rsid w:val="004B0D63"/>
    <w:rsid w:val="004B32E6"/>
    <w:rsid w:val="004B5E91"/>
    <w:rsid w:val="004C2622"/>
    <w:rsid w:val="004C52F2"/>
    <w:rsid w:val="004C6C9D"/>
    <w:rsid w:val="004C7BA6"/>
    <w:rsid w:val="004D0DB5"/>
    <w:rsid w:val="004D4070"/>
    <w:rsid w:val="004E1066"/>
    <w:rsid w:val="004F22DE"/>
    <w:rsid w:val="004F49BB"/>
    <w:rsid w:val="004F4A76"/>
    <w:rsid w:val="004F5264"/>
    <w:rsid w:val="004F5543"/>
    <w:rsid w:val="0050241D"/>
    <w:rsid w:val="00503A37"/>
    <w:rsid w:val="00506691"/>
    <w:rsid w:val="00513D18"/>
    <w:rsid w:val="00523B66"/>
    <w:rsid w:val="00531327"/>
    <w:rsid w:val="00540215"/>
    <w:rsid w:val="00541111"/>
    <w:rsid w:val="00550708"/>
    <w:rsid w:val="005515AA"/>
    <w:rsid w:val="00551BEE"/>
    <w:rsid w:val="0055544F"/>
    <w:rsid w:val="00565B77"/>
    <w:rsid w:val="005710F5"/>
    <w:rsid w:val="00572DCD"/>
    <w:rsid w:val="00575D93"/>
    <w:rsid w:val="00580FDF"/>
    <w:rsid w:val="00584E91"/>
    <w:rsid w:val="0058592F"/>
    <w:rsid w:val="00585DB7"/>
    <w:rsid w:val="00587456"/>
    <w:rsid w:val="005A7B2F"/>
    <w:rsid w:val="005B37DB"/>
    <w:rsid w:val="005D0925"/>
    <w:rsid w:val="005D4CE9"/>
    <w:rsid w:val="005D7A7C"/>
    <w:rsid w:val="005D7BAE"/>
    <w:rsid w:val="005E0489"/>
    <w:rsid w:val="005E4A95"/>
    <w:rsid w:val="005E5808"/>
    <w:rsid w:val="005F79BE"/>
    <w:rsid w:val="0060104D"/>
    <w:rsid w:val="00610910"/>
    <w:rsid w:val="00612C4D"/>
    <w:rsid w:val="006349B9"/>
    <w:rsid w:val="00634B1A"/>
    <w:rsid w:val="00637207"/>
    <w:rsid w:val="006473D2"/>
    <w:rsid w:val="0066287A"/>
    <w:rsid w:val="00666373"/>
    <w:rsid w:val="00675EC7"/>
    <w:rsid w:val="00676BF9"/>
    <w:rsid w:val="00683715"/>
    <w:rsid w:val="00684922"/>
    <w:rsid w:val="00694DB1"/>
    <w:rsid w:val="00696E5F"/>
    <w:rsid w:val="006A4FE2"/>
    <w:rsid w:val="006B0F3E"/>
    <w:rsid w:val="006B53E3"/>
    <w:rsid w:val="006C04AF"/>
    <w:rsid w:val="006C0E9A"/>
    <w:rsid w:val="006C284E"/>
    <w:rsid w:val="006C67D0"/>
    <w:rsid w:val="006D12BC"/>
    <w:rsid w:val="006D5615"/>
    <w:rsid w:val="006D73B7"/>
    <w:rsid w:val="006E2A3C"/>
    <w:rsid w:val="006E45A8"/>
    <w:rsid w:val="006F1CEC"/>
    <w:rsid w:val="006F42E8"/>
    <w:rsid w:val="006F68F5"/>
    <w:rsid w:val="006F7284"/>
    <w:rsid w:val="006F7CA2"/>
    <w:rsid w:val="007007B1"/>
    <w:rsid w:val="00701FD8"/>
    <w:rsid w:val="00705D02"/>
    <w:rsid w:val="00715153"/>
    <w:rsid w:val="0071547D"/>
    <w:rsid w:val="0072239D"/>
    <w:rsid w:val="00726087"/>
    <w:rsid w:val="007366E5"/>
    <w:rsid w:val="00737CFA"/>
    <w:rsid w:val="00740419"/>
    <w:rsid w:val="007408A5"/>
    <w:rsid w:val="00741977"/>
    <w:rsid w:val="00742422"/>
    <w:rsid w:val="00743D89"/>
    <w:rsid w:val="00762949"/>
    <w:rsid w:val="00766076"/>
    <w:rsid w:val="00775903"/>
    <w:rsid w:val="00780411"/>
    <w:rsid w:val="007824F6"/>
    <w:rsid w:val="00786FB4"/>
    <w:rsid w:val="00790885"/>
    <w:rsid w:val="007961F0"/>
    <w:rsid w:val="007A0D7C"/>
    <w:rsid w:val="007A3286"/>
    <w:rsid w:val="007A32FE"/>
    <w:rsid w:val="007B112D"/>
    <w:rsid w:val="007B5169"/>
    <w:rsid w:val="007C7BD5"/>
    <w:rsid w:val="007D3759"/>
    <w:rsid w:val="007F7CB6"/>
    <w:rsid w:val="008106F3"/>
    <w:rsid w:val="00811F63"/>
    <w:rsid w:val="008140F4"/>
    <w:rsid w:val="00817384"/>
    <w:rsid w:val="008177A6"/>
    <w:rsid w:val="00817944"/>
    <w:rsid w:val="008221AC"/>
    <w:rsid w:val="008268AF"/>
    <w:rsid w:val="00830139"/>
    <w:rsid w:val="00831001"/>
    <w:rsid w:val="00831F71"/>
    <w:rsid w:val="00834355"/>
    <w:rsid w:val="008361DF"/>
    <w:rsid w:val="00836213"/>
    <w:rsid w:val="008376AB"/>
    <w:rsid w:val="0084025B"/>
    <w:rsid w:val="00846A51"/>
    <w:rsid w:val="00850337"/>
    <w:rsid w:val="0085085B"/>
    <w:rsid w:val="00865FAC"/>
    <w:rsid w:val="00867587"/>
    <w:rsid w:val="00886DDC"/>
    <w:rsid w:val="00890AC9"/>
    <w:rsid w:val="008940C4"/>
    <w:rsid w:val="0089625B"/>
    <w:rsid w:val="008A31D2"/>
    <w:rsid w:val="008B2BD9"/>
    <w:rsid w:val="008C0953"/>
    <w:rsid w:val="008C5F12"/>
    <w:rsid w:val="008C7DF1"/>
    <w:rsid w:val="008D1AB5"/>
    <w:rsid w:val="008D51ED"/>
    <w:rsid w:val="008E1A3D"/>
    <w:rsid w:val="008E406C"/>
    <w:rsid w:val="008E5168"/>
    <w:rsid w:val="008F157D"/>
    <w:rsid w:val="008F2126"/>
    <w:rsid w:val="008F36B2"/>
    <w:rsid w:val="008F4685"/>
    <w:rsid w:val="008F48EA"/>
    <w:rsid w:val="009010FD"/>
    <w:rsid w:val="00912F71"/>
    <w:rsid w:val="0091350B"/>
    <w:rsid w:val="009139B0"/>
    <w:rsid w:val="009416B6"/>
    <w:rsid w:val="00942977"/>
    <w:rsid w:val="00943F39"/>
    <w:rsid w:val="00951E45"/>
    <w:rsid w:val="00955329"/>
    <w:rsid w:val="00962690"/>
    <w:rsid w:val="00965EC1"/>
    <w:rsid w:val="00966A96"/>
    <w:rsid w:val="00967660"/>
    <w:rsid w:val="00970E79"/>
    <w:rsid w:val="00971BEB"/>
    <w:rsid w:val="00972522"/>
    <w:rsid w:val="009743FD"/>
    <w:rsid w:val="00974F33"/>
    <w:rsid w:val="00975788"/>
    <w:rsid w:val="009758A0"/>
    <w:rsid w:val="00975ED4"/>
    <w:rsid w:val="009873C8"/>
    <w:rsid w:val="009902B2"/>
    <w:rsid w:val="00991292"/>
    <w:rsid w:val="0099615A"/>
    <w:rsid w:val="00997D9A"/>
    <w:rsid w:val="009A386B"/>
    <w:rsid w:val="009B0879"/>
    <w:rsid w:val="009C0B80"/>
    <w:rsid w:val="009C337A"/>
    <w:rsid w:val="009E1196"/>
    <w:rsid w:val="009E21D8"/>
    <w:rsid w:val="009E4EF9"/>
    <w:rsid w:val="009E7C07"/>
    <w:rsid w:val="009F1087"/>
    <w:rsid w:val="009F474E"/>
    <w:rsid w:val="009F48DD"/>
    <w:rsid w:val="009F7174"/>
    <w:rsid w:val="00A00A19"/>
    <w:rsid w:val="00A05540"/>
    <w:rsid w:val="00A0666D"/>
    <w:rsid w:val="00A1576D"/>
    <w:rsid w:val="00A26230"/>
    <w:rsid w:val="00A55F2E"/>
    <w:rsid w:val="00A569B6"/>
    <w:rsid w:val="00A6654F"/>
    <w:rsid w:val="00A71430"/>
    <w:rsid w:val="00A904FE"/>
    <w:rsid w:val="00A96654"/>
    <w:rsid w:val="00AA30A8"/>
    <w:rsid w:val="00AA32D7"/>
    <w:rsid w:val="00AA7792"/>
    <w:rsid w:val="00AB2F9C"/>
    <w:rsid w:val="00AB31E7"/>
    <w:rsid w:val="00AC081E"/>
    <w:rsid w:val="00AC1608"/>
    <w:rsid w:val="00AC3295"/>
    <w:rsid w:val="00AC726F"/>
    <w:rsid w:val="00AC7812"/>
    <w:rsid w:val="00AD3083"/>
    <w:rsid w:val="00AE22C6"/>
    <w:rsid w:val="00AE2C34"/>
    <w:rsid w:val="00AE4055"/>
    <w:rsid w:val="00AF2C91"/>
    <w:rsid w:val="00AF4171"/>
    <w:rsid w:val="00B00352"/>
    <w:rsid w:val="00B037F2"/>
    <w:rsid w:val="00B10A6E"/>
    <w:rsid w:val="00B17D93"/>
    <w:rsid w:val="00B207E7"/>
    <w:rsid w:val="00B22CD3"/>
    <w:rsid w:val="00B25608"/>
    <w:rsid w:val="00B266CB"/>
    <w:rsid w:val="00B33323"/>
    <w:rsid w:val="00B42652"/>
    <w:rsid w:val="00B443A8"/>
    <w:rsid w:val="00B50CD3"/>
    <w:rsid w:val="00B55D76"/>
    <w:rsid w:val="00B5652A"/>
    <w:rsid w:val="00B6205F"/>
    <w:rsid w:val="00B64902"/>
    <w:rsid w:val="00B77C81"/>
    <w:rsid w:val="00B77D40"/>
    <w:rsid w:val="00B81E85"/>
    <w:rsid w:val="00B82883"/>
    <w:rsid w:val="00B87AC0"/>
    <w:rsid w:val="00B91403"/>
    <w:rsid w:val="00BB35AD"/>
    <w:rsid w:val="00BC4FF2"/>
    <w:rsid w:val="00BD003E"/>
    <w:rsid w:val="00BD1E43"/>
    <w:rsid w:val="00BD40F4"/>
    <w:rsid w:val="00BE42D3"/>
    <w:rsid w:val="00BF699F"/>
    <w:rsid w:val="00C0567D"/>
    <w:rsid w:val="00C060E5"/>
    <w:rsid w:val="00C14897"/>
    <w:rsid w:val="00C179AC"/>
    <w:rsid w:val="00C222C8"/>
    <w:rsid w:val="00C255C2"/>
    <w:rsid w:val="00C25E5D"/>
    <w:rsid w:val="00C30A75"/>
    <w:rsid w:val="00C4108E"/>
    <w:rsid w:val="00C44EAA"/>
    <w:rsid w:val="00C51465"/>
    <w:rsid w:val="00C557AD"/>
    <w:rsid w:val="00C56F8B"/>
    <w:rsid w:val="00C642BF"/>
    <w:rsid w:val="00C74027"/>
    <w:rsid w:val="00C75D38"/>
    <w:rsid w:val="00C769B2"/>
    <w:rsid w:val="00C90D42"/>
    <w:rsid w:val="00C9671C"/>
    <w:rsid w:val="00C97F72"/>
    <w:rsid w:val="00CA1D16"/>
    <w:rsid w:val="00CB6C26"/>
    <w:rsid w:val="00CC0721"/>
    <w:rsid w:val="00CC2E61"/>
    <w:rsid w:val="00CD1D7C"/>
    <w:rsid w:val="00CD24B8"/>
    <w:rsid w:val="00CD2786"/>
    <w:rsid w:val="00CD51C6"/>
    <w:rsid w:val="00CE0DE6"/>
    <w:rsid w:val="00CE5DD0"/>
    <w:rsid w:val="00CE6639"/>
    <w:rsid w:val="00CF5782"/>
    <w:rsid w:val="00D04080"/>
    <w:rsid w:val="00D07F87"/>
    <w:rsid w:val="00D11EEE"/>
    <w:rsid w:val="00D13BD1"/>
    <w:rsid w:val="00D2140C"/>
    <w:rsid w:val="00D227A5"/>
    <w:rsid w:val="00D27F66"/>
    <w:rsid w:val="00D31754"/>
    <w:rsid w:val="00D335FF"/>
    <w:rsid w:val="00D37C4A"/>
    <w:rsid w:val="00D44666"/>
    <w:rsid w:val="00D46DA1"/>
    <w:rsid w:val="00D47EE1"/>
    <w:rsid w:val="00D53B82"/>
    <w:rsid w:val="00D562AB"/>
    <w:rsid w:val="00D57CA6"/>
    <w:rsid w:val="00D64147"/>
    <w:rsid w:val="00D702C5"/>
    <w:rsid w:val="00D76449"/>
    <w:rsid w:val="00D767C7"/>
    <w:rsid w:val="00D775E9"/>
    <w:rsid w:val="00D934AD"/>
    <w:rsid w:val="00D94764"/>
    <w:rsid w:val="00D9672D"/>
    <w:rsid w:val="00DA2044"/>
    <w:rsid w:val="00DB0CC3"/>
    <w:rsid w:val="00DB33CF"/>
    <w:rsid w:val="00DB3F76"/>
    <w:rsid w:val="00DB7828"/>
    <w:rsid w:val="00DC012B"/>
    <w:rsid w:val="00DC6797"/>
    <w:rsid w:val="00DE129C"/>
    <w:rsid w:val="00DE565C"/>
    <w:rsid w:val="00DF2BD2"/>
    <w:rsid w:val="00DF68D3"/>
    <w:rsid w:val="00E01529"/>
    <w:rsid w:val="00E02200"/>
    <w:rsid w:val="00E05F65"/>
    <w:rsid w:val="00E128DF"/>
    <w:rsid w:val="00E20792"/>
    <w:rsid w:val="00E36172"/>
    <w:rsid w:val="00E44D82"/>
    <w:rsid w:val="00E44F3F"/>
    <w:rsid w:val="00E46591"/>
    <w:rsid w:val="00E46DD7"/>
    <w:rsid w:val="00E46F21"/>
    <w:rsid w:val="00E50DF1"/>
    <w:rsid w:val="00E5161A"/>
    <w:rsid w:val="00E52897"/>
    <w:rsid w:val="00E53713"/>
    <w:rsid w:val="00E5604B"/>
    <w:rsid w:val="00E611C2"/>
    <w:rsid w:val="00E70F1C"/>
    <w:rsid w:val="00E76626"/>
    <w:rsid w:val="00E8569B"/>
    <w:rsid w:val="00E95931"/>
    <w:rsid w:val="00EA0B66"/>
    <w:rsid w:val="00EA1F84"/>
    <w:rsid w:val="00EA2B9B"/>
    <w:rsid w:val="00EA5FD9"/>
    <w:rsid w:val="00EB4DC8"/>
    <w:rsid w:val="00EB682B"/>
    <w:rsid w:val="00EB7DD2"/>
    <w:rsid w:val="00EC0154"/>
    <w:rsid w:val="00EC1F31"/>
    <w:rsid w:val="00EC40C6"/>
    <w:rsid w:val="00EC7C19"/>
    <w:rsid w:val="00ED2382"/>
    <w:rsid w:val="00ED346C"/>
    <w:rsid w:val="00EE03F8"/>
    <w:rsid w:val="00EE2A26"/>
    <w:rsid w:val="00EE34B1"/>
    <w:rsid w:val="00EE6510"/>
    <w:rsid w:val="00EF0DC1"/>
    <w:rsid w:val="00EF55AF"/>
    <w:rsid w:val="00EF74C2"/>
    <w:rsid w:val="00F00668"/>
    <w:rsid w:val="00F04B65"/>
    <w:rsid w:val="00F13AF8"/>
    <w:rsid w:val="00F13EB4"/>
    <w:rsid w:val="00F23A8A"/>
    <w:rsid w:val="00F23E80"/>
    <w:rsid w:val="00F3247C"/>
    <w:rsid w:val="00F3464F"/>
    <w:rsid w:val="00F34A01"/>
    <w:rsid w:val="00F45737"/>
    <w:rsid w:val="00F5102B"/>
    <w:rsid w:val="00F52A1B"/>
    <w:rsid w:val="00F53562"/>
    <w:rsid w:val="00F62EA1"/>
    <w:rsid w:val="00F63935"/>
    <w:rsid w:val="00F64933"/>
    <w:rsid w:val="00F724CB"/>
    <w:rsid w:val="00F730AB"/>
    <w:rsid w:val="00F75AAB"/>
    <w:rsid w:val="00F945DB"/>
    <w:rsid w:val="00F948AF"/>
    <w:rsid w:val="00FB355D"/>
    <w:rsid w:val="00FB60A7"/>
    <w:rsid w:val="00FC2DEB"/>
    <w:rsid w:val="00FD111E"/>
    <w:rsid w:val="00FE402C"/>
    <w:rsid w:val="00FF2210"/>
    <w:rsid w:val="00FF52B1"/>
    <w:rsid w:val="00FF6DDD"/>
    <w:rsid w:val="00FF78B2"/>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5641F2"/>
  <w15:docId w15:val="{2F8297F3-D2A8-4E0D-B840-3F001D4DB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b-NO" w:eastAsia="nb-NO" w:bidi="ar-SA"/>
      </w:rPr>
    </w:rPrDefault>
    <w:pPrDefault>
      <w:pPr>
        <w:spacing w:line="360"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33323"/>
    <w:pPr>
      <w:spacing w:line="360" w:lineRule="auto"/>
    </w:pPr>
    <w:rPr>
      <w:rFonts w:cs="Sendnya" w:ascii="Times New Roman" w:hAnsi="Times New Roman"/>
      <w:sz w:val="24"/>
      <w:szCs w:val="24"/>
      <w:lang w:eastAsia="zh-CN" w:bidi="or-IN"/>
    </w:rPr>
  </w:style>
  <w:style w:type="paragraph" w:styleId="Overskrift1">
    <w:name w:val="heading 1"/>
    <w:basedOn w:val="Normal"/>
    <w:next w:val="Normal"/>
    <w:qFormat/>
    <w:rsid w:val="00B33323"/>
    <w:pPr>
      <w:keepNext/>
      <w:numPr>
        <w:numId w:val="21"/>
      </w:numPr>
      <w:spacing w:before="240" w:after="60"/>
      <w:outlineLvl w:val="0"/>
    </w:pPr>
    <w:rPr>
      <w:rFonts w:asciiTheme="minorHAnsi" w:hAnsiTheme="minorHAnsi" w:ascii="Times New Roman" w:hAnsi="Times New Roman"/>
      <w:b/>
      <w:bCs/>
      <w:color w:val="000000"/>
      <w:kern w:val="28"/>
      <w:sz w:val="36"/>
      <w:szCs w:val="28"/>
    </w:rPr>
  </w:style>
  <w:style w:type="paragraph" w:styleId="Overskrift2">
    <w:name w:val="heading 2"/>
    <w:basedOn w:val="Normal"/>
    <w:next w:val="Normal"/>
    <w:link w:val="Overskrift2Tegn"/>
    <w:qFormat/>
    <w:rsid w:val="00B33323"/>
    <w:pPr>
      <w:keepNext/>
      <w:numPr>
        <w:ilvl w:val="1"/>
        <w:numId w:val="21"/>
      </w:numPr>
      <w:spacing w:before="240" w:after="60"/>
      <w:outlineLvl w:val="1"/>
    </w:pPr>
    <w:rPr>
      <w:rFonts w:asciiTheme="minorHAnsi" w:hAnsiTheme="minorHAnsi" w:cs="Times New Roman" w:ascii="Times New Roman" w:hAnsi="Times New Roman"/>
      <w:b/>
      <w:bCs/>
      <w:iCs/>
      <w:color w:val="000000"/>
      <w:sz w:val="32"/>
      <w:szCs w:val="28"/>
    </w:rPr>
  </w:style>
  <w:style w:type="paragraph" w:styleId="Overskrift3">
    <w:name w:val="heading 3"/>
    <w:basedOn w:val="Normal"/>
    <w:next w:val="Normal"/>
    <w:link w:val="Overskrift3Tegn"/>
    <w:qFormat/>
    <w:rsid w:val="00B33323"/>
    <w:pPr>
      <w:keepNext/>
      <w:numPr>
        <w:ilvl w:val="2"/>
        <w:numId w:val="21"/>
      </w:numPr>
      <w:spacing w:before="240" w:after="60"/>
      <w:outlineLvl w:val="2"/>
    </w:pPr>
    <w:rPr>
      <w:rFonts w:asciiTheme="minorHAnsi" w:hAnsiTheme="minorHAnsi" w:cs="Times New Roman" w:ascii="Times New Roman" w:hAnsi="Times New Roman"/>
      <w:b/>
      <w:bCs/>
      <w:color w:val="000000"/>
      <w:sz w:val="28"/>
      <w:szCs w:val="26"/>
    </w:rPr>
  </w:style>
  <w:style w:type="paragraph" w:styleId="Overskrift4">
    <w:name w:val="heading 4"/>
    <w:basedOn w:val="Normal"/>
    <w:next w:val="Normal"/>
    <w:link w:val="Overskrift4Tegn"/>
    <w:qFormat/>
    <w:rsid w:val="00B33323"/>
    <w:pPr>
      <w:keepNext/>
      <w:numPr>
        <w:ilvl w:val="3"/>
        <w:numId w:val="21"/>
      </w:numPr>
      <w:spacing w:before="240" w:after="60"/>
      <w:outlineLvl w:val="3"/>
    </w:pPr>
    <w:rPr>
      <w:rFonts w:ascii="Calibri" w:hAnsi="Calibri" w:cs="Times New Roman"/>
      <w:b/>
      <w:bCs/>
      <w:sz w:val="26"/>
      <w:szCs w:val="28"/>
    </w:rPr>
  </w:style>
  <w:style w:type="paragraph" w:styleId="Overskrift5">
    <w:name w:val="heading 5"/>
    <w:basedOn w:val="Normal"/>
    <w:next w:val="Normal"/>
    <w:link w:val="Overskrift5Tegn"/>
    <w:qFormat/>
    <w:rsid w:val="00B33323"/>
    <w:pPr>
      <w:numPr>
        <w:ilvl w:val="4"/>
        <w:numId w:val="21"/>
      </w:numPr>
      <w:spacing w:before="240" w:after="60"/>
      <w:outlineLvl w:val="4"/>
    </w:pPr>
    <w:rPr>
      <w:rFonts w:ascii="Calibri" w:hAnsi="Calibri" w:cs="Times New Roman"/>
      <w:b/>
      <w:bCs/>
      <w:iCs/>
      <w:szCs w:val="26"/>
    </w:rPr>
  </w:style>
  <w:style w:type="paragraph" w:styleId="Overskrift6">
    <w:name w:val="heading 6"/>
    <w:basedOn w:val="Normal"/>
    <w:next w:val="Normal"/>
    <w:link w:val="Overskrift6Tegn"/>
    <w:qFormat/>
    <w:rsid w:val="004D0DB5"/>
    <w:pPr>
      <w:numPr>
        <w:ilvl w:val="5"/>
        <w:numId w:val="21"/>
      </w:numPr>
      <w:spacing w:before="240" w:after="60"/>
      <w:outlineLvl w:val="5"/>
    </w:pPr>
    <w:rPr>
      <w:rFonts w:ascii="Calibri" w:hAnsi="Calibri" w:cs="Times New Roman"/>
      <w:b/>
      <w:bCs/>
      <w:sz w:val="22"/>
      <w:szCs w:val="22"/>
    </w:rPr>
  </w:style>
  <w:style w:type="paragraph" w:styleId="Overskrift7">
    <w:name w:val="heading 7"/>
    <w:basedOn w:val="Normal"/>
    <w:next w:val="Normal"/>
    <w:link w:val="Overskrift7Tegn"/>
    <w:semiHidden/>
    <w:unhideWhenUsed/>
    <w:qFormat/>
    <w:rsid w:val="003D387F"/>
    <w:pPr>
      <w:numPr>
        <w:ilvl w:val="6"/>
        <w:numId w:val="21"/>
      </w:numPr>
      <w:spacing w:before="240" w:after="60"/>
      <w:outlineLvl w:val="6"/>
    </w:pPr>
    <w:rPr>
      <w:rFonts w:ascii="Calibri" w:hAnsi="Calibri" w:cs="Times New Roman"/>
    </w:rPr>
  </w:style>
  <w:style w:type="paragraph" w:styleId="Overskrift8">
    <w:name w:val="heading 8"/>
    <w:basedOn w:val="Normal"/>
    <w:next w:val="Normal"/>
    <w:link w:val="Overskrift8Tegn"/>
    <w:semiHidden/>
    <w:unhideWhenUsed/>
    <w:qFormat/>
    <w:rsid w:val="003D387F"/>
    <w:pPr>
      <w:numPr>
        <w:ilvl w:val="7"/>
        <w:numId w:val="21"/>
      </w:numPr>
      <w:spacing w:before="240" w:after="60"/>
      <w:outlineLvl w:val="7"/>
    </w:pPr>
    <w:rPr>
      <w:rFonts w:ascii="Calibri" w:hAnsi="Calibri" w:cs="Times New Roman"/>
      <w:i/>
      <w:iCs/>
    </w:rPr>
  </w:style>
  <w:style w:type="paragraph" w:styleId="Overskrift9">
    <w:name w:val="heading 9"/>
    <w:basedOn w:val="Normal"/>
    <w:next w:val="Normal"/>
    <w:link w:val="Overskrift9Tegn"/>
    <w:semiHidden/>
    <w:unhideWhenUsed/>
    <w:qFormat/>
    <w:rsid w:val="003D387F"/>
    <w:pPr>
      <w:numPr>
        <w:ilvl w:val="8"/>
        <w:numId w:val="21"/>
      </w:numPr>
      <w:spacing w:before="240" w:after="60"/>
      <w:outlineLvl w:val="8"/>
    </w:pPr>
    <w:rPr>
      <w:rFonts w:ascii="Cambria" w:hAnsi="Cambria" w:cs="Times New Roman"/>
      <w:sz w:val="22"/>
      <w:szCs w:val="22"/>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paragraph" w:styleId="Topptekst">
    <w:name w:val="header"/>
    <w:basedOn w:val="Normal"/>
    <w:pPr>
      <w:tabs>
        <w:tab w:val="center" w:pos="4153"/>
        <w:tab w:val="right" w:pos="8306"/>
      </w:tabs>
    </w:pPr>
  </w:style>
  <w:style w:type="paragraph" w:styleId="Bunntekst">
    <w:name w:val="footer"/>
    <w:basedOn w:val="Normal"/>
    <w:link w:val="BunntekstTegn"/>
    <w:pPr>
      <w:tabs>
        <w:tab w:val="center" w:pos="4153"/>
        <w:tab w:val="right" w:pos="8306"/>
      </w:tabs>
    </w:pPr>
  </w:style>
  <w:style w:type="character" w:styleId="Sidetall">
    <w:name w:val="page number"/>
    <w:basedOn w:val="Standardskriftforavsnitt"/>
    <w:rsid w:val="00951E45"/>
  </w:style>
  <w:style w:type="paragraph" w:styleId="Bobletekst">
    <w:name w:val="Balloon Text"/>
    <w:basedOn w:val="Normal"/>
    <w:semiHidden/>
    <w:rsid w:val="003045EA"/>
    <w:rPr>
      <w:rFonts w:ascii="Tahoma" w:hAnsi="Tahoma" w:cs="Tahoma"/>
      <w:sz w:val="16"/>
      <w:szCs w:val="16"/>
    </w:rPr>
  </w:style>
  <w:style w:type="paragraph" w:styleId="Fotnotetekst">
    <w:name w:val="footnote text"/>
    <w:basedOn w:val="Normal"/>
    <w:semiHidden/>
    <w:rsid w:val="00AA32D7"/>
    <w:rPr>
      <w:sz w:val="20"/>
      <w:szCs w:val="20"/>
    </w:rPr>
  </w:style>
  <w:style w:type="character" w:styleId="Fotnotereferanse">
    <w:name w:val="footnote reference"/>
    <w:semiHidden/>
    <w:rsid w:val="00AA32D7"/>
    <w:rPr>
      <w:vertAlign w:val="superscript"/>
    </w:rPr>
  </w:style>
  <w:style w:type="character" w:customStyle="1" w:styleId="BunntekstTegn">
    <w:name w:val="Bunntekst Tegn"/>
    <w:link w:val="Bunntekst"/>
    <w:locked/>
    <w:rsid w:val="006349B9"/>
    <w:rPr>
      <w:rFonts w:cs="Sendnya"/>
      <w:sz w:val="24"/>
      <w:szCs w:val="24"/>
      <w:lang w:val="nb-NO" w:eastAsia="zh-CN" w:bidi="or-IN"/>
    </w:rPr>
  </w:style>
  <w:style w:type="character" w:styleId="Linjenummer">
    <w:name w:val="line number"/>
    <w:basedOn w:val="Standardskriftforavsnitt"/>
    <w:rsid w:val="00AE4055"/>
  </w:style>
  <w:style w:type="paragraph" w:styleId="INNH1">
    <w:name w:val="toc 1"/>
    <w:basedOn w:val="Normal"/>
    <w:next w:val="Normal"/>
    <w:autoRedefine/>
    <w:uiPriority w:val="39"/>
    <w:rsid w:val="00BD40F4"/>
    <w:pPr>
      <w:tabs>
        <w:tab w:val="right" w:leader="dot" w:pos="8820"/>
      </w:tabs>
    </w:pPr>
    <w:rPr>
      <w:b/>
      <w:noProof/>
    </w:rPr>
  </w:style>
  <w:style w:type="character" w:styleId="Hyperkobling">
    <w:name w:val="Hyperlink"/>
    <w:uiPriority w:val="99"/>
    <w:rsid w:val="00BE42D3"/>
    <w:rPr>
      <w:color w:val="0000FF"/>
      <w:u w:val="single"/>
    </w:rPr>
  </w:style>
  <w:style w:type="character" w:customStyle="1" w:styleId="Overskrift2Tegn">
    <w:name w:val="Overskrift 2 Tegn"/>
    <w:link w:val="Overskrift2"/>
    <w:rsid w:val="00B33323"/>
    <w:rPr>
      <w:rFonts w:asciiTheme="minorHAnsi" w:hAnsiTheme="minorHAnsi"/>
      <w:b/>
      <w:bCs/>
      <w:iCs/>
      <w:sz w:val="32"/>
      <w:szCs w:val="28"/>
      <w:lang w:eastAsia="zh-CN" w:bidi="or-IN"/>
    </w:rPr>
  </w:style>
  <w:style w:type="character" w:customStyle="1" w:styleId="Overskrift3Tegn">
    <w:name w:val="Overskrift 3 Tegn"/>
    <w:link w:val="Overskrift3"/>
    <w:rsid w:val="00B33323"/>
    <w:rPr>
      <w:rFonts w:asciiTheme="minorHAnsi" w:hAnsiTheme="minorHAnsi"/>
      <w:b/>
      <w:bCs/>
      <w:sz w:val="28"/>
      <w:szCs w:val="26"/>
      <w:lang w:eastAsia="zh-CN" w:bidi="or-IN"/>
    </w:rPr>
  </w:style>
  <w:style w:type="character" w:customStyle="1" w:styleId="Overskrift4Tegn">
    <w:name w:val="Overskrift 4 Tegn"/>
    <w:link w:val="Overskrift4"/>
    <w:rsid w:val="00B33323"/>
    <w:rPr>
      <w:rFonts w:ascii="Calibri" w:hAnsi="Calibri"/>
      <w:b/>
      <w:bCs/>
      <w:sz w:val="26"/>
      <w:szCs w:val="28"/>
      <w:lang w:eastAsia="zh-CN" w:bidi="or-IN"/>
    </w:rPr>
  </w:style>
  <w:style w:type="paragraph" w:styleId="INNH2">
    <w:name w:val="toc 2"/>
    <w:basedOn w:val="Normal"/>
    <w:next w:val="Normal"/>
    <w:autoRedefine/>
    <w:uiPriority w:val="39"/>
    <w:rsid w:val="00BD40F4"/>
    <w:pPr>
      <w:ind w:left="240"/>
    </w:pPr>
  </w:style>
  <w:style w:type="paragraph" w:styleId="INNH3">
    <w:name w:val="toc 3"/>
    <w:basedOn w:val="Normal"/>
    <w:next w:val="Normal"/>
    <w:autoRedefine/>
    <w:uiPriority w:val="39"/>
    <w:rsid w:val="00BD40F4"/>
    <w:pPr>
      <w:ind w:left="480"/>
    </w:pPr>
  </w:style>
  <w:style w:type="character" w:customStyle="1" w:styleId="Overskrift5Tegn">
    <w:name w:val="Overskrift 5 Tegn"/>
    <w:link w:val="Overskrift5"/>
    <w:rsid w:val="00B33323"/>
    <w:rPr>
      <w:rFonts w:ascii="Calibri" w:hAnsi="Calibri"/>
      <w:b/>
      <w:bCs/>
      <w:iCs/>
      <w:sz w:val="24"/>
      <w:szCs w:val="26"/>
      <w:lang w:eastAsia="zh-CN" w:bidi="or-IN"/>
    </w:rPr>
  </w:style>
  <w:style w:type="character" w:customStyle="1" w:styleId="Overskrift6Tegn">
    <w:name w:val="Overskrift 6 Tegn"/>
    <w:link w:val="Overskrift6"/>
    <w:rsid w:val="004D0DB5"/>
    <w:rPr>
      <w:rFonts w:ascii="Calibri" w:hAnsi="Calibri"/>
      <w:b/>
      <w:bCs/>
      <w:sz w:val="22"/>
      <w:szCs w:val="22"/>
      <w:lang w:eastAsia="zh-CN" w:bidi="or-IN"/>
    </w:rPr>
  </w:style>
  <w:style w:type="table" w:styleId="Tabellrutenett">
    <w:name w:val="Table Grid"/>
    <w:basedOn w:val="Vanligtabell"/>
    <w:rsid w:val="0006106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avsnitt">
    <w:name w:val="List Paragraph"/>
    <w:basedOn w:val="Normal"/>
    <w:uiPriority w:val="34"/>
    <w:qFormat/>
    <w:rsid w:val="00F45737"/>
    <w:pPr>
      <w:ind w:left="720"/>
      <w:contextualSpacing/>
    </w:pPr>
  </w:style>
  <w:style w:type="character" w:customStyle="1" w:styleId="Overskrift7Tegn">
    <w:name w:val="Overskrift 7 Tegn"/>
    <w:link w:val="Overskrift7"/>
    <w:semiHidden/>
    <w:rsid w:val="003D387F"/>
    <w:rPr>
      <w:rFonts w:ascii="Calibri" w:eastAsia="Times New Roman" w:hAnsi="Calibri" w:cs="Times New Roman"/>
      <w:sz w:val="24"/>
      <w:szCs w:val="24"/>
      <w:lang w:eastAsia="zh-CN" w:bidi="or-IN"/>
    </w:rPr>
  </w:style>
  <w:style w:type="character" w:customStyle="1" w:styleId="Overskrift8Tegn">
    <w:name w:val="Overskrift 8 Tegn"/>
    <w:link w:val="Overskrift8"/>
    <w:semiHidden/>
    <w:rsid w:val="003D387F"/>
    <w:rPr>
      <w:rFonts w:ascii="Calibri" w:eastAsia="Times New Roman" w:hAnsi="Calibri" w:cs="Times New Roman"/>
      <w:i/>
      <w:iCs/>
      <w:sz w:val="24"/>
      <w:szCs w:val="24"/>
      <w:lang w:eastAsia="zh-CN" w:bidi="or-IN"/>
    </w:rPr>
  </w:style>
  <w:style w:type="character" w:customStyle="1" w:styleId="Overskrift9Tegn">
    <w:name w:val="Overskrift 9 Tegn"/>
    <w:link w:val="Overskrift9"/>
    <w:semiHidden/>
    <w:rsid w:val="003D387F"/>
    <w:rPr>
      <w:rFonts w:ascii="Cambria" w:eastAsia="Times New Roman" w:hAnsi="Cambria" w:cs="Times New Roman"/>
      <w:sz w:val="22"/>
      <w:szCs w:val="22"/>
      <w:lang w:eastAsia="zh-CN" w:bidi="or-IN"/>
    </w:rPr>
  </w:style>
  <w:style w:type="paragraph" w:styleId="Overskriftforinnholdsfortegnelse">
    <w:name w:val="TOC Heading"/>
    <w:basedOn w:val="Overskrift1"/>
    <w:next w:val="Normal"/>
    <w:uiPriority w:val="39"/>
    <w:unhideWhenUsed/>
    <w:qFormat/>
    <w:rsid w:val="00EB7DD2"/>
    <w:pPr>
      <w:keepLines/>
      <w:numPr>
        <w:numId w:val="0"/>
      </w:numPr>
      <w:spacing w:after="0" w:line="259" w:lineRule="auto"/>
      <w:outlineLvl w:val="9"/>
    </w:pPr>
    <w:rPr>
      <w:rFonts w:asciiTheme="majorHAnsi" w:eastAsiaTheme="majorEastAsia" w:hAnsiTheme="majorHAnsi" w:cstheme="majorBidi"/>
      <w:b w:val="0"/>
      <w:bCs w:val="0"/>
      <w:color w:val="2E74B5" w:themeColor="accent1" w:themeShade="BF"/>
      <w:kern w:val="0"/>
      <w:sz w:val="32"/>
      <w:szCs w:val="32"/>
      <w:lang w:eastAsia="nb-NO" w:bidi="ar-SA"/>
    </w:rPr>
  </w:style>
  <w:style w:type="paragraph" w:styleId="NormalWeb">
    <w:name w:val="Normal (Web)"/>
    <w:basedOn w:val="Normal"/>
    <w:uiPriority w:val="99"/>
    <w:semiHidden/>
    <w:unhideWhenUsed/>
    <w:rsid w:val="004B0D63"/>
    <w:pPr>
      <w:spacing w:before="100" w:beforeAutospacing="1" w:after="100" w:afterAutospacing="1" w:line="240" w:lineRule="auto"/>
    </w:pPr>
    <w:rPr>
      <w:rFonts w:cs="Times New Roman"/>
      <w:lang w:eastAsia="nb-NO"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00017">
      <w:bodyDiv w:val="1"/>
      <w:marLeft w:val="0"/>
      <w:marRight w:val="0"/>
      <w:marTop w:val="0"/>
      <w:marBottom w:val="0"/>
      <w:divBdr>
        <w:top w:val="none" w:sz="0" w:space="0" w:color="auto"/>
        <w:left w:val="none" w:sz="0" w:space="0" w:color="auto"/>
        <w:bottom w:val="none" w:sz="0" w:space="0" w:color="auto"/>
        <w:right w:val="none" w:sz="0" w:space="0" w:color="auto"/>
      </w:divBdr>
      <w:divsChild>
        <w:div w:id="279648595">
          <w:marLeft w:val="547"/>
          <w:marRight w:val="0"/>
          <w:marTop w:val="115"/>
          <w:marBottom w:val="0"/>
          <w:divBdr>
            <w:top w:val="none" w:sz="0" w:space="0" w:color="auto"/>
            <w:left w:val="none" w:sz="0" w:space="0" w:color="auto"/>
            <w:bottom w:val="none" w:sz="0" w:space="0" w:color="auto"/>
            <w:right w:val="none" w:sz="0" w:space="0" w:color="auto"/>
          </w:divBdr>
        </w:div>
        <w:div w:id="313725921">
          <w:marLeft w:val="1166"/>
          <w:marRight w:val="0"/>
          <w:marTop w:val="96"/>
          <w:marBottom w:val="0"/>
          <w:divBdr>
            <w:top w:val="none" w:sz="0" w:space="0" w:color="auto"/>
            <w:left w:val="none" w:sz="0" w:space="0" w:color="auto"/>
            <w:bottom w:val="none" w:sz="0" w:space="0" w:color="auto"/>
            <w:right w:val="none" w:sz="0" w:space="0" w:color="auto"/>
          </w:divBdr>
        </w:div>
        <w:div w:id="1560019884">
          <w:marLeft w:val="547"/>
          <w:marRight w:val="0"/>
          <w:marTop w:val="115"/>
          <w:marBottom w:val="0"/>
          <w:divBdr>
            <w:top w:val="none" w:sz="0" w:space="0" w:color="auto"/>
            <w:left w:val="none" w:sz="0" w:space="0" w:color="auto"/>
            <w:bottom w:val="none" w:sz="0" w:space="0" w:color="auto"/>
            <w:right w:val="none" w:sz="0" w:space="0" w:color="auto"/>
          </w:divBdr>
        </w:div>
        <w:div w:id="207422669">
          <w:marLeft w:val="1166"/>
          <w:marRight w:val="0"/>
          <w:marTop w:val="96"/>
          <w:marBottom w:val="0"/>
          <w:divBdr>
            <w:top w:val="none" w:sz="0" w:space="0" w:color="auto"/>
            <w:left w:val="none" w:sz="0" w:space="0" w:color="auto"/>
            <w:bottom w:val="none" w:sz="0" w:space="0" w:color="auto"/>
            <w:right w:val="none" w:sz="0" w:space="0" w:color="auto"/>
          </w:divBdr>
        </w:div>
        <w:div w:id="1093673227">
          <w:marLeft w:val="1800"/>
          <w:marRight w:val="0"/>
          <w:marTop w:val="77"/>
          <w:marBottom w:val="0"/>
          <w:divBdr>
            <w:top w:val="none" w:sz="0" w:space="0" w:color="auto"/>
            <w:left w:val="none" w:sz="0" w:space="0" w:color="auto"/>
            <w:bottom w:val="none" w:sz="0" w:space="0" w:color="auto"/>
            <w:right w:val="none" w:sz="0" w:space="0" w:color="auto"/>
          </w:divBdr>
        </w:div>
        <w:div w:id="1344672215">
          <w:marLeft w:val="1800"/>
          <w:marRight w:val="0"/>
          <w:marTop w:val="77"/>
          <w:marBottom w:val="0"/>
          <w:divBdr>
            <w:top w:val="none" w:sz="0" w:space="0" w:color="auto"/>
            <w:left w:val="none" w:sz="0" w:space="0" w:color="auto"/>
            <w:bottom w:val="none" w:sz="0" w:space="0" w:color="auto"/>
            <w:right w:val="none" w:sz="0" w:space="0" w:color="auto"/>
          </w:divBdr>
        </w:div>
        <w:div w:id="796918724">
          <w:marLeft w:val="1166"/>
          <w:marRight w:val="0"/>
          <w:marTop w:val="96"/>
          <w:marBottom w:val="0"/>
          <w:divBdr>
            <w:top w:val="none" w:sz="0" w:space="0" w:color="auto"/>
            <w:left w:val="none" w:sz="0" w:space="0" w:color="auto"/>
            <w:bottom w:val="none" w:sz="0" w:space="0" w:color="auto"/>
            <w:right w:val="none" w:sz="0" w:space="0" w:color="auto"/>
          </w:divBdr>
        </w:div>
        <w:div w:id="1946309432">
          <w:marLeft w:val="1800"/>
          <w:marRight w:val="0"/>
          <w:marTop w:val="77"/>
          <w:marBottom w:val="0"/>
          <w:divBdr>
            <w:top w:val="none" w:sz="0" w:space="0" w:color="auto"/>
            <w:left w:val="none" w:sz="0" w:space="0" w:color="auto"/>
            <w:bottom w:val="none" w:sz="0" w:space="0" w:color="auto"/>
            <w:right w:val="none" w:sz="0" w:space="0" w:color="auto"/>
          </w:divBdr>
        </w:div>
        <w:div w:id="617686567">
          <w:marLeft w:val="1800"/>
          <w:marRight w:val="0"/>
          <w:marTop w:val="77"/>
          <w:marBottom w:val="0"/>
          <w:divBdr>
            <w:top w:val="none" w:sz="0" w:space="0" w:color="auto"/>
            <w:left w:val="none" w:sz="0" w:space="0" w:color="auto"/>
            <w:bottom w:val="none" w:sz="0" w:space="0" w:color="auto"/>
            <w:right w:val="none" w:sz="0" w:space="0" w:color="auto"/>
          </w:divBdr>
        </w:div>
        <w:div w:id="927077536">
          <w:marLeft w:val="1800"/>
          <w:marRight w:val="0"/>
          <w:marTop w:val="77"/>
          <w:marBottom w:val="0"/>
          <w:divBdr>
            <w:top w:val="none" w:sz="0" w:space="0" w:color="auto"/>
            <w:left w:val="none" w:sz="0" w:space="0" w:color="auto"/>
            <w:bottom w:val="none" w:sz="0" w:space="0" w:color="auto"/>
            <w:right w:val="none" w:sz="0" w:space="0" w:color="auto"/>
          </w:divBdr>
        </w:div>
        <w:div w:id="1768504554">
          <w:marLeft w:val="1800"/>
          <w:marRight w:val="0"/>
          <w:marTop w:val="77"/>
          <w:marBottom w:val="0"/>
          <w:divBdr>
            <w:top w:val="none" w:sz="0" w:space="0" w:color="auto"/>
            <w:left w:val="none" w:sz="0" w:space="0" w:color="auto"/>
            <w:bottom w:val="none" w:sz="0" w:space="0" w:color="auto"/>
            <w:right w:val="none" w:sz="0" w:space="0" w:color="auto"/>
          </w:divBdr>
        </w:div>
      </w:divsChild>
    </w:div>
    <w:div w:id="219902147">
      <w:bodyDiv w:val="1"/>
      <w:marLeft w:val="0"/>
      <w:marRight w:val="0"/>
      <w:marTop w:val="0"/>
      <w:marBottom w:val="0"/>
      <w:divBdr>
        <w:top w:val="none" w:sz="0" w:space="0" w:color="auto"/>
        <w:left w:val="none" w:sz="0" w:space="0" w:color="auto"/>
        <w:bottom w:val="none" w:sz="0" w:space="0" w:color="auto"/>
        <w:right w:val="none" w:sz="0" w:space="0" w:color="auto"/>
      </w:divBdr>
    </w:div>
    <w:div w:id="630942449">
      <w:bodyDiv w:val="1"/>
      <w:marLeft w:val="0"/>
      <w:marRight w:val="0"/>
      <w:marTop w:val="0"/>
      <w:marBottom w:val="0"/>
      <w:divBdr>
        <w:top w:val="none" w:sz="0" w:space="0" w:color="auto"/>
        <w:left w:val="none" w:sz="0" w:space="0" w:color="auto"/>
        <w:bottom w:val="none" w:sz="0" w:space="0" w:color="auto"/>
        <w:right w:val="none" w:sz="0" w:space="0" w:color="auto"/>
      </w:divBdr>
    </w:div>
    <w:div w:id="1028993590">
      <w:bodyDiv w:val="1"/>
      <w:marLeft w:val="0"/>
      <w:marRight w:val="0"/>
      <w:marTop w:val="0"/>
      <w:marBottom w:val="0"/>
      <w:divBdr>
        <w:top w:val="none" w:sz="0" w:space="0" w:color="auto"/>
        <w:left w:val="none" w:sz="0" w:space="0" w:color="auto"/>
        <w:bottom w:val="none" w:sz="0" w:space="0" w:color="auto"/>
        <w:right w:val="none" w:sz="0" w:space="0" w:color="auto"/>
      </w:divBdr>
      <w:divsChild>
        <w:div w:id="4599638">
          <w:marLeft w:val="547"/>
          <w:marRight w:val="0"/>
          <w:marTop w:val="115"/>
          <w:marBottom w:val="0"/>
          <w:divBdr>
            <w:top w:val="none" w:sz="0" w:space="0" w:color="auto"/>
            <w:left w:val="none" w:sz="0" w:space="0" w:color="auto"/>
            <w:bottom w:val="none" w:sz="0" w:space="0" w:color="auto"/>
            <w:right w:val="none" w:sz="0" w:space="0" w:color="auto"/>
          </w:divBdr>
        </w:div>
        <w:div w:id="308362137">
          <w:marLeft w:val="1166"/>
          <w:marRight w:val="0"/>
          <w:marTop w:val="96"/>
          <w:marBottom w:val="0"/>
          <w:divBdr>
            <w:top w:val="none" w:sz="0" w:space="0" w:color="auto"/>
            <w:left w:val="none" w:sz="0" w:space="0" w:color="auto"/>
            <w:bottom w:val="none" w:sz="0" w:space="0" w:color="auto"/>
            <w:right w:val="none" w:sz="0" w:space="0" w:color="auto"/>
          </w:divBdr>
        </w:div>
        <w:div w:id="936984632">
          <w:marLeft w:val="547"/>
          <w:marRight w:val="0"/>
          <w:marTop w:val="115"/>
          <w:marBottom w:val="0"/>
          <w:divBdr>
            <w:top w:val="none" w:sz="0" w:space="0" w:color="auto"/>
            <w:left w:val="none" w:sz="0" w:space="0" w:color="auto"/>
            <w:bottom w:val="none" w:sz="0" w:space="0" w:color="auto"/>
            <w:right w:val="none" w:sz="0" w:space="0" w:color="auto"/>
          </w:divBdr>
        </w:div>
        <w:div w:id="81731228">
          <w:marLeft w:val="547"/>
          <w:marRight w:val="0"/>
          <w:marTop w:val="115"/>
          <w:marBottom w:val="0"/>
          <w:divBdr>
            <w:top w:val="none" w:sz="0" w:space="0" w:color="auto"/>
            <w:left w:val="none" w:sz="0" w:space="0" w:color="auto"/>
            <w:bottom w:val="none" w:sz="0" w:space="0" w:color="auto"/>
            <w:right w:val="none" w:sz="0" w:space="0" w:color="auto"/>
          </w:divBdr>
        </w:div>
        <w:div w:id="1910993955">
          <w:marLeft w:val="547"/>
          <w:marRight w:val="0"/>
          <w:marTop w:val="115"/>
          <w:marBottom w:val="0"/>
          <w:divBdr>
            <w:top w:val="none" w:sz="0" w:space="0" w:color="auto"/>
            <w:left w:val="none" w:sz="0" w:space="0" w:color="auto"/>
            <w:bottom w:val="none" w:sz="0" w:space="0" w:color="auto"/>
            <w:right w:val="none" w:sz="0" w:space="0" w:color="auto"/>
          </w:divBdr>
        </w:div>
        <w:div w:id="1983460584">
          <w:marLeft w:val="547"/>
          <w:marRight w:val="0"/>
          <w:marTop w:val="115"/>
          <w:marBottom w:val="0"/>
          <w:divBdr>
            <w:top w:val="none" w:sz="0" w:space="0" w:color="auto"/>
            <w:left w:val="none" w:sz="0" w:space="0" w:color="auto"/>
            <w:bottom w:val="none" w:sz="0" w:space="0" w:color="auto"/>
            <w:right w:val="none" w:sz="0" w:space="0" w:color="auto"/>
          </w:divBdr>
        </w:div>
      </w:divsChild>
    </w:div>
    <w:div w:id="1339965742">
      <w:bodyDiv w:val="1"/>
      <w:marLeft w:val="0"/>
      <w:marRight w:val="0"/>
      <w:marTop w:val="0"/>
      <w:marBottom w:val="0"/>
      <w:divBdr>
        <w:top w:val="none" w:sz="0" w:space="0" w:color="auto"/>
        <w:left w:val="none" w:sz="0" w:space="0" w:color="auto"/>
        <w:bottom w:val="none" w:sz="0" w:space="0" w:color="auto"/>
        <w:right w:val="none" w:sz="0" w:space="0" w:color="auto"/>
      </w:divBdr>
    </w:div>
    <w:div w:id="1386100679">
      <w:bodyDiv w:val="1"/>
      <w:marLeft w:val="0"/>
      <w:marRight w:val="0"/>
      <w:marTop w:val="0"/>
      <w:marBottom w:val="0"/>
      <w:divBdr>
        <w:top w:val="none" w:sz="0" w:space="0" w:color="auto"/>
        <w:left w:val="none" w:sz="0" w:space="0" w:color="auto"/>
        <w:bottom w:val="none" w:sz="0" w:space="0" w:color="auto"/>
        <w:right w:val="none" w:sz="0" w:space="0" w:color="auto"/>
      </w:divBdr>
      <w:divsChild>
        <w:div w:id="388304027">
          <w:marLeft w:val="547"/>
          <w:marRight w:val="0"/>
          <w:marTop w:val="115"/>
          <w:marBottom w:val="0"/>
          <w:divBdr>
            <w:top w:val="none" w:sz="0" w:space="0" w:color="auto"/>
            <w:left w:val="none" w:sz="0" w:space="0" w:color="auto"/>
            <w:bottom w:val="none" w:sz="0" w:space="0" w:color="auto"/>
            <w:right w:val="none" w:sz="0" w:space="0" w:color="auto"/>
          </w:divBdr>
        </w:div>
        <w:div w:id="570654694">
          <w:marLeft w:val="1166"/>
          <w:marRight w:val="0"/>
          <w:marTop w:val="96"/>
          <w:marBottom w:val="0"/>
          <w:divBdr>
            <w:top w:val="none" w:sz="0" w:space="0" w:color="auto"/>
            <w:left w:val="none" w:sz="0" w:space="0" w:color="auto"/>
            <w:bottom w:val="none" w:sz="0" w:space="0" w:color="auto"/>
            <w:right w:val="none" w:sz="0" w:space="0" w:color="auto"/>
          </w:divBdr>
        </w:div>
        <w:div w:id="1352805056">
          <w:marLeft w:val="547"/>
          <w:marRight w:val="0"/>
          <w:marTop w:val="115"/>
          <w:marBottom w:val="0"/>
          <w:divBdr>
            <w:top w:val="none" w:sz="0" w:space="0" w:color="auto"/>
            <w:left w:val="none" w:sz="0" w:space="0" w:color="auto"/>
            <w:bottom w:val="none" w:sz="0" w:space="0" w:color="auto"/>
            <w:right w:val="none" w:sz="0" w:space="0" w:color="auto"/>
          </w:divBdr>
        </w:div>
        <w:div w:id="951398311">
          <w:marLeft w:val="1166"/>
          <w:marRight w:val="0"/>
          <w:marTop w:val="96"/>
          <w:marBottom w:val="0"/>
          <w:divBdr>
            <w:top w:val="none" w:sz="0" w:space="0" w:color="auto"/>
            <w:left w:val="none" w:sz="0" w:space="0" w:color="auto"/>
            <w:bottom w:val="none" w:sz="0" w:space="0" w:color="auto"/>
            <w:right w:val="none" w:sz="0" w:space="0" w:color="auto"/>
          </w:divBdr>
        </w:div>
        <w:div w:id="519583490">
          <w:marLeft w:val="1166"/>
          <w:marRight w:val="0"/>
          <w:marTop w:val="96"/>
          <w:marBottom w:val="0"/>
          <w:divBdr>
            <w:top w:val="none" w:sz="0" w:space="0" w:color="auto"/>
            <w:left w:val="none" w:sz="0" w:space="0" w:color="auto"/>
            <w:bottom w:val="none" w:sz="0" w:space="0" w:color="auto"/>
            <w:right w:val="none" w:sz="0" w:space="0" w:color="auto"/>
          </w:divBdr>
        </w:div>
        <w:div w:id="704599826">
          <w:marLeft w:val="547"/>
          <w:marRight w:val="0"/>
          <w:marTop w:val="115"/>
          <w:marBottom w:val="0"/>
          <w:divBdr>
            <w:top w:val="none" w:sz="0" w:space="0" w:color="auto"/>
            <w:left w:val="none" w:sz="0" w:space="0" w:color="auto"/>
            <w:bottom w:val="none" w:sz="0" w:space="0" w:color="auto"/>
            <w:right w:val="none" w:sz="0" w:space="0" w:color="auto"/>
          </w:divBdr>
        </w:div>
        <w:div w:id="1361709578">
          <w:marLeft w:val="1166"/>
          <w:marRight w:val="0"/>
          <w:marTop w:val="96"/>
          <w:marBottom w:val="0"/>
          <w:divBdr>
            <w:top w:val="none" w:sz="0" w:space="0" w:color="auto"/>
            <w:left w:val="none" w:sz="0" w:space="0" w:color="auto"/>
            <w:bottom w:val="none" w:sz="0" w:space="0" w:color="auto"/>
            <w:right w:val="none" w:sz="0" w:space="0" w:color="auto"/>
          </w:divBdr>
        </w:div>
        <w:div w:id="1553423509">
          <w:marLeft w:val="1166"/>
          <w:marRight w:val="0"/>
          <w:marTop w:val="96"/>
          <w:marBottom w:val="0"/>
          <w:divBdr>
            <w:top w:val="none" w:sz="0" w:space="0" w:color="auto"/>
            <w:left w:val="none" w:sz="0" w:space="0" w:color="auto"/>
            <w:bottom w:val="none" w:sz="0" w:space="0" w:color="auto"/>
            <w:right w:val="none" w:sz="0" w:space="0" w:color="auto"/>
          </w:divBdr>
        </w:div>
        <w:div w:id="150372246">
          <w:marLeft w:val="547"/>
          <w:marRight w:val="0"/>
          <w:marTop w:val="115"/>
          <w:marBottom w:val="0"/>
          <w:divBdr>
            <w:top w:val="none" w:sz="0" w:space="0" w:color="auto"/>
            <w:left w:val="none" w:sz="0" w:space="0" w:color="auto"/>
            <w:bottom w:val="none" w:sz="0" w:space="0" w:color="auto"/>
            <w:right w:val="none" w:sz="0" w:space="0" w:color="auto"/>
          </w:divBdr>
        </w:div>
      </w:divsChild>
    </w:div>
    <w:div w:id="1448505760">
      <w:bodyDiv w:val="1"/>
      <w:marLeft w:val="0"/>
      <w:marRight w:val="0"/>
      <w:marTop w:val="0"/>
      <w:marBottom w:val="0"/>
      <w:divBdr>
        <w:top w:val="none" w:sz="0" w:space="0" w:color="auto"/>
        <w:left w:val="none" w:sz="0" w:space="0" w:color="auto"/>
        <w:bottom w:val="none" w:sz="0" w:space="0" w:color="auto"/>
        <w:right w:val="none" w:sz="0" w:space="0" w:color="auto"/>
      </w:divBdr>
    </w:div>
    <w:div w:id="1736007682">
      <w:bodyDiv w:val="1"/>
      <w:marLeft w:val="0"/>
      <w:marRight w:val="0"/>
      <w:marTop w:val="0"/>
      <w:marBottom w:val="0"/>
      <w:divBdr>
        <w:top w:val="none" w:sz="0" w:space="0" w:color="auto"/>
        <w:left w:val="none" w:sz="0" w:space="0" w:color="auto"/>
        <w:bottom w:val="none" w:sz="0" w:space="0" w:color="auto"/>
        <w:right w:val="none" w:sz="0" w:space="0" w:color="auto"/>
      </w:divBdr>
      <w:divsChild>
        <w:div w:id="1637640335">
          <w:marLeft w:val="547"/>
          <w:marRight w:val="0"/>
          <w:marTop w:val="115"/>
          <w:marBottom w:val="0"/>
          <w:divBdr>
            <w:top w:val="none" w:sz="0" w:space="0" w:color="auto"/>
            <w:left w:val="none" w:sz="0" w:space="0" w:color="auto"/>
            <w:bottom w:val="none" w:sz="0" w:space="0" w:color="auto"/>
            <w:right w:val="none" w:sz="0" w:space="0" w:color="auto"/>
          </w:divBdr>
        </w:div>
        <w:div w:id="1211724902">
          <w:marLeft w:val="1166"/>
          <w:marRight w:val="0"/>
          <w:marTop w:val="96"/>
          <w:marBottom w:val="0"/>
          <w:divBdr>
            <w:top w:val="none" w:sz="0" w:space="0" w:color="auto"/>
            <w:left w:val="none" w:sz="0" w:space="0" w:color="auto"/>
            <w:bottom w:val="none" w:sz="0" w:space="0" w:color="auto"/>
            <w:right w:val="none" w:sz="0" w:space="0" w:color="auto"/>
          </w:divBdr>
        </w:div>
        <w:div w:id="1410157752">
          <w:marLeft w:val="1166"/>
          <w:marRight w:val="0"/>
          <w:marTop w:val="96"/>
          <w:marBottom w:val="0"/>
          <w:divBdr>
            <w:top w:val="none" w:sz="0" w:space="0" w:color="auto"/>
            <w:left w:val="none" w:sz="0" w:space="0" w:color="auto"/>
            <w:bottom w:val="none" w:sz="0" w:space="0" w:color="auto"/>
            <w:right w:val="none" w:sz="0" w:space="0" w:color="auto"/>
          </w:divBdr>
        </w:div>
        <w:div w:id="550189607">
          <w:marLeft w:val="1166"/>
          <w:marRight w:val="0"/>
          <w:marTop w:val="96"/>
          <w:marBottom w:val="0"/>
          <w:divBdr>
            <w:top w:val="none" w:sz="0" w:space="0" w:color="auto"/>
            <w:left w:val="none" w:sz="0" w:space="0" w:color="auto"/>
            <w:bottom w:val="none" w:sz="0" w:space="0" w:color="auto"/>
            <w:right w:val="none" w:sz="0" w:space="0" w:color="auto"/>
          </w:divBdr>
        </w:div>
        <w:div w:id="670376561">
          <w:marLeft w:val="547"/>
          <w:marRight w:val="0"/>
          <w:marTop w:val="115"/>
          <w:marBottom w:val="0"/>
          <w:divBdr>
            <w:top w:val="none" w:sz="0" w:space="0" w:color="auto"/>
            <w:left w:val="none" w:sz="0" w:space="0" w:color="auto"/>
            <w:bottom w:val="none" w:sz="0" w:space="0" w:color="auto"/>
            <w:right w:val="none" w:sz="0" w:space="0" w:color="auto"/>
          </w:divBdr>
        </w:div>
      </w:divsChild>
    </w:div>
    <w:div w:id="1765611166">
      <w:bodyDiv w:val="1"/>
      <w:marLeft w:val="0"/>
      <w:marRight w:val="0"/>
      <w:marTop w:val="0"/>
      <w:marBottom w:val="0"/>
      <w:divBdr>
        <w:top w:val="none" w:sz="0" w:space="0" w:color="auto"/>
        <w:left w:val="none" w:sz="0" w:space="0" w:color="auto"/>
        <w:bottom w:val="none" w:sz="0" w:space="0" w:color="auto"/>
        <w:right w:val="none" w:sz="0" w:space="0" w:color="auto"/>
      </w:divBdr>
    </w:div>
    <w:div w:id="1844930087">
      <w:bodyDiv w:val="1"/>
      <w:marLeft w:val="0"/>
      <w:marRight w:val="0"/>
      <w:marTop w:val="0"/>
      <w:marBottom w:val="0"/>
      <w:divBdr>
        <w:top w:val="none" w:sz="0" w:space="0" w:color="auto"/>
        <w:left w:val="none" w:sz="0" w:space="0" w:color="auto"/>
        <w:bottom w:val="none" w:sz="0" w:space="0" w:color="auto"/>
        <w:right w:val="none" w:sz="0" w:space="0" w:color="auto"/>
      </w:divBdr>
      <w:divsChild>
        <w:div w:id="620913947">
          <w:marLeft w:val="547"/>
          <w:marRight w:val="0"/>
          <w:marTop w:val="115"/>
          <w:marBottom w:val="0"/>
          <w:divBdr>
            <w:top w:val="none" w:sz="0" w:space="0" w:color="auto"/>
            <w:left w:val="none" w:sz="0" w:space="0" w:color="auto"/>
            <w:bottom w:val="none" w:sz="0" w:space="0" w:color="auto"/>
            <w:right w:val="none" w:sz="0" w:space="0" w:color="auto"/>
          </w:divBdr>
        </w:div>
        <w:div w:id="1789549353">
          <w:marLeft w:val="547"/>
          <w:marRight w:val="0"/>
          <w:marTop w:val="115"/>
          <w:marBottom w:val="0"/>
          <w:divBdr>
            <w:top w:val="none" w:sz="0" w:space="0" w:color="auto"/>
            <w:left w:val="none" w:sz="0" w:space="0" w:color="auto"/>
            <w:bottom w:val="none" w:sz="0" w:space="0" w:color="auto"/>
            <w:right w:val="none" w:sz="0" w:space="0" w:color="auto"/>
          </w:divBdr>
        </w:div>
        <w:div w:id="862598848">
          <w:marLeft w:val="547"/>
          <w:marRight w:val="0"/>
          <w:marTop w:val="115"/>
          <w:marBottom w:val="0"/>
          <w:divBdr>
            <w:top w:val="none" w:sz="0" w:space="0" w:color="auto"/>
            <w:left w:val="none" w:sz="0" w:space="0" w:color="auto"/>
            <w:bottom w:val="none" w:sz="0" w:space="0" w:color="auto"/>
            <w:right w:val="none" w:sz="0" w:space="0" w:color="auto"/>
          </w:divBdr>
        </w:div>
        <w:div w:id="981688780">
          <w:marLeft w:val="1166"/>
          <w:marRight w:val="0"/>
          <w:marTop w:val="96"/>
          <w:marBottom w:val="0"/>
          <w:divBdr>
            <w:top w:val="none" w:sz="0" w:space="0" w:color="auto"/>
            <w:left w:val="none" w:sz="0" w:space="0" w:color="auto"/>
            <w:bottom w:val="none" w:sz="0" w:space="0" w:color="auto"/>
            <w:right w:val="none" w:sz="0" w:space="0" w:color="auto"/>
          </w:divBdr>
        </w:div>
        <w:div w:id="24798857">
          <w:marLeft w:val="1800"/>
          <w:marRight w:val="0"/>
          <w:marTop w:val="77"/>
          <w:marBottom w:val="0"/>
          <w:divBdr>
            <w:top w:val="none" w:sz="0" w:space="0" w:color="auto"/>
            <w:left w:val="none" w:sz="0" w:space="0" w:color="auto"/>
            <w:bottom w:val="none" w:sz="0" w:space="0" w:color="auto"/>
            <w:right w:val="none" w:sz="0" w:space="0" w:color="auto"/>
          </w:divBdr>
        </w:div>
        <w:div w:id="1272661894">
          <w:marLeft w:val="1800"/>
          <w:marRight w:val="0"/>
          <w:marTop w:val="77"/>
          <w:marBottom w:val="0"/>
          <w:divBdr>
            <w:top w:val="none" w:sz="0" w:space="0" w:color="auto"/>
            <w:left w:val="none" w:sz="0" w:space="0" w:color="auto"/>
            <w:bottom w:val="none" w:sz="0" w:space="0" w:color="auto"/>
            <w:right w:val="none" w:sz="0" w:space="0" w:color="auto"/>
          </w:divBdr>
        </w:div>
        <w:div w:id="783378844">
          <w:marLeft w:val="547"/>
          <w:marRight w:val="0"/>
          <w:marTop w:val="115"/>
          <w:marBottom w:val="0"/>
          <w:divBdr>
            <w:top w:val="none" w:sz="0" w:space="0" w:color="auto"/>
            <w:left w:val="none" w:sz="0" w:space="0" w:color="auto"/>
            <w:bottom w:val="none" w:sz="0" w:space="0" w:color="auto"/>
            <w:right w:val="none" w:sz="0" w:space="0" w:color="auto"/>
          </w:divBdr>
        </w:div>
        <w:div w:id="714039968">
          <w:marLeft w:val="1166"/>
          <w:marRight w:val="0"/>
          <w:marTop w:val="96"/>
          <w:marBottom w:val="0"/>
          <w:divBdr>
            <w:top w:val="none" w:sz="0" w:space="0" w:color="auto"/>
            <w:left w:val="none" w:sz="0" w:space="0" w:color="auto"/>
            <w:bottom w:val="none" w:sz="0" w:space="0" w:color="auto"/>
            <w:right w:val="none" w:sz="0" w:space="0" w:color="auto"/>
          </w:divBdr>
        </w:div>
        <w:div w:id="1729956634">
          <w:marLeft w:val="1166"/>
          <w:marRight w:val="0"/>
          <w:marTop w:val="96"/>
          <w:marBottom w:val="0"/>
          <w:divBdr>
            <w:top w:val="none" w:sz="0" w:space="0" w:color="auto"/>
            <w:left w:val="none" w:sz="0" w:space="0" w:color="auto"/>
            <w:bottom w:val="none" w:sz="0" w:space="0" w:color="auto"/>
            <w:right w:val="none" w:sz="0" w:space="0" w:color="auto"/>
          </w:divBdr>
        </w:div>
      </w:divsChild>
    </w:div>
    <w:div w:id="1878659371">
      <w:bodyDiv w:val="1"/>
      <w:marLeft w:val="0"/>
      <w:marRight w:val="0"/>
      <w:marTop w:val="0"/>
      <w:marBottom w:val="0"/>
      <w:divBdr>
        <w:top w:val="none" w:sz="0" w:space="0" w:color="auto"/>
        <w:left w:val="none" w:sz="0" w:space="0" w:color="auto"/>
        <w:bottom w:val="none" w:sz="0" w:space="0" w:color="auto"/>
        <w:right w:val="none" w:sz="0" w:space="0" w:color="auto"/>
      </w:divBdr>
    </w:div>
    <w:div w:id="19247584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yperlink" Target="http://kvalitet.himolde.no/KS_UNL409"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kvalitet.himolde.no/KS_UNL221" TargetMode="External"/><Relationship Id="rId2" Type="http://schemas.openxmlformats.org/officeDocument/2006/relationships/customXml" Target="../customXml/item2.xml"/><Relationship Id="rId16" Type="http://schemas.openxmlformats.org/officeDocument/2006/relationships/hyperlink" Target="http://kvalitet.himolde.no/KS_UNL114"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http://www.lovdata.no/all/nl-20050401-015.html" TargetMode="External"/><Relationship Id="rId10" Type="http://schemas.openxmlformats.org/officeDocument/2006/relationships/endnotes" Target="endnotes.xml"/><Relationship Id="rId19" Type="http://schemas.openxmlformats.org/officeDocument/2006/relationships/hyperlink" Target="http://www.himolde.no/biblioteket/Sider/Veiledning/Kilder-og-referanser.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 Id="rId22" Type="http://schemas.openxmlformats.org/officeDocument/2006/relationships/image" Target="media/image3.png"/><Relationship Id="rId23" Type="http://schemas.openxmlformats.org/officeDocument/2006/relationships/image" Target="media/image4.png"/><Relationship Id="rId24" Type="http://schemas.openxmlformats.org/officeDocument/2006/relationships/image" Target="media/image5.png"/><Relationship Id="rId25" Type="http://schemas.openxmlformats.org/officeDocument/2006/relationships/image" Target="media/image6.png"/><Relationship Id="rId26" Type="http://schemas.openxmlformats.org/officeDocument/2006/relationships/image" Target="media/image7.png"/><Relationship Id="rId27" Type="http://schemas.openxmlformats.org/officeDocument/2006/relationships/image" Target="media/image8.png"/><Relationship Id="rId28" Type="http://schemas.openxmlformats.org/officeDocument/2006/relationships/image" Target="media/image9.png"/><Relationship Id="rId29" Type="http://schemas.openxmlformats.org/officeDocument/2006/relationships/image" Target="media/image10.png"/><Relationship Id="rId30" Type="http://schemas.openxmlformats.org/officeDocument/2006/relationships/image" Target="media/image11.png"/><Relationship Id="rId31" Type="http://schemas.openxmlformats.org/officeDocument/2006/relationships/image" Target="media/image12.png"/><Relationship Id="rId32" Type="http://schemas.openxmlformats.org/officeDocument/2006/relationships/image" Target="media/image13.png"/><Relationship Id="rId33" Type="http://schemas.openxmlformats.org/officeDocument/2006/relationships/image" Target="media/image14.png"/><Relationship Id="rId34" Type="http://schemas.openxmlformats.org/officeDocument/2006/relationships/footer" Target="footer3.xml"/><Relationship Id="rId35" Type="http://schemas.openxmlformats.org/officeDocument/2006/relationships/footer" Target="footer4.xml"/><Relationship Id="rId36" Type="http://schemas.openxmlformats.org/officeDocument/2006/relationships/footer" Target="footer5.xml"/><Relationship Id="rId37" Type="http://schemas.openxmlformats.org/officeDocument/2006/relationships/footer" Target="footer6.xml"/><Relationship Id="rId38" Type="http://schemas.openxmlformats.org/officeDocument/2006/relationships/footer" Target="footer7.xml"/><Relationship Id="rId39" Type="http://schemas.openxmlformats.org/officeDocument/2006/relationships/footer" Target="footer8.xml"/><Relationship Id="rId40" Type="http://schemas.openxmlformats.org/officeDocument/2006/relationships/footer" Target="footer9.xml"/><Relationship Id="rId41" Type="http://schemas.openxmlformats.org/officeDocument/2006/relationships/footer" Target="footer10.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rr\AppData\Local\Temp\dokumentmal-studentoppgav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kument" ma:contentTypeID="0x010100EEC585885EB71F4DB0D9FB45E4A66F2C" ma:contentTypeVersion="3" ma:contentTypeDescription="Opprett et nytt dokument." ma:contentTypeScope="" ma:versionID="f382b6a2fd235f283bf5cecf5e56262d">
  <xsd:schema xmlns:xsd="http://www.w3.org/2001/XMLSchema" xmlns:xs="http://www.w3.org/2001/XMLSchema" xmlns:p="http://schemas.microsoft.com/office/2006/metadata/properties" xmlns:ns2="e2dd498c-680f-4fa4-b475-961296ca3ef1" targetNamespace="http://schemas.microsoft.com/office/2006/metadata/properties" ma:root="true" ma:fieldsID="c7bc32ed49db3fd258cd61b46b16d772" ns2:_="">
    <xsd:import namespace="e2dd498c-680f-4fa4-b475-961296ca3ef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dd498c-680f-4fa4-b475-961296ca3e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holdstype"/>
        <xsd:element ref="dc:title" minOccurs="0" maxOccurs="1" ma:index="4" ma:displayName="Tit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229464E-7FDA-4684-B3C1-D54AF7B00478}">
  <ds:schemaRefs>
    <ds:schemaRef ds:uri="http://schemas.openxmlformats.org/officeDocument/2006/bibliography"/>
  </ds:schemaRefs>
</ds:datastoreItem>
</file>

<file path=customXml/itemProps2.xml><?xml version="1.0" encoding="utf-8"?>
<ds:datastoreItem xmlns:ds="http://schemas.openxmlformats.org/officeDocument/2006/customXml" ds:itemID="{939C2472-C9A5-4659-BFF7-5F2DFDAB9F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2dd498c-680f-4fa4-b475-961296ca3e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B3CE95B-8845-44EA-894A-43AB4CE1AAB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2E0ADFCC-3591-4F93-934F-89209D1D4A0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dokumentmal-studentoppgaver.dotx</Template>
  <TotalTime>105</TotalTime>
  <Pages>17</Pages>
  <Words>2593</Words>
  <Characters>14470</Characters>
  <Application>Microsoft Office Word</Application>
  <DocSecurity>0</DocSecurity>
  <Lines>466</Lines>
  <Paragraphs>294</Paragraphs>
  <ScaleCrop>false</ScaleCrop>
  <HeadingPairs>
    <vt:vector size="2" baseType="variant">
      <vt:variant>
        <vt:lpstr>Title</vt:lpstr>
      </vt:variant>
      <vt:variant>
        <vt:i4>1</vt:i4>
      </vt:variant>
    </vt:vector>
  </HeadingPairs>
  <TitlesOfParts>
    <vt:vector size="1" baseType="lpstr">
      <vt:lpstr/>
    </vt:vector>
  </TitlesOfParts>
  <Company>HSM</Company>
  <LinksUpToDate>false</LinksUpToDate>
  <CharactersWithSpaces>16769</CharactersWithSpaces>
  <SharedDoc>false</SharedDoc>
  <HLinks>
    <vt:vector size="48" baseType="variant">
      <vt:variant>
        <vt:i4>1507382</vt:i4>
      </vt:variant>
      <vt:variant>
        <vt:i4>82</vt:i4>
      </vt:variant>
      <vt:variant>
        <vt:i4>0</vt:i4>
      </vt:variant>
      <vt:variant>
        <vt:i4>5</vt:i4>
      </vt:variant>
      <vt:variant>
        <vt:lpwstr/>
      </vt:variant>
      <vt:variant>
        <vt:lpwstr>_Toc330134669</vt:lpwstr>
      </vt:variant>
      <vt:variant>
        <vt:i4>1507382</vt:i4>
      </vt:variant>
      <vt:variant>
        <vt:i4>76</vt:i4>
      </vt:variant>
      <vt:variant>
        <vt:i4>0</vt:i4>
      </vt:variant>
      <vt:variant>
        <vt:i4>5</vt:i4>
      </vt:variant>
      <vt:variant>
        <vt:lpwstr/>
      </vt:variant>
      <vt:variant>
        <vt:lpwstr>_Toc330134668</vt:lpwstr>
      </vt:variant>
      <vt:variant>
        <vt:i4>1507382</vt:i4>
      </vt:variant>
      <vt:variant>
        <vt:i4>70</vt:i4>
      </vt:variant>
      <vt:variant>
        <vt:i4>0</vt:i4>
      </vt:variant>
      <vt:variant>
        <vt:i4>5</vt:i4>
      </vt:variant>
      <vt:variant>
        <vt:lpwstr/>
      </vt:variant>
      <vt:variant>
        <vt:lpwstr>_Toc330134667</vt:lpwstr>
      </vt:variant>
      <vt:variant>
        <vt:i4>6946925</vt:i4>
      </vt:variant>
      <vt:variant>
        <vt:i4>38</vt:i4>
      </vt:variant>
      <vt:variant>
        <vt:i4>0</vt:i4>
      </vt:variant>
      <vt:variant>
        <vt:i4>5</vt:i4>
      </vt:variant>
      <vt:variant>
        <vt:lpwstr>http://www.himolde.no/index.cfm/pageID/2428</vt:lpwstr>
      </vt:variant>
      <vt:variant>
        <vt:lpwstr/>
      </vt:variant>
      <vt:variant>
        <vt:i4>7798788</vt:i4>
      </vt:variant>
      <vt:variant>
        <vt:i4>33</vt:i4>
      </vt:variant>
      <vt:variant>
        <vt:i4>0</vt:i4>
      </vt:variant>
      <vt:variant>
        <vt:i4>5</vt:i4>
      </vt:variant>
      <vt:variant>
        <vt:lpwstr>http://kvalitet.himolde.no/KS_UNL409</vt:lpwstr>
      </vt:variant>
      <vt:variant>
        <vt:lpwstr/>
      </vt:variant>
      <vt:variant>
        <vt:i4>7929862</vt:i4>
      </vt:variant>
      <vt:variant>
        <vt:i4>28</vt:i4>
      </vt:variant>
      <vt:variant>
        <vt:i4>0</vt:i4>
      </vt:variant>
      <vt:variant>
        <vt:i4>5</vt:i4>
      </vt:variant>
      <vt:variant>
        <vt:lpwstr>http://kvalitet.himolde.no/KS_UNL221</vt:lpwstr>
      </vt:variant>
      <vt:variant>
        <vt:lpwstr/>
      </vt:variant>
      <vt:variant>
        <vt:i4>8323077</vt:i4>
      </vt:variant>
      <vt:variant>
        <vt:i4>23</vt:i4>
      </vt:variant>
      <vt:variant>
        <vt:i4>0</vt:i4>
      </vt:variant>
      <vt:variant>
        <vt:i4>5</vt:i4>
      </vt:variant>
      <vt:variant>
        <vt:lpwstr>http://kvalitet.himolde.no/KS_UNL114</vt:lpwstr>
      </vt:variant>
      <vt:variant>
        <vt:lpwstr/>
      </vt:variant>
      <vt:variant>
        <vt:i4>7798816</vt:i4>
      </vt:variant>
      <vt:variant>
        <vt:i4>20</vt:i4>
      </vt:variant>
      <vt:variant>
        <vt:i4>0</vt:i4>
      </vt:variant>
      <vt:variant>
        <vt:i4>5</vt:i4>
      </vt:variant>
      <vt:variant>
        <vt:lpwstr>http://www.lovdata.no/all/nl-20050401-015.html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perr</dc:creator>
  <cp:keywords/>
  <cp:lastModifiedBy>Rune Groedem</cp:lastModifiedBy>
  <cp:revision>17</cp:revision>
  <cp:lastPrinted>2026-02-13T12:13:00Z</cp:lastPrinted>
  <dcterms:created xsi:type="dcterms:W3CDTF">2023-01-12T08:52:00Z</dcterms:created>
  <dcterms:modified xsi:type="dcterms:W3CDTF">2026-02-18T09:05:00Z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0x010100EEC585885EB71F4DB0D9FB45E4A66F2C</vt:lpwstr>
  </property>
  <property fmtid="{D5CDD505-2E9C-101B-9397-08002B2CF9AE}" pid="3" name="MSIP_Label_ee59125d-3421-490c-8c49-713131ff88a1_Enabled">
    <vt:lpwstr>true</vt:lpwstr>
  </property>
  <property fmtid="{D5CDD505-2E9C-101B-9397-08002B2CF9AE}" pid="4" name="MSIP_Label_ee59125d-3421-490c-8c49-713131ff88a1_SetDate">
    <vt:lpwstr>2026-02-13T12:13:03Z</vt:lpwstr>
  </property>
  <property fmtid="{D5CDD505-2E9C-101B-9397-08002B2CF9AE}" pid="5" name="MSIP_Label_ee59125d-3421-490c-8c49-713131ff88a1_Method">
    <vt:lpwstr>Standard</vt:lpwstr>
  </property>
  <property fmtid="{D5CDD505-2E9C-101B-9397-08002B2CF9AE}" pid="6" name="MSIP_Label_ee59125d-3421-490c-8c49-713131ff88a1_Name">
    <vt:lpwstr>Yellow</vt:lpwstr>
  </property>
  <property fmtid="{D5CDD505-2E9C-101B-9397-08002B2CF9AE}" pid="7" name="MSIP_Label_ee59125d-3421-490c-8c49-713131ff88a1_SiteId">
    <vt:lpwstr>938c1eb0-9d08-484b-92b9-53f583bd08fb</vt:lpwstr>
  </property>
  <property fmtid="{D5CDD505-2E9C-101B-9397-08002B2CF9AE}" pid="8" name="MSIP_Label_ee59125d-3421-490c-8c49-713131ff88a1_ActionId">
    <vt:lpwstr>77c74624-6193-4bf8-95fa-39ba523a1708</vt:lpwstr>
  </property>
  <property fmtid="{D5CDD505-2E9C-101B-9397-08002B2CF9AE}" pid="9" name="MSIP_Label_ee59125d-3421-490c-8c49-713131ff88a1_ContentBits">
    <vt:lpwstr>0</vt:lpwstr>
  </property>
  <property fmtid="{D5CDD505-2E9C-101B-9397-08002B2CF9AE}" pid="10" name="MSIP_Label_ee59125d-3421-490c-8c49-713131ff88a1_Tag">
    <vt:lpwstr>10, 3, 0, 1</vt:lpwstr>
  </property>
</Properties>
</file>