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er kandidater for overføring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 Analysen avdekker samtidig at SAPs egen XYZ-klassifisering (ZZXYZ) kun samsvarer med beregnet klasse i 33 % av tilfellene — et funn som utfordrer antakelsen om at systemregistrerte klassifiseringer er tilstrekkelig grunnlag for HVFS-beslutninger, og som har umiddelbar operasjonell relevans for LIBRA-prosjektet.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Innholdsfortegnelse</w:t>
      </w:r>
    </w:p>
    <w:p>
      <w:pPr>
        <w:spacing w:line="360" w:lineRule="auto"/>
      </w:pPr>
      <w:r>
        <w:fldChar w:fldCharType="begin"/>
      </w:r>
      <w:r>
        <w:instrText xml:space="preserve"> TOC \o "1-3" \h \z \u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sz w:val="24"/>
        </w:rPr>
        <w:t>Figur 1. Konseptuelt rammeverk – fra SAP-data til HVFS-anbefaling</w:t>
      </w:r>
    </w:p>
    <w:p>
      <w:pPr>
        <w:spacing w:line="360" w:lineRule="auto"/>
      </w:pPr>
      <w:r>
        <w:rPr>
          <w:rFonts w:ascii="Times New Roman" w:hAnsi="Times New Roman"/>
          <w:sz w:val="24"/>
        </w:rPr>
        <w:t>Figur 2. Lagerstruktur – Helse Vest forsyningskjede (forenklet)</w:t>
      </w:r>
    </w:p>
    <w:p>
      <w:pPr>
        <w:spacing w:line="360" w:lineRule="auto"/>
      </w:pPr>
      <w:r>
        <w:rPr>
          <w:rFonts w:ascii="Times New Roman" w:hAnsi="Times New Roman"/>
          <w:sz w:val="24"/>
        </w:rPr>
        <w:t>Figur 3. Dataoversikt: fordeling av nøkkelvariabler for 709 artikler</w:t>
      </w:r>
    </w:p>
    <w:p>
      <w:pPr>
        <w:spacing w:line="360" w:lineRule="auto"/>
      </w:pPr>
      <w:r>
        <w:rPr>
          <w:rFonts w:ascii="Times New Roman" w:hAnsi="Times New Roman"/>
          <w:sz w:val="24"/>
        </w:rPr>
        <w:t>Figur 4. Analysepipeline: fra SAP-rådata til HVFS-anbefaling</w:t>
      </w:r>
    </w:p>
    <w:p>
      <w:pPr>
        <w:spacing w:line="360" w:lineRule="auto"/>
      </w:pPr>
      <w:r>
        <w:rPr>
          <w:rFonts w:ascii="Times New Roman" w:hAnsi="Times New Roman"/>
          <w:sz w:val="24"/>
        </w:rPr>
        <w:t>Figur 5. Regelmotor: sekvensiell beslutningsflyt for HVFS-anbefaling (R1–R8)</w:t>
      </w:r>
    </w:p>
    <w:p>
      <w:pPr>
        <w:spacing w:line="360" w:lineRule="auto"/>
      </w:pPr>
      <w:r>
        <w:rPr>
          <w:rFonts w:ascii="Times New Roman" w:hAnsi="Times New Roman"/>
          <w:sz w:val="24"/>
        </w:rPr>
        <w:t>Figur 6. ABC Pareto-kurve: kumulativ verdiandel for 709 artikler</w:t>
      </w:r>
    </w:p>
    <w:p>
      <w:pPr>
        <w:spacing w:line="360" w:lineRule="auto"/>
      </w:pPr>
      <w:r>
        <w:rPr>
          <w:rFonts w:ascii="Times New Roman" w:hAnsi="Times New Roman"/>
          <w:sz w:val="24"/>
        </w:rPr>
        <w:t>Figur 7. ABC/XYZ-kryssmatrise: antall artikler per kombinasjon (687 klassifiserte)</w:t>
      </w:r>
    </w:p>
    <w:p>
      <w:pPr>
        <w:spacing w:line="360" w:lineRule="auto"/>
      </w:pPr>
      <w:r>
        <w:rPr>
          <w:rFonts w:ascii="Times New Roman" w:hAnsi="Times New Roman"/>
          <w:sz w:val="24"/>
        </w:rPr>
        <w:t>Figur 8. EOQ-avvik: relativ frekvensavvik med terskel ved τ_f = 1,5</w:t>
      </w:r>
    </w:p>
    <w:p>
      <w:pPr>
        <w:spacing w:line="360" w:lineRule="auto"/>
      </w:pPr>
      <w:r>
        <w:rPr>
          <w:rFonts w:ascii="Times New Roman" w:hAnsi="Times New Roman"/>
          <w:sz w:val="24"/>
        </w:rPr>
        <w:t>Figur 9. Silhouette-score for K = 2–7 (treningsdata, n = 389)</w:t>
      </w:r>
    </w:p>
    <w:p>
      <w:pPr>
        <w:spacing w:line="360" w:lineRule="auto"/>
      </w:pPr>
      <w:r>
        <w:rPr>
          <w:rFonts w:ascii="Times New Roman" w:hAnsi="Times New Roman"/>
          <w:sz w:val="24"/>
        </w:rPr>
        <w:t>Figur 10. K-means klyngeresultat (K = 3): artikler plottet langs z(ln CV) og z(ln verdi), farge etter klynge</w:t>
      </w:r>
    </w:p>
    <w:p>
      <w:pPr>
        <w:spacing w:line="360" w:lineRule="auto"/>
      </w:pPr>
      <w:r>
        <w:rPr>
          <w:rFonts w:ascii="Times New Roman" w:hAnsi="Times New Roman"/>
          <w:sz w:val="24"/>
        </w:rPr>
        <w:t>Figur 11. Klyngeprofiler for K-means (K = 3): gjennomsnittlig z-score per feature</w:t>
      </w:r>
    </w:p>
    <w:p>
      <w:pPr>
        <w:spacing w:line="360" w:lineRule="auto"/>
      </w:pPr>
      <w:r>
        <w:rPr>
          <w:rFonts w:ascii="Times New Roman" w:hAnsi="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sz w:val="24"/>
        </w:rPr>
        <w:t>Tabell 1. Litteraturoversikt: sentrale kilder med tema og relevans</w:t>
      </w:r>
    </w:p>
    <w:p>
      <w:pPr>
        <w:spacing w:line="360" w:lineRule="auto"/>
      </w:pPr>
      <w:r>
        <w:rPr>
          <w:rFonts w:ascii="Times New Roman" w:hAnsi="Times New Roman"/>
          <w:sz w:val="24"/>
        </w:rPr>
        <w:t>Tabell 2. Sammenligning av analysemetoder brukt i oppgaven</w:t>
      </w:r>
    </w:p>
    <w:p>
      <w:pPr>
        <w:spacing w:line="360" w:lineRule="auto"/>
      </w:pPr>
      <w:r>
        <w:rPr>
          <w:rFonts w:ascii="Times New Roman" w:hAnsi="Times New Roman"/>
          <w:sz w:val="24"/>
        </w:rPr>
        <w:t>Tabell 3. Nøkkeltall for casevirksomheten Helse Bergen, WERKS 3300</w:t>
      </w:r>
    </w:p>
    <w:p>
      <w:pPr>
        <w:spacing w:line="360" w:lineRule="auto"/>
      </w:pPr>
      <w:r>
        <w:rPr>
          <w:rFonts w:ascii="Times New Roman" w:hAnsi="Times New Roman"/>
          <w:sz w:val="24"/>
        </w:rPr>
        <w:t>Tabell 4. Datagrunnlag: 14 SAP S/4HANA-tabeller hentet via SE16H</w:t>
      </w:r>
    </w:p>
    <w:p>
      <w:pPr>
        <w:spacing w:line="360" w:lineRule="auto"/>
      </w:pPr>
      <w:r>
        <w:rPr>
          <w:rFonts w:ascii="Times New Roman" w:hAnsi="Times New Roman"/>
          <w:sz w:val="24"/>
        </w:rPr>
        <w:t>Tabell 5. Datavalgsbeslutninger D-01–D-08 med begrunnelse</w:t>
      </w:r>
    </w:p>
    <w:p>
      <w:pPr>
        <w:spacing w:line="360" w:lineRule="auto"/>
      </w:pPr>
      <w:r>
        <w:rPr>
          <w:rFonts w:ascii="Times New Roman" w:hAnsi="Times New Roman"/>
          <w:sz w:val="24"/>
        </w:rPr>
        <w:t>Tabell 6. Modellparametere: ABC-klassifiseringsgrenser og analyseinnstillinger</w:t>
      </w:r>
    </w:p>
    <w:p>
      <w:pPr>
        <w:spacing w:line="360" w:lineRule="auto"/>
      </w:pPr>
      <w:r>
        <w:rPr>
          <w:rFonts w:ascii="Times New Roman" w:hAnsi="Times New Roman"/>
          <w:sz w:val="24"/>
        </w:rPr>
        <w:t>Tabell 7. Regelmotor: 8 beslutningsregler i prioritert rekkefølge</w:t>
      </w:r>
    </w:p>
    <w:p>
      <w:pPr>
        <w:spacing w:line="360" w:lineRule="auto"/>
      </w:pPr>
      <w:r>
        <w:rPr>
          <w:rFonts w:ascii="Times New Roman" w:hAnsi="Times New Roman"/>
          <w:sz w:val="24"/>
        </w:rPr>
        <w:t>Tabell 8. ABC-fordeling: antall artikler og verdiandel per klasse (n = 709)</w:t>
      </w:r>
    </w:p>
    <w:p>
      <w:pPr>
        <w:spacing w:line="360" w:lineRule="auto"/>
      </w:pPr>
      <w:r>
        <w:rPr>
          <w:rFonts w:ascii="Times New Roman" w:hAnsi="Times New Roman"/>
          <w:sz w:val="24"/>
        </w:rPr>
        <w:t>Tabell 9. XYZ-fordeling: antall artikler per klasse (n = 687)</w:t>
      </w:r>
    </w:p>
    <w:p>
      <w:pPr>
        <w:spacing w:line="360" w:lineRule="auto"/>
      </w:pPr>
      <w:r>
        <w:rPr>
          <w:rFonts w:ascii="Times New Roman" w:hAnsi="Times New Roman"/>
          <w:sz w:val="24"/>
        </w:rPr>
        <w:t>Tabell 10. SAP ZZXYZ-validering: samsvar mellom systemklasse og beregnet CV-klasse</w:t>
      </w:r>
    </w:p>
    <w:p>
      <w:pPr>
        <w:spacing w:line="360" w:lineRule="auto"/>
      </w:pPr>
      <w:r>
        <w:rPr>
          <w:rFonts w:ascii="Times New Roman" w:hAnsi="Times New Roman"/>
          <w:sz w:val="24"/>
        </w:rPr>
        <w:t>Tabell 11. EOQ-avviksresultater: fordeling etter ordrefrekvensavvik (n = 487)</w:t>
      </w:r>
    </w:p>
    <w:p>
      <w:pPr>
        <w:spacing w:line="360" w:lineRule="auto"/>
      </w:pPr>
      <w:r>
        <w:rPr>
          <w:rFonts w:ascii="Times New Roman" w:hAnsi="Times New Roman"/>
          <w:sz w:val="24"/>
        </w:rPr>
        <w:t>Tabell 12. K-means klyngeprofiler: gjennomsnittsverdier per klynge (K = 3)</w:t>
      </w:r>
    </w:p>
    <w:p>
      <w:pPr>
        <w:spacing w:line="360" w:lineRule="auto"/>
      </w:pPr>
      <w:r>
        <w:rPr>
          <w:rFonts w:ascii="Times New Roman" w:hAnsi="Times New Roman"/>
          <w:sz w:val="24"/>
        </w:rPr>
        <w:t>Tabell 13. HVFS-anbefalinger fra regelmotor: fordeling per kategori (n = 709)</w:t>
      </w:r>
    </w:p>
    <w:p>
      <w:pPr>
        <w:spacing w:line="360" w:lineRule="auto"/>
      </w:pPr>
      <w:r>
        <w:rPr>
          <w:rFonts w:ascii="Times New Roman" w:hAnsi="Times New Roman"/>
          <w:sz w:val="24"/>
        </w:rPr>
        <w:t>Tabell 14. Regelmotor R1–R8: antall artikler per regel (n = 709)</w:t>
      </w:r>
    </w:p>
    <w:p>
      <w:pPr>
        <w:spacing w:line="360" w:lineRule="auto"/>
      </w:pPr>
      <w:r>
        <w:rPr>
          <w:rFonts w:ascii="Times New Roman" w:hAnsi="Times New Roman"/>
          <w:sz w:val="24"/>
        </w:rPr>
        <w:t>Tabell 15. Besparelsesestimater for tre scenarier (117 artikler, S = 750 NOK)</w:t>
      </w:r>
    </w:p>
    <w:p>
      <w:pPr>
        <w:spacing w:line="360" w:lineRule="auto"/>
      </w:pPr>
      <w:r>
        <w:rPr>
          <w:rFonts w:ascii="Times New Roman" w:hAnsi="Times New Roman"/>
          <w:sz w:val="24"/>
        </w:rPr>
        <w:t>Tabell 16.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jc w:val="both"/>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materialhåndtering kan utgjøre en betydelig andel – i størrelsesorden 25–30 %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jc w:val="both"/>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jc w:val="both"/>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jc w:val="both"/>
      </w:pPr>
      <w:r>
        <w:rPr>
          <w:rFonts w:ascii="Times New Roman" w:hAnsi="Times New Roman" w:cs="Times New Roman"/>
          <w:sz w:val="24"/>
        </w:rPr>
        <w:t>Oppgaven besvarer følgende forskningsspørsmål:</w:t>
      </w:r>
    </w:p>
    <w:p>
      <w:pPr>
        <w:spacing w:line="360" w:lineRule="auto"/>
        <w:ind w:left="567"/>
        <w:jc w:val="both"/>
      </w:pPr>
      <w:r>
        <w:rPr>
          <w:rFonts w:ascii="Times New Roman" w:hAnsi="Times New Roman"/>
          <w:b/>
          <w:sz w:val="24"/>
        </w:rPr>
        <w:t>Hvordan kan multikriterieklassifisering og klyngeanalyse av SAP-transaksjonsdata identifisere hvilke artikler ved Helse Bergens forsyningslager (WERKS 3300, LGORT 3001) som er kandidater for overføring til Helse Vest Forsyningssenter, og hva er det estimerte besparelsespotensialet ved en slik overføring?</w:t>
      </w:r>
    </w:p>
    <w:p>
      <w:pPr>
        <w:spacing w:line="360" w:lineRule="auto"/>
        <w:jc w:val="both"/>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jc w:val="both"/>
      </w:pPr>
      <w:r>
        <w:rPr>
          <w:rFonts w:ascii="Times New Roman" w:hAnsi="Times New Roman" w:cs="Times New Roman"/>
          <w:sz w:val="24"/>
        </w:rPr>
        <w:t>Oppgaven avgrenses på følgende punkter, begrunnet faglig:</w:t>
      </w:r>
    </w:p>
    <w:p>
      <w:pPr>
        <w:spacing w:line="360" w:lineRule="auto"/>
        <w:jc w:val="both"/>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jc w:val="both"/>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jc w:val="both"/>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jc w:val="both"/>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jc w:val="both"/>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jc w:val="both"/>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jc w:val="both"/>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(Bijvank &amp; Vis, 2012; Kelle et al.,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jc w:val="both"/>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jc w:val="both"/>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jc w:val="both"/>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jc w:val="both"/>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jc w:val="both"/>
      </w:pPr>
      <w:r>
        <w:rPr>
          <w:rFonts w:ascii="Times New Roman" w:hAnsi="Times New Roman" w:cs="Times New Roman"/>
          <w:sz w:val="24"/>
        </w:rPr>
        <w:t>Forskning på lagerklassifisering i sykehus har økt i omfang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begrenset forskning som kobler klassifiseringsmetoder direkte til sentralisering av forsyningskjeden – noe denne oppgaven adresserer.</w:t>
      </w:r>
    </w:p>
    <w:p>
      <w:pPr>
        <w:spacing w:line="360" w:lineRule="auto"/>
        <w:jc w:val="both"/>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jc w:val="both"/>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jc w:val="both"/>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et utforskende element i oppgavens metoderammeverk.</w:t>
      </w:r>
    </w:p>
    <w:p>
      <w:pPr>
        <w:spacing w:line="360" w:lineRule="auto"/>
        <w:jc w:val="both"/>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jc w:val="both"/>
      </w:pPr>
      <w:r>
        <w:rPr>
          <w:rFonts w:ascii="Times New Roman" w:hAnsi="Times New Roman" w:cs="Times New Roman"/>
          <w:sz w:val="24"/>
        </w:rPr>
        <w:t>Et identifisert gap i litteraturen er den begrensede forekomsten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jc w:val="both"/>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b/>
          <w:sz w:val="20"/>
        </w:rPr>
        <w:t>Tabell 1</w:t>
      </w:r>
    </w:p>
    <w:p>
      <w:r>
        <w:rPr>
          <w:rFonts w:ascii="Times New Roman" w:hAnsi="Times New Roman"/>
          <w:i/>
          <w:sz w:val="20"/>
        </w:rPr>
        <w:t>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b w:val="0"/>
                <w:sz w:val="22"/>
              </w:rPr>
              <w:t>Bijvank &amp; Vis</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Lagerstyring ved brukssted i sykehus</w:t>
            </w:r>
          </w:p>
        </w:tc>
        <w:tc>
          <w:tcPr>
            <w:tcW w:type="dxa" w:w="2192"/>
          </w:tcPr>
          <w:p>
            <w:r/>
            <w:r>
              <w:rPr>
                <w:rFonts w:ascii="Times New Roman" w:hAnsi="Times New Roman"/>
                <w:b w:val="0"/>
                <w:sz w:val="22"/>
              </w:rPr>
              <w:t>Lost-sales-modell, forsyningssikkerhet</w:t>
            </w:r>
          </w:p>
        </w:tc>
      </w:tr>
      <w:tr>
        <w:tc>
          <w:tcPr>
            <w:tcW w:type="dxa" w:w="2192"/>
          </w:tcPr>
          <w:p>
            <w:r/>
            <w:r>
              <w:rPr>
                <w:rFonts w:ascii="Times New Roman" w:hAnsi="Times New Roman"/>
                <w:b w:val="0"/>
                <w:sz w:val="22"/>
              </w:rPr>
              <w:t>de Vries</w:t>
            </w:r>
          </w:p>
        </w:tc>
        <w:tc>
          <w:tcPr>
            <w:tcW w:type="dxa" w:w="2192"/>
          </w:tcPr>
          <w:p>
            <w:r/>
            <w:r>
              <w:rPr>
                <w:rFonts w:ascii="Times New Roman" w:hAnsi="Times New Roman"/>
                <w:b w:val="0"/>
                <w:sz w:val="22"/>
              </w:rPr>
              <w:t>2011</w:t>
            </w:r>
          </w:p>
        </w:tc>
        <w:tc>
          <w:tcPr>
            <w:tcW w:type="dxa" w:w="2192"/>
          </w:tcPr>
          <w:p>
            <w:r/>
            <w:r>
              <w:rPr>
                <w:rFonts w:ascii="Times New Roman" w:hAnsi="Times New Roman"/>
                <w:b w:val="0"/>
                <w:sz w:val="22"/>
              </w:rPr>
              <w:t>Interessentanalyse, lageromstilling i helse</w:t>
            </w:r>
          </w:p>
        </w:tc>
        <w:tc>
          <w:tcPr>
            <w:tcW w:type="dxa" w:w="2192"/>
          </w:tcPr>
          <w:p>
            <w:r/>
            <w:r>
              <w:rPr>
                <w:rFonts w:ascii="Times New Roman" w:hAnsi="Times New Roman"/>
                <w:b w:val="0"/>
                <w:sz w:val="22"/>
              </w:rPr>
              <w:t>Organisatoriske barrierer ved sentralisering</w:t>
            </w:r>
          </w:p>
        </w:tc>
      </w:tr>
      <w:tr>
        <w:tc>
          <w:tcPr>
            <w:tcW w:type="dxa" w:w="2192"/>
          </w:tcPr>
          <w:p>
            <w:r/>
            <w:r>
              <w:rPr>
                <w:rFonts w:ascii="Times New Roman" w:hAnsi="Times New Roman"/>
                <w:b w:val="0"/>
                <w:sz w:val="22"/>
              </w:rPr>
              <w:t>Fragapane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Forsyning til brukssted (APL)</w:t>
            </w:r>
          </w:p>
        </w:tc>
        <w:tc>
          <w:tcPr>
            <w:tcW w:type="dxa" w:w="2192"/>
          </w:tcPr>
          <w:p>
            <w:r/>
            <w:r>
              <w:rPr>
                <w:rFonts w:ascii="Times New Roman" w:hAnsi="Times New Roman"/>
                <w:b w:val="0"/>
                <w:sz w:val="22"/>
              </w:rPr>
              <w:t>APL-leveransemodell, sentraliseringskrav</w:t>
            </w:r>
          </w:p>
        </w:tc>
      </w:tr>
      <w:tr>
        <w:tc>
          <w:tcPr>
            <w:tcW w:type="dxa" w:w="2192"/>
          </w:tcPr>
          <w:p>
            <w:r/>
            <w:r>
              <w:rPr>
                <w:rFonts w:ascii="Times New Roman" w:hAnsi="Times New Roman"/>
                <w:b w:val="0"/>
                <w:sz w:val="22"/>
              </w:rPr>
              <w:t>Gupta et al.</w:t>
            </w:r>
          </w:p>
        </w:tc>
        <w:tc>
          <w:tcPr>
            <w:tcW w:type="dxa" w:w="2192"/>
          </w:tcPr>
          <w:p>
            <w:r/>
            <w:r>
              <w:rPr>
                <w:rFonts w:ascii="Times New Roman" w:hAnsi="Times New Roman"/>
                <w:b w:val="0"/>
                <w:sz w:val="22"/>
              </w:rPr>
              <w:t>2007</w:t>
            </w:r>
          </w:p>
        </w:tc>
        <w:tc>
          <w:tcPr>
            <w:tcW w:type="dxa" w:w="2192"/>
          </w:tcPr>
          <w:p>
            <w:r/>
            <w:r>
              <w:rPr>
                <w:rFonts w:ascii="Times New Roman" w:hAnsi="Times New Roman"/>
                <w:b w:val="0"/>
                <w:sz w:val="22"/>
              </w:rPr>
              <w:t>ABC- og VED-analyse, militærmedisinsk</w:t>
            </w:r>
          </w:p>
        </w:tc>
        <w:tc>
          <w:tcPr>
            <w:tcW w:type="dxa" w:w="2192"/>
          </w:tcPr>
          <w:p>
            <w:r/>
            <w:r>
              <w:rPr>
                <w:rFonts w:ascii="Times New Roman" w:hAnsi="Times New Roman"/>
                <w:b w:val="0"/>
                <w:sz w:val="22"/>
              </w:rPr>
              <w:t>ABC i sykehuskontekst med SAP-data</w:t>
            </w:r>
          </w:p>
        </w:tc>
      </w:tr>
      <w:tr>
        <w:tc>
          <w:tcPr>
            <w:tcW w:type="dxa" w:w="2192"/>
          </w:tcPr>
          <w:p>
            <w:r/>
            <w:r>
              <w:rPr>
                <w:rFonts w:ascii="Times New Roman" w:hAnsi="Times New Roman"/>
                <w:b w:val="0"/>
                <w:sz w:val="22"/>
              </w:rPr>
              <w:t>Gurumurthy et al.</w:t>
            </w:r>
          </w:p>
        </w:tc>
        <w:tc>
          <w:tcPr>
            <w:tcW w:type="dxa" w:w="2192"/>
          </w:tcPr>
          <w:p>
            <w:r/>
            <w:r>
              <w:rPr>
                <w:rFonts w:ascii="Times New Roman" w:hAnsi="Times New Roman"/>
                <w:b w:val="0"/>
                <w:sz w:val="22"/>
              </w:rPr>
              <w:t>2021</w:t>
            </w:r>
          </w:p>
        </w:tc>
        <w:tc>
          <w:tcPr>
            <w:tcW w:type="dxa" w:w="2192"/>
          </w:tcPr>
          <w:p>
            <w:r/>
            <w:r>
              <w:rPr>
                <w:rFonts w:ascii="Times New Roman" w:hAnsi="Times New Roman"/>
                <w:b w:val="0"/>
                <w:sz w:val="22"/>
              </w:rPr>
              <w:t>Hybrid lagerklassifisering, lean i sykehus</w:t>
            </w:r>
          </w:p>
        </w:tc>
        <w:tc>
          <w:tcPr>
            <w:tcW w:type="dxa" w:w="2192"/>
          </w:tcPr>
          <w:p>
            <w:r/>
            <w:r>
              <w:rPr>
                <w:rFonts w:ascii="Times New Roman" w:hAnsi="Times New Roman"/>
                <w:b w:val="0"/>
                <w:sz w:val="22"/>
              </w:rPr>
              <w:t>K-means i sykehuslogistikk</w:t>
            </w:r>
          </w:p>
        </w:tc>
      </w:tr>
      <w:tr>
        <w:tc>
          <w:tcPr>
            <w:tcW w:type="dxa" w:w="2192"/>
          </w:tcPr>
          <w:p>
            <w:r/>
            <w:r>
              <w:rPr>
                <w:rFonts w:ascii="Times New Roman" w:hAnsi="Times New Roman"/>
                <w:b w:val="0"/>
                <w:sz w:val="22"/>
              </w:rPr>
              <w:t>Hautaniemi &amp; Pirttilä</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Påfyllingspolicyer i MRP-miljø</w:t>
            </w:r>
          </w:p>
        </w:tc>
        <w:tc>
          <w:tcPr>
            <w:tcW w:type="dxa" w:w="2192"/>
          </w:tcPr>
          <w:p>
            <w:r/>
            <w:r>
              <w:rPr>
                <w:rFonts w:ascii="Times New Roman" w:hAnsi="Times New Roman"/>
                <w:b w:val="0"/>
                <w:sz w:val="22"/>
              </w:rPr>
              <w:t>EOQ-forutsetninger, lot sizing</w:t>
            </w:r>
          </w:p>
        </w:tc>
      </w:tr>
      <w:tr>
        <w:tc>
          <w:tcPr>
            <w:tcW w:type="dxa" w:w="2192"/>
          </w:tcPr>
          <w:p>
            <w:r/>
            <w:r>
              <w:rPr>
                <w:rFonts w:ascii="Times New Roman" w:hAnsi="Times New Roman"/>
                <w:b w:val="0"/>
                <w:sz w:val="22"/>
              </w:rPr>
              <w:t>Kelle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Farmasøytisk forsyningskjede, sykehus</w:t>
            </w:r>
          </w:p>
        </w:tc>
        <w:tc>
          <w:tcPr>
            <w:tcW w:type="dxa" w:w="2192"/>
          </w:tcPr>
          <w:p>
            <w:r/>
            <w:r>
              <w:rPr>
                <w:rFonts w:ascii="Times New Roman" w:hAnsi="Times New Roman"/>
                <w:b w:val="0"/>
                <w:sz w:val="22"/>
              </w:rPr>
              <w:t>Ordrekostnad S, sykehusinnkjøp</w:t>
            </w:r>
          </w:p>
        </w:tc>
      </w:tr>
      <w:tr>
        <w:tc>
          <w:tcPr>
            <w:tcW w:type="dxa" w:w="2192"/>
          </w:tcPr>
          <w:p>
            <w:r/>
            <w:r>
              <w:rPr>
                <w:rFonts w:ascii="Times New Roman" w:hAnsi="Times New Roman"/>
                <w:b w:val="0"/>
                <w:sz w:val="22"/>
              </w:rPr>
              <w:t>Keshavarz Ghorabaee et al.</w:t>
            </w:r>
          </w:p>
        </w:tc>
        <w:tc>
          <w:tcPr>
            <w:tcW w:type="dxa" w:w="2192"/>
          </w:tcPr>
          <w:p>
            <w:r/>
            <w:r>
              <w:rPr>
                <w:rFonts w:ascii="Times New Roman" w:hAnsi="Times New Roman"/>
                <w:b w:val="0"/>
                <w:sz w:val="22"/>
              </w:rPr>
              <w:t>2015</w:t>
            </w:r>
          </w:p>
        </w:tc>
        <w:tc>
          <w:tcPr>
            <w:tcW w:type="dxa" w:w="2192"/>
          </w:tcPr>
          <w:p>
            <w:r/>
            <w:r>
              <w:rPr>
                <w:rFonts w:ascii="Times New Roman" w:hAnsi="Times New Roman"/>
                <w:b w:val="0"/>
                <w:sz w:val="22"/>
              </w:rPr>
              <w:t>EDAS flerkriterieklassifisering</w:t>
            </w:r>
          </w:p>
        </w:tc>
        <w:tc>
          <w:tcPr>
            <w:tcW w:type="dxa" w:w="2192"/>
          </w:tcPr>
          <w:p>
            <w:r/>
            <w:r>
              <w:rPr>
                <w:rFonts w:ascii="Times New Roman" w:hAnsi="Times New Roman"/>
                <w:b w:val="0"/>
                <w:sz w:val="22"/>
              </w:rPr>
              <w:t>Alternativ til ABC, avstandsmetode</w:t>
            </w:r>
          </w:p>
        </w:tc>
      </w:tr>
      <w:tr>
        <w:tc>
          <w:tcPr>
            <w:tcW w:type="dxa" w:w="2192"/>
          </w:tcPr>
          <w:p>
            <w:r/>
            <w:r>
              <w:rPr>
                <w:rFonts w:ascii="Times New Roman" w:hAnsi="Times New Roman"/>
                <w:b w:val="0"/>
                <w:sz w:val="22"/>
              </w:rPr>
              <w:t>Ketkar &amp; Vaidya</w:t>
            </w:r>
          </w:p>
        </w:tc>
        <w:tc>
          <w:tcPr>
            <w:tcW w:type="dxa" w:w="2192"/>
          </w:tcPr>
          <w:p>
            <w:r/>
            <w:r>
              <w:rPr>
                <w:rFonts w:ascii="Times New Roman" w:hAnsi="Times New Roman"/>
                <w:b w:val="0"/>
                <w:sz w:val="22"/>
              </w:rPr>
              <w:t>2014</w:t>
            </w:r>
          </w:p>
        </w:tc>
        <w:tc>
          <w:tcPr>
            <w:tcW w:type="dxa" w:w="2192"/>
          </w:tcPr>
          <w:p>
            <w:r/>
            <w:r>
              <w:rPr>
                <w:rFonts w:ascii="Times New Roman" w:hAnsi="Times New Roman"/>
                <w:b w:val="0"/>
                <w:sz w:val="22"/>
              </w:rPr>
              <w:t>Bestillingspolicy, flerklassifisering</w:t>
            </w:r>
          </w:p>
        </w:tc>
        <w:tc>
          <w:tcPr>
            <w:tcW w:type="dxa" w:w="2192"/>
          </w:tcPr>
          <w:p>
            <w:r/>
            <w:r>
              <w:rPr>
                <w:rFonts w:ascii="Times New Roman" w:hAnsi="Times New Roman"/>
                <w:b w:val="0"/>
                <w:sz w:val="22"/>
              </w:rPr>
              <w:t>Holdesats h = 20 %, ABC/XYZ-kombinasjon</w:t>
            </w:r>
          </w:p>
        </w:tc>
      </w:tr>
      <w:tr>
        <w:tc>
          <w:tcPr>
            <w:tcW w:type="dxa" w:w="2192"/>
          </w:tcPr>
          <w:p>
            <w:r/>
            <w:r>
              <w:rPr>
                <w:rFonts w:ascii="Times New Roman" w:hAnsi="Times New Roman"/>
                <w:b w:val="0"/>
                <w:sz w:val="22"/>
              </w:rPr>
              <w:t>Moons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Ytelsesmåling, intern sykehusforsyning</w:t>
            </w:r>
          </w:p>
        </w:tc>
        <w:tc>
          <w:tcPr>
            <w:tcW w:type="dxa" w:w="2192"/>
          </w:tcPr>
          <w:p>
            <w:r/>
            <w:r>
              <w:rPr>
                <w:rFonts w:ascii="Times New Roman" w:hAnsi="Times New Roman"/>
                <w:b w:val="0"/>
                <w:sz w:val="22"/>
              </w:rPr>
              <w:t>Flerkriteriebaserte ytelsesmål</w:t>
            </w:r>
          </w:p>
        </w:tc>
      </w:tr>
      <w:tr>
        <w:tc>
          <w:tcPr>
            <w:tcW w:type="dxa" w:w="2192"/>
          </w:tcPr>
          <w:p>
            <w:r/>
            <w:r>
              <w:rPr>
                <w:rFonts w:ascii="Times New Roman" w:hAnsi="Times New Roman"/>
                <w:b w:val="0"/>
                <w:sz w:val="22"/>
              </w:rPr>
              <w:t>Nowotyńska</w:t>
            </w:r>
          </w:p>
        </w:tc>
        <w:tc>
          <w:tcPr>
            <w:tcW w:type="dxa" w:w="2192"/>
          </w:tcPr>
          <w:p>
            <w:r/>
            <w:r>
              <w:rPr>
                <w:rFonts w:ascii="Times New Roman" w:hAnsi="Times New Roman"/>
                <w:b w:val="0"/>
                <w:sz w:val="22"/>
              </w:rPr>
              <w:t>2013</w:t>
            </w:r>
          </w:p>
        </w:tc>
        <w:tc>
          <w:tcPr>
            <w:tcW w:type="dxa" w:w="2192"/>
          </w:tcPr>
          <w:p>
            <w:r/>
            <w:r>
              <w:rPr>
                <w:rFonts w:ascii="Times New Roman" w:hAnsi="Times New Roman"/>
                <w:b w:val="0"/>
                <w:sz w:val="22"/>
              </w:rPr>
              <w:t>XYZ-analyse, lagerstyring</w:t>
            </w:r>
          </w:p>
        </w:tc>
        <w:tc>
          <w:tcPr>
            <w:tcW w:type="dxa" w:w="2192"/>
          </w:tcPr>
          <w:p>
            <w:r/>
            <w:r>
              <w:rPr>
                <w:rFonts w:ascii="Times New Roman" w:hAnsi="Times New Roman"/>
                <w:b w:val="0"/>
                <w:sz w:val="22"/>
              </w:rPr>
              <w:t>CV-grenser X/Y/Z, metodegrunnlag</w:t>
            </w:r>
          </w:p>
        </w:tc>
      </w:tr>
      <w:tr>
        <w:tc>
          <w:tcPr>
            <w:tcW w:type="dxa" w:w="2192"/>
          </w:tcPr>
          <w:p>
            <w:r/>
            <w:r>
              <w:rPr>
                <w:rFonts w:ascii="Times New Roman" w:hAnsi="Times New Roman"/>
                <w:b w:val="0"/>
                <w:sz w:val="22"/>
              </w:rPr>
              <w:t>Pujawan</w:t>
            </w:r>
          </w:p>
        </w:tc>
        <w:tc>
          <w:tcPr>
            <w:tcW w:type="dxa" w:w="2192"/>
          </w:tcPr>
          <w:p>
            <w:r/>
            <w:r>
              <w:rPr>
                <w:rFonts w:ascii="Times New Roman" w:hAnsi="Times New Roman"/>
                <w:b w:val="0"/>
                <w:sz w:val="22"/>
              </w:rPr>
              <w:t>2004</w:t>
            </w:r>
          </w:p>
        </w:tc>
        <w:tc>
          <w:tcPr>
            <w:tcW w:type="dxa" w:w="2192"/>
          </w:tcPr>
          <w:p>
            <w:r/>
            <w:r>
              <w:rPr>
                <w:rFonts w:ascii="Times New Roman" w:hAnsi="Times New Roman"/>
                <w:b w:val="0"/>
                <w:sz w:val="22"/>
              </w:rPr>
              <w:t>Lot sizing, ordrevariabilitet</w:t>
            </w:r>
          </w:p>
        </w:tc>
        <w:tc>
          <w:tcPr>
            <w:tcW w:type="dxa" w:w="2192"/>
          </w:tcPr>
          <w:p>
            <w:r/>
            <w:r>
              <w:rPr>
                <w:rFonts w:ascii="Times New Roman" w:hAnsi="Times New Roman"/>
                <w:b w:val="0"/>
                <w:sz w:val="22"/>
              </w:rPr>
              <w:t>Bullwhip-effekt, EOQ-relevans</w:t>
            </w:r>
          </w:p>
        </w:tc>
      </w:tr>
      <w:tr>
        <w:tc>
          <w:tcPr>
            <w:tcW w:type="dxa" w:w="2192"/>
          </w:tcPr>
          <w:p>
            <w:r/>
            <w:r>
              <w:rPr>
                <w:rFonts w:ascii="Times New Roman" w:hAnsi="Times New Roman"/>
                <w:b w:val="0"/>
                <w:sz w:val="22"/>
              </w:rPr>
              <w:t>Saha &amp; Ray</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Lagermodeller i helsesektoren (review, 137 art.)</w:t>
            </w:r>
          </w:p>
        </w:tc>
        <w:tc>
          <w:tcPr>
            <w:tcW w:type="dxa" w:w="2192"/>
          </w:tcPr>
          <w:p>
            <w:r/>
            <w:r>
              <w:rPr>
                <w:rFonts w:ascii="Times New Roman" w:hAnsi="Times New Roman"/>
                <w:b w:val="0"/>
                <w:sz w:val="22"/>
              </w:rPr>
              <w:t>Gap: empiriske SAP-casestudier mangler</w:t>
            </w:r>
          </w:p>
        </w:tc>
      </w:tr>
      <w:tr>
        <w:tc>
          <w:tcPr>
            <w:tcW w:type="dxa" w:w="2192"/>
          </w:tcPr>
          <w:p>
            <w:r/>
            <w:r>
              <w:rPr>
                <w:rFonts w:ascii="Times New Roman" w:hAnsi="Times New Roman"/>
                <w:b w:val="0"/>
                <w:sz w:val="22"/>
              </w:rPr>
              <w:t>Silaen et al.</w:t>
            </w:r>
          </w:p>
        </w:tc>
        <w:tc>
          <w:tcPr>
            <w:tcW w:type="dxa" w:w="2192"/>
          </w:tcPr>
          <w:p>
            <w:r/>
            <w:r>
              <w:rPr>
                <w:rFonts w:ascii="Times New Roman" w:hAnsi="Times New Roman"/>
                <w:b w:val="0"/>
                <w:sz w:val="22"/>
              </w:rPr>
              <w:t>2023</w:t>
            </w:r>
          </w:p>
        </w:tc>
        <w:tc>
          <w:tcPr>
            <w:tcW w:type="dxa" w:w="2192"/>
          </w:tcPr>
          <w:p>
            <w:r/>
            <w:r>
              <w:rPr>
                <w:rFonts w:ascii="Times New Roman" w:hAnsi="Times New Roman"/>
                <w:b w:val="0"/>
                <w:sz w:val="22"/>
              </w:rPr>
              <w:t>ABC-analyse, implementering</w:t>
            </w:r>
          </w:p>
        </w:tc>
        <w:tc>
          <w:tcPr>
            <w:tcW w:type="dxa" w:w="2192"/>
          </w:tcPr>
          <w:p>
            <w:r/>
            <w:r>
              <w:rPr>
                <w:rFonts w:ascii="Times New Roman" w:hAnsi="Times New Roman"/>
                <w:b w:val="0"/>
                <w:sz w:val="22"/>
              </w:rPr>
              <w:t>ABC-grenser 80/95 %, Pareto-prinsippet</w:t>
            </w:r>
          </w:p>
        </w:tc>
      </w:tr>
      <w:tr>
        <w:tc>
          <w:tcPr>
            <w:tcW w:type="dxa" w:w="2192"/>
          </w:tcPr>
          <w:p>
            <w:r/>
            <w:r>
              <w:rPr>
                <w:rFonts w:ascii="Times New Roman" w:hAnsi="Times New Roman"/>
                <w:b w:val="0"/>
                <w:sz w:val="22"/>
              </w:rPr>
              <w:t>Srinivasan &amp; Moon</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Klyngeanalyse, forsyningskjedenettverk</w:t>
            </w:r>
          </w:p>
        </w:tc>
        <w:tc>
          <w:tcPr>
            <w:tcW w:type="dxa" w:w="2192"/>
          </w:tcPr>
          <w:p>
            <w:r/>
            <w:r>
              <w:rPr>
                <w:rFonts w:ascii="Times New Roman" w:hAnsi="Times New Roman"/>
                <w:b w:val="0"/>
                <w:sz w:val="22"/>
              </w:rPr>
              <w:t>K-means i SCM, nær-optimale løsninger</w:t>
            </w:r>
          </w:p>
        </w:tc>
      </w:tr>
      <w:tr>
        <w:tc>
          <w:tcPr>
            <w:tcW w:type="dxa" w:w="2192"/>
          </w:tcPr>
          <w:p>
            <w:r/>
            <w:r>
              <w:rPr>
                <w:rFonts w:ascii="Times New Roman" w:hAnsi="Times New Roman"/>
                <w:b w:val="0"/>
                <w:sz w:val="22"/>
              </w:rPr>
              <w:t>Suryaputri et al.</w:t>
            </w:r>
          </w:p>
        </w:tc>
        <w:tc>
          <w:tcPr>
            <w:tcW w:type="dxa" w:w="2192"/>
          </w:tcPr>
          <w:p>
            <w:r/>
            <w:r>
              <w:rPr>
                <w:rFonts w:ascii="Times New Roman" w:hAnsi="Times New Roman"/>
                <w:b w:val="0"/>
                <w:sz w:val="22"/>
              </w:rPr>
              <w:t>2022</w:t>
            </w:r>
          </w:p>
        </w:tc>
        <w:tc>
          <w:tcPr>
            <w:tcW w:type="dxa" w:w="2192"/>
          </w:tcPr>
          <w:p>
            <w:r/>
            <w:r>
              <w:rPr>
                <w:rFonts w:ascii="Times New Roman" w:hAnsi="Times New Roman"/>
                <w:b w:val="0"/>
                <w:sz w:val="22"/>
              </w:rPr>
              <w:t>ABC-XYZ-integrasjon, helseindustri</w:t>
            </w:r>
          </w:p>
        </w:tc>
        <w:tc>
          <w:tcPr>
            <w:tcW w:type="dxa" w:w="2192"/>
          </w:tcPr>
          <w:p>
            <w:r/>
            <w:r>
              <w:rPr>
                <w:rFonts w:ascii="Times New Roman" w:hAnsi="Times New Roman"/>
                <w:b w:val="0"/>
                <w:sz w:val="22"/>
              </w:rPr>
              <w:t>ABC/XYZ-matrise, bestillingspolicy</w:t>
            </w:r>
          </w:p>
        </w:tc>
      </w:tr>
      <w:tr>
        <w:tc>
          <w:tcPr>
            <w:tcW w:type="dxa" w:w="2192"/>
          </w:tcPr>
          <w:p>
            <w:r/>
            <w:r>
              <w:rPr>
                <w:rFonts w:ascii="Times New Roman" w:hAnsi="Times New Roman"/>
                <w:b w:val="0"/>
                <w:sz w:val="22"/>
              </w:rPr>
              <w:t>van Kampen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SKU-klassifiseringsrammeverk</w:t>
            </w:r>
          </w:p>
        </w:tc>
        <w:tc>
          <w:tcPr>
            <w:tcW w:type="dxa" w:w="2192"/>
          </w:tcPr>
          <w:p>
            <w:r/>
            <w:r>
              <w:rPr>
                <w:rFonts w:ascii="Times New Roman" w:hAnsi="Times New Roman"/>
                <w:b w:val="0"/>
                <w:sz w:val="22"/>
              </w:rPr>
              <w:t>Tre hoveddimensjoner, posisjonering</w:t>
            </w:r>
          </w:p>
        </w:tc>
      </w:tr>
      <w:tr>
        <w:tc>
          <w:tcPr>
            <w:tcW w:type="dxa" w:w="2192"/>
          </w:tcPr>
          <w:p>
            <w:r/>
            <w:r>
              <w:rPr>
                <w:rFonts w:ascii="Times New Roman" w:hAnsi="Times New Roman"/>
                <w:b w:val="0"/>
                <w:sz w:val="22"/>
              </w:rPr>
              <w:t>Volland et al.</w:t>
            </w:r>
          </w:p>
        </w:tc>
        <w:tc>
          <w:tcPr>
            <w:tcW w:type="dxa" w:w="2192"/>
          </w:tcPr>
          <w:p>
            <w:r/>
            <w:r>
              <w:rPr>
                <w:rFonts w:ascii="Times New Roman" w:hAnsi="Times New Roman"/>
                <w:b w:val="0"/>
                <w:sz w:val="22"/>
              </w:rPr>
              <w:t>2017</w:t>
            </w:r>
          </w:p>
        </w:tc>
        <w:tc>
          <w:tcPr>
            <w:tcW w:type="dxa" w:w="2192"/>
          </w:tcPr>
          <w:p>
            <w:r/>
            <w:r>
              <w:rPr>
                <w:rFonts w:ascii="Times New Roman" w:hAnsi="Times New Roman"/>
                <w:b w:val="0"/>
                <w:sz w:val="22"/>
              </w:rPr>
              <w:t>Materiallogistikk i sykehus (review, 145 pub.)</w:t>
            </w:r>
          </w:p>
        </w:tc>
        <w:tc>
          <w:tcPr>
            <w:tcW w:type="dxa" w:w="2192"/>
          </w:tcPr>
          <w:p>
            <w:r/>
            <w:r>
              <w:rPr>
                <w:rFonts w:ascii="Times New Roman" w:hAnsi="Times New Roman"/>
                <w:b w:val="0"/>
                <w:sz w:val="22"/>
              </w:rPr>
              <w:t>Lagerstyring dominerer, 30–40 % av drift</w:t>
            </w:r>
          </w:p>
        </w:tc>
      </w:tr>
    </w:tbl>
    <w:p>
      <w:pPr>
        <w:pStyle w:val="Overskrift2"/>
      </w:pPr>
      <w:r>
        <w:rPr>
          <w:rFonts w:ascii="Times New Roman" w:hAnsi="Times New Roman"/>
          <w:color w:val="000000"/>
          <w:sz w:val="32"/>
        </w:rPr>
        <w:t>2.2 ABC-analyse</w:t>
      </w:r>
    </w:p>
    <w:p>
      <w:pPr>
        <w:spacing w:line="360" w:lineRule="auto"/>
        <w:jc w:val="both"/>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jc w:val="both"/>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jc w:val="both"/>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jc w:val="both"/>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jc w:val="both"/>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jc w:val="both"/>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jc w:val="both"/>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(Rousseeuw, 1987), der verdier over 0,3 regnes som akseptable for eksplorativ analyse (Ketkar &amp; Vaidya, 2014). Log-transformasjon og z-score-standardisering sikrer at variabler med ulik skala bidrar likeverdig til distanseberegningene; den tekniske spesifikasjonen er gitt i kapittel 5.</w:t>
      </w:r>
    </w:p>
    <w:p>
      <w:pPr>
        <w:spacing w:line="360" w:lineRule="auto"/>
        <w:jc w:val="both"/>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jc w:val="both"/>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jc w:val="both"/>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jc w:val="both"/>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b/>
          <w:sz w:val="20"/>
        </w:rPr>
        <w:t>Tabell 2</w:t>
      </w:r>
    </w:p>
    <w:p>
      <w:r>
        <w:rPr>
          <w:rFonts w:ascii="Times New Roman" w:hAnsi="Times New Roman"/>
          <w:i/>
          <w:sz w:val="20"/>
        </w:rPr>
        <w:t>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ABC-analyse</w:t>
            </w:r>
          </w:p>
        </w:tc>
        <w:tc>
          <w:tcPr>
            <w:tcW w:type="dxa" w:w="1754"/>
          </w:tcPr>
          <w:p>
            <w:r/>
            <w:r>
              <w:rPr>
                <w:rFonts w:ascii="Times New Roman" w:hAnsi="Times New Roman"/>
                <w:b w:val="0"/>
                <w:sz w:val="22"/>
              </w:rPr>
              <w:t>Enkel, transparent, bred støtte i litteraturen</w:t>
            </w:r>
          </w:p>
        </w:tc>
        <w:tc>
          <w:tcPr>
            <w:tcW w:type="dxa" w:w="1754"/>
          </w:tcPr>
          <w:p>
            <w:r/>
            <w:r>
              <w:rPr>
                <w:rFonts w:ascii="Times New Roman" w:hAnsi="Times New Roman"/>
                <w:b w:val="0"/>
                <w:sz w:val="22"/>
              </w:rPr>
              <w:t>Ignorerer etterspørselsvariabilitet og kritikalitet</w:t>
            </w:r>
          </w:p>
        </w:tc>
        <w:tc>
          <w:tcPr>
            <w:tcW w:type="dxa" w:w="1754"/>
          </w:tcPr>
          <w:p>
            <w:r/>
            <w:r>
              <w:rPr>
                <w:rFonts w:ascii="Times New Roman" w:hAnsi="Times New Roman"/>
                <w:b w:val="0"/>
                <w:sz w:val="22"/>
              </w:rPr>
              <w:t>Kjent årsverdi per artikkel</w:t>
            </w:r>
          </w:p>
        </w:tc>
        <w:tc>
          <w:tcPr>
            <w:tcW w:type="dxa" w:w="1754"/>
          </w:tcPr>
          <w:p>
            <w:r/>
            <w:r>
              <w:rPr>
                <w:rFonts w:ascii="Times New Roman" w:hAnsi="Times New Roman"/>
                <w:b w:val="0"/>
                <w:sz w:val="22"/>
              </w:rPr>
              <w:t>Silaen et al. (2023)</w:t>
            </w:r>
          </w:p>
        </w:tc>
      </w:tr>
      <w:tr>
        <w:tc>
          <w:tcPr>
            <w:tcW w:type="dxa" w:w="1754"/>
          </w:tcPr>
          <w:p>
            <w:r/>
            <w:r>
              <w:rPr>
                <w:rFonts w:ascii="Times New Roman" w:hAnsi="Times New Roman"/>
                <w:b w:val="0"/>
                <w:sz w:val="22"/>
              </w:rPr>
              <w:t>XYZ-klassifisering</w:t>
            </w:r>
          </w:p>
        </w:tc>
        <w:tc>
          <w:tcPr>
            <w:tcW w:type="dxa" w:w="1754"/>
          </w:tcPr>
          <w:p>
            <w:r/>
            <w:r>
              <w:rPr>
                <w:rFonts w:ascii="Times New Roman" w:hAnsi="Times New Roman"/>
                <w:b w:val="0"/>
                <w:sz w:val="22"/>
              </w:rPr>
              <w:t>Fanger variabilitet i etterspørsel over tid</w:t>
            </w:r>
          </w:p>
        </w:tc>
        <w:tc>
          <w:tcPr>
            <w:tcW w:type="dxa" w:w="1754"/>
          </w:tcPr>
          <w:p>
            <w:r/>
            <w:r>
              <w:rPr>
                <w:rFonts w:ascii="Times New Roman" w:hAnsi="Times New Roman"/>
                <w:b w:val="0"/>
                <w:sz w:val="22"/>
              </w:rPr>
              <w:t>Krever tilstrekkelig transaksjonshistorikk</w:t>
            </w:r>
          </w:p>
        </w:tc>
        <w:tc>
          <w:tcPr>
            <w:tcW w:type="dxa" w:w="1754"/>
          </w:tcPr>
          <w:p>
            <w:r/>
            <w:r>
              <w:rPr>
                <w:rFonts w:ascii="Times New Roman" w:hAnsi="Times New Roman"/>
                <w:b w:val="0"/>
                <w:sz w:val="22"/>
              </w:rPr>
              <w:t>Månedlige forbruksdata tilgjengelig</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EOQ (Wilson)</w:t>
            </w:r>
          </w:p>
        </w:tc>
        <w:tc>
          <w:tcPr>
            <w:tcW w:type="dxa" w:w="1754"/>
          </w:tcPr>
          <w:p>
            <w:r/>
            <w:r>
              <w:rPr>
                <w:rFonts w:ascii="Times New Roman" w:hAnsi="Times New Roman"/>
                <w:b w:val="0"/>
                <w:sz w:val="22"/>
              </w:rPr>
              <w:t>Analytisk optimal ordrekvantum, kvantifiserbart avvik</w:t>
            </w:r>
          </w:p>
        </w:tc>
        <w:tc>
          <w:tcPr>
            <w:tcW w:type="dxa" w:w="1754"/>
          </w:tcPr>
          <w:p>
            <w:r/>
            <w:r>
              <w:rPr>
                <w:rFonts w:ascii="Times New Roman" w:hAnsi="Times New Roman"/>
                <w:b w:val="0"/>
                <w:sz w:val="22"/>
              </w:rPr>
              <w:t>Sensitiv for S og H; antar konstant etterspørsel</w:t>
            </w:r>
          </w:p>
        </w:tc>
        <w:tc>
          <w:tcPr>
            <w:tcW w:type="dxa" w:w="1754"/>
          </w:tcPr>
          <w:p>
            <w:r/>
            <w:r>
              <w:rPr>
                <w:rFonts w:ascii="Times New Roman" w:hAnsi="Times New Roman"/>
                <w:b w:val="0"/>
                <w:sz w:val="22"/>
              </w:rPr>
              <w:t>Kjent S og H; kontinuerlig etterspørsel</w:t>
            </w:r>
          </w:p>
        </w:tc>
        <w:tc>
          <w:tcPr>
            <w:tcW w:type="dxa" w:w="1754"/>
          </w:tcPr>
          <w:p>
            <w:r/>
            <w:r>
              <w:rPr>
                <w:rFonts w:ascii="Times New Roman" w:hAnsi="Times New Roman"/>
                <w:b w:val="0"/>
                <w:sz w:val="22"/>
              </w:rPr>
              <w:t>Hautaniemi &amp; Pirttilä (1999)</w:t>
            </w:r>
          </w:p>
        </w:tc>
      </w:tr>
      <w:tr>
        <w:tc>
          <w:tcPr>
            <w:tcW w:type="dxa" w:w="1754"/>
          </w:tcPr>
          <w:p>
            <w:r/>
            <w:r>
              <w:rPr>
                <w:rFonts w:ascii="Times New Roman" w:hAnsi="Times New Roman"/>
                <w:b w:val="0"/>
                <w:sz w:val="22"/>
              </w:rPr>
              <w:t>K-means klyngeanalyse</w:t>
            </w:r>
          </w:p>
        </w:tc>
        <w:tc>
          <w:tcPr>
            <w:tcW w:type="dxa" w:w="1754"/>
          </w:tcPr>
          <w:p>
            <w:r/>
            <w:r>
              <w:rPr>
                <w:rFonts w:ascii="Times New Roman" w:hAnsi="Times New Roman"/>
                <w:b w:val="0"/>
                <w:sz w:val="22"/>
              </w:rPr>
              <w:t>Avdekker skjulte mønstre uten forhåndsbestemte grenser</w:t>
            </w:r>
          </w:p>
        </w:tc>
        <w:tc>
          <w:tcPr>
            <w:tcW w:type="dxa" w:w="1754"/>
          </w:tcPr>
          <w:p>
            <w:r/>
            <w:r>
              <w:rPr>
                <w:rFonts w:ascii="Times New Roman" w:hAnsi="Times New Roman"/>
                <w:b w:val="0"/>
                <w:sz w:val="22"/>
              </w:rPr>
              <w:t>Sensitiv for K-valg og initialisering</w:t>
            </w:r>
          </w:p>
        </w:tc>
        <w:tc>
          <w:tcPr>
            <w:tcW w:type="dxa" w:w="1754"/>
          </w:tcPr>
          <w:p>
            <w:r/>
            <w:r>
              <w:rPr>
                <w:rFonts w:ascii="Times New Roman" w:hAnsi="Times New Roman"/>
                <w:b w:val="0"/>
                <w:sz w:val="22"/>
              </w:rPr>
              <w:t>Normaliserte features; euklidsk avstand</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2.7 Konseptuelt rammeverk</w:t>
      </w:r>
    </w:p>
    <w:p>
      <w:pPr>
        <w:spacing w:line="360" w:lineRule="auto"/>
        <w:jc w:val="both"/>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w:t>
      </w:r>
    </w:p>
    <w:p>
      <w:pPr>
        <w:spacing w:line="360" w:lineRule="auto"/>
        <w:jc w:val="both"/>
      </w:pPr>
      <w:r>
        <w:rPr>
          <w:rFonts w:ascii="Times New Roman" w:hAnsi="Times New Roman" w:cs="Times New Roman"/>
          <w:sz w:val="24"/>
        </w:rPr>
        <w:t>Den detaljerte matematiske formuleringen av alle modellkomponenter – parameterdefinisjonene, formlene og grenseverdiene – presenteres i kapittel 5. Rammeverket anvendes på en konkret sykehuskontekst som beskrives i neste kapittel.</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jc w:val="both"/>
      </w:pPr>
      <w:r>
        <w:rPr>
          <w:rFonts w:ascii="Times New Roman" w:hAnsi="Times New Roman" w:cs="Times New Roman"/>
          <w:sz w:val="24"/>
        </w:rPr>
        <w:t>Helse Bergen HF er det største helseforetaket i Helse Vest RHF og drifter Haukeland Universitetssykehus med ansvar for spesialisthelsetjenester til et opptaksområde på nær en halv million innbyggere. Helse Vest koordinerer fire helseforetak (Bergen, Stavanger, Fonna, Førde), og en regionalt harmonisert tilnærming til materialforvaltning har fått økt prioritet for å oppnå stordriftsfordeler.</w:t>
      </w:r>
    </w:p>
    <w:p>
      <w:pPr>
        <w:spacing w:line="360" w:lineRule="auto"/>
        <w:jc w:val="both"/>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b/>
          <w:sz w:val="20"/>
        </w:rPr>
        <w:t>Tabell 3</w:t>
      </w:r>
    </w:p>
    <w:p>
      <w:r>
        <w:rPr>
          <w:rFonts w:ascii="Times New Roman" w:hAnsi="Times New Roman"/>
          <w:i/>
          <w:sz w:val="20"/>
        </w:rPr>
        <w:t>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b w:val="0"/>
                <w:sz w:val="22"/>
              </w:rPr>
              <w:t>Helseforetak</w:t>
            </w:r>
          </w:p>
        </w:tc>
        <w:tc>
          <w:tcPr>
            <w:tcW w:type="dxa" w:w="2923"/>
          </w:tcPr>
          <w:p>
            <w:r/>
            <w:r>
              <w:rPr>
                <w:rFonts w:ascii="Times New Roman" w:hAnsi="Times New Roman"/>
                <w:b w:val="0"/>
                <w:sz w:val="22"/>
              </w:rPr>
              <w:t>Helse Bergen HF</w:t>
            </w:r>
          </w:p>
        </w:tc>
        <w:tc>
          <w:tcPr>
            <w:tcW w:type="dxa" w:w="2923"/>
          </w:tcPr>
          <w:p>
            <w:r/>
            <w:r>
              <w:rPr>
                <w:rFonts w:ascii="Times New Roman" w:hAnsi="Times New Roman"/>
                <w:b w:val="0"/>
                <w:sz w:val="22"/>
              </w:rPr>
              <w:t>Helse Vest RHF</w:t>
            </w:r>
          </w:p>
        </w:tc>
      </w:tr>
      <w:tr>
        <w:tc>
          <w:tcPr>
            <w:tcW w:type="dxa" w:w="2923"/>
          </w:tcPr>
          <w:p>
            <w:r/>
            <w:r>
              <w:rPr>
                <w:rFonts w:ascii="Times New Roman" w:hAnsi="Times New Roman"/>
                <w:b w:val="0"/>
                <w:sz w:val="22"/>
              </w:rPr>
              <w:t>SAP-anlegg (WERKS)</w:t>
            </w:r>
          </w:p>
        </w:tc>
        <w:tc>
          <w:tcPr>
            <w:tcW w:type="dxa" w:w="2923"/>
          </w:tcPr>
          <w:p>
            <w:r/>
            <w:r>
              <w:rPr>
                <w:rFonts w:ascii="Times New Roman" w:hAnsi="Times New Roman"/>
                <w:b w:val="0"/>
                <w:sz w:val="22"/>
              </w:rPr>
              <w:t>3300</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Lagersted (LGORT)</w:t>
            </w:r>
          </w:p>
        </w:tc>
        <w:tc>
          <w:tcPr>
            <w:tcW w:type="dxa" w:w="2923"/>
          </w:tcPr>
          <w:p>
            <w:r/>
            <w:r>
              <w:rPr>
                <w:rFonts w:ascii="Times New Roman" w:hAnsi="Times New Roman"/>
                <w:b w:val="0"/>
                <w:sz w:val="22"/>
              </w:rPr>
              <w:t>3001</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Antall aktive artikler</w:t>
            </w:r>
          </w:p>
        </w:tc>
        <w:tc>
          <w:tcPr>
            <w:tcW w:type="dxa" w:w="2923"/>
          </w:tcPr>
          <w:p>
            <w:r/>
            <w:r>
              <w:rPr>
                <w:rFonts w:ascii="Times New Roman" w:hAnsi="Times New Roman"/>
                <w:b w:val="0"/>
                <w:sz w:val="22"/>
              </w:rPr>
              <w:t>709</w:t>
            </w:r>
          </w:p>
        </w:tc>
        <w:tc>
          <w:tcPr>
            <w:tcW w:type="dxa" w:w="2923"/>
          </w:tcPr>
          <w:p>
            <w:r/>
            <w:r>
              <w:rPr>
                <w:rFonts w:ascii="Times New Roman" w:hAnsi="Times New Roman"/>
                <w:b w:val="0"/>
                <w:sz w:val="22"/>
              </w:rPr>
              <w:t>MASTERFILE_V1.xlsx (D-01)</w:t>
            </w:r>
          </w:p>
        </w:tc>
      </w:tr>
      <w:tr>
        <w:tc>
          <w:tcPr>
            <w:tcW w:type="dxa" w:w="2923"/>
          </w:tcPr>
          <w:p>
            <w:r/>
            <w:r>
              <w:rPr>
                <w:rFonts w:ascii="Times New Roman" w:hAnsi="Times New Roman"/>
                <w:b w:val="0"/>
                <w:sz w:val="22"/>
              </w:rPr>
              <w:t>Analyseperiode</w:t>
            </w:r>
          </w:p>
        </w:tc>
        <w:tc>
          <w:tcPr>
            <w:tcW w:type="dxa" w:w="2923"/>
          </w:tcPr>
          <w:p>
            <w:r/>
            <w:r>
              <w:rPr>
                <w:rFonts w:ascii="Times New Roman" w:hAnsi="Times New Roman"/>
                <w:b w:val="0"/>
                <w:sz w:val="22"/>
              </w:rPr>
              <w:t>Januar 2024 – desember 2025 (24 mnd)</w:t>
            </w:r>
          </w:p>
        </w:tc>
        <w:tc>
          <w:tcPr>
            <w:tcW w:type="dxa" w:w="2923"/>
          </w:tcPr>
          <w:p>
            <w:r/>
            <w:r>
              <w:rPr>
                <w:rFonts w:ascii="Times New Roman" w:hAnsi="Times New Roman"/>
                <w:b w:val="0"/>
                <w:sz w:val="22"/>
              </w:rPr>
              <w:t>SAP SE16H</w:t>
            </w:r>
          </w:p>
        </w:tc>
      </w:tr>
      <w:tr>
        <w:tc>
          <w:tcPr>
            <w:tcW w:type="dxa" w:w="2923"/>
          </w:tcPr>
          <w:p>
            <w:r/>
            <w:r>
              <w:rPr>
                <w:rFonts w:ascii="Times New Roman" w:hAnsi="Times New Roman"/>
                <w:b w:val="0"/>
                <w:sz w:val="22"/>
              </w:rPr>
              <w:t>Antall SAP-kildetabeller</w:t>
            </w:r>
          </w:p>
        </w:tc>
        <w:tc>
          <w:tcPr>
            <w:tcW w:type="dxa" w:w="2923"/>
          </w:tcPr>
          <w:p>
            <w:r/>
            <w:r>
              <w:rPr>
                <w:rFonts w:ascii="Times New Roman" w:hAnsi="Times New Roman"/>
                <w:b w:val="0"/>
                <w:sz w:val="22"/>
              </w:rPr>
              <w:t>14</w:t>
            </w:r>
          </w:p>
        </w:tc>
        <w:tc>
          <w:tcPr>
            <w:tcW w:type="dxa" w:w="2923"/>
          </w:tcPr>
          <w:p>
            <w:r/>
            <w:r>
              <w:rPr>
                <w:rFonts w:ascii="Times New Roman" w:hAnsi="Times New Roman"/>
                <w:b w:val="0"/>
                <w:sz w:val="22"/>
              </w:rPr>
              <w:t>Dataspesifikasjon (Vedlegg A)</w:t>
            </w:r>
          </w:p>
        </w:tc>
      </w:tr>
      <w:tr>
        <w:tc>
          <w:tcPr>
            <w:tcW w:type="dxa" w:w="2923"/>
          </w:tcPr>
          <w:p>
            <w:r/>
            <w:r>
              <w:rPr>
                <w:rFonts w:ascii="Times New Roman" w:hAnsi="Times New Roman"/>
                <w:b w:val="0"/>
                <w:sz w:val="22"/>
              </w:rPr>
              <w:t>ERP-system</w:t>
            </w:r>
          </w:p>
        </w:tc>
        <w:tc>
          <w:tcPr>
            <w:tcW w:type="dxa" w:w="2923"/>
          </w:tcPr>
          <w:p>
            <w:r/>
            <w:r>
              <w:rPr>
                <w:rFonts w:ascii="Times New Roman" w:hAnsi="Times New Roman"/>
                <w:b w:val="0"/>
                <w:sz w:val="22"/>
              </w:rPr>
              <w:t>SAP S/4HANA (LIBRA-prosjektet)</w:t>
            </w:r>
          </w:p>
        </w:tc>
        <w:tc>
          <w:tcPr>
            <w:tcW w:type="dxa" w:w="2923"/>
          </w:tcPr>
          <w:p>
            <w:r/>
            <w:r>
              <w:rPr>
                <w:rFonts w:ascii="Times New Roman" w:hAnsi="Times New Roman"/>
                <w:b w:val="0"/>
                <w:sz w:val="22"/>
              </w:rPr>
              <w:t>Helse Vest IKT</w:t>
            </w:r>
          </w:p>
        </w:tc>
      </w:tr>
      <w:tr>
        <w:tc>
          <w:tcPr>
            <w:tcW w:type="dxa" w:w="2923"/>
          </w:tcPr>
          <w:p>
            <w:r/>
            <w:r>
              <w:rPr>
                <w:rFonts w:ascii="Times New Roman" w:hAnsi="Times New Roman"/>
                <w:b w:val="0"/>
                <w:sz w:val="22"/>
              </w:rPr>
              <w:t>Regionalt sentrallager</w:t>
            </w:r>
          </w:p>
        </w:tc>
        <w:tc>
          <w:tcPr>
            <w:tcW w:type="dxa" w:w="2923"/>
          </w:tcPr>
          <w:p>
            <w:r/>
            <w:r>
              <w:rPr>
                <w:rFonts w:ascii="Times New Roman" w:hAnsi="Times New Roman"/>
                <w:b w:val="0"/>
                <w:sz w:val="22"/>
              </w:rPr>
              <w:t>HVFS (Helse Vest Forsyningssenter)</w:t>
            </w:r>
          </w:p>
        </w:tc>
        <w:tc>
          <w:tcPr>
            <w:tcW w:type="dxa" w:w="2923"/>
          </w:tcPr>
          <w:p>
            <w:r/>
            <w:r>
              <w:rPr>
                <w:rFonts w:ascii="Times New Roman" w:hAnsi="Times New Roman"/>
                <w:b w:val="0"/>
                <w:sz w:val="22"/>
              </w:rPr>
              <w:t>Intern, Helse Vest</w:t>
            </w:r>
          </w:p>
        </w:tc>
      </w:tr>
      <w:tr>
        <w:tc>
          <w:tcPr>
            <w:tcW w:type="dxa" w:w="2923"/>
          </w:tcPr>
          <w:p>
            <w:r/>
            <w:r>
              <w:rPr>
                <w:rFonts w:ascii="Times New Roman" w:hAnsi="Times New Roman"/>
                <w:b w:val="0"/>
                <w:sz w:val="22"/>
              </w:rPr>
              <w:t>APL-operatør</w:t>
            </w:r>
          </w:p>
        </w:tc>
        <w:tc>
          <w:tcPr>
            <w:tcW w:type="dxa" w:w="2923"/>
          </w:tcPr>
          <w:p>
            <w:r/>
            <w:r>
              <w:rPr>
                <w:rFonts w:ascii="Times New Roman" w:hAnsi="Times New Roman"/>
                <w:b w:val="0"/>
                <w:sz w:val="22"/>
              </w:rPr>
              <w:t>NorEngros</w:t>
            </w:r>
          </w:p>
        </w:tc>
        <w:tc>
          <w:tcPr>
            <w:tcW w:type="dxa" w:w="2923"/>
          </w:tcPr>
          <w:p>
            <w:r/>
            <w:r>
              <w:rPr>
                <w:rFonts w:ascii="Times New Roman" w:hAnsi="Times New Roman"/>
                <w:b w:val="0"/>
                <w:sz w:val="22"/>
              </w:rPr>
              <w:t>Intern, Helse Vest</w:t>
            </w:r>
          </w:p>
        </w:tc>
      </w:tr>
      <w:tr>
        <w:tc>
          <w:tcPr>
            <w:tcW w:type="dxa" w:w="2923"/>
          </w:tcPr>
          <w:p>
            <w:r/>
            <w:r>
              <w:rPr>
                <w:rFonts w:ascii="Times New Roman" w:hAnsi="Times New Roman"/>
                <w:b w:val="0"/>
                <w:sz w:val="22"/>
              </w:rPr>
              <w:t>Innkjøpsgruppe</w:t>
            </w:r>
          </w:p>
        </w:tc>
        <w:tc>
          <w:tcPr>
            <w:tcW w:type="dxa" w:w="2923"/>
          </w:tcPr>
          <w:p>
            <w:r/>
            <w:r>
              <w:rPr>
                <w:rFonts w:ascii="Times New Roman" w:hAnsi="Times New Roman"/>
                <w:b w:val="0"/>
                <w:sz w:val="22"/>
              </w:rPr>
              <w:t>300 / 3000</w:t>
            </w:r>
          </w:p>
        </w:tc>
        <w:tc>
          <w:tcPr>
            <w:tcW w:type="dxa" w:w="2923"/>
          </w:tcPr>
          <w:p>
            <w:r/>
            <w:r>
              <w:rPr>
                <w:rFonts w:ascii="Times New Roman" w:hAnsi="Times New Roman"/>
                <w:b w:val="0"/>
                <w:sz w:val="22"/>
              </w:rPr>
              <w:t>SAP MM</w:t>
            </w:r>
          </w:p>
        </w:tc>
      </w:tr>
      <w:tr>
        <w:tc>
          <w:tcPr>
            <w:tcW w:type="dxa" w:w="2923"/>
          </w:tcPr>
          <w:p>
            <w:r/>
            <w:r>
              <w:rPr>
                <w:rFonts w:ascii="Times New Roman" w:hAnsi="Times New Roman"/>
                <w:b w:val="0"/>
                <w:sz w:val="22"/>
              </w:rPr>
              <w:t>Bestillingstype</w:t>
            </w:r>
          </w:p>
        </w:tc>
        <w:tc>
          <w:tcPr>
            <w:tcW w:type="dxa" w:w="2923"/>
          </w:tcPr>
          <w:p>
            <w:r/>
            <w:r>
              <w:rPr>
                <w:rFonts w:ascii="Times New Roman" w:hAnsi="Times New Roman"/>
                <w:b w:val="0"/>
                <w:sz w:val="22"/>
              </w:rPr>
              <w:t>ZNB (lokal bestillingstype)</w:t>
            </w:r>
          </w:p>
        </w:tc>
        <w:tc>
          <w:tcPr>
            <w:tcW w:type="dxa" w:w="2923"/>
          </w:tcPr>
          <w:p>
            <w:r/>
            <w:r>
              <w:rPr>
                <w:rFonts w:ascii="Times New Roman" w:hAnsi="Times New Roman"/>
                <w:b w:val="0"/>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w:t>
      </w:r>
    </w:p>
    <w:p>
      <w:pPr>
        <w:pStyle w:val="Overskrift2"/>
      </w:pPr>
      <w:r>
        <w:rPr>
          <w:rFonts w:ascii="Times New Roman" w:hAnsi="Times New Roman"/>
          <w:color w:val="000000"/>
          <w:sz w:val="32"/>
        </w:rPr>
        <w:t>3.2 HVFS og LIBRA-prosjektet</w:t>
      </w:r>
    </w:p>
    <w:p>
      <w:pPr>
        <w:spacing w:line="360" w:lineRule="auto"/>
        <w:jc w:val="both"/>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jc w:val="both"/>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jc w:val="both"/>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jc w:val="both"/>
      </w:pPr>
      <w:r>
        <w:rPr>
          <w:rFonts w:ascii="Times New Roman" w:hAnsi="Times New Roman" w:cs="Times New Roman"/>
          <w:sz w:val="24"/>
        </w:rPr>
        <w:t>Helse Bergens forsyningslager mangler i dag et systematisk, datadrevet grunnlag for å avgjøre hvilke av lagerets artikler som er aktuelle for overføring til HVFS. Beslutningene om sortimentstilhørighet treffes i stor grad basert på erfaring og skjønn, uten en strukturert analyse av verdi, forbruksmønster eller kostnadseffektiviteten ved nåværende bestillingspraksis.</w:t>
      </w:r>
    </w:p>
    <w:p>
      <w:pPr>
        <w:spacing w:line="360" w:lineRule="auto"/>
        <w:jc w:val="both"/>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jc w:val="both"/>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jc w:val="both"/>
      </w:pPr>
      <w:r>
        <w:rPr>
          <w:rFonts w:ascii="Times New Roman" w:hAnsi="Times New Roman" w:cs="Times New Roman"/>
          <w:sz w:val="24"/>
        </w:rPr>
        <w:t>Datapipelinen fra råuttrekk til analyseresultat er illustrert i Figur 4 (avsnitt 4.3).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 Datagrunnlaget og problemkonteksten som er beskrevet i dette kapittelet danner utgangspunktet for de metodiske valgene som presenteres i neste kapittel.</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jc w:val="both"/>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jc w:val="both"/>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 vesentlig grad fri fra selvrapporteringsfeil, men som kan inneholde registreringsfeil og uregistrerte uttakstyper (Saha &amp; Ray, 2019; jf. diskusjon i avsnitt 8.2). Datauttrekket ble gjennomført av forfatteren i januar 2026, med lesetilgang gjennom rollen som SAP MM-konsulent ved Helse Vest IKT. Analyseenheten er den individuelle lagerartikkelen (SKU), og populasjonen er de 709 aktive artiklene i LGORT 3001 per analyseperioden 2024–2025.</w:t>
      </w:r>
    </w:p>
    <w:p>
      <w:pPr>
        <w:spacing w:line="360" w:lineRule="auto"/>
        <w:jc w:val="both"/>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jc w:val="both"/>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b/>
          <w:sz w:val="20"/>
        </w:rPr>
        <w:t>Tabell 4</w:t>
      </w:r>
    </w:p>
    <w:p>
      <w:r>
        <w:rPr>
          <w:rFonts w:ascii="Times New Roman" w:hAnsi="Times New Roman"/>
          <w:i/>
          <w:sz w:val="20"/>
        </w:rPr>
        <w:t>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b w:val="0"/>
                <w:sz w:val="22"/>
              </w:rPr>
              <w:t>1</w:t>
            </w:r>
          </w:p>
        </w:tc>
        <w:tc>
          <w:tcPr>
            <w:tcW w:type="dxa" w:w="2192"/>
          </w:tcPr>
          <w:p>
            <w:r/>
            <w:r>
              <w:rPr>
                <w:rFonts w:ascii="Times New Roman" w:hAnsi="Times New Roman"/>
                <w:b w:val="0"/>
                <w:sz w:val="22"/>
              </w:rPr>
              <w:t>MARD</w:t>
            </w:r>
          </w:p>
        </w:tc>
        <w:tc>
          <w:tcPr>
            <w:tcW w:type="dxa" w:w="2192"/>
          </w:tcPr>
          <w:p>
            <w:r/>
            <w:r>
              <w:rPr>
                <w:rFonts w:ascii="Times New Roman" w:hAnsi="Times New Roman"/>
                <w:b w:val="0"/>
                <w:sz w:val="22"/>
              </w:rPr>
              <w:t>Lagerdata per lagersted (beholdning)</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2</w:t>
            </w:r>
          </w:p>
        </w:tc>
        <w:tc>
          <w:tcPr>
            <w:tcW w:type="dxa" w:w="2192"/>
          </w:tcPr>
          <w:p>
            <w:r/>
            <w:r>
              <w:rPr>
                <w:rFonts w:ascii="Times New Roman" w:hAnsi="Times New Roman"/>
                <w:b w:val="0"/>
                <w:sz w:val="22"/>
              </w:rPr>
              <w:t>MDMA</w:t>
            </w:r>
          </w:p>
        </w:tc>
        <w:tc>
          <w:tcPr>
            <w:tcW w:type="dxa" w:w="2192"/>
          </w:tcPr>
          <w:p>
            <w:r/>
            <w:r>
              <w:rPr>
                <w:rFonts w:ascii="Times New Roman" w:hAnsi="Times New Roman"/>
                <w:b w:val="0"/>
                <w:sz w:val="22"/>
              </w:rPr>
              <w:t>MRP-data, ABC/XYZ-indikator (ZZABC, ZZXYZ)</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3</w:t>
            </w:r>
          </w:p>
        </w:tc>
        <w:tc>
          <w:tcPr>
            <w:tcW w:type="dxa" w:w="2192"/>
          </w:tcPr>
          <w:p>
            <w:r/>
            <w:r>
              <w:rPr>
                <w:rFonts w:ascii="Times New Roman" w:hAnsi="Times New Roman"/>
                <w:b w:val="0"/>
                <w:sz w:val="22"/>
              </w:rPr>
              <w:t>MARA</w:t>
            </w:r>
          </w:p>
        </w:tc>
        <w:tc>
          <w:tcPr>
            <w:tcW w:type="dxa" w:w="2192"/>
          </w:tcPr>
          <w:p>
            <w:r/>
            <w:r>
              <w:rPr>
                <w:rFonts w:ascii="Times New Roman" w:hAnsi="Times New Roman"/>
                <w:b w:val="0"/>
                <w:sz w:val="22"/>
              </w:rPr>
              <w:t>Artikkelstamdata (MTART, MATKL, MEINS)</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4</w:t>
            </w:r>
          </w:p>
        </w:tc>
        <w:tc>
          <w:tcPr>
            <w:tcW w:type="dxa" w:w="2192"/>
          </w:tcPr>
          <w:p>
            <w:r/>
            <w:r>
              <w:rPr>
                <w:rFonts w:ascii="Times New Roman" w:hAnsi="Times New Roman"/>
                <w:b w:val="0"/>
                <w:sz w:val="22"/>
              </w:rPr>
              <w:t>MAKT</w:t>
            </w:r>
          </w:p>
        </w:tc>
        <w:tc>
          <w:tcPr>
            <w:tcW w:type="dxa" w:w="2192"/>
          </w:tcPr>
          <w:p>
            <w:r/>
            <w:r>
              <w:rPr>
                <w:rFonts w:ascii="Times New Roman" w:hAnsi="Times New Roman"/>
                <w:b w:val="0"/>
                <w:sz w:val="22"/>
              </w:rPr>
              <w:t>Artikkeltekst (MAKTX)</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5</w:t>
            </w:r>
          </w:p>
        </w:tc>
        <w:tc>
          <w:tcPr>
            <w:tcW w:type="dxa" w:w="2192"/>
          </w:tcPr>
          <w:p>
            <w:r/>
            <w:r>
              <w:rPr>
                <w:rFonts w:ascii="Times New Roman" w:hAnsi="Times New Roman"/>
                <w:b w:val="0"/>
                <w:sz w:val="22"/>
              </w:rPr>
              <w:t>MARC</w:t>
            </w:r>
          </w:p>
        </w:tc>
        <w:tc>
          <w:tcPr>
            <w:tcW w:type="dxa" w:w="2192"/>
          </w:tcPr>
          <w:p>
            <w:r/>
            <w:r>
              <w:rPr>
                <w:rFonts w:ascii="Times New Roman" w:hAnsi="Times New Roman"/>
                <w:b w:val="0"/>
                <w:sz w:val="22"/>
              </w:rPr>
              <w:t>Anleggsdata per materiale (MARC_ABC)</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6</w:t>
            </w:r>
          </w:p>
        </w:tc>
        <w:tc>
          <w:tcPr>
            <w:tcW w:type="dxa" w:w="2192"/>
          </w:tcPr>
          <w:p>
            <w:r/>
            <w:r>
              <w:rPr>
                <w:rFonts w:ascii="Times New Roman" w:hAnsi="Times New Roman"/>
                <w:b w:val="0"/>
                <w:sz w:val="22"/>
              </w:rPr>
              <w:t>MBEW</w:t>
            </w:r>
          </w:p>
        </w:tc>
        <w:tc>
          <w:tcPr>
            <w:tcW w:type="dxa" w:w="2192"/>
          </w:tcPr>
          <w:p>
            <w:r/>
            <w:r>
              <w:rPr>
                <w:rFonts w:ascii="Times New Roman" w:hAnsi="Times New Roman"/>
                <w:b w:val="0"/>
                <w:sz w:val="22"/>
              </w:rPr>
              <w:t>Verdsettingsdata (STPRS, PEINH)</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7</w:t>
            </w:r>
          </w:p>
        </w:tc>
        <w:tc>
          <w:tcPr>
            <w:tcW w:type="dxa" w:w="2192"/>
          </w:tcPr>
          <w:p>
            <w:r/>
            <w:r>
              <w:rPr>
                <w:rFonts w:ascii="Times New Roman" w:hAnsi="Times New Roman"/>
                <w:b w:val="0"/>
                <w:sz w:val="22"/>
              </w:rPr>
              <w:t>MSEG</w:t>
            </w:r>
          </w:p>
        </w:tc>
        <w:tc>
          <w:tcPr>
            <w:tcW w:type="dxa" w:w="2192"/>
          </w:tcPr>
          <w:p>
            <w:r/>
            <w:r>
              <w:rPr>
                <w:rFonts w:ascii="Times New Roman" w:hAnsi="Times New Roman"/>
                <w:b w:val="0"/>
                <w:sz w:val="22"/>
              </w:rPr>
              <w:t>Varebevegelser, forbruk (BWART 201, 647)</w:t>
            </w:r>
          </w:p>
        </w:tc>
        <w:tc>
          <w:tcPr>
            <w:tcW w:type="dxa" w:w="2192"/>
          </w:tcPr>
          <w:p>
            <w:r/>
            <w:r>
              <w:rPr>
                <w:rFonts w:ascii="Times New Roman" w:hAnsi="Times New Roman"/>
                <w:b w:val="0"/>
                <w:sz w:val="22"/>
              </w:rPr>
              <w:t>Forbruksdata</w:t>
            </w:r>
          </w:p>
        </w:tc>
      </w:tr>
      <w:tr>
        <w:tc>
          <w:tcPr>
            <w:tcW w:type="dxa" w:w="2192"/>
          </w:tcPr>
          <w:p>
            <w:r/>
            <w:r>
              <w:rPr>
                <w:rFonts w:ascii="Times New Roman" w:hAnsi="Times New Roman"/>
                <w:b w:val="0"/>
                <w:sz w:val="22"/>
              </w:rPr>
              <w:t>8</w:t>
            </w:r>
          </w:p>
        </w:tc>
        <w:tc>
          <w:tcPr>
            <w:tcW w:type="dxa" w:w="2192"/>
          </w:tcPr>
          <w:p>
            <w:r/>
            <w:r>
              <w:rPr>
                <w:rFonts w:ascii="Times New Roman" w:hAnsi="Times New Roman"/>
                <w:b w:val="0"/>
                <w:sz w:val="22"/>
              </w:rPr>
              <w:t>EKKO</w:t>
            </w:r>
          </w:p>
        </w:tc>
        <w:tc>
          <w:tcPr>
            <w:tcW w:type="dxa" w:w="2192"/>
          </w:tcPr>
          <w:p>
            <w:r/>
            <w:r>
              <w:rPr>
                <w:rFonts w:ascii="Times New Roman" w:hAnsi="Times New Roman"/>
                <w:b w:val="0"/>
                <w:sz w:val="22"/>
              </w:rPr>
              <w:t>Innkjøpsordrehoder (bestillingstype ZNB)</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9</w:t>
            </w:r>
          </w:p>
        </w:tc>
        <w:tc>
          <w:tcPr>
            <w:tcW w:type="dxa" w:w="2192"/>
          </w:tcPr>
          <w:p>
            <w:r/>
            <w:r>
              <w:rPr>
                <w:rFonts w:ascii="Times New Roman" w:hAnsi="Times New Roman"/>
                <w:b w:val="0"/>
                <w:sz w:val="22"/>
              </w:rPr>
              <w:t>EKPO</w:t>
            </w:r>
          </w:p>
        </w:tc>
        <w:tc>
          <w:tcPr>
            <w:tcW w:type="dxa" w:w="2192"/>
          </w:tcPr>
          <w:p>
            <w:r/>
            <w:r>
              <w:rPr>
                <w:rFonts w:ascii="Times New Roman" w:hAnsi="Times New Roman"/>
                <w:b w:val="0"/>
                <w:sz w:val="22"/>
              </w:rPr>
              <w:t>Innkjøpsordreposisjoner (NETWR)</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10</w:t>
            </w:r>
          </w:p>
        </w:tc>
        <w:tc>
          <w:tcPr>
            <w:tcW w:type="dxa" w:w="2192"/>
          </w:tcPr>
          <w:p>
            <w:r/>
            <w:r>
              <w:rPr>
                <w:rFonts w:ascii="Times New Roman" w:hAnsi="Times New Roman"/>
                <w:b w:val="0"/>
                <w:sz w:val="22"/>
              </w:rPr>
              <w:t>EKBE</w:t>
            </w:r>
          </w:p>
        </w:tc>
        <w:tc>
          <w:tcPr>
            <w:tcW w:type="dxa" w:w="2192"/>
          </w:tcPr>
          <w:p>
            <w:r/>
            <w:r>
              <w:rPr>
                <w:rFonts w:ascii="Times New Roman" w:hAnsi="Times New Roman"/>
                <w:b w:val="0"/>
                <w:sz w:val="22"/>
              </w:rPr>
              <w:t>Innkjøpsordrehistorikk/varemottak</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11</w:t>
            </w:r>
          </w:p>
        </w:tc>
        <w:tc>
          <w:tcPr>
            <w:tcW w:type="dxa" w:w="2192"/>
          </w:tcPr>
          <w:p>
            <w:r/>
            <w:r>
              <w:rPr>
                <w:rFonts w:ascii="Times New Roman" w:hAnsi="Times New Roman"/>
                <w:b w:val="0"/>
                <w:sz w:val="22"/>
              </w:rPr>
              <w:t>EINA</w:t>
            </w:r>
          </w:p>
        </w:tc>
        <w:tc>
          <w:tcPr>
            <w:tcW w:type="dxa" w:w="2192"/>
          </w:tcPr>
          <w:p>
            <w:r/>
            <w:r>
              <w:rPr>
                <w:rFonts w:ascii="Times New Roman" w:hAnsi="Times New Roman"/>
                <w:b w:val="0"/>
                <w:sz w:val="22"/>
              </w:rPr>
              <w:t>Innkjøpsinforecord – generell del</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12</w:t>
            </w:r>
          </w:p>
        </w:tc>
        <w:tc>
          <w:tcPr>
            <w:tcW w:type="dxa" w:w="2192"/>
          </w:tcPr>
          <w:p>
            <w:r/>
            <w:r>
              <w:rPr>
                <w:rFonts w:ascii="Times New Roman" w:hAnsi="Times New Roman"/>
                <w:b w:val="0"/>
                <w:sz w:val="22"/>
              </w:rPr>
              <w:t>EINE</w:t>
            </w:r>
          </w:p>
        </w:tc>
        <w:tc>
          <w:tcPr>
            <w:tcW w:type="dxa" w:w="2192"/>
          </w:tcPr>
          <w:p>
            <w:r/>
            <w:r>
              <w:rPr>
                <w:rFonts w:ascii="Times New Roman" w:hAnsi="Times New Roman"/>
                <w:b w:val="0"/>
                <w:sz w:val="22"/>
              </w:rPr>
              <w:t>Innkjøpsinforecord – organisasjonsdel (WETAG)</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13</w:t>
            </w:r>
          </w:p>
        </w:tc>
        <w:tc>
          <w:tcPr>
            <w:tcW w:type="dxa" w:w="2192"/>
          </w:tcPr>
          <w:p>
            <w:r/>
            <w:r>
              <w:rPr>
                <w:rFonts w:ascii="Times New Roman" w:hAnsi="Times New Roman"/>
                <w:b w:val="0"/>
                <w:sz w:val="22"/>
              </w:rPr>
              <w:t>T023T</w:t>
            </w:r>
          </w:p>
        </w:tc>
        <w:tc>
          <w:tcPr>
            <w:tcW w:type="dxa" w:w="2192"/>
          </w:tcPr>
          <w:p>
            <w:r/>
            <w:r>
              <w:rPr>
                <w:rFonts w:ascii="Times New Roman" w:hAnsi="Times New Roman"/>
                <w:b w:val="0"/>
                <w:sz w:val="22"/>
              </w:rPr>
              <w:t>Varegruppenavn (WGBEZ)</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14</w:t>
            </w:r>
          </w:p>
        </w:tc>
        <w:tc>
          <w:tcPr>
            <w:tcW w:type="dxa" w:w="2192"/>
          </w:tcPr>
          <w:p>
            <w:r/>
            <w:r>
              <w:rPr>
                <w:rFonts w:ascii="Times New Roman" w:hAnsi="Times New Roman"/>
                <w:b w:val="0"/>
                <w:sz w:val="22"/>
              </w:rPr>
              <w:t>T024</w:t>
            </w:r>
          </w:p>
        </w:tc>
        <w:tc>
          <w:tcPr>
            <w:tcW w:type="dxa" w:w="2192"/>
          </w:tcPr>
          <w:p>
            <w:r/>
            <w:r>
              <w:rPr>
                <w:rFonts w:ascii="Times New Roman" w:hAnsi="Times New Roman"/>
                <w:b w:val="0"/>
                <w:sz w:val="22"/>
              </w:rPr>
              <w:t>Innkjøpsgrupper (EKGRP)</w:t>
            </w:r>
          </w:p>
        </w:tc>
        <w:tc>
          <w:tcPr>
            <w:tcW w:type="dxa" w:w="2192"/>
          </w:tcPr>
          <w:p>
            <w:r/>
            <w:r>
              <w:rPr>
                <w:rFonts w:ascii="Times New Roman" w:hAnsi="Times New Roman"/>
                <w:b w:val="0"/>
                <w:sz w:val="22"/>
              </w:rPr>
              <w:t>Supplerende</w:t>
            </w:r>
          </w:p>
        </w:tc>
      </w:tr>
    </w:tbl>
    <w:p>
      <w:pPr>
        <w:spacing w:line="360" w:lineRule="auto"/>
        <w:jc w:val="both"/>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w:t>
      </w:r>
    </w:p>
    <w:p>
      <w:pPr>
        <w:pStyle w:val="Overskrift2"/>
      </w:pPr>
      <w:r>
        <w:rPr>
          <w:rFonts w:ascii="Times New Roman" w:hAnsi="Times New Roman"/>
          <w:color w:val="000000"/>
          <w:sz w:val="32"/>
        </w:rPr>
        <w:t>4.3 Dataforbehandling</w:t>
      </w:r>
    </w:p>
    <w:p>
      <w:pPr>
        <w:spacing w:line="360" w:lineRule="auto"/>
        <w:jc w:val="both"/>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b/>
          <w:sz w:val="20"/>
        </w:rPr>
        <w:t>Tabell 5</w:t>
      </w:r>
    </w:p>
    <w:p>
      <w:r>
        <w:rPr>
          <w:rFonts w:ascii="Times New Roman" w:hAnsi="Times New Roman"/>
          <w:i/>
          <w:sz w:val="20"/>
        </w:rPr>
        <w:t>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b w:val="0"/>
                <w:sz w:val="22"/>
              </w:rPr>
              <w:t>D-01</w:t>
            </w:r>
          </w:p>
        </w:tc>
        <w:tc>
          <w:tcPr>
            <w:tcW w:type="dxa" w:w="2192"/>
          </w:tcPr>
          <w:p>
            <w:r/>
            <w:r>
              <w:rPr>
                <w:rFonts w:ascii="Times New Roman" w:hAnsi="Times New Roman"/>
                <w:b w:val="0"/>
                <w:sz w:val="22"/>
              </w:rPr>
              <w:t>Populasjonsavgrensning</w:t>
            </w:r>
          </w:p>
        </w:tc>
        <w:tc>
          <w:tcPr>
            <w:tcW w:type="dxa" w:w="2192"/>
          </w:tcPr>
          <w:p>
            <w:r/>
            <w:r>
              <w:rPr>
                <w:rFonts w:ascii="Times New Roman" w:hAnsi="Times New Roman"/>
                <w:b w:val="0"/>
                <w:sz w:val="22"/>
              </w:rPr>
              <w:t>1 006 → 709 artikler</w:t>
            </w:r>
          </w:p>
        </w:tc>
        <w:tc>
          <w:tcPr>
            <w:tcW w:type="dxa" w:w="2192"/>
          </w:tcPr>
          <w:p>
            <w:r/>
            <w:r>
              <w:rPr>
                <w:rFonts w:ascii="Times New Roman" w:hAnsi="Times New Roman"/>
                <w:b w:val="0"/>
                <w:sz w:val="22"/>
              </w:rPr>
              <w:t>Ekskluderer 297 inaktive (D_ANNUAL = 0 og TOTAL_STOCK = 0)</w:t>
            </w:r>
          </w:p>
        </w:tc>
      </w:tr>
      <w:tr>
        <w:tc>
          <w:tcPr>
            <w:tcW w:type="dxa" w:w="2192"/>
          </w:tcPr>
          <w:p>
            <w:r/>
            <w:r>
              <w:rPr>
                <w:rFonts w:ascii="Times New Roman" w:hAnsi="Times New Roman"/>
                <w:b w:val="0"/>
                <w:sz w:val="22"/>
              </w:rPr>
              <w:t>D-02</w:t>
            </w:r>
          </w:p>
        </w:tc>
        <w:tc>
          <w:tcPr>
            <w:tcW w:type="dxa" w:w="2192"/>
          </w:tcPr>
          <w:p>
            <w:r/>
            <w:r>
              <w:rPr>
                <w:rFonts w:ascii="Times New Roman" w:hAnsi="Times New Roman"/>
                <w:b w:val="0"/>
                <w:sz w:val="22"/>
              </w:rPr>
              <w:t>PEINH-korrigering</w:t>
            </w:r>
          </w:p>
        </w:tc>
        <w:tc>
          <w:tcPr>
            <w:tcW w:type="dxa" w:w="2192"/>
          </w:tcPr>
          <w:p>
            <w:r/>
            <w:r>
              <w:rPr>
                <w:rFonts w:ascii="Times New Roman" w:hAnsi="Times New Roman"/>
                <w:b w:val="0"/>
                <w:sz w:val="22"/>
              </w:rPr>
              <w:t>UNIT_PRICE = STPRS ÷ PEINH</w:t>
            </w:r>
          </w:p>
        </w:tc>
        <w:tc>
          <w:tcPr>
            <w:tcW w:type="dxa" w:w="2192"/>
          </w:tcPr>
          <w:p>
            <w:r/>
            <w:r>
              <w:rPr>
                <w:rFonts w:ascii="Times New Roman" w:hAnsi="Times New Roman"/>
                <w:b w:val="0"/>
                <w:sz w:val="22"/>
              </w:rPr>
              <w:t>Korrigerer for prisenhet ≠ 1</w:t>
            </w:r>
          </w:p>
        </w:tc>
      </w:tr>
      <w:tr>
        <w:tc>
          <w:tcPr>
            <w:tcW w:type="dxa" w:w="2192"/>
          </w:tcPr>
          <w:p>
            <w:r/>
            <w:r>
              <w:rPr>
                <w:rFonts w:ascii="Times New Roman" w:hAnsi="Times New Roman"/>
                <w:b w:val="0"/>
                <w:sz w:val="22"/>
              </w:rPr>
              <w:t>D-03</w:t>
            </w:r>
          </w:p>
        </w:tc>
        <w:tc>
          <w:tcPr>
            <w:tcW w:type="dxa" w:w="2192"/>
          </w:tcPr>
          <w:p>
            <w:r/>
            <w:r>
              <w:rPr>
                <w:rFonts w:ascii="Times New Roman" w:hAnsi="Times New Roman"/>
                <w:b w:val="0"/>
                <w:sz w:val="22"/>
              </w:rPr>
              <w:t>Beregnet ABC-verdi</w:t>
            </w:r>
          </w:p>
        </w:tc>
        <w:tc>
          <w:tcPr>
            <w:tcW w:type="dxa" w:w="2192"/>
          </w:tcPr>
          <w:p>
            <w:r/>
            <w:r>
              <w:rPr>
                <w:rFonts w:ascii="Times New Roman" w:hAnsi="Times New Roman"/>
                <w:b w:val="0"/>
                <w:sz w:val="22"/>
              </w:rPr>
              <w:t>204 artikler uten EKPO</w:t>
            </w:r>
          </w:p>
        </w:tc>
        <w:tc>
          <w:tcPr>
            <w:tcW w:type="dxa" w:w="2192"/>
          </w:tcPr>
          <w:p>
            <w:r/>
            <w:r>
              <w:rPr>
                <w:rFonts w:ascii="Times New Roman" w:hAnsi="Times New Roman"/>
                <w:b w:val="0"/>
                <w:sz w:val="22"/>
              </w:rPr>
              <w:t>ABC_VALUE = D_ANNUAL × UNIT_PRICE som standardverdi</w:t>
            </w:r>
          </w:p>
        </w:tc>
      </w:tr>
      <w:tr>
        <w:tc>
          <w:tcPr>
            <w:tcW w:type="dxa" w:w="2192"/>
          </w:tcPr>
          <w:p>
            <w:r/>
            <w:r>
              <w:rPr>
                <w:rFonts w:ascii="Times New Roman" w:hAnsi="Times New Roman"/>
                <w:b w:val="0"/>
                <w:sz w:val="22"/>
              </w:rPr>
              <w:t>D-04</w:t>
            </w:r>
          </w:p>
        </w:tc>
        <w:tc>
          <w:tcPr>
            <w:tcW w:type="dxa" w:w="2192"/>
          </w:tcPr>
          <w:p>
            <w:r/>
            <w:r>
              <w:rPr>
                <w:rFonts w:ascii="Times New Roman" w:hAnsi="Times New Roman"/>
                <w:b w:val="0"/>
                <w:sz w:val="22"/>
              </w:rPr>
              <w:t>CV-basert XYZ</w:t>
            </w:r>
          </w:p>
        </w:tc>
        <w:tc>
          <w:tcPr>
            <w:tcW w:type="dxa" w:w="2192"/>
          </w:tcPr>
          <w:p>
            <w:r/>
            <w:r>
              <w:rPr>
                <w:rFonts w:ascii="Times New Roman" w:hAnsi="Times New Roman"/>
                <w:b w:val="0"/>
                <w:sz w:val="22"/>
              </w:rPr>
              <w:t>Erstatter ZZXYZ</w:t>
            </w:r>
          </w:p>
        </w:tc>
        <w:tc>
          <w:tcPr>
            <w:tcW w:type="dxa" w:w="2192"/>
          </w:tcPr>
          <w:p>
            <w:r/>
            <w:r>
              <w:rPr>
                <w:rFonts w:ascii="Times New Roman" w:hAnsi="Times New Roman"/>
                <w:b w:val="0"/>
                <w:sz w:val="22"/>
              </w:rPr>
              <w:t>33 % samsvar → beregnet CV foretrukket</w:t>
            </w:r>
          </w:p>
        </w:tc>
      </w:tr>
      <w:tr>
        <w:tc>
          <w:tcPr>
            <w:tcW w:type="dxa" w:w="2192"/>
          </w:tcPr>
          <w:p>
            <w:r/>
            <w:r>
              <w:rPr>
                <w:rFonts w:ascii="Times New Roman" w:hAnsi="Times New Roman"/>
                <w:b w:val="0"/>
                <w:sz w:val="22"/>
              </w:rPr>
              <w:t>D-05</w:t>
            </w:r>
          </w:p>
        </w:tc>
        <w:tc>
          <w:tcPr>
            <w:tcW w:type="dxa" w:w="2192"/>
          </w:tcPr>
          <w:p>
            <w:r/>
            <w:r>
              <w:rPr>
                <w:rFonts w:ascii="Times New Roman" w:hAnsi="Times New Roman"/>
                <w:b w:val="0"/>
                <w:sz w:val="22"/>
              </w:rPr>
              <w:t>Leveringstid standardverdi</w:t>
            </w:r>
          </w:p>
        </w:tc>
        <w:tc>
          <w:tcPr>
            <w:tcW w:type="dxa" w:w="2192"/>
          </w:tcPr>
          <w:p>
            <w:r/>
            <w:r>
              <w:rPr>
                <w:rFonts w:ascii="Times New Roman" w:hAnsi="Times New Roman"/>
                <w:b w:val="0"/>
                <w:sz w:val="22"/>
              </w:rPr>
              <w:t>14 dager for 94 %</w:t>
            </w:r>
          </w:p>
        </w:tc>
        <w:tc>
          <w:tcPr>
            <w:tcW w:type="dxa" w:w="2192"/>
          </w:tcPr>
          <w:p>
            <w:r/>
            <w:r>
              <w:rPr>
                <w:rFonts w:ascii="Times New Roman" w:hAnsi="Times New Roman"/>
                <w:b w:val="0"/>
                <w:sz w:val="22"/>
              </w:rPr>
              <w:t>EINE WETAG dekker kun 6 %</w:t>
            </w:r>
          </w:p>
        </w:tc>
      </w:tr>
      <w:tr>
        <w:tc>
          <w:tcPr>
            <w:tcW w:type="dxa" w:w="2192"/>
          </w:tcPr>
          <w:p>
            <w:r/>
            <w:r>
              <w:rPr>
                <w:rFonts w:ascii="Times New Roman" w:hAnsi="Times New Roman"/>
                <w:b w:val="0"/>
                <w:sz w:val="22"/>
              </w:rPr>
              <w:t>D-06</w:t>
            </w:r>
          </w:p>
        </w:tc>
        <w:tc>
          <w:tcPr>
            <w:tcW w:type="dxa" w:w="2192"/>
          </w:tcPr>
          <w:p>
            <w:r/>
            <w:r>
              <w:rPr>
                <w:rFonts w:ascii="Times New Roman" w:hAnsi="Times New Roman"/>
                <w:b w:val="0"/>
                <w:sz w:val="22"/>
              </w:rPr>
              <w:t>MSEG_STATUS blank → AKTIV</w:t>
            </w:r>
          </w:p>
        </w:tc>
        <w:tc>
          <w:tcPr>
            <w:tcW w:type="dxa" w:w="2192"/>
          </w:tcPr>
          <w:p>
            <w:r/>
            <w:r>
              <w:rPr>
                <w:rFonts w:ascii="Times New Roman" w:hAnsi="Times New Roman"/>
                <w:b w:val="0"/>
                <w:sz w:val="22"/>
              </w:rPr>
              <w:t>Fyller manglende verdier</w:t>
            </w:r>
          </w:p>
        </w:tc>
        <w:tc>
          <w:tcPr>
            <w:tcW w:type="dxa" w:w="2192"/>
          </w:tcPr>
          <w:p>
            <w:r/>
            <w:r>
              <w:rPr>
                <w:rFonts w:ascii="Times New Roman" w:hAnsi="Times New Roman"/>
                <w:b w:val="0"/>
                <w:sz w:val="22"/>
              </w:rPr>
              <w:t>Antar normal driftsstatus</w:t>
            </w:r>
          </w:p>
        </w:tc>
      </w:tr>
      <w:tr>
        <w:tc>
          <w:tcPr>
            <w:tcW w:type="dxa" w:w="2192"/>
          </w:tcPr>
          <w:p>
            <w:r/>
            <w:r>
              <w:rPr>
                <w:rFonts w:ascii="Times New Roman" w:hAnsi="Times New Roman"/>
                <w:b w:val="0"/>
                <w:sz w:val="22"/>
              </w:rPr>
              <w:t>D-07</w:t>
            </w:r>
          </w:p>
        </w:tc>
        <w:tc>
          <w:tcPr>
            <w:tcW w:type="dxa" w:w="2192"/>
          </w:tcPr>
          <w:p>
            <w:r/>
            <w:r>
              <w:rPr>
                <w:rFonts w:ascii="Times New Roman" w:hAnsi="Times New Roman"/>
                <w:b w:val="0"/>
                <w:sz w:val="22"/>
              </w:rPr>
              <w:t>ABC_VALUE_SOURCE</w:t>
            </w:r>
          </w:p>
        </w:tc>
        <w:tc>
          <w:tcPr>
            <w:tcW w:type="dxa" w:w="2192"/>
          </w:tcPr>
          <w:p>
            <w:r/>
            <w:r>
              <w:rPr>
                <w:rFonts w:ascii="Times New Roman" w:hAnsi="Times New Roman"/>
                <w:b w:val="0"/>
                <w:sz w:val="22"/>
              </w:rPr>
              <w:t>EKPO-verdi prioriteres</w:t>
            </w:r>
          </w:p>
        </w:tc>
        <w:tc>
          <w:tcPr>
            <w:tcW w:type="dxa" w:w="2192"/>
          </w:tcPr>
          <w:p>
            <w:r/>
            <w:r>
              <w:rPr>
                <w:rFonts w:ascii="Times New Roman" w:hAnsi="Times New Roman"/>
                <w:b w:val="0"/>
                <w:sz w:val="22"/>
              </w:rPr>
              <w:t>TOTAL_NETWR &gt; 0 kreves for EKPO-kilde</w:t>
            </w:r>
          </w:p>
        </w:tc>
      </w:tr>
      <w:tr>
        <w:tc>
          <w:tcPr>
            <w:tcW w:type="dxa" w:w="2192"/>
          </w:tcPr>
          <w:p>
            <w:r/>
            <w:r>
              <w:rPr>
                <w:rFonts w:ascii="Times New Roman" w:hAnsi="Times New Roman"/>
                <w:b w:val="0"/>
                <w:sz w:val="22"/>
              </w:rPr>
              <w:t>D-08</w:t>
            </w:r>
          </w:p>
        </w:tc>
        <w:tc>
          <w:tcPr>
            <w:tcW w:type="dxa" w:w="2192"/>
          </w:tcPr>
          <w:p>
            <w:r/>
            <w:r>
              <w:rPr>
                <w:rFonts w:ascii="Times New Roman" w:hAnsi="Times New Roman"/>
                <w:b w:val="0"/>
                <w:sz w:val="22"/>
              </w:rPr>
              <w:t>Annualisering av ordrefrekvens</w:t>
            </w:r>
          </w:p>
        </w:tc>
        <w:tc>
          <w:tcPr>
            <w:tcW w:type="dxa" w:w="2192"/>
          </w:tcPr>
          <w:p>
            <w:r/>
            <w:r>
              <w:rPr>
                <w:rFonts w:ascii="Times New Roman" w:hAnsi="Times New Roman"/>
                <w:b w:val="0"/>
                <w:sz w:val="22"/>
              </w:rPr>
              <w:t>ACTUAL_FREQ = ORDER_COUNT × 12/24</w:t>
            </w:r>
          </w:p>
        </w:tc>
        <w:tc>
          <w:tcPr>
            <w:tcW w:type="dxa" w:w="2192"/>
          </w:tcPr>
          <w:p>
            <w:r/>
            <w:r>
              <w:rPr>
                <w:rFonts w:ascii="Times New Roman" w:hAnsi="Times New Roman"/>
                <w:b w:val="0"/>
                <w:sz w:val="22"/>
              </w:rPr>
              <w:t>24 mnd data → årsbasis</w:t>
            </w:r>
          </w:p>
        </w:tc>
      </w:tr>
    </w:tbl>
    <w:p>
      <w:pPr>
        <w:spacing w:line="360" w:lineRule="auto"/>
        <w:jc w:val="both"/>
      </w:pPr>
      <w:r>
        <w:rPr>
          <w:rFonts w:ascii="Times New Roman" w:hAnsi="Times New Roman" w:cs="Times New Roman"/>
          <w:sz w:val="24"/>
        </w:rPr>
        <w:t>Figur 4 nedenfor illustrerer den samlede datapipelinen fra rådata til analyseklart datasett.</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w:t>
      </w:r>
    </w:p>
    <w:p>
      <w:pPr>
        <w:pStyle w:val="Overskrift2"/>
      </w:pPr>
      <w:r>
        <w:rPr>
          <w:rFonts w:ascii="Times New Roman" w:hAnsi="Times New Roman"/>
          <w:color w:val="000000"/>
          <w:sz w:val="32"/>
        </w:rPr>
        <w:t>4.4 Etiske betraktninger og begrensninger</w:t>
      </w:r>
    </w:p>
    <w:p>
      <w:pPr>
        <w:spacing w:line="360" w:lineRule="auto"/>
        <w:jc w:val="both"/>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jc w:val="both"/>
      </w:pPr>
      <w:r>
        <w:rPr>
          <w:rFonts w:ascii="Times New Roman" w:hAnsi="Times New Roman" w:cs="Times New Roman"/>
          <w:sz w:val="24"/>
        </w:rPr>
        <w:t>Parametervalgene S og h er begrunnet i avsnitt 1.4 og testes i sensitivitetsanalysen (kap. 7.6). Det understrekes at verktøyet produserer et rangert beslutningsunderlag, ikke autoriserte beslutninger: en feilklassifisering – for eksempel at en klinisk kritisk artikkel anbefales overført – kan ha konsekvenser for forsyningssikkerheten. Nettopp derfor anbefales en begrenset pilotfase med faglig og klinisk gjennomgang før implementering (se kap. 9.2).</w:t>
      </w:r>
    </w:p>
    <w:p>
      <w:pPr>
        <w:spacing w:line="360" w:lineRule="auto"/>
        <w:jc w:val="both"/>
      </w:pPr>
      <w:r>
        <w:rPr>
          <w:rFonts w:ascii="Times New Roman" w:hAnsi="Times New Roman" w:cs="Times New Roman"/>
          <w:sz w:val="24"/>
        </w:rPr>
        <w:t>En viktig etisk og operasjonell begrensning er at analysen ikke inneholder en eksplisitt kritikalitetsdimensjon (VED: Vital, Essential, Desirable). I sykehuslogistikk er kritikalitet en primær styringsparameter (Gupta et al., 2007; Gurumurthy et al., 2021): en artikkel kan være både høyverdig og stabilt etterspurt, men samtidig kritisk for pasientsikkerheten dersom leveransen forsinkes. Hjertestartpatroner, akuttmedisinsk forbruksmateriell og anestesitilbehør er typiske eksempler der stabilt forbruk ikke må forveksles med at artikkelen er trygg å sentralisere via en APL-modell med lengre leveransekjede. Kritikalitetsdata inngår ikke som strukturert variabel i SAP-uttrekket i denne studien; ved Helse Bergen foreligger VED-vurderingen i praksis som klinisk skjønn og er ikke maskinlesbar. Regelmotorens R1-regel (Z-override) fanger deler av dette ved å holde artikler med uregelmessig forbruk lokalt, men erstatter ikke en formell kritikalitetsvurdering. Pilotvalideringen i anbefaling 1 (kap. 9.2) skal derfor inkludere en klinisk kritikalitetsgjennomgang som supplement til de kvantitative signalene, før noen artikkel faktisk overføres.</w:t>
      </w:r>
    </w:p>
    <w:p>
      <w:pPr>
        <w:spacing w:line="360" w:lineRule="auto"/>
        <w:jc w:val="both"/>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kunstig intelligens</w:t>
      </w:r>
    </w:p>
    <w:p>
      <w:pPr>
        <w:spacing w:line="360" w:lineRule="auto"/>
        <w:jc w:val="both"/>
      </w:pPr>
      <w:r>
        <w:rPr>
          <w:rFonts w:ascii="Times New Roman" w:hAnsi="Times New Roman" w:cs="Times New Roman"/>
          <w:sz w:val="24"/>
        </w:rPr>
        <w:t>Kunstig intelligens i form av store språkmodeller ble benyttet som faglig støtteverktøy gjennom hele prosjektperioden, i tråd med retningslinjene i kursets skrivekompendium. Claude ble anvendt til kodestøtte, generering av datavisualiseringer og språklig bearbeiding av rapportteksten. KI-verktøyet er ikke brukt som fagkilde og er ikke sitert som belegg for faglige påstander. All KI-generert kode og tekst er kritisk gjennomgått og revidert av forfatteren; en refleksjon over KI-brukens påvirkning på arbeidsprosessen er gitt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jc w:val="both"/>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jc w:val="both"/>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jc w:val="both"/>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w:t>
      </w:r>
      <m:oMath>
        <m:sSub>
          <m:e>
            <m:r>
              <m:rPr>
                <m:nor/>
              </m:rPr>
              <m:t>UNIT\_PRICE</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jc w:val="both"/>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jc w:val="both"/>
      </w:pPr>
      <w:r>
        <w:rPr>
          <w:rFonts w:ascii="Times New Roman" w:hAnsi="Times New Roman" w:cs="Times New Roman"/>
          <w:sz w:val="24"/>
        </w:rPr>
        <w:t>Klassifiseringsgrensene er satt i henhold til standard ABC-litteratur (Silaen et al., 2023):</w:t>
      </w:r>
    </w:p>
    <w:p>
      <w:r>
        <w:rPr>
          <w:rFonts w:ascii="Times New Roman" w:hAnsi="Times New Roman"/>
          <w:b/>
          <w:sz w:val="20"/>
        </w:rPr>
        <w:t>Tabell 6</w:t>
      </w:r>
    </w:p>
    <w:p>
      <w:r>
        <w:rPr>
          <w:rFonts w:ascii="Times New Roman" w:hAnsi="Times New Roman"/>
          <w:i/>
          <w:sz w:val="20"/>
        </w:rPr>
        <w:t>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b w:val="0"/>
                <w:sz w:val="22"/>
              </w:rPr>
              <w:t>ABC A-grense</w:t>
            </w:r>
          </w:p>
        </w:tc>
        <w:tc>
          <w:tcPr>
            <w:tcW w:type="dxa" w:w="2923"/>
          </w:tcPr>
          <w:p>
            <w:r/>
            <w:r>
              <w:rPr>
                <w:rFonts w:ascii="Times New Roman" w:hAnsi="Times New Roman"/>
                <w:b w:val="0"/>
                <w:sz w:val="22"/>
              </w:rPr>
              <w:t>80 %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ABC B-grense</w:t>
            </w:r>
          </w:p>
        </w:tc>
        <w:tc>
          <w:tcPr>
            <w:tcW w:type="dxa" w:w="2923"/>
          </w:tcPr>
          <w:p>
            <w:r/>
            <w:r>
              <w:rPr>
                <w:rFonts w:ascii="Times New Roman" w:hAnsi="Times New Roman"/>
                <w:b w:val="0"/>
                <w:sz w:val="22"/>
              </w:rPr>
              <w:t>95 %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XYZ X-grense</w:t>
            </w:r>
          </w:p>
        </w:tc>
        <w:tc>
          <w:tcPr>
            <w:tcW w:type="dxa" w:w="2923"/>
          </w:tcPr>
          <w:p>
            <w:r/>
            <w:r>
              <w:rPr>
                <w:rFonts w:ascii="Times New Roman" w:hAnsi="Times New Roman"/>
                <w:b w:val="0"/>
                <w:sz w:val="22"/>
              </w:rPr>
              <w:t>CV &lt; 0,5</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Y-grense</w:t>
            </w:r>
          </w:p>
        </w:tc>
        <w:tc>
          <w:tcPr>
            <w:tcW w:type="dxa" w:w="2923"/>
          </w:tcPr>
          <w:p>
            <w:r/>
            <w:r>
              <w:rPr>
                <w:rFonts w:ascii="Times New Roman" w:hAnsi="Times New Roman"/>
                <w:b w:val="0"/>
                <w:sz w:val="22"/>
              </w:rPr>
              <w:t>0,5 ≤ CV &lt;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Z-grense</w:t>
            </w:r>
          </w:p>
        </w:tc>
        <w:tc>
          <w:tcPr>
            <w:tcW w:type="dxa" w:w="2923"/>
          </w:tcPr>
          <w:p>
            <w:r/>
            <w:r>
              <w:rPr>
                <w:rFonts w:ascii="Times New Roman" w:hAnsi="Times New Roman"/>
                <w:b w:val="0"/>
                <w:sz w:val="22"/>
              </w:rPr>
              <w:t>CV ≥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Ordrekostnad S</w:t>
            </w:r>
          </w:p>
        </w:tc>
        <w:tc>
          <w:tcPr>
            <w:tcW w:type="dxa" w:w="2923"/>
          </w:tcPr>
          <w:p>
            <w:r/>
            <w:r>
              <w:rPr>
                <w:rFonts w:ascii="Times New Roman" w:hAnsi="Times New Roman"/>
                <w:b w:val="0"/>
                <w:sz w:val="22"/>
              </w:rPr>
              <w:t>750 NOK</w:t>
            </w:r>
          </w:p>
        </w:tc>
        <w:tc>
          <w:tcPr>
            <w:tcW w:type="dxa" w:w="2923"/>
          </w:tcPr>
          <w:p>
            <w:r/>
            <w:r>
              <w:rPr>
                <w:rFonts w:ascii="Times New Roman" w:hAnsi="Times New Roman"/>
                <w:b w:val="0"/>
                <w:sz w:val="22"/>
              </w:rPr>
              <w:t>Bijvank &amp; Vis (2012); Kelle et al. (2012)</w:t>
            </w:r>
          </w:p>
        </w:tc>
      </w:tr>
      <w:tr>
        <w:tc>
          <w:tcPr>
            <w:tcW w:type="dxa" w:w="2923"/>
          </w:tcPr>
          <w:p>
            <w:r/>
            <w:r>
              <w:rPr>
                <w:rFonts w:ascii="Times New Roman" w:hAnsi="Times New Roman"/>
                <w:b w:val="0"/>
                <w:sz w:val="22"/>
              </w:rPr>
              <w:t>Holdesats h</w:t>
            </w:r>
          </w:p>
        </w:tc>
        <w:tc>
          <w:tcPr>
            <w:tcW w:type="dxa" w:w="2923"/>
          </w:tcPr>
          <w:p>
            <w:r/>
            <w:r>
              <w:rPr>
                <w:rFonts w:ascii="Times New Roman" w:hAnsi="Times New Roman"/>
                <w:b w:val="0"/>
                <w:sz w:val="22"/>
              </w:rPr>
              <w:t>20 % av UNIT_PRICE</w:t>
            </w:r>
          </w:p>
        </w:tc>
        <w:tc>
          <w:tcPr>
            <w:tcW w:type="dxa" w:w="2923"/>
          </w:tcPr>
          <w:p>
            <w:r/>
            <w:r>
              <w:rPr>
                <w:rFonts w:ascii="Times New Roman" w:hAnsi="Times New Roman"/>
                <w:b w:val="0"/>
                <w:sz w:val="22"/>
              </w:rPr>
              <w:t>Ketkar &amp; Vaidya (2014)</w:t>
            </w:r>
          </w:p>
        </w:tc>
      </w:tr>
      <w:tr>
        <w:tc>
          <w:tcPr>
            <w:tcW w:type="dxa" w:w="2923"/>
          </w:tcPr>
          <w:p>
            <w:r/>
            <w:r>
              <w:rPr>
                <w:rFonts w:ascii="Times New Roman" w:hAnsi="Times New Roman"/>
                <w:b w:val="0"/>
                <w:sz w:val="22"/>
              </w:rPr>
              <w:t>Leveringstid standardverdi</w:t>
            </w:r>
          </w:p>
        </w:tc>
        <w:tc>
          <w:tcPr>
            <w:tcW w:type="dxa" w:w="2923"/>
          </w:tcPr>
          <w:p>
            <w:r/>
            <w:r>
              <w:rPr>
                <w:rFonts w:ascii="Times New Roman" w:hAnsi="Times New Roman"/>
                <w:b w:val="0"/>
                <w:sz w:val="22"/>
              </w:rPr>
              <w:t>14 dager</w:t>
            </w:r>
          </w:p>
        </w:tc>
        <w:tc>
          <w:tcPr>
            <w:tcW w:type="dxa" w:w="2923"/>
          </w:tcPr>
          <w:p>
            <w:r/>
            <w:r>
              <w:rPr>
                <w:rFonts w:ascii="Times New Roman" w:hAnsi="Times New Roman"/>
                <w:b w:val="0"/>
                <w:sz w:val="22"/>
              </w:rPr>
              <w:t>Bransjepraksis (D-05)</w:t>
            </w:r>
          </w:p>
        </w:tc>
      </w:tr>
      <w:tr>
        <w:tc>
          <w:tcPr>
            <w:tcW w:type="dxa" w:w="2923"/>
          </w:tcPr>
          <w:p>
            <w:r/>
            <w:r>
              <w:rPr>
                <w:rFonts w:ascii="Times New Roman" w:hAnsi="Times New Roman"/>
                <w:b w:val="0"/>
                <w:sz w:val="22"/>
              </w:rPr>
              <w:t>EOQ-terskel τ_f</w:t>
            </w:r>
          </w:p>
        </w:tc>
        <w:tc>
          <w:tcPr>
            <w:tcW w:type="dxa" w:w="2923"/>
          </w:tcPr>
          <w:p>
            <w:r/>
            <w:r>
              <w:rPr>
                <w:rFonts w:ascii="Times New Roman" w:hAnsi="Times New Roman"/>
                <w:b w:val="0"/>
                <w:sz w:val="22"/>
              </w:rPr>
              <w:t>1,5 (</w:t>
            </w:r>
            <m:oMath>
              <m:sSub>
                <m:e>
                  <m:r>
                    <m:t>f</m:t>
                  </m:r>
                </m:e>
                <m:sub>
                  <m:r>
                    <m:rPr>
                      <m:nor/>
                    </m:rPr>
                    <m:t>obs</m:t>
                  </m:r>
                  <m:r>
                    <m:t>,i</m:t>
                  </m:r>
                </m:sub>
              </m:sSub>
              <m:r>
                <m:t>&gt;1</m:t>
              </m:r>
              <m:r>
                <m:t>,</m:t>
              </m:r>
              <m:r>
                <m:t>5·</m:t>
              </m:r>
              <m:sSubSup>
                <m:e>
                  <m:r>
                    <m:t>f</m:t>
                  </m:r>
                </m:e>
                <m:sub>
                  <m:r>
                    <m:t>i</m:t>
                  </m:r>
                </m:sub>
                <m:sup>
                  <m:r>
                    <m:t>*</m:t>
                  </m:r>
                </m:sup>
              </m:sSubSup>
            </m:oMath>
            <w:r>
              <w:rPr>
                <w:rFonts w:ascii="Times New Roman" w:hAnsi="Times New Roman"/>
                <w:b w:val="0"/>
                <w:sz w:val="22"/>
              </w:rPr>
              <w:t>, dvs. FREQ_AVVIK &gt; 0,5)</w:t>
            </w:r>
          </w:p>
        </w:tc>
        <w:tc>
          <w:tcPr>
            <w:tcW w:type="dxa" w:w="2923"/>
          </w:tcPr>
          <w:p>
            <w:r/>
            <w:r>
              <w:rPr>
                <w:rFonts w:ascii="Times New Roman" w:hAnsi="Times New Roman"/>
                <w:b w:val="0"/>
                <w:sz w:val="22"/>
              </w:rPr>
              <w:t>Operasjonelt vesentlig avvik</w:t>
            </w:r>
          </w:p>
        </w:tc>
      </w:tr>
      <w:tr>
        <w:tc>
          <w:tcPr>
            <w:tcW w:type="dxa" w:w="2923"/>
          </w:tcPr>
          <w:p>
            <w:r/>
            <w:r>
              <w:rPr>
                <w:rFonts w:ascii="Times New Roman" w:hAnsi="Times New Roman"/>
                <w:b w:val="0"/>
                <w:sz w:val="22"/>
              </w:rPr>
              <w:t>K-means K-søk</w:t>
            </w:r>
          </w:p>
        </w:tc>
        <w:tc>
          <w:tcPr>
            <w:tcW w:type="dxa" w:w="2923"/>
          </w:tcPr>
          <w:p>
            <w:r/>
            <w:r>
              <w:rPr>
                <w:rFonts w:ascii="Times New Roman" w:hAnsi="Times New Roman"/>
                <w:b w:val="0"/>
                <w:sz w:val="22"/>
              </w:rPr>
              <w:t>K ∈ {2, 3, 4, 5, 6, 7}</w:t>
            </w:r>
          </w:p>
        </w:tc>
        <w:tc>
          <w:tcPr>
            <w:tcW w:type="dxa" w:w="2923"/>
          </w:tcPr>
          <w:p>
            <w:r/>
            <w:r>
              <w:rPr>
                <w:rFonts w:ascii="Times New Roman" w:hAnsi="Times New Roman"/>
                <w:b w:val="0"/>
                <w:sz w:val="22"/>
              </w:rPr>
              <w:t>Silhouette-optimering</w:t>
            </w:r>
          </w:p>
        </w:tc>
      </w:tr>
      <w:tr>
        <w:tc>
          <w:tcPr>
            <w:tcW w:type="dxa" w:w="2923"/>
          </w:tcPr>
          <w:p>
            <w:r/>
            <w:r>
              <w:rPr>
                <w:rFonts w:ascii="Times New Roman" w:hAnsi="Times New Roman"/>
                <w:b w:val="0"/>
                <w:sz w:val="22"/>
              </w:rPr>
              <w:t>K-means n_init</w:t>
            </w:r>
          </w:p>
        </w:tc>
        <w:tc>
          <w:tcPr>
            <w:tcW w:type="dxa" w:w="2923"/>
          </w:tcPr>
          <w:p>
            <w:r/>
            <w:r>
              <w:rPr>
                <w:rFonts w:ascii="Times New Roman" w:hAnsi="Times New Roman"/>
                <w:b w:val="0"/>
                <w:sz w:val="22"/>
              </w:rPr>
              <w:t>50</w:t>
            </w:r>
          </w:p>
        </w:tc>
        <w:tc>
          <w:tcPr>
            <w:tcW w:type="dxa" w:w="2923"/>
          </w:tcPr>
          <w:p>
            <w:r/>
            <w:r>
              <w:rPr>
                <w:rFonts w:ascii="Times New Roman" w:hAnsi="Times New Roman"/>
                <w:b w:val="0"/>
                <w:sz w:val="22"/>
              </w:rPr>
              <w:t>Robust initialisering</w:t>
            </w:r>
          </w:p>
        </w:tc>
      </w:tr>
      <w:tr>
        <w:tc>
          <w:tcPr>
            <w:tcW w:type="dxa" w:w="2923"/>
          </w:tcPr>
          <w:p>
            <w:r/>
            <w:r>
              <w:rPr>
                <w:rFonts w:ascii="Times New Roman" w:hAnsi="Times New Roman"/>
                <w:b w:val="0"/>
                <w:sz w:val="22"/>
              </w:rPr>
              <w:t>Random state</w:t>
            </w:r>
          </w:p>
        </w:tc>
        <w:tc>
          <w:tcPr>
            <w:tcW w:type="dxa" w:w="2923"/>
          </w:tcPr>
          <w:p>
            <w:r/>
            <w:r>
              <w:rPr>
                <w:rFonts w:ascii="Times New Roman" w:hAnsi="Times New Roman"/>
                <w:b w:val="0"/>
                <w:sz w:val="22"/>
              </w:rPr>
              <w:t>42</w:t>
            </w:r>
          </w:p>
        </w:tc>
        <w:tc>
          <w:tcPr>
            <w:tcW w:type="dxa" w:w="2923"/>
          </w:tcPr>
          <w:p>
            <w:r/>
            <w:r>
              <w:rPr>
                <w:rFonts w:ascii="Times New Roman" w:hAnsi="Times New Roman"/>
                <w:b w:val="0"/>
                <w:sz w:val="22"/>
              </w:rPr>
              <w:t>Reproduserbarhet</w:t>
            </w:r>
          </w:p>
        </w:tc>
      </w:tr>
      <w:tr>
        <w:tc>
          <w:tcPr>
            <w:tcW w:type="dxa" w:w="2923"/>
          </w:tcPr>
          <w:p>
            <w:r/>
            <w:r>
              <w:rPr>
                <w:rFonts w:ascii="Times New Roman" w:hAnsi="Times New Roman"/>
                <w:b w:val="0"/>
                <w:sz w:val="22"/>
              </w:rPr>
              <w:t>Train/test split</w:t>
            </w:r>
          </w:p>
        </w:tc>
        <w:tc>
          <w:tcPr>
            <w:tcW w:type="dxa" w:w="2923"/>
          </w:tcPr>
          <w:p>
            <w:r/>
            <w:r>
              <w:rPr>
                <w:rFonts w:ascii="Times New Roman" w:hAnsi="Times New Roman"/>
                <w:b w:val="0"/>
                <w:sz w:val="22"/>
              </w:rPr>
              <w:t>80/20</w:t>
            </w:r>
          </w:p>
        </w:tc>
        <w:tc>
          <w:tcPr>
            <w:tcW w:type="dxa" w:w="2923"/>
          </w:tcPr>
          <w:p>
            <w:r/>
            <w:r>
              <w:rPr>
                <w:rFonts w:ascii="Times New Roman" w:hAnsi="Times New Roman"/>
                <w:b w:val="0"/>
                <w:sz w:val="22"/>
              </w:rPr>
              <w:t>Standard validering</w:t>
            </w:r>
          </w:p>
        </w:tc>
      </w:tr>
    </w:tbl>
    <w:p>
      <w:pPr>
        <w:spacing w:line="360" w:lineRule="auto"/>
        <w:jc w:val="both"/>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jc w:val="both"/>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jc w:val="both"/>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jc w:val="both"/>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jc w:val="both"/>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jc w:val="both"/>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jc w:val="both"/>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jc w:val="both"/>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jc w:val="both"/>
      </w:pPr>
      <w:r>
        <w:rPr>
          <w:rFonts w:ascii="Times New Roman" w:hAnsi="Times New Roman" w:cs="Times New Roman"/>
          <w:sz w:val="24"/>
        </w:rPr>
        <w:t xml:space="preserve">En artikkel klassifiseres som FOR\_MANGE\_ORDRER dersom </w:t>
      </w:r>
      <m:oMath>
        <m:sSub>
          <m:e>
            <m:r>
              <m:t>f</m:t>
            </m:r>
          </m:e>
          <m:sub>
            <m:r>
              <m:rPr>
                <m:nor/>
              </m:rPr>
              <m:t>obs</m:t>
            </m:r>
            <m:r>
              <m:t>,i</m:t>
            </m:r>
          </m:sub>
        </m:sSub>
        <m:r>
          <m:t>&gt;</m:t>
        </m:r>
        <m:sSub>
          <m:e>
            <m:r>
              <m:t>τ</m:t>
            </m:r>
          </m:e>
          <m:sub>
            <m:r>
              <m:t>f</m:t>
            </m:r>
          </m:sub>
        </m:sSub>
        <m:r>
          <m:t>·</m:t>
        </m:r>
        <m:sSubSup>
          <m:e>
            <m:r>
              <m:t>f</m:t>
            </m:r>
          </m:e>
          <m:sub>
            <m:r>
              <m:t>i</m:t>
            </m:r>
          </m:sub>
          <m:sup>
            <m:r>
              <m:t>*</m:t>
            </m:r>
          </m:sup>
        </m:sSub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Symmetrisk klassifiseres artikler med FREQ\_AVVIK </w:t>
      </w:r>
      <m:oMath>
        <m:d>
          <m:dPr>
            <m:begChr m:val="&lt;"/>
            <m:sepChr m:val="−"/>
            <m:endChr m:val=""/>
          </m:dPr>
          <m:e/>
          <m:e>
            <m:r>
              <m:t>0</m:t>
            </m:r>
            <m:r>
              <m:t>,</m:t>
            </m:r>
            <m:r>
              <m:t>5</m:t>
            </m:r>
          </m:e>
        </m:d>
      </m:oMath>
      <w:r>
        <w:rPr>
          <w:rFonts w:ascii="Times New Roman" w:hAnsi="Times New Roman" w:cs="Times New Roman"/>
          <w:sz w:val="24"/>
        </w:rPr>
        <w:t xml:space="preserve"> som FOR\_FÅ\_ORDRER, mens artikler i intervallet </w:t>
      </w:r>
      <m:oMath>
        <m:d>
          <m:dPr>
            <m:begChr m:val="["/>
            <m:sepChr m:val="−"/>
            <m:endChr m:val="]"/>
          </m:dPr>
          <m:e/>
          <m:e>
            <m:r>
              <m:t>0</m:t>
            </m:r>
            <m:r>
              <m:t>,</m:t>
            </m:r>
            <m:r>
              <m:t>5</m:t>
            </m:r>
            <m:r>
              <m:t>;</m:t>
            </m:r>
            <m:r>
              <m:t>0</m:t>
            </m:r>
            <m:r>
              <m:t>,</m:t>
            </m:r>
            <m:r>
              <m:t>5</m:t>
            </m:r>
          </m:e>
        </m:d>
      </m:oMath>
      <w:r>
        <w:rPr>
          <w:rFonts w:ascii="Times New Roman" w:hAnsi="Times New Roman" w:cs="Times New Roman"/>
          <w:sz w:val="24"/>
        </w:rPr>
        <w:t xml:space="preserve"> klassifiseres som OK.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jc w:val="both"/>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jc w:val="both"/>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jc w:val="both"/>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xml:space="preserve"> for robust initialisering.</w:t>
      </w:r>
    </w:p>
    <w:p>
      <w:pPr>
        <w:spacing w:line="360" w:lineRule="auto"/>
        <w:jc w:val="both"/>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jc w:val="both"/>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jc w:val="both"/>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tilpasses utelukkende til treningsdataene og transformerer deretter begge sett. KMeans-modellen trenes kun på treningsdataene. Testsettet evaluerer klyngestrukturens generaliserbarhet.</w:t>
      </w:r>
    </w:p>
    <w:p>
      <w:pPr>
        <w:spacing w:line="360" w:lineRule="auto"/>
        <w:jc w:val="both"/>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jc w:val="both"/>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overtilpasning (</w:t>
      </w:r>
      <w:r>
        <w:rPr>
          <w:rFonts w:ascii="Times New Roman" w:hAnsi="Times New Roman" w:cs="Times New Roman"/>
          <w:i/>
          <w:sz w:val="24"/>
        </w:rPr>
        <w:t>overfit</w:t>
      </w:r>
      <w:r>
        <w:rPr>
          <w:rFonts w:ascii="Times New Roman" w:hAnsi="Times New Roman" w:cs="Times New Roman"/>
          <w:sz w:val="24"/>
        </w:rPr>
        <w:t>).</w:t>
      </w:r>
    </w:p>
    <w:p>
      <w:pPr>
        <w:spacing w:line="360" w:lineRule="auto"/>
        <w:jc w:val="both"/>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jc w:val="both"/>
      </w:pPr>
      <w:r>
        <w:rPr>
          <w:rFonts w:ascii="Times New Roman" w:hAnsi="Times New Roman" w:cs="Times New Roman"/>
          <w:sz w:val="24"/>
        </w:rPr>
        <w:t xml:space="preserve">K\_OVERFØR er altså klyngen med lavest gjennomsnittlig CV (stabilt forbruksmønster) og høyest gjennomsnittlig artikkelverdi. Implementasjonen benytter </w:t>
      </w:r>
      <w:r>
        <w:rPr>
          <w:rFonts w:ascii="Consolas" w:hAnsi="Consolas" w:cs="Consolas"/>
          <w:sz w:val="20"/>
          <w:shd w:val="clear" w:color="auto" w:fill="F4F4F4"/>
        </w:rPr>
        <w:t>pandas.Series.rank()</w:t>
      </w:r>
      <w:r>
        <w:rPr>
          <w:rFonts w:ascii="Times New Roman" w:hAnsi="Times New Roman" w:cs="Times New Roman"/>
          <w:sz w:val="24"/>
        </w:rPr>
        <w:t xml:space="preserve">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w:t>
      </w:r>
    </w:p>
    <w:p>
      <w:pPr>
        <w:spacing w:line="360" w:lineRule="auto"/>
        <w:jc w:val="both"/>
      </w:pPr>
      <w:r>
        <w:rPr>
          <w:rFonts w:ascii="Times New Roman" w:hAnsi="Times New Roman" w:cs="Times New Roman"/>
          <w:b/>
          <w:sz w:val="24"/>
        </w:rPr>
        <w:t>Designvalg.</w:t>
      </w:r>
      <w:r>
        <w:rPr>
          <w:rFonts w:ascii="Times New Roman" w:hAnsi="Times New Roman" w:cs="Times New Roman"/>
          <w:sz w:val="24"/>
        </w:rPr>
        <w:t xml:space="preserve"> K-means er inkludert i rammeverket av to begrunnede årsaker. For det første gir metoden </w:t>
      </w:r>
      <w:r>
        <w:rPr>
          <w:rFonts w:ascii="Times New Roman" w:hAnsi="Times New Roman" w:cs="Times New Roman"/>
          <w:i/>
          <w:sz w:val="24"/>
        </w:rPr>
        <w:t>frihet fra forhåndsdefinerte terskelverdier</w:t>
      </w:r>
      <w:r>
        <w:rPr>
          <w:rFonts w:ascii="Times New Roman" w:hAnsi="Times New Roman" w:cs="Times New Roman"/>
          <w:sz w:val="24"/>
        </w:rPr>
        <w:t xml:space="preserve">: ABC-grensene (80/95 %) og XYZ-grensene (0,5 og 1,0) er litteraturbaserte valg, mens K-means lar dataene selv avgjøre gruppestrukturen multivariat. For det andre bidrar metoden til </w:t>
      </w:r>
      <w:r>
        <w:rPr>
          <w:rFonts w:ascii="Times New Roman" w:hAnsi="Times New Roman" w:cs="Times New Roman"/>
          <w:i/>
          <w:sz w:val="24"/>
        </w:rPr>
        <w:t>metodisk triangulering</w:t>
      </w:r>
      <w:r>
        <w:rPr>
          <w:rFonts w:ascii="Times New Roman" w:hAnsi="Times New Roman" w:cs="Times New Roman"/>
          <w:sz w:val="24"/>
        </w:rPr>
        <w:t xml:space="preserve"> – at tre analytiske tilnærminger med ulike antagelser konvergerer mot samme artikkelgruppe utgjør et validitetsargument, ikke en redundans. At K\_OVERFØR-klyngen bygger på de samme underliggende dimensjonene (verdi og forbruksstabilitet) som ABC/XYZ-klassifiseringen er dermed forventet og ettersøkt; sammenfallet bekrefter at de litteraturbaserte tersklene er rimelige for dette datasettet.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jc w:val="both"/>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b/>
          <w:sz w:val="20"/>
        </w:rPr>
        <w:t>Tabell 7</w:t>
      </w:r>
    </w:p>
    <w:p>
      <w:r>
        <w:rPr>
          <w:rFonts w:ascii="Times New Roman" w:hAnsi="Times New Roman"/>
          <w:i/>
          <w:sz w:val="20"/>
        </w:rPr>
        <w:t>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b w:val="0"/>
                <w:sz w:val="22"/>
              </w:rPr>
              <w:t>R1</w:t>
            </w:r>
          </w:p>
        </w:tc>
        <w:tc>
          <w:tcPr>
            <w:tcW w:type="dxa" w:w="2192"/>
          </w:tcPr>
          <w:p>
            <w:r/>
            <w:r>
              <w:rPr>
                <w:rFonts w:ascii="Times New Roman" w:hAnsi="Times New Roman"/>
                <w:b w:val="0"/>
                <w:sz w:val="22"/>
              </w:rPr>
              <w:t>XYZ = Z (uavh. av ABC)</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Uforutsigbart forbruk → uegnet for APL</w:t>
            </w:r>
          </w:p>
        </w:tc>
      </w:tr>
      <w:tr>
        <w:tc>
          <w:tcPr>
            <w:tcW w:type="dxa" w:w="2192"/>
          </w:tcPr>
          <w:p>
            <w:r/>
            <w:r>
              <w:rPr>
                <w:rFonts w:ascii="Times New Roman" w:hAnsi="Times New Roman"/>
                <w:b w:val="0"/>
                <w:sz w:val="22"/>
              </w:rPr>
              <w:t>R2</w:t>
            </w:r>
          </w:p>
        </w:tc>
        <w:tc>
          <w:tcPr>
            <w:tcW w:type="dxa" w:w="2192"/>
          </w:tcPr>
          <w:p>
            <w:r/>
            <w:r>
              <w:rPr>
                <w:rFonts w:ascii="Times New Roman" w:hAnsi="Times New Roman"/>
                <w:b w:val="0"/>
                <w:sz w:val="22"/>
              </w:rPr>
              <w:t>ABC = C og XYZ = Y</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Lav verdi + moderat variasjon</w:t>
            </w:r>
          </w:p>
        </w:tc>
      </w:tr>
      <w:tr>
        <w:tc>
          <w:tcPr>
            <w:tcW w:type="dxa" w:w="2192"/>
          </w:tcPr>
          <w:p>
            <w:r/>
            <w:r>
              <w:rPr>
                <w:rFonts w:ascii="Times New Roman" w:hAnsi="Times New Roman"/>
                <w:b w:val="0"/>
                <w:sz w:val="22"/>
              </w:rPr>
              <w:t>R3</w:t>
            </w:r>
          </w:p>
        </w:tc>
        <w:tc>
          <w:tcPr>
            <w:tcW w:type="dxa" w:w="2192"/>
          </w:tcPr>
          <w:p>
            <w:r/>
            <w:r>
              <w:rPr>
                <w:rFonts w:ascii="Times New Roman" w:hAnsi="Times New Roman"/>
                <w:b w:val="0"/>
                <w:sz w:val="22"/>
              </w:rPr>
              <w:t>ABC ∈ {A, B} og XYZ = X og EOQ = FOR_MANGE</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Sterkeste signal: høy verdi, stabilt, overbestilt</w:t>
            </w:r>
          </w:p>
        </w:tc>
      </w:tr>
      <w:tr>
        <w:tc>
          <w:tcPr>
            <w:tcW w:type="dxa" w:w="2192"/>
          </w:tcPr>
          <w:p>
            <w:r/>
            <w:r>
              <w:rPr>
                <w:rFonts w:ascii="Times New Roman" w:hAnsi="Times New Roman"/>
                <w:b w:val="0"/>
                <w:sz w:val="22"/>
              </w:rPr>
              <w:t>R4</w:t>
            </w:r>
          </w:p>
        </w:tc>
        <w:tc>
          <w:tcPr>
            <w:tcW w:type="dxa" w:w="2192"/>
          </w:tcPr>
          <w:p>
            <w:r/>
            <w:r>
              <w:rPr>
                <w:rFonts w:ascii="Times New Roman" w:hAnsi="Times New Roman"/>
                <w:b w:val="0"/>
                <w:sz w:val="22"/>
              </w:rPr>
              <w:t>ABC ∈ {A, B} og XYZ = X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stabilt, klyngeprofil bekrefter</w:t>
            </w:r>
          </w:p>
        </w:tc>
      </w:tr>
      <w:tr>
        <w:tc>
          <w:tcPr>
            <w:tcW w:type="dxa" w:w="2192"/>
          </w:tcPr>
          <w:p>
            <w:r/>
            <w:r>
              <w:rPr>
                <w:rFonts w:ascii="Times New Roman" w:hAnsi="Times New Roman"/>
                <w:b w:val="0"/>
                <w:sz w:val="22"/>
              </w:rPr>
              <w:t>R5</w:t>
            </w:r>
          </w:p>
        </w:tc>
        <w:tc>
          <w:tcPr>
            <w:tcW w:type="dxa" w:w="2192"/>
          </w:tcPr>
          <w:p>
            <w:r/>
            <w:r>
              <w:rPr>
                <w:rFonts w:ascii="Times New Roman" w:hAnsi="Times New Roman"/>
                <w:b w:val="0"/>
                <w:sz w:val="22"/>
              </w:rPr>
              <w:t>ABC ∈ {A, B} og XYZ = Y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moderat variasjon, klyngeprofil bekrefter</w:t>
            </w:r>
          </w:p>
        </w:tc>
      </w:tr>
      <w:tr>
        <w:tc>
          <w:tcPr>
            <w:tcW w:type="dxa" w:w="2192"/>
          </w:tcPr>
          <w:p>
            <w:r/>
            <w:r>
              <w:rPr>
                <w:rFonts w:ascii="Times New Roman" w:hAnsi="Times New Roman"/>
                <w:b w:val="0"/>
                <w:sz w:val="22"/>
              </w:rPr>
              <w:t>R6</w:t>
            </w:r>
          </w:p>
        </w:tc>
        <w:tc>
          <w:tcPr>
            <w:tcW w:type="dxa" w:w="2192"/>
          </w:tcPr>
          <w:p>
            <w:r/>
            <w:r>
              <w:rPr>
                <w:rFonts w:ascii="Times New Roman" w:hAnsi="Times New Roman"/>
                <w:b w:val="0"/>
                <w:sz w:val="22"/>
              </w:rPr>
              <w:t>ABC ∈ {A, B} og XYZ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stabilt, men ikke K_OVERFØR</w:t>
            </w:r>
          </w:p>
        </w:tc>
      </w:tr>
      <w:tr>
        <w:tc>
          <w:tcPr>
            <w:tcW w:type="dxa" w:w="2192"/>
          </w:tcPr>
          <w:p>
            <w:r/>
            <w:r>
              <w:rPr>
                <w:rFonts w:ascii="Times New Roman" w:hAnsi="Times New Roman"/>
                <w:b w:val="0"/>
                <w:sz w:val="22"/>
              </w:rPr>
              <w:t>R7</w:t>
            </w:r>
          </w:p>
        </w:tc>
        <w:tc>
          <w:tcPr>
            <w:tcW w:type="dxa" w:w="2192"/>
          </w:tcPr>
          <w:p>
            <w:r/>
            <w:r>
              <w:rPr>
                <w:rFonts w:ascii="Times New Roman" w:hAnsi="Times New Roman"/>
                <w:b w:val="0"/>
                <w:sz w:val="22"/>
              </w:rPr>
              <w:t>ABC ∈ {A, B} og XYZ = Y</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moderat variasjon, ikke K_OVERFØR</w:t>
            </w:r>
          </w:p>
        </w:tc>
      </w:tr>
      <w:tr>
        <w:tc>
          <w:tcPr>
            <w:tcW w:type="dxa" w:w="2192"/>
          </w:tcPr>
          <w:p>
            <w:r/>
            <w:r>
              <w:rPr>
                <w:rFonts w:ascii="Times New Roman" w:hAnsi="Times New Roman"/>
                <w:b w:val="0"/>
                <w:sz w:val="22"/>
              </w:rPr>
              <w:t>R8</w:t>
            </w:r>
          </w:p>
        </w:tc>
        <w:tc>
          <w:tcPr>
            <w:tcW w:type="dxa" w:w="2192"/>
          </w:tcPr>
          <w:p>
            <w:r/>
            <w:r>
              <w:rPr>
                <w:rFonts w:ascii="Times New Roman" w:hAnsi="Times New Roman"/>
                <w:b w:val="0"/>
                <w:sz w:val="22"/>
              </w:rPr>
              <w:t>Ellers (inkl. C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Uklart signalmønster eller lav verdi</w:t>
            </w:r>
          </w:p>
        </w:tc>
      </w:tr>
    </w:tbl>
    <w:p>
      <w:pPr>
        <w:spacing w:line="360" w:lineRule="auto"/>
        <w:jc w:val="both"/>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jc w:val="both"/>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w:t>
      </w:r>
    </w:p>
    <w:p>
      <w:pPr>
        <w:spacing w:line="360" w:lineRule="auto"/>
        <w:jc w:val="both"/>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 Kapittel 6 beskriver den analytiske gjennomføringen av modellene fra kapittel 5 på de 709 artiklene i LGORT 3001.</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jc w:val="both"/>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w:t>
      </w:r>
      <m:oMath>
        <m:sSub>
          <m:e>
            <m:r>
              <m:rPr>
                <m:nor/>
              </m:rPr>
              <m:t>UNIT\_PRICE</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jc w:val="both"/>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w:t>
      </w:r>
    </w:p>
    <w:p>
      <w:pPr>
        <w:pStyle w:val="Overskrift2"/>
      </w:pPr>
      <w:r>
        <w:rPr>
          <w:rFonts w:ascii="Times New Roman" w:hAnsi="Times New Roman"/>
          <w:color w:val="000000"/>
          <w:sz w:val="32"/>
        </w:rPr>
        <w:t>6.2 XYZ-klassifisering</w:t>
      </w:r>
    </w:p>
    <w:p>
      <w:pPr>
        <w:spacing w:line="360" w:lineRule="auto"/>
        <w:jc w:val="both"/>
      </w:pPr>
      <w:r>
        <w:rPr>
          <w:rFonts w:ascii="Times New Roman" w:hAnsi="Times New Roman" w:cs="Times New Roman"/>
          <w:sz w:val="24"/>
        </w:rPr>
        <w:t xml:space="preserve">XYZ-klassifiseringen tok utgangspunkt i månedlig MSEG-forbruk per artikkel over den 24 måneder lange analyseperioden, med bevegelsestypene 201 og 647. For hver artikkel ble variasjonskoeffisienten </w:t>
      </w:r>
      <m:oMath>
        <m:sSub>
          <m:e>
            <m:r>
              <m:rPr>
                <m:nor/>
              </m:rPr>
              <m:t>CV</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jc w:val="both"/>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jc w:val="both"/>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(687 klassifiserte artikler, WERKS 3300 / LGORT 3001). Generert med støtte fra Claude.</w:t>
      </w:r>
    </w:p>
    <w:p>
      <w:pPr>
        <w:spacing w:line="360" w:lineRule="auto"/>
        <w:jc w:val="both"/>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jc w:val="both"/>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jc w:val="both"/>
      </w:pPr>
      <w:r>
        <w:rPr>
          <w:rFonts w:ascii="Times New Roman" w:hAnsi="Times New Roman" w:cs="Times New Roman"/>
          <w:sz w:val="24"/>
        </w:rPr>
        <w:t xml:space="preserve">Det relative frekvensavviket </w:t>
      </w:r>
      <m:oMath>
        <m:sSub>
          <m:e>
            <m:r>
              <m:rPr>
                <m:nor/>
              </m:rPr>
              <m:t>FREQ\_AVVIK</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w:t>
      </w:r>
    </w:p>
    <w:p>
      <w:pPr>
        <w:spacing w:line="360" w:lineRule="auto"/>
        <w:jc w:val="both"/>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jc w:val="both"/>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xml:space="preserve">) med </w:t>
      </w:r>
      <w:r>
        <w:rPr>
          <w:rFonts w:ascii="Consolas" w:hAnsi="Consolas" w:cs="Consolas"/>
          <w:sz w:val="20"/>
          <w:shd w:val="clear" w:color="auto" w:fill="F4F4F4"/>
        </w:rPr>
        <w:t>random_state=42</w:t>
      </w:r>
      <w:r>
        <w:rPr>
          <w:rFonts w:ascii="Times New Roman" w:hAnsi="Times New Roman" w:cs="Times New Roman"/>
          <w:sz w:val="24"/>
        </w:rPr>
        <w:t>. StandardScaler ble tilpasset utelukkende til treningsdataene og deretter brukt til å transformere begge sett, slik at informasjon fra testsettet ikke lekker inn i skaleringen.</w:t>
      </w:r>
    </w:p>
    <w:p>
      <w:pPr>
        <w:spacing w:line="360" w:lineRule="auto"/>
        <w:jc w:val="both"/>
      </w:pPr>
      <w:r>
        <w:rPr>
          <w:rFonts w:ascii="Times New Roman" w:hAnsi="Times New Roman" w:cs="Times New Roman"/>
          <w:b/>
          <w:sz w:val="24"/>
        </w:rPr>
        <w:t>K-valg via silhouette.</w:t>
      </w:r>
      <w:r>
        <w:rPr>
          <w:rFonts w:ascii="Times New Roman" w:hAnsi="Times New Roman" w:cs="Times New Roman"/>
          <w:sz w:val="24"/>
        </w:rPr>
        <w:t xml:space="preserve"> KMeans-modellen ble trent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w:t>
      </w:r>
    </w:p>
    <w:p>
      <w:pPr>
        <w:spacing w:line="360" w:lineRule="auto"/>
        <w:jc w:val="both"/>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xml:space="preserve">,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jc w:val="both"/>
      </w:pPr>
      <w:r>
        <w:rPr>
          <w:rFonts w:ascii="Times New Roman" w:hAnsi="Times New Roman" w:cs="Times New Roman"/>
          <w:b/>
          <w:sz w:val="24"/>
        </w:rPr>
        <w:t>Klyngeprofiler.</w:t>
      </w:r>
      <w:r>
        <w:rPr>
          <w:rFonts w:ascii="Times New Roman" w:hAnsi="Times New Roman" w:cs="Times New Roman"/>
          <w:sz w:val="24"/>
        </w:rPr>
        <w:t xml:space="preserve"> Etter at KMeans-modellen var trent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w:t>
      </w:r>
    </w:p>
    <w:p>
      <w:pPr>
        <w:spacing w:line="360" w:lineRule="auto"/>
        <w:jc w:val="both"/>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w:t>
      </w:r>
    </w:p>
    <w:p>
      <w:pPr>
        <w:spacing w:line="360" w:lineRule="auto"/>
        <w:jc w:val="both"/>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jc w:val="both"/>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jc w:val="both"/>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jc w:val="both"/>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w:t>
      </w:r>
    </w:p>
    <w:p>
      <w:pPr>
        <w:spacing w:line="360" w:lineRule="auto"/>
        <w:jc w:val="both"/>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b/>
          <w:sz w:val="20"/>
        </w:rPr>
        <w:t>Tabell 8</w:t>
      </w:r>
    </w:p>
    <w:p>
      <w:r>
        <w:rPr>
          <w:rFonts w:ascii="Times New Roman" w:hAnsi="Times New Roman"/>
          <w:i/>
          <w:sz w:val="20"/>
        </w:rPr>
        <w:t>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b w:val="0"/>
                <w:sz w:val="22"/>
              </w:rPr>
              <w:t>A</w:t>
            </w:r>
          </w:p>
        </w:tc>
        <w:tc>
          <w:tcPr>
            <w:tcW w:type="dxa" w:w="2192"/>
          </w:tcPr>
          <w:p>
            <w:r/>
            <w:r>
              <w:rPr>
                <w:rFonts w:ascii="Times New Roman" w:hAnsi="Times New Roman"/>
                <w:b w:val="0"/>
                <w:sz w:val="22"/>
              </w:rPr>
              <w:t>182</w:t>
            </w:r>
          </w:p>
        </w:tc>
        <w:tc>
          <w:tcPr>
            <w:tcW w:type="dxa" w:w="2192"/>
          </w:tcPr>
          <w:p>
            <w:r/>
            <w:r>
              <w:rPr>
                <w:rFonts w:ascii="Times New Roman" w:hAnsi="Times New Roman"/>
                <w:b w:val="0"/>
                <w:sz w:val="22"/>
              </w:rPr>
              <w:t>25,7 %</w:t>
            </w:r>
          </w:p>
        </w:tc>
        <w:tc>
          <w:tcPr>
            <w:tcW w:type="dxa" w:w="2192"/>
          </w:tcPr>
          <w:p>
            <w:r/>
            <w:r>
              <w:rPr>
                <w:rFonts w:ascii="Times New Roman" w:hAnsi="Times New Roman"/>
                <w:b w:val="0"/>
                <w:sz w:val="22"/>
              </w:rPr>
              <w:t>0–80 %</w:t>
            </w:r>
          </w:p>
        </w:tc>
      </w:tr>
      <w:tr>
        <w:tc>
          <w:tcPr>
            <w:tcW w:type="dxa" w:w="2192"/>
          </w:tcPr>
          <w:p>
            <w:r/>
            <w:r>
              <w:rPr>
                <w:rFonts w:ascii="Times New Roman" w:hAnsi="Times New Roman"/>
                <w:b w:val="0"/>
                <w:sz w:val="22"/>
              </w:rPr>
              <w:t>B</w:t>
            </w:r>
          </w:p>
        </w:tc>
        <w:tc>
          <w:tcPr>
            <w:tcW w:type="dxa" w:w="2192"/>
          </w:tcPr>
          <w:p>
            <w:r/>
            <w:r>
              <w:rPr>
                <w:rFonts w:ascii="Times New Roman" w:hAnsi="Times New Roman"/>
                <w:b w:val="0"/>
                <w:sz w:val="22"/>
              </w:rPr>
              <w:t>184</w:t>
            </w:r>
          </w:p>
        </w:tc>
        <w:tc>
          <w:tcPr>
            <w:tcW w:type="dxa" w:w="2192"/>
          </w:tcPr>
          <w:p>
            <w:r/>
            <w:r>
              <w:rPr>
                <w:rFonts w:ascii="Times New Roman" w:hAnsi="Times New Roman"/>
                <w:b w:val="0"/>
                <w:sz w:val="22"/>
              </w:rPr>
              <w:t>26,0 %</w:t>
            </w:r>
          </w:p>
        </w:tc>
        <w:tc>
          <w:tcPr>
            <w:tcW w:type="dxa" w:w="2192"/>
          </w:tcPr>
          <w:p>
            <w:r/>
            <w:r>
              <w:rPr>
                <w:rFonts w:ascii="Times New Roman" w:hAnsi="Times New Roman"/>
                <w:b w:val="0"/>
                <w:sz w:val="22"/>
              </w:rPr>
              <w:t>80–95 %</w:t>
            </w:r>
          </w:p>
        </w:tc>
      </w:tr>
      <w:tr>
        <w:tc>
          <w:tcPr>
            <w:tcW w:type="dxa" w:w="2192"/>
          </w:tcPr>
          <w:p>
            <w:r/>
            <w:r>
              <w:rPr>
                <w:rFonts w:ascii="Times New Roman" w:hAnsi="Times New Roman"/>
                <w:b w:val="0"/>
                <w:sz w:val="22"/>
              </w:rPr>
              <w:t>C</w:t>
            </w:r>
          </w:p>
        </w:tc>
        <w:tc>
          <w:tcPr>
            <w:tcW w:type="dxa" w:w="2192"/>
          </w:tcPr>
          <w:p>
            <w:r/>
            <w:r>
              <w:rPr>
                <w:rFonts w:ascii="Times New Roman" w:hAnsi="Times New Roman"/>
                <w:b w:val="0"/>
                <w:sz w:val="22"/>
              </w:rPr>
              <w:t>338</w:t>
            </w:r>
          </w:p>
        </w:tc>
        <w:tc>
          <w:tcPr>
            <w:tcW w:type="dxa" w:w="2192"/>
          </w:tcPr>
          <w:p>
            <w:r/>
            <w:r>
              <w:rPr>
                <w:rFonts w:ascii="Times New Roman" w:hAnsi="Times New Roman"/>
                <w:b w:val="0"/>
                <w:sz w:val="22"/>
              </w:rPr>
              <w:t>47,7 %</w:t>
            </w:r>
          </w:p>
        </w:tc>
        <w:tc>
          <w:tcPr>
            <w:tcW w:type="dxa" w:w="2192"/>
          </w:tcPr>
          <w:p>
            <w:r/>
            <w:r>
              <w:rPr>
                <w:rFonts w:ascii="Times New Roman" w:hAnsi="Times New Roman"/>
                <w:b w:val="0"/>
                <w:sz w:val="22"/>
              </w:rPr>
              <w:t>95–100 %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5</w:t>
            </w:r>
          </w:p>
        </w:tc>
        <w:tc>
          <w:tcPr>
            <w:tcW w:type="dxa" w:w="2192"/>
          </w:tcPr>
          <w:p>
            <w:r/>
            <w:r>
              <w:rPr>
                <w:rFonts w:ascii="Times New Roman" w:hAnsi="Times New Roman"/>
                <w:b w:val="0"/>
                <w:sz w:val="22"/>
              </w:rPr>
              <w:t>0,7 %</w:t>
            </w:r>
          </w:p>
        </w:tc>
        <w:tc>
          <w:tcPr>
            <w:tcW w:type="dxa" w:w="2192"/>
          </w:tcPr>
          <w:p>
            <w:r/>
            <w:r>
              <w:rPr>
                <w:rFonts w:ascii="Times New Roman" w:hAnsi="Times New Roman"/>
                <w:b w:val="0"/>
                <w:sz w:val="22"/>
              </w:rPr>
              <w:t>Mangler verdidata</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b/>
          <w:sz w:val="20"/>
        </w:rPr>
        <w:t>Tabell 9</w:t>
      </w:r>
    </w:p>
    <w:p>
      <w:r>
        <w:rPr>
          <w:rFonts w:ascii="Times New Roman" w:hAnsi="Times New Roman"/>
          <w:i/>
          <w:sz w:val="20"/>
        </w:rPr>
        <w:t>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X (stabilt)</w:t>
            </w:r>
          </w:p>
        </w:tc>
        <w:tc>
          <w:tcPr>
            <w:tcW w:type="dxa" w:w="2192"/>
          </w:tcPr>
          <w:p>
            <w:r/>
            <w:r>
              <w:rPr>
                <w:rFonts w:ascii="Times New Roman" w:hAnsi="Times New Roman"/>
                <w:b w:val="0"/>
                <w:sz w:val="22"/>
              </w:rPr>
              <w:t>CV &lt; 0,5</w:t>
            </w:r>
          </w:p>
        </w:tc>
        <w:tc>
          <w:tcPr>
            <w:tcW w:type="dxa" w:w="2192"/>
          </w:tcPr>
          <w:p>
            <w:r/>
            <w:r>
              <w:rPr>
                <w:rFonts w:ascii="Times New Roman" w:hAnsi="Times New Roman"/>
                <w:b w:val="0"/>
                <w:sz w:val="22"/>
              </w:rPr>
              <w:t>350</w:t>
            </w:r>
          </w:p>
        </w:tc>
        <w:tc>
          <w:tcPr>
            <w:tcW w:type="dxa" w:w="2192"/>
          </w:tcPr>
          <w:p>
            <w:r/>
            <w:r>
              <w:rPr>
                <w:rFonts w:ascii="Times New Roman" w:hAnsi="Times New Roman"/>
                <w:b w:val="0"/>
                <w:sz w:val="22"/>
              </w:rPr>
              <w:t>50,9 %</w:t>
            </w:r>
          </w:p>
        </w:tc>
      </w:tr>
      <w:tr>
        <w:tc>
          <w:tcPr>
            <w:tcW w:type="dxa" w:w="2192"/>
          </w:tcPr>
          <w:p>
            <w:r/>
            <w:r>
              <w:rPr>
                <w:rFonts w:ascii="Times New Roman" w:hAnsi="Times New Roman"/>
                <w:b w:val="0"/>
                <w:sz w:val="22"/>
              </w:rPr>
              <w:t>Y (moderat)</w:t>
            </w:r>
          </w:p>
        </w:tc>
        <w:tc>
          <w:tcPr>
            <w:tcW w:type="dxa" w:w="2192"/>
          </w:tcPr>
          <w:p>
            <w:r/>
            <w:r>
              <w:rPr>
                <w:rFonts w:ascii="Times New Roman" w:hAnsi="Times New Roman"/>
                <w:b w:val="0"/>
                <w:sz w:val="22"/>
              </w:rPr>
              <w:t>0,5 ≤ CV &lt; 1,0</w:t>
            </w:r>
          </w:p>
        </w:tc>
        <w:tc>
          <w:tcPr>
            <w:tcW w:type="dxa" w:w="2192"/>
          </w:tcPr>
          <w:p>
            <w:r/>
            <w:r>
              <w:rPr>
                <w:rFonts w:ascii="Times New Roman" w:hAnsi="Times New Roman"/>
                <w:b w:val="0"/>
                <w:sz w:val="22"/>
              </w:rPr>
              <w:t>193</w:t>
            </w:r>
          </w:p>
        </w:tc>
        <w:tc>
          <w:tcPr>
            <w:tcW w:type="dxa" w:w="2192"/>
          </w:tcPr>
          <w:p>
            <w:r/>
            <w:r>
              <w:rPr>
                <w:rFonts w:ascii="Times New Roman" w:hAnsi="Times New Roman"/>
                <w:b w:val="0"/>
                <w:sz w:val="22"/>
              </w:rPr>
              <w:t>28,1 %</w:t>
            </w:r>
          </w:p>
        </w:tc>
      </w:tr>
      <w:tr>
        <w:tc>
          <w:tcPr>
            <w:tcW w:type="dxa" w:w="2192"/>
          </w:tcPr>
          <w:p>
            <w:r/>
            <w:r>
              <w:rPr>
                <w:rFonts w:ascii="Times New Roman" w:hAnsi="Times New Roman"/>
                <w:b w:val="0"/>
                <w:sz w:val="22"/>
              </w:rPr>
              <w:t>Z (uregelmessig)</w:t>
            </w:r>
          </w:p>
        </w:tc>
        <w:tc>
          <w:tcPr>
            <w:tcW w:type="dxa" w:w="2192"/>
          </w:tcPr>
          <w:p>
            <w:r/>
            <w:r>
              <w:rPr>
                <w:rFonts w:ascii="Times New Roman" w:hAnsi="Times New Roman"/>
                <w:b w:val="0"/>
                <w:sz w:val="22"/>
              </w:rPr>
              <w:t>CV ≥ 1,0</w:t>
            </w:r>
          </w:p>
        </w:tc>
        <w:tc>
          <w:tcPr>
            <w:tcW w:type="dxa" w:w="2192"/>
          </w:tcPr>
          <w:p>
            <w:r/>
            <w:r>
              <w:rPr>
                <w:rFonts w:ascii="Times New Roman" w:hAnsi="Times New Roman"/>
                <w:b w:val="0"/>
                <w:sz w:val="22"/>
              </w:rPr>
              <w:t>144</w:t>
            </w:r>
          </w:p>
        </w:tc>
        <w:tc>
          <w:tcPr>
            <w:tcW w:type="dxa" w:w="2192"/>
          </w:tcPr>
          <w:p>
            <w:r/>
            <w:r>
              <w:rPr>
                <w:rFonts w:ascii="Times New Roman" w:hAnsi="Times New Roman"/>
                <w:b w:val="0"/>
                <w:sz w:val="22"/>
              </w:rPr>
              <w:t>20,9 %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w:t>
            </w:r>
          </w:p>
        </w:tc>
        <w:tc>
          <w:tcPr>
            <w:tcW w:type="dxa" w:w="2192"/>
          </w:tcPr>
          <w:p>
            <w:r/>
            <w:r>
              <w:rPr>
                <w:rFonts w:ascii="Times New Roman" w:hAnsi="Times New Roman"/>
                <w:b w:val="0"/>
                <w:sz w:val="22"/>
              </w:rPr>
              <w:t>22</w:t>
            </w:r>
          </w:p>
        </w:tc>
        <w:tc>
          <w:tcPr>
            <w:tcW w:type="dxa" w:w="2192"/>
          </w:tcPr>
          <w:p>
            <w:r/>
            <w:r>
              <w:rPr>
                <w:rFonts w:ascii="Times New Roman" w:hAnsi="Times New Roman"/>
                <w:b w:val="0"/>
                <w:sz w:val="22"/>
              </w:rPr>
              <w:t>–</w:t>
            </w:r>
          </w:p>
        </w:tc>
      </w:tr>
    </w:tbl>
    <w:p>
      <w:pPr>
        <w:spacing w:line="360" w:lineRule="auto"/>
        <w:jc w:val="both"/>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tyder på at en vesentlig andel av sortimentet har den forbruksstabiliteten som APL-leveransemodellen forutsetter (Fragapane et al., 2019). De 22 ikke-klassifiserte artiklene mangler tilstrekkelig forbrukshistorikk i MSEG (færre enn tre måneder med registrert forbruk) og er ekskludert fra XYZ-analysen for å unngå misvisende CV-estimater.</w:t>
      </w:r>
    </w:p>
    <w:p>
      <w:pPr>
        <w:spacing w:line="360" w:lineRule="auto"/>
        <w:jc w:val="both"/>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kan forklares av tre faktorer: (1) ZZXYZ oppdateres via MRP-kjøring og kan basere seg på andre CV-terskler enn litteraturens standard (0,5/1,0); (2) beregningsperioden for ZZXYZ er ikke nødvendigvis sammenfallende med denne studiens 24-månedersperiode; og (3) feltet oppdateres kun for artikler med aktiv MRP-kjøring. Divergensen er mest slående for Z-kategorien: SAP klassifiserer kun 7 artikler som Z, mens den beregnede klassifiseringen gir 79 – SAP fanger dermed nesten ingen artikler med uregelmessig forbruk. Dette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b/>
          <w:sz w:val="20"/>
        </w:rPr>
        <w:t>Tabell 10</w:t>
      </w:r>
    </w:p>
    <w:p>
      <w:r>
        <w:rPr>
          <w:rFonts w:ascii="Times New Roman" w:hAnsi="Times New Roman"/>
          <w:i/>
          <w:sz w:val="20"/>
        </w:rPr>
        <w:t>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b w:val="0"/>
                <w:sz w:val="22"/>
              </w:rPr>
              <w:t>SAP X</w:t>
            </w:r>
          </w:p>
        </w:tc>
        <w:tc>
          <w:tcPr>
            <w:tcW w:type="dxa" w:w="1754"/>
          </w:tcPr>
          <w:p>
            <w:r/>
            <w:r>
              <w:rPr>
                <w:rFonts w:ascii="Times New Roman" w:hAnsi="Times New Roman"/>
                <w:b/>
                <w:sz w:val="22"/>
              </w:rPr>
              <w:t>94</w:t>
            </w:r>
          </w:p>
        </w:tc>
        <w:tc>
          <w:tcPr>
            <w:tcW w:type="dxa" w:w="1754"/>
          </w:tcPr>
          <w:p>
            <w:r/>
            <w:r>
              <w:rPr>
                <w:rFonts w:ascii="Times New Roman" w:hAnsi="Times New Roman"/>
                <w:b w:val="0"/>
                <w:sz w:val="22"/>
              </w:rPr>
              <w:t>65</w:t>
            </w:r>
          </w:p>
        </w:tc>
        <w:tc>
          <w:tcPr>
            <w:tcW w:type="dxa" w:w="1754"/>
          </w:tcPr>
          <w:p>
            <w:r/>
            <w:r>
              <w:rPr>
                <w:rFonts w:ascii="Times New Roman" w:hAnsi="Times New Roman"/>
                <w:b w:val="0"/>
                <w:sz w:val="22"/>
              </w:rPr>
              <w:t>59</w:t>
            </w:r>
          </w:p>
        </w:tc>
        <w:tc>
          <w:tcPr>
            <w:tcW w:type="dxa" w:w="1754"/>
          </w:tcPr>
          <w:p>
            <w:r/>
            <w:r>
              <w:rPr>
                <w:rFonts w:ascii="Times New Roman" w:hAnsi="Times New Roman"/>
                <w:b w:val="0"/>
                <w:sz w:val="22"/>
              </w:rPr>
              <w:t>218</w:t>
            </w:r>
          </w:p>
        </w:tc>
      </w:tr>
      <w:tr>
        <w:tc>
          <w:tcPr>
            <w:tcW w:type="dxa" w:w="1754"/>
          </w:tcPr>
          <w:p>
            <w:r/>
            <w:r>
              <w:rPr>
                <w:rFonts w:ascii="Times New Roman" w:hAnsi="Times New Roman"/>
                <w:b w:val="0"/>
                <w:sz w:val="22"/>
              </w:rPr>
              <w:t>SAP Y</w:t>
            </w:r>
          </w:p>
        </w:tc>
        <w:tc>
          <w:tcPr>
            <w:tcW w:type="dxa" w:w="1754"/>
          </w:tcPr>
          <w:p>
            <w:r/>
            <w:r>
              <w:rPr>
                <w:rFonts w:ascii="Times New Roman" w:hAnsi="Times New Roman"/>
                <w:b w:val="0"/>
                <w:sz w:val="22"/>
              </w:rPr>
              <w:t>99</w:t>
            </w:r>
          </w:p>
        </w:tc>
        <w:tc>
          <w:tcPr>
            <w:tcW w:type="dxa" w:w="1754"/>
          </w:tcPr>
          <w:p>
            <w:r/>
            <w:r>
              <w:rPr>
                <w:rFonts w:ascii="Times New Roman" w:hAnsi="Times New Roman"/>
                <w:b/>
                <w:sz w:val="22"/>
              </w:rPr>
              <w:t>31</w:t>
            </w:r>
          </w:p>
        </w:tc>
        <w:tc>
          <w:tcPr>
            <w:tcW w:type="dxa" w:w="1754"/>
          </w:tcPr>
          <w:p>
            <w:r/>
            <w:r>
              <w:rPr>
                <w:rFonts w:ascii="Times New Roman" w:hAnsi="Times New Roman"/>
                <w:b w:val="0"/>
                <w:sz w:val="22"/>
              </w:rPr>
              <w:t>20</w:t>
            </w:r>
          </w:p>
        </w:tc>
        <w:tc>
          <w:tcPr>
            <w:tcW w:type="dxa" w:w="1754"/>
          </w:tcPr>
          <w:p>
            <w:r/>
            <w:r>
              <w:rPr>
                <w:rFonts w:ascii="Times New Roman" w:hAnsi="Times New Roman"/>
                <w:b w:val="0"/>
                <w:sz w:val="22"/>
              </w:rPr>
              <w:t>150</w:t>
            </w:r>
          </w:p>
        </w:tc>
      </w:tr>
      <w:tr>
        <w:tc>
          <w:tcPr>
            <w:tcW w:type="dxa" w:w="1754"/>
          </w:tcPr>
          <w:p>
            <w:r/>
            <w:r>
              <w:rPr>
                <w:rFonts w:ascii="Times New Roman" w:hAnsi="Times New Roman"/>
                <w:b w:val="0"/>
                <w:sz w:val="22"/>
              </w:rPr>
              <w:t>SAP Z</w:t>
            </w:r>
          </w:p>
        </w:tc>
        <w:tc>
          <w:tcPr>
            <w:tcW w:type="dxa" w:w="1754"/>
          </w:tcPr>
          <w:p>
            <w:r/>
            <w:r>
              <w:rPr>
                <w:rFonts w:ascii="Times New Roman" w:hAnsi="Times New Roman"/>
                <w:b w:val="0"/>
                <w:sz w:val="22"/>
              </w:rPr>
              <w:t>6</w:t>
            </w:r>
          </w:p>
        </w:tc>
        <w:tc>
          <w:tcPr>
            <w:tcW w:type="dxa" w:w="1754"/>
          </w:tcPr>
          <w:p>
            <w:r/>
            <w:r>
              <w:rPr>
                <w:rFonts w:ascii="Times New Roman" w:hAnsi="Times New Roman"/>
                <w:b w:val="0"/>
                <w:sz w:val="22"/>
              </w:rPr>
              <w:t>1</w:t>
            </w:r>
          </w:p>
        </w:tc>
        <w:tc>
          <w:tcPr>
            <w:tcW w:type="dxa" w:w="1754"/>
          </w:tcPr>
          <w:p>
            <w:r/>
            <w:r>
              <w:rPr>
                <w:rFonts w:ascii="Times New Roman" w:hAnsi="Times New Roman"/>
                <w:b/>
                <w:sz w:val="22"/>
              </w:rPr>
              <w:t>0</w:t>
            </w:r>
          </w:p>
        </w:tc>
        <w:tc>
          <w:tcPr>
            <w:tcW w:type="dxa" w:w="1754"/>
          </w:tcPr>
          <w:p>
            <w:r/>
            <w:r>
              <w:rPr>
                <w:rFonts w:ascii="Times New Roman" w:hAnsi="Times New Roman"/>
                <w:b w:val="0"/>
                <w:sz w:val="22"/>
              </w:rPr>
              <w:t>7</w:t>
            </w:r>
          </w:p>
        </w:tc>
      </w:tr>
      <w:tr>
        <w:tc>
          <w:tcPr>
            <w:tcW w:type="dxa" w:w="1754"/>
          </w:tcPr>
          <w:p>
            <w:r/>
            <w:r>
              <w:rPr>
                <w:rFonts w:ascii="Times New Roman" w:hAnsi="Times New Roman"/>
                <w:b/>
                <w:sz w:val="22"/>
              </w:rPr>
              <w:t>Totalt samsvar</w:t>
            </w:r>
          </w:p>
        </w:tc>
        <w:tc>
          <w:tcPr>
            <w:tcW w:type="dxa" w:w="1754"/>
          </w:tcPr>
          <w:p>
            <w:r/>
          </w:p>
        </w:tc>
        <w:tc>
          <w:tcPr>
            <w:tcW w:type="dxa" w:w="1754"/>
          </w:tcPr>
          <w:p>
            <w:r/>
          </w:p>
        </w:tc>
        <w:tc>
          <w:tcPr>
            <w:tcW w:type="dxa" w:w="1754"/>
          </w:tcPr>
          <w:p>
            <w:r/>
          </w:p>
        </w:tc>
        <w:tc>
          <w:tcPr>
            <w:tcW w:type="dxa" w:w="1754"/>
          </w:tcPr>
          <w:p>
            <w:r/>
            <w:r>
              <w:rPr>
                <w:rFonts w:ascii="Times New Roman" w:hAnsi="Times New Roman"/>
                <w:b/>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b/>
          <w:sz w:val="20"/>
        </w:rPr>
        <w:t>Tabell 11</w:t>
      </w:r>
    </w:p>
    <w:p>
      <w:r>
        <w:rPr>
          <w:rFonts w:ascii="Times New Roman" w:hAnsi="Times New Roman"/>
          <w:i/>
          <w:sz w:val="20"/>
        </w:rPr>
        <w:t>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FOR_MANGE_ORDRER</w:t>
            </w:r>
          </w:p>
        </w:tc>
        <w:tc>
          <w:tcPr>
            <w:tcW w:type="dxa" w:w="2192"/>
          </w:tcPr>
          <w:p>
            <w:r/>
            <w:r>
              <w:rPr>
                <w:rFonts w:ascii="Times New Roman" w:hAnsi="Times New Roman"/>
                <w:b w:val="0"/>
                <w:sz w:val="22"/>
              </w:rPr>
              <w:t>FREQ_AVVIK &gt; 0,5</w:t>
            </w:r>
          </w:p>
        </w:tc>
        <w:tc>
          <w:tcPr>
            <w:tcW w:type="dxa" w:w="2192"/>
          </w:tcPr>
          <w:p>
            <w:r/>
            <w:r>
              <w:rPr>
                <w:rFonts w:ascii="Times New Roman" w:hAnsi="Times New Roman"/>
                <w:b w:val="0"/>
                <w:sz w:val="22"/>
              </w:rPr>
              <w:t>356</w:t>
            </w:r>
          </w:p>
        </w:tc>
        <w:tc>
          <w:tcPr>
            <w:tcW w:type="dxa" w:w="2192"/>
          </w:tcPr>
          <w:p>
            <w:r/>
            <w:r>
              <w:rPr>
                <w:rFonts w:ascii="Times New Roman" w:hAnsi="Times New Roman"/>
                <w:b w:val="0"/>
                <w:sz w:val="22"/>
              </w:rPr>
              <w:t>73,1 %</w:t>
            </w:r>
          </w:p>
        </w:tc>
      </w:tr>
      <w:tr>
        <w:tc>
          <w:tcPr>
            <w:tcW w:type="dxa" w:w="2192"/>
          </w:tcPr>
          <w:p>
            <w:r/>
            <w:r>
              <w:rPr>
                <w:rFonts w:ascii="Times New Roman" w:hAnsi="Times New Roman"/>
                <w:b w:val="0"/>
                <w:sz w:val="22"/>
              </w:rPr>
              <w:t>OK</w:t>
            </w:r>
          </w:p>
        </w:tc>
        <w:tc>
          <w:tcPr>
            <w:tcW w:type="dxa" w:w="2192"/>
          </w:tcPr>
          <w:p>
            <w:r/>
            <w:r>
              <w:rPr>
                <w:rFonts w:ascii="Times New Roman" w:hAnsi="Times New Roman"/>
                <w:b w:val="0"/>
                <w:sz w:val="22"/>
              </w:rPr>
              <w:t>−0,5 ≤ FREQ_AVVIK ≤ 0,5</w:t>
            </w:r>
          </w:p>
        </w:tc>
        <w:tc>
          <w:tcPr>
            <w:tcW w:type="dxa" w:w="2192"/>
          </w:tcPr>
          <w:p>
            <w:r/>
            <w:r>
              <w:rPr>
                <w:rFonts w:ascii="Times New Roman" w:hAnsi="Times New Roman"/>
                <w:b w:val="0"/>
                <w:sz w:val="22"/>
              </w:rPr>
              <w:t>100</w:t>
            </w:r>
          </w:p>
        </w:tc>
        <w:tc>
          <w:tcPr>
            <w:tcW w:type="dxa" w:w="2192"/>
          </w:tcPr>
          <w:p>
            <w:r/>
            <w:r>
              <w:rPr>
                <w:rFonts w:ascii="Times New Roman" w:hAnsi="Times New Roman"/>
                <w:b w:val="0"/>
                <w:sz w:val="22"/>
              </w:rPr>
              <w:t>20,5 %</w:t>
            </w:r>
          </w:p>
        </w:tc>
      </w:tr>
      <w:tr>
        <w:tc>
          <w:tcPr>
            <w:tcW w:type="dxa" w:w="2192"/>
          </w:tcPr>
          <w:p>
            <w:r/>
            <w:r>
              <w:rPr>
                <w:rFonts w:ascii="Times New Roman" w:hAnsi="Times New Roman"/>
                <w:b w:val="0"/>
                <w:sz w:val="22"/>
              </w:rPr>
              <w:t>FOR_FÅ_ORDRER</w:t>
            </w:r>
          </w:p>
        </w:tc>
        <w:tc>
          <w:tcPr>
            <w:tcW w:type="dxa" w:w="2192"/>
          </w:tcPr>
          <w:p>
            <w:r/>
            <w:r>
              <w:rPr>
                <w:rFonts w:ascii="Times New Roman" w:hAnsi="Times New Roman"/>
                <w:b w:val="0"/>
                <w:sz w:val="22"/>
              </w:rPr>
              <w:t>FREQ_AVVIK &lt; −0,5</w:t>
            </w:r>
          </w:p>
        </w:tc>
        <w:tc>
          <w:tcPr>
            <w:tcW w:type="dxa" w:w="2192"/>
          </w:tcPr>
          <w:p>
            <w:r/>
            <w:r>
              <w:rPr>
                <w:rFonts w:ascii="Times New Roman" w:hAnsi="Times New Roman"/>
                <w:b w:val="0"/>
                <w:sz w:val="22"/>
              </w:rPr>
              <w:t>31</w:t>
            </w:r>
          </w:p>
        </w:tc>
        <w:tc>
          <w:tcPr>
            <w:tcW w:type="dxa" w:w="2192"/>
          </w:tcPr>
          <w:p>
            <w:r/>
            <w:r>
              <w:rPr>
                <w:rFonts w:ascii="Times New Roman" w:hAnsi="Times New Roman"/>
                <w:b w:val="0"/>
                <w:sz w:val="22"/>
              </w:rPr>
              <w:t>6,4 %</w:t>
            </w:r>
          </w:p>
        </w:tc>
      </w:tr>
      <w:tr>
        <w:tc>
          <w:tcPr>
            <w:tcW w:type="dxa" w:w="2192"/>
          </w:tcPr>
          <w:p>
            <w:r/>
            <w:r>
              <w:rPr>
                <w:rFonts w:ascii="Times New Roman" w:hAnsi="Times New Roman"/>
                <w:b/>
                <w:sz w:val="22"/>
              </w:rPr>
              <w:t>Totalt analysert</w:t>
            </w:r>
          </w:p>
        </w:tc>
        <w:tc>
          <w:tcPr>
            <w:tcW w:type="dxa" w:w="2192"/>
          </w:tcPr>
          <w:p>
            <w:r/>
          </w:p>
        </w:tc>
        <w:tc>
          <w:tcPr>
            <w:tcW w:type="dxa" w:w="2192"/>
          </w:tcPr>
          <w:p>
            <w:r/>
            <w:r>
              <w:rPr>
                <w:rFonts w:ascii="Times New Roman" w:hAnsi="Times New Roman"/>
                <w:b/>
                <w:sz w:val="22"/>
              </w:rPr>
              <w:t>487</w:t>
            </w:r>
          </w:p>
        </w:tc>
        <w:tc>
          <w:tcPr>
            <w:tcW w:type="dxa" w:w="2192"/>
          </w:tcPr>
          <w:p>
            <w:r/>
            <w:r>
              <w:rPr>
                <w:rFonts w:ascii="Times New Roman" w:hAnsi="Times New Roman"/>
                <w:b/>
                <w:sz w:val="22"/>
              </w:rPr>
              <w:t>100 %</w:t>
            </w:r>
          </w:p>
        </w:tc>
      </w:tr>
      <w:tr>
        <w:tc>
          <w:tcPr>
            <w:tcW w:type="dxa" w:w="2192"/>
          </w:tcPr>
          <w:p>
            <w:r/>
            <w:r>
              <w:rPr>
                <w:rFonts w:ascii="Times New Roman" w:hAnsi="Times New Roman"/>
                <w:b w:val="0"/>
                <w:sz w:val="22"/>
              </w:rPr>
              <w:t>Samlet ΔTC (alle 487)</w:t>
            </w:r>
          </w:p>
        </w:tc>
        <w:tc>
          <w:tcPr>
            <w:tcW w:type="dxa" w:w="2192"/>
          </w:tcPr>
          <w:p>
            <w:r/>
          </w:p>
        </w:tc>
        <w:tc>
          <w:tcPr>
            <w:tcW w:type="dxa" w:w="2192"/>
          </w:tcPr>
          <w:p>
            <w:r/>
            <w:r>
              <w:rPr>
                <w:rFonts w:ascii="Times New Roman" w:hAnsi="Times New Roman"/>
                <w:b/>
                <w:sz w:val="22"/>
              </w:rPr>
              <w:t>kr 2 333 441 / år</w:t>
            </w:r>
          </w:p>
        </w:tc>
        <w:tc>
          <w:tcPr>
            <w:tcW w:type="dxa" w:w="2192"/>
          </w:tcPr>
          <w:p>
            <w:r/>
          </w:p>
        </w:tc>
      </w:tr>
    </w:tbl>
    <w:p>
      <w:pPr>
        <w:spacing w:line="360" w:lineRule="auto"/>
        <w:jc w:val="both"/>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bestillingspraksisen ved LGORT 3001 avviker vesentlig fra EOQ-optimalt nivå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jc w:val="both"/>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jc w:val="both"/>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overtilpasning. Klyngeprofiler er presentert i Tabell 12.</w:t>
      </w:r>
    </w:p>
    <w:p>
      <w:r>
        <w:rPr>
          <w:rFonts w:ascii="Times New Roman" w:hAnsi="Times New Roman"/>
          <w:b/>
          <w:sz w:val="20"/>
        </w:rPr>
        <w:t>Tabell 12</w:t>
      </w:r>
    </w:p>
    <w:p>
      <w:r>
        <w:rPr>
          <w:rFonts w:ascii="Times New Roman" w:hAnsi="Times New Roman"/>
          <w:i/>
          <w:sz w:val="20"/>
        </w:rPr>
        <w:t>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b w:val="0"/>
                <w:sz w:val="22"/>
              </w:rPr>
              <w:t>1</w:t>
            </w:r>
          </w:p>
        </w:tc>
        <w:tc>
          <w:tcPr>
            <w:tcW w:type="dxa" w:w="1461"/>
          </w:tcPr>
          <w:p>
            <w:r/>
            <w:r>
              <w:rPr>
                <w:rFonts w:ascii="Times New Roman" w:hAnsi="Times New Roman"/>
                <w:b w:val="0"/>
                <w:sz w:val="22"/>
              </w:rPr>
              <w:t>31</w:t>
            </w:r>
          </w:p>
        </w:tc>
        <w:tc>
          <w:tcPr>
            <w:tcW w:type="dxa" w:w="1461"/>
          </w:tcPr>
          <w:p>
            <w:r/>
            <w:r>
              <w:rPr>
                <w:rFonts w:ascii="Times New Roman" w:hAnsi="Times New Roman"/>
                <w:b w:val="0"/>
                <w:sz w:val="22"/>
              </w:rPr>
              <w:t>1,05</w:t>
            </w:r>
          </w:p>
        </w:tc>
        <w:tc>
          <w:tcPr>
            <w:tcW w:type="dxa" w:w="1461"/>
          </w:tcPr>
          <w:p>
            <w:r/>
            <w:r>
              <w:rPr>
                <w:rFonts w:ascii="Times New Roman" w:hAnsi="Times New Roman"/>
                <w:b w:val="0"/>
                <w:sz w:val="22"/>
              </w:rPr>
              <w:t>150</w:t>
            </w:r>
          </w:p>
        </w:tc>
        <w:tc>
          <w:tcPr>
            <w:tcW w:type="dxa" w:w="1461"/>
          </w:tcPr>
          <w:p>
            <w:r/>
            <w:r>
              <w:rPr>
                <w:rFonts w:ascii="Times New Roman" w:hAnsi="Times New Roman"/>
                <w:b w:val="0"/>
                <w:sz w:val="22"/>
              </w:rPr>
              <w:t>4 999</w:t>
            </w:r>
          </w:p>
        </w:tc>
        <w:tc>
          <w:tcPr>
            <w:tcW w:type="dxa" w:w="1461"/>
          </w:tcPr>
          <w:p>
            <w:r/>
            <w:r>
              <w:rPr>
                <w:rFonts w:ascii="Times New Roman" w:hAnsi="Times New Roman"/>
                <w:b w:val="0"/>
                <w:sz w:val="22"/>
              </w:rPr>
              <w:t>Lav verdi, høy variasjon</w:t>
            </w:r>
          </w:p>
        </w:tc>
      </w:tr>
      <w:tr>
        <w:tc>
          <w:tcPr>
            <w:tcW w:type="dxa" w:w="1461"/>
          </w:tcPr>
          <w:p>
            <w:r/>
            <w:r>
              <w:rPr>
                <w:rFonts w:ascii="Times New Roman" w:hAnsi="Times New Roman"/>
                <w:b w:val="0"/>
                <w:sz w:val="22"/>
              </w:rPr>
              <w:t>2</w:t>
            </w:r>
          </w:p>
        </w:tc>
        <w:tc>
          <w:tcPr>
            <w:tcW w:type="dxa" w:w="1461"/>
          </w:tcPr>
          <w:p>
            <w:r/>
            <w:r>
              <w:rPr>
                <w:rFonts w:ascii="Times New Roman" w:hAnsi="Times New Roman"/>
                <w:b w:val="0"/>
                <w:sz w:val="22"/>
              </w:rPr>
              <w:t>175</w:t>
            </w:r>
          </w:p>
        </w:tc>
        <w:tc>
          <w:tcPr>
            <w:tcW w:type="dxa" w:w="1461"/>
          </w:tcPr>
          <w:p>
            <w:r/>
            <w:r>
              <w:rPr>
                <w:rFonts w:ascii="Times New Roman" w:hAnsi="Times New Roman"/>
                <w:b w:val="0"/>
                <w:sz w:val="22"/>
              </w:rPr>
              <w:t>1,59</w:t>
            </w:r>
          </w:p>
        </w:tc>
        <w:tc>
          <w:tcPr>
            <w:tcW w:type="dxa" w:w="1461"/>
          </w:tcPr>
          <w:p>
            <w:r/>
            <w:r>
              <w:rPr>
                <w:rFonts w:ascii="Times New Roman" w:hAnsi="Times New Roman"/>
                <w:b w:val="0"/>
                <w:sz w:val="22"/>
              </w:rPr>
              <w:t>79 658</w:t>
            </w:r>
          </w:p>
        </w:tc>
        <w:tc>
          <w:tcPr>
            <w:tcW w:type="dxa" w:w="1461"/>
          </w:tcPr>
          <w:p>
            <w:r/>
            <w:r>
              <w:rPr>
                <w:rFonts w:ascii="Times New Roman" w:hAnsi="Times New Roman"/>
                <w:b w:val="0"/>
                <w:sz w:val="22"/>
              </w:rPr>
              <w:t>1 199</w:t>
            </w:r>
          </w:p>
        </w:tc>
        <w:tc>
          <w:tcPr>
            <w:tcW w:type="dxa" w:w="1461"/>
          </w:tcPr>
          <w:p>
            <w:r/>
            <w:r>
              <w:rPr>
                <w:rFonts w:ascii="Times New Roman" w:hAnsi="Times New Roman"/>
                <w:b w:val="0"/>
                <w:sz w:val="22"/>
              </w:rPr>
              <w:t>Middels verdi, svært variabelt</w:t>
            </w:r>
          </w:p>
        </w:tc>
      </w:tr>
      <w:tr>
        <w:tc>
          <w:tcPr>
            <w:tcW w:type="dxa" w:w="1461"/>
          </w:tcPr>
          <w:p>
            <w:r/>
            <w:r>
              <w:rPr>
                <w:rFonts w:ascii="Times New Roman" w:hAnsi="Times New Roman"/>
                <w:b w:val="0"/>
                <w:sz w:val="22"/>
              </w:rPr>
              <w:t>3 (K_OVERFØR)</w:t>
            </w:r>
          </w:p>
        </w:tc>
        <w:tc>
          <w:tcPr>
            <w:tcW w:type="dxa" w:w="1461"/>
          </w:tcPr>
          <w:p>
            <w:r/>
            <w:r>
              <w:rPr>
                <w:rFonts w:ascii="Times New Roman" w:hAnsi="Times New Roman"/>
                <w:b w:val="0"/>
                <w:sz w:val="22"/>
              </w:rPr>
              <w:t>281</w:t>
            </w:r>
          </w:p>
        </w:tc>
        <w:tc>
          <w:tcPr>
            <w:tcW w:type="dxa" w:w="1461"/>
          </w:tcPr>
          <w:p>
            <w:r/>
            <w:r>
              <w:rPr>
                <w:rFonts w:ascii="Times New Roman" w:hAnsi="Times New Roman"/>
                <w:b w:val="0"/>
                <w:sz w:val="22"/>
              </w:rPr>
              <w:t>0,47</w:t>
            </w:r>
          </w:p>
        </w:tc>
        <w:tc>
          <w:tcPr>
            <w:tcW w:type="dxa" w:w="1461"/>
          </w:tcPr>
          <w:p>
            <w:r/>
            <w:r>
              <w:rPr>
                <w:rFonts w:ascii="Times New Roman" w:hAnsi="Times New Roman"/>
                <w:b w:val="0"/>
                <w:sz w:val="22"/>
              </w:rPr>
              <w:t>167 267</w:t>
            </w:r>
          </w:p>
        </w:tc>
        <w:tc>
          <w:tcPr>
            <w:tcW w:type="dxa" w:w="1461"/>
          </w:tcPr>
          <w:p>
            <w:r/>
            <w:r>
              <w:rPr>
                <w:rFonts w:ascii="Times New Roman" w:hAnsi="Times New Roman"/>
                <w:b w:val="0"/>
                <w:sz w:val="22"/>
              </w:rPr>
              <w:t>7 005</w:t>
            </w:r>
          </w:p>
        </w:tc>
        <w:tc>
          <w:tcPr>
            <w:tcW w:type="dxa" w:w="1461"/>
          </w:tcPr>
          <w:p>
            <w:r/>
            <w:r>
              <w:rPr>
                <w:rFonts w:ascii="Times New Roman" w:hAnsi="Times New Roman"/>
                <w:b w:val="0"/>
                <w:sz w:val="22"/>
              </w:rPr>
              <w:t>Høy verdi, stabilt, høyt avvik</w:t>
            </w:r>
          </w:p>
        </w:tc>
      </w:tr>
    </w:tbl>
    <w:p>
      <w:pPr>
        <w:spacing w:line="360" w:lineRule="auto"/>
        <w:jc w:val="both"/>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jc w:val="both"/>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jc w:val="both"/>
      </w:pPr>
      <w:r>
        <w:rPr>
          <w:rFonts w:ascii="Times New Roman" w:hAnsi="Times New Roman" w:cs="Times New Roman"/>
          <w:sz w:val="24"/>
        </w:rPr>
        <w:t>Regelmotoren produserte en anbefaling for samtlige 709 artikler. Fordelingen per anbefalingskategori er presentert i Tabell 13, og fordelingen per regel R1–R8 i Tabell 14.</w:t>
      </w:r>
    </w:p>
    <w:p>
      <w:r>
        <w:rPr>
          <w:rFonts w:ascii="Times New Roman" w:hAnsi="Times New Roman"/>
          <w:b/>
          <w:sz w:val="20"/>
        </w:rPr>
        <w:t>Tabell 13</w:t>
      </w:r>
    </w:p>
    <w:p>
      <w:r>
        <w:rPr>
          <w:rFonts w:ascii="Times New Roman" w:hAnsi="Times New Roman"/>
          <w:i/>
          <w:sz w:val="20"/>
        </w:rPr>
        <w:t>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145</w:t>
            </w:r>
          </w:p>
        </w:tc>
        <w:tc>
          <w:tcPr>
            <w:tcW w:type="dxa" w:w="2192"/>
          </w:tcPr>
          <w:p>
            <w:r/>
            <w:r>
              <w:rPr>
                <w:rFonts w:ascii="Times New Roman" w:hAnsi="Times New Roman"/>
                <w:b w:val="0"/>
                <w:sz w:val="22"/>
              </w:rPr>
              <w:t>20,5 %</w:t>
            </w:r>
          </w:p>
        </w:tc>
        <w:tc>
          <w:tcPr>
            <w:tcW w:type="dxa" w:w="2192"/>
          </w:tcPr>
          <w:p>
            <w:r/>
            <w:r>
              <w:rPr>
                <w:rFonts w:ascii="Times New Roman" w:hAnsi="Times New Roman"/>
                <w:b w:val="0"/>
                <w:sz w:val="22"/>
              </w:rPr>
              <w:t>Anbefales overført til HVFS</w:t>
            </w:r>
          </w:p>
        </w:tc>
      </w:tr>
      <w:tr>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257</w:t>
            </w:r>
          </w:p>
        </w:tc>
        <w:tc>
          <w:tcPr>
            <w:tcW w:type="dxa" w:w="2192"/>
          </w:tcPr>
          <w:p>
            <w:r/>
            <w:r>
              <w:rPr>
                <w:rFonts w:ascii="Times New Roman" w:hAnsi="Times New Roman"/>
                <w:b w:val="0"/>
                <w:sz w:val="22"/>
              </w:rPr>
              <w:t>36,2 %</w:t>
            </w:r>
          </w:p>
        </w:tc>
        <w:tc>
          <w:tcPr>
            <w:tcW w:type="dxa" w:w="2192"/>
          </w:tcPr>
          <w:p>
            <w:r/>
            <w:r>
              <w:rPr>
                <w:rFonts w:ascii="Times New Roman" w:hAnsi="Times New Roman"/>
                <w:b w:val="0"/>
                <w:sz w:val="22"/>
              </w:rPr>
              <w:t>Beholdes lokalt (Z-klasse eller CY)</w:t>
            </w:r>
          </w:p>
        </w:tc>
      </w:tr>
      <w:tr>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284</w:t>
            </w:r>
          </w:p>
        </w:tc>
        <w:tc>
          <w:tcPr>
            <w:tcW w:type="dxa" w:w="2192"/>
          </w:tcPr>
          <w:p>
            <w:r/>
            <w:r>
              <w:rPr>
                <w:rFonts w:ascii="Times New Roman" w:hAnsi="Times New Roman"/>
                <w:b w:val="0"/>
                <w:sz w:val="22"/>
              </w:rPr>
              <w:t>40,1 %</w:t>
            </w:r>
          </w:p>
        </w:tc>
        <w:tc>
          <w:tcPr>
            <w:tcW w:type="dxa" w:w="2192"/>
          </w:tcPr>
          <w:p>
            <w:r/>
            <w:r>
              <w:rPr>
                <w:rFonts w:ascii="Times New Roman" w:hAnsi="Times New Roman"/>
                <w:b w:val="0"/>
                <w:sz w:val="22"/>
              </w:rPr>
              <w:t>Krever manuell vurdering</w:t>
            </w:r>
          </w:p>
        </w:tc>
      </w:tr>
      <w:tr>
        <w:tc>
          <w:tcPr>
            <w:tcW w:type="dxa" w:w="2192"/>
          </w:tcPr>
          <w:p>
            <w:r/>
            <w:r>
              <w:rPr>
                <w:rFonts w:ascii="Times New Roman" w:hAnsi="Times New Roman"/>
                <w:b w:val="0"/>
                <w:sz w:val="22"/>
              </w:rPr>
              <w:t>MANGLER_DATA</w:t>
            </w:r>
          </w:p>
        </w:tc>
        <w:tc>
          <w:tcPr>
            <w:tcW w:type="dxa" w:w="2192"/>
          </w:tcPr>
          <w:p>
            <w:r/>
            <w:r>
              <w:rPr>
                <w:rFonts w:ascii="Times New Roman" w:hAnsi="Times New Roman"/>
                <w:b w:val="0"/>
                <w:sz w:val="22"/>
              </w:rPr>
              <w:t>23</w:t>
            </w:r>
          </w:p>
        </w:tc>
        <w:tc>
          <w:tcPr>
            <w:tcW w:type="dxa" w:w="2192"/>
          </w:tcPr>
          <w:p>
            <w:r/>
            <w:r>
              <w:rPr>
                <w:rFonts w:ascii="Times New Roman" w:hAnsi="Times New Roman"/>
                <w:b w:val="0"/>
                <w:sz w:val="22"/>
              </w:rPr>
              <w:t>3,2 %</w:t>
            </w:r>
          </w:p>
        </w:tc>
        <w:tc>
          <w:tcPr>
            <w:tcW w:type="dxa" w:w="2192"/>
          </w:tcPr>
          <w:p>
            <w:r/>
            <w:r>
              <w:rPr>
                <w:rFonts w:ascii="Times New Roman" w:hAnsi="Times New Roman"/>
                <w:b w:val="0"/>
                <w:sz w:val="22"/>
              </w:rPr>
              <w:t>Utilstrekkelig data for klassifisering</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r>
        <w:rPr>
          <w:rFonts w:ascii="Times New Roman" w:hAnsi="Times New Roman"/>
          <w:b/>
          <w:sz w:val="20"/>
        </w:rPr>
        <w:t>Tabell 14</w:t>
      </w:r>
    </w:p>
    <w:p>
      <w:r>
        <w:rPr>
          <w:rFonts w:ascii="Times New Roman" w:hAnsi="Times New Roman"/>
          <w:i/>
          <w:sz w:val="20"/>
        </w:rPr>
        <w:t>Regelmotor R1–R8: antall artikler per regel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Regel</w:t>
            </w:r>
          </w:p>
        </w:tc>
        <w:tc>
          <w:tcPr>
            <w:tcW w:type="dxa" w:w="1754"/>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1754"/>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1754"/>
            <w:tcBorders>
              <w:top w:val="single" w:sz="8" w:space="0" w:color="000000"/>
              <w:bottom w:val="single" w:sz="4" w:space="0" w:color="000000"/>
              <w:left w:val="nil"/>
              <w:right w:val="nil"/>
            </w:tcBorders>
          </w:tcPr>
          <w:p>
            <w:r/>
            <w:r>
              <w:rPr>
                <w:rFonts w:ascii="Times New Roman" w:hAnsi="Times New Roman"/>
                <w:b/>
                <w:sz w:val="22"/>
              </w:rPr>
              <w:t>Antall</w:t>
            </w:r>
          </w:p>
        </w:tc>
        <w:tc>
          <w:tcPr>
            <w:tcW w:type="dxa" w:w="1754"/>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1754"/>
          </w:tcPr>
          <w:p>
            <w:r/>
            <w:r>
              <w:rPr>
                <w:rFonts w:ascii="Times New Roman" w:hAnsi="Times New Roman"/>
                <w:b w:val="0"/>
                <w:sz w:val="22"/>
              </w:rPr>
              <w:t>R1</w:t>
            </w:r>
          </w:p>
        </w:tc>
        <w:tc>
          <w:tcPr>
            <w:tcW w:type="dxa" w:w="1754"/>
          </w:tcPr>
          <w:p>
            <w:r/>
            <w:r>
              <w:rPr>
                <w:rFonts w:ascii="Times New Roman" w:hAnsi="Times New Roman"/>
                <w:b w:val="0"/>
                <w:sz w:val="22"/>
              </w:rPr>
              <w:t>XYZ = Z</w:t>
            </w:r>
          </w:p>
        </w:tc>
        <w:tc>
          <w:tcPr>
            <w:tcW w:type="dxa" w:w="1754"/>
          </w:tcPr>
          <w:p>
            <w:r/>
            <w:r>
              <w:rPr>
                <w:rFonts w:ascii="Times New Roman" w:hAnsi="Times New Roman"/>
                <w:b w:val="0"/>
                <w:sz w:val="22"/>
              </w:rPr>
              <w:t>BEHOLD_LOKALT</w:t>
            </w:r>
          </w:p>
        </w:tc>
        <w:tc>
          <w:tcPr>
            <w:tcW w:type="dxa" w:w="1754"/>
          </w:tcPr>
          <w:p>
            <w:r/>
            <w:r>
              <w:rPr>
                <w:rFonts w:ascii="Times New Roman" w:hAnsi="Times New Roman"/>
                <w:b w:val="0"/>
                <w:sz w:val="22"/>
              </w:rPr>
              <w:t>143</w:t>
            </w:r>
          </w:p>
        </w:tc>
        <w:tc>
          <w:tcPr>
            <w:tcW w:type="dxa" w:w="1754"/>
          </w:tcPr>
          <w:p>
            <w:r/>
            <w:r>
              <w:rPr>
                <w:rFonts w:ascii="Times New Roman" w:hAnsi="Times New Roman"/>
                <w:b w:val="0"/>
                <w:sz w:val="22"/>
              </w:rPr>
              <w:t>20,2 %</w:t>
            </w:r>
          </w:p>
        </w:tc>
      </w:tr>
      <w:tr>
        <w:tc>
          <w:tcPr>
            <w:tcW w:type="dxa" w:w="1754"/>
          </w:tcPr>
          <w:p>
            <w:r/>
            <w:r>
              <w:rPr>
                <w:rFonts w:ascii="Times New Roman" w:hAnsi="Times New Roman"/>
                <w:b w:val="0"/>
                <w:sz w:val="22"/>
              </w:rPr>
              <w:t>R2</w:t>
            </w:r>
          </w:p>
        </w:tc>
        <w:tc>
          <w:tcPr>
            <w:tcW w:type="dxa" w:w="1754"/>
          </w:tcPr>
          <w:p>
            <w:r/>
            <w:r>
              <w:rPr>
                <w:rFonts w:ascii="Times New Roman" w:hAnsi="Times New Roman"/>
                <w:b w:val="0"/>
                <w:sz w:val="22"/>
              </w:rPr>
              <w:t>ABC = C og XYZ = Y</w:t>
            </w:r>
          </w:p>
        </w:tc>
        <w:tc>
          <w:tcPr>
            <w:tcW w:type="dxa" w:w="1754"/>
          </w:tcPr>
          <w:p>
            <w:r/>
            <w:r>
              <w:rPr>
                <w:rFonts w:ascii="Times New Roman" w:hAnsi="Times New Roman"/>
                <w:b w:val="0"/>
                <w:sz w:val="22"/>
              </w:rPr>
              <w:t>BEHOLD_LOKALT</w:t>
            </w:r>
          </w:p>
        </w:tc>
        <w:tc>
          <w:tcPr>
            <w:tcW w:type="dxa" w:w="1754"/>
          </w:tcPr>
          <w:p>
            <w:r/>
            <w:r>
              <w:rPr>
                <w:rFonts w:ascii="Times New Roman" w:hAnsi="Times New Roman"/>
                <w:b w:val="0"/>
                <w:sz w:val="22"/>
              </w:rPr>
              <w:t>114</w:t>
            </w:r>
          </w:p>
        </w:tc>
        <w:tc>
          <w:tcPr>
            <w:tcW w:type="dxa" w:w="1754"/>
          </w:tcPr>
          <w:p>
            <w:r/>
            <w:r>
              <w:rPr>
                <w:rFonts w:ascii="Times New Roman" w:hAnsi="Times New Roman"/>
                <w:b w:val="0"/>
                <w:sz w:val="22"/>
              </w:rPr>
              <w:t>16,1 %</w:t>
            </w:r>
          </w:p>
        </w:tc>
      </w:tr>
      <w:tr>
        <w:tc>
          <w:tcPr>
            <w:tcW w:type="dxa" w:w="1754"/>
          </w:tcPr>
          <w:p>
            <w:r/>
            <w:r>
              <w:rPr>
                <w:rFonts w:ascii="Times New Roman" w:hAnsi="Times New Roman"/>
                <w:b w:val="0"/>
                <w:sz w:val="22"/>
              </w:rPr>
              <w:t>R3</w:t>
            </w:r>
          </w:p>
        </w:tc>
        <w:tc>
          <w:tcPr>
            <w:tcW w:type="dxa" w:w="1754"/>
          </w:tcPr>
          <w:p>
            <w:r/>
            <w:r>
              <w:rPr>
                <w:rFonts w:ascii="Times New Roman" w:hAnsi="Times New Roman"/>
                <w:b w:val="0"/>
                <w:sz w:val="22"/>
              </w:rPr>
              <w:t>A/B + X + FOR_MANGE_ORDRER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71</w:t>
            </w:r>
          </w:p>
        </w:tc>
        <w:tc>
          <w:tcPr>
            <w:tcW w:type="dxa" w:w="1754"/>
          </w:tcPr>
          <w:p>
            <w:r/>
            <w:r>
              <w:rPr>
                <w:rFonts w:ascii="Times New Roman" w:hAnsi="Times New Roman"/>
                <w:b w:val="0"/>
                <w:sz w:val="22"/>
              </w:rPr>
              <w:t>10,0 %</w:t>
            </w:r>
          </w:p>
        </w:tc>
      </w:tr>
      <w:tr>
        <w:tc>
          <w:tcPr>
            <w:tcW w:type="dxa" w:w="1754"/>
          </w:tcPr>
          <w:p>
            <w:r/>
            <w:r>
              <w:rPr>
                <w:rFonts w:ascii="Times New Roman" w:hAnsi="Times New Roman"/>
                <w:b w:val="0"/>
                <w:sz w:val="22"/>
              </w:rPr>
              <w:t>R4</w:t>
            </w:r>
          </w:p>
        </w:tc>
        <w:tc>
          <w:tcPr>
            <w:tcW w:type="dxa" w:w="1754"/>
          </w:tcPr>
          <w:p>
            <w:r/>
            <w:r>
              <w:rPr>
                <w:rFonts w:ascii="Times New Roman" w:hAnsi="Times New Roman"/>
                <w:b w:val="0"/>
                <w:sz w:val="22"/>
              </w:rPr>
              <w:t>A/B + X + K_OVERFØR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18</w:t>
            </w:r>
          </w:p>
        </w:tc>
        <w:tc>
          <w:tcPr>
            <w:tcW w:type="dxa" w:w="1754"/>
          </w:tcPr>
          <w:p>
            <w:r/>
            <w:r>
              <w:rPr>
                <w:rFonts w:ascii="Times New Roman" w:hAnsi="Times New Roman"/>
                <w:b w:val="0"/>
                <w:sz w:val="22"/>
              </w:rPr>
              <w:t>2,5 %</w:t>
            </w:r>
          </w:p>
        </w:tc>
      </w:tr>
      <w:tr>
        <w:tc>
          <w:tcPr>
            <w:tcW w:type="dxa" w:w="1754"/>
          </w:tcPr>
          <w:p>
            <w:r/>
            <w:r>
              <w:rPr>
                <w:rFonts w:ascii="Times New Roman" w:hAnsi="Times New Roman"/>
                <w:b w:val="0"/>
                <w:sz w:val="22"/>
              </w:rPr>
              <w:t>R5</w:t>
            </w:r>
          </w:p>
        </w:tc>
        <w:tc>
          <w:tcPr>
            <w:tcW w:type="dxa" w:w="1754"/>
          </w:tcPr>
          <w:p>
            <w:r/>
            <w:r>
              <w:rPr>
                <w:rFonts w:ascii="Times New Roman" w:hAnsi="Times New Roman"/>
                <w:b w:val="0"/>
                <w:sz w:val="22"/>
              </w:rPr>
              <w:t>A/B + Y + K_OVERFØR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56</w:t>
            </w:r>
          </w:p>
        </w:tc>
        <w:tc>
          <w:tcPr>
            <w:tcW w:type="dxa" w:w="1754"/>
          </w:tcPr>
          <w:p>
            <w:r/>
            <w:r>
              <w:rPr>
                <w:rFonts w:ascii="Times New Roman" w:hAnsi="Times New Roman"/>
                <w:b w:val="0"/>
                <w:sz w:val="22"/>
              </w:rPr>
              <w:t>7,9 %</w:t>
            </w:r>
          </w:p>
        </w:tc>
      </w:tr>
      <w:tr>
        <w:tc>
          <w:tcPr>
            <w:tcW w:type="dxa" w:w="1754"/>
          </w:tcPr>
          <w:p>
            <w:r/>
            <w:r>
              <w:rPr>
                <w:rFonts w:ascii="Times New Roman" w:hAnsi="Times New Roman"/>
                <w:b w:val="0"/>
                <w:sz w:val="22"/>
              </w:rPr>
              <w:t>R6</w:t>
            </w:r>
          </w:p>
        </w:tc>
        <w:tc>
          <w:tcPr>
            <w:tcW w:type="dxa" w:w="1754"/>
          </w:tcPr>
          <w:p>
            <w:r/>
            <w:r>
              <w:rPr>
                <w:rFonts w:ascii="Times New Roman" w:hAnsi="Times New Roman"/>
                <w:b w:val="0"/>
                <w:sz w:val="22"/>
              </w:rPr>
              <w:t>A/B + X (uten K_OVERFØR)</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160</w:t>
            </w:r>
          </w:p>
        </w:tc>
        <w:tc>
          <w:tcPr>
            <w:tcW w:type="dxa" w:w="1754"/>
          </w:tcPr>
          <w:p>
            <w:r/>
            <w:r>
              <w:rPr>
                <w:rFonts w:ascii="Times New Roman" w:hAnsi="Times New Roman"/>
                <w:b w:val="0"/>
                <w:sz w:val="22"/>
              </w:rPr>
              <w:t>22,6 %</w:t>
            </w:r>
          </w:p>
        </w:tc>
      </w:tr>
      <w:tr>
        <w:tc>
          <w:tcPr>
            <w:tcW w:type="dxa" w:w="1754"/>
          </w:tcPr>
          <w:p>
            <w:r/>
            <w:r>
              <w:rPr>
                <w:rFonts w:ascii="Times New Roman" w:hAnsi="Times New Roman"/>
                <w:b w:val="0"/>
                <w:sz w:val="22"/>
              </w:rPr>
              <w:t>R7</w:t>
            </w:r>
          </w:p>
        </w:tc>
        <w:tc>
          <w:tcPr>
            <w:tcW w:type="dxa" w:w="1754"/>
          </w:tcPr>
          <w:p>
            <w:r/>
            <w:r>
              <w:rPr>
                <w:rFonts w:ascii="Times New Roman" w:hAnsi="Times New Roman"/>
                <w:b w:val="0"/>
                <w:sz w:val="22"/>
              </w:rPr>
              <w:t>A/B + Y (uten K_OVERFØR)</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23</w:t>
            </w:r>
          </w:p>
        </w:tc>
        <w:tc>
          <w:tcPr>
            <w:tcW w:type="dxa" w:w="1754"/>
          </w:tcPr>
          <w:p>
            <w:r/>
            <w:r>
              <w:rPr>
                <w:rFonts w:ascii="Times New Roman" w:hAnsi="Times New Roman"/>
                <w:b w:val="0"/>
                <w:sz w:val="22"/>
              </w:rPr>
              <w:t>3,2 %</w:t>
            </w:r>
          </w:p>
        </w:tc>
      </w:tr>
      <w:tr>
        <w:tc>
          <w:tcPr>
            <w:tcW w:type="dxa" w:w="1754"/>
          </w:tcPr>
          <w:p>
            <w:r/>
            <w:r>
              <w:rPr>
                <w:rFonts w:ascii="Times New Roman" w:hAnsi="Times New Roman"/>
                <w:b w:val="0"/>
                <w:sz w:val="22"/>
              </w:rPr>
              <w:t>R8</w:t>
            </w:r>
          </w:p>
        </w:tc>
        <w:tc>
          <w:tcPr>
            <w:tcW w:type="dxa" w:w="1754"/>
          </w:tcPr>
          <w:p>
            <w:r/>
            <w:r>
              <w:rPr>
                <w:rFonts w:ascii="Times New Roman" w:hAnsi="Times New Roman"/>
                <w:b w:val="0"/>
                <w:sz w:val="22"/>
              </w:rPr>
              <w:t>Øvrige (inkl. C + X)</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101</w:t>
            </w:r>
          </w:p>
        </w:tc>
        <w:tc>
          <w:tcPr>
            <w:tcW w:type="dxa" w:w="1754"/>
          </w:tcPr>
          <w:p>
            <w:r/>
            <w:r>
              <w:rPr>
                <w:rFonts w:ascii="Times New Roman" w:hAnsi="Times New Roman"/>
                <w:b w:val="0"/>
                <w:sz w:val="22"/>
              </w:rPr>
              <w:t>14,2 %</w:t>
            </w:r>
          </w:p>
        </w:tc>
      </w:tr>
      <w:tr>
        <w:tc>
          <w:tcPr>
            <w:tcW w:type="dxa" w:w="1754"/>
          </w:tcPr>
          <w:p>
            <w:r/>
            <w:r>
              <w:rPr>
                <w:rFonts w:ascii="Times New Roman" w:hAnsi="Times New Roman"/>
                <w:b w:val="0"/>
                <w:sz w:val="22"/>
              </w:rPr>
              <w:t>–</w:t>
            </w:r>
          </w:p>
        </w:tc>
        <w:tc>
          <w:tcPr>
            <w:tcW w:type="dxa" w:w="1754"/>
          </w:tcPr>
          <w:p>
            <w:r/>
            <w:r>
              <w:rPr>
                <w:rFonts w:ascii="Times New Roman" w:hAnsi="Times New Roman"/>
                <w:b w:val="0"/>
                <w:sz w:val="22"/>
              </w:rPr>
              <w:t>Manglende ABC/XYZ-data</w:t>
            </w:r>
          </w:p>
        </w:tc>
        <w:tc>
          <w:tcPr>
            <w:tcW w:type="dxa" w:w="1754"/>
          </w:tcPr>
          <w:p>
            <w:r/>
            <w:r>
              <w:rPr>
                <w:rFonts w:ascii="Times New Roman" w:hAnsi="Times New Roman"/>
                <w:b w:val="0"/>
                <w:sz w:val="22"/>
              </w:rPr>
              <w:t>MANGLER_DATA</w:t>
            </w:r>
          </w:p>
        </w:tc>
        <w:tc>
          <w:tcPr>
            <w:tcW w:type="dxa" w:w="1754"/>
          </w:tcPr>
          <w:p>
            <w:r/>
            <w:r>
              <w:rPr>
                <w:rFonts w:ascii="Times New Roman" w:hAnsi="Times New Roman"/>
                <w:b w:val="0"/>
                <w:sz w:val="22"/>
              </w:rPr>
              <w:t>23</w:t>
            </w:r>
          </w:p>
        </w:tc>
        <w:tc>
          <w:tcPr>
            <w:tcW w:type="dxa" w:w="1754"/>
          </w:tcPr>
          <w:p>
            <w:r/>
            <w:r>
              <w:rPr>
                <w:rFonts w:ascii="Times New Roman" w:hAnsi="Times New Roman"/>
                <w:b w:val="0"/>
                <w:sz w:val="22"/>
              </w:rPr>
              <w:t>3,2 %</w:t>
            </w:r>
          </w:p>
        </w:tc>
      </w:tr>
      <w:tr>
        <w:tc>
          <w:tcPr>
            <w:tcW w:type="dxa" w:w="1754"/>
          </w:tcPr>
          <w:p>
            <w:r/>
            <w:r>
              <w:rPr>
                <w:rFonts w:ascii="Times New Roman" w:hAnsi="Times New Roman"/>
                <w:b/>
                <w:sz w:val="22"/>
              </w:rPr>
              <w:t>Totalt</w:t>
            </w:r>
          </w:p>
        </w:tc>
        <w:tc>
          <w:tcPr>
            <w:tcW w:type="dxa" w:w="1754"/>
          </w:tcPr>
          <w:p>
            <w:r/>
          </w:p>
        </w:tc>
        <w:tc>
          <w:tcPr>
            <w:tcW w:type="dxa" w:w="1754"/>
          </w:tcPr>
          <w:p>
            <w:r/>
          </w:p>
        </w:tc>
        <w:tc>
          <w:tcPr>
            <w:tcW w:type="dxa" w:w="1754"/>
          </w:tcPr>
          <w:p>
            <w:r/>
            <w:r>
              <w:rPr>
                <w:rFonts w:ascii="Times New Roman" w:hAnsi="Times New Roman"/>
                <w:b/>
                <w:sz w:val="22"/>
              </w:rPr>
              <w:t>709</w:t>
            </w:r>
          </w:p>
        </w:tc>
        <w:tc>
          <w:tcPr>
            <w:tcW w:type="dxa" w:w="1754"/>
          </w:tcPr>
          <w:p>
            <w:r/>
            <w:r>
              <w:rPr>
                <w:rFonts w:ascii="Times New Roman" w:hAnsi="Times New Roman"/>
                <w:b/>
                <w:sz w:val="22"/>
              </w:rPr>
              <w:t>100 %</w:t>
            </w:r>
          </w:p>
        </w:tc>
      </w:tr>
    </w:tbl>
    <w:p>
      <w:pPr>
        <w:spacing w:line="360" w:lineRule="auto"/>
        <w:jc w:val="both"/>
      </w:pPr>
      <w:r>
        <w:rPr>
          <w:rFonts w:ascii="Times New Roman" w:hAnsi="Times New Roman" w:cs="Times New Roman"/>
          <w:sz w:val="24"/>
        </w:rPr>
        <w:t>145 artikler (20,5 %) anbefales overført til HVFS: R3 fanger 71, R4 fanger 18 og R5 fanger 56. Av disse har 117 status FOR\_MANGE\_ORDRER og inngår i besparelsesberegningen i avsnitt 7.6. De resterende 28 artiklene (18 fra R4 og 10 fra R5) inngår ikke i besparelsesgrunnlaget fordi FOR\_MANGE\_ORDRER-flagget ikke er aktivert, men anbefales overført fordi kombinasjonen av ABC/XYZ-profil og K\_OVERFØR-klyngetilhørighet oppfyller APL-egnethetskriteriet, jf. kap. 5.5.</w:t>
      </w:r>
    </w:p>
    <w:p>
      <w:pPr>
        <w:spacing w:line="360" w:lineRule="auto"/>
        <w:jc w:val="both"/>
      </w:pPr>
      <w:r>
        <w:rPr>
          <w:rFonts w:ascii="Times New Roman" w:hAnsi="Times New Roman" w:cs="Times New Roman"/>
          <w:sz w:val="24"/>
        </w:rPr>
        <w:t>257 artikler (36,2 %) beholdes lokalt, primært grunnet Z-klassifisering (R1: 143) eller CY-profil (R2: 114). Z-override (R1) er den enkeltregelen som fanger flest artikler i overføringskategorien – uforutsigbart forbruksmønster er dermed den vanligste kontraindikasjonen mot sentralisering i dette sortimentet. 284 artikler (40,1 %) sendes til manuell vurdering: R6 dominerer med 160 A/B-artikler som har stabilt forbruk men verken FOR\_MANGE\_ORDRER eller K\_OVERFØR-signal, R8 fanger 101 artikler med blandede eller lavverdi-signaler, og R7 fanger 23 A/B-Y-artikler uten klyngesignal. For å gjøre gjennomgangen håndterbar anbefales en prioritert tilnærming: (a) start med R8-artiklene som omfatter CX-profil (stabilt forbruk, lav verdi) – disse kan i mange tilfeller overføres med begrenset risiko; (b) gjennomgå deretter R6-gruppen (A/B + X uten K\_OVERFØR); (c) adresser til slutt R7 og øvrige blandede signaler.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jc w:val="both"/>
      </w:pPr>
      <w:r>
        <w:rPr>
          <w:rFonts w:ascii="Times New Roman" w:hAnsi="Times New Roman" w:cs="Times New Roman"/>
          <w:sz w:val="24"/>
        </w:rPr>
        <w:t xml:space="preserve">Besparelsesestimatet er beregnet for de 117 artiklene som oppfyller begge kriteriene OVERFØR\_HVFS og FOR\_MANGE\_ORDRER. Formelen er </w:t>
      </w: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15 viser resultatene for de tre scenariene.</w:t>
      </w:r>
    </w:p>
    <w:p>
      <w:r>
        <w:rPr>
          <w:rFonts w:ascii="Times New Roman" w:hAnsi="Times New Roman"/>
          <w:b/>
          <w:sz w:val="20"/>
        </w:rPr>
        <w:t>Tabell 15</w:t>
      </w:r>
    </w:p>
    <w:p>
      <w:r>
        <w:rPr>
          <w:rFonts w:ascii="Times New Roman" w:hAnsi="Times New Roman"/>
          <w:i/>
          <w:sz w:val="20"/>
        </w:rPr>
        <w:t>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b w:val="0"/>
                <w:sz w:val="22"/>
              </w:rPr>
              <w:t>Worst case</w:t>
            </w:r>
          </w:p>
        </w:tc>
        <w:tc>
          <w:tcPr>
            <w:tcW w:type="dxa" w:w="2923"/>
          </w:tcPr>
          <w:p>
            <w:r/>
            <w:r>
              <w:rPr>
                <w:rFonts w:ascii="Times New Roman" w:hAnsi="Times New Roman"/>
                <w:b w:val="0"/>
                <w:sz w:val="22"/>
              </w:rPr>
              <w:t>50 %</w:t>
            </w:r>
          </w:p>
        </w:tc>
        <w:tc>
          <w:tcPr>
            <w:tcW w:type="dxa" w:w="2923"/>
          </w:tcPr>
          <w:p>
            <w:r/>
            <w:r>
              <w:rPr>
                <w:rFonts w:ascii="Times New Roman" w:hAnsi="Times New Roman"/>
                <w:b w:val="0"/>
                <w:sz w:val="22"/>
              </w:rPr>
              <w:t>301 010</w:t>
            </w:r>
          </w:p>
        </w:tc>
      </w:tr>
      <w:tr>
        <w:tc>
          <w:tcPr>
            <w:tcW w:type="dxa" w:w="2923"/>
          </w:tcPr>
          <w:p>
            <w:r/>
            <w:r>
              <w:rPr>
                <w:rFonts w:ascii="Times New Roman" w:hAnsi="Times New Roman"/>
                <w:b/>
                <w:sz w:val="22"/>
              </w:rPr>
              <w:t>Base case</w:t>
            </w:r>
          </w:p>
        </w:tc>
        <w:tc>
          <w:tcPr>
            <w:tcW w:type="dxa" w:w="2923"/>
          </w:tcPr>
          <w:p>
            <w:r/>
            <w:r>
              <w:rPr>
                <w:rFonts w:ascii="Times New Roman" w:hAnsi="Times New Roman"/>
                <w:b/>
                <w:sz w:val="22"/>
              </w:rPr>
              <w:t>75 %</w:t>
            </w:r>
          </w:p>
        </w:tc>
        <w:tc>
          <w:tcPr>
            <w:tcW w:type="dxa" w:w="2923"/>
          </w:tcPr>
          <w:p>
            <w:r/>
            <w:r>
              <w:rPr>
                <w:rFonts w:ascii="Times New Roman" w:hAnsi="Times New Roman"/>
                <w:b/>
                <w:sz w:val="22"/>
              </w:rPr>
              <w:t>451 515</w:t>
            </w:r>
          </w:p>
        </w:tc>
      </w:tr>
      <w:tr>
        <w:tc>
          <w:tcPr>
            <w:tcW w:type="dxa" w:w="2923"/>
          </w:tcPr>
          <w:p>
            <w:r/>
            <w:r>
              <w:rPr>
                <w:rFonts w:ascii="Times New Roman" w:hAnsi="Times New Roman"/>
                <w:b w:val="0"/>
                <w:sz w:val="22"/>
              </w:rPr>
              <w:t>Best case</w:t>
            </w:r>
          </w:p>
        </w:tc>
        <w:tc>
          <w:tcPr>
            <w:tcW w:type="dxa" w:w="2923"/>
          </w:tcPr>
          <w:p>
            <w:r/>
            <w:r>
              <w:rPr>
                <w:rFonts w:ascii="Times New Roman" w:hAnsi="Times New Roman"/>
                <w:b w:val="0"/>
                <w:sz w:val="22"/>
              </w:rPr>
              <w:t>100 %</w:t>
            </w:r>
          </w:p>
        </w:tc>
        <w:tc>
          <w:tcPr>
            <w:tcW w:type="dxa" w:w="2923"/>
          </w:tcPr>
          <w:p>
            <w:r/>
            <w:r>
              <w:rPr>
                <w:rFonts w:ascii="Times New Roman" w:hAnsi="Times New Roman"/>
                <w:b w:val="0"/>
                <w:sz w:val="22"/>
              </w:rPr>
              <w:t>602 020</w:t>
            </w:r>
          </w:p>
        </w:tc>
      </w:tr>
    </w:tbl>
    <w:p>
      <w:pPr>
        <w:spacing w:line="360" w:lineRule="auto"/>
        <w:jc w:val="both"/>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jc w:val="both"/>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jc w:val="both"/>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jc w:val="both"/>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jc w:val="both"/>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jc w:val="both"/>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 At 73,1 % av EOQ-analyserte artikler klassifiseres som FOR\_MANGE\_ORDRER er konsistent med Pujawan (2004), som viser at suboptimale partistørrelser er utbredt og kan forplante seg som ordrevariabilitet i forsyningskjeden. Suryaputri et al. (2022) bekrefter at kryssmatrisen ABC/XYZ gir merverdi utover enkeltkriterieanalyse for lagersegmentering, noe som understøtter valget om å kombinere klassifiseringsdimensjonene.</w:t>
      </w:r>
    </w:p>
    <w:p>
      <w:pPr>
        <w:spacing w:line="360" w:lineRule="auto"/>
        <w:jc w:val="both"/>
      </w:pPr>
      <w:r>
        <w:rPr>
          <w:rFonts w:ascii="Times New Roman" w:hAnsi="Times New Roman" w:cs="Times New Roman"/>
          <w:sz w:val="24"/>
        </w:rPr>
        <w:t>Tabell 16 oppsummerer de sentrale funnene fra denne studien sett opp mot forventninger fra litteraturen.</w:t>
      </w:r>
    </w:p>
    <w:p>
      <w:r>
        <w:rPr>
          <w:rFonts w:ascii="Times New Roman" w:hAnsi="Times New Roman"/>
          <w:b/>
          <w:sz w:val="20"/>
        </w:rPr>
        <w:t>Tabell 16</w:t>
      </w:r>
    </w:p>
    <w:p>
      <w:r>
        <w:rPr>
          <w:rFonts w:ascii="Times New Roman" w:hAnsi="Times New Roman"/>
          <w:i/>
          <w:sz w:val="20"/>
        </w:rPr>
        <w:t>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A-klasse andel</w:t>
            </w:r>
          </w:p>
        </w:tc>
        <w:tc>
          <w:tcPr>
            <w:tcW w:type="dxa" w:w="1754"/>
          </w:tcPr>
          <w:p>
            <w:r/>
            <w:r>
              <w:rPr>
                <w:rFonts w:ascii="Times New Roman" w:hAnsi="Times New Roman"/>
                <w:b w:val="0"/>
                <w:sz w:val="22"/>
              </w:rPr>
              <w:t>25,7 % av artikler = 80 % av verdi</w:t>
            </w:r>
          </w:p>
        </w:tc>
        <w:tc>
          <w:tcPr>
            <w:tcW w:type="dxa" w:w="1754"/>
          </w:tcPr>
          <w:p>
            <w:r/>
            <w:r>
              <w:rPr>
                <w:rFonts w:ascii="Times New Roman" w:hAnsi="Times New Roman"/>
                <w:b w:val="0"/>
                <w:sz w:val="22"/>
              </w:rPr>
              <w:t>Typisk 20–25 % etter Pareto</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Gupta et al. (2007)</w:t>
            </w:r>
          </w:p>
        </w:tc>
      </w:tr>
      <w:tr>
        <w:tc>
          <w:tcPr>
            <w:tcW w:type="dxa" w:w="1754"/>
          </w:tcPr>
          <w:p>
            <w:r/>
            <w:r>
              <w:rPr>
                <w:rFonts w:ascii="Times New Roman" w:hAnsi="Times New Roman"/>
                <w:b w:val="0"/>
                <w:sz w:val="22"/>
              </w:rPr>
              <w:t>XYZ-samsvar med SAP ZZXYZ</w:t>
            </w:r>
          </w:p>
        </w:tc>
        <w:tc>
          <w:tcPr>
            <w:tcW w:type="dxa" w:w="1754"/>
          </w:tcPr>
          <w:p>
            <w:r/>
            <w:r>
              <w:rPr>
                <w:rFonts w:ascii="Times New Roman" w:hAnsi="Times New Roman"/>
                <w:b w:val="0"/>
                <w:sz w:val="22"/>
              </w:rPr>
              <w:t>33 % (125/375)</w:t>
            </w:r>
          </w:p>
        </w:tc>
        <w:tc>
          <w:tcPr>
            <w:tcW w:type="dxa" w:w="1754"/>
          </w:tcPr>
          <w:p>
            <w:r/>
            <w:r>
              <w:rPr>
                <w:rFonts w:ascii="Times New Roman" w:hAnsi="Times New Roman"/>
                <w:b w:val="0"/>
                <w:sz w:val="22"/>
              </w:rPr>
              <w:t>Statisk klassifisering divergerer over tid</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van Kampen et al. (2012)</w:t>
            </w:r>
          </w:p>
        </w:tc>
      </w:tr>
      <w:tr>
        <w:tc>
          <w:tcPr>
            <w:tcW w:type="dxa" w:w="1754"/>
          </w:tcPr>
          <w:p>
            <w:r/>
            <w:r>
              <w:rPr>
                <w:rFonts w:ascii="Times New Roman" w:hAnsi="Times New Roman"/>
                <w:b w:val="0"/>
                <w:sz w:val="22"/>
              </w:rPr>
              <w:t>X-artikler andel</w:t>
            </w:r>
          </w:p>
        </w:tc>
        <w:tc>
          <w:tcPr>
            <w:tcW w:type="dxa" w:w="1754"/>
          </w:tcPr>
          <w:p>
            <w:r/>
            <w:r>
              <w:rPr>
                <w:rFonts w:ascii="Times New Roman" w:hAnsi="Times New Roman"/>
                <w:b w:val="0"/>
                <w:sz w:val="22"/>
              </w:rPr>
              <w:t>50,9 % (350 av 687)</w:t>
            </w:r>
          </w:p>
        </w:tc>
        <w:tc>
          <w:tcPr>
            <w:tcW w:type="dxa" w:w="1754"/>
          </w:tcPr>
          <w:p>
            <w:r/>
            <w:r>
              <w:rPr>
                <w:rFonts w:ascii="Times New Roman" w:hAnsi="Times New Roman"/>
                <w:b w:val="0"/>
                <w:sz w:val="22"/>
              </w:rPr>
              <w:t>Stabile artikler utgjør gjerne flertallet</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K-means silhouette</w:t>
            </w:r>
          </w:p>
        </w:tc>
        <w:tc>
          <w:tcPr>
            <w:tcW w:type="dxa" w:w="1754"/>
          </w:tcPr>
          <w:p>
            <w:r/>
            <w:r>
              <w:rPr>
                <w:rFonts w:ascii="Times New Roman" w:hAnsi="Times New Roman"/>
                <w:b w:val="0"/>
                <w:sz w:val="22"/>
              </w:rPr>
              <w:t>0,383 (tren) / 0,368 (test)</w:t>
            </w:r>
          </w:p>
        </w:tc>
        <w:tc>
          <w:tcPr>
            <w:tcW w:type="dxa" w:w="1754"/>
          </w:tcPr>
          <w:p>
            <w:r/>
            <w:r>
              <w:rPr>
                <w:rFonts w:ascii="Times New Roman" w:hAnsi="Times New Roman"/>
                <w:b w:val="0"/>
                <w:sz w:val="22"/>
              </w:rPr>
              <w:t>&gt; 0,3 akseptabelt for eksplorativ analyse</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Ketkar &amp; Vaidya (2014)</w:t>
            </w:r>
          </w:p>
        </w:tc>
      </w:tr>
      <w:tr>
        <w:tc>
          <w:tcPr>
            <w:tcW w:type="dxa" w:w="1754"/>
          </w:tcPr>
          <w:p>
            <w:r/>
            <w:r>
              <w:rPr>
                <w:rFonts w:ascii="Times New Roman" w:hAnsi="Times New Roman"/>
                <w:b w:val="0"/>
                <w:sz w:val="22"/>
              </w:rPr>
              <w:t>Besparelse (base case)</w:t>
            </w:r>
          </w:p>
        </w:tc>
        <w:tc>
          <w:tcPr>
            <w:tcW w:type="dxa" w:w="1754"/>
          </w:tcPr>
          <w:p>
            <w:r/>
            <w:r>
              <w:rPr>
                <w:rFonts w:ascii="Times New Roman" w:hAnsi="Times New Roman"/>
                <w:b w:val="0"/>
                <w:sz w:val="22"/>
              </w:rPr>
              <w:t>kr 451 515/år (g = 75 %)</w:t>
            </w:r>
          </w:p>
        </w:tc>
        <w:tc>
          <w:tcPr>
            <w:tcW w:type="dxa" w:w="1754"/>
          </w:tcPr>
          <w:p>
            <w:r/>
            <w:r>
              <w:rPr>
                <w:rFonts w:ascii="Times New Roman" w:hAnsi="Times New Roman"/>
                <w:b w:val="0"/>
                <w:sz w:val="22"/>
              </w:rPr>
              <w:t>Moderate gevinster ved ordreoptimalisering</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Moons et al. (2019)</w:t>
            </w:r>
          </w:p>
        </w:tc>
      </w:tr>
      <w:tr>
        <w:tc>
          <w:tcPr>
            <w:tcW w:type="dxa" w:w="1754"/>
          </w:tcPr>
          <w:p>
            <w:r/>
            <w:r>
              <w:rPr>
                <w:rFonts w:ascii="Times New Roman" w:hAnsi="Times New Roman"/>
                <w:b w:val="0"/>
                <w:sz w:val="22"/>
              </w:rPr>
              <w:t>FOR_MANGE_ORDRER</w:t>
            </w:r>
          </w:p>
        </w:tc>
        <w:tc>
          <w:tcPr>
            <w:tcW w:type="dxa" w:w="1754"/>
          </w:tcPr>
          <w:p>
            <w:r/>
            <w:r>
              <w:rPr>
                <w:rFonts w:ascii="Times New Roman" w:hAnsi="Times New Roman"/>
                <w:b w:val="0"/>
                <w:sz w:val="22"/>
              </w:rPr>
              <w:t>73,1 % (356/487)</w:t>
            </w:r>
          </w:p>
        </w:tc>
        <w:tc>
          <w:tcPr>
            <w:tcW w:type="dxa" w:w="1754"/>
          </w:tcPr>
          <w:p>
            <w:r/>
            <w:r>
              <w:rPr>
                <w:rFonts w:ascii="Times New Roman" w:hAnsi="Times New Roman"/>
                <w:b w:val="0"/>
                <w:sz w:val="22"/>
              </w:rPr>
              <w:t>Suboptimal bestilling utbredt i sykehus</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Volland et al. (2017)</w:t>
            </w:r>
          </w:p>
        </w:tc>
      </w:tr>
      <w:tr>
        <w:tc>
          <w:tcPr>
            <w:tcW w:type="dxa" w:w="1754"/>
          </w:tcPr>
          <w:p>
            <w:r/>
            <w:r>
              <w:rPr>
                <w:rFonts w:ascii="Times New Roman" w:hAnsi="Times New Roman"/>
                <w:b w:val="0"/>
                <w:sz w:val="22"/>
              </w:rPr>
              <w:t>ABC/XYZ-matrise</w:t>
            </w:r>
          </w:p>
        </w:tc>
        <w:tc>
          <w:tcPr>
            <w:tcW w:type="dxa" w:w="1754"/>
          </w:tcPr>
          <w:p>
            <w:r/>
            <w:r>
              <w:rPr>
                <w:rFonts w:ascii="Times New Roman" w:hAnsi="Times New Roman"/>
                <w:b w:val="0"/>
                <w:sz w:val="22"/>
              </w:rPr>
              <w:t>9-felts kryssklassifisering</w:t>
            </w:r>
          </w:p>
        </w:tc>
        <w:tc>
          <w:tcPr>
            <w:tcW w:type="dxa" w:w="1754"/>
          </w:tcPr>
          <w:p>
            <w:r/>
            <w:r>
              <w:rPr>
                <w:rFonts w:ascii="Times New Roman" w:hAnsi="Times New Roman"/>
                <w:b w:val="0"/>
                <w:sz w:val="22"/>
              </w:rPr>
              <w:t>Gir økt segmenteringsverdi</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Suryaputri et al. (2022)</w:t>
            </w:r>
          </w:p>
        </w:tc>
      </w:tr>
      <w:tr>
        <w:tc>
          <w:tcPr>
            <w:tcW w:type="dxa" w:w="1754"/>
          </w:tcPr>
          <w:p>
            <w:r/>
            <w:r>
              <w:rPr>
                <w:rFonts w:ascii="Times New Roman" w:hAnsi="Times New Roman"/>
                <w:b w:val="0"/>
                <w:sz w:val="22"/>
              </w:rPr>
              <w:t>K-means merverdi</w:t>
            </w:r>
          </w:p>
        </w:tc>
        <w:tc>
          <w:tcPr>
            <w:tcW w:type="dxa" w:w="1754"/>
          </w:tcPr>
          <w:p>
            <w:r/>
            <w:r>
              <w:rPr>
                <w:rFonts w:ascii="Times New Roman" w:hAnsi="Times New Roman"/>
                <w:b w:val="0"/>
                <w:sz w:val="22"/>
              </w:rPr>
              <w:t>Begrenset – bekrefter ABC/XYZ</w:t>
            </w:r>
          </w:p>
        </w:tc>
        <w:tc>
          <w:tcPr>
            <w:tcW w:type="dxa" w:w="1754"/>
          </w:tcPr>
          <w:p>
            <w:r/>
            <w:r>
              <w:rPr>
                <w:rFonts w:ascii="Times New Roman" w:hAnsi="Times New Roman"/>
                <w:b w:val="0"/>
                <w:sz w:val="22"/>
              </w:rPr>
              <w:t>Klyngeanalyse komplementær, men ofte bekreftende</w:t>
            </w:r>
          </w:p>
        </w:tc>
        <w:tc>
          <w:tcPr>
            <w:tcW w:type="dxa" w:w="1754"/>
          </w:tcPr>
          <w:p>
            <w:r/>
            <w:r>
              <w:rPr>
                <w:rFonts w:ascii="Times New Roman" w:hAnsi="Times New Roman"/>
                <w:b w:val="0"/>
                <w:sz w:val="22"/>
              </w:rPr>
              <w:t>Delvis</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8.2 Metodekritikk</w:t>
      </w:r>
    </w:p>
    <w:p>
      <w:pPr>
        <w:spacing w:line="360" w:lineRule="auto"/>
        <w:jc w:val="both"/>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jc w:val="both"/>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jc w:val="both"/>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Konkret innebærer dette at vi ikke kan angi modellens presisjon (andel korrekte OVERFØR-anbefalinger) eller recall (andel faktisk egnede artikler som fanges opp). Fraværet skyldes at ingen historisk referanseklassifisering eksisterer ved Helse Bergen – det er nettopp dette gapet studien adresserer. Resultatene bør dermed tolkes som et førstegenerasjons beslutningsunderlag. En planlagt oppfølgingsfase ved Helse Bergen vil innebære faglig gjennomgang av OVERFØR-listen mot innkjøpsfaglig og klinisk kompetanse, noe som vil gi det første empiriske grunnlaget for å kalibrere regelmotoren.</w:t>
      </w:r>
    </w:p>
    <w:p>
      <w:pPr>
        <w:spacing w:line="360" w:lineRule="auto"/>
        <w:jc w:val="both"/>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 Et mitigerende argument er at X-artikler per definisjon har </w:t>
      </w:r>
      <m:oMath>
        <m:r>
          <m:t>CV&lt;0,5,</m:t>
        </m:r>
      </m:oMath>
      <w:r>
        <w:rPr>
          <w:rFonts w:ascii="Times New Roman" w:hAnsi="Times New Roman" w:cs="Times New Roman"/>
          <w:sz w:val="24"/>
        </w:rPr>
        <w:t xml:space="preserve"> noe som innebærer at etterspørselsvariansen er lav relativt til gjennomsnittet over den 24-månedersperioden analysen dekker. EOQ-avviksanalysens primære formål er dessuten </w:t>
      </w:r>
      <w:r>
        <w:rPr>
          <w:rFonts w:ascii="Times New Roman" w:hAnsi="Times New Roman" w:cs="Times New Roman"/>
          <w:i/>
          <w:sz w:val="24"/>
        </w:rPr>
        <w:t>relativ rangering</w:t>
      </w:r>
      <w:r>
        <w:rPr>
          <w:rFonts w:ascii="Times New Roman" w:hAnsi="Times New Roman" w:cs="Times New Roman"/>
          <w:sz w:val="24"/>
        </w:rPr>
        <w:t xml:space="preserve"> av artikler etter kostnadsavvik, ikke eksakt kostnadsestimering. En eventuell ikke-stasjonaritet – f.eks. sesongvariasjon eller svak trend – vil typisk skalere </w:t>
      </w:r>
      <m:oMath>
        <m:sSup>
          <m:e>
            <m:r>
              <m:t>f</m:t>
            </m:r>
          </m:e>
          <m:sup>
            <m:r>
              <m:t>*</m:t>
            </m:r>
          </m:sup>
        </m:sSup>
      </m:oMath>
      <w:r>
        <w:rPr>
          <w:rFonts w:ascii="Times New Roman" w:hAnsi="Times New Roman" w:cs="Times New Roman"/>
          <w:sz w:val="24"/>
        </w:rPr>
        <w:t xml:space="preserve"> og dermed </w:t>
      </w:r>
      <m:oMath>
        <m:r>
          <m:t>ΔT</m:t>
        </m:r>
        <m:sSub>
          <m:e>
            <m:r>
              <m:t>C</m:t>
            </m:r>
          </m:e>
          <m:sub>
            <m:r>
              <m:t>i</m:t>
            </m:r>
          </m:sub>
        </m:sSub>
      </m:oMath>
      <w:r>
        <w:rPr>
          <w:rFonts w:ascii="Times New Roman" w:hAnsi="Times New Roman" w:cs="Times New Roman"/>
          <w:sz w:val="24"/>
        </w:rPr>
        <w:t xml:space="preserve"> proporsjonalt på tvers av sammenlignbare X-artikler, slik at rangordenen mellom artiklene bevares selv om absoluttverdiene endres. Konsekvensen for overføringsbeslutningen – som bygger på rangeringen, ikke på eksakt beløp per artikkel – er derfor liten. En formell stasjonaritetstest (f.eks. augmented Dickey–Fuller) i en oppfølgingsstudie vil likevel styrke den interne validiteten ytterligere.</w:t>
      </w:r>
    </w:p>
    <w:p>
      <w:pPr>
        <w:spacing w:line="360" w:lineRule="auto"/>
        <w:jc w:val="both"/>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jc w:val="both"/>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jc w:val="both"/>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jc w:val="both"/>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jc w:val="both"/>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jc w:val="both"/>
      </w:pPr>
      <w:r>
        <w:rPr>
          <w:rFonts w:ascii="Times New Roman" w:hAnsi="Times New Roman" w:cs="Times New Roman"/>
          <w:sz w:val="24"/>
        </w:rPr>
        <w:t>For LIBRA-prosjektet spesifikt innebærer resultatene at det foreligger et forslag til et kvantitativt, reproduserbart beslutningsgrunnlag som potensielt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jc w:val="both"/>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Verdien </w:t>
      </w:r>
      <m:oMath>
        <m:r>
          <m:t>g=75</m:t>
        </m:r>
        <m:r>
          <m:t>%</m:t>
        </m:r>
      </m:oMath>
      <w:r>
        <w:rPr>
          <w:rFonts w:ascii="Times New Roman" w:hAnsi="Times New Roman" w:cs="Times New Roman"/>
          <w:sz w:val="24"/>
        </w:rPr>
        <w:t xml:space="preserve"> (base case) er en ekspertantagelse uten direkte empirisk belegg fra sykehuslogistikk, og representerer den viktigste enkeltusikkerheten i besparelsesestimatet. Intervallet 50–100 % er valgt for å fange realistisk implementeringsfriksjon: tre-scenarioanalysen gjør usikkerheten eksplisitt og lar beslutningstaker vurdere robustheten. Ettersom estimatet kun fanger transaksjonskostnadsavviket og utelater kapitalbindingsgevinsten – som Kelle et al. (2012) anslår til 5–15 % av lagerverdien – vil den faktiske nettogevinsten sannsynligvis ligge høyere enn base case isolert sett tilsier, selv med moderat gevinstrealisering. Tilsvarende er ordrekostnad </w:t>
      </w:r>
      <m:oMath>
        <m:r>
          <m:t>S=750</m:t>
        </m:r>
      </m:oMath>
      <w:r>
        <w:rPr>
          <w:rFonts w:ascii="Times New Roman" w:hAnsi="Times New Roman" w:cs="Times New Roman"/>
          <w:sz w:val="24"/>
        </w:rPr>
        <w:t xml:space="preserve"> NOK basert på internasjonal litteratur og ikke empirisk estimert for Helse Bergen; en ABC-kalkyle (Activity-Based Costing) av faktisk ordrekostnad ville styrket estimatets presisjon. Den faktiske gevinsten avhenger av gjennomføringskvalitet, leverandørenes kapasitet og Helse Bergens evne til å revidere SAP-parametere. Sensitivitetsanalysen over 27 scenarier synliggjør bredden i usikkerhetsintervallet.</w:t>
      </w:r>
    </w:p>
    <w:p>
      <w:pPr>
        <w:spacing w:line="360" w:lineRule="auto"/>
        <w:jc w:val="both"/>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jc w:val="both"/>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 K-means overlapper i stor grad med artikler som identifiseres via ABC/XYZ-reglene (R3) – et utfall som er både forventet og ettersøkt gitt designvalget redegjort for i avsnitt 5.4. Metodens merverdi ligger i metodisk triangulering: at en datadrevet, terskelfri segmentering konvergerer mot samme artikkelgrupper som den terskelbaserte ABC/XYZ-klassifiseringen, utgjør et validitetsargument som styrker tilliten til at terskelvalgene (80/95 % for ABC, 0,5/1,0 for CV) ikke er vilkårlige for dette datasettet. Begrensningen er at K-means dermed bidrar med relativt lite uavhengig informasjonsinnhold utover denne valideringen; en fremtidig analyse som utvider featurevektoren med kritikalitet (VED) eller leveringstid vil kunne gi klyngeanalysen en mer selvstendig rolle.</w:t>
      </w:r>
    </w:p>
    <w:p>
      <w:pPr>
        <w:spacing w:line="360" w:lineRule="auto"/>
        <w:jc w:val="both"/>
      </w:pPr>
      <w:r>
        <w:rPr>
          <w:rFonts w:ascii="Times New Roman" w:hAnsi="Times New Roman" w:cs="Times New Roman"/>
          <w:sz w:val="24"/>
        </w:rPr>
        <w:t>For 204 artikler uten EKPO-data er ABC-verdien beregnet fra D_ANNUAL × UNIT_PRICE. Av de 199 som har tilstrekkelig data til ABC-klassifisering, havner 98 i A-klassen og 63 i B-klassen. Dersom standardprisen systematisk avviker fra faktisk innkjøpspris, kan ABC-rangeringen for disse artiklene være upresis. Risikoen dempes av at regelmotoren krever flere sammenfallende signaler (ABC + XYZ + EOQ/K-means) for OVERFØR-anbefaling – en isolert ABC-feil vil dermed sjelden alene utløse en feilklassifisering.</w:t>
      </w:r>
    </w:p>
    <w:p>
      <w:pPr>
        <w:spacing w:line="360" w:lineRule="auto"/>
        <w:jc w:val="both"/>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Kritikalitetsdata inngår ikke som strukturert variabel i det aktuelle datauttrekket; ved Helse Bergen er VED-vurderingen i praksis basert på klinisk skjønn og foreligger ikke i maskinlesbar form. Regelmotorens R1-regel (Z-override) fungerer som en delvis kompensasjon ved å holde artikler med uregelmessig forbruk lokalt, men dette erstatter ikke en eksplisitt kritikalitetsvurdering. Pilotvalideringen (anbefaling 1, kap. 9.2) bør eksplisitt inkludere en klinisk kritikalitetsvurdering som supplement til de kvantitative signalene.</w:t>
      </w:r>
    </w:p>
    <w:p>
      <w:pPr>
        <w:spacing w:line="360" w:lineRule="auto"/>
        <w:jc w:val="both"/>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jc w:val="both"/>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jc w:val="both"/>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er kandidater for overføring til HVFS, og hva er det estimerte besparelsespotensialet?</w:t>
      </w:r>
    </w:p>
    <w:p>
      <w:pPr>
        <w:spacing w:line="360" w:lineRule="auto"/>
        <w:jc w:val="both"/>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jc w:val="both"/>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jc w:val="both"/>
      </w:pPr>
      <w:r>
        <w:rPr>
          <w:rFonts w:ascii="Times New Roman" w:hAnsi="Times New Roman" w:cs="Times New Roman"/>
          <w:sz w:val="24"/>
        </w:rPr>
        <w:t>Et selvstendig empirisk funn i studien er at SAPs egen XYZ-klassifisering (ZZXYZ) kun samsvarer med beregnet CV-klasse i 33 % av tilfellene (125 av 375 artikler med data i begge kilder), og at SAP kategoriserer bare 7 artikler som Z mot 79 beregnede Z-artikler. Dette tyder på at ZZXYZ-feltet er systematisk utdatert og ikke kan brukes som uavhengig beslutningsgrunnlag for HVFS-valg uten rekalkulering fra transaksjonsdata – en konstatering med direkte operasjonell relevans for LIBRA.</w:t>
      </w:r>
    </w:p>
    <w:p>
      <w:pPr>
        <w:spacing w:line="360" w:lineRule="auto"/>
        <w:jc w:val="both"/>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forutsatt at klassifiseringer beregnes fra rådata snarere enn hentes fra SAPs egne felt.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jc w:val="both"/>
      </w:pPr>
      <w:r>
        <w:rPr>
          <w:rFonts w:ascii="Times New Roman" w:hAnsi="Times New Roman" w:cs="Times New Roman"/>
          <w:sz w:val="24"/>
        </w:rPr>
        <w:t>Basert på studiens funn rettes følgende fire anbefalinger til Helse Bergen og Helse Vest IKT. Anbefalingene er formulert i prioritert rekkefølge, der anbefaling 1 og 3 er umiddelbare parallelle tiltak, anbefaling 2 er mellomfristig, og anbefaling 4 er en langsiktig evalueringssyklus:</w:t>
      </w:r>
    </w:p>
    <w:p>
      <w:pPr>
        <w:spacing w:line="360" w:lineRule="auto"/>
        <w:jc w:val="both"/>
      </w:pPr>
      <w:r>
        <w:rPr>
          <w:rFonts w:ascii="Times New Roman" w:hAnsi="Times New Roman" w:cs="Times New Roman"/>
          <w:b/>
          <w:sz w:val="24"/>
        </w:rPr>
        <w:t>1. Gjennomfør klinisk kritikalitetsvurdering før pilotoverføring.</w:t>
      </w:r>
    </w:p>
    <w:p>
      <w:pPr>
        <w:spacing w:line="360" w:lineRule="auto"/>
        <w:jc w:val="both"/>
      </w:pPr>
      <w:r>
        <w:rPr>
          <w:rFonts w:ascii="Times New Roman" w:hAnsi="Times New Roman" w:cs="Times New Roman"/>
          <w:sz w:val="24"/>
        </w:rPr>
        <w:t>Før noen artikkel faktisk overføres, må de 145 kandidatene underkastes en formell kritikalitetsgjennomgang (VED-vurdering) i samarbeid med kliniske miljøer. Kvantitative signaler (ABC + XYZ + EOQ + K-means) er nødvendige, men ikke tilstrekkelige: en artikkel kan være stabilt etterspurt og høyverdig, men samtidig kritisk for pasientsikkerhet ved leveransesvikt (jf. avsnitt 4.4 og 8.4). Pilotfasen bør deretter prioritere artiklene i skjæringspunktet mellom K_OVERFØR-klyngen og AX/BX-kategoriene som er VED-klassifisert som "Desirable" eller "Essential" – ikke "Vital". Overføringen gjennomføres gradvis, slik at HVFS og NorEngros kan verifisere APL-leveransemodellen før hele porteføljen flyttes.</w:t>
      </w:r>
    </w:p>
    <w:p>
      <w:pPr>
        <w:spacing w:line="360" w:lineRule="auto"/>
        <w:jc w:val="both"/>
      </w:pPr>
      <w:r>
        <w:rPr>
          <w:rFonts w:ascii="Times New Roman" w:hAnsi="Times New Roman" w:cs="Times New Roman"/>
          <w:b/>
          <w:sz w:val="24"/>
        </w:rPr>
        <w:t>2. Gjennomgå de 284 artiklene i VURDER NÆRMERE manuelt.</w:t>
      </w:r>
    </w:p>
    <w:p>
      <w:pPr>
        <w:spacing w:line="360" w:lineRule="auto"/>
        <w:jc w:val="both"/>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jc w:val="both"/>
      </w:pPr>
      <w:r>
        <w:rPr>
          <w:rFonts w:ascii="Times New Roman" w:hAnsi="Times New Roman" w:cs="Times New Roman"/>
          <w:b/>
          <w:sz w:val="24"/>
        </w:rPr>
        <w:t>3. Oppdater SAP MM-parametere for overførte artikler.</w:t>
      </w:r>
    </w:p>
    <w:p>
      <w:pPr>
        <w:spacing w:line="360" w:lineRule="auto"/>
        <w:jc w:val="both"/>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jc w:val="both"/>
      </w:pPr>
      <w:r>
        <w:rPr>
          <w:rFonts w:ascii="Times New Roman" w:hAnsi="Times New Roman" w:cs="Times New Roman"/>
          <w:b/>
          <w:sz w:val="24"/>
        </w:rPr>
        <w:t>4. Evaluer gevinstrealisering etter 12 måneder.</w:t>
      </w:r>
    </w:p>
    <w:p>
      <w:pPr>
        <w:spacing w:line="360" w:lineRule="auto"/>
        <w:jc w:val="both"/>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jc w:val="both"/>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240" w:lineRule="auto" w:after="120"/>
        <w:ind w:left="720" w:hanging="720"/>
        <w:jc w:val="both"/>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240" w:lineRule="auto" w:after="120"/>
        <w:ind w:left="720" w:hanging="720"/>
        <w:jc w:val="both"/>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240" w:lineRule="auto" w:after="120"/>
        <w:ind w:left="720" w:hanging="720"/>
        <w:jc w:val="both"/>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240" w:lineRule="auto" w:after="120"/>
        <w:ind w:left="720" w:hanging="720"/>
        <w:jc w:val="both"/>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240" w:lineRule="auto" w:after="120"/>
        <w:ind w:left="720" w:hanging="720"/>
        <w:jc w:val="both"/>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240" w:lineRule="auto" w:after="120"/>
        <w:ind w:left="720" w:hanging="720"/>
        <w:jc w:val="both"/>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240" w:lineRule="auto" w:after="120"/>
        <w:ind w:left="720" w:hanging="720"/>
        <w:jc w:val="both"/>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240" w:lineRule="auto" w:after="120"/>
        <w:ind w:left="720" w:hanging="720"/>
        <w:jc w:val="both"/>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240" w:lineRule="auto" w:after="120"/>
        <w:ind w:left="720" w:hanging="720"/>
        <w:jc w:val="both"/>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240" w:lineRule="auto" w:after="120"/>
        <w:ind w:left="720" w:hanging="720"/>
        <w:jc w:val="both"/>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240" w:lineRule="auto" w:after="120"/>
        <w:ind w:left="720" w:hanging="720"/>
        <w:jc w:val="both"/>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240" w:lineRule="auto" w:after="120"/>
        <w:ind w:left="720" w:hanging="720"/>
        <w:jc w:val="both"/>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240" w:lineRule="auto" w:after="120"/>
        <w:ind w:left="720" w:hanging="720"/>
        <w:jc w:val="both"/>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240" w:lineRule="auto" w:after="120"/>
        <w:ind w:left="720" w:hanging="720"/>
        <w:jc w:val="both"/>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240" w:lineRule="auto" w:after="120"/>
        <w:ind w:left="720" w:hanging="720"/>
        <w:jc w:val="both"/>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240" w:lineRule="auto" w:after="120"/>
        <w:ind w:left="720" w:hanging="720"/>
        <w:jc w:val="both"/>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240" w:lineRule="auto" w:after="120"/>
        <w:ind w:left="720" w:hanging="720"/>
        <w:jc w:val="both"/>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240" w:lineRule="auto" w:after="120"/>
        <w:ind w:left="720" w:hanging="720"/>
        <w:jc w:val="both"/>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240" w:lineRule="auto" w:after="120"/>
        <w:ind w:left="720" w:hanging="720"/>
        <w:jc w:val="both"/>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240" w:lineRule="auto" w:after="120"/>
        <w:ind w:left="720" w:hanging="720"/>
        <w:jc w:val="both"/>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240" w:lineRule="auto" w:after="120"/>
        <w:ind w:left="720" w:hanging="720"/>
        <w:jc w:val="both"/>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240" w:lineRule="auto" w:after="120"/>
        <w:ind w:left="720" w:hanging="720"/>
        <w:jc w:val="both"/>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jc w:val="both"/>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jc w:val="both"/>
      </w:pPr>
      <w:r>
        <w:rPr>
          <w:rFonts w:ascii="Times New Roman" w:hAnsi="Times New Roman" w:cs="Times New Roman"/>
          <w:sz w:val="24"/>
        </w:rPr>
        <w:t>Analyseverktøyet er implementert i Python 3.13 og består av to hovedkomponenter:</w:t>
      </w:r>
    </w:p>
    <w:p>
      <w:pPr>
        <w:spacing w:line="360" w:lineRule="auto"/>
        <w:jc w:val="both"/>
      </w:pPr>
      <w:r>
        <w:rPr>
          <w:rFonts w:ascii="Times New Roman" w:hAnsi="Times New Roman" w:cs="Times New Roman"/>
          <w:b/>
          <w:sz w:val="24"/>
        </w:rPr>
        <w:t>Hovedscript:</w:t>
      </w:r>
      <w:r>
        <w:rPr>
          <w:rFonts w:ascii="Times New Roman" w:hAnsi="Times New Roman" w:cs="Times New Roman"/>
          <w:sz w:val="24"/>
        </w:rPr>
        <w:t xml:space="preserve"> </w:t>
      </w:r>
      <w:r>
        <w:rPr>
          <w:rFonts w:ascii="Consolas" w:hAnsi="Consolas" w:cs="Consolas"/>
          <w:sz w:val="20"/>
          <w:shd w:val="clear" w:color="auto" w:fill="F4F4F4"/>
        </w:rPr>
        <w:t>LOG650_analyse_v2_7.py</w:t>
      </w:r>
      <w:r>
        <w:rPr>
          <w:rFonts w:ascii="Times New Roman" w:hAnsi="Times New Roman" w:cs="Times New Roman"/>
          <w:sz w:val="24"/>
        </w:rPr>
        <w:t xml:space="preserve">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jc w:val="both"/>
      </w:pPr>
      <w:r>
        <w:rPr>
          <w:rFonts w:ascii="Times New Roman" w:hAnsi="Times New Roman" w:cs="Times New Roman"/>
          <w:b/>
          <w:sz w:val="24"/>
        </w:rPr>
        <w:t>Figurscripts:</w:t>
      </w:r>
      <w:r>
        <w:rPr>
          <w:rFonts w:ascii="Times New Roman" w:hAnsi="Times New Roman" w:cs="Times New Roman"/>
          <w:sz w:val="24"/>
        </w:rPr>
        <w:t xml:space="preserve"> 12 separate Python-scripts (</w:t>
      </w:r>
      <w:r>
        <w:rPr>
          <w:rFonts w:ascii="Consolas" w:hAnsi="Consolas" w:cs="Consolas"/>
          <w:sz w:val="20"/>
          <w:shd w:val="clear" w:color="auto" w:fill="F4F4F4"/>
        </w:rPr>
        <w:t>plot_*.py</w:t>
      </w:r>
      <w:r>
        <w:rPr>
          <w:rFonts w:ascii="Times New Roman" w:hAnsi="Times New Roman" w:cs="Times New Roman"/>
          <w:sz w:val="24"/>
        </w:rPr>
        <w:t>) som genererer figurene Fig00–Fig11 i konsistent stil (serif-font, 300 dpi, felles fargepalett).</w:t>
      </w:r>
    </w:p>
    <w:p>
      <w:pPr>
        <w:spacing w:line="360" w:lineRule="auto"/>
        <w:jc w:val="both"/>
      </w:pPr>
      <w:r>
        <w:rPr>
          <w:rFonts w:ascii="Times New Roman" w:hAnsi="Times New Roman" w:cs="Times New Roman"/>
          <w:b/>
          <w:sz w:val="24"/>
        </w:rPr>
        <w:t>Nøkkelbibliotek:</w:t>
      </w:r>
      <w:r>
        <w:rPr>
          <w:rFonts w:ascii="Times New Roman" w:hAnsi="Times New Roman" w:cs="Times New Roman"/>
          <w:sz w:val="24"/>
        </w:rPr>
        <w:t xml:space="preserve"> pandas 2.2.2 (datastrukturer), numpy 1.26.4 (numeriske beregninger), scikit-learn 1.4.2 (KMeans, StandardScaler, silhouette\_score, train\_test\_split), matplotlib 3.8.4 (visualisering), openpyxl 3.1.2 (Excel-lesing), xlsxwriter 3.2.0 (Excel-skriving).</w:t>
      </w:r>
    </w:p>
    <w:p>
      <w:pPr>
        <w:spacing w:line="360" w:lineRule="auto"/>
        <w:jc w:val="both"/>
      </w:pPr>
      <w:r>
        <w:rPr>
          <w:rFonts w:ascii="Times New Roman" w:hAnsi="Times New Roman" w:cs="Times New Roman"/>
          <w:b/>
          <w:sz w:val="24"/>
        </w:rPr>
        <w:t>Reproduserbarhet:</w:t>
      </w:r>
      <w:r>
        <w:rPr>
          <w:rFonts w:ascii="Times New Roman" w:hAnsi="Times New Roman" w:cs="Times New Roman"/>
          <w:sz w:val="24"/>
        </w:rPr>
        <w:t xml:space="preserve">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output. Gjentatt kjøring med samme inputdata gir identiske resultater.</w:t>
      </w:r>
    </w:p>
    <w:p>
      <w:pPr>
        <w:spacing w:line="360" w:lineRule="auto"/>
        <w:jc w:val="both"/>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jc w:val="both"/>
      </w:pPr>
      <w:r>
        <w:rPr>
          <w:rFonts w:ascii="Times New Roman" w:hAnsi="Times New Roman" w:cs="Times New Roman"/>
          <w:sz w:val="24"/>
        </w:rPr>
        <w:t>I denne rapporten er KI-verktøyet Claude brukt som støtteverktøy i tre deler av arbeidet, i samsvar med Høgskolen i Molde sine retningslinjer for bruk av KI på hjemmeeksamen.</w:t>
      </w:r>
    </w:p>
    <w:p>
      <w:pPr>
        <w:spacing w:line="360" w:lineRule="auto"/>
        <w:jc w:val="both"/>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w:t>
      </w:r>
      <w:r>
        <w:rPr>
          <w:rFonts w:ascii="Consolas" w:hAnsi="Consolas" w:cs="Consolas"/>
          <w:sz w:val="20"/>
          <w:shd w:val="clear" w:color="auto" w:fill="F4F4F4"/>
        </w:rPr>
        <w:t>LOG650_analyse_v2_7.py</w:t>
      </w:r>
      <w:r>
        <w:rPr>
          <w:rFonts w:ascii="Times New Roman" w:hAnsi="Times New Roman" w:cs="Times New Roman"/>
          <w:sz w:val="24"/>
        </w:rPr>
        <w:t xml:space="preserve">)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og reproduserbar output.</w:t>
      </w:r>
    </w:p>
    <w:p>
      <w:pPr>
        <w:spacing w:line="360" w:lineRule="auto"/>
        <w:jc w:val="both"/>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i bildeteksten. Tabeller er formatert med støtte fra Claude, men alle verdier kommer direkte fra analysescriptet.</w:t>
      </w:r>
    </w:p>
    <w:p>
      <w:pPr>
        <w:spacing w:line="360" w:lineRule="auto"/>
        <w:jc w:val="both"/>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jc w:val="both"/>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jc w:val="both"/>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p>
      <w:pPr>
        <w:spacing w:line="360" w:lineRule="auto"/>
        <w:jc w:val="both"/>
      </w:pPr>
      <w:r>
        <w:rPr>
          <w:rFonts w:ascii="Times New Roman" w:hAnsi="Times New Roman" w:cs="Times New Roman"/>
          <w:b/>
          <w:sz w:val="24"/>
        </w:rPr>
        <w:t>Signatur:</w:t>
      </w:r>
    </w:p>
    <w:p>
      <w:pPr>
        <w:spacing w:line="360" w:lineRule="auto"/>
        <w:jc w:val="both"/>
      </w:pPr>
      <w:r>
        <w:rPr>
          <w:rFonts w:ascii="Times New Roman" w:hAnsi="Times New Roman" w:cs="Times New Roman"/>
          <w:sz w:val="24"/>
        </w:rPr>
        <w:t>Sted og dato: \_\_\_\_\_\_\_\_\_\_\_\_\_\_\_\_\_\_\_\_\_\_\_\_</w:t>
      </w:r>
    </w:p>
    <w:p>
      <w:pPr>
        <w:spacing w:line="360" w:lineRule="auto"/>
        <w:jc w:val="both"/>
      </w:pPr>
      <w:r>
        <w:rPr>
          <w:rFonts w:ascii="Times New Roman" w:hAnsi="Times New Roman" w:cs="Times New Roman"/>
          <w:sz w:val="24"/>
        </w:rPr>
        <w:t>Navn: \_\_\_\_\_\_\_\_\_\_\_\_\_\_\_\_\_\_\_\_\_\_\_\_</w:t>
      </w:r>
    </w:p>
    <w:p>
      <w:pPr>
        <w:spacing w:line="360" w:lineRule="auto"/>
        <w:jc w:val="both"/>
      </w:pPr>
      <w:r>
        <w:rPr>
          <w:rFonts w:ascii="Times New Roman" w:hAnsi="Times New Roman" w:cs="Times New Roman"/>
          <w:sz w:val="24"/>
        </w:rPr>
        <w:t>Studentnummer: \_\_\_\_\_\_\_\_\_\_\_\_\_\_\_\_\_\_\_\_\_\_\_\_</w:t>
      </w:r>
    </w:p>
    <w:p>
      <w:pPr>
        <w:spacing w:line="360" w:lineRule="auto"/>
        <w:jc w:val="both"/>
      </w:pPr>
      <w:r>
        <w:rPr>
          <w:rFonts w:ascii="Times New Roman" w:hAnsi="Times New Roman" w:cs="Times New Roman"/>
          <w:sz w:val="24"/>
        </w:rPr>
        <w:t>Jeg bekrefter at opplysningene ovenfor er korrekte, og at all bruk av kunstig intelligens i dette arbeidet er beskrevet fullstendig og ærlig.</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jc w:val="both"/>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