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41F2"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1F3" w14:textId="77777777" w:rsidR="00AE2C34" w:rsidRDefault="00AE2C34" w:rsidP="001B3556"/>
    <w:p w14:paraId="615641F4" w14:textId="77777777" w:rsidR="00AE2C34" w:rsidRDefault="00AE2C34" w:rsidP="001B3556"/>
    <w:p w14:paraId="615641F5" w14:textId="77777777" w:rsidR="00AE2C34" w:rsidRDefault="00AE2C34" w:rsidP="001B3556"/>
    <w:p w14:paraId="615641F6" w14:textId="77777777" w:rsidR="00AE2C34" w:rsidRDefault="00AE2C34" w:rsidP="001B3556"/>
    <w:p w14:paraId="615641F7" w14:textId="77777777" w:rsidR="003A4872" w:rsidRDefault="003A4872" w:rsidP="00AE2C34">
      <w:pPr>
        <w:sectPr w:rsidR="003A4872" w:rsidSect="00C90D42">
          <w:footerReference w:type="even" r:id="rId12"/>
          <w:footerReference w:type="default" r:id="rId13"/>
          <w:pgSz w:w="11907" w:h="16840" w:code="9"/>
          <w:pgMar w:top="1417" w:right="1417" w:bottom="1417" w:left="1701" w:header="720" w:footer="403" w:gutter="0"/>
          <w:pgNumType w:start="1"/>
          <w:cols w:space="720"/>
          <w:titlePg/>
        </w:sectPr>
      </w:pPr>
    </w:p>
    <w:p w14:paraId="615641F8" w14:textId="77777777" w:rsidR="003A4872" w:rsidRDefault="003A4872" w:rsidP="00AE2C34"/>
    <w:p w14:paraId="615641F9" w14:textId="77777777" w:rsidR="003A4872" w:rsidRDefault="003A4872" w:rsidP="001B3556">
      <w:pPr>
        <w:rPr>
          <w:rFonts w:ascii="Arial" w:hAnsi="Arial" w:cs="Arial"/>
          <w:b/>
          <w:bCs/>
          <w:spacing w:val="-4"/>
          <w:w w:val="101"/>
          <w:sz w:val="28"/>
          <w:szCs w:val="28"/>
        </w:rPr>
      </w:pPr>
    </w:p>
    <w:p w14:paraId="615641FA" w14:textId="77777777" w:rsidR="003A4872" w:rsidRDefault="003A4872" w:rsidP="001B3556">
      <w:pPr>
        <w:rPr>
          <w:rFonts w:ascii="Arial" w:hAnsi="Arial" w:cs="Arial"/>
          <w:b/>
          <w:bCs/>
          <w:spacing w:val="-4"/>
          <w:w w:val="101"/>
          <w:sz w:val="28"/>
          <w:szCs w:val="28"/>
        </w:rPr>
      </w:pPr>
    </w:p>
    <w:p w14:paraId="615641FB" w14:textId="40AD428C"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615641FC"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15641FD" w14:textId="7D0F5214"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15641FE"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615641FF"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Pr>
          <w:rFonts w:ascii="Times New Roman" w:hAnsi="Times New Roman"/>
          <w:sz w:val="24"/>
        </w:rPr>
        <w:t>Fra lokalt forsyningslager til regional sentralforsyning:</w:t>
        <w:br/>
        <w:t>Multikriterieklassifisering og klyngeanalyse for identifisering av overføringskandidater ved Helse Bergen</w:t>
      </w:r>
    </w:p>
    <w:p w14:paraId="6156420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1"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Pr>
          <w:rFonts w:ascii="Times New Roman" w:hAnsi="Times New Roman"/>
          <w:sz w:val="24"/>
        </w:rPr>
        <w:t>Thomas Ekrem Jensen</w:t>
      </w:r>
    </w:p>
    <w:p w14:paraId="6156420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3"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fldChar w:fldCharType="end"/>
      </w:r>
      <w:bookmarkEnd w:id="3"/>
    </w:p>
    <w:p w14:paraId="6156420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61564205" w14:textId="77777777" w:rsidR="001505E8" w:rsidRPr="009A386B" w:rsidRDefault="001505E8" w:rsidP="008E406C">
      <w:pPr>
        <w:framePr w:w="9295" w:h="4141" w:hSpace="180" w:wrap="around" w:vAnchor="text" w:hAnchor="page" w:x="1527" w:y="640"/>
        <w:rPr>
          <w:sz w:val="32"/>
          <w:szCs w:val="32"/>
        </w:rPr>
      </w:pPr>
      <w:r>
        <w:rPr>
          <w:rFonts w:ascii="Times New Roman" w:hAnsi="Times New Roman"/>
          <w:sz w:val="24"/>
        </w:rPr>
        <w:t>Stavanger, Mai 2026</w:t>
      </w:r>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footerReference w:type="default" r:id="rId34"/>
          <w:type w:val="continuous"/>
          <w:pgSz w:w="11907" w:h="16840"/>
          <w:pgMar w:top="1417" w:right="1417" w:bottom="1417" w:left="1701"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1564210"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9758A0" w:rsidRDefault="00F45737" w:rsidP="009758A0">
            <w:pPr>
              <w:rPr>
                <w:rFonts w:ascii="Trebuchet MS" w:hAnsi="Trebuchet MS" w:cs="Times New Roman"/>
                <w:sz w:val="20"/>
                <w:szCs w:val="20"/>
              </w:rPr>
            </w:pPr>
          </w:p>
          <w:p w14:paraId="61564212" w14:textId="77777777" w:rsidR="0055544F" w:rsidRPr="009758A0" w:rsidRDefault="0055544F" w:rsidP="009758A0">
            <w:pPr>
              <w:rPr>
                <w:rFonts w:ascii="Trebuchet MS" w:hAnsi="Trebuchet MS" w:cs="Times New Roman"/>
                <w:sz w:val="20"/>
                <w:szCs w:val="20"/>
              </w:rPr>
            </w:pPr>
          </w:p>
          <w:p w14:paraId="61564213" w14:textId="77777777"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1564217"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1564219"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156421B"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9758A0" w:rsidRDefault="00F45737" w:rsidP="009758A0">
            <w:pPr>
              <w:rPr>
                <w:rFonts w:ascii="Trebuchet MS" w:hAnsi="Trebuchet MS" w:cs="Times New Roman"/>
                <w:sz w:val="20"/>
                <w:szCs w:val="20"/>
              </w:rPr>
            </w:pPr>
          </w:p>
          <w:p w14:paraId="6156421D" w14:textId="77777777" w:rsidR="00F45737" w:rsidRPr="009758A0" w:rsidRDefault="00F45737" w:rsidP="009758A0">
            <w:pPr>
              <w:rPr>
                <w:rFonts w:ascii="Trebuchet MS" w:hAnsi="Trebuchet MS" w:cs="Times New Roman"/>
                <w:sz w:val="20"/>
                <w:szCs w:val="20"/>
              </w:rPr>
            </w:pPr>
          </w:p>
          <w:p w14:paraId="6156421E" w14:textId="77777777" w:rsidR="00F45737" w:rsidRPr="009758A0" w:rsidRDefault="00F45737" w:rsidP="009758A0">
            <w:pPr>
              <w:rPr>
                <w:rFonts w:ascii="Trebuchet MS" w:hAnsi="Trebuchet MS" w:cs="Times New Roman"/>
                <w:sz w:val="20"/>
                <w:szCs w:val="20"/>
              </w:rPr>
            </w:pPr>
          </w:p>
          <w:p w14:paraId="6156421F" w14:textId="77777777" w:rsidR="00F45737" w:rsidRPr="009758A0" w:rsidRDefault="00F45737" w:rsidP="009758A0">
            <w:pPr>
              <w:rPr>
                <w:rFonts w:ascii="Trebuchet MS" w:hAnsi="Trebuchet MS" w:cs="Times New Roman"/>
                <w:sz w:val="20"/>
                <w:szCs w:val="20"/>
              </w:rPr>
            </w:pPr>
          </w:p>
          <w:p w14:paraId="61564220" w14:textId="77777777" w:rsidR="00F45737" w:rsidRPr="009758A0" w:rsidRDefault="00F45737" w:rsidP="009758A0">
            <w:pPr>
              <w:rPr>
                <w:rFonts w:ascii="Trebuchet MS" w:hAnsi="Trebuchet MS" w:cs="Times New Roman"/>
                <w:sz w:val="20"/>
                <w:szCs w:val="20"/>
              </w:rPr>
            </w:pPr>
          </w:p>
          <w:p w14:paraId="61564221" w14:textId="77777777" w:rsidR="00F45737" w:rsidRPr="009758A0" w:rsidRDefault="00F45737" w:rsidP="009758A0">
            <w:pPr>
              <w:rPr>
                <w:rFonts w:ascii="Trebuchet MS" w:hAnsi="Trebuchet MS" w:cs="Times New Roman"/>
                <w:sz w:val="20"/>
                <w:szCs w:val="20"/>
              </w:rPr>
            </w:pPr>
          </w:p>
          <w:p w14:paraId="61564222" w14:textId="77777777" w:rsidR="00424468" w:rsidRPr="009758A0" w:rsidRDefault="00424468" w:rsidP="009758A0">
            <w:pPr>
              <w:rPr>
                <w:rFonts w:ascii="Trebuchet MS" w:hAnsi="Trebuchet MS" w:cs="Times New Roman"/>
                <w:sz w:val="20"/>
                <w:szCs w:val="20"/>
              </w:rPr>
            </w:pPr>
          </w:p>
          <w:p w14:paraId="61564223"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kobling"/>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kobling"/>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9758A0" w:rsidRDefault="00F45737" w:rsidP="009758A0">
            <w:pPr>
              <w:rPr>
                <w:rFonts w:ascii="Trebuchet MS" w:hAnsi="Trebuchet MS" w:cs="Times New Roman"/>
                <w:sz w:val="20"/>
                <w:szCs w:val="20"/>
              </w:rPr>
            </w:pPr>
          </w:p>
          <w:p w14:paraId="61564228" w14:textId="77777777" w:rsidR="00F45737" w:rsidRPr="009758A0" w:rsidRDefault="00F45737" w:rsidP="009758A0">
            <w:pPr>
              <w:rPr>
                <w:rFonts w:ascii="Trebuchet MS" w:hAnsi="Trebuchet MS" w:cs="Times New Roman"/>
                <w:sz w:val="20"/>
                <w:szCs w:val="20"/>
              </w:rPr>
            </w:pPr>
          </w:p>
          <w:p w14:paraId="61564229" w14:textId="77777777" w:rsidR="00C642BF" w:rsidRPr="009758A0" w:rsidRDefault="00C642BF" w:rsidP="009758A0">
            <w:pPr>
              <w:rPr>
                <w:rFonts w:ascii="Trebuchet MS" w:hAnsi="Trebuchet MS" w:cs="Times New Roman"/>
                <w:sz w:val="20"/>
                <w:szCs w:val="20"/>
              </w:rPr>
            </w:pPr>
          </w:p>
          <w:p w14:paraId="6156422A"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9758A0" w:rsidRDefault="00F45737" w:rsidP="009758A0">
            <w:pPr>
              <w:rPr>
                <w:rFonts w:ascii="Trebuchet MS" w:hAnsi="Trebuchet MS" w:cs="Times New Roman"/>
                <w:sz w:val="20"/>
                <w:szCs w:val="20"/>
              </w:rPr>
            </w:pPr>
          </w:p>
          <w:p w14:paraId="6156422F" w14:textId="77777777" w:rsidR="0099615A" w:rsidRPr="009758A0" w:rsidRDefault="0099615A" w:rsidP="009758A0">
            <w:pPr>
              <w:rPr>
                <w:rFonts w:ascii="Trebuchet MS" w:hAnsi="Trebuchet MS" w:cs="Times New Roman"/>
                <w:sz w:val="20"/>
                <w:szCs w:val="20"/>
              </w:rPr>
            </w:pPr>
          </w:p>
          <w:p w14:paraId="61564230"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9758A0" w:rsidRDefault="0055544F" w:rsidP="009758A0">
            <w:pPr>
              <w:rPr>
                <w:rFonts w:ascii="Trebuchet MS" w:hAnsi="Trebuchet MS" w:cs="Times New Roman"/>
                <w:b/>
                <w:sz w:val="20"/>
                <w:szCs w:val="20"/>
              </w:rPr>
            </w:pPr>
          </w:p>
          <w:p w14:paraId="61564235" w14:textId="77777777" w:rsidR="0055544F" w:rsidRPr="009758A0" w:rsidRDefault="0055544F" w:rsidP="009758A0">
            <w:pPr>
              <w:rPr>
                <w:rFonts w:ascii="Trebuchet MS" w:hAnsi="Trebuchet MS" w:cs="Times New Roman"/>
                <w:b/>
                <w:sz w:val="20"/>
                <w:szCs w:val="20"/>
              </w:rPr>
            </w:pPr>
          </w:p>
          <w:p w14:paraId="61564236" w14:textId="77777777"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9758A0" w:rsidRDefault="0055544F" w:rsidP="009758A0">
            <w:pPr>
              <w:rPr>
                <w:rFonts w:ascii="Trebuchet MS" w:hAnsi="Trebuchet MS" w:cs="Times New Roman"/>
                <w:b/>
                <w:sz w:val="20"/>
                <w:szCs w:val="20"/>
              </w:rPr>
            </w:pPr>
          </w:p>
          <w:p w14:paraId="6156423B"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footerReference w:type="default" r:id="rId35"/>
          <w:pgSz w:w="11907" w:h="16840"/>
          <w:pgMar w:top="1417" w:right="1417" w:bottom="1417" w:left="1701"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5961E6CF"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footerReference w:type="default" r:id="rId36"/>
          <w:pgSz w:w="11907" w:h="16840"/>
          <w:pgMar w:top="1417" w:right="1417" w:bottom="1417" w:left="1701"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77777777" w:rsidR="00587456" w:rsidRPr="0055544F" w:rsidRDefault="00587456" w:rsidP="00587456">
      <w:pPr>
        <w:rPr>
          <w:rFonts w:ascii="Trebuchet MS" w:hAnsi="Trebuchet MS" w:cs="Times New Roman"/>
          <w:b/>
        </w:rPr>
      </w:pPr>
      <w:r>
        <w:rPr>
          <w:rFonts w:ascii="Times New Roman" w:hAnsi="Times New Roman"/>
          <w:sz w:val="24"/>
        </w:rPr>
        <w:t>Studiepoeng: 15</w:t>
      </w:r>
    </w:p>
    <w:p w14:paraId="61564257" w14:textId="77777777" w:rsidR="00587456" w:rsidRDefault="00587456" w:rsidP="00587456">
      <w:pPr>
        <w:rPr>
          <w:rFonts w:ascii="Trebuchet MS" w:hAnsi="Trebuchet MS" w:cs="Times New Roman"/>
          <w:b/>
        </w:rPr>
      </w:pPr>
      <w:r>
        <w:rPr>
          <w:rFonts w:ascii="Times New Roman" w:hAnsi="Times New Roman"/>
          <w:sz w:val="24"/>
        </w:rPr>
        <w:t>Veileder: Bård Inge Austigard Pettersen</w:t>
      </w:r>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bookmarkStart w:id="9" w:name="Check1"/>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Box>
          </w:ffData>
        </w:fldChar>
      </w:r>
      <w:bookmarkStart w:id="12" w:name="Check4"/>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77777777"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Box>
          </w:ffData>
        </w:fldChar>
      </w:r>
      <w:bookmarkStart w:id="13"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imes New Roman" w:hAnsi="Times New Roman"/>
          <w:sz w:val="24"/>
        </w:rPr>
        <w:t>Dato: Mai 2026</w:t>
      </w:r>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8" w14:textId="77777777" w:rsidR="00587456" w:rsidRDefault="00587456" w:rsidP="00223851">
      <w:pPr>
        <w:rPr>
          <w:rFonts w:ascii="Trebuchet MS" w:hAnsi="Trebuchet MS" w:cs="Arial"/>
          <w:b/>
        </w:rPr>
        <w:sectPr w:rsidR="00587456" w:rsidSect="00C90D42">
          <w:footerReference w:type="default" r:id="rId37"/>
          <w:pgSz w:w="11907" w:h="16840"/>
          <w:pgMar w:top="1417" w:right="1417" w:bottom="1417" w:left="1701" w:header="720" w:footer="403" w:gutter="0"/>
          <w:cols w:space="720"/>
          <w:titlePg/>
        </w:sectPr>
      </w:pPr>
    </w:p>
    <w:p w14:paraId="61564269" w14:textId="77777777" w:rsidR="00DC012B" w:rsidRDefault="00DC012B" w:rsidP="00223851">
      <w:pPr>
        <w:rPr>
          <w:rFonts w:ascii="Trebuchet MS" w:hAnsi="Trebuchet MS" w:cs="Arial"/>
        </w:rPr>
      </w:pPr>
    </w:p>
    <w:p w14:paraId="6156426A" w14:textId="77777777" w:rsidR="00540215" w:rsidRDefault="00540215" w:rsidP="00223851">
      <w:pPr>
        <w:rPr>
          <w:rFonts w:ascii="Trebuchet MS" w:hAnsi="Trebuchet MS" w:cs="Arial"/>
        </w:rPr>
      </w:pPr>
    </w:p>
    <w:p w14:paraId="6156426B" w14:textId="77777777" w:rsidR="00540215" w:rsidRDefault="00540215" w:rsidP="00540215">
      <w:pPr>
        <w:rPr>
          <w:rFonts w:ascii="Trebuchet MS" w:hAnsi="Trebuchet MS" w:cs="Arial"/>
        </w:rPr>
      </w:pPr>
    </w:p>
    <w:p w14:paraId="6156426C" w14:textId="77777777" w:rsidR="00540215" w:rsidRDefault="00540215" w:rsidP="00223851">
      <w:pPr>
        <w:rPr>
          <w:rFonts w:ascii="Trebuchet MS" w:hAnsi="Trebuchet MS" w:cs="Arial"/>
        </w:rPr>
      </w:pPr>
    </w:p>
    <w:p w14:paraId="6156426D" w14:textId="77777777" w:rsidR="00276212" w:rsidRPr="00276212" w:rsidRDefault="00276212" w:rsidP="00276212">
      <w:pPr>
        <w:rPr>
          <w:rFonts w:cs="Times New Roman"/>
        </w:rPr>
      </w:pPr>
    </w:p>
    <w:p w14:paraId="6156426E" w14:textId="77777777" w:rsidR="00DC012B" w:rsidRDefault="00DC012B" w:rsidP="00EB7DD2"/>
    <w:p w14:paraId="6156426F" w14:textId="77777777" w:rsidR="00276212" w:rsidRDefault="00276212" w:rsidP="00EB7DD2">
      <w:pPr>
        <w:sectPr w:rsidR="00276212" w:rsidSect="00C90D42">
          <w:footerReference w:type="default" r:id="rId38"/>
          <w:pgSz w:w="11907" w:h="16840"/>
          <w:pgMar w:top="1417" w:right="1417" w:bottom="1417" w:left="1701" w:header="720" w:footer="403" w:gutter="0"/>
          <w:cols w:space="720"/>
          <w:formProt w:val="0"/>
          <w:titlePg/>
        </w:sectPr>
      </w:pPr>
    </w:p>
    <w:p>
      <w:pPr>
        <w:pStyle w:val="Heading1"/>
        <w:pageBreakBefore w:val="true"/>
      </w:pPr>
      <w:r>
        <w:t>Forord</w:t>
      </w:r>
    </w:p>
    <w:p>
      <w:pPr>
        <w:spacing w:line="360" w:lineRule="auto"/>
      </w:pPr>
      <w:r>
        <w:rPr>
          <w:rFonts w:ascii="Times New Roman" w:hAnsi="Times New Roman"/>
          <w:sz w:val="24"/>
        </w:rPr>
        <w:t xml:space="preserve">Denne rapporten er skrevet som avsluttende arbeid i emnet LOG650 Forskningsprosjekt: Logistikk og kunstig intelligens ved Høgskolen i Molde, vårsemesteret 2026.</w:t>
      </w:r>
    </w:p>
    <w:p>
      <w:pPr>
        <w:spacing w:line="360" w:lineRule="auto"/>
      </w:pPr>
      <w:r>
        <w:rPr>
          <w:rFonts w:ascii="Times New Roman" w:hAnsi="Times New Roman"/>
          <w:sz w:val="24"/>
        </w:rPr>
        <w:t xml:space="preserve">Jeg vil rette en stor takk til min veileder, Bård Inge Austigard Pettersen, for faglig engasjement, konstruktive tilbakemeldinger og tydelige forventninger gjennom hele prosessen. Hans evne til å kombinere akademisk presisjon med praktisk relevans har vært avgjørende for arbeidet med oppgaven.</w:t>
      </w:r>
    </w:p>
    <w:p>
      <w:pPr>
        <w:spacing w:line="360" w:lineRule="auto"/>
      </w:pPr>
      <w:r>
        <w:rPr>
          <w:rFonts w:ascii="Times New Roman" w:hAnsi="Times New Roman"/>
          <w:sz w:val="24"/>
        </w:rPr>
        <w:t xml:space="preserve">Takk til Helse Bergen og Helse Vest IKT for tilgang til SAP S/4HANA-data som har gjort analysen mulig. Datagrunnlaget er behandlet i tråd med gjeldende retningslinjer for personvern og informasjonssikkerhet, og studien omfatter ikke personidentifiserbare opplysninger.</w:t>
      </w:r>
    </w:p>
    <w:p>
      <w:pPr>
        <w:spacing w:line="360" w:lineRule="auto"/>
      </w:pPr>
      <w:r>
        <w:rPr>
          <w:rFonts w:ascii="Times New Roman" w:hAnsi="Times New Roman"/>
          <w:sz w:val="24"/>
        </w:rPr>
        <w:t xml:space="preserve">Motivasjonen springer ut av min rolle som SAP MM-konsulent ved Helse Vest IKT, hvor jeg daglig ser at transaksjonsdataene i SAP er underutnyttet som beslutningsgrunnlag. Denne oppgaven er et forsøk på å bygge bro over det gapet.</w:t>
      </w:r>
    </w:p>
    <w:p>
      <w:pPr>
        <w:spacing w:line="360" w:lineRule="auto"/>
      </w:pPr>
      <w:r>
        <w:rPr>
          <w:rFonts w:ascii="Times New Roman" w:hAnsi="Times New Roman"/>
          <w:sz w:val="24"/>
        </w:rPr>
        <w:t xml:space="preserve">Til slutt vil jeg takke min samboer Hilde for støtte og tålmodighet gjennom et krevende semester med fulltidsjobb ved siden av studiene.</w:t>
      </w:r>
    </w:p>
    <w:p>
      <w:pPr>
        <w:spacing w:line="360" w:lineRule="auto"/>
      </w:pPr>
      <w:r>
        <w:rPr>
          <w:rFonts w:ascii="Times New Roman" w:hAnsi="Times New Roman"/>
          <w:sz w:val="24"/>
        </w:rPr>
        <w:t xml:space="preserve">Stavanger, mai 2026</w:t>
      </w:r>
    </w:p>
    <w:p>
      <w:pPr>
        <w:spacing w:line="360" w:lineRule="auto"/>
      </w:pPr>
      <w:r>
        <w:rPr>
          <w:rFonts w:ascii="Times New Roman" w:hAnsi="Times New Roman"/>
          <w:sz w:val="24"/>
        </w:rPr>
        <w:t xml:space="preserve">Thomas Ekrem Jensen</w:t>
      </w:r>
    </w:p>
    <w:p w14:paraId="798A00C1" w14:textId="30ABEED5"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pPr>
        <w:pStyle w:val="Normal"/>
        <w:spacing w:line="360" w:lineRule="auto"/>
      </w:pPr>
      <w:r>
        <w:rPr>
          <w:rFonts w:ascii="Times New Roman" w:hAnsi="Times New Roman"/>
          <w:sz w:val="24"/>
        </w:rPr>
        <w:t xml:space="preserve">Denne studien analyserer hvilke artikler ved Helse Bergens forsyningslager (WERKS 3300, LGORT 3001) som er kandidater for overføring til Helse Vest Forsyningssenter (HVFS), og estimerer tilhørende besparelsespotensial. Studien er forankret i LIBRA-prosjektet og har som mål å utvikle et datadrevet og reproduserbart beslutningsgrunnlag for sentralisering basert på SAP S/4HANA-data.</w:t>
      </w:r>
    </w:p>
    <w:p>
      <w:pPr>
        <w:pStyle w:val="Normal"/>
        <w:spacing w:line="360" w:lineRule="auto"/>
      </w:pPr>
      <w:r>
        <w:rPr>
          <w:rFonts w:ascii="Times New Roman" w:hAnsi="Times New Roman"/>
          <w:sz w:val="24"/>
        </w:rPr>
        <w:t xml:space="preserve">Analysen omfatter 709 aktive artikler for perioden 2024–2025. Metodetilnærmingen kombinerer ABC- og XYZ-klassifisering, EOQ-avviksanalyse og K-means klyngeanalyse i en regelbasert beslutningsmodell. K-means identifiserer K = 3 klynger med akseptabel klyngestruktur (silhouette-score 0,383 trening / 0,368 test).</w:t>
      </w:r>
    </w:p>
    <w:p>
      <w:pPr>
        <w:pStyle w:val="Normal"/>
        <w:spacing w:line="360" w:lineRule="auto"/>
      </w:pPr>
      <w:r>
        <w:rPr>
          <w:rFonts w:ascii="Times New Roman" w:hAnsi="Times New Roman"/>
          <w:sz w:val="24"/>
        </w:rPr>
        <w:t xml:space="preserve">Resultatene viser at 145 artikler (20,5 %) identifiseres som prioriterte overføringskandidater til HVFS, mens 257 beholdes lokalt, 284 krever manuell vurdering og 23 mangler tilstrekkelig datagrunnlag. Den høye andelen manuell vurdering (40,1 %) reflekterer en bevisst prioritering av presisjon fremfor full automatisering.</w:t>
      </w:r>
    </w:p>
    <w:p>
      <w:pPr>
        <w:pStyle w:val="Normal"/>
        <w:spacing w:line="360" w:lineRule="auto"/>
      </w:pPr>
      <w:r>
        <w:rPr>
          <w:rFonts w:ascii="Times New Roman" w:hAnsi="Times New Roman"/>
          <w:sz w:val="24"/>
        </w:rPr>
        <w:t xml:space="preserve">Det estimerte besparelsespotensialet ligger i intervallet kr 176 374 – kr 763 903 per år, basert på sensitivitetsanalyse over 27 parameterkombinasjoner. Base case er kr 451 515 (g = 75 %), og tre-scenarioanalysen gir et snevrere intervall fra kr 301 010 (g = 50 %) til kr 602 020 (g = 100 %). Estimatene er scenariobaserte og avhenger av ikke-kalibrerte kostnadsparametere; punktestimatet bør derfor leses som indikativt, ikke presist.</w:t>
      </w:r>
    </w:p>
    <w:p>
      <w:pPr>
        <w:pStyle w:val="Normal"/>
        <w:spacing w:line="360" w:lineRule="auto"/>
      </w:pPr>
      <w:r>
        <w:rPr>
          <w:rFonts w:ascii="Times New Roman" w:hAnsi="Times New Roman"/>
          <w:sz w:val="24"/>
        </w:rPr>
        <w:t xml:space="preserve">Studien viser at multidimensjonal klassifisering kombinert med klyngeanalyse gir et strukturert beslutningsgrunnlag for sentralisering i sykehuslogistikk. Praktisk realisering forutsetter justering av SAP MM-parametere, faglig validering og systematisk gjennomgang av artikler med usikker klassifisering. Analysen avdekker samtidig at SAPs egen XYZ-klassifisering (ZZXYZ) kun samsvarer med beregnet klasse i 33 % av tilfellene — et funn som utfordrer antakelsen om at systemregistrerte klassifiseringer er tilstrekkelig grunnlag for HVFS-beslutninger, og som har umiddelbar operasjonell relevans for LIBRA-prosjektet.</w:t>
      </w:r>
    </w:p>
    <w:p w14:paraId="7FD2C6E5" w14:textId="77777777" w:rsidR="00222CB6" w:rsidRDefault="00222CB6">
      <w:pPr>
        <w:rPr>
          <w:rFonts w:ascii="Arial" w:hAnsi="Arial" w:cs="Arial"/>
          <w:b/>
          <w:sz w:val="28"/>
          <w:szCs w:val="28"/>
        </w:rPr>
      </w:pPr>
      <w:r>
        <w:rPr>
          <w:rFonts w:ascii="Arial" w:hAnsi="Arial" w:cs="Arial"/>
          <w:b/>
          <w:sz w:val="28"/>
          <w:szCs w:val="28"/>
        </w:rPr>
        <w:br w:type="page"/>
      </w:r>
    </w:p>
    <w:p w14:paraId="353CE929" w14:textId="02F0E75E" w:rsidR="00222CB6" w:rsidRDefault="00222CB6" w:rsidP="00222CB6">
      <w:pPr>
        <w:jc w:val="center"/>
        <w:rPr>
          <w:rFonts w:ascii="Arial" w:hAnsi="Arial" w:cs="Arial"/>
          <w:b/>
          <w:sz w:val="28"/>
          <w:szCs w:val="28"/>
        </w:rPr>
      </w:pPr>
      <w:proofErr w:type="spellStart"/>
      <w:r>
        <w:rPr>
          <w:rFonts w:ascii="Arial" w:hAnsi="Arial" w:cs="Arial"/>
          <w:b/>
          <w:sz w:val="28"/>
          <w:szCs w:val="28"/>
        </w:rPr>
        <w:lastRenderedPageBreak/>
        <w:t>Abstract</w:t>
      </w:r>
      <w:proofErr w:type="spellEnd"/>
    </w:p>
    <w:p>
      <w:pPr>
        <w:pStyle w:val="Normal"/>
        <w:spacing w:line="360" w:lineRule="auto"/>
      </w:pPr>
      <w:r>
        <w:rPr>
          <w:rFonts w:ascii="Times New Roman" w:hAnsi="Times New Roman"/>
          <w:sz w:val="24"/>
        </w:rPr>
        <w:t xml:space="preserve">(Sammendrag på norsk – sjå avsnittet over.)</w:t>
      </w:r>
    </w:p>
    <w:p w14:paraId="6156427F" w14:textId="1D312F70" w:rsidR="001D2B8B" w:rsidRPr="00222CB6" w:rsidRDefault="00222CB6" w:rsidP="00025D53">
      <w:pPr>
        <w:rPr>
          <w:rFonts w:ascii="Arial" w:hAnsi="Arial" w:cs="Arial"/>
          <w:b/>
          <w:sz w:val="28"/>
          <w:szCs w:val="28"/>
        </w:rPr>
      </w:pPr>
      <w:r>
        <w:rPr>
          <w:rFonts w:ascii="Arial" w:hAnsi="Arial" w:cs="Arial"/>
          <w:b/>
          <w:sz w:val="28"/>
          <w:szCs w:val="28"/>
        </w:rPr>
        <w:br w:type="page"/>
      </w:r>
    </w:p>
    <w:p w14:paraId="61564280" w14:textId="77777777" w:rsidR="001D2B8B" w:rsidRDefault="001D2B8B" w:rsidP="001D2B8B"/>
    <w:p w14:paraId="61564281" w14:textId="77777777" w:rsidR="001D2B8B" w:rsidRDefault="001D2B8B" w:rsidP="001D2B8B">
      <w:pPr>
        <w:sectPr w:rsidR="001D2B8B" w:rsidSect="00C90D42">
          <w:footerReference w:type="default" r:id="rId39"/>
          <w:pgSz w:w="11907" w:h="16840"/>
          <w:pgMar w:top="1417" w:right="1417" w:bottom="1417" w:left="1701" w:header="720" w:footer="403" w:gutter="0"/>
          <w:cols w:space="720"/>
          <w:formProt w:val="0"/>
          <w:titlePg/>
        </w:sectPr>
      </w:pPr>
    </w:p>
    <w:p w14:paraId="61564286" w14:textId="7A946800" w:rsidR="00BE42D3" w:rsidRDefault="00B33323" w:rsidP="003A4872">
      <w:pPr>
        <w:sectPr w:rsidR="00BE42D3" w:rsidSect="00C90D42">
          <w:footerReference w:type="default" r:id="rId40"/>
          <w:pgSz w:w="11907" w:h="16840"/>
          <w:pgMar w:top="1417" w:right="1417" w:bottom="1417" w:left="1701" w:header="720" w:footer="403" w:gutter="0"/>
          <w:cols w:space="720"/>
          <w:formProt w:val="0"/>
          <w:titlePg/>
        </w:sectPr>
      </w:pPr>
      <w:r>
        <w:rPr>
          <w:rFonts w:ascii="Arial" w:hAnsi="Arial" w:cs="Arial"/>
          <w:b/>
          <w:noProof/>
          <w:sz w:val="28"/>
          <w:szCs w:val="28"/>
        </w:rPr>
        <w:fldChar w:fldCharType="end"/>
      </w:r>
    </w:p>
    <w:p>
      <w:pPr>
        <w:pStyle w:val="Overskrift1"/>
        <w:pageBreakBefore w:val="true"/>
      </w:pPr>
      <w:r>
        <w:rPr>
          <w:rFonts w:ascii="Times New Roman" w:hAnsi="Times New Roman"/>
          <w:color w:val="000000"/>
          <w:sz w:val="36"/>
        </w:rPr>
        <w:t>Innholdsfortegnelse</w:t>
      </w:r>
    </w:p>
    <w:p>
      <w:pPr>
        <w:spacing w:line="360" w:lineRule="auto"/>
      </w:pPr>
      <w:r>
        <w:fldChar w:fldCharType="begin"/>
      </w:r>
      <w:r>
        <w:instrText xml:space="preserve"> TOC \o "1-3" \h \z \u </w:instrText>
      </w:r>
      <w:r>
        <w:fldChar w:fldCharType="separate"/>
      </w:r>
      <w:r>
        <w:rPr>
          <w:rFonts w:ascii="Times New Roman" w:hAnsi="Times New Roman"/>
          <w:color w:val="808080"/>
          <w:sz w:val="20"/>
        </w:rPr>
        <w:t>Oppdater felt: Ctrl+A, F9</w:t>
      </w:r>
      <w:r>
        <w:fldChar w:fldCharType="end"/>
      </w:r>
    </w:p>
    <w:p>
      <w:pPr>
        <w:pStyle w:val="Overskrift1"/>
        <w:pageBreakBefore w:val="true"/>
      </w:pPr>
      <w:r>
        <w:rPr>
          <w:rFonts w:ascii="Times New Roman" w:hAnsi="Times New Roman"/>
          <w:color w:val="000000"/>
          <w:sz w:val="36"/>
        </w:rPr>
        <w:t>Figurliste</w:t>
      </w:r>
    </w:p>
    <w:p>
      <w:pPr>
        <w:spacing w:line="360" w:lineRule="auto"/>
      </w:pPr>
      <w:r>
        <w:rPr>
          <w:rFonts w:ascii="Times New Roman" w:hAnsi="Times New Roman"/>
          <w:sz w:val="24"/>
        </w:rPr>
        <w:t>Figur 1. Konseptuelt rammeverk – fra SAP-data til HVFS-anbefaling</w:t>
      </w:r>
    </w:p>
    <w:p>
      <w:pPr>
        <w:spacing w:line="360" w:lineRule="auto"/>
      </w:pPr>
      <w:r>
        <w:rPr>
          <w:rFonts w:ascii="Times New Roman" w:hAnsi="Times New Roman"/>
          <w:sz w:val="24"/>
        </w:rPr>
        <w:t>Figur 2. Lagerstruktur – Helse Vest forsyningskjede (forenklet)</w:t>
      </w:r>
    </w:p>
    <w:p>
      <w:pPr>
        <w:spacing w:line="360" w:lineRule="auto"/>
      </w:pPr>
      <w:r>
        <w:rPr>
          <w:rFonts w:ascii="Times New Roman" w:hAnsi="Times New Roman"/>
          <w:sz w:val="24"/>
        </w:rPr>
        <w:t>Figur 3. Dataoversikt: fordeling av nøkkelvariabler for 709 artikler</w:t>
      </w:r>
    </w:p>
    <w:p>
      <w:pPr>
        <w:spacing w:line="360" w:lineRule="auto"/>
      </w:pPr>
      <w:r>
        <w:rPr>
          <w:rFonts w:ascii="Times New Roman" w:hAnsi="Times New Roman"/>
          <w:sz w:val="24"/>
        </w:rPr>
        <w:t>Figur 4. Analysepipeline: fra SAP-rådata til HVFS-anbefaling</w:t>
      </w:r>
    </w:p>
    <w:p>
      <w:pPr>
        <w:spacing w:line="360" w:lineRule="auto"/>
      </w:pPr>
      <w:r>
        <w:rPr>
          <w:rFonts w:ascii="Times New Roman" w:hAnsi="Times New Roman"/>
          <w:sz w:val="24"/>
        </w:rPr>
        <w:t>Figur 5. Regelmotor: sekvensiell beslutningsflyt for HVFS-anbefaling (R1–R8)</w:t>
      </w:r>
    </w:p>
    <w:p>
      <w:pPr>
        <w:spacing w:line="360" w:lineRule="auto"/>
      </w:pPr>
      <w:r>
        <w:rPr>
          <w:rFonts w:ascii="Times New Roman" w:hAnsi="Times New Roman"/>
          <w:sz w:val="24"/>
        </w:rPr>
        <w:t>Figur 6. ABC Pareto-kurve: kumulativ verdiandel for 709 artikler</w:t>
      </w:r>
    </w:p>
    <w:p>
      <w:pPr>
        <w:spacing w:line="360" w:lineRule="auto"/>
      </w:pPr>
      <w:r>
        <w:rPr>
          <w:rFonts w:ascii="Times New Roman" w:hAnsi="Times New Roman"/>
          <w:sz w:val="24"/>
        </w:rPr>
        <w:t>Figur 7. ABC/XYZ-kryssmatrise: antall artikler per kombinasjon (687 klassifiserte)</w:t>
      </w:r>
    </w:p>
    <w:p>
      <w:pPr>
        <w:spacing w:line="360" w:lineRule="auto"/>
      </w:pPr>
      <w:r>
        <w:rPr>
          <w:rFonts w:ascii="Times New Roman" w:hAnsi="Times New Roman"/>
          <w:sz w:val="24"/>
        </w:rPr>
        <w:t>Figur 8. EOQ-avvik: relativ frekvensavvik med terskel ved τ_f = 1,5</w:t>
      </w:r>
    </w:p>
    <w:p>
      <w:pPr>
        <w:spacing w:line="360" w:lineRule="auto"/>
      </w:pPr>
      <w:r>
        <w:rPr>
          <w:rFonts w:ascii="Times New Roman" w:hAnsi="Times New Roman"/>
          <w:sz w:val="24"/>
        </w:rPr>
        <w:t>Figur 9. Silhouette-score for K = 2–7 (treningsdata, n = 389)</w:t>
      </w:r>
    </w:p>
    <w:p>
      <w:pPr>
        <w:spacing w:line="360" w:lineRule="auto"/>
      </w:pPr>
      <w:r>
        <w:rPr>
          <w:rFonts w:ascii="Times New Roman" w:hAnsi="Times New Roman"/>
          <w:sz w:val="24"/>
        </w:rPr>
        <w:t>Figur 10. K-means klyngeresultat (K = 3): artikler plottet langs z(ln CV) og z(ln verdi), farge etter klynge</w:t>
      </w:r>
    </w:p>
    <w:p>
      <w:pPr>
        <w:spacing w:line="360" w:lineRule="auto"/>
      </w:pPr>
      <w:r>
        <w:rPr>
          <w:rFonts w:ascii="Times New Roman" w:hAnsi="Times New Roman"/>
          <w:sz w:val="24"/>
        </w:rPr>
        <w:t>Figur 11. Klyngeprofiler for K-means (K = 3): gjennomsnittlig z-score per feature</w:t>
      </w:r>
    </w:p>
    <w:p>
      <w:pPr>
        <w:spacing w:line="360" w:lineRule="auto"/>
      </w:pPr>
      <w:r>
        <w:rPr>
          <w:rFonts w:ascii="Times New Roman" w:hAnsi="Times New Roman"/>
          <w:sz w:val="24"/>
        </w:rPr>
        <w:t>Figur 12. Regelmotor og besparelsesanalyse: HVFS-anbefalinger og EOQ-besparelse</w:t>
      </w:r>
    </w:p>
    <w:p>
      <w:pPr>
        <w:pStyle w:val="Overskrift1"/>
        <w:pageBreakBefore w:val="true"/>
      </w:pPr>
      <w:r>
        <w:rPr>
          <w:rFonts w:ascii="Times New Roman" w:hAnsi="Times New Roman"/>
          <w:color w:val="000000"/>
          <w:sz w:val="36"/>
        </w:rPr>
        <w:t>Tabelliste</w:t>
      </w:r>
    </w:p>
    <w:p>
      <w:pPr>
        <w:spacing w:line="360" w:lineRule="auto"/>
      </w:pPr>
      <w:r>
        <w:rPr>
          <w:rFonts w:ascii="Times New Roman" w:hAnsi="Times New Roman"/>
          <w:sz w:val="24"/>
        </w:rPr>
        <w:t>Tabell 1. Litteraturoversikt: sentrale kilder med tema og relevans</w:t>
      </w:r>
    </w:p>
    <w:p>
      <w:pPr>
        <w:spacing w:line="360" w:lineRule="auto"/>
      </w:pPr>
      <w:r>
        <w:rPr>
          <w:rFonts w:ascii="Times New Roman" w:hAnsi="Times New Roman"/>
          <w:sz w:val="24"/>
        </w:rPr>
        <w:t>Tabell 2. Sammenligning av analysemetoder brukt i oppgaven</w:t>
      </w:r>
    </w:p>
    <w:p>
      <w:pPr>
        <w:spacing w:line="360" w:lineRule="auto"/>
      </w:pPr>
      <w:r>
        <w:rPr>
          <w:rFonts w:ascii="Times New Roman" w:hAnsi="Times New Roman"/>
          <w:sz w:val="24"/>
        </w:rPr>
        <w:t>Tabell 3. Nøkkeltall for casevirksomheten Helse Bergen, WERKS 3300</w:t>
      </w:r>
    </w:p>
    <w:p>
      <w:pPr>
        <w:spacing w:line="360" w:lineRule="auto"/>
      </w:pPr>
      <w:r>
        <w:rPr>
          <w:rFonts w:ascii="Times New Roman" w:hAnsi="Times New Roman"/>
          <w:sz w:val="24"/>
        </w:rPr>
        <w:t>Tabell 4. Datagrunnlag: 14 SAP S/4HANA-tabeller hentet via SE16H</w:t>
      </w:r>
    </w:p>
    <w:p>
      <w:pPr>
        <w:spacing w:line="360" w:lineRule="auto"/>
      </w:pPr>
      <w:r>
        <w:rPr>
          <w:rFonts w:ascii="Times New Roman" w:hAnsi="Times New Roman"/>
          <w:sz w:val="24"/>
        </w:rPr>
        <w:t>Tabell 5. Datavalgsbeslutninger D-01–D-08 med begrunnelse</w:t>
      </w:r>
    </w:p>
    <w:p>
      <w:pPr>
        <w:spacing w:line="360" w:lineRule="auto"/>
      </w:pPr>
      <w:r>
        <w:rPr>
          <w:rFonts w:ascii="Times New Roman" w:hAnsi="Times New Roman"/>
          <w:sz w:val="24"/>
        </w:rPr>
        <w:t>Tabell 6. Modellparametere: ABC-klassifiseringsgrenser og analyseinnstillinger</w:t>
      </w:r>
    </w:p>
    <w:p>
      <w:pPr>
        <w:spacing w:line="360" w:lineRule="auto"/>
      </w:pPr>
      <w:r>
        <w:rPr>
          <w:rFonts w:ascii="Times New Roman" w:hAnsi="Times New Roman"/>
          <w:sz w:val="24"/>
        </w:rPr>
        <w:t>Tabell 7. Regelmotor: 8 beslutningsregler i prioritert rekkefølge</w:t>
      </w:r>
    </w:p>
    <w:p>
      <w:pPr>
        <w:spacing w:line="360" w:lineRule="auto"/>
      </w:pPr>
      <w:r>
        <w:rPr>
          <w:rFonts w:ascii="Times New Roman" w:hAnsi="Times New Roman"/>
          <w:sz w:val="24"/>
        </w:rPr>
        <w:t>Tabell 8. ABC-fordeling: antall artikler og verdiandel per klasse (n = 709)</w:t>
      </w:r>
    </w:p>
    <w:p>
      <w:pPr>
        <w:spacing w:line="360" w:lineRule="auto"/>
      </w:pPr>
      <w:r>
        <w:rPr>
          <w:rFonts w:ascii="Times New Roman" w:hAnsi="Times New Roman"/>
          <w:sz w:val="24"/>
        </w:rPr>
        <w:t>Tabell 9. XYZ-fordeling: antall artikler per klasse (n = 687)</w:t>
      </w:r>
    </w:p>
    <w:p>
      <w:pPr>
        <w:spacing w:line="360" w:lineRule="auto"/>
      </w:pPr>
      <w:r>
        <w:rPr>
          <w:rFonts w:ascii="Times New Roman" w:hAnsi="Times New Roman"/>
          <w:sz w:val="24"/>
        </w:rPr>
        <w:t>Tabell 10. SAP ZZXYZ-validering: samsvar mellom systemklasse og beregnet CV-klasse</w:t>
      </w:r>
    </w:p>
    <w:p>
      <w:pPr>
        <w:spacing w:line="360" w:lineRule="auto"/>
      </w:pPr>
      <w:r>
        <w:rPr>
          <w:rFonts w:ascii="Times New Roman" w:hAnsi="Times New Roman"/>
          <w:sz w:val="24"/>
        </w:rPr>
        <w:t>Tabell 11. EOQ-avviksresultater: fordeling etter ordrefrekvensavvik (n = 487)</w:t>
      </w:r>
    </w:p>
    <w:p>
      <w:pPr>
        <w:spacing w:line="360" w:lineRule="auto"/>
      </w:pPr>
      <w:r>
        <w:rPr>
          <w:rFonts w:ascii="Times New Roman" w:hAnsi="Times New Roman"/>
          <w:sz w:val="24"/>
        </w:rPr>
        <w:t>Tabell 12. K-means klyngeprofiler: gjennomsnittsverdier per klynge (K = 3)</w:t>
      </w:r>
    </w:p>
    <w:p>
      <w:pPr>
        <w:spacing w:line="360" w:lineRule="auto"/>
      </w:pPr>
      <w:r>
        <w:rPr>
          <w:rFonts w:ascii="Times New Roman" w:hAnsi="Times New Roman"/>
          <w:sz w:val="24"/>
        </w:rPr>
        <w:t>Tabell 13. HVFS-anbefalinger fra regelmotor: fordeling per kategori (n = 709)</w:t>
      </w:r>
    </w:p>
    <w:p>
      <w:pPr>
        <w:spacing w:line="360" w:lineRule="auto"/>
      </w:pPr>
      <w:r>
        <w:rPr>
          <w:rFonts w:ascii="Times New Roman" w:hAnsi="Times New Roman"/>
          <w:sz w:val="24"/>
        </w:rPr>
        <w:t>Tabell 14. Regelmotor R1–R8: antall artikler per regel (n = 709)</w:t>
      </w:r>
    </w:p>
    <w:p>
      <w:pPr>
        <w:spacing w:line="360" w:lineRule="auto"/>
      </w:pPr>
      <w:r>
        <w:rPr>
          <w:rFonts w:ascii="Times New Roman" w:hAnsi="Times New Roman"/>
          <w:sz w:val="24"/>
        </w:rPr>
        <w:t>Tabell 15. Besparelsesestimater for tre scenarier (117 artikler, S = 750 NOK)</w:t>
      </w:r>
    </w:p>
    <w:p>
      <w:pPr>
        <w:spacing w:line="360" w:lineRule="auto"/>
      </w:pPr>
      <w:r>
        <w:rPr>
          <w:rFonts w:ascii="Times New Roman" w:hAnsi="Times New Roman"/>
          <w:sz w:val="24"/>
        </w:rPr>
        <w:t>Tabell 16. Sammenstilling av egne resultater mot funn i eksisterende litteratur</w:t>
      </w:r>
    </w:p>
    <w:p>
      <w:pPr>
        <w:pStyle w:val="Overskrift1"/>
        <w:pageBreakBefore w:val="true"/>
      </w:pPr>
      <w:r>
        <w:rPr>
          <w:rFonts w:ascii="Times New Roman" w:hAnsi="Times New Roman"/>
          <w:color w:val="000000"/>
          <w:sz w:val="36"/>
        </w:rPr>
        <w:t>Kapittel 1 – Innledning</w:t>
      </w:r>
    </w:p>
    <w:p>
      <w:pPr>
        <w:pStyle w:val="Overskrift2"/>
      </w:pPr>
      <w:r>
        <w:rPr>
          <w:rFonts w:ascii="Times New Roman" w:hAnsi="Times New Roman"/>
          <w:color w:val="000000"/>
          <w:sz w:val="32"/>
        </w:rPr>
        <w:t>1.1 Bakgrunn og aktualisering</w:t>
      </w:r>
    </w:p>
    <w:p>
      <w:pPr>
        <w:spacing w:line="360" w:lineRule="auto"/>
        <w:jc w:val="both"/>
      </w:pPr>
      <w:r>
        <w:rPr>
          <w:rFonts w:ascii="Times New Roman" w:hAnsi="Times New Roman" w:cs="Times New Roman"/>
          <w:sz w:val="24"/>
        </w:rPr>
        <w:t>Norske helseforetak forvalter store mengder medisinsk forbruksmateriell spredt over lokale forsyningslagre ved det enkelte sykehus. Materialhåndtering i sykehus er et ressurskrevende område som i liten grad har vært gjenstand for systematisk datadrevet styring, og studier viser at logistikk og materialhåndtering kan utgjøre en betydelig andel – i størrelsesorden 30–40 % – av et sykehus' driftskostnader (Volland et al., 2017). Suboptimal klassifisering av lagervarer fører til overflødige bestillingstransaksjoner, unødvendig kapitalbinding og økt administrativ belastning – uten at det nødvendigvis gir bedre forsyningssikkerhet for klinisk personell (Bijvank &amp; Vis, 2012).</w:t>
      </w:r>
    </w:p>
    <w:p>
      <w:pPr>
        <w:spacing w:line="360" w:lineRule="auto"/>
        <w:jc w:val="both"/>
      </w:pPr>
      <w:r>
        <w:rPr>
          <w:rFonts w:ascii="Times New Roman" w:hAnsi="Times New Roman" w:cs="Times New Roman"/>
          <w:sz w:val="24"/>
        </w:rPr>
        <w:t>Helse Vest Forsyningssenter (HVFS) er under etablering som regionalt sentrallager for medisinsk forbruksmateriell i Helse Vest-regionen, med NorEngros som operatør. Frem mot 2029 skal sortimentet utvides og avdelingspakkede leveranser (APL) innføres – det vil si ferdigpakkede leveranser direkte til avdeling uten mellomlagring. Parallelt pågår LIBRA-prosjektet, en regional implementering av SAP S/4HANA i regi av Helse Vest IKT, som legger det tekniske grunnlaget for felles dataplattform på tvers av helseforetakene.</w:t>
      </w:r>
    </w:p>
    <w:p>
      <w:pPr>
        <w:spacing w:line="360" w:lineRule="auto"/>
        <w:jc w:val="both"/>
      </w:pPr>
      <w:r>
        <w:rPr>
          <w:rFonts w:ascii="Times New Roman" w:hAnsi="Times New Roman" w:cs="Times New Roman"/>
          <w:sz w:val="24"/>
        </w:rPr>
        <w:t xml:space="preserve">Helse Bergen er det største helseforetaket i Helse Vest og drifter i dag et lokalt forsyningslager registrert som WERKS 3300 i SAP S/4HANA, med primærlagersted LGORT 3001. Lageret håndterer over 700 aktive artikler, men det mangler et systematisk, datadrevet grunnlag for å avgjøre hvilke av disse som egner seg for overføring til HVFS. Beslutningene tas i dag i stor grad basert på erfaring og skjønn, noe de Vries (2011) identifiserer som en typisk utfordring i sykehuslogistikk: interessentkonflikter og manglende informasjonssystemer hindrer rasjonell lageromstilling. Denne oppgaven adresserer dette gapet ved å anvende velprøvde klassifiseringsmetoder fra lagerstyringslitteraturen – ABC, XYZ og EOQ – kombinert med K-means klyngeanalyse, på operasjonelle transaksjonsdata fra SAP. Faglig plasserer arbeidet seg dermed i skjæringspunktet mellom </w:t>
      </w:r>
      <w:r>
        <w:rPr>
          <w:rFonts w:ascii="Times New Roman" w:hAnsi="Times New Roman" w:cs="Times New Roman"/>
          <w:b/>
          <w:sz w:val="24"/>
        </w:rPr>
        <w:t>lagerstyring</w:t>
      </w:r>
      <w:r>
        <w:rPr>
          <w:rFonts w:ascii="Times New Roman" w:hAnsi="Times New Roman" w:cs="Times New Roman"/>
          <w:sz w:val="24"/>
        </w:rPr>
        <w:t xml:space="preserve"> (klassifisering og lokaliseringsbeslutninger) og </w:t>
      </w:r>
      <w:r>
        <w:rPr>
          <w:rFonts w:ascii="Times New Roman" w:hAnsi="Times New Roman" w:cs="Times New Roman"/>
          <w:b/>
          <w:sz w:val="24"/>
        </w:rPr>
        <w:t>innkjøpsoptimalisering</w:t>
      </w:r>
      <w:r>
        <w:rPr>
          <w:rFonts w:ascii="Times New Roman" w:hAnsi="Times New Roman" w:cs="Times New Roman"/>
          <w:sz w:val="24"/>
        </w:rPr>
        <w:t xml:space="preserve"> (ordrefrekvens og kostnadsavvik mot EOQ).</w:t>
      </w:r>
    </w:p>
    <w:p>
      <w:pPr>
        <w:spacing w:line="360" w:lineRule="auto"/>
        <w:jc w:val="both"/>
      </w:pPr>
      <w:r>
        <w:rPr>
          <w:rFonts w:ascii="Times New Roman" w:hAnsi="Times New Roman" w:cs="Times New Roman"/>
          <w:sz w:val="24"/>
        </w:rPr>
        <w:t>Studiens bidrag kan oppsummeres på tre nivåer:</w:t>
      </w:r>
    </w:p>
    <w:p>
      <w:pPr>
        <w:spacing w:line="360" w:lineRule="auto"/>
        <w:jc w:val="both"/>
      </w:pPr>
      <w:r>
        <w:rPr>
          <w:rFonts w:ascii="Times New Roman" w:hAnsi="Times New Roman" w:cs="Times New Roman"/>
          <w:sz w:val="24"/>
        </w:rPr>
        <w:t xml:space="preserve">- </w:t>
      </w:r>
      <w:r>
        <w:rPr>
          <w:rFonts w:ascii="Times New Roman" w:hAnsi="Times New Roman" w:cs="Times New Roman"/>
          <w:b/>
          <w:sz w:val="24"/>
        </w:rPr>
        <w:t>Metodisk:</w:t>
      </w:r>
      <w:r>
        <w:rPr>
          <w:rFonts w:ascii="Times New Roman" w:hAnsi="Times New Roman" w:cs="Times New Roman"/>
          <w:sz w:val="24"/>
        </w:rPr>
        <w:t xml:space="preserve"> et reproduserbart Python-rammeverk som kombinerer ABC, XYZ, EOQ-avvik og K-means klyngeanalyse på SAP S/4HANA-transaksjonsdata, dokumentert gjennom åtte eksplisitte datakvalitetsbeslutninger (D-01 til D-08) som gir full sporbarhet fra rådata til anbefaling.</w:t>
      </w:r>
    </w:p>
    <w:p>
      <w:pPr>
        <w:spacing w:line="360" w:lineRule="auto"/>
        <w:jc w:val="both"/>
      </w:pPr>
      <w:r>
        <w:rPr>
          <w:rFonts w:ascii="Times New Roman" w:hAnsi="Times New Roman" w:cs="Times New Roman"/>
          <w:sz w:val="24"/>
        </w:rPr>
        <w:t xml:space="preserve">- </w:t>
      </w:r>
      <w:r>
        <w:rPr>
          <w:rFonts w:ascii="Times New Roman" w:hAnsi="Times New Roman" w:cs="Times New Roman"/>
          <w:b/>
          <w:sz w:val="24"/>
        </w:rPr>
        <w:t>Praktisk:</w:t>
      </w:r>
      <w:r>
        <w:rPr>
          <w:rFonts w:ascii="Times New Roman" w:hAnsi="Times New Roman" w:cs="Times New Roman"/>
          <w:sz w:val="24"/>
        </w:rPr>
        <w:t xml:space="preserve"> en prioritert kandidatliste med 145 artikler for HVFS-overføring og et scenariobasert besparelsesintervall som kan brukes direkte som beslutningsgrunnlag i LIBRA-prosjektet og ved Helse Bergen.</w:t>
      </w:r>
    </w:p>
    <w:p>
      <w:pPr>
        <w:spacing w:line="360" w:lineRule="auto"/>
        <w:jc w:val="both"/>
      </w:pPr>
      <w:r>
        <w:rPr>
          <w:rFonts w:ascii="Times New Roman" w:hAnsi="Times New Roman" w:cs="Times New Roman"/>
          <w:sz w:val="24"/>
        </w:rPr>
        <w:t xml:space="preserve">- </w:t>
      </w:r>
      <w:r>
        <w:rPr>
          <w:rFonts w:ascii="Times New Roman" w:hAnsi="Times New Roman" w:cs="Times New Roman"/>
          <w:b/>
          <w:sz w:val="24"/>
        </w:rPr>
        <w:t>Empirisk:</w:t>
      </w:r>
      <w:r>
        <w:rPr>
          <w:rFonts w:ascii="Times New Roman" w:hAnsi="Times New Roman" w:cs="Times New Roman"/>
          <w:sz w:val="24"/>
        </w:rPr>
        <w:t xml:space="preserve"> en dokumentert avdekking av at SAPs egen XYZ-klassifisering (ZZXYZ) kun samsvarer med beregnet CV-klasse i 33 % av tilfellene, et funn med direkte operasjonell konsekvens for hvilke SAP-felt som kan brukes som uavhengig beslutningsgrunnlag.</w:t>
      </w:r>
    </w:p>
    <w:p>
      <w:pPr>
        <w:spacing w:line="360" w:lineRule="auto"/>
        <w:jc w:val="both"/>
      </w:pPr>
      <w:r>
        <w:rPr>
          <w:rFonts w:ascii="Times New Roman" w:hAnsi="Times New Roman" w:cs="Times New Roman"/>
          <w:sz w:val="24"/>
        </w:rPr>
        <w:t>Studien retter seg primært mot innkjøpsfaglig og logistisk personell ved Helse Bergen og Helse Vest IKT, samt forskere som arbeider med datadrevet sykehuslogistikk på ERP-data.</w:t>
      </w:r>
    </w:p>
    <w:p>
      <w:pPr>
        <w:pStyle w:val="Overskrift2"/>
      </w:pPr>
      <w:r>
        <w:rPr>
          <w:rFonts w:ascii="Times New Roman" w:hAnsi="Times New Roman"/>
          <w:color w:val="000000"/>
          <w:sz w:val="32"/>
        </w:rPr>
        <w:t>1.2 Problemstilling</w:t>
      </w:r>
    </w:p>
    <w:p>
      <w:pPr>
        <w:spacing w:line="360" w:lineRule="auto"/>
        <w:jc w:val="both"/>
      </w:pPr>
      <w:r>
        <w:rPr>
          <w:rFonts w:ascii="Times New Roman" w:hAnsi="Times New Roman" w:cs="Times New Roman"/>
          <w:sz w:val="24"/>
        </w:rPr>
        <w:t>Oppgavens overordnede problemstilling er hvordan datadrevet klassifisering av eksisterende SAP-transaksjonsdata kan understøtte beslutningen om hvilke artikler som bør sentraliseres til HVFS, og hva en slik sentralisering er verdt økonomisk. Denne problemstillingen operasjonaliseres gjennom følgende forskningsspørsmål, som gjør klassifiseringen, identifikasjonen og kvantifiseringen empirisk testbar:</w:t>
      </w:r>
    </w:p>
    <w:p>
      <w:pPr>
        <w:spacing w:line="360" w:lineRule="auto"/>
        <w:ind w:left="567"/>
        <w:jc w:val="both"/>
      </w:pPr>
      <w:r>
        <w:rPr>
          <w:rFonts w:ascii="Times New Roman" w:hAnsi="Times New Roman"/>
          <w:b/>
          <w:sz w:val="24"/>
        </w:rPr>
        <w:t>Hvordan kan multidimensjonal klassifisering og klyngeanalyse av SAP-transaksjonsdata identifisere hvilke artikler ved Helse Bergens forsyningslager (WERKS 3300, LGORT 3001) som er kandidater for overføring til HVFS, og hva er det estimerte besparelsespotensialet?</w:t>
      </w:r>
    </w:p>
    <w:p>
      <w:pPr>
        <w:spacing w:line="360" w:lineRule="auto"/>
        <w:jc w:val="both"/>
      </w:pPr>
      <w:r>
        <w:rPr>
          <w:rFonts w:ascii="Times New Roman" w:hAnsi="Times New Roman" w:cs="Times New Roman"/>
          <w:sz w:val="24"/>
        </w:rPr>
        <w:t>Problemstillingen avgrenser seg eksplisitt til identifikasjon og kvantifisering – ikke gjennomføring av selve overføringen. Svaret gis i form av en anbefalt artikkelliste med tilhørende besparelsesestimat basert på EOQ-avviksanalyse. Analysen er kvantitativ og datadrevet; den erstatter ikke faglig skjønn, men gir et strukturert beslutningsgrunnlag.</w:t>
      </w:r>
    </w:p>
    <w:p>
      <w:pPr>
        <w:pStyle w:val="Overskrift2"/>
      </w:pPr>
      <w:r>
        <w:rPr>
          <w:rFonts w:ascii="Times New Roman" w:hAnsi="Times New Roman"/>
          <w:color w:val="000000"/>
          <w:sz w:val="32"/>
        </w:rPr>
        <w:t>1.3 Avgrensninger</w:t>
      </w:r>
    </w:p>
    <w:p>
      <w:pPr>
        <w:spacing w:line="360" w:lineRule="auto"/>
        <w:jc w:val="both"/>
      </w:pPr>
      <w:r>
        <w:rPr>
          <w:rFonts w:ascii="Times New Roman" w:hAnsi="Times New Roman" w:cs="Times New Roman"/>
          <w:sz w:val="24"/>
        </w:rPr>
        <w:t>Oppgaven avgrenses på følgende punkter, begrunnet faglig:</w:t>
      </w:r>
    </w:p>
    <w:p>
      <w:pPr>
        <w:spacing w:line="360" w:lineRule="auto"/>
        <w:jc w:val="both"/>
      </w:pPr>
      <w:r>
        <w:rPr>
          <w:rFonts w:ascii="Times New Roman" w:hAnsi="Times New Roman" w:cs="Times New Roman"/>
          <w:b/>
          <w:sz w:val="24"/>
        </w:rPr>
        <w:t>Sortiment.</w:t>
      </w:r>
      <w:r>
        <w:rPr>
          <w:rFonts w:ascii="Times New Roman" w:hAnsi="Times New Roman" w:cs="Times New Roman"/>
          <w:sz w:val="24"/>
        </w:rPr>
        <w:t xml:space="preserve"> Analysen omfatter utelukkende medisinsk forbruksmateriell. Legemidler, implantater og dyrt utstyr er eksplisitt utenfor scope og inngår ikke i datagrunnlaget; disse kategoriene styres gjennom egne SAP-objekter (andre WERKS/LGORT eller MTART-koder) og har andre forsyningslogiske rammer enn forbruksvarene som vurderes for HVFS.</w:t>
      </w:r>
    </w:p>
    <w:p>
      <w:pPr>
        <w:spacing w:line="360" w:lineRule="auto"/>
        <w:jc w:val="both"/>
      </w:pPr>
      <w:r>
        <w:rPr>
          <w:rFonts w:ascii="Times New Roman" w:hAnsi="Times New Roman" w:cs="Times New Roman"/>
          <w:b/>
          <w:sz w:val="24"/>
        </w:rPr>
        <w:t>Lagersted.</w:t>
      </w:r>
      <w:r>
        <w:rPr>
          <w:rFonts w:ascii="Times New Roman" w:hAnsi="Times New Roman" w:cs="Times New Roman"/>
          <w:sz w:val="24"/>
        </w:rPr>
        <w:t xml:space="preserve"> Analysen omfatter utelukkende LGORT 3001 ved WERKS 3300. Dette lagerstedet er valgt fordi det er det eneste ved Helse Bergen med tilstrekkelig transaksjonshistorikk i SAP for perioden 2024–2025 til å muliggjøre beregnet XYZ-klassifisering og EOQ-avviksanalyse. Andre lagersteder mangler den nødvendige dybden i MSEG- og EKBE-data.</w:t>
      </w:r>
    </w:p>
    <w:p>
      <w:pPr>
        <w:spacing w:line="360" w:lineRule="auto"/>
        <w:jc w:val="both"/>
      </w:pPr>
      <w:r>
        <w:rPr>
          <w:rFonts w:ascii="Times New Roman" w:hAnsi="Times New Roman" w:cs="Times New Roman"/>
          <w:b/>
          <w:sz w:val="24"/>
        </w:rPr>
        <w:t>Artikkelstatus.</w:t>
      </w:r>
      <w:r>
        <w:rPr>
          <w:rFonts w:ascii="Times New Roman" w:hAnsi="Times New Roman" w:cs="Times New Roman"/>
          <w:sz w:val="24"/>
        </w:rPr>
        <w:t xml:space="preserve"> Kun artikler med aktiv status inngår i analysen, definert som artikler med registrert årsforbruk (</w:t>
      </w:r>
      <m:oMath>
        <m:sSub>
          <m:e>
            <m:r>
              <m:t>D</m:t>
            </m:r>
          </m:e>
          <m:sub>
            <m:r>
              <m:t>A</m:t>
            </m:r>
          </m:sub>
        </m:sSub>
        <m:r>
          <m:t>NNUAL&gt;0</m:t>
        </m:r>
      </m:oMath>
      <w:r>
        <w:rPr>
          <w:rFonts w:ascii="Times New Roman" w:hAnsi="Times New Roman" w:cs="Times New Roman"/>
          <w:sz w:val="24"/>
        </w:rPr>
        <w:t>) eller positiv lagerbeholdning per uttrekksdato. Artikler uten registrert forbruk og uten lagerbeholdning i analyseperioden er ekskludert som operasjonelt inaktive (beslutning D-01). Inaktive artikler er ikke relevante for HVFS-overføring og holdes utenfor for å unngå støy i klassifiseringsmodellene.</w:t>
      </w:r>
    </w:p>
    <w:p>
      <w:pPr>
        <w:spacing w:line="360" w:lineRule="auto"/>
        <w:jc w:val="both"/>
      </w:pPr>
      <w:r>
        <w:rPr>
          <w:rFonts w:ascii="Times New Roman" w:hAnsi="Times New Roman" w:cs="Times New Roman"/>
          <w:b/>
          <w:sz w:val="24"/>
        </w:rPr>
        <w:t>Analyseperiode.</w:t>
      </w:r>
      <w:r>
        <w:rPr>
          <w:rFonts w:ascii="Times New Roman" w:hAnsi="Times New Roman" w:cs="Times New Roman"/>
          <w:sz w:val="24"/>
        </w:rPr>
        <w:t xml:space="preserve"> Datagrunnlaget er begrenset til 24 måneder (2024–2025). En lengre periode ville økt robustheten i XYZ-klassifiseringen, men data utover denne perioden var ikke tilgjengelig med tilstrekkelig kvalitet fra SAP.</w:t>
      </w:r>
    </w:p>
    <w:p>
      <w:pPr>
        <w:spacing w:line="360" w:lineRule="auto"/>
        <w:jc w:val="both"/>
      </w:pPr>
      <w:r>
        <w:rPr>
          <w:rFonts w:ascii="Times New Roman" w:hAnsi="Times New Roman" w:cs="Times New Roman"/>
          <w:b/>
          <w:sz w:val="24"/>
        </w:rPr>
        <w:t>Metodevalg.</w:t>
      </w:r>
      <w:r>
        <w:rPr>
          <w:rFonts w:ascii="Times New Roman" w:hAnsi="Times New Roman" w:cs="Times New Roman"/>
          <w:sz w:val="24"/>
        </w:rPr>
        <w:t xml:space="preserve"> Oppgaven anvender veletablerte kvantitative metoder. ROP-modulen er identifisert som en naturlig forlengelse, men utelatt da leveringstidsdata kun dekker 6 % av artiklene.</w:t>
      </w:r>
    </w:p>
    <w:p>
      <w:pPr>
        <w:spacing w:line="360" w:lineRule="auto"/>
        <w:jc w:val="both"/>
      </w:pPr>
      <w:r>
        <w:rPr>
          <w:rFonts w:ascii="Times New Roman" w:hAnsi="Times New Roman" w:cs="Times New Roman"/>
          <w:b/>
          <w:sz w:val="24"/>
        </w:rPr>
        <w:t>Generaliserbarhet.</w:t>
      </w:r>
      <w:r>
        <w:rPr>
          <w:rFonts w:ascii="Times New Roman" w:hAnsi="Times New Roman" w:cs="Times New Roman"/>
          <w:sz w:val="24"/>
        </w:rPr>
        <w:t xml:space="preserve"> Funnene er gyldige for WERKS 3300 og de konkrete SAP-parameterne som er benyttet. Overføring av metodikken til andre helseforetak i Helse Vest er mulig, men krever ny datakjøring per foretak.</w:t>
      </w:r>
    </w:p>
    <w:p>
      <w:pPr>
        <w:pStyle w:val="Overskrift2"/>
      </w:pPr>
      <w:r>
        <w:rPr>
          <w:rFonts w:ascii="Times New Roman" w:hAnsi="Times New Roman"/>
          <w:color w:val="000000"/>
          <w:sz w:val="32"/>
        </w:rPr>
        <w:t>1.4 Antagelser</w:t>
      </w:r>
    </w:p>
    <w:p>
      <w:pPr>
        <w:spacing w:line="360" w:lineRule="auto"/>
        <w:jc w:val="both"/>
      </w:pPr>
      <w:r>
        <w:rPr>
          <w:rFonts w:ascii="Times New Roman" w:hAnsi="Times New Roman" w:cs="Times New Roman"/>
          <w:sz w:val="24"/>
        </w:rPr>
        <w:t>Analysen hviler på følgende eksplisitte antagelser som ikke er empirisk estimert, men begrunnet ut fra bransjepraksis og tilgjengelig litteratur:</w:t>
      </w:r>
    </w:p>
    <w:p>
      <w:pPr>
        <w:spacing w:line="360" w:lineRule="auto"/>
        <w:jc w:val="both"/>
      </w:pPr>
      <w:r>
        <w:rPr>
          <w:rFonts w:ascii="Times New Roman" w:hAnsi="Times New Roman" w:cs="Times New Roman"/>
          <w:sz w:val="24"/>
        </w:rPr>
        <w:t>**Ordrekostnad (</w:t>
      </w:r>
      <m:oMath>
        <m:r>
          <m:t>S=750</m:t>
        </m:r>
      </m:oMath>
      <w:r>
        <w:rPr>
          <w:rFonts w:ascii="Times New Roman" w:hAnsi="Times New Roman" w:cs="Times New Roman"/>
          <w:sz w:val="24"/>
        </w:rPr>
        <w:t>NOK).** Kostnaden per bestillingstransaksjon er satt til 750 kroner, basert på estimater fra tilsvarende sykehuslogistikkstudier (Bijvank &amp; Vis, 2012; Kelle et al., 2012). Dette er en antagelse som dekker direkte administrative kostnader knyttet til å opprette, godkjenne og følge opp en innkjøpsordre i SAP. Sensitivitetsanalysen varierer S over intervallet {500, 750, 1 000} NOK for å belyse effekten av denne forutsetningen.</w:t>
      </w:r>
    </w:p>
    <w:p>
      <w:pPr>
        <w:spacing w:line="360" w:lineRule="auto"/>
        <w:jc w:val="both"/>
      </w:pPr>
      <w:r>
        <w:rPr>
          <w:rFonts w:ascii="Times New Roman" w:hAnsi="Times New Roman" w:cs="Times New Roman"/>
          <w:sz w:val="24"/>
        </w:rPr>
        <w:t>**Holdekostnadssats (</w:t>
      </w:r>
      <m:oMath>
        <m:r>
          <m:t>h=20</m:t>
        </m:r>
      </m:oMath>
      <w:r>
        <w:rPr>
          <w:rFonts w:ascii="Times New Roman" w:hAnsi="Times New Roman" w:cs="Times New Roman"/>
          <w:sz w:val="24"/>
        </w:rPr>
        <w:t>).** Den årlige holdekostnaden er satt til 20 % av enhetsprisen, i tråd med anbefalinger i lagerstyringslitteraturen (Ketkar &amp; Vaidya, 2014). Satsens innvirkning testes i sensitivitetsanalysen over intervallet {15, 20, 25} %.</w:t>
      </w:r>
    </w:p>
    <w:p>
      <w:pPr>
        <w:spacing w:line="360" w:lineRule="auto"/>
        <w:jc w:val="both"/>
      </w:pPr>
      <w:r>
        <w:rPr>
          <w:rFonts w:ascii="Times New Roman" w:hAnsi="Times New Roman" w:cs="Times New Roman"/>
          <w:b/>
          <w:sz w:val="24"/>
        </w:rPr>
        <w:t>Analyseperiode og annualisering.</w:t>
      </w:r>
      <w:r>
        <w:rPr>
          <w:rFonts w:ascii="Times New Roman" w:hAnsi="Times New Roman" w:cs="Times New Roman"/>
          <w:sz w:val="24"/>
        </w:rPr>
        <w:t xml:space="preserve"> Innkjøpsdata (EKBE) dekker 24 måneder. Ordrefrekvens er annualisert ved å multiplisere observert ordreantall med faktoren 12/24.</w:t>
      </w:r>
    </w:p>
    <w:p>
      <w:pPr>
        <w:spacing w:line="360" w:lineRule="auto"/>
        <w:jc w:val="both"/>
      </w:pPr>
      <w:r>
        <w:rPr>
          <w:rFonts w:ascii="Times New Roman" w:hAnsi="Times New Roman" w:cs="Times New Roman"/>
          <w:b/>
          <w:sz w:val="24"/>
        </w:rPr>
        <w:t>Leveringstid (LEAD_TIME = 14 dager).</w:t>
      </w:r>
      <w:r>
        <w:rPr>
          <w:rFonts w:ascii="Times New Roman" w:hAnsi="Times New Roman" w:cs="Times New Roman"/>
          <w:sz w:val="24"/>
        </w:rPr>
        <w:t xml:space="preserve"> For 94 % av artiklene mangler registrert leveringstid i EINA/EINE. En standardverdi på 14 dager er benyttet; parameteren er reservert for en fremtidig ROP-modul.</w:t>
      </w:r>
    </w:p>
    <w:p>
      <w:pPr>
        <w:spacing w:line="360" w:lineRule="auto"/>
        <w:jc w:val="both"/>
      </w:pPr>
      <w:r>
        <w:rPr>
          <w:rFonts w:ascii="Times New Roman" w:hAnsi="Times New Roman" w:cs="Times New Roman"/>
          <w:b/>
          <w:sz w:val="24"/>
        </w:rPr>
        <w:t>Besparelsesformel.</w:t>
      </w:r>
      <w:r>
        <w:rPr>
          <w:rFonts w:ascii="Times New Roman" w:hAnsi="Times New Roman" w:cs="Times New Roman"/>
          <w:sz w:val="24"/>
        </w:rPr>
        <w:t xml:space="preserve"> Besparelsesestimatet er basert på Wilson EOQ-modellen:</w:t>
      </w:r>
    </w:p>
    <w:p>
      <w:pPr>
        <w:spacing w:line="360" w:lineRule="auto"/>
        <w:jc w:val="center"/>
      </w:pPr>
      <m:oMath>
        <m:sSub>
          <m:e>
            <m:r>
              <m:t>B</m:t>
            </m:r>
          </m:e>
          <m:sub>
            <m:r>
              <m:rPr>
                <m:nor/>
              </m:rPr>
              <m:t>HVFS</m:t>
            </m:r>
          </m:sub>
        </m:sSub>
        <m:r>
          <m:t>=</m:t>
        </m:r>
        <m:nary>
          <m:naryPr>
            <m:chr m:val="∑"/>
            <m:limLoc m:val="subSup"/>
            <m:grow m:val="1"/>
            <m:subHide m:val="off"/>
            <m:supHide m:val="on"/>
          </m:naryPr>
          <m:sub>
            <m:r>
              <m:t>i∈</m:t>
            </m:r>
            <m:r>
              <m:rPr>
                <m:nor/>
              </m:rPr>
              <m:t>OVERFØR</m:t>
            </m:r>
          </m:sub>
          <m:sup/>
          <m:e>
            <m:r>
              <m:t>ΔT</m:t>
            </m:r>
          </m:e>
        </m:nary>
        <m:sSub>
          <m:e>
            <m:r>
              <m:t>C</m:t>
            </m:r>
          </m:e>
          <m:sub>
            <m:r>
              <m:t>i</m:t>
            </m:r>
          </m:sub>
        </m:sSub>
        <m:r>
          <m:t>·g</m:t>
        </m:r>
      </m:oMath>
    </w:p>
    <w:p>
      <w:pPr>
        <w:spacing w:line="360" w:lineRule="auto"/>
        <w:jc w:val="both"/>
      </w:pPr>
      <w:r>
        <w:rPr>
          <w:rFonts w:ascii="Times New Roman" w:hAnsi="Times New Roman" w:cs="Times New Roman"/>
          <w:sz w:val="24"/>
        </w:rPr>
        <w:t xml:space="preserve">der </w:t>
      </w:r>
      <m:oMath>
        <m:r>
          <m:t>ΔT</m:t>
        </m:r>
        <m:sSub>
          <m:e>
            <m:r>
              <m:t>C</m:t>
            </m:r>
          </m:e>
          <m:sub>
            <m:r>
              <m:t>i</m:t>
            </m:r>
          </m:sub>
        </m:sSub>
        <m:r>
          <m:t>=T</m:t>
        </m:r>
        <m:sSub>
          <m:e>
            <m:r>
              <m:t>C</m:t>
            </m:r>
          </m:e>
          <m:sub>
            <m:r>
              <m:rPr>
                <m:nor/>
              </m:rPr>
              <m:t>actual</m:t>
            </m:r>
            <m:r>
              <m:t>,i</m:t>
            </m:r>
          </m:sub>
        </m:sSub>
        <m:r>
          <m:t>−T</m:t>
        </m:r>
        <m:sSub>
          <m:e>
            <m:r>
              <m:t>C</m:t>
            </m:r>
          </m:e>
          <m:sub>
            <m:r>
              <m:rPr>
                <m:nor/>
              </m:rPr>
              <m:t>optimal</m:t>
            </m:r>
            <m:r>
              <m:t>,i</m:t>
            </m:r>
          </m:sub>
        </m:sSub>
      </m:oMath>
      <w:r>
        <w:rPr>
          <w:rFonts w:ascii="Times New Roman" w:hAnsi="Times New Roman" w:cs="Times New Roman"/>
          <w:sz w:val="24"/>
        </w:rPr>
        <w:t xml:space="preserve"> er kostnadsavviket mellom faktisk og optimal ordrefrekvens for artikkel </w:t>
      </w:r>
      <m:oMath>
        <m:r>
          <m:t>i</m:t>
        </m:r>
      </m:oMath>
      <w:r>
        <w:rPr>
          <w:rFonts w:ascii="Times New Roman" w:hAnsi="Times New Roman" w:cs="Times New Roman"/>
          <w:sz w:val="24"/>
        </w:rPr>
        <w:t xml:space="preserve">, og </w:t>
      </w:r>
      <m:oMath>
        <m:r>
          <m:t>g</m:t>
        </m:r>
      </m:oMath>
      <w:r>
        <w:rPr>
          <w:rFonts w:ascii="Times New Roman" w:hAnsi="Times New Roman" w:cs="Times New Roman"/>
          <w:sz w:val="24"/>
        </w:rPr>
        <w:t xml:space="preserve"> er en gevinstrealiseringsgrad på 50/75/100 % (worst/base/best). Dette er et avgrenset transaksjonskostnadsestimat – det inkluderer ikke varekostnader eller endringer i lagernivå.</w:t>
      </w:r>
    </w:p>
    <w:p>
      <w:pPr>
        <w:spacing w:line="360" w:lineRule="auto"/>
        <w:jc w:val="both"/>
      </w:pPr>
      <w:r>
        <w:rPr>
          <w:rFonts w:ascii="Times New Roman" w:hAnsi="Times New Roman" w:cs="Times New Roman"/>
          <w:sz w:val="24"/>
        </w:rPr>
        <w:t>Rapporten er strukturert som følger: Kapittel 2 presenterer litteratur og teoretisk rammeverk. Kapittel 3 beskriver caset – Helse Bergen, HVFS og LIBRA-prosjektet. Kapittel 4 redegjør for data og metode, inkludert SAP-uttrekk og datakvalitetsbeslutninger. Kapittel 5 beskriver modelleringen formelt. Kapittel 6 presenterer den analytiske gjennomføringen. Kapittel 7 presenterer resultatene. Kapittel 8 diskuterer funn opp mot litteratur, metodekritikk og praktisk betydning. Kapittel 9 konkluderer og gir anbefalinger til Helse Bergen.</w:t>
      </w:r>
    </w:p>
    <w:p>
      <w:pPr>
        <w:pStyle w:val="Overskrift1"/>
        <w:pageBreakBefore w:val="true"/>
      </w:pPr>
      <w:r>
        <w:rPr>
          <w:rFonts w:ascii="Times New Roman" w:hAnsi="Times New Roman"/>
          <w:color w:val="000000"/>
          <w:sz w:val="36"/>
        </w:rPr>
        <w:t>Kapittel 2 – Litteratur og teori</w:t>
      </w:r>
    </w:p>
    <w:p>
      <w:pPr>
        <w:pStyle w:val="Overskrift2"/>
      </w:pPr>
      <w:r>
        <w:rPr>
          <w:rFonts w:ascii="Times New Roman" w:hAnsi="Times New Roman"/>
          <w:color w:val="000000"/>
          <w:sz w:val="32"/>
        </w:rPr>
        <w:t>2.1 Litteraturgjennomgang</w:t>
      </w:r>
    </w:p>
    <w:p>
      <w:pPr>
        <w:spacing w:line="360" w:lineRule="auto"/>
        <w:jc w:val="both"/>
      </w:pPr>
      <w:r>
        <w:rPr>
          <w:rFonts w:ascii="Times New Roman" w:hAnsi="Times New Roman" w:cs="Times New Roman"/>
          <w:sz w:val="24"/>
        </w:rPr>
        <w:t>Forskning på lagerklassifisering i sykehus har økt i omfang siden 2000-tallet, drevet av erkjennelsen om at helseforetak binder store ressurser i logistikk og materialhåndtering. Volland et al. (2017) identifiserte i en systematisk gjennomgang av 145 publikasjoner fra 1998 til 2014 at lagerstyring er den mest publiserte kategorien innen sykehuslogistikk, med over 66 artikler. Til tross for dette volumet er det begrenset forskning som kobler klassifiseringsmetoder direkte til sentralisering av forsyningskjeden – noe denne oppgaven adresserer.</w:t>
      </w:r>
    </w:p>
    <w:p>
      <w:pPr>
        <w:spacing w:line="360" w:lineRule="auto"/>
        <w:jc w:val="both"/>
      </w:pPr>
      <w:r>
        <w:rPr>
          <w:rFonts w:ascii="Times New Roman" w:hAnsi="Times New Roman" w:cs="Times New Roman"/>
          <w:sz w:val="24"/>
        </w:rPr>
        <w:t>Den dominerende tilnærmingen i litteraturen er ABC-analyse basert på Pareto-prinsippet. Silaen et al. (2023) viser at enkeltkriterieanalyse på forbruksverdi er bredt adoptert i praksis, men påpeker at metoden alene ikke fanger opp variabilitet i etterspørsel eller kritikalitet for forsyningssikkerhet. Gupta et al. (2007) demonstrerer dette i en militærmedisinsk studie der ABC kombineres med VED-analyse for å differensiere mellom høyverdiartikler og artikler med kritisk klinisk betydning.</w:t>
      </w:r>
    </w:p>
    <w:p>
      <w:pPr>
        <w:spacing w:line="360" w:lineRule="auto"/>
        <w:jc w:val="both"/>
      </w:pPr>
      <w:r>
        <w:rPr>
          <w:rFonts w:ascii="Times New Roman" w:hAnsi="Times New Roman" w:cs="Times New Roman"/>
          <w:sz w:val="24"/>
        </w:rPr>
        <w:t>XYZ-analyse, basert på variasjonskoeffisienten til etterspørselen, fremstår som det mest naturlige komplementet til ABC. Nowotyńska (2013) og Suryaputri et al. (2022) viser at ABC/XYZ-matrisen gir differensierte styringsanbefalinger for ni varekategorier, med dokumentert merverdi i helseindustrien.</w:t>
      </w:r>
    </w:p>
    <w:p>
      <w:pPr>
        <w:spacing w:line="360" w:lineRule="auto"/>
        <w:jc w:val="both"/>
      </w:pPr>
      <w:r>
        <w:rPr>
          <w:rFonts w:ascii="Times New Roman" w:hAnsi="Times New Roman" w:cs="Times New Roman"/>
          <w:sz w:val="24"/>
        </w:rPr>
        <w:t>Flerkriterietilnærminger som EDAS (Keshavarz Ghorabaee et al., 2015) krever subjektiv vekting, noe som svekker etterprøvbarheten. Denne oppgaven benytter derfor objektivt beregnbare kriterier (verdi, CV, EOQ-avvik). Klyngeanalyse representerer et datadrevet alternativ som fanger sammensatte mønstre uten forhåndsdefinerte terskelverdier (Srinivasan &amp; Moon, 1999). Kombinasjonen av K-means med regelbaserte beslutningssystemer er lite dokumentert i sykehuskontekst, og utgjør et utforskende element i oppgavens metoderammeverk.</w:t>
      </w:r>
    </w:p>
    <w:p>
      <w:pPr>
        <w:spacing w:line="360" w:lineRule="auto"/>
        <w:jc w:val="both"/>
      </w:pPr>
      <w:r>
        <w:rPr>
          <w:rFonts w:ascii="Times New Roman" w:hAnsi="Times New Roman" w:cs="Times New Roman"/>
          <w:sz w:val="24"/>
        </w:rPr>
        <w:t>van Kampen et al. (2012) identifiserer tre hoveddimensjoner for SKU-klassifisering: karakteristikker (verdi, variabilitet, kritikalitet), klassifiseringsteknikk (ABC, clustering, MCDM) og operasjonalisering i styringssystemer. Denne oppgaven opererer i krysningspunktet mellom alle tre.</w:t>
      </w:r>
    </w:p>
    <w:p>
      <w:pPr>
        <w:spacing w:line="360" w:lineRule="auto"/>
        <w:jc w:val="both"/>
      </w:pPr>
      <w:r>
        <w:rPr>
          <w:rFonts w:ascii="Times New Roman" w:hAnsi="Times New Roman" w:cs="Times New Roman"/>
          <w:sz w:val="24"/>
        </w:rPr>
        <w:t>Et identifisert gap i litteraturen er den begrensede forekomsten av kvantitative casestudier som kombinerer ABC, XYZ, EOQ-avviksanalyse og klyngeanalyse i en samlet analysemodell koblet mot faktiske SAP-transaksjonsdata, med besparelsesestimat som eksplisitt output. Saha og Ray (2019) konkluderer i sin gjennomgang av 137 artikler at det er behov for empiriske studier som kobler kvantitative klassifiseringsmodeller til konkrete beslutninger i reelle sykehussystemer. Denne oppgaven søker å fylle dette gapet.</w:t>
      </w:r>
    </w:p>
    <w:p>
      <w:pPr>
        <w:spacing w:line="360" w:lineRule="auto"/>
        <w:jc w:val="both"/>
      </w:pPr>
      <w:r>
        <w:rPr>
          <w:rFonts w:ascii="Times New Roman" w:hAnsi="Times New Roman" w:cs="Times New Roman"/>
          <w:sz w:val="24"/>
        </w:rPr>
        <w:t>Tabell 1 gir en samlet oversikt over de sentrale kildene i litteraturgjennomgangen, organisert etter hovedtema og med kopling til denne oppgavens problemstilling.</w:t>
      </w:r>
    </w:p>
    <w:p>
      <w:r>
        <w:rPr>
          <w:rFonts w:ascii="Times New Roman" w:hAnsi="Times New Roman"/>
          <w:b/>
          <w:sz w:val="20"/>
        </w:rPr>
        <w:t>Tabell 1</w:t>
      </w:r>
    </w:p>
    <w:p>
      <w:r>
        <w:rPr>
          <w:rFonts w:ascii="Times New Roman" w:hAnsi="Times New Roman"/>
          <w:i/>
          <w:sz w:val="20"/>
        </w:rPr>
        <w:t>Litteraturoversikt: sentrale kilder med tema og relevans for oppgaven</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Forfatter(e)</w:t>
            </w:r>
          </w:p>
        </w:tc>
        <w:tc>
          <w:tcPr>
            <w:tcW w:type="dxa" w:w="2192"/>
            <w:tcBorders>
              <w:top w:val="single" w:sz="8" w:space="0" w:color="000000"/>
              <w:bottom w:val="single" w:sz="4" w:space="0" w:color="000000"/>
              <w:left w:val="nil"/>
              <w:right w:val="nil"/>
            </w:tcBorders>
          </w:tcPr>
          <w:p>
            <w:r/>
            <w:r>
              <w:rPr>
                <w:rFonts w:ascii="Times New Roman" w:hAnsi="Times New Roman"/>
                <w:b/>
                <w:sz w:val="22"/>
              </w:rPr>
              <w:t>År</w:t>
            </w:r>
          </w:p>
        </w:tc>
        <w:tc>
          <w:tcPr>
            <w:tcW w:type="dxa" w:w="2192"/>
            <w:tcBorders>
              <w:top w:val="single" w:sz="8" w:space="0" w:color="000000"/>
              <w:bottom w:val="single" w:sz="4" w:space="0" w:color="000000"/>
              <w:left w:val="nil"/>
              <w:right w:val="nil"/>
            </w:tcBorders>
          </w:tcPr>
          <w:p>
            <w:r/>
            <w:r>
              <w:rPr>
                <w:rFonts w:ascii="Times New Roman" w:hAnsi="Times New Roman"/>
                <w:b/>
                <w:sz w:val="22"/>
              </w:rPr>
              <w:t>Hovedtema</w:t>
            </w:r>
          </w:p>
        </w:tc>
        <w:tc>
          <w:tcPr>
            <w:tcW w:type="dxa" w:w="2192"/>
            <w:tcBorders>
              <w:top w:val="single" w:sz="8" w:space="0" w:color="000000"/>
              <w:bottom w:val="single" w:sz="4" w:space="0" w:color="000000"/>
              <w:left w:val="nil"/>
              <w:right w:val="nil"/>
            </w:tcBorders>
          </w:tcPr>
          <w:p>
            <w:r/>
            <w:r>
              <w:rPr>
                <w:rFonts w:ascii="Times New Roman" w:hAnsi="Times New Roman"/>
                <w:b/>
                <w:sz w:val="22"/>
              </w:rPr>
              <w:t>Relevans for oppgaven</w:t>
            </w:r>
          </w:p>
        </w:tc>
      </w:tr>
      <w:tr>
        <w:tc>
          <w:tcPr>
            <w:tcW w:type="dxa" w:w="2192"/>
          </w:tcPr>
          <w:p>
            <w:r/>
            <w:r>
              <w:rPr>
                <w:rFonts w:ascii="Times New Roman" w:hAnsi="Times New Roman"/>
                <w:b w:val="0"/>
                <w:sz w:val="22"/>
              </w:rPr>
              <w:t>Bijvank &amp; Vis</w:t>
            </w:r>
          </w:p>
        </w:tc>
        <w:tc>
          <w:tcPr>
            <w:tcW w:type="dxa" w:w="2192"/>
          </w:tcPr>
          <w:p>
            <w:r/>
            <w:r>
              <w:rPr>
                <w:rFonts w:ascii="Times New Roman" w:hAnsi="Times New Roman"/>
                <w:b w:val="0"/>
                <w:sz w:val="22"/>
              </w:rPr>
              <w:t>2012</w:t>
            </w:r>
          </w:p>
        </w:tc>
        <w:tc>
          <w:tcPr>
            <w:tcW w:type="dxa" w:w="2192"/>
          </w:tcPr>
          <w:p>
            <w:r/>
            <w:r>
              <w:rPr>
                <w:rFonts w:ascii="Times New Roman" w:hAnsi="Times New Roman"/>
                <w:b w:val="0"/>
                <w:sz w:val="22"/>
              </w:rPr>
              <w:t>Lagerstyring ved brukssted i sykehus</w:t>
            </w:r>
          </w:p>
        </w:tc>
        <w:tc>
          <w:tcPr>
            <w:tcW w:type="dxa" w:w="2192"/>
          </w:tcPr>
          <w:p>
            <w:r/>
            <w:r>
              <w:rPr>
                <w:rFonts w:ascii="Times New Roman" w:hAnsi="Times New Roman"/>
                <w:b w:val="0"/>
                <w:sz w:val="22"/>
              </w:rPr>
              <w:t>Lost-sales-modell, forsyningssikkerhet</w:t>
            </w:r>
          </w:p>
        </w:tc>
      </w:tr>
      <w:tr>
        <w:tc>
          <w:tcPr>
            <w:tcW w:type="dxa" w:w="2192"/>
          </w:tcPr>
          <w:p>
            <w:r/>
            <w:r>
              <w:rPr>
                <w:rFonts w:ascii="Times New Roman" w:hAnsi="Times New Roman"/>
                <w:b w:val="0"/>
                <w:sz w:val="22"/>
              </w:rPr>
              <w:t>de Vries</w:t>
            </w:r>
          </w:p>
        </w:tc>
        <w:tc>
          <w:tcPr>
            <w:tcW w:type="dxa" w:w="2192"/>
          </w:tcPr>
          <w:p>
            <w:r/>
            <w:r>
              <w:rPr>
                <w:rFonts w:ascii="Times New Roman" w:hAnsi="Times New Roman"/>
                <w:b w:val="0"/>
                <w:sz w:val="22"/>
              </w:rPr>
              <w:t>2011</w:t>
            </w:r>
          </w:p>
        </w:tc>
        <w:tc>
          <w:tcPr>
            <w:tcW w:type="dxa" w:w="2192"/>
          </w:tcPr>
          <w:p>
            <w:r/>
            <w:r>
              <w:rPr>
                <w:rFonts w:ascii="Times New Roman" w:hAnsi="Times New Roman"/>
                <w:b w:val="0"/>
                <w:sz w:val="22"/>
              </w:rPr>
              <w:t>Interessentanalyse, lageromstilling i helse</w:t>
            </w:r>
          </w:p>
        </w:tc>
        <w:tc>
          <w:tcPr>
            <w:tcW w:type="dxa" w:w="2192"/>
          </w:tcPr>
          <w:p>
            <w:r/>
            <w:r>
              <w:rPr>
                <w:rFonts w:ascii="Times New Roman" w:hAnsi="Times New Roman"/>
                <w:b w:val="0"/>
                <w:sz w:val="22"/>
              </w:rPr>
              <w:t>Organisatoriske barrierer ved sentralisering</w:t>
            </w:r>
          </w:p>
        </w:tc>
      </w:tr>
      <w:tr>
        <w:tc>
          <w:tcPr>
            <w:tcW w:type="dxa" w:w="2192"/>
          </w:tcPr>
          <w:p>
            <w:r/>
            <w:r>
              <w:rPr>
                <w:rFonts w:ascii="Times New Roman" w:hAnsi="Times New Roman"/>
                <w:b w:val="0"/>
                <w:sz w:val="22"/>
              </w:rPr>
              <w:t>Fragapane et al.</w:t>
            </w:r>
          </w:p>
        </w:tc>
        <w:tc>
          <w:tcPr>
            <w:tcW w:type="dxa" w:w="2192"/>
          </w:tcPr>
          <w:p>
            <w:r/>
            <w:r>
              <w:rPr>
                <w:rFonts w:ascii="Times New Roman" w:hAnsi="Times New Roman"/>
                <w:b w:val="0"/>
                <w:sz w:val="22"/>
              </w:rPr>
              <w:t>2019</w:t>
            </w:r>
          </w:p>
        </w:tc>
        <w:tc>
          <w:tcPr>
            <w:tcW w:type="dxa" w:w="2192"/>
          </w:tcPr>
          <w:p>
            <w:r/>
            <w:r>
              <w:rPr>
                <w:rFonts w:ascii="Times New Roman" w:hAnsi="Times New Roman"/>
                <w:b w:val="0"/>
                <w:sz w:val="22"/>
              </w:rPr>
              <w:t>Forsyning til brukssted (APL)</w:t>
            </w:r>
          </w:p>
        </w:tc>
        <w:tc>
          <w:tcPr>
            <w:tcW w:type="dxa" w:w="2192"/>
          </w:tcPr>
          <w:p>
            <w:r/>
            <w:r>
              <w:rPr>
                <w:rFonts w:ascii="Times New Roman" w:hAnsi="Times New Roman"/>
                <w:b w:val="0"/>
                <w:sz w:val="22"/>
              </w:rPr>
              <w:t>APL-leveransemodell, sentraliseringskrav</w:t>
            </w:r>
          </w:p>
        </w:tc>
      </w:tr>
      <w:tr>
        <w:tc>
          <w:tcPr>
            <w:tcW w:type="dxa" w:w="2192"/>
          </w:tcPr>
          <w:p>
            <w:r/>
            <w:r>
              <w:rPr>
                <w:rFonts w:ascii="Times New Roman" w:hAnsi="Times New Roman"/>
                <w:b w:val="0"/>
                <w:sz w:val="22"/>
              </w:rPr>
              <w:t>Gupta et al.</w:t>
            </w:r>
          </w:p>
        </w:tc>
        <w:tc>
          <w:tcPr>
            <w:tcW w:type="dxa" w:w="2192"/>
          </w:tcPr>
          <w:p>
            <w:r/>
            <w:r>
              <w:rPr>
                <w:rFonts w:ascii="Times New Roman" w:hAnsi="Times New Roman"/>
                <w:b w:val="0"/>
                <w:sz w:val="22"/>
              </w:rPr>
              <w:t>2007</w:t>
            </w:r>
          </w:p>
        </w:tc>
        <w:tc>
          <w:tcPr>
            <w:tcW w:type="dxa" w:w="2192"/>
          </w:tcPr>
          <w:p>
            <w:r/>
            <w:r>
              <w:rPr>
                <w:rFonts w:ascii="Times New Roman" w:hAnsi="Times New Roman"/>
                <w:b w:val="0"/>
                <w:sz w:val="22"/>
              </w:rPr>
              <w:t>ABC- og VED-analyse, militærmedisinsk</w:t>
            </w:r>
          </w:p>
        </w:tc>
        <w:tc>
          <w:tcPr>
            <w:tcW w:type="dxa" w:w="2192"/>
          </w:tcPr>
          <w:p>
            <w:r/>
            <w:r>
              <w:rPr>
                <w:rFonts w:ascii="Times New Roman" w:hAnsi="Times New Roman"/>
                <w:b w:val="0"/>
                <w:sz w:val="22"/>
              </w:rPr>
              <w:t>ABC i sykehuskontekst med SAP-data</w:t>
            </w:r>
          </w:p>
        </w:tc>
      </w:tr>
      <w:tr>
        <w:tc>
          <w:tcPr>
            <w:tcW w:type="dxa" w:w="2192"/>
          </w:tcPr>
          <w:p>
            <w:r/>
            <w:r>
              <w:rPr>
                <w:rFonts w:ascii="Times New Roman" w:hAnsi="Times New Roman"/>
                <w:b w:val="0"/>
                <w:sz w:val="22"/>
              </w:rPr>
              <w:t>Gurumurthy et al.</w:t>
            </w:r>
          </w:p>
        </w:tc>
        <w:tc>
          <w:tcPr>
            <w:tcW w:type="dxa" w:w="2192"/>
          </w:tcPr>
          <w:p>
            <w:r/>
            <w:r>
              <w:rPr>
                <w:rFonts w:ascii="Times New Roman" w:hAnsi="Times New Roman"/>
                <w:b w:val="0"/>
                <w:sz w:val="22"/>
              </w:rPr>
              <w:t>2021</w:t>
            </w:r>
          </w:p>
        </w:tc>
        <w:tc>
          <w:tcPr>
            <w:tcW w:type="dxa" w:w="2192"/>
          </w:tcPr>
          <w:p>
            <w:r/>
            <w:r>
              <w:rPr>
                <w:rFonts w:ascii="Times New Roman" w:hAnsi="Times New Roman"/>
                <w:b w:val="0"/>
                <w:sz w:val="22"/>
              </w:rPr>
              <w:t>Hybrid lagerklassifisering, lean i sykehus</w:t>
            </w:r>
          </w:p>
        </w:tc>
        <w:tc>
          <w:tcPr>
            <w:tcW w:type="dxa" w:w="2192"/>
          </w:tcPr>
          <w:p>
            <w:r/>
            <w:r>
              <w:rPr>
                <w:rFonts w:ascii="Times New Roman" w:hAnsi="Times New Roman"/>
                <w:b w:val="0"/>
                <w:sz w:val="22"/>
              </w:rPr>
              <w:t>K-means i sykehuslogistikk</w:t>
            </w:r>
          </w:p>
        </w:tc>
      </w:tr>
      <w:tr>
        <w:tc>
          <w:tcPr>
            <w:tcW w:type="dxa" w:w="2192"/>
          </w:tcPr>
          <w:p>
            <w:r/>
            <w:r>
              <w:rPr>
                <w:rFonts w:ascii="Times New Roman" w:hAnsi="Times New Roman"/>
                <w:b w:val="0"/>
                <w:sz w:val="22"/>
              </w:rPr>
              <w:t>Hautaniemi &amp; Pirttilä</w:t>
            </w:r>
          </w:p>
        </w:tc>
        <w:tc>
          <w:tcPr>
            <w:tcW w:type="dxa" w:w="2192"/>
          </w:tcPr>
          <w:p>
            <w:r/>
            <w:r>
              <w:rPr>
                <w:rFonts w:ascii="Times New Roman" w:hAnsi="Times New Roman"/>
                <w:b w:val="0"/>
                <w:sz w:val="22"/>
              </w:rPr>
              <w:t>1999</w:t>
            </w:r>
          </w:p>
        </w:tc>
        <w:tc>
          <w:tcPr>
            <w:tcW w:type="dxa" w:w="2192"/>
          </w:tcPr>
          <w:p>
            <w:r/>
            <w:r>
              <w:rPr>
                <w:rFonts w:ascii="Times New Roman" w:hAnsi="Times New Roman"/>
                <w:b w:val="0"/>
                <w:sz w:val="22"/>
              </w:rPr>
              <w:t>Påfyllingspolicyer i MRP-miljø</w:t>
            </w:r>
          </w:p>
        </w:tc>
        <w:tc>
          <w:tcPr>
            <w:tcW w:type="dxa" w:w="2192"/>
          </w:tcPr>
          <w:p>
            <w:r/>
            <w:r>
              <w:rPr>
                <w:rFonts w:ascii="Times New Roman" w:hAnsi="Times New Roman"/>
                <w:b w:val="0"/>
                <w:sz w:val="22"/>
              </w:rPr>
              <w:t>EOQ-forutsetninger, lot sizing</w:t>
            </w:r>
          </w:p>
        </w:tc>
      </w:tr>
      <w:tr>
        <w:tc>
          <w:tcPr>
            <w:tcW w:type="dxa" w:w="2192"/>
          </w:tcPr>
          <w:p>
            <w:r/>
            <w:r>
              <w:rPr>
                <w:rFonts w:ascii="Times New Roman" w:hAnsi="Times New Roman"/>
                <w:b w:val="0"/>
                <w:sz w:val="22"/>
              </w:rPr>
              <w:t>Kelle et al.</w:t>
            </w:r>
          </w:p>
        </w:tc>
        <w:tc>
          <w:tcPr>
            <w:tcW w:type="dxa" w:w="2192"/>
          </w:tcPr>
          <w:p>
            <w:r/>
            <w:r>
              <w:rPr>
                <w:rFonts w:ascii="Times New Roman" w:hAnsi="Times New Roman"/>
                <w:b w:val="0"/>
                <w:sz w:val="22"/>
              </w:rPr>
              <w:t>2012</w:t>
            </w:r>
          </w:p>
        </w:tc>
        <w:tc>
          <w:tcPr>
            <w:tcW w:type="dxa" w:w="2192"/>
          </w:tcPr>
          <w:p>
            <w:r/>
            <w:r>
              <w:rPr>
                <w:rFonts w:ascii="Times New Roman" w:hAnsi="Times New Roman"/>
                <w:b w:val="0"/>
                <w:sz w:val="22"/>
              </w:rPr>
              <w:t>Farmasøytisk forsyningskjede, sykehus</w:t>
            </w:r>
          </w:p>
        </w:tc>
        <w:tc>
          <w:tcPr>
            <w:tcW w:type="dxa" w:w="2192"/>
          </w:tcPr>
          <w:p>
            <w:r/>
            <w:r>
              <w:rPr>
                <w:rFonts w:ascii="Times New Roman" w:hAnsi="Times New Roman"/>
                <w:b w:val="0"/>
                <w:sz w:val="22"/>
              </w:rPr>
              <w:t>Ordrekostnad S, sykehusinnkjøp</w:t>
            </w:r>
          </w:p>
        </w:tc>
      </w:tr>
      <w:tr>
        <w:tc>
          <w:tcPr>
            <w:tcW w:type="dxa" w:w="2192"/>
          </w:tcPr>
          <w:p>
            <w:r/>
            <w:r>
              <w:rPr>
                <w:rFonts w:ascii="Times New Roman" w:hAnsi="Times New Roman"/>
                <w:b w:val="0"/>
                <w:sz w:val="22"/>
              </w:rPr>
              <w:t>Keshavarz Ghorabaee et al.</w:t>
            </w:r>
          </w:p>
        </w:tc>
        <w:tc>
          <w:tcPr>
            <w:tcW w:type="dxa" w:w="2192"/>
          </w:tcPr>
          <w:p>
            <w:r/>
            <w:r>
              <w:rPr>
                <w:rFonts w:ascii="Times New Roman" w:hAnsi="Times New Roman"/>
                <w:b w:val="0"/>
                <w:sz w:val="22"/>
              </w:rPr>
              <w:t>2015</w:t>
            </w:r>
          </w:p>
        </w:tc>
        <w:tc>
          <w:tcPr>
            <w:tcW w:type="dxa" w:w="2192"/>
          </w:tcPr>
          <w:p>
            <w:r/>
            <w:r>
              <w:rPr>
                <w:rFonts w:ascii="Times New Roman" w:hAnsi="Times New Roman"/>
                <w:b w:val="0"/>
                <w:sz w:val="22"/>
              </w:rPr>
              <w:t>EDAS flerkriterieklassifisering</w:t>
            </w:r>
          </w:p>
        </w:tc>
        <w:tc>
          <w:tcPr>
            <w:tcW w:type="dxa" w:w="2192"/>
          </w:tcPr>
          <w:p>
            <w:r/>
            <w:r>
              <w:rPr>
                <w:rFonts w:ascii="Times New Roman" w:hAnsi="Times New Roman"/>
                <w:b w:val="0"/>
                <w:sz w:val="22"/>
              </w:rPr>
              <w:t>Alternativ til ABC, avstandsmetode</w:t>
            </w:r>
          </w:p>
        </w:tc>
      </w:tr>
      <w:tr>
        <w:tc>
          <w:tcPr>
            <w:tcW w:type="dxa" w:w="2192"/>
          </w:tcPr>
          <w:p>
            <w:r/>
            <w:r>
              <w:rPr>
                <w:rFonts w:ascii="Times New Roman" w:hAnsi="Times New Roman"/>
                <w:b w:val="0"/>
                <w:sz w:val="22"/>
              </w:rPr>
              <w:t>Ketkar &amp; Vaidya</w:t>
            </w:r>
          </w:p>
        </w:tc>
        <w:tc>
          <w:tcPr>
            <w:tcW w:type="dxa" w:w="2192"/>
          </w:tcPr>
          <w:p>
            <w:r/>
            <w:r>
              <w:rPr>
                <w:rFonts w:ascii="Times New Roman" w:hAnsi="Times New Roman"/>
                <w:b w:val="0"/>
                <w:sz w:val="22"/>
              </w:rPr>
              <w:t>2014</w:t>
            </w:r>
          </w:p>
        </w:tc>
        <w:tc>
          <w:tcPr>
            <w:tcW w:type="dxa" w:w="2192"/>
          </w:tcPr>
          <w:p>
            <w:r/>
            <w:r>
              <w:rPr>
                <w:rFonts w:ascii="Times New Roman" w:hAnsi="Times New Roman"/>
                <w:b w:val="0"/>
                <w:sz w:val="22"/>
              </w:rPr>
              <w:t>Bestillingspolicy, flerklassifisering</w:t>
            </w:r>
          </w:p>
        </w:tc>
        <w:tc>
          <w:tcPr>
            <w:tcW w:type="dxa" w:w="2192"/>
          </w:tcPr>
          <w:p>
            <w:r/>
            <w:r>
              <w:rPr>
                <w:rFonts w:ascii="Times New Roman" w:hAnsi="Times New Roman"/>
                <w:b w:val="0"/>
                <w:sz w:val="22"/>
              </w:rPr>
              <w:t>Holdesats h = 20 %, ABC/XYZ-kombinasjon</w:t>
            </w:r>
          </w:p>
        </w:tc>
      </w:tr>
      <w:tr>
        <w:tc>
          <w:tcPr>
            <w:tcW w:type="dxa" w:w="2192"/>
          </w:tcPr>
          <w:p>
            <w:r/>
            <w:r>
              <w:rPr>
                <w:rFonts w:ascii="Times New Roman" w:hAnsi="Times New Roman"/>
                <w:b w:val="0"/>
                <w:sz w:val="22"/>
              </w:rPr>
              <w:t>Moons et al.</w:t>
            </w:r>
          </w:p>
        </w:tc>
        <w:tc>
          <w:tcPr>
            <w:tcW w:type="dxa" w:w="2192"/>
          </w:tcPr>
          <w:p>
            <w:r/>
            <w:r>
              <w:rPr>
                <w:rFonts w:ascii="Times New Roman" w:hAnsi="Times New Roman"/>
                <w:b w:val="0"/>
                <w:sz w:val="22"/>
              </w:rPr>
              <w:t>2019</w:t>
            </w:r>
          </w:p>
        </w:tc>
        <w:tc>
          <w:tcPr>
            <w:tcW w:type="dxa" w:w="2192"/>
          </w:tcPr>
          <w:p>
            <w:r/>
            <w:r>
              <w:rPr>
                <w:rFonts w:ascii="Times New Roman" w:hAnsi="Times New Roman"/>
                <w:b w:val="0"/>
                <w:sz w:val="22"/>
              </w:rPr>
              <w:t>Ytelsesmåling, intern sykehusforsyning</w:t>
            </w:r>
          </w:p>
        </w:tc>
        <w:tc>
          <w:tcPr>
            <w:tcW w:type="dxa" w:w="2192"/>
          </w:tcPr>
          <w:p>
            <w:r/>
            <w:r>
              <w:rPr>
                <w:rFonts w:ascii="Times New Roman" w:hAnsi="Times New Roman"/>
                <w:b w:val="0"/>
                <w:sz w:val="22"/>
              </w:rPr>
              <w:t>Flerkriteriebaserte ytelsesmål</w:t>
            </w:r>
          </w:p>
        </w:tc>
      </w:tr>
      <w:tr>
        <w:tc>
          <w:tcPr>
            <w:tcW w:type="dxa" w:w="2192"/>
          </w:tcPr>
          <w:p>
            <w:r/>
            <w:r>
              <w:rPr>
                <w:rFonts w:ascii="Times New Roman" w:hAnsi="Times New Roman"/>
                <w:b w:val="0"/>
                <w:sz w:val="22"/>
              </w:rPr>
              <w:t>Nowotyńska</w:t>
            </w:r>
          </w:p>
        </w:tc>
        <w:tc>
          <w:tcPr>
            <w:tcW w:type="dxa" w:w="2192"/>
          </w:tcPr>
          <w:p>
            <w:r/>
            <w:r>
              <w:rPr>
                <w:rFonts w:ascii="Times New Roman" w:hAnsi="Times New Roman"/>
                <w:b w:val="0"/>
                <w:sz w:val="22"/>
              </w:rPr>
              <w:t>2013</w:t>
            </w:r>
          </w:p>
        </w:tc>
        <w:tc>
          <w:tcPr>
            <w:tcW w:type="dxa" w:w="2192"/>
          </w:tcPr>
          <w:p>
            <w:r/>
            <w:r>
              <w:rPr>
                <w:rFonts w:ascii="Times New Roman" w:hAnsi="Times New Roman"/>
                <w:b w:val="0"/>
                <w:sz w:val="22"/>
              </w:rPr>
              <w:t>XYZ-analyse, lagerstyring</w:t>
            </w:r>
          </w:p>
        </w:tc>
        <w:tc>
          <w:tcPr>
            <w:tcW w:type="dxa" w:w="2192"/>
          </w:tcPr>
          <w:p>
            <w:r/>
            <w:r>
              <w:rPr>
                <w:rFonts w:ascii="Times New Roman" w:hAnsi="Times New Roman"/>
                <w:b w:val="0"/>
                <w:sz w:val="22"/>
              </w:rPr>
              <w:t>CV-grenser X/Y/Z, metodegrunnlag</w:t>
            </w:r>
          </w:p>
        </w:tc>
      </w:tr>
      <w:tr>
        <w:tc>
          <w:tcPr>
            <w:tcW w:type="dxa" w:w="2192"/>
          </w:tcPr>
          <w:p>
            <w:r/>
            <w:r>
              <w:rPr>
                <w:rFonts w:ascii="Times New Roman" w:hAnsi="Times New Roman"/>
                <w:b w:val="0"/>
                <w:sz w:val="22"/>
              </w:rPr>
              <w:t>Pujawan</w:t>
            </w:r>
          </w:p>
        </w:tc>
        <w:tc>
          <w:tcPr>
            <w:tcW w:type="dxa" w:w="2192"/>
          </w:tcPr>
          <w:p>
            <w:r/>
            <w:r>
              <w:rPr>
                <w:rFonts w:ascii="Times New Roman" w:hAnsi="Times New Roman"/>
                <w:b w:val="0"/>
                <w:sz w:val="22"/>
              </w:rPr>
              <w:t>2004</w:t>
            </w:r>
          </w:p>
        </w:tc>
        <w:tc>
          <w:tcPr>
            <w:tcW w:type="dxa" w:w="2192"/>
          </w:tcPr>
          <w:p>
            <w:r/>
            <w:r>
              <w:rPr>
                <w:rFonts w:ascii="Times New Roman" w:hAnsi="Times New Roman"/>
                <w:b w:val="0"/>
                <w:sz w:val="22"/>
              </w:rPr>
              <w:t>Lot sizing, ordrevariabilitet</w:t>
            </w:r>
          </w:p>
        </w:tc>
        <w:tc>
          <w:tcPr>
            <w:tcW w:type="dxa" w:w="2192"/>
          </w:tcPr>
          <w:p>
            <w:r/>
            <w:r>
              <w:rPr>
                <w:rFonts w:ascii="Times New Roman" w:hAnsi="Times New Roman"/>
                <w:b w:val="0"/>
                <w:sz w:val="22"/>
              </w:rPr>
              <w:t>Bullwhip-effekt, EOQ-relevans</w:t>
            </w:r>
          </w:p>
        </w:tc>
      </w:tr>
      <w:tr>
        <w:tc>
          <w:tcPr>
            <w:tcW w:type="dxa" w:w="2192"/>
          </w:tcPr>
          <w:p>
            <w:r/>
            <w:r>
              <w:rPr>
                <w:rFonts w:ascii="Times New Roman" w:hAnsi="Times New Roman"/>
                <w:b w:val="0"/>
                <w:sz w:val="22"/>
              </w:rPr>
              <w:t>Saha &amp; Ray</w:t>
            </w:r>
          </w:p>
        </w:tc>
        <w:tc>
          <w:tcPr>
            <w:tcW w:type="dxa" w:w="2192"/>
          </w:tcPr>
          <w:p>
            <w:r/>
            <w:r>
              <w:rPr>
                <w:rFonts w:ascii="Times New Roman" w:hAnsi="Times New Roman"/>
                <w:b w:val="0"/>
                <w:sz w:val="22"/>
              </w:rPr>
              <w:t>2019</w:t>
            </w:r>
          </w:p>
        </w:tc>
        <w:tc>
          <w:tcPr>
            <w:tcW w:type="dxa" w:w="2192"/>
          </w:tcPr>
          <w:p>
            <w:r/>
            <w:r>
              <w:rPr>
                <w:rFonts w:ascii="Times New Roman" w:hAnsi="Times New Roman"/>
                <w:b w:val="0"/>
                <w:sz w:val="22"/>
              </w:rPr>
              <w:t>Lagermodeller i helsesektoren (review, 137 art.)</w:t>
            </w:r>
          </w:p>
        </w:tc>
        <w:tc>
          <w:tcPr>
            <w:tcW w:type="dxa" w:w="2192"/>
          </w:tcPr>
          <w:p>
            <w:r/>
            <w:r>
              <w:rPr>
                <w:rFonts w:ascii="Times New Roman" w:hAnsi="Times New Roman"/>
                <w:b w:val="0"/>
                <w:sz w:val="22"/>
              </w:rPr>
              <w:t>Gap: empiriske SAP-casestudier mangler</w:t>
            </w:r>
          </w:p>
        </w:tc>
      </w:tr>
      <w:tr>
        <w:tc>
          <w:tcPr>
            <w:tcW w:type="dxa" w:w="2192"/>
          </w:tcPr>
          <w:p>
            <w:r/>
            <w:r>
              <w:rPr>
                <w:rFonts w:ascii="Times New Roman" w:hAnsi="Times New Roman"/>
                <w:b w:val="0"/>
                <w:sz w:val="22"/>
              </w:rPr>
              <w:t>Silaen et al.</w:t>
            </w:r>
          </w:p>
        </w:tc>
        <w:tc>
          <w:tcPr>
            <w:tcW w:type="dxa" w:w="2192"/>
          </w:tcPr>
          <w:p>
            <w:r/>
            <w:r>
              <w:rPr>
                <w:rFonts w:ascii="Times New Roman" w:hAnsi="Times New Roman"/>
                <w:b w:val="0"/>
                <w:sz w:val="22"/>
              </w:rPr>
              <w:t>2023</w:t>
            </w:r>
          </w:p>
        </w:tc>
        <w:tc>
          <w:tcPr>
            <w:tcW w:type="dxa" w:w="2192"/>
          </w:tcPr>
          <w:p>
            <w:r/>
            <w:r>
              <w:rPr>
                <w:rFonts w:ascii="Times New Roman" w:hAnsi="Times New Roman"/>
                <w:b w:val="0"/>
                <w:sz w:val="22"/>
              </w:rPr>
              <w:t>ABC-analyse, implementering</w:t>
            </w:r>
          </w:p>
        </w:tc>
        <w:tc>
          <w:tcPr>
            <w:tcW w:type="dxa" w:w="2192"/>
          </w:tcPr>
          <w:p>
            <w:r/>
            <w:r>
              <w:rPr>
                <w:rFonts w:ascii="Times New Roman" w:hAnsi="Times New Roman"/>
                <w:b w:val="0"/>
                <w:sz w:val="22"/>
              </w:rPr>
              <w:t>ABC-grenser 80/95 %, Pareto-prinsippet</w:t>
            </w:r>
          </w:p>
        </w:tc>
      </w:tr>
      <w:tr>
        <w:tc>
          <w:tcPr>
            <w:tcW w:type="dxa" w:w="2192"/>
          </w:tcPr>
          <w:p>
            <w:r/>
            <w:r>
              <w:rPr>
                <w:rFonts w:ascii="Times New Roman" w:hAnsi="Times New Roman"/>
                <w:b w:val="0"/>
                <w:sz w:val="22"/>
              </w:rPr>
              <w:t>Srinivasan &amp; Moon</w:t>
            </w:r>
          </w:p>
        </w:tc>
        <w:tc>
          <w:tcPr>
            <w:tcW w:type="dxa" w:w="2192"/>
          </w:tcPr>
          <w:p>
            <w:r/>
            <w:r>
              <w:rPr>
                <w:rFonts w:ascii="Times New Roman" w:hAnsi="Times New Roman"/>
                <w:b w:val="0"/>
                <w:sz w:val="22"/>
              </w:rPr>
              <w:t>1999</w:t>
            </w:r>
          </w:p>
        </w:tc>
        <w:tc>
          <w:tcPr>
            <w:tcW w:type="dxa" w:w="2192"/>
          </w:tcPr>
          <w:p>
            <w:r/>
            <w:r>
              <w:rPr>
                <w:rFonts w:ascii="Times New Roman" w:hAnsi="Times New Roman"/>
                <w:b w:val="0"/>
                <w:sz w:val="22"/>
              </w:rPr>
              <w:t>Klyngeanalyse, forsyningskjedenettverk</w:t>
            </w:r>
          </w:p>
        </w:tc>
        <w:tc>
          <w:tcPr>
            <w:tcW w:type="dxa" w:w="2192"/>
          </w:tcPr>
          <w:p>
            <w:r/>
            <w:r>
              <w:rPr>
                <w:rFonts w:ascii="Times New Roman" w:hAnsi="Times New Roman"/>
                <w:b w:val="0"/>
                <w:sz w:val="22"/>
              </w:rPr>
              <w:t>K-means i SCM, nær-optimale løsninger</w:t>
            </w:r>
          </w:p>
        </w:tc>
      </w:tr>
      <w:tr>
        <w:tc>
          <w:tcPr>
            <w:tcW w:type="dxa" w:w="2192"/>
          </w:tcPr>
          <w:p>
            <w:r/>
            <w:r>
              <w:rPr>
                <w:rFonts w:ascii="Times New Roman" w:hAnsi="Times New Roman"/>
                <w:b w:val="0"/>
                <w:sz w:val="22"/>
              </w:rPr>
              <w:t>Suryaputri et al.</w:t>
            </w:r>
          </w:p>
        </w:tc>
        <w:tc>
          <w:tcPr>
            <w:tcW w:type="dxa" w:w="2192"/>
          </w:tcPr>
          <w:p>
            <w:r/>
            <w:r>
              <w:rPr>
                <w:rFonts w:ascii="Times New Roman" w:hAnsi="Times New Roman"/>
                <w:b w:val="0"/>
                <w:sz w:val="22"/>
              </w:rPr>
              <w:t>2022</w:t>
            </w:r>
          </w:p>
        </w:tc>
        <w:tc>
          <w:tcPr>
            <w:tcW w:type="dxa" w:w="2192"/>
          </w:tcPr>
          <w:p>
            <w:r/>
            <w:r>
              <w:rPr>
                <w:rFonts w:ascii="Times New Roman" w:hAnsi="Times New Roman"/>
                <w:b w:val="0"/>
                <w:sz w:val="22"/>
              </w:rPr>
              <w:t>ABC-XYZ-integrasjon, helseindustri</w:t>
            </w:r>
          </w:p>
        </w:tc>
        <w:tc>
          <w:tcPr>
            <w:tcW w:type="dxa" w:w="2192"/>
          </w:tcPr>
          <w:p>
            <w:r/>
            <w:r>
              <w:rPr>
                <w:rFonts w:ascii="Times New Roman" w:hAnsi="Times New Roman"/>
                <w:b w:val="0"/>
                <w:sz w:val="22"/>
              </w:rPr>
              <w:t>ABC/XYZ-matrise, bestillingspolicy</w:t>
            </w:r>
          </w:p>
        </w:tc>
      </w:tr>
      <w:tr>
        <w:tc>
          <w:tcPr>
            <w:tcW w:type="dxa" w:w="2192"/>
          </w:tcPr>
          <w:p>
            <w:r/>
            <w:r>
              <w:rPr>
                <w:rFonts w:ascii="Times New Roman" w:hAnsi="Times New Roman"/>
                <w:b w:val="0"/>
                <w:sz w:val="22"/>
              </w:rPr>
              <w:t>van Kampen et al.</w:t>
            </w:r>
          </w:p>
        </w:tc>
        <w:tc>
          <w:tcPr>
            <w:tcW w:type="dxa" w:w="2192"/>
          </w:tcPr>
          <w:p>
            <w:r/>
            <w:r>
              <w:rPr>
                <w:rFonts w:ascii="Times New Roman" w:hAnsi="Times New Roman"/>
                <w:b w:val="0"/>
                <w:sz w:val="22"/>
              </w:rPr>
              <w:t>2012</w:t>
            </w:r>
          </w:p>
        </w:tc>
        <w:tc>
          <w:tcPr>
            <w:tcW w:type="dxa" w:w="2192"/>
          </w:tcPr>
          <w:p>
            <w:r/>
            <w:r>
              <w:rPr>
                <w:rFonts w:ascii="Times New Roman" w:hAnsi="Times New Roman"/>
                <w:b w:val="0"/>
                <w:sz w:val="22"/>
              </w:rPr>
              <w:t>SKU-klassifiseringsrammeverk</w:t>
            </w:r>
          </w:p>
        </w:tc>
        <w:tc>
          <w:tcPr>
            <w:tcW w:type="dxa" w:w="2192"/>
          </w:tcPr>
          <w:p>
            <w:r/>
            <w:r>
              <w:rPr>
                <w:rFonts w:ascii="Times New Roman" w:hAnsi="Times New Roman"/>
                <w:b w:val="0"/>
                <w:sz w:val="22"/>
              </w:rPr>
              <w:t>Tre hoveddimensjoner, posisjonering</w:t>
            </w:r>
          </w:p>
        </w:tc>
      </w:tr>
      <w:tr>
        <w:tc>
          <w:tcPr>
            <w:tcW w:type="dxa" w:w="2192"/>
          </w:tcPr>
          <w:p>
            <w:r/>
            <w:r>
              <w:rPr>
                <w:rFonts w:ascii="Times New Roman" w:hAnsi="Times New Roman"/>
                <w:b w:val="0"/>
                <w:sz w:val="22"/>
              </w:rPr>
              <w:t>Volland et al.</w:t>
            </w:r>
          </w:p>
        </w:tc>
        <w:tc>
          <w:tcPr>
            <w:tcW w:type="dxa" w:w="2192"/>
          </w:tcPr>
          <w:p>
            <w:r/>
            <w:r>
              <w:rPr>
                <w:rFonts w:ascii="Times New Roman" w:hAnsi="Times New Roman"/>
                <w:b w:val="0"/>
                <w:sz w:val="22"/>
              </w:rPr>
              <w:t>2017</w:t>
            </w:r>
          </w:p>
        </w:tc>
        <w:tc>
          <w:tcPr>
            <w:tcW w:type="dxa" w:w="2192"/>
          </w:tcPr>
          <w:p>
            <w:r/>
            <w:r>
              <w:rPr>
                <w:rFonts w:ascii="Times New Roman" w:hAnsi="Times New Roman"/>
                <w:b w:val="0"/>
                <w:sz w:val="22"/>
              </w:rPr>
              <w:t>Materiallogistikk i sykehus (review, 145 pub.)</w:t>
            </w:r>
          </w:p>
        </w:tc>
        <w:tc>
          <w:tcPr>
            <w:tcW w:type="dxa" w:w="2192"/>
          </w:tcPr>
          <w:p>
            <w:r/>
            <w:r>
              <w:rPr>
                <w:rFonts w:ascii="Times New Roman" w:hAnsi="Times New Roman"/>
                <w:b w:val="0"/>
                <w:sz w:val="22"/>
              </w:rPr>
              <w:t>Lagerstyring dominerer, 30–40 % av drift</w:t>
            </w:r>
          </w:p>
        </w:tc>
      </w:tr>
    </w:tbl>
    <w:p>
      <w:pPr>
        <w:pStyle w:val="Overskrift2"/>
      </w:pPr>
      <w:r>
        <w:rPr>
          <w:rFonts w:ascii="Times New Roman" w:hAnsi="Times New Roman"/>
          <w:color w:val="000000"/>
          <w:sz w:val="32"/>
        </w:rPr>
        <w:t>2.2 ABC-analyse</w:t>
      </w:r>
    </w:p>
    <w:p>
      <w:pPr>
        <w:spacing w:line="360" w:lineRule="auto"/>
        <w:jc w:val="both"/>
      </w:pPr>
      <w:r>
        <w:rPr>
          <w:rFonts w:ascii="Times New Roman" w:hAnsi="Times New Roman" w:cs="Times New Roman"/>
          <w:sz w:val="24"/>
        </w:rPr>
        <w:t>ABC-analyse er en klassifiseringsmetode basert på Pareto-prinsippet, som fastslår at en liten andel artikler typisk står for en stor andel av total forbruksverdi. Metoden deler lagerbeholdningen i tre kategorier etter kumulativ verdiandel: A-artikler representerer de første 80 % av total innkjøpsverdi, B-artikler de neste 15 % og C-artikler de resterende 5 % (Silaen et al., 2023). Den formelle beregningen er beskrevet i kapittel 5.</w:t>
      </w:r>
    </w:p>
    <w:p>
      <w:pPr>
        <w:spacing w:line="360" w:lineRule="auto"/>
        <w:jc w:val="both"/>
      </w:pPr>
      <w:r>
        <w:rPr>
          <w:rFonts w:ascii="Times New Roman" w:hAnsi="Times New Roman" w:cs="Times New Roman"/>
          <w:sz w:val="24"/>
        </w:rPr>
        <w:t>Styrken ved ABC er enkelhet og direkte kopling til lagerkapitalbinding, men verdidimensjonen alene fanger ikke variabilitet i etterspørsel eller kritikalitet for forsyningssikkerhet (Partovi &amp; Burton, 1993). I denne oppgaven adresseres dette ved å kombinere ABC med XYZ-klassifisering og EOQ-avviksanalyse.</w:t>
      </w:r>
    </w:p>
    <w:p>
      <w:pPr>
        <w:pStyle w:val="Overskrift2"/>
      </w:pPr>
      <w:r>
        <w:rPr>
          <w:rFonts w:ascii="Times New Roman" w:hAnsi="Times New Roman"/>
          <w:color w:val="000000"/>
          <w:sz w:val="32"/>
        </w:rPr>
        <w:t>2.3 XYZ-klassifisering</w:t>
      </w:r>
    </w:p>
    <w:p>
      <w:pPr>
        <w:spacing w:line="360" w:lineRule="auto"/>
        <w:jc w:val="both"/>
      </w:pPr>
      <w:r>
        <w:rPr>
          <w:rFonts w:ascii="Times New Roman" w:hAnsi="Times New Roman" w:cs="Times New Roman"/>
          <w:sz w:val="24"/>
        </w:rPr>
        <w:t>XYZ-klassifisering kategoriserer artikler etter etterspørselens forutsigbarhet, målt ved variasjonskoeffisienten (CV). Klassifiseringsgrensene følger Nowotyńska (2013): X (</w:t>
      </w:r>
      <m:oMath>
        <m:r>
          <m:t>CV&lt;0,5,</m:t>
        </m:r>
      </m:oMath>
      <w:r>
        <w:rPr>
          <w:rFonts w:ascii="Times New Roman" w:hAnsi="Times New Roman" w:cs="Times New Roman"/>
          <w:sz w:val="24"/>
        </w:rPr>
        <w:t xml:space="preserve"> stabilt), Y (0,5 ≤ </w:t>
      </w:r>
      <m:oMath>
        <m:r>
          <m:t>CV&lt;1,0,</m:t>
        </m:r>
      </m:oMath>
      <w:r>
        <w:rPr>
          <w:rFonts w:ascii="Times New Roman" w:hAnsi="Times New Roman" w:cs="Times New Roman"/>
          <w:sz w:val="24"/>
        </w:rPr>
        <w:t xml:space="preserve"> moderat) og Z (</w:t>
      </w:r>
      <m:oMath>
        <m:r>
          <m:t>CV≥1,0,</m:t>
        </m:r>
      </m:oMath>
      <w:r>
        <w:rPr>
          <w:rFonts w:ascii="Times New Roman" w:hAnsi="Times New Roman" w:cs="Times New Roman"/>
          <w:sz w:val="24"/>
        </w:rPr>
        <w:t xml:space="preserve"> uregelmessig). Den formelle definisjonen er gitt i kapittel 5.</w:t>
      </w:r>
    </w:p>
    <w:p>
      <w:pPr>
        <w:spacing w:line="360" w:lineRule="auto"/>
        <w:jc w:val="both"/>
      </w:pPr>
      <w:r>
        <w:rPr>
          <w:rFonts w:ascii="Times New Roman" w:hAnsi="Times New Roman" w:cs="Times New Roman"/>
          <w:sz w:val="24"/>
        </w:rPr>
        <w:t>XYZ er metodisk komplementær til ABC: en AX-artikkel er en svært god kandidat for sentralisert styring, mens en AZ-artikkel krever lokal beredskapslagring uavhengig av verdi. Suryaputri et al. (2022) viser at ABC/XYZ-matrisen gir substansielt bedre differensiering av bestillingspolicy sammenlignet med enkeltkriterieanalyse. En sentral utfordring er at SAP-feltet ZZXYZ ikke oppdateres løpende; oppgaven behandler dette som et valideringsspørsmål og rapporterer samsvarsprosenten eksplisitt.</w:t>
      </w:r>
    </w:p>
    <w:p>
      <w:pPr>
        <w:pStyle w:val="Overskrift2"/>
      </w:pPr>
      <w:r>
        <w:rPr>
          <w:rFonts w:ascii="Times New Roman" w:hAnsi="Times New Roman"/>
          <w:color w:val="000000"/>
          <w:sz w:val="32"/>
        </w:rPr>
        <w:t>2.4 Economic Order Quantity (EOQ)</w:t>
      </w:r>
    </w:p>
    <w:p>
      <w:pPr>
        <w:spacing w:line="360" w:lineRule="auto"/>
        <w:jc w:val="both"/>
      </w:pPr>
      <w:r>
        <w:rPr>
          <w:rFonts w:ascii="Times New Roman" w:hAnsi="Times New Roman" w:cs="Times New Roman"/>
          <w:sz w:val="24"/>
        </w:rPr>
        <w:t>Economic Order Quantity (EOQ), også kjent som Wilson-modellen, beregner den optimale bestillingsmengden som minimerer summen av årlige ordrekostnader og holdekostnader (Ketkar &amp; Vaidya, 2014). I denne oppgaven benyttes EOQ primært for å identifisere artikler der faktisk bestillingsfrekvens avviker vesentlig fra den optimale, og der kostnadsavviket er kvantifiserbart. Den formelle modellformuleringen er gitt i kapittel 5.</w:t>
      </w:r>
    </w:p>
    <w:p>
      <w:pPr>
        <w:spacing w:line="360" w:lineRule="auto"/>
        <w:jc w:val="both"/>
      </w:pPr>
      <w:r>
        <w:rPr>
          <w:rFonts w:ascii="Times New Roman" w:hAnsi="Times New Roman" w:cs="Times New Roman"/>
          <w:sz w:val="24"/>
        </w:rPr>
        <w:t>Modellen forutsetter konstant etterspørsel, øyeblikkelig leveranse, ingen kvantumsrabatter og lineær holdekostnad – forutsetninger som i praksis brytes i varierende grad. Hautaniemi og Pirttilä (1999) påpeker at EOQ i mange tilfeller overstiger faktisk etterspørsel per periode, og Pujawan (2004) viser at suboptimale partistørrelser kan forplante seg som ordrevariabilitet oppover i forsyningskjeden. I sykehuskontekst begrenses dette noe av relativt stabile etterspørselsmønstre for volumartikler, men problemstillingen er relevant for Z-klassifiserte artikler. Parametervalgene (</w:t>
      </w:r>
      <m:oMath>
        <m:r>
          <m:t>S=750</m:t>
        </m:r>
      </m:oMath>
      <w:r>
        <w:rPr>
          <w:rFonts w:ascii="Times New Roman" w:hAnsi="Times New Roman" w:cs="Times New Roman"/>
          <w:sz w:val="24"/>
        </w:rPr>
        <w:t xml:space="preserve"> NOK, </w:t>
      </w:r>
      <m:oMath>
        <m:r>
          <m:t>H=p×20</m:t>
        </m:r>
        <m:r>
          <m:t>%</m:t>
        </m:r>
      </m:oMath>
      <w:r>
        <w:rPr>
          <w:rFonts w:ascii="Times New Roman" w:hAnsi="Times New Roman" w:cs="Times New Roman"/>
          <w:sz w:val="24"/>
        </w:rPr>
        <w:t>) er begrunnet i kapittel 5, og sensitivitetsanalysen varierer begge for å kartlegge robustheten.</w:t>
      </w:r>
    </w:p>
    <w:p>
      <w:pPr>
        <w:pStyle w:val="Overskrift2"/>
      </w:pPr>
      <w:r>
        <w:rPr>
          <w:rFonts w:ascii="Times New Roman" w:hAnsi="Times New Roman"/>
          <w:color w:val="000000"/>
          <w:sz w:val="32"/>
        </w:rPr>
        <w:t>2.5 K-means klyngeanalyse</w:t>
      </w:r>
    </w:p>
    <w:p>
      <w:pPr>
        <w:spacing w:line="360" w:lineRule="auto"/>
        <w:jc w:val="both"/>
      </w:pPr>
      <w:r>
        <w:rPr>
          <w:rFonts w:ascii="Times New Roman" w:hAnsi="Times New Roman" w:cs="Times New Roman"/>
          <w:sz w:val="24"/>
        </w:rPr>
        <w:t xml:space="preserve">K-means er en partisjoneringsalgoritme som deler et datasett inn i </w:t>
      </w:r>
      <m:oMath>
        <m:r>
          <m:t>K</m:t>
        </m:r>
      </m:oMath>
      <w:r>
        <w:rPr>
          <w:rFonts w:ascii="Times New Roman" w:hAnsi="Times New Roman" w:cs="Times New Roman"/>
          <w:sz w:val="24"/>
        </w:rPr>
        <w:t xml:space="preserve"> klynger ved å minimere summen av kvadrerte euklidske avstander fra hvert datapunkt til tilhørende klyngesenter (Pedregosa et al., 2011). Optimalt antall klynger bestemmes via silhouette-score (Rousseeuw, 1987), der verdier over 0,3 regnes som akseptable for eksplorativ analyse (Ketkar &amp; Vaidya, 2014). Log-transformasjon og z-score-standardisering sikrer at variabler med ulik skala bidrar likeverdig til distanseberegningene; den tekniske spesifikasjonen er gitt i kapittel 5.</w:t>
      </w:r>
    </w:p>
    <w:p>
      <w:pPr>
        <w:spacing w:line="360" w:lineRule="auto"/>
        <w:jc w:val="both"/>
      </w:pPr>
      <w:r>
        <w:rPr>
          <w:rFonts w:ascii="Times New Roman" w:hAnsi="Times New Roman" w:cs="Times New Roman"/>
          <w:sz w:val="24"/>
        </w:rPr>
        <w:t>Sammenlignet med regelbaserte klassifiseringsmetoder har klyngeanalyse den fordelen at den er datadrevet og ikke forutsetter forhåndsdefinerte terskelverdier (Srinivasan &amp; Moon, 1999). Begrensningen er at K-means er sensitiv for initialisering og forutsetter konvekse klyngemønstre. Det finnes begrenset sykehus-spesifikk litteratur på K-means i lagerklassifisering; Gurumurthy et al. (2021) er blant de få som eksplisitt benytter klyngeanalyse i sykehuslogistikk, noe som understreker at metodekombinasjonen i denne studien bidrar til å utvide det empiriske grunnlaget.</w:t>
      </w:r>
    </w:p>
    <w:p>
      <w:pPr>
        <w:pStyle w:val="Overskrift2"/>
      </w:pPr>
      <w:r>
        <w:rPr>
          <w:rFonts w:ascii="Times New Roman" w:hAnsi="Times New Roman"/>
          <w:color w:val="000000"/>
          <w:sz w:val="32"/>
        </w:rPr>
        <w:t>2.6 Lagerstyring i helsesektoren</w:t>
      </w:r>
    </w:p>
    <w:p>
      <w:pPr>
        <w:spacing w:line="360" w:lineRule="auto"/>
        <w:jc w:val="both"/>
      </w:pPr>
      <w:r>
        <w:rPr>
          <w:rFonts w:ascii="Times New Roman" w:hAnsi="Times New Roman" w:cs="Times New Roman"/>
          <w:sz w:val="24"/>
        </w:rPr>
        <w:t>Sykehuslogistikk skiller seg fra industriell lagerstyring ved at forsyningssvikt kan ha direkte kliniske konsekvenser. Bijvank og Vis (2012) modellerer dette som et tapte-salg-lagersystem der stockout har direkte operasjonell kostnad, noe som medfører at sykehus tradisjonelt aksepterer høyere sikkerhetslager enn det som er kostnadsoptimalt. Moons et al. (2019) peker på at ytelsesmåling i sykehusforsyningskjeder er fragmentert, og at økonomiindikatorer må balanseres mot serviceindikatorer for klinisk tilgjengelighet.</w:t>
      </w:r>
    </w:p>
    <w:p>
      <w:pPr>
        <w:spacing w:line="360" w:lineRule="auto"/>
        <w:jc w:val="both"/>
      </w:pPr>
      <w:r>
        <w:rPr>
          <w:rFonts w:ascii="Times New Roman" w:hAnsi="Times New Roman" w:cs="Times New Roman"/>
          <w:sz w:val="24"/>
        </w:rPr>
        <w:t>Saha og Ray (2019) fant at casestudier med empiriske ERP-data er underrepresentert i litteraturen, og Gupta et al. (2007) viser at ABC-analyse med SAP-data reduserte lagerkapitalbindingen med 10–15 % i en sykehusstudie. Fragapane et al. (2019) understreker at sentraliserte APL-leveranser krever et systematisk klassifiseringsgrunnlag, mens de Vries (2011) advarer mot å undervurdere organisatoriske barrierer ved slike omstillinger.</w:t>
      </w:r>
    </w:p>
    <w:p>
      <w:pPr>
        <w:spacing w:line="360" w:lineRule="auto"/>
        <w:jc w:val="both"/>
      </w:pPr>
      <w:r>
        <w:rPr>
          <w:rFonts w:ascii="Times New Roman" w:hAnsi="Times New Roman" w:cs="Times New Roman"/>
          <w:b/>
          <w:sz w:val="24"/>
        </w:rPr>
        <w:t>Kritikalitet (VED-analyse).</w:t>
      </w:r>
      <w:r>
        <w:rPr>
          <w:rFonts w:ascii="Times New Roman" w:hAnsi="Times New Roman" w:cs="Times New Roman"/>
          <w:sz w:val="24"/>
        </w:rPr>
        <w:t xml:space="preserve"> En tredje styringsdimensjon i sykehuslogistikk er klinisk kritikalitet, vanligvis operasjonalisert som VED-klassifisering: </w:t>
      </w:r>
      <w:r>
        <w:rPr>
          <w:rFonts w:ascii="Times New Roman" w:hAnsi="Times New Roman" w:cs="Times New Roman"/>
          <w:i/>
          <w:sz w:val="24"/>
        </w:rPr>
        <w:t>Vital</w:t>
      </w:r>
      <w:r>
        <w:rPr>
          <w:rFonts w:ascii="Times New Roman" w:hAnsi="Times New Roman" w:cs="Times New Roman"/>
          <w:sz w:val="24"/>
        </w:rPr>
        <w:t xml:space="preserve"> (livsviktig – leveransesvikt kan true pasientliv), </w:t>
      </w:r>
      <w:r>
        <w:rPr>
          <w:rFonts w:ascii="Times New Roman" w:hAnsi="Times New Roman" w:cs="Times New Roman"/>
          <w:i/>
          <w:sz w:val="24"/>
        </w:rPr>
        <w:t>Essential</w:t>
      </w:r>
      <w:r>
        <w:rPr>
          <w:rFonts w:ascii="Times New Roman" w:hAnsi="Times New Roman" w:cs="Times New Roman"/>
          <w:sz w:val="24"/>
        </w:rPr>
        <w:t xml:space="preserve"> (vesentlig – leveransesvikt kan forsinke behandling) og </w:t>
      </w:r>
      <w:r>
        <w:rPr>
          <w:rFonts w:ascii="Times New Roman" w:hAnsi="Times New Roman" w:cs="Times New Roman"/>
          <w:i/>
          <w:sz w:val="24"/>
        </w:rPr>
        <w:t>Desirable</w:t>
      </w:r>
      <w:r>
        <w:rPr>
          <w:rFonts w:ascii="Times New Roman" w:hAnsi="Times New Roman" w:cs="Times New Roman"/>
          <w:sz w:val="24"/>
        </w:rPr>
        <w:t xml:space="preserve"> (ønskelig – leveransesvikt har begrenset klinisk konsekvens) (Gupta et al., 2007). Kritikalitet er konseptuelt uavhengig av både verdi (ABC) og forbruksstabilitet (XYZ): en lavverdig artikkel kan være vital, og en høyverdig artikkel kan være desirable. Gupta et al. (2007) og Gurumurthy et al. (2021) anvender kombinert ABC-VED-matrise for å sikre at sentraliserings- og rasjoneringsbeslutninger ikke bare er kostnadsoptimerte, men også klinisk forsvarlige. I rammeverket til van Kampen et al. (2012) inngår kritikalitet eksplisitt som én av de tre SKU-karakteristikkene ved siden av verdi og variabilitet. I dette datagrunnlaget foreligger ikke VED-klassifisering som strukturert variabel i SAP MARA/MARC, og kritikalitetsdimensjonen kan derfor ikke operasjonaliseres direkte i klassifiseringsmodellen. Konsekvensen drøftes i kap. 8.4, og en formell VED-vurdering inngår som første anbefaling i kap. 9.2.</w:t>
      </w:r>
    </w:p>
    <w:p>
      <w:pPr>
        <w:spacing w:line="360" w:lineRule="auto"/>
        <w:jc w:val="both"/>
      </w:pPr>
      <w:r>
        <w:rPr>
          <w:rFonts w:ascii="Times New Roman" w:hAnsi="Times New Roman" w:cs="Times New Roman"/>
          <w:sz w:val="24"/>
        </w:rPr>
        <w:t>Tabell 2 oppsummerer styrker, svakheter og forutsetninger for de fire analysemetodene som benyttes i denne oppgaven.</w:t>
      </w:r>
    </w:p>
    <w:p>
      <w:r>
        <w:rPr>
          <w:rFonts w:ascii="Times New Roman" w:hAnsi="Times New Roman"/>
          <w:b/>
          <w:sz w:val="20"/>
        </w:rPr>
        <w:t>Tabell 2</w:t>
      </w:r>
    </w:p>
    <w:p>
      <w:r>
        <w:rPr>
          <w:rFonts w:ascii="Times New Roman" w:hAnsi="Times New Roman"/>
          <w:i/>
          <w:sz w:val="20"/>
        </w:rPr>
        <w:t>Sammenligning av analysemetoder brukt i oppgaven</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r>
              <w:rPr>
                <w:rFonts w:ascii="Times New Roman" w:hAnsi="Times New Roman"/>
                <w:b/>
                <w:sz w:val="22"/>
              </w:rPr>
              <w:t>Modell</w:t>
            </w:r>
          </w:p>
        </w:tc>
        <w:tc>
          <w:tcPr>
            <w:tcW w:type="dxa" w:w="1754"/>
            <w:tcBorders>
              <w:top w:val="single" w:sz="8" w:space="0" w:color="000000"/>
              <w:bottom w:val="single" w:sz="4" w:space="0" w:color="000000"/>
              <w:left w:val="nil"/>
              <w:right w:val="nil"/>
            </w:tcBorders>
          </w:tcPr>
          <w:p>
            <w:r/>
            <w:r>
              <w:rPr>
                <w:rFonts w:ascii="Times New Roman" w:hAnsi="Times New Roman"/>
                <w:b/>
                <w:sz w:val="22"/>
              </w:rPr>
              <w:t>Styrker</w:t>
            </w:r>
          </w:p>
        </w:tc>
        <w:tc>
          <w:tcPr>
            <w:tcW w:type="dxa" w:w="1754"/>
            <w:tcBorders>
              <w:top w:val="single" w:sz="8" w:space="0" w:color="000000"/>
              <w:bottom w:val="single" w:sz="4" w:space="0" w:color="000000"/>
              <w:left w:val="nil"/>
              <w:right w:val="nil"/>
            </w:tcBorders>
          </w:tcPr>
          <w:p>
            <w:r/>
            <w:r>
              <w:rPr>
                <w:rFonts w:ascii="Times New Roman" w:hAnsi="Times New Roman"/>
                <w:b/>
                <w:sz w:val="22"/>
              </w:rPr>
              <w:t>Svakheter</w:t>
            </w:r>
          </w:p>
        </w:tc>
        <w:tc>
          <w:tcPr>
            <w:tcW w:type="dxa" w:w="1754"/>
            <w:tcBorders>
              <w:top w:val="single" w:sz="8" w:space="0" w:color="000000"/>
              <w:bottom w:val="single" w:sz="4" w:space="0" w:color="000000"/>
              <w:left w:val="nil"/>
              <w:right w:val="nil"/>
            </w:tcBorders>
          </w:tcPr>
          <w:p>
            <w:r/>
            <w:r>
              <w:rPr>
                <w:rFonts w:ascii="Times New Roman" w:hAnsi="Times New Roman"/>
                <w:b/>
                <w:sz w:val="22"/>
              </w:rPr>
              <w:t>Forutsetninger</w:t>
            </w:r>
          </w:p>
        </w:tc>
        <w:tc>
          <w:tcPr>
            <w:tcW w:type="dxa" w:w="1754"/>
            <w:tcBorders>
              <w:top w:val="single" w:sz="8" w:space="0" w:color="000000"/>
              <w:bottom w:val="single" w:sz="4" w:space="0" w:color="000000"/>
              <w:left w:val="nil"/>
              <w:right w:val="nil"/>
            </w:tcBorders>
          </w:tcPr>
          <w:p>
            <w:r/>
            <w:r>
              <w:rPr>
                <w:rFonts w:ascii="Times New Roman" w:hAnsi="Times New Roman"/>
                <w:b/>
                <w:sz w:val="22"/>
              </w:rPr>
              <w:t>Referanse</w:t>
            </w:r>
          </w:p>
        </w:tc>
      </w:tr>
      <w:tr>
        <w:tc>
          <w:tcPr>
            <w:tcW w:type="dxa" w:w="1754"/>
          </w:tcPr>
          <w:p>
            <w:r/>
            <w:r>
              <w:rPr>
                <w:rFonts w:ascii="Times New Roman" w:hAnsi="Times New Roman"/>
                <w:b w:val="0"/>
                <w:sz w:val="22"/>
              </w:rPr>
              <w:t>ABC-analyse</w:t>
            </w:r>
          </w:p>
        </w:tc>
        <w:tc>
          <w:tcPr>
            <w:tcW w:type="dxa" w:w="1754"/>
          </w:tcPr>
          <w:p>
            <w:r/>
            <w:r>
              <w:rPr>
                <w:rFonts w:ascii="Times New Roman" w:hAnsi="Times New Roman"/>
                <w:b w:val="0"/>
                <w:sz w:val="22"/>
              </w:rPr>
              <w:t>Enkel, transparent, bred støtte i litteraturen</w:t>
            </w:r>
          </w:p>
        </w:tc>
        <w:tc>
          <w:tcPr>
            <w:tcW w:type="dxa" w:w="1754"/>
          </w:tcPr>
          <w:p>
            <w:r/>
            <w:r>
              <w:rPr>
                <w:rFonts w:ascii="Times New Roman" w:hAnsi="Times New Roman"/>
                <w:b w:val="0"/>
                <w:sz w:val="22"/>
              </w:rPr>
              <w:t>Ignorerer etterspørselsvariabilitet og kritikalitet</w:t>
            </w:r>
          </w:p>
        </w:tc>
        <w:tc>
          <w:tcPr>
            <w:tcW w:type="dxa" w:w="1754"/>
          </w:tcPr>
          <w:p>
            <w:r/>
            <w:r>
              <w:rPr>
                <w:rFonts w:ascii="Times New Roman" w:hAnsi="Times New Roman"/>
                <w:b w:val="0"/>
                <w:sz w:val="22"/>
              </w:rPr>
              <w:t>Kjent årsverdi per artikkel</w:t>
            </w:r>
          </w:p>
        </w:tc>
        <w:tc>
          <w:tcPr>
            <w:tcW w:type="dxa" w:w="1754"/>
          </w:tcPr>
          <w:p>
            <w:r/>
            <w:r>
              <w:rPr>
                <w:rFonts w:ascii="Times New Roman" w:hAnsi="Times New Roman"/>
                <w:b w:val="0"/>
                <w:sz w:val="22"/>
              </w:rPr>
              <w:t>Silaen et al. (2023)</w:t>
            </w:r>
          </w:p>
        </w:tc>
      </w:tr>
      <w:tr>
        <w:tc>
          <w:tcPr>
            <w:tcW w:type="dxa" w:w="1754"/>
          </w:tcPr>
          <w:p>
            <w:r/>
            <w:r>
              <w:rPr>
                <w:rFonts w:ascii="Times New Roman" w:hAnsi="Times New Roman"/>
                <w:b w:val="0"/>
                <w:sz w:val="22"/>
              </w:rPr>
              <w:t>XYZ-klassifisering</w:t>
            </w:r>
          </w:p>
        </w:tc>
        <w:tc>
          <w:tcPr>
            <w:tcW w:type="dxa" w:w="1754"/>
          </w:tcPr>
          <w:p>
            <w:r/>
            <w:r>
              <w:rPr>
                <w:rFonts w:ascii="Times New Roman" w:hAnsi="Times New Roman"/>
                <w:b w:val="0"/>
                <w:sz w:val="22"/>
              </w:rPr>
              <w:t>Fanger variabilitet i etterspørsel over tid</w:t>
            </w:r>
          </w:p>
        </w:tc>
        <w:tc>
          <w:tcPr>
            <w:tcW w:type="dxa" w:w="1754"/>
          </w:tcPr>
          <w:p>
            <w:r/>
            <w:r>
              <w:rPr>
                <w:rFonts w:ascii="Times New Roman" w:hAnsi="Times New Roman"/>
                <w:b w:val="0"/>
                <w:sz w:val="22"/>
              </w:rPr>
              <w:t>Krever tilstrekkelig transaksjonshistorikk</w:t>
            </w:r>
          </w:p>
        </w:tc>
        <w:tc>
          <w:tcPr>
            <w:tcW w:type="dxa" w:w="1754"/>
          </w:tcPr>
          <w:p>
            <w:r/>
            <w:r>
              <w:rPr>
                <w:rFonts w:ascii="Times New Roman" w:hAnsi="Times New Roman"/>
                <w:b w:val="0"/>
                <w:sz w:val="22"/>
              </w:rPr>
              <w:t>Månedlige forbruksdata tilgjengelig</w:t>
            </w:r>
          </w:p>
        </w:tc>
        <w:tc>
          <w:tcPr>
            <w:tcW w:type="dxa" w:w="1754"/>
          </w:tcPr>
          <w:p>
            <w:r/>
            <w:r>
              <w:rPr>
                <w:rFonts w:ascii="Times New Roman" w:hAnsi="Times New Roman"/>
                <w:b w:val="0"/>
                <w:sz w:val="22"/>
              </w:rPr>
              <w:t>Nowotyńska (2013)</w:t>
            </w:r>
          </w:p>
        </w:tc>
      </w:tr>
      <w:tr>
        <w:tc>
          <w:tcPr>
            <w:tcW w:type="dxa" w:w="1754"/>
          </w:tcPr>
          <w:p>
            <w:r/>
            <w:r>
              <w:rPr>
                <w:rFonts w:ascii="Times New Roman" w:hAnsi="Times New Roman"/>
                <w:b w:val="0"/>
                <w:sz w:val="22"/>
              </w:rPr>
              <w:t>EOQ (Wilson)</w:t>
            </w:r>
          </w:p>
        </w:tc>
        <w:tc>
          <w:tcPr>
            <w:tcW w:type="dxa" w:w="1754"/>
          </w:tcPr>
          <w:p>
            <w:r/>
            <w:r>
              <w:rPr>
                <w:rFonts w:ascii="Times New Roman" w:hAnsi="Times New Roman"/>
                <w:b w:val="0"/>
                <w:sz w:val="22"/>
              </w:rPr>
              <w:t>Analytisk optimal ordrekvantum, kvantifiserbart avvik</w:t>
            </w:r>
          </w:p>
        </w:tc>
        <w:tc>
          <w:tcPr>
            <w:tcW w:type="dxa" w:w="1754"/>
          </w:tcPr>
          <w:p>
            <w:r/>
            <w:r>
              <w:rPr>
                <w:rFonts w:ascii="Times New Roman" w:hAnsi="Times New Roman"/>
                <w:b w:val="0"/>
                <w:sz w:val="22"/>
              </w:rPr>
              <w:t>Sensitiv for S og H; antar konstant etterspørsel</w:t>
            </w:r>
          </w:p>
        </w:tc>
        <w:tc>
          <w:tcPr>
            <w:tcW w:type="dxa" w:w="1754"/>
          </w:tcPr>
          <w:p>
            <w:r/>
            <w:r>
              <w:rPr>
                <w:rFonts w:ascii="Times New Roman" w:hAnsi="Times New Roman"/>
                <w:b w:val="0"/>
                <w:sz w:val="22"/>
              </w:rPr>
              <w:t>Kjent S og H; kontinuerlig etterspørsel</w:t>
            </w:r>
          </w:p>
        </w:tc>
        <w:tc>
          <w:tcPr>
            <w:tcW w:type="dxa" w:w="1754"/>
          </w:tcPr>
          <w:p>
            <w:r/>
            <w:r>
              <w:rPr>
                <w:rFonts w:ascii="Times New Roman" w:hAnsi="Times New Roman"/>
                <w:b w:val="0"/>
                <w:sz w:val="22"/>
              </w:rPr>
              <w:t>Hautaniemi &amp; Pirttilä (1999)</w:t>
            </w:r>
          </w:p>
        </w:tc>
      </w:tr>
      <w:tr>
        <w:tc>
          <w:tcPr>
            <w:tcW w:type="dxa" w:w="1754"/>
          </w:tcPr>
          <w:p>
            <w:r/>
            <w:r>
              <w:rPr>
                <w:rFonts w:ascii="Times New Roman" w:hAnsi="Times New Roman"/>
                <w:b w:val="0"/>
                <w:sz w:val="22"/>
              </w:rPr>
              <w:t>K-means klyngeanalyse</w:t>
            </w:r>
          </w:p>
        </w:tc>
        <w:tc>
          <w:tcPr>
            <w:tcW w:type="dxa" w:w="1754"/>
          </w:tcPr>
          <w:p>
            <w:r/>
            <w:r>
              <w:rPr>
                <w:rFonts w:ascii="Times New Roman" w:hAnsi="Times New Roman"/>
                <w:b w:val="0"/>
                <w:sz w:val="22"/>
              </w:rPr>
              <w:t>Avdekker skjulte mønstre uten forhåndsbestemte grenser</w:t>
            </w:r>
          </w:p>
        </w:tc>
        <w:tc>
          <w:tcPr>
            <w:tcW w:type="dxa" w:w="1754"/>
          </w:tcPr>
          <w:p>
            <w:r/>
            <w:r>
              <w:rPr>
                <w:rFonts w:ascii="Times New Roman" w:hAnsi="Times New Roman"/>
                <w:b w:val="0"/>
                <w:sz w:val="22"/>
              </w:rPr>
              <w:t>Sensitiv for K-valg og initialisering</w:t>
            </w:r>
          </w:p>
        </w:tc>
        <w:tc>
          <w:tcPr>
            <w:tcW w:type="dxa" w:w="1754"/>
          </w:tcPr>
          <w:p>
            <w:r/>
            <w:r>
              <w:rPr>
                <w:rFonts w:ascii="Times New Roman" w:hAnsi="Times New Roman"/>
                <w:b w:val="0"/>
                <w:sz w:val="22"/>
              </w:rPr>
              <w:t>Normaliserte features; euklidsk avstand</w:t>
            </w:r>
          </w:p>
        </w:tc>
        <w:tc>
          <w:tcPr>
            <w:tcW w:type="dxa" w:w="1754"/>
          </w:tcPr>
          <w:p>
            <w:r/>
            <w:r>
              <w:rPr>
                <w:rFonts w:ascii="Times New Roman" w:hAnsi="Times New Roman"/>
                <w:b w:val="0"/>
                <w:sz w:val="22"/>
              </w:rPr>
              <w:t>Srinivasan &amp; Moon (1999)</w:t>
            </w:r>
          </w:p>
        </w:tc>
      </w:tr>
    </w:tbl>
    <w:p>
      <w:pPr>
        <w:pStyle w:val="Overskrift2"/>
      </w:pPr>
      <w:r>
        <w:rPr>
          <w:rFonts w:ascii="Times New Roman" w:hAnsi="Times New Roman"/>
          <w:color w:val="000000"/>
          <w:sz w:val="32"/>
        </w:rPr>
        <w:t>2.7 Konseptuelt rammeverk</w:t>
      </w:r>
    </w:p>
    <w:p>
      <w:pPr>
        <w:spacing w:line="360" w:lineRule="auto"/>
        <w:jc w:val="both"/>
      </w:pPr>
      <w:r>
        <w:rPr>
          <w:rFonts w:ascii="Times New Roman" w:hAnsi="Times New Roman" w:cs="Times New Roman"/>
          <w:sz w:val="24"/>
        </w:rPr>
        <w:t xml:space="preserve">Denne oppgaven opererer innenfor et konseptuelt rammeverk som beskriver en sekvensiell analysemodell fra rådata til beslutningsanbefaling. Modellen kombinerer deterministisk klassifisering (ABC og XYZ) med eksplorativ segmentering (K-means): de regelbaserte metodene produserer reproduserbare klasser ut fra forhåndsdefinerte grenseverdier, mens K-means avdekker datadrevne gruppestrukturer uten forhåndsbestemte grenser. Rammeverket er illustrert i Figur 1 og setter de fire metodene i et logisk avhengighetsforhold: ABC og XYZ er uavhengige analysedimensjoner som beregnes parallelt fra henholdsvis innkjøpsdata (EKPO/EKBE) og forbruksdata (MSEG). EOQ-avviksanalysen supplerer med en tredje dimensjon – kostnadseffektiviteten av nåværende bestillingspraksis. K-means klyngeanalyse er eksplorativ og avdekker datadrevne gruppestrukturer som ikke er forhåndsbestemt av regelgrenser. Regelmotor-trinnet integrerer alle fire dimensjoner til én anbefaling per artikkel: </w:t>
      </w:r>
      <w:r>
        <w:rPr>
          <w:rFonts w:ascii="Times New Roman" w:hAnsi="Times New Roman" w:cs="Times New Roman"/>
          <w:i/>
          <w:sz w:val="24"/>
        </w:rPr>
        <w:t>overfør til HVFS</w:t>
      </w:r>
      <w:r>
        <w:rPr>
          <w:rFonts w:ascii="Times New Roman" w:hAnsi="Times New Roman" w:cs="Times New Roman"/>
          <w:sz w:val="24"/>
        </w:rPr>
        <w:t xml:space="preserve">, </w:t>
      </w:r>
      <w:r>
        <w:rPr>
          <w:rFonts w:ascii="Times New Roman" w:hAnsi="Times New Roman" w:cs="Times New Roman"/>
          <w:i/>
          <w:sz w:val="24"/>
        </w:rPr>
        <w:t>behold lokalt</w:t>
      </w:r>
      <w:r>
        <w:rPr>
          <w:rFonts w:ascii="Times New Roman" w:hAnsi="Times New Roman" w:cs="Times New Roman"/>
          <w:sz w:val="24"/>
        </w:rPr>
        <w:t xml:space="preserve"> eller </w:t>
      </w:r>
      <w:r>
        <w:rPr>
          <w:rFonts w:ascii="Times New Roman" w:hAnsi="Times New Roman" w:cs="Times New Roman"/>
          <w:i/>
          <w:sz w:val="24"/>
        </w:rPr>
        <w:t>krever nærmere vurdering</w:t>
      </w:r>
      <w:r>
        <w:rPr>
          <w:rFonts w:ascii="Times New Roman" w:hAnsi="Times New Roman" w:cs="Times New Roman"/>
          <w:sz w:val="24"/>
        </w:rPr>
        <w:t>. Estimert besparelse beregnes som summen av EOQ-kostnadsavvik for HVFS-anbefalte artikler, justert for gevinstrealiseringsgrad.</w:t>
      </w:r>
    </w:p>
    <w:p>
      <w:r>
        <w:drawing>
          <wp:inline xmlns:a="http://schemas.openxmlformats.org/drawingml/2006/main" xmlns:pic="http://schemas.openxmlformats.org/drawingml/2006/picture">
            <wp:extent cx="5400000" cy="1615574"/>
            <wp:docPr id="4" name="Picture 4"/>
            <wp:cNvGraphicFramePr>
              <a:graphicFrameLocks noChangeAspect="1"/>
            </wp:cNvGraphicFramePr>
            <a:graphic>
              <a:graphicData uri="http://schemas.openxmlformats.org/drawingml/2006/picture">
                <pic:pic>
                  <pic:nvPicPr>
                    <pic:cNvPr id="0" name="Fig00_Konseptuelt_Rammeverk.png"/>
                    <pic:cNvPicPr/>
                  </pic:nvPicPr>
                  <pic:blipFill>
                    <a:blip r:embed="rId22"/>
                    <a:stretch>
                      <a:fillRect/>
                    </a:stretch>
                  </pic:blipFill>
                  <pic:spPr>
                    <a:xfrm>
                      <a:off x="0" y="0"/>
                      <a:ext cx="5400000" cy="1615574"/>
                    </a:xfrm>
                    <a:prstGeom prst="rect"/>
                  </pic:spPr>
                </pic:pic>
              </a:graphicData>
            </a:graphic>
          </wp:inline>
        </w:drawing>
      </w:r>
    </w:p>
    <w:p>
      <w:pPr>
        <w:jc w:val="center"/>
      </w:pPr>
      <w:r>
        <w:rPr>
          <w:rFonts w:ascii="Times New Roman" w:hAnsi="Times New Roman"/>
          <w:i/>
          <w:sz w:val="20"/>
        </w:rPr>
        <w:t>Figur 1. Konseptuelt rammeverk – fra SAP-data til HVFS-anbefaling.</w:t>
      </w:r>
    </w:p>
    <w:p>
      <w:pPr>
        <w:spacing w:line="360" w:lineRule="auto"/>
        <w:jc w:val="both"/>
      </w:pPr>
      <w:r>
        <w:rPr>
          <w:rFonts w:ascii="Times New Roman" w:hAnsi="Times New Roman" w:cs="Times New Roman"/>
          <w:sz w:val="24"/>
        </w:rPr>
        <w:t>Den detaljerte matematiske formuleringen av alle modellkomponenter – parameterdefinisjonene, formlene og grenseverdiene – presenteres i kapittel 5. Rammeverket anvendes på en konkret sykehuskontekst som beskrives i neste kapittel.</w:t>
      </w:r>
    </w:p>
    <w:p>
      <w:pPr>
        <w:pStyle w:val="Overskrift1"/>
        <w:pageBreakBefore w:val="true"/>
      </w:pPr>
      <w:r>
        <w:rPr>
          <w:rFonts w:ascii="Times New Roman" w:hAnsi="Times New Roman"/>
          <w:color w:val="000000"/>
          <w:sz w:val="36"/>
        </w:rPr>
        <w:t>Kapittel 3 – Casebeskrivelse</w:t>
      </w:r>
    </w:p>
    <w:p>
      <w:pPr>
        <w:pStyle w:val="Overskrift2"/>
      </w:pPr>
      <w:r>
        <w:rPr>
          <w:rFonts w:ascii="Times New Roman" w:hAnsi="Times New Roman"/>
          <w:color w:val="000000"/>
          <w:sz w:val="32"/>
        </w:rPr>
        <w:t>3.1 Helse Bergen og Helse Vest</w:t>
      </w:r>
    </w:p>
    <w:p>
      <w:pPr>
        <w:spacing w:line="360" w:lineRule="auto"/>
        <w:jc w:val="both"/>
      </w:pPr>
      <w:r>
        <w:rPr>
          <w:rFonts w:ascii="Times New Roman" w:hAnsi="Times New Roman" w:cs="Times New Roman"/>
          <w:sz w:val="24"/>
        </w:rPr>
        <w:t xml:space="preserve">Helse Bergen HF er det største helseforetaket i Helse Vest RHF og drifter Haukeland Universitetssykehus med ansvar for spesialisthelsetjenester til et opptaksområde på nær en halv million innbyggere. Helse Vest koordinerer fire helseforetak (Bergen, Stavanger, Fonna, Førde), og en regionalt harmonisert tilnærming til materialforvaltning har fått økt prioritet for å oppnå stordriftsfordeler. Forsyningsstrukturen organiserer seg langs to nivåer: et </w:t>
      </w:r>
      <w:r>
        <w:rPr>
          <w:rFonts w:ascii="Times New Roman" w:hAnsi="Times New Roman" w:cs="Times New Roman"/>
          <w:b/>
          <w:sz w:val="24"/>
        </w:rPr>
        <w:t>regionalt sentrallager</w:t>
      </w:r>
      <w:r>
        <w:rPr>
          <w:rFonts w:ascii="Times New Roman" w:hAnsi="Times New Roman" w:cs="Times New Roman"/>
          <w:sz w:val="24"/>
        </w:rPr>
        <w:t xml:space="preserve"> (HVFS) og </w:t>
      </w:r>
      <w:r>
        <w:rPr>
          <w:rFonts w:ascii="Times New Roman" w:hAnsi="Times New Roman" w:cs="Times New Roman"/>
          <w:b/>
          <w:sz w:val="24"/>
        </w:rPr>
        <w:t>lokale forsyningslagre / lokallagre</w:t>
      </w:r>
      <w:r>
        <w:rPr>
          <w:rFonts w:ascii="Times New Roman" w:hAnsi="Times New Roman" w:cs="Times New Roman"/>
          <w:sz w:val="24"/>
        </w:rPr>
        <w:t xml:space="preserve"> ved hvert helseforetak. Denne oppgaven analyserer Helse Bergens lokallager ved WERKS 3300 og kandidater for sentralisering opp til HVFS.</w:t>
      </w:r>
    </w:p>
    <w:p>
      <w:pPr>
        <w:spacing w:line="360" w:lineRule="auto"/>
        <w:jc w:val="both"/>
      </w:pPr>
      <w:r>
        <w:rPr>
          <w:rFonts w:ascii="Times New Roman" w:hAnsi="Times New Roman" w:cs="Times New Roman"/>
          <w:sz w:val="24"/>
        </w:rPr>
        <w:t>Helse Bergen er i SAP S/4HANA registrert under anleggskode (WERKS) 3300. Det operative forsyningslageret for medisinsk forbruksmateriell er tilordnet lagersted (LGORT) 3001 under dette anlegget. Lageret håndterer anskaffelse, mottak, lagring og distribusjon av forbruksartikler til kliniske avdelinger. Innkjøp gjennomføres via innkjøpsgruppe 300 og 3000 i SAP, med bestillingstype ZNB som er Helse Bergens lokale bestillingstype for forsyningslageret. Alle varebevegelser – forbruk ut til avdeling (BWART 201 og 647) og varemottak inn fra leverandør (BWART 101) – er registrert som transaksjonsdata i SAP og utgjør det primære datagrunnlaget for denne oppgaven. Foretakets organisasjonsmessige plassering i Helse Vest og SAP-strukturen er illustrert i Figur 2. Tabell 3 oppsummerer nøkkeltallene for casevirksomheten.</w:t>
      </w:r>
    </w:p>
    <w:p>
      <w:r>
        <w:rPr>
          <w:rFonts w:ascii="Times New Roman" w:hAnsi="Times New Roman"/>
          <w:b/>
          <w:sz w:val="20"/>
        </w:rPr>
        <w:t>Tabell 3</w:t>
      </w:r>
    </w:p>
    <w:p>
      <w:r>
        <w:rPr>
          <w:rFonts w:ascii="Times New Roman" w:hAnsi="Times New Roman"/>
          <w:i/>
          <w:sz w:val="20"/>
        </w:rPr>
        <w:t>Nøkkeltall for casevirksomheten Helse Bergen, WERKS 3300</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Nøkkeltall</w:t>
            </w:r>
          </w:p>
        </w:tc>
        <w:tc>
          <w:tcPr>
            <w:tcW w:type="dxa" w:w="2923"/>
            <w:tcBorders>
              <w:top w:val="single" w:sz="8" w:space="0" w:color="000000"/>
              <w:bottom w:val="single" w:sz="4" w:space="0" w:color="000000"/>
              <w:left w:val="nil"/>
              <w:right w:val="nil"/>
            </w:tcBorders>
          </w:tcPr>
          <w:p>
            <w:r/>
            <w:r>
              <w:rPr>
                <w:rFonts w:ascii="Times New Roman" w:hAnsi="Times New Roman"/>
                <w:b/>
                <w:sz w:val="22"/>
              </w:rPr>
              <w:t>Verdi</w:t>
            </w:r>
          </w:p>
        </w:tc>
        <w:tc>
          <w:tcPr>
            <w:tcW w:type="dxa" w:w="2923"/>
            <w:tcBorders>
              <w:top w:val="single" w:sz="8" w:space="0" w:color="000000"/>
              <w:bottom w:val="single" w:sz="4" w:space="0" w:color="000000"/>
              <w:left w:val="nil"/>
              <w:right w:val="nil"/>
            </w:tcBorders>
          </w:tcPr>
          <w:p>
            <w:r/>
            <w:r>
              <w:rPr>
                <w:rFonts w:ascii="Times New Roman" w:hAnsi="Times New Roman"/>
                <w:b/>
                <w:sz w:val="22"/>
              </w:rPr>
              <w:t>Kilde</w:t>
            </w:r>
          </w:p>
        </w:tc>
      </w:tr>
      <w:tr>
        <w:tc>
          <w:tcPr>
            <w:tcW w:type="dxa" w:w="2923"/>
          </w:tcPr>
          <w:p>
            <w:r/>
            <w:r>
              <w:rPr>
                <w:rFonts w:ascii="Times New Roman" w:hAnsi="Times New Roman"/>
                <w:b w:val="0"/>
                <w:sz w:val="22"/>
              </w:rPr>
              <w:t>Helseforetak</w:t>
            </w:r>
          </w:p>
        </w:tc>
        <w:tc>
          <w:tcPr>
            <w:tcW w:type="dxa" w:w="2923"/>
          </w:tcPr>
          <w:p>
            <w:r/>
            <w:r>
              <w:rPr>
                <w:rFonts w:ascii="Times New Roman" w:hAnsi="Times New Roman"/>
                <w:b w:val="0"/>
                <w:sz w:val="22"/>
              </w:rPr>
              <w:t>Helse Bergen HF</w:t>
            </w:r>
          </w:p>
        </w:tc>
        <w:tc>
          <w:tcPr>
            <w:tcW w:type="dxa" w:w="2923"/>
          </w:tcPr>
          <w:p>
            <w:r/>
            <w:r>
              <w:rPr>
                <w:rFonts w:ascii="Times New Roman" w:hAnsi="Times New Roman"/>
                <w:b w:val="0"/>
                <w:sz w:val="22"/>
              </w:rPr>
              <w:t>Helse Vest RHF</w:t>
            </w:r>
          </w:p>
        </w:tc>
      </w:tr>
      <w:tr>
        <w:tc>
          <w:tcPr>
            <w:tcW w:type="dxa" w:w="2923"/>
          </w:tcPr>
          <w:p>
            <w:r/>
            <w:r>
              <w:rPr>
                <w:rFonts w:ascii="Times New Roman" w:hAnsi="Times New Roman"/>
                <w:b w:val="0"/>
                <w:sz w:val="22"/>
              </w:rPr>
              <w:t>SAP-anlegg (WERKS)</w:t>
            </w:r>
          </w:p>
        </w:tc>
        <w:tc>
          <w:tcPr>
            <w:tcW w:type="dxa" w:w="2923"/>
          </w:tcPr>
          <w:p>
            <w:r/>
            <w:r>
              <w:rPr>
                <w:rFonts w:ascii="Times New Roman" w:hAnsi="Times New Roman"/>
                <w:b w:val="0"/>
                <w:sz w:val="22"/>
              </w:rPr>
              <w:t>3300</w:t>
            </w:r>
          </w:p>
        </w:tc>
        <w:tc>
          <w:tcPr>
            <w:tcW w:type="dxa" w:w="2923"/>
          </w:tcPr>
          <w:p>
            <w:r/>
            <w:r>
              <w:rPr>
                <w:rFonts w:ascii="Times New Roman" w:hAnsi="Times New Roman"/>
                <w:b w:val="0"/>
                <w:sz w:val="22"/>
              </w:rPr>
              <w:t>SAP S/4HANA</w:t>
            </w:r>
          </w:p>
        </w:tc>
      </w:tr>
      <w:tr>
        <w:tc>
          <w:tcPr>
            <w:tcW w:type="dxa" w:w="2923"/>
          </w:tcPr>
          <w:p>
            <w:r/>
            <w:r>
              <w:rPr>
                <w:rFonts w:ascii="Times New Roman" w:hAnsi="Times New Roman"/>
                <w:b w:val="0"/>
                <w:sz w:val="22"/>
              </w:rPr>
              <w:t>Lagersted (LGORT)</w:t>
            </w:r>
          </w:p>
        </w:tc>
        <w:tc>
          <w:tcPr>
            <w:tcW w:type="dxa" w:w="2923"/>
          </w:tcPr>
          <w:p>
            <w:r/>
            <w:r>
              <w:rPr>
                <w:rFonts w:ascii="Times New Roman" w:hAnsi="Times New Roman"/>
                <w:b w:val="0"/>
                <w:sz w:val="22"/>
              </w:rPr>
              <w:t>3001</w:t>
            </w:r>
          </w:p>
        </w:tc>
        <w:tc>
          <w:tcPr>
            <w:tcW w:type="dxa" w:w="2923"/>
          </w:tcPr>
          <w:p>
            <w:r/>
            <w:r>
              <w:rPr>
                <w:rFonts w:ascii="Times New Roman" w:hAnsi="Times New Roman"/>
                <w:b w:val="0"/>
                <w:sz w:val="22"/>
              </w:rPr>
              <w:t>SAP S/4HANA</w:t>
            </w:r>
          </w:p>
        </w:tc>
      </w:tr>
      <w:tr>
        <w:tc>
          <w:tcPr>
            <w:tcW w:type="dxa" w:w="2923"/>
          </w:tcPr>
          <w:p>
            <w:r/>
            <w:r>
              <w:rPr>
                <w:rFonts w:ascii="Times New Roman" w:hAnsi="Times New Roman"/>
                <w:b w:val="0"/>
                <w:sz w:val="22"/>
              </w:rPr>
              <w:t>Antall aktive artikler</w:t>
            </w:r>
          </w:p>
        </w:tc>
        <w:tc>
          <w:tcPr>
            <w:tcW w:type="dxa" w:w="2923"/>
          </w:tcPr>
          <w:p>
            <w:r/>
            <w:r>
              <w:rPr>
                <w:rFonts w:ascii="Times New Roman" w:hAnsi="Times New Roman"/>
                <w:b w:val="0"/>
                <w:sz w:val="22"/>
              </w:rPr>
              <w:t>709</w:t>
            </w:r>
          </w:p>
        </w:tc>
        <w:tc>
          <w:tcPr>
            <w:tcW w:type="dxa" w:w="2923"/>
          </w:tcPr>
          <w:p>
            <w:r/>
            <w:r>
              <w:rPr>
                <w:rFonts w:ascii="Times New Roman" w:hAnsi="Times New Roman"/>
                <w:b w:val="0"/>
                <w:sz w:val="22"/>
              </w:rPr>
              <w:t>MASTERFILE_V1.xlsx (D-01)</w:t>
            </w:r>
          </w:p>
        </w:tc>
      </w:tr>
      <w:tr>
        <w:tc>
          <w:tcPr>
            <w:tcW w:type="dxa" w:w="2923"/>
          </w:tcPr>
          <w:p>
            <w:r/>
            <w:r>
              <w:rPr>
                <w:rFonts w:ascii="Times New Roman" w:hAnsi="Times New Roman"/>
                <w:b w:val="0"/>
                <w:sz w:val="22"/>
              </w:rPr>
              <w:t>Analyseperiode</w:t>
            </w:r>
          </w:p>
        </w:tc>
        <w:tc>
          <w:tcPr>
            <w:tcW w:type="dxa" w:w="2923"/>
          </w:tcPr>
          <w:p>
            <w:r/>
            <w:r>
              <w:rPr>
                <w:rFonts w:ascii="Times New Roman" w:hAnsi="Times New Roman"/>
                <w:b w:val="0"/>
                <w:sz w:val="22"/>
              </w:rPr>
              <w:t>Januar 2024 – desember 2025 (24 mnd)</w:t>
            </w:r>
          </w:p>
        </w:tc>
        <w:tc>
          <w:tcPr>
            <w:tcW w:type="dxa" w:w="2923"/>
          </w:tcPr>
          <w:p>
            <w:r/>
            <w:r>
              <w:rPr>
                <w:rFonts w:ascii="Times New Roman" w:hAnsi="Times New Roman"/>
                <w:b w:val="0"/>
                <w:sz w:val="22"/>
              </w:rPr>
              <w:t>SAP SE16H</w:t>
            </w:r>
          </w:p>
        </w:tc>
      </w:tr>
      <w:tr>
        <w:tc>
          <w:tcPr>
            <w:tcW w:type="dxa" w:w="2923"/>
          </w:tcPr>
          <w:p>
            <w:r/>
            <w:r>
              <w:rPr>
                <w:rFonts w:ascii="Times New Roman" w:hAnsi="Times New Roman"/>
                <w:b w:val="0"/>
                <w:sz w:val="22"/>
              </w:rPr>
              <w:t>Antall SAP-kildetabeller</w:t>
            </w:r>
          </w:p>
        </w:tc>
        <w:tc>
          <w:tcPr>
            <w:tcW w:type="dxa" w:w="2923"/>
          </w:tcPr>
          <w:p>
            <w:r/>
            <w:r>
              <w:rPr>
                <w:rFonts w:ascii="Times New Roman" w:hAnsi="Times New Roman"/>
                <w:b w:val="0"/>
                <w:sz w:val="22"/>
              </w:rPr>
              <w:t>14</w:t>
            </w:r>
          </w:p>
        </w:tc>
        <w:tc>
          <w:tcPr>
            <w:tcW w:type="dxa" w:w="2923"/>
          </w:tcPr>
          <w:p>
            <w:r/>
            <w:r>
              <w:rPr>
                <w:rFonts w:ascii="Times New Roman" w:hAnsi="Times New Roman"/>
                <w:b w:val="0"/>
                <w:sz w:val="22"/>
              </w:rPr>
              <w:t>Dataspesifikasjon (Vedlegg A)</w:t>
            </w:r>
          </w:p>
        </w:tc>
      </w:tr>
      <w:tr>
        <w:tc>
          <w:tcPr>
            <w:tcW w:type="dxa" w:w="2923"/>
          </w:tcPr>
          <w:p>
            <w:r/>
            <w:r>
              <w:rPr>
                <w:rFonts w:ascii="Times New Roman" w:hAnsi="Times New Roman"/>
                <w:b w:val="0"/>
                <w:sz w:val="22"/>
              </w:rPr>
              <w:t>ERP-system</w:t>
            </w:r>
          </w:p>
        </w:tc>
        <w:tc>
          <w:tcPr>
            <w:tcW w:type="dxa" w:w="2923"/>
          </w:tcPr>
          <w:p>
            <w:r/>
            <w:r>
              <w:rPr>
                <w:rFonts w:ascii="Times New Roman" w:hAnsi="Times New Roman"/>
                <w:b w:val="0"/>
                <w:sz w:val="22"/>
              </w:rPr>
              <w:t>SAP S/4HANA (LIBRA-prosjektet)</w:t>
            </w:r>
          </w:p>
        </w:tc>
        <w:tc>
          <w:tcPr>
            <w:tcW w:type="dxa" w:w="2923"/>
          </w:tcPr>
          <w:p>
            <w:r/>
            <w:r>
              <w:rPr>
                <w:rFonts w:ascii="Times New Roman" w:hAnsi="Times New Roman"/>
                <w:b w:val="0"/>
                <w:sz w:val="22"/>
              </w:rPr>
              <w:t>Helse Vest IKT</w:t>
            </w:r>
          </w:p>
        </w:tc>
      </w:tr>
      <w:tr>
        <w:tc>
          <w:tcPr>
            <w:tcW w:type="dxa" w:w="2923"/>
          </w:tcPr>
          <w:p>
            <w:r/>
            <w:r>
              <w:rPr>
                <w:rFonts w:ascii="Times New Roman" w:hAnsi="Times New Roman"/>
                <w:b w:val="0"/>
                <w:sz w:val="22"/>
              </w:rPr>
              <w:t>Regionalt sentrallager</w:t>
            </w:r>
          </w:p>
        </w:tc>
        <w:tc>
          <w:tcPr>
            <w:tcW w:type="dxa" w:w="2923"/>
          </w:tcPr>
          <w:p>
            <w:r/>
            <w:r>
              <w:rPr>
                <w:rFonts w:ascii="Times New Roman" w:hAnsi="Times New Roman"/>
                <w:b w:val="0"/>
                <w:sz w:val="22"/>
              </w:rPr>
              <w:t>HVFS (Helse Vest Forsyningssenter)</w:t>
            </w:r>
          </w:p>
        </w:tc>
        <w:tc>
          <w:tcPr>
            <w:tcW w:type="dxa" w:w="2923"/>
          </w:tcPr>
          <w:p>
            <w:r/>
            <w:r>
              <w:rPr>
                <w:rFonts w:ascii="Times New Roman" w:hAnsi="Times New Roman"/>
                <w:b w:val="0"/>
                <w:sz w:val="22"/>
              </w:rPr>
              <w:t>Intern, Helse Vest</w:t>
            </w:r>
          </w:p>
        </w:tc>
      </w:tr>
      <w:tr>
        <w:tc>
          <w:tcPr>
            <w:tcW w:type="dxa" w:w="2923"/>
          </w:tcPr>
          <w:p>
            <w:r/>
            <w:r>
              <w:rPr>
                <w:rFonts w:ascii="Times New Roman" w:hAnsi="Times New Roman"/>
                <w:b w:val="0"/>
                <w:sz w:val="22"/>
              </w:rPr>
              <w:t>APL-operatør</w:t>
            </w:r>
          </w:p>
        </w:tc>
        <w:tc>
          <w:tcPr>
            <w:tcW w:type="dxa" w:w="2923"/>
          </w:tcPr>
          <w:p>
            <w:r/>
            <w:r>
              <w:rPr>
                <w:rFonts w:ascii="Times New Roman" w:hAnsi="Times New Roman"/>
                <w:b w:val="0"/>
                <w:sz w:val="22"/>
              </w:rPr>
              <w:t>NorEngros</w:t>
            </w:r>
          </w:p>
        </w:tc>
        <w:tc>
          <w:tcPr>
            <w:tcW w:type="dxa" w:w="2923"/>
          </w:tcPr>
          <w:p>
            <w:r/>
            <w:r>
              <w:rPr>
                <w:rFonts w:ascii="Times New Roman" w:hAnsi="Times New Roman"/>
                <w:b w:val="0"/>
                <w:sz w:val="22"/>
              </w:rPr>
              <w:t>Intern, Helse Vest</w:t>
            </w:r>
          </w:p>
        </w:tc>
      </w:tr>
      <w:tr>
        <w:tc>
          <w:tcPr>
            <w:tcW w:type="dxa" w:w="2923"/>
          </w:tcPr>
          <w:p>
            <w:r/>
            <w:r>
              <w:rPr>
                <w:rFonts w:ascii="Times New Roman" w:hAnsi="Times New Roman"/>
                <w:b w:val="0"/>
                <w:sz w:val="22"/>
              </w:rPr>
              <w:t>Innkjøpsgruppe</w:t>
            </w:r>
          </w:p>
        </w:tc>
        <w:tc>
          <w:tcPr>
            <w:tcW w:type="dxa" w:w="2923"/>
          </w:tcPr>
          <w:p>
            <w:r/>
            <w:r>
              <w:rPr>
                <w:rFonts w:ascii="Times New Roman" w:hAnsi="Times New Roman"/>
                <w:b w:val="0"/>
                <w:sz w:val="22"/>
              </w:rPr>
              <w:t>300 / 3000</w:t>
            </w:r>
          </w:p>
        </w:tc>
        <w:tc>
          <w:tcPr>
            <w:tcW w:type="dxa" w:w="2923"/>
          </w:tcPr>
          <w:p>
            <w:r/>
            <w:r>
              <w:rPr>
                <w:rFonts w:ascii="Times New Roman" w:hAnsi="Times New Roman"/>
                <w:b w:val="0"/>
                <w:sz w:val="22"/>
              </w:rPr>
              <w:t>SAP MM</w:t>
            </w:r>
          </w:p>
        </w:tc>
      </w:tr>
      <w:tr>
        <w:tc>
          <w:tcPr>
            <w:tcW w:type="dxa" w:w="2923"/>
          </w:tcPr>
          <w:p>
            <w:r/>
            <w:r>
              <w:rPr>
                <w:rFonts w:ascii="Times New Roman" w:hAnsi="Times New Roman"/>
                <w:b w:val="0"/>
                <w:sz w:val="22"/>
              </w:rPr>
              <w:t>Bestillingstype</w:t>
            </w:r>
          </w:p>
        </w:tc>
        <w:tc>
          <w:tcPr>
            <w:tcW w:type="dxa" w:w="2923"/>
          </w:tcPr>
          <w:p>
            <w:r/>
            <w:r>
              <w:rPr>
                <w:rFonts w:ascii="Times New Roman" w:hAnsi="Times New Roman"/>
                <w:b w:val="0"/>
                <w:sz w:val="22"/>
              </w:rPr>
              <w:t>ZNB (lokal bestillingstype)</w:t>
            </w:r>
          </w:p>
        </w:tc>
        <w:tc>
          <w:tcPr>
            <w:tcW w:type="dxa" w:w="2923"/>
          </w:tcPr>
          <w:p>
            <w:r/>
            <w:r>
              <w:rPr>
                <w:rFonts w:ascii="Times New Roman" w:hAnsi="Times New Roman"/>
                <w:b w:val="0"/>
                <w:sz w:val="22"/>
              </w:rPr>
              <w:t>SAP MM</w:t>
            </w:r>
          </w:p>
        </w:tc>
      </w:tr>
    </w:tbl>
    <w:p>
      <w:r>
        <w:drawing>
          <wp:inline xmlns:a="http://schemas.openxmlformats.org/drawingml/2006/main" xmlns:pic="http://schemas.openxmlformats.org/drawingml/2006/picture">
            <wp:extent cx="5400000" cy="2680986"/>
            <wp:docPr id="5" name="Picture 5"/>
            <wp:cNvGraphicFramePr>
              <a:graphicFrameLocks noChangeAspect="1"/>
            </wp:cNvGraphicFramePr>
            <a:graphic>
              <a:graphicData uri="http://schemas.openxmlformats.org/drawingml/2006/picture">
                <pic:pic>
                  <pic:nvPicPr>
                    <pic:cNvPr id="0" name="Fig01_Lagerstruktur.png"/>
                    <pic:cNvPicPr/>
                  </pic:nvPicPr>
                  <pic:blipFill>
                    <a:blip r:embed="rId23"/>
                    <a:stretch>
                      <a:fillRect/>
                    </a:stretch>
                  </pic:blipFill>
                  <pic:spPr>
                    <a:xfrm>
                      <a:off x="0" y="0"/>
                      <a:ext cx="5400000" cy="2680986"/>
                    </a:xfrm>
                    <a:prstGeom prst="rect"/>
                  </pic:spPr>
                </pic:pic>
              </a:graphicData>
            </a:graphic>
          </wp:inline>
        </w:drawing>
      </w:r>
    </w:p>
    <w:p>
      <w:pPr>
        <w:jc w:val="center"/>
      </w:pPr>
      <w:r>
        <w:rPr>
          <w:rFonts w:ascii="Times New Roman" w:hAnsi="Times New Roman"/>
          <w:i/>
          <w:sz w:val="20"/>
        </w:rPr>
        <w:t>Figur 2. Lagerstruktur – Helse Vest forsyningskjede (forenklet).</w:t>
      </w:r>
    </w:p>
    <w:p>
      <w:pPr>
        <w:pStyle w:val="Overskrift2"/>
      </w:pPr>
      <w:r>
        <w:rPr>
          <w:rFonts w:ascii="Times New Roman" w:hAnsi="Times New Roman"/>
          <w:color w:val="000000"/>
          <w:sz w:val="32"/>
        </w:rPr>
        <w:t>3.2 HVFS og LIBRA-prosjektet</w:t>
      </w:r>
    </w:p>
    <w:p>
      <w:pPr>
        <w:spacing w:line="360" w:lineRule="auto"/>
        <w:jc w:val="both"/>
      </w:pPr>
      <w:r>
        <w:rPr>
          <w:rFonts w:ascii="Times New Roman" w:hAnsi="Times New Roman" w:cs="Times New Roman"/>
          <w:sz w:val="24"/>
        </w:rPr>
        <w:t>Helse Vest Forsyningssenter (HVFS) er under etablering som et regionalt sentrallager for medisinsk forbruksmateriell for samtlige helseforetak i Helse Vest. NorEngros vant offentlig anbudskonkurranse som operatør og har ansvar for den fysiske lagerdriften ved HVFS. HVFS er konsipiert som en felles plattform som skal erstatte den fragmenterte strukturen der hvert helseforetak i dag forvalter egne lokale forsyningslagre med overlappende sortiment og separat innkjøpspraksis. Gjennom aggregering av innkjøpsvolum forventes det at HVFS kan oppnå stordriftsfordeler i forhandlinger med leverandører, redusere administrative transaksjonskostnader og sikre mer robust forsyningssikkerhet regionalt.</w:t>
      </w:r>
    </w:p>
    <w:p>
      <w:pPr>
        <w:spacing w:line="360" w:lineRule="auto"/>
        <w:jc w:val="both"/>
      </w:pPr>
      <w:r>
        <w:rPr>
          <w:rFonts w:ascii="Times New Roman" w:hAnsi="Times New Roman" w:cs="Times New Roman"/>
          <w:sz w:val="24"/>
        </w:rPr>
        <w:t>Et sentralt element i HVFS-konseptet er avdelingspakkede leveranser (APL) – ferdigpakkede leveranser direkte til avdeling uten mellomlagring. APL forutsetter stabil og forutsigbar etterspørsel, noe som gjør forbruksmønsterets stabilitet (XYZ-dimensjonen) til et relevant klassifiseringskriterium for HVFS-egnethet. APL-modellen er planlagt implementert frem mot 2029.</w:t>
      </w:r>
    </w:p>
    <w:p>
      <w:pPr>
        <w:spacing w:line="360" w:lineRule="auto"/>
        <w:jc w:val="both"/>
      </w:pPr>
      <w:r>
        <w:rPr>
          <w:rFonts w:ascii="Times New Roman" w:hAnsi="Times New Roman" w:cs="Times New Roman"/>
          <w:sz w:val="24"/>
        </w:rPr>
        <w:t>LIBRA-prosjektet er Helse Vest IKTs regionale program for implementering og harmonisering av SAP S/4HANA på tvers av alle helseforetak i Helse Vest. LIBRA legger det tekniske grunnlaget for at data fra ulike foretak kan sammenlignes og analyseres på tvers – en forutsetning for at HVFS-klassifisering skal ha overføringsverdi fra Helse Bergen til de øvrige foretakene. Fragapane et al. (2019) understreker at sentraliserte leveringsmodeller som APL krever et systematisk klassifiseringsgrunnlag for å skille mellom artikler som egner seg for sentralisering og artikler som bør forbli lokalt tilgjengelig.</w:t>
      </w:r>
    </w:p>
    <w:p>
      <w:pPr>
        <w:pStyle w:val="Overskrift2"/>
      </w:pPr>
      <w:r>
        <w:rPr>
          <w:rFonts w:ascii="Times New Roman" w:hAnsi="Times New Roman"/>
          <w:color w:val="000000"/>
          <w:sz w:val="32"/>
        </w:rPr>
        <w:t>3.3 Problemkontekst og datagrunnlag</w:t>
      </w:r>
    </w:p>
    <w:p>
      <w:pPr>
        <w:spacing w:line="360" w:lineRule="auto"/>
        <w:jc w:val="both"/>
      </w:pPr>
      <w:r>
        <w:rPr>
          <w:rFonts w:ascii="Times New Roman" w:hAnsi="Times New Roman" w:cs="Times New Roman"/>
          <w:sz w:val="24"/>
        </w:rPr>
        <w:t>Helse Bergens forsyningslager mangler i dag et systematisk, datadrevet grunnlag for å avgjøre hvilke av lagerets artikler som er aktuelle for overføring til HVFS. Beslutningene om sortimentstilhørighet treffes i stor grad basert på erfaring og skjønn, uten en strukturert analyse av verdi, forbruksmønster eller kostnadseffektiviteten ved nåværende bestillingspraksis.</w:t>
      </w:r>
    </w:p>
    <w:p>
      <w:pPr>
        <w:spacing w:line="360" w:lineRule="auto"/>
        <w:jc w:val="both"/>
      </w:pPr>
      <w:r>
        <w:rPr>
          <w:rFonts w:ascii="Times New Roman" w:hAnsi="Times New Roman" w:cs="Times New Roman"/>
          <w:sz w:val="24"/>
        </w:rPr>
        <w:t>I SAP S/4HANA er artikler tilordnet en SAP-generert XYZ-klassifisering (felt ZZXYZ i tabell MDMA), men denne klassifiseringen oppdateres ikke nødvendigvis løpende og kan basere seg på andre terskelverdier enn de som er standard i lagerstyringslitteraturen. Dette representerer en kjent problemstilling i foretaket: operative SAP-parametere er ikke alltid oppdatert i takt med faktiske forbruksmønstre, og det finnes ikke et etablert verktøy for å beregne klassifisering fra grunndataene på en reproduserbar måte. Fraværet av en slik modell er den direkte motivasjonen for denne oppgaven.</w:t>
      </w:r>
    </w:p>
    <w:p>
      <w:pPr>
        <w:spacing w:line="360" w:lineRule="auto"/>
        <w:jc w:val="both"/>
      </w:pPr>
      <w:r>
        <w:rPr>
          <w:rFonts w:ascii="Times New Roman" w:hAnsi="Times New Roman" w:cs="Times New Roman"/>
          <w:sz w:val="24"/>
        </w:rPr>
        <w:t>Datagrunnlaget for analysen er hentet fra 14 SAP-tabeller via transaksjonen SE16H i SAP S/4HANA ved Helse Bergen, for perioden 2024–2025 (se Tabell 4 for fullstendig tabelloversikt). Tabellene dekker fire funksjonelle kategorier. Masterdata – MARD, MDMA, MARA, MAKT, MARC og MBEW – definerer artikkeluniverset, gir pris- og varegruppedata samt Helse Bergens operative ABC/XYZ-indikatorer. Forbruksdata fra MSEG (bevegelsestype BWART 201 og 647) registrerer faktisk forbruk ut fra lageret til avdeling på månedlig nivå, og er grunnlaget for XYZ-klassifisering og beregning av etterspørselen D i EOQ-formelen. Innkjøpsdata fra EKKO, EKPO og EKBE dokumenterer innkjøpsordrer og varemottak fra leverandør i analyseperioden, og benyttes til ABC-verdiberegning og kartlegging av faktisk bestillingsfrekvens. Supplerende tabeller – EINA, EINE og T023T – bidrar med leveringstidsdata og varegruppenavn. Det er en viktig funksjonell distinksjon at forbruksdata (MSEG) og innkjøpsdata (EKKO/EKPO/EKBE) representerer henholdsvis vareflyt ut av og inn til lager, og benyttes til ulike analysedimensjoner.</w:t>
      </w:r>
    </w:p>
    <w:p>
      <w:pPr>
        <w:spacing w:line="360" w:lineRule="auto"/>
        <w:jc w:val="both"/>
      </w:pPr>
      <w:r>
        <w:rPr>
          <w:rFonts w:ascii="Times New Roman" w:hAnsi="Times New Roman" w:cs="Times New Roman"/>
          <w:sz w:val="24"/>
        </w:rPr>
        <w:t>Datapipelinen fra råuttrekk til analyseresultat er illustrert i Figur 4 (avsnitt 4.3). En sentral datakvalitetsutfordring er at enhetspris i MBEW (feltet STPRS) ikke er per stykk, men per prisenhet (PEINH), som ofte er 10 eller 100 for medisinsk forbruksmateriell. Korrekt enhetspris beregnes derfor som STPRS ÷ PEINH. I tillegg mangler 204 artikler innkjøpsdata fra EKPO i analyseperioden, noe som nødvendiggjør en alternativ verdiberegning basert på annualisert forbruk og enhetspris. Disse og øvrige datakvalitetsbeslutninger er dokumentert i kapittel 4. Datagrunnlaget og problemkonteksten som er beskrevet i dette kapittelet danner utgangspunktet for de metodiske valgene som presenteres i neste kapittel.</w:t>
      </w:r>
    </w:p>
    <w:p>
      <w:pPr>
        <w:pStyle w:val="Overskrift1"/>
        <w:pageBreakBefore w:val="true"/>
      </w:pPr>
      <w:r>
        <w:rPr>
          <w:rFonts w:ascii="Times New Roman" w:hAnsi="Times New Roman"/>
          <w:color w:val="000000"/>
          <w:sz w:val="36"/>
        </w:rPr>
        <w:t>Kapittel 4 – Metode og data</w:t>
      </w:r>
    </w:p>
    <w:p>
      <w:pPr>
        <w:pStyle w:val="Overskrift2"/>
      </w:pPr>
      <w:r>
        <w:rPr>
          <w:rFonts w:ascii="Times New Roman" w:hAnsi="Times New Roman"/>
          <w:color w:val="000000"/>
          <w:sz w:val="32"/>
        </w:rPr>
        <w:t>4.1 Forskningsdesign</w:t>
      </w:r>
    </w:p>
    <w:p>
      <w:pPr>
        <w:spacing w:line="360" w:lineRule="auto"/>
        <w:jc w:val="both"/>
      </w:pPr>
      <w:r>
        <w:rPr>
          <w:rFonts w:ascii="Times New Roman" w:hAnsi="Times New Roman" w:cs="Times New Roman"/>
          <w:sz w:val="24"/>
        </w:rPr>
        <w:t>Denne studien er utformet som en kvantitativ casestudie med deskriptiv, eksplorativ og normativ komponent. Det deskriptive elementet omfatter ABC/XYZ-klassifisering av eksisterende forbruksmønstre; det eksplorative omfatter K-means klyngeanalyse for mønstergjenkjenning; og det normative omfatter regelmotoren og besparelsesformelen som genererer handlingsanbefalinger. Casestudiedesignet egner seg fordi problemstillingen er avgrenset til én operativ kontekst – Helse Bergens forsyningslager WERKS 3300, LGORT 3001 – og fordi målet er å generere handlingsrettede anbefalinger basert på de operasjonelle dataene som faktisk eksisterer i dette systemet.</w:t>
      </w:r>
    </w:p>
    <w:p>
      <w:pPr>
        <w:spacing w:line="360" w:lineRule="auto"/>
        <w:jc w:val="both"/>
      </w:pPr>
      <w:r>
        <w:rPr>
          <w:rFonts w:ascii="Times New Roman" w:hAnsi="Times New Roman" w:cs="Times New Roman"/>
          <w:sz w:val="24"/>
        </w:rPr>
        <w:t>Studien er rent kvantitativ – det benyttes ingen spørreundersøkelser, intervjuer eller deltakerobservasjon. Alle analyser er basert på operasjonelle ERP-data fra SAP S/4HANA, som er automatisk registrert og i vesentlig grad fri fra selvrapporteringsfeil, men som kan inneholde registreringsfeil og uregistrerte uttakstyper (Saha &amp; Ray, 2019; jf. diskusjon i avsnitt 8.2). Datauttrekket ble gjennomført av forfatteren i januar 2026, med lesetilgang gjennom rollen som SAP MM-konsulent ved Helse Vest IKT. Analyseenheten er den individuelle lagerartikkelen (SKU), og populasjonen er de 709 aktive artiklene i LGORT 3001 per analyseperioden 2024–2025.</w:t>
      </w:r>
    </w:p>
    <w:p>
      <w:pPr>
        <w:spacing w:line="360" w:lineRule="auto"/>
        <w:jc w:val="both"/>
      </w:pPr>
      <w:r>
        <w:rPr>
          <w:rFonts w:ascii="Times New Roman" w:hAnsi="Times New Roman" w:cs="Times New Roman"/>
          <w:sz w:val="24"/>
        </w:rPr>
        <w:t>Studien er deskriptiv-analytisk: den klassifiserer eksisterende artikler og kombinerer resultatene i en regelbasert beslutningsmodell (van Kampen et al., 2012). Generaliserbarhet er begrenset til sammenlignbare sykehuslagre med SAP-infrastruktur; studien gir et reproduserbart metoderammeverk som kan tilpasses andre WERKS-enheter innenfor Helse Vest.</w:t>
      </w:r>
    </w:p>
    <w:p>
      <w:pPr>
        <w:spacing w:line="360" w:lineRule="auto"/>
        <w:jc w:val="both"/>
      </w:pPr>
      <w:r>
        <w:rPr>
          <w:rFonts w:ascii="Times New Roman" w:hAnsi="Times New Roman" w:cs="Times New Roman"/>
          <w:sz w:val="24"/>
        </w:rPr>
        <w:t>De fire analytiske teknikkene som anvendes – supplert med en regelmotor – har ulik metodisk natur, og det er ikke hensiktsmessig å presse dem inn i én felles modellmal. ABC-analyse og XYZ-klassifisering er deskriptive klassifiseringsregler som henholdsvis fanger verdi- og stabilitetsdimensjonen. EOQ (Wilson) er en klassisk optimeringsmodell som beregner optimal ordrefrekvens og det resulterende kostnadsavviket. K-means klyngeanalyse er en form for uovervåket maskinlæring som gir multivariat segmentering uten forhåndsdefinerte terskler. Regelmotoren er regelbasert beslutningslogikk som sekvensielt aggregerer de øvrige signalene til én anbefaling per artikkel.</w:t>
      </w:r>
    </w:p>
    <w:p>
      <w:pPr>
        <w:spacing w:line="360" w:lineRule="auto"/>
        <w:jc w:val="both"/>
      </w:pPr>
      <w:r>
        <w:rPr>
          <w:rFonts w:ascii="Times New Roman" w:hAnsi="Times New Roman" w:cs="Times New Roman"/>
          <w:sz w:val="24"/>
        </w:rPr>
        <w:t>Arbeidet følger en faseinndelt prosjektlogikk fra problemavklaring via litteratur og modellering, til analyse, validering og rapportering – hvor hvert steg bygger på utfallet av det foregående.</w:t>
      </w:r>
    </w:p>
    <w:p>
      <w:pPr>
        <w:pStyle w:val="Overskrift2"/>
      </w:pPr>
      <w:r>
        <w:rPr>
          <w:rFonts w:ascii="Times New Roman" w:hAnsi="Times New Roman"/>
          <w:color w:val="000000"/>
          <w:sz w:val="32"/>
        </w:rPr>
        <w:t>4.2 Datainnsamling</w:t>
      </w:r>
    </w:p>
    <w:p>
      <w:pPr>
        <w:spacing w:line="360" w:lineRule="auto"/>
        <w:jc w:val="both"/>
      </w:pPr>
      <w:r>
        <w:rPr>
          <w:rFonts w:ascii="Times New Roman" w:hAnsi="Times New Roman" w:cs="Times New Roman"/>
          <w:sz w:val="24"/>
        </w:rPr>
        <w:t>Alle data er hentet fra SAP S/4HANA via transaksjonen SE16H, som gir direkte lesetilgang til databasetabeller uten å gjøre endringer i systemet. Uttrekket er begrenset til WERKS 3300 og LGORT 3001, og dekker en analyseperiode på 24 måneder (januar 2024 til desember 2025). Perioden er valgt fordi den er lang nok til å fange sesongvariasjon og irregulære hendelser i forbruksmønsteret, uten å inkludere data fra perioder med vesentlig annerledes driftsforhold. Tabellen nedenfor gir en oversikt over de 14 SAP-tabellene som inngår i grunnlaget.</w:t>
      </w:r>
    </w:p>
    <w:p>
      <w:r>
        <w:rPr>
          <w:rFonts w:ascii="Times New Roman" w:hAnsi="Times New Roman"/>
          <w:b/>
          <w:sz w:val="20"/>
        </w:rPr>
        <w:t>Tabell 4</w:t>
      </w:r>
    </w:p>
    <w:p>
      <w:r>
        <w:rPr>
          <w:rFonts w:ascii="Times New Roman" w:hAnsi="Times New Roman"/>
          <w:i/>
          <w:sz w:val="20"/>
        </w:rPr>
        <w:t>Datagrunnlag: 14 SAP S/4HANA-tabeller hentet via SE16H, analyseperiode 2024–2025, WERKS 3300 / LGORT 3001</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Nr</w:t>
            </w:r>
          </w:p>
        </w:tc>
        <w:tc>
          <w:tcPr>
            <w:tcW w:type="dxa" w:w="2192"/>
            <w:tcBorders>
              <w:top w:val="single" w:sz="8" w:space="0" w:color="000000"/>
              <w:bottom w:val="single" w:sz="4" w:space="0" w:color="000000"/>
              <w:left w:val="nil"/>
              <w:right w:val="nil"/>
            </w:tcBorders>
          </w:tcPr>
          <w:p>
            <w:r/>
            <w:r>
              <w:rPr>
                <w:rFonts w:ascii="Times New Roman" w:hAnsi="Times New Roman"/>
                <w:b/>
                <w:sz w:val="22"/>
              </w:rPr>
              <w:t>Tabell</w:t>
            </w:r>
          </w:p>
        </w:tc>
        <w:tc>
          <w:tcPr>
            <w:tcW w:type="dxa" w:w="2192"/>
            <w:tcBorders>
              <w:top w:val="single" w:sz="8" w:space="0" w:color="000000"/>
              <w:bottom w:val="single" w:sz="4" w:space="0" w:color="000000"/>
              <w:left w:val="nil"/>
              <w:right w:val="nil"/>
            </w:tcBorders>
          </w:tcPr>
          <w:p>
            <w:r/>
            <w:r>
              <w:rPr>
                <w:rFonts w:ascii="Times New Roman" w:hAnsi="Times New Roman"/>
                <w:b/>
                <w:sz w:val="22"/>
              </w:rPr>
              <w:t>Beskrivelse</w:t>
            </w:r>
          </w:p>
        </w:tc>
        <w:tc>
          <w:tcPr>
            <w:tcW w:type="dxa" w:w="2192"/>
            <w:tcBorders>
              <w:top w:val="single" w:sz="8" w:space="0" w:color="000000"/>
              <w:bottom w:val="single" w:sz="4" w:space="0" w:color="000000"/>
              <w:left w:val="nil"/>
              <w:right w:val="nil"/>
            </w:tcBorders>
          </w:tcPr>
          <w:p>
            <w:r/>
            <w:r>
              <w:rPr>
                <w:rFonts w:ascii="Times New Roman" w:hAnsi="Times New Roman"/>
                <w:b/>
                <w:sz w:val="22"/>
              </w:rPr>
              <w:t>Kategori</w:t>
            </w:r>
          </w:p>
        </w:tc>
      </w:tr>
      <w:tr>
        <w:tc>
          <w:tcPr>
            <w:tcW w:type="dxa" w:w="2192"/>
          </w:tcPr>
          <w:p>
            <w:r/>
            <w:r>
              <w:rPr>
                <w:rFonts w:ascii="Times New Roman" w:hAnsi="Times New Roman"/>
                <w:b w:val="0"/>
                <w:sz w:val="22"/>
              </w:rPr>
              <w:t>1</w:t>
            </w:r>
          </w:p>
        </w:tc>
        <w:tc>
          <w:tcPr>
            <w:tcW w:type="dxa" w:w="2192"/>
          </w:tcPr>
          <w:p>
            <w:r/>
            <w:r>
              <w:rPr>
                <w:rFonts w:ascii="Times New Roman" w:hAnsi="Times New Roman"/>
                <w:b w:val="0"/>
                <w:sz w:val="22"/>
              </w:rPr>
              <w:t>MARD</w:t>
            </w:r>
          </w:p>
        </w:tc>
        <w:tc>
          <w:tcPr>
            <w:tcW w:type="dxa" w:w="2192"/>
          </w:tcPr>
          <w:p>
            <w:r/>
            <w:r>
              <w:rPr>
                <w:rFonts w:ascii="Times New Roman" w:hAnsi="Times New Roman"/>
                <w:b w:val="0"/>
                <w:sz w:val="22"/>
              </w:rPr>
              <w:t>Lagerdata per lagersted (beholdning)</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2</w:t>
            </w:r>
          </w:p>
        </w:tc>
        <w:tc>
          <w:tcPr>
            <w:tcW w:type="dxa" w:w="2192"/>
          </w:tcPr>
          <w:p>
            <w:r/>
            <w:r>
              <w:rPr>
                <w:rFonts w:ascii="Times New Roman" w:hAnsi="Times New Roman"/>
                <w:b w:val="0"/>
                <w:sz w:val="22"/>
              </w:rPr>
              <w:t>MDMA</w:t>
            </w:r>
          </w:p>
        </w:tc>
        <w:tc>
          <w:tcPr>
            <w:tcW w:type="dxa" w:w="2192"/>
          </w:tcPr>
          <w:p>
            <w:r/>
            <w:r>
              <w:rPr>
                <w:rFonts w:ascii="Times New Roman" w:hAnsi="Times New Roman"/>
                <w:b w:val="0"/>
                <w:sz w:val="22"/>
              </w:rPr>
              <w:t>MRP-data, ABC/XYZ-indikator (ZZABC, ZZXYZ)</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3</w:t>
            </w:r>
          </w:p>
        </w:tc>
        <w:tc>
          <w:tcPr>
            <w:tcW w:type="dxa" w:w="2192"/>
          </w:tcPr>
          <w:p>
            <w:r/>
            <w:r>
              <w:rPr>
                <w:rFonts w:ascii="Times New Roman" w:hAnsi="Times New Roman"/>
                <w:b w:val="0"/>
                <w:sz w:val="22"/>
              </w:rPr>
              <w:t>MARA</w:t>
            </w:r>
          </w:p>
        </w:tc>
        <w:tc>
          <w:tcPr>
            <w:tcW w:type="dxa" w:w="2192"/>
          </w:tcPr>
          <w:p>
            <w:r/>
            <w:r>
              <w:rPr>
                <w:rFonts w:ascii="Times New Roman" w:hAnsi="Times New Roman"/>
                <w:b w:val="0"/>
                <w:sz w:val="22"/>
              </w:rPr>
              <w:t>Artikkelstamdata (MTART, MATKL, MEINS)</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4</w:t>
            </w:r>
          </w:p>
        </w:tc>
        <w:tc>
          <w:tcPr>
            <w:tcW w:type="dxa" w:w="2192"/>
          </w:tcPr>
          <w:p>
            <w:r/>
            <w:r>
              <w:rPr>
                <w:rFonts w:ascii="Times New Roman" w:hAnsi="Times New Roman"/>
                <w:b w:val="0"/>
                <w:sz w:val="22"/>
              </w:rPr>
              <w:t>MAKT</w:t>
            </w:r>
          </w:p>
        </w:tc>
        <w:tc>
          <w:tcPr>
            <w:tcW w:type="dxa" w:w="2192"/>
          </w:tcPr>
          <w:p>
            <w:r/>
            <w:r>
              <w:rPr>
                <w:rFonts w:ascii="Times New Roman" w:hAnsi="Times New Roman"/>
                <w:b w:val="0"/>
                <w:sz w:val="22"/>
              </w:rPr>
              <w:t>Artikkeltekst (MAKTX)</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5</w:t>
            </w:r>
          </w:p>
        </w:tc>
        <w:tc>
          <w:tcPr>
            <w:tcW w:type="dxa" w:w="2192"/>
          </w:tcPr>
          <w:p>
            <w:r/>
            <w:r>
              <w:rPr>
                <w:rFonts w:ascii="Times New Roman" w:hAnsi="Times New Roman"/>
                <w:b w:val="0"/>
                <w:sz w:val="22"/>
              </w:rPr>
              <w:t>MARC</w:t>
            </w:r>
          </w:p>
        </w:tc>
        <w:tc>
          <w:tcPr>
            <w:tcW w:type="dxa" w:w="2192"/>
          </w:tcPr>
          <w:p>
            <w:r/>
            <w:r>
              <w:rPr>
                <w:rFonts w:ascii="Times New Roman" w:hAnsi="Times New Roman"/>
                <w:b w:val="0"/>
                <w:sz w:val="22"/>
              </w:rPr>
              <w:t>Anleggsdata per materiale (MARC_ABC)</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6</w:t>
            </w:r>
          </w:p>
        </w:tc>
        <w:tc>
          <w:tcPr>
            <w:tcW w:type="dxa" w:w="2192"/>
          </w:tcPr>
          <w:p>
            <w:r/>
            <w:r>
              <w:rPr>
                <w:rFonts w:ascii="Times New Roman" w:hAnsi="Times New Roman"/>
                <w:b w:val="0"/>
                <w:sz w:val="22"/>
              </w:rPr>
              <w:t>MBEW</w:t>
            </w:r>
          </w:p>
        </w:tc>
        <w:tc>
          <w:tcPr>
            <w:tcW w:type="dxa" w:w="2192"/>
          </w:tcPr>
          <w:p>
            <w:r/>
            <w:r>
              <w:rPr>
                <w:rFonts w:ascii="Times New Roman" w:hAnsi="Times New Roman"/>
                <w:b w:val="0"/>
                <w:sz w:val="22"/>
              </w:rPr>
              <w:t>Verdsettingsdata (STPRS, PEINH)</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7</w:t>
            </w:r>
          </w:p>
        </w:tc>
        <w:tc>
          <w:tcPr>
            <w:tcW w:type="dxa" w:w="2192"/>
          </w:tcPr>
          <w:p>
            <w:r/>
            <w:r>
              <w:rPr>
                <w:rFonts w:ascii="Times New Roman" w:hAnsi="Times New Roman"/>
                <w:b w:val="0"/>
                <w:sz w:val="22"/>
              </w:rPr>
              <w:t>MSEG</w:t>
            </w:r>
          </w:p>
        </w:tc>
        <w:tc>
          <w:tcPr>
            <w:tcW w:type="dxa" w:w="2192"/>
          </w:tcPr>
          <w:p>
            <w:r/>
            <w:r>
              <w:rPr>
                <w:rFonts w:ascii="Times New Roman" w:hAnsi="Times New Roman"/>
                <w:b w:val="0"/>
                <w:sz w:val="22"/>
              </w:rPr>
              <w:t>Varebevegelser, forbruk (BWART 201, 647)</w:t>
            </w:r>
          </w:p>
        </w:tc>
        <w:tc>
          <w:tcPr>
            <w:tcW w:type="dxa" w:w="2192"/>
          </w:tcPr>
          <w:p>
            <w:r/>
            <w:r>
              <w:rPr>
                <w:rFonts w:ascii="Times New Roman" w:hAnsi="Times New Roman"/>
                <w:b w:val="0"/>
                <w:sz w:val="22"/>
              </w:rPr>
              <w:t>Forbruksdata</w:t>
            </w:r>
          </w:p>
        </w:tc>
      </w:tr>
      <w:tr>
        <w:tc>
          <w:tcPr>
            <w:tcW w:type="dxa" w:w="2192"/>
          </w:tcPr>
          <w:p>
            <w:r/>
            <w:r>
              <w:rPr>
                <w:rFonts w:ascii="Times New Roman" w:hAnsi="Times New Roman"/>
                <w:b w:val="0"/>
                <w:sz w:val="22"/>
              </w:rPr>
              <w:t>8</w:t>
            </w:r>
          </w:p>
        </w:tc>
        <w:tc>
          <w:tcPr>
            <w:tcW w:type="dxa" w:w="2192"/>
          </w:tcPr>
          <w:p>
            <w:r/>
            <w:r>
              <w:rPr>
                <w:rFonts w:ascii="Times New Roman" w:hAnsi="Times New Roman"/>
                <w:b w:val="0"/>
                <w:sz w:val="22"/>
              </w:rPr>
              <w:t>EKKO</w:t>
            </w:r>
          </w:p>
        </w:tc>
        <w:tc>
          <w:tcPr>
            <w:tcW w:type="dxa" w:w="2192"/>
          </w:tcPr>
          <w:p>
            <w:r/>
            <w:r>
              <w:rPr>
                <w:rFonts w:ascii="Times New Roman" w:hAnsi="Times New Roman"/>
                <w:b w:val="0"/>
                <w:sz w:val="22"/>
              </w:rPr>
              <w:t>Innkjøpsordrehoder (bestillingstype ZNB)</w:t>
            </w:r>
          </w:p>
        </w:tc>
        <w:tc>
          <w:tcPr>
            <w:tcW w:type="dxa" w:w="2192"/>
          </w:tcPr>
          <w:p>
            <w:r/>
            <w:r>
              <w:rPr>
                <w:rFonts w:ascii="Times New Roman" w:hAnsi="Times New Roman"/>
                <w:b w:val="0"/>
                <w:sz w:val="22"/>
              </w:rPr>
              <w:t>Innkjøpsdata</w:t>
            </w:r>
          </w:p>
        </w:tc>
      </w:tr>
      <w:tr>
        <w:tc>
          <w:tcPr>
            <w:tcW w:type="dxa" w:w="2192"/>
          </w:tcPr>
          <w:p>
            <w:r/>
            <w:r>
              <w:rPr>
                <w:rFonts w:ascii="Times New Roman" w:hAnsi="Times New Roman"/>
                <w:b w:val="0"/>
                <w:sz w:val="22"/>
              </w:rPr>
              <w:t>9</w:t>
            </w:r>
          </w:p>
        </w:tc>
        <w:tc>
          <w:tcPr>
            <w:tcW w:type="dxa" w:w="2192"/>
          </w:tcPr>
          <w:p>
            <w:r/>
            <w:r>
              <w:rPr>
                <w:rFonts w:ascii="Times New Roman" w:hAnsi="Times New Roman"/>
                <w:b w:val="0"/>
                <w:sz w:val="22"/>
              </w:rPr>
              <w:t>EKPO</w:t>
            </w:r>
          </w:p>
        </w:tc>
        <w:tc>
          <w:tcPr>
            <w:tcW w:type="dxa" w:w="2192"/>
          </w:tcPr>
          <w:p>
            <w:r/>
            <w:r>
              <w:rPr>
                <w:rFonts w:ascii="Times New Roman" w:hAnsi="Times New Roman"/>
                <w:b w:val="0"/>
                <w:sz w:val="22"/>
              </w:rPr>
              <w:t>Innkjøpsordreposisjoner (NETWR)</w:t>
            </w:r>
          </w:p>
        </w:tc>
        <w:tc>
          <w:tcPr>
            <w:tcW w:type="dxa" w:w="2192"/>
          </w:tcPr>
          <w:p>
            <w:r/>
            <w:r>
              <w:rPr>
                <w:rFonts w:ascii="Times New Roman" w:hAnsi="Times New Roman"/>
                <w:b w:val="0"/>
                <w:sz w:val="22"/>
              </w:rPr>
              <w:t>Innkjøpsdata</w:t>
            </w:r>
          </w:p>
        </w:tc>
      </w:tr>
      <w:tr>
        <w:tc>
          <w:tcPr>
            <w:tcW w:type="dxa" w:w="2192"/>
          </w:tcPr>
          <w:p>
            <w:r/>
            <w:r>
              <w:rPr>
                <w:rFonts w:ascii="Times New Roman" w:hAnsi="Times New Roman"/>
                <w:b w:val="0"/>
                <w:sz w:val="22"/>
              </w:rPr>
              <w:t>10</w:t>
            </w:r>
          </w:p>
        </w:tc>
        <w:tc>
          <w:tcPr>
            <w:tcW w:type="dxa" w:w="2192"/>
          </w:tcPr>
          <w:p>
            <w:r/>
            <w:r>
              <w:rPr>
                <w:rFonts w:ascii="Times New Roman" w:hAnsi="Times New Roman"/>
                <w:b w:val="0"/>
                <w:sz w:val="22"/>
              </w:rPr>
              <w:t>EKBE</w:t>
            </w:r>
          </w:p>
        </w:tc>
        <w:tc>
          <w:tcPr>
            <w:tcW w:type="dxa" w:w="2192"/>
          </w:tcPr>
          <w:p>
            <w:r/>
            <w:r>
              <w:rPr>
                <w:rFonts w:ascii="Times New Roman" w:hAnsi="Times New Roman"/>
                <w:b w:val="0"/>
                <w:sz w:val="22"/>
              </w:rPr>
              <w:t>Innkjøpsordrehistorikk/varemottak</w:t>
            </w:r>
          </w:p>
        </w:tc>
        <w:tc>
          <w:tcPr>
            <w:tcW w:type="dxa" w:w="2192"/>
          </w:tcPr>
          <w:p>
            <w:r/>
            <w:r>
              <w:rPr>
                <w:rFonts w:ascii="Times New Roman" w:hAnsi="Times New Roman"/>
                <w:b w:val="0"/>
                <w:sz w:val="22"/>
              </w:rPr>
              <w:t>Innkjøpsdata</w:t>
            </w:r>
          </w:p>
        </w:tc>
      </w:tr>
      <w:tr>
        <w:tc>
          <w:tcPr>
            <w:tcW w:type="dxa" w:w="2192"/>
          </w:tcPr>
          <w:p>
            <w:r/>
            <w:r>
              <w:rPr>
                <w:rFonts w:ascii="Times New Roman" w:hAnsi="Times New Roman"/>
                <w:b w:val="0"/>
                <w:sz w:val="22"/>
              </w:rPr>
              <w:t>11</w:t>
            </w:r>
          </w:p>
        </w:tc>
        <w:tc>
          <w:tcPr>
            <w:tcW w:type="dxa" w:w="2192"/>
          </w:tcPr>
          <w:p>
            <w:r/>
            <w:r>
              <w:rPr>
                <w:rFonts w:ascii="Times New Roman" w:hAnsi="Times New Roman"/>
                <w:b w:val="0"/>
                <w:sz w:val="22"/>
              </w:rPr>
              <w:t>EINA</w:t>
            </w:r>
          </w:p>
        </w:tc>
        <w:tc>
          <w:tcPr>
            <w:tcW w:type="dxa" w:w="2192"/>
          </w:tcPr>
          <w:p>
            <w:r/>
            <w:r>
              <w:rPr>
                <w:rFonts w:ascii="Times New Roman" w:hAnsi="Times New Roman"/>
                <w:b w:val="0"/>
                <w:sz w:val="22"/>
              </w:rPr>
              <w:t>Innkjøpsinforecord – generell del</w:t>
            </w:r>
          </w:p>
        </w:tc>
        <w:tc>
          <w:tcPr>
            <w:tcW w:type="dxa" w:w="2192"/>
          </w:tcPr>
          <w:p>
            <w:r/>
            <w:r>
              <w:rPr>
                <w:rFonts w:ascii="Times New Roman" w:hAnsi="Times New Roman"/>
                <w:b w:val="0"/>
                <w:sz w:val="22"/>
              </w:rPr>
              <w:t>Supplerende</w:t>
            </w:r>
          </w:p>
        </w:tc>
      </w:tr>
      <w:tr>
        <w:tc>
          <w:tcPr>
            <w:tcW w:type="dxa" w:w="2192"/>
          </w:tcPr>
          <w:p>
            <w:r/>
            <w:r>
              <w:rPr>
                <w:rFonts w:ascii="Times New Roman" w:hAnsi="Times New Roman"/>
                <w:b w:val="0"/>
                <w:sz w:val="22"/>
              </w:rPr>
              <w:t>12</w:t>
            </w:r>
          </w:p>
        </w:tc>
        <w:tc>
          <w:tcPr>
            <w:tcW w:type="dxa" w:w="2192"/>
          </w:tcPr>
          <w:p>
            <w:r/>
            <w:r>
              <w:rPr>
                <w:rFonts w:ascii="Times New Roman" w:hAnsi="Times New Roman"/>
                <w:b w:val="0"/>
                <w:sz w:val="22"/>
              </w:rPr>
              <w:t>EINE</w:t>
            </w:r>
          </w:p>
        </w:tc>
        <w:tc>
          <w:tcPr>
            <w:tcW w:type="dxa" w:w="2192"/>
          </w:tcPr>
          <w:p>
            <w:r/>
            <w:r>
              <w:rPr>
                <w:rFonts w:ascii="Times New Roman" w:hAnsi="Times New Roman"/>
                <w:b w:val="0"/>
                <w:sz w:val="22"/>
              </w:rPr>
              <w:t>Innkjøpsinforecord – organisasjonsdel (PLIFZ – planlagt leveringstid)</w:t>
            </w:r>
          </w:p>
        </w:tc>
        <w:tc>
          <w:tcPr>
            <w:tcW w:type="dxa" w:w="2192"/>
          </w:tcPr>
          <w:p>
            <w:r/>
            <w:r>
              <w:rPr>
                <w:rFonts w:ascii="Times New Roman" w:hAnsi="Times New Roman"/>
                <w:b w:val="0"/>
                <w:sz w:val="22"/>
              </w:rPr>
              <w:t>Supplerende</w:t>
            </w:r>
          </w:p>
        </w:tc>
      </w:tr>
      <w:tr>
        <w:tc>
          <w:tcPr>
            <w:tcW w:type="dxa" w:w="2192"/>
          </w:tcPr>
          <w:p>
            <w:r/>
            <w:r>
              <w:rPr>
                <w:rFonts w:ascii="Times New Roman" w:hAnsi="Times New Roman"/>
                <w:b w:val="0"/>
                <w:sz w:val="22"/>
              </w:rPr>
              <w:t>13</w:t>
            </w:r>
          </w:p>
        </w:tc>
        <w:tc>
          <w:tcPr>
            <w:tcW w:type="dxa" w:w="2192"/>
          </w:tcPr>
          <w:p>
            <w:r/>
            <w:r>
              <w:rPr>
                <w:rFonts w:ascii="Times New Roman" w:hAnsi="Times New Roman"/>
                <w:b w:val="0"/>
                <w:sz w:val="22"/>
              </w:rPr>
              <w:t>T023T</w:t>
            </w:r>
          </w:p>
        </w:tc>
        <w:tc>
          <w:tcPr>
            <w:tcW w:type="dxa" w:w="2192"/>
          </w:tcPr>
          <w:p>
            <w:r/>
            <w:r>
              <w:rPr>
                <w:rFonts w:ascii="Times New Roman" w:hAnsi="Times New Roman"/>
                <w:b w:val="0"/>
                <w:sz w:val="22"/>
              </w:rPr>
              <w:t>Varegruppenavn (WGBEZ)</w:t>
            </w:r>
          </w:p>
        </w:tc>
        <w:tc>
          <w:tcPr>
            <w:tcW w:type="dxa" w:w="2192"/>
          </w:tcPr>
          <w:p>
            <w:r/>
            <w:r>
              <w:rPr>
                <w:rFonts w:ascii="Times New Roman" w:hAnsi="Times New Roman"/>
                <w:b w:val="0"/>
                <w:sz w:val="22"/>
              </w:rPr>
              <w:t>Supplerende</w:t>
            </w:r>
          </w:p>
        </w:tc>
      </w:tr>
      <w:tr>
        <w:tc>
          <w:tcPr>
            <w:tcW w:type="dxa" w:w="2192"/>
          </w:tcPr>
          <w:p>
            <w:r/>
            <w:r>
              <w:rPr>
                <w:rFonts w:ascii="Times New Roman" w:hAnsi="Times New Roman"/>
                <w:b w:val="0"/>
                <w:sz w:val="22"/>
              </w:rPr>
              <w:t>14</w:t>
            </w:r>
          </w:p>
        </w:tc>
        <w:tc>
          <w:tcPr>
            <w:tcW w:type="dxa" w:w="2192"/>
          </w:tcPr>
          <w:p>
            <w:r/>
            <w:r>
              <w:rPr>
                <w:rFonts w:ascii="Times New Roman" w:hAnsi="Times New Roman"/>
                <w:b w:val="0"/>
                <w:sz w:val="22"/>
              </w:rPr>
              <w:t>T024</w:t>
            </w:r>
          </w:p>
        </w:tc>
        <w:tc>
          <w:tcPr>
            <w:tcW w:type="dxa" w:w="2192"/>
          </w:tcPr>
          <w:p>
            <w:r/>
            <w:r>
              <w:rPr>
                <w:rFonts w:ascii="Times New Roman" w:hAnsi="Times New Roman"/>
                <w:b w:val="0"/>
                <w:sz w:val="22"/>
              </w:rPr>
              <w:t>Innkjøpsgrupper (EKGRP)</w:t>
            </w:r>
          </w:p>
        </w:tc>
        <w:tc>
          <w:tcPr>
            <w:tcW w:type="dxa" w:w="2192"/>
          </w:tcPr>
          <w:p>
            <w:r/>
            <w:r>
              <w:rPr>
                <w:rFonts w:ascii="Times New Roman" w:hAnsi="Times New Roman"/>
                <w:b w:val="0"/>
                <w:sz w:val="22"/>
              </w:rPr>
              <w:t>Supplerende</w:t>
            </w:r>
          </w:p>
        </w:tc>
      </w:tr>
    </w:tbl>
    <w:p>
      <w:pPr>
        <w:spacing w:line="360" w:lineRule="auto"/>
        <w:jc w:val="both"/>
      </w:pPr>
      <w:r>
        <w:rPr>
          <w:rFonts w:ascii="Times New Roman" w:hAnsi="Times New Roman" w:cs="Times New Roman"/>
          <w:sz w:val="24"/>
        </w:rPr>
        <w:t>Råuttrekket inneholder 1 006 unike artikkelnumre. Populasjonsavgrensningen beskrives i detalj i avsnitt 4.3 nedenfor, og reduserer dette til 709 aktive artikler. For forbruksdata er det benyttet bevegelsestyper (BWART) 201 og 647 fra MSEG. BWART 201 er standard SAP-bevegelsestype for vareforbruk til kostnadssted (uttak fra ubegrenset beholdning). BWART 647 er i SAP standard "GI for stock transport order, one-step" (cross-plant), men brukes lokalt ved Helse Bergen som bevegelsestype for forbruk til avdeling/kostnadssted innenfor samme anlegg – en kundespesifikk anvendelse som er bekreftet med innkjøpsmiljøet. Disse to bevegelsestypene fanger det reelle forbruket ut fra lager og utelukker interne overføringer og returer som ville ha forvrengt etterspørselsestimatet. Innkjøpsdata er hentet fra EKKO/EKPO/EKBE, som gir faktiske ordrelinjer og varemottak; disse benyttes for ABC-verdiberegning og for estimering av faktisk ordrefrekvens. Leveringstidsdata er hentet fra EINE (feltet PLIFZ – planlagt leveringstid), men dekker kun 6 % av artiklene; se beslutning D-05 under. Figur 3 gir en samlet oversikt over fordelingen av nøkkelvariabler i det endelige datasettet på 709 artikler.</w:t>
      </w:r>
    </w:p>
    <w:p>
      <w:r>
        <w:drawing>
          <wp:inline xmlns:a="http://schemas.openxmlformats.org/drawingml/2006/main" xmlns:pic="http://schemas.openxmlformats.org/drawingml/2006/picture">
            <wp:extent cx="5400000" cy="3018889"/>
            <wp:docPr id="6" name="Picture 6"/>
            <wp:cNvGraphicFramePr>
              <a:graphicFrameLocks noChangeAspect="1"/>
            </wp:cNvGraphicFramePr>
            <a:graphic>
              <a:graphicData uri="http://schemas.openxmlformats.org/drawingml/2006/picture">
                <pic:pic>
                  <pic:nvPicPr>
                    <pic:cNvPr id="0" name="Fig04_Dataoversikt.png"/>
                    <pic:cNvPicPr/>
                  </pic:nvPicPr>
                  <pic:blipFill>
                    <a:blip r:embed="rId24"/>
                    <a:stretch>
                      <a:fillRect/>
                    </a:stretch>
                  </pic:blipFill>
                  <pic:spPr>
                    <a:xfrm>
                      <a:off x="0" y="0"/>
                      <a:ext cx="5400000" cy="3018889"/>
                    </a:xfrm>
                    <a:prstGeom prst="rect"/>
                  </pic:spPr>
                </pic:pic>
              </a:graphicData>
            </a:graphic>
          </wp:inline>
        </w:drawing>
      </w:r>
    </w:p>
    <w:p>
      <w:pPr>
        <w:jc w:val="center"/>
      </w:pPr>
      <w:r>
        <w:rPr>
          <w:rFonts w:ascii="Times New Roman" w:hAnsi="Times New Roman"/>
          <w:i/>
          <w:sz w:val="20"/>
        </w:rPr>
        <w:t>Figur 3. Dataoversikt: fordeling av nøkkelvariabler for 709 artikler ved WERKS 3300, LGORT 3001.</w:t>
      </w:r>
    </w:p>
    <w:p>
      <w:pPr>
        <w:pStyle w:val="Overskrift2"/>
      </w:pPr>
      <w:r>
        <w:rPr>
          <w:rFonts w:ascii="Times New Roman" w:hAnsi="Times New Roman"/>
          <w:color w:val="000000"/>
          <w:sz w:val="32"/>
        </w:rPr>
        <w:t>4.3 Dataforbehandling</w:t>
      </w:r>
    </w:p>
    <w:p>
      <w:pPr>
        <w:spacing w:line="360" w:lineRule="auto"/>
        <w:jc w:val="both"/>
      </w:pPr>
      <w:r>
        <w:rPr>
          <w:rFonts w:ascii="Times New Roman" w:hAnsi="Times New Roman" w:cs="Times New Roman"/>
          <w:sz w:val="24"/>
        </w:rPr>
        <w:t>All dataforbehandling er gjennomført i Python 3.13 ved hjelp av bibliotekene pandas (McKinney, 2010) og scikit-learn (Pedregosa et al., 2011). Scriptet er deterministisk og reproduserbart: alle tilfeldige prosesser bruker random_state=42, og ingen manuell redigering av enkeltartikler er foretatt. Åtte eksplisitte datavalgsbeslutninger (D-01–D-08) er dokumentert nedenfor; disse tilsvarer steder i datapipelinen der analytikeren måtte treffe et valg mellom alternative behandlingsmåter, og der valget har materiell innvirkning på resultatene.</w:t>
      </w:r>
    </w:p>
    <w:p>
      <w:r>
        <w:rPr>
          <w:rFonts w:ascii="Times New Roman" w:hAnsi="Times New Roman"/>
          <w:b/>
          <w:sz w:val="20"/>
        </w:rPr>
        <w:t>Tabell 5</w:t>
      </w:r>
    </w:p>
    <w:p>
      <w:r>
        <w:rPr>
          <w:rFonts w:ascii="Times New Roman" w:hAnsi="Times New Roman"/>
          <w:i/>
          <w:sz w:val="20"/>
        </w:rPr>
        <w:t>Datavalgsbeslutninger D-01–D-08 med begrunnelse</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ID</w:t>
            </w:r>
          </w:p>
        </w:tc>
        <w:tc>
          <w:tcPr>
            <w:tcW w:type="dxa" w:w="2192"/>
            <w:tcBorders>
              <w:top w:val="single" w:sz="8" w:space="0" w:color="000000"/>
              <w:bottom w:val="single" w:sz="4" w:space="0" w:color="000000"/>
              <w:left w:val="nil"/>
              <w:right w:val="nil"/>
            </w:tcBorders>
          </w:tcPr>
          <w:p>
            <w:r/>
            <w:r>
              <w:rPr>
                <w:rFonts w:ascii="Times New Roman" w:hAnsi="Times New Roman"/>
                <w:b/>
                <w:sz w:val="22"/>
              </w:rPr>
              <w:t>Beslutning</w:t>
            </w:r>
          </w:p>
        </w:tc>
        <w:tc>
          <w:tcPr>
            <w:tcW w:type="dxa" w:w="2192"/>
            <w:tcBorders>
              <w:top w:val="single" w:sz="8" w:space="0" w:color="000000"/>
              <w:bottom w:val="single" w:sz="4" w:space="0" w:color="000000"/>
              <w:left w:val="nil"/>
              <w:right w:val="nil"/>
            </w:tcBorders>
          </w:tcPr>
          <w:p>
            <w:r/>
            <w:r>
              <w:rPr>
                <w:rFonts w:ascii="Times New Roman" w:hAnsi="Times New Roman"/>
                <w:b/>
                <w:sz w:val="22"/>
              </w:rPr>
              <w:t>Effekt</w:t>
            </w:r>
          </w:p>
        </w:tc>
        <w:tc>
          <w:tcPr>
            <w:tcW w:type="dxa" w:w="2192"/>
            <w:tcBorders>
              <w:top w:val="single" w:sz="8" w:space="0" w:color="000000"/>
              <w:bottom w:val="single" w:sz="4" w:space="0" w:color="000000"/>
              <w:left w:val="nil"/>
              <w:right w:val="nil"/>
            </w:tcBorders>
          </w:tcPr>
          <w:p>
            <w:r/>
            <w:r>
              <w:rPr>
                <w:rFonts w:ascii="Times New Roman" w:hAnsi="Times New Roman"/>
                <w:b/>
                <w:sz w:val="22"/>
              </w:rPr>
              <w:t>Begrunnelse</w:t>
            </w:r>
          </w:p>
        </w:tc>
      </w:tr>
      <w:tr>
        <w:tc>
          <w:tcPr>
            <w:tcW w:type="dxa" w:w="2192"/>
          </w:tcPr>
          <w:p>
            <w:r/>
            <w:r>
              <w:rPr>
                <w:rFonts w:ascii="Times New Roman" w:hAnsi="Times New Roman"/>
                <w:b w:val="0"/>
                <w:sz w:val="22"/>
              </w:rPr>
              <w:t>D-01</w:t>
            </w:r>
          </w:p>
        </w:tc>
        <w:tc>
          <w:tcPr>
            <w:tcW w:type="dxa" w:w="2192"/>
          </w:tcPr>
          <w:p>
            <w:r/>
            <w:r>
              <w:rPr>
                <w:rFonts w:ascii="Times New Roman" w:hAnsi="Times New Roman"/>
                <w:b w:val="0"/>
                <w:sz w:val="22"/>
              </w:rPr>
              <w:t>Populasjonsavgrensning</w:t>
            </w:r>
          </w:p>
        </w:tc>
        <w:tc>
          <w:tcPr>
            <w:tcW w:type="dxa" w:w="2192"/>
          </w:tcPr>
          <w:p>
            <w:r/>
            <w:r>
              <w:rPr>
                <w:rFonts w:ascii="Times New Roman" w:hAnsi="Times New Roman"/>
                <w:b w:val="0"/>
                <w:sz w:val="22"/>
              </w:rPr>
              <w:t>1 006 → 709 artikler</w:t>
            </w:r>
          </w:p>
        </w:tc>
        <w:tc>
          <w:tcPr>
            <w:tcW w:type="dxa" w:w="2192"/>
          </w:tcPr>
          <w:p>
            <w:r/>
            <w:r>
              <w:rPr>
                <w:rFonts w:ascii="Times New Roman" w:hAnsi="Times New Roman"/>
                <w:b w:val="0"/>
                <w:sz w:val="22"/>
              </w:rPr>
              <w:t>Ekskluderer 297 inaktive (D_ANNUAL = 0 og TOTAL_STOCK = 0)</w:t>
            </w:r>
          </w:p>
        </w:tc>
      </w:tr>
      <w:tr>
        <w:tc>
          <w:tcPr>
            <w:tcW w:type="dxa" w:w="2192"/>
          </w:tcPr>
          <w:p>
            <w:r/>
            <w:r>
              <w:rPr>
                <w:rFonts w:ascii="Times New Roman" w:hAnsi="Times New Roman"/>
                <w:b w:val="0"/>
                <w:sz w:val="22"/>
              </w:rPr>
              <w:t>D-02</w:t>
            </w:r>
          </w:p>
        </w:tc>
        <w:tc>
          <w:tcPr>
            <w:tcW w:type="dxa" w:w="2192"/>
          </w:tcPr>
          <w:p>
            <w:r/>
            <w:r>
              <w:rPr>
                <w:rFonts w:ascii="Times New Roman" w:hAnsi="Times New Roman"/>
                <w:b w:val="0"/>
                <w:sz w:val="22"/>
              </w:rPr>
              <w:t>PEINH-korrigering</w:t>
            </w:r>
          </w:p>
        </w:tc>
        <w:tc>
          <w:tcPr>
            <w:tcW w:type="dxa" w:w="2192"/>
          </w:tcPr>
          <w:p>
            <w:r/>
            <w:r>
              <w:rPr>
                <w:rFonts w:ascii="Times New Roman" w:hAnsi="Times New Roman"/>
                <w:b w:val="0"/>
                <w:sz w:val="22"/>
              </w:rPr>
              <w:t>UNIT_PRICE = STPRS ÷ PEINH</w:t>
            </w:r>
          </w:p>
        </w:tc>
        <w:tc>
          <w:tcPr>
            <w:tcW w:type="dxa" w:w="2192"/>
          </w:tcPr>
          <w:p>
            <w:r/>
            <w:r>
              <w:rPr>
                <w:rFonts w:ascii="Times New Roman" w:hAnsi="Times New Roman"/>
                <w:b w:val="0"/>
                <w:sz w:val="22"/>
              </w:rPr>
              <w:t>Korrigerer for prisenhet ≠ 1</w:t>
            </w:r>
          </w:p>
        </w:tc>
      </w:tr>
      <w:tr>
        <w:tc>
          <w:tcPr>
            <w:tcW w:type="dxa" w:w="2192"/>
          </w:tcPr>
          <w:p>
            <w:r/>
            <w:r>
              <w:rPr>
                <w:rFonts w:ascii="Times New Roman" w:hAnsi="Times New Roman"/>
                <w:b w:val="0"/>
                <w:sz w:val="22"/>
              </w:rPr>
              <w:t>D-03</w:t>
            </w:r>
          </w:p>
        </w:tc>
        <w:tc>
          <w:tcPr>
            <w:tcW w:type="dxa" w:w="2192"/>
          </w:tcPr>
          <w:p>
            <w:r/>
            <w:r>
              <w:rPr>
                <w:rFonts w:ascii="Times New Roman" w:hAnsi="Times New Roman"/>
                <w:b w:val="0"/>
                <w:sz w:val="22"/>
              </w:rPr>
              <w:t>Beregnet ABC-verdi</w:t>
            </w:r>
          </w:p>
        </w:tc>
        <w:tc>
          <w:tcPr>
            <w:tcW w:type="dxa" w:w="2192"/>
          </w:tcPr>
          <w:p>
            <w:r/>
            <w:r>
              <w:rPr>
                <w:rFonts w:ascii="Times New Roman" w:hAnsi="Times New Roman"/>
                <w:b w:val="0"/>
                <w:sz w:val="22"/>
              </w:rPr>
              <w:t>204 artikler uten EKPO</w:t>
            </w:r>
          </w:p>
        </w:tc>
        <w:tc>
          <w:tcPr>
            <w:tcW w:type="dxa" w:w="2192"/>
          </w:tcPr>
          <w:p>
            <w:r/>
            <w:r>
              <w:rPr>
                <w:rFonts w:ascii="Times New Roman" w:hAnsi="Times New Roman"/>
                <w:b w:val="0"/>
                <w:sz w:val="22"/>
              </w:rPr>
              <w:t>ABC_VALUE = D_ANNUAL × UNIT_PRICE som standardverdi</w:t>
            </w:r>
          </w:p>
        </w:tc>
      </w:tr>
      <w:tr>
        <w:tc>
          <w:tcPr>
            <w:tcW w:type="dxa" w:w="2192"/>
          </w:tcPr>
          <w:p>
            <w:r/>
            <w:r>
              <w:rPr>
                <w:rFonts w:ascii="Times New Roman" w:hAnsi="Times New Roman"/>
                <w:b w:val="0"/>
                <w:sz w:val="22"/>
              </w:rPr>
              <w:t>D-04</w:t>
            </w:r>
          </w:p>
        </w:tc>
        <w:tc>
          <w:tcPr>
            <w:tcW w:type="dxa" w:w="2192"/>
          </w:tcPr>
          <w:p>
            <w:r/>
            <w:r>
              <w:rPr>
                <w:rFonts w:ascii="Times New Roman" w:hAnsi="Times New Roman"/>
                <w:b w:val="0"/>
                <w:sz w:val="22"/>
              </w:rPr>
              <w:t>CV-basert XYZ</w:t>
            </w:r>
          </w:p>
        </w:tc>
        <w:tc>
          <w:tcPr>
            <w:tcW w:type="dxa" w:w="2192"/>
          </w:tcPr>
          <w:p>
            <w:r/>
            <w:r>
              <w:rPr>
                <w:rFonts w:ascii="Times New Roman" w:hAnsi="Times New Roman"/>
                <w:b w:val="0"/>
                <w:sz w:val="22"/>
              </w:rPr>
              <w:t>Erstatter ZZXYZ</w:t>
            </w:r>
          </w:p>
        </w:tc>
        <w:tc>
          <w:tcPr>
            <w:tcW w:type="dxa" w:w="2192"/>
          </w:tcPr>
          <w:p>
            <w:r/>
            <w:r>
              <w:rPr>
                <w:rFonts w:ascii="Times New Roman" w:hAnsi="Times New Roman"/>
                <w:b w:val="0"/>
                <w:sz w:val="22"/>
              </w:rPr>
              <w:t>33 % samsvar → beregnet CV foretrukket</w:t>
            </w:r>
          </w:p>
        </w:tc>
      </w:tr>
      <w:tr>
        <w:tc>
          <w:tcPr>
            <w:tcW w:type="dxa" w:w="2192"/>
          </w:tcPr>
          <w:p>
            <w:r/>
            <w:r>
              <w:rPr>
                <w:rFonts w:ascii="Times New Roman" w:hAnsi="Times New Roman"/>
                <w:b w:val="0"/>
                <w:sz w:val="22"/>
              </w:rPr>
              <w:t>D-05</w:t>
            </w:r>
          </w:p>
        </w:tc>
        <w:tc>
          <w:tcPr>
            <w:tcW w:type="dxa" w:w="2192"/>
          </w:tcPr>
          <w:p>
            <w:r/>
            <w:r>
              <w:rPr>
                <w:rFonts w:ascii="Times New Roman" w:hAnsi="Times New Roman"/>
                <w:b w:val="0"/>
                <w:sz w:val="22"/>
              </w:rPr>
              <w:t>Leveringstid standardverdi</w:t>
            </w:r>
          </w:p>
        </w:tc>
        <w:tc>
          <w:tcPr>
            <w:tcW w:type="dxa" w:w="2192"/>
          </w:tcPr>
          <w:p>
            <w:r/>
            <w:r>
              <w:rPr>
                <w:rFonts w:ascii="Times New Roman" w:hAnsi="Times New Roman"/>
                <w:b w:val="0"/>
                <w:sz w:val="22"/>
              </w:rPr>
              <w:t>14 dager for 94 %</w:t>
            </w:r>
          </w:p>
        </w:tc>
        <w:tc>
          <w:tcPr>
            <w:tcW w:type="dxa" w:w="2192"/>
          </w:tcPr>
          <w:p>
            <w:r/>
            <w:r>
              <w:rPr>
                <w:rFonts w:ascii="Times New Roman" w:hAnsi="Times New Roman"/>
                <w:b w:val="0"/>
                <w:sz w:val="22"/>
              </w:rPr>
              <w:t>EINE PLIFZ dekker kun 6 %</w:t>
            </w:r>
          </w:p>
        </w:tc>
      </w:tr>
      <w:tr>
        <w:tc>
          <w:tcPr>
            <w:tcW w:type="dxa" w:w="2192"/>
          </w:tcPr>
          <w:p>
            <w:r/>
            <w:r>
              <w:rPr>
                <w:rFonts w:ascii="Times New Roman" w:hAnsi="Times New Roman"/>
                <w:b w:val="0"/>
                <w:sz w:val="22"/>
              </w:rPr>
              <w:t>D-06</w:t>
            </w:r>
          </w:p>
        </w:tc>
        <w:tc>
          <w:tcPr>
            <w:tcW w:type="dxa" w:w="2192"/>
          </w:tcPr>
          <w:p>
            <w:r/>
            <w:r>
              <w:rPr>
                <w:rFonts w:ascii="Times New Roman" w:hAnsi="Times New Roman"/>
                <w:b w:val="0"/>
                <w:sz w:val="22"/>
              </w:rPr>
              <w:t>MSEG_STATUS blank → AKTIV</w:t>
            </w:r>
          </w:p>
        </w:tc>
        <w:tc>
          <w:tcPr>
            <w:tcW w:type="dxa" w:w="2192"/>
          </w:tcPr>
          <w:p>
            <w:r/>
            <w:r>
              <w:rPr>
                <w:rFonts w:ascii="Times New Roman" w:hAnsi="Times New Roman"/>
                <w:b w:val="0"/>
                <w:sz w:val="22"/>
              </w:rPr>
              <w:t>Fyller manglende verdier</w:t>
            </w:r>
          </w:p>
        </w:tc>
        <w:tc>
          <w:tcPr>
            <w:tcW w:type="dxa" w:w="2192"/>
          </w:tcPr>
          <w:p>
            <w:r/>
            <w:r>
              <w:rPr>
                <w:rFonts w:ascii="Times New Roman" w:hAnsi="Times New Roman"/>
                <w:b w:val="0"/>
                <w:sz w:val="22"/>
              </w:rPr>
              <w:t>Avledet Z-felt basert på MSEG-bevegelseshistorikk; antar normal driftsstatus</w:t>
            </w:r>
          </w:p>
        </w:tc>
      </w:tr>
      <w:tr>
        <w:tc>
          <w:tcPr>
            <w:tcW w:type="dxa" w:w="2192"/>
          </w:tcPr>
          <w:p>
            <w:r/>
            <w:r>
              <w:rPr>
                <w:rFonts w:ascii="Times New Roman" w:hAnsi="Times New Roman"/>
                <w:b w:val="0"/>
                <w:sz w:val="22"/>
              </w:rPr>
              <w:t>D-07</w:t>
            </w:r>
          </w:p>
        </w:tc>
        <w:tc>
          <w:tcPr>
            <w:tcW w:type="dxa" w:w="2192"/>
          </w:tcPr>
          <w:p>
            <w:r/>
            <w:r>
              <w:rPr>
                <w:rFonts w:ascii="Times New Roman" w:hAnsi="Times New Roman"/>
                <w:b w:val="0"/>
                <w:sz w:val="22"/>
              </w:rPr>
              <w:t>ABC_VALUE_SOURCE</w:t>
            </w:r>
          </w:p>
        </w:tc>
        <w:tc>
          <w:tcPr>
            <w:tcW w:type="dxa" w:w="2192"/>
          </w:tcPr>
          <w:p>
            <w:r/>
            <w:r>
              <w:rPr>
                <w:rFonts w:ascii="Times New Roman" w:hAnsi="Times New Roman"/>
                <w:b w:val="0"/>
                <w:sz w:val="22"/>
              </w:rPr>
              <w:t>EKPO-verdi prioriteres</w:t>
            </w:r>
          </w:p>
        </w:tc>
        <w:tc>
          <w:tcPr>
            <w:tcW w:type="dxa" w:w="2192"/>
          </w:tcPr>
          <w:p>
            <w:r/>
            <w:r>
              <w:rPr>
                <w:rFonts w:ascii="Times New Roman" w:hAnsi="Times New Roman"/>
                <w:b w:val="0"/>
                <w:sz w:val="22"/>
              </w:rPr>
              <w:t>TOTAL_NETWR &gt; 0 kreves for EKPO-kilde</w:t>
            </w:r>
          </w:p>
        </w:tc>
      </w:tr>
      <w:tr>
        <w:tc>
          <w:tcPr>
            <w:tcW w:type="dxa" w:w="2192"/>
          </w:tcPr>
          <w:p>
            <w:r/>
            <w:r>
              <w:rPr>
                <w:rFonts w:ascii="Times New Roman" w:hAnsi="Times New Roman"/>
                <w:b w:val="0"/>
                <w:sz w:val="22"/>
              </w:rPr>
              <w:t>D-08</w:t>
            </w:r>
          </w:p>
        </w:tc>
        <w:tc>
          <w:tcPr>
            <w:tcW w:type="dxa" w:w="2192"/>
          </w:tcPr>
          <w:p>
            <w:r/>
            <w:r>
              <w:rPr>
                <w:rFonts w:ascii="Times New Roman" w:hAnsi="Times New Roman"/>
                <w:b w:val="0"/>
                <w:sz w:val="22"/>
              </w:rPr>
              <w:t>Annualisering av ordrefrekvens</w:t>
            </w:r>
          </w:p>
        </w:tc>
        <w:tc>
          <w:tcPr>
            <w:tcW w:type="dxa" w:w="2192"/>
          </w:tcPr>
          <w:p>
            <w:r/>
            <w:r>
              <w:rPr>
                <w:rFonts w:ascii="Times New Roman" w:hAnsi="Times New Roman"/>
                <w:b w:val="0"/>
                <w:sz w:val="22"/>
              </w:rPr>
              <w:t>ACTUAL_FREQ = ORDER_COUNT × 12/24</w:t>
            </w:r>
          </w:p>
        </w:tc>
        <w:tc>
          <w:tcPr>
            <w:tcW w:type="dxa" w:w="2192"/>
          </w:tcPr>
          <w:p>
            <w:r/>
            <w:r>
              <w:rPr>
                <w:rFonts w:ascii="Times New Roman" w:hAnsi="Times New Roman"/>
                <w:b w:val="0"/>
                <w:sz w:val="22"/>
              </w:rPr>
              <w:t>24 mnd data → årsbasis</w:t>
            </w:r>
          </w:p>
        </w:tc>
      </w:tr>
    </w:tbl>
    <w:p>
      <w:pPr>
        <w:spacing w:line="360" w:lineRule="auto"/>
        <w:jc w:val="both"/>
      </w:pPr>
      <w:r>
        <w:rPr>
          <w:rFonts w:ascii="Times New Roman" w:hAnsi="Times New Roman" w:cs="Times New Roman"/>
          <w:sz w:val="24"/>
        </w:rPr>
        <w:t xml:space="preserve">Figur 4 nedenfor illustrerer den samlede analyseprosessen som en sekvens i fem steg: (1) </w:t>
      </w:r>
      <w:r>
        <w:rPr>
          <w:rFonts w:ascii="Times New Roman" w:hAnsi="Times New Roman" w:cs="Times New Roman"/>
          <w:b/>
          <w:sz w:val="24"/>
        </w:rPr>
        <w:t>data</w:t>
      </w:r>
      <w:r>
        <w:rPr>
          <w:rFonts w:ascii="Times New Roman" w:hAnsi="Times New Roman" w:cs="Times New Roman"/>
          <w:sz w:val="24"/>
        </w:rPr>
        <w:t xml:space="preserve"> – SAP-uttrekk via SE16H, (2) </w:t>
      </w:r>
      <w:r>
        <w:rPr>
          <w:rFonts w:ascii="Times New Roman" w:hAnsi="Times New Roman" w:cs="Times New Roman"/>
          <w:b/>
          <w:sz w:val="24"/>
        </w:rPr>
        <w:t>forutsetninger og datavalg</w:t>
      </w:r>
      <w:r>
        <w:rPr>
          <w:rFonts w:ascii="Times New Roman" w:hAnsi="Times New Roman" w:cs="Times New Roman"/>
          <w:sz w:val="24"/>
        </w:rPr>
        <w:t xml:space="preserve"> – populasjonsavgrensning, PEINH-korrigering og åtte dokumenterte beslutninger (D-01–D-08), (3) </w:t>
      </w:r>
      <w:r>
        <w:rPr>
          <w:rFonts w:ascii="Times New Roman" w:hAnsi="Times New Roman" w:cs="Times New Roman"/>
          <w:b/>
          <w:sz w:val="24"/>
        </w:rPr>
        <w:t>løsning og modellkjøring</w:t>
      </w:r>
      <w:r>
        <w:rPr>
          <w:rFonts w:ascii="Times New Roman" w:hAnsi="Times New Roman" w:cs="Times New Roman"/>
          <w:sz w:val="24"/>
        </w:rPr>
        <w:t xml:space="preserve"> – ABC, XYZ, EOQ og K-means kjørt på det forbehandlede datasettet, (4) </w:t>
      </w:r>
      <w:r>
        <w:rPr>
          <w:rFonts w:ascii="Times New Roman" w:hAnsi="Times New Roman" w:cs="Times New Roman"/>
          <w:b/>
          <w:sz w:val="24"/>
        </w:rPr>
        <w:t>kontroll og validering</w:t>
      </w:r>
      <w:r>
        <w:rPr>
          <w:rFonts w:ascii="Times New Roman" w:hAnsi="Times New Roman" w:cs="Times New Roman"/>
          <w:sz w:val="24"/>
        </w:rPr>
        <w:t xml:space="preserve"> – kryssvalidering mot ZZXYZ, silhouette på trenings- og testsett, samt sensitivitetsanalyse, og (5) </w:t>
      </w:r>
      <w:r>
        <w:rPr>
          <w:rFonts w:ascii="Times New Roman" w:hAnsi="Times New Roman" w:cs="Times New Roman"/>
          <w:b/>
          <w:sz w:val="24"/>
        </w:rPr>
        <w:t>anvendelse og anbefaling</w:t>
      </w:r>
      <w:r>
        <w:rPr>
          <w:rFonts w:ascii="Times New Roman" w:hAnsi="Times New Roman" w:cs="Times New Roman"/>
          <w:sz w:val="24"/>
        </w:rPr>
        <w:t xml:space="preserve"> – regelmotorens utfall per artikkel og besparelsesestimat.</w:t>
      </w:r>
    </w:p>
    <w:p>
      <w:r>
        <w:drawing>
          <wp:inline xmlns:a="http://schemas.openxmlformats.org/drawingml/2006/main" xmlns:pic="http://schemas.openxmlformats.org/drawingml/2006/picture">
            <wp:extent cx="5400000" cy="1615574"/>
            <wp:docPr id="7" name="Picture 7"/>
            <wp:cNvGraphicFramePr>
              <a:graphicFrameLocks noChangeAspect="1"/>
            </wp:cNvGraphicFramePr>
            <a:graphic>
              <a:graphicData uri="http://schemas.openxmlformats.org/drawingml/2006/picture">
                <pic:pic>
                  <pic:nvPicPr>
                    <pic:cNvPr id="0" name="Fig02_Analysepipeline.png"/>
                    <pic:cNvPicPr/>
                  </pic:nvPicPr>
                  <pic:blipFill>
                    <a:blip r:embed="rId25"/>
                    <a:stretch>
                      <a:fillRect/>
                    </a:stretch>
                  </pic:blipFill>
                  <pic:spPr>
                    <a:xfrm>
                      <a:off x="0" y="0"/>
                      <a:ext cx="5400000" cy="1615574"/>
                    </a:xfrm>
                    <a:prstGeom prst="rect"/>
                  </pic:spPr>
                </pic:pic>
              </a:graphicData>
            </a:graphic>
          </wp:inline>
        </w:drawing>
      </w:r>
    </w:p>
    <w:p>
      <w:pPr>
        <w:jc w:val="center"/>
      </w:pPr>
      <w:r>
        <w:rPr>
          <w:rFonts w:ascii="Times New Roman" w:hAnsi="Times New Roman"/>
          <w:i/>
          <w:sz w:val="20"/>
        </w:rPr>
        <w:t>Figur 4. Analysepipeline i fem steg: data → forutsetninger/datavalg → løsning/modellkjøring → kontroll/validering → anvendelse/anbefaling.</w:t>
      </w:r>
    </w:p>
    <w:p>
      <w:pPr>
        <w:pStyle w:val="Overskrift2"/>
      </w:pPr>
      <w:r>
        <w:rPr>
          <w:rFonts w:ascii="Times New Roman" w:hAnsi="Times New Roman"/>
          <w:color w:val="000000"/>
          <w:sz w:val="32"/>
        </w:rPr>
        <w:t>4.4 Etiske betraktninger og begrensninger</w:t>
      </w:r>
    </w:p>
    <w:p>
      <w:pPr>
        <w:spacing w:line="360" w:lineRule="auto"/>
        <w:jc w:val="both"/>
      </w:pPr>
      <w:r>
        <w:rPr>
          <w:rFonts w:ascii="Times New Roman" w:hAnsi="Times New Roman" w:cs="Times New Roman"/>
          <w:sz w:val="24"/>
        </w:rPr>
        <w:t>Studien behandler ingen personopplysninger. Alle analyser er gjennomført på artikkel- og transaksjonsnivå, ikke på individnivå. Det er ikke koblet data til ansatte, pasienter eller enkeltpersoner. Datatilgang er gitt av Helse Bergen som del av samarbeidet med Helse Vest IKT og LIBRA-prosjektet, og er avgrenset til lagertransaksjonsdata i SAP S/4HANA.</w:t>
      </w:r>
    </w:p>
    <w:p>
      <w:pPr>
        <w:spacing w:line="360" w:lineRule="auto"/>
        <w:jc w:val="both"/>
      </w:pPr>
      <w:r>
        <w:rPr>
          <w:rFonts w:ascii="Times New Roman" w:hAnsi="Times New Roman" w:cs="Times New Roman"/>
          <w:sz w:val="24"/>
        </w:rPr>
        <w:t>Parametervalgene S og h er begrunnet i avsnitt 1.4 og testes i sensitivitetsanalysen (kap. 7.6). Det understrekes at verktøyet produserer et rangert beslutningsunderlag, ikke autoriserte beslutninger: en feilklassifisering – for eksempel at en klinisk kritisk artikkel anbefales overført – kan ha konsekvenser for forsyningssikkerheten. Nettopp derfor anbefales en begrenset pilotfase med faglig og klinisk gjennomgang før implementering (se kap. 9.2).</w:t>
      </w:r>
    </w:p>
    <w:p>
      <w:pPr>
        <w:spacing w:line="360" w:lineRule="auto"/>
        <w:jc w:val="both"/>
      </w:pPr>
      <w:r>
        <w:rPr>
          <w:rFonts w:ascii="Times New Roman" w:hAnsi="Times New Roman" w:cs="Times New Roman"/>
          <w:sz w:val="24"/>
        </w:rPr>
        <w:t>En viktig etisk og operasjonell begrensning er at analysen ikke inneholder en eksplisitt kritikalitetsdimensjon (VED: Vital, Essential, Desirable). I sykehuslogistikk er kritikalitet en primær styringsparameter (Gupta et al., 2007; Gurumurthy et al., 2021): en artikkel kan være både høyverdig og stabilt etterspurt, men samtidig kritisk for pasientsikkerheten dersom leveransen forsinkes. Hjertestartpatroner, akuttmedisinsk forbruksmateriell og anestesitilbehør er typiske eksempler der stabilt forbruk ikke må forveksles med at artikkelen er trygg å sentralisere via en APL-modell med lengre leveransekjede. Kritikalitetsdata inngår ikke som strukturert variabel i SAP-uttrekket i denne studien; ved Helse Bergen foreligger VED-vurderingen i praksis som klinisk skjønn og er ikke maskinlesbar. Regelmotorens R1-regel (Z-override) fanger deler av dette ved å holde artikler med uregelmessig forbruk lokalt, men erstatter ikke en formell kritikalitetsvurdering. Pilotvalideringen i anbefaling 1 (kap. 9.2) skal derfor inkludere en klinisk kritikalitetsgjennomgang som supplement til de kvantitative signalene, før noen artikkel faktisk overføres.</w:t>
      </w:r>
    </w:p>
    <w:p>
      <w:pPr>
        <w:spacing w:line="360" w:lineRule="auto"/>
        <w:jc w:val="both"/>
      </w:pPr>
      <w:r>
        <w:rPr>
          <w:rFonts w:ascii="Times New Roman" w:hAnsi="Times New Roman" w:cs="Times New Roman"/>
          <w:sz w:val="24"/>
        </w:rPr>
        <w:t>Standardverdien for leveringstid på 14 dager (D-05) dekker 94 % av artiklene, og er den enkeltbeslutningen som potensielt har størst effekt på bestillingspunkt-beregninger. Ettersom EOQ-avviksanalysen i denne studien er basert på ordrefrekvens snarere enn bestillingspunkt, er den direkte innvirkningen på analyseresultatene begrenset; likevel bør en eventuell oppfølgingsstudie prioritere å berike EINE-tabellen med faktiske leveringstider. Alle modellenes matematiske spesifikasjon og parametersetting beskrives i kapittel 5.</w:t>
      </w:r>
    </w:p>
    <w:p>
      <w:pPr>
        <w:pStyle w:val="Overskrift2"/>
      </w:pPr>
      <w:r>
        <w:rPr>
          <w:rFonts w:ascii="Times New Roman" w:hAnsi="Times New Roman"/>
          <w:color w:val="000000"/>
          <w:sz w:val="32"/>
        </w:rPr>
        <w:t>4.5 Bruk av kunstig intelligens</w:t>
      </w:r>
    </w:p>
    <w:p>
      <w:pPr>
        <w:spacing w:line="360" w:lineRule="auto"/>
        <w:jc w:val="both"/>
      </w:pPr>
      <w:r>
        <w:rPr>
          <w:rFonts w:ascii="Times New Roman" w:hAnsi="Times New Roman" w:cs="Times New Roman"/>
          <w:sz w:val="24"/>
        </w:rPr>
        <w:t>Kunstig intelligens i form av store språkmodeller ble benyttet som faglig støtteverktøy gjennom hele prosjektperioden, i tråd med Høgskolen i Moldes retningslinjer for bruk av KI ved hjemmeeksamen. Claude ble anvendt til kodestøtte, generering av datavisualiseringer og språklig bearbeiding av rapportteksten. KI-verktøyet er ikke brukt som fagkilde og er ikke sitert som belegg for faglige påstander. All KI-generert kode og tekst er kritisk gjennomgått og revidert av forfatteren; en refleksjon over KI-brukens påvirkning på arbeidsprosessen er gitt i Vedlegg C.</w:t>
      </w:r>
    </w:p>
    <w:p>
      <w:pPr>
        <w:pStyle w:val="Overskrift1"/>
        <w:pageBreakBefore w:val="true"/>
      </w:pPr>
      <w:r>
        <w:rPr>
          <w:rFonts w:ascii="Times New Roman" w:hAnsi="Times New Roman"/>
          <w:color w:val="000000"/>
          <w:sz w:val="36"/>
        </w:rPr>
        <w:t>Kapittel 5 – Modellering</w:t>
      </w:r>
    </w:p>
    <w:p>
      <w:pPr>
        <w:pStyle w:val="Overskrift2"/>
      </w:pPr>
      <w:r>
        <w:rPr>
          <w:rFonts w:ascii="Times New Roman" w:hAnsi="Times New Roman"/>
          <w:color w:val="000000"/>
          <w:sz w:val="32"/>
        </w:rPr>
        <w:t>5.1 ABC-modellen</w:t>
      </w:r>
    </w:p>
    <w:p>
      <w:pPr>
        <w:spacing w:line="360" w:lineRule="auto"/>
        <w:jc w:val="both"/>
      </w:pPr>
      <w:r>
        <w:rPr>
          <w:rFonts w:ascii="Times New Roman" w:hAnsi="Times New Roman" w:cs="Times New Roman"/>
          <w:sz w:val="24"/>
        </w:rPr>
        <w:t xml:space="preserve">ABC-analyse er en rangerings- og klassifiseringsmetode basert på Pareto-prinsippet, som postulerer at en liten andel av artiklene i et lager typisk står for hoveddelen av den totale verdibindingen (Gupta et al., 2007). Metoden gir en strukturert tilnærming til å skille artikler som krever tett styring fra artikler der en enklere tilnærming er tilstrekkelig (van Kampen et al., 2012). Modellformen er en </w:t>
      </w:r>
      <w:r>
        <w:rPr>
          <w:rFonts w:ascii="Times New Roman" w:hAnsi="Times New Roman" w:cs="Times New Roman"/>
          <w:b/>
          <w:sz w:val="24"/>
        </w:rPr>
        <w:t>klassifiseringsregel</w:t>
      </w:r>
      <w:r>
        <w:rPr>
          <w:rFonts w:ascii="Times New Roman" w:hAnsi="Times New Roman" w:cs="Times New Roman"/>
          <w:sz w:val="24"/>
        </w:rPr>
        <w:t>: én årsverdi per artikkel, to kumulative terskelverdier (80 % og 95 %), og ett beslutningskriterium som tilordner hver artikkel til klasse A, B eller C.</w:t>
      </w:r>
    </w:p>
    <w:p>
      <w:pPr>
        <w:spacing w:line="360" w:lineRule="auto"/>
        <w:jc w:val="both"/>
      </w:pPr>
      <w:r>
        <w:rPr>
          <w:rFonts w:ascii="Times New Roman" w:hAnsi="Times New Roman" w:cs="Times New Roman"/>
          <w:sz w:val="24"/>
        </w:rPr>
        <w:t xml:space="preserve">For hver artikkel </w:t>
      </w:r>
      <m:oMath>
        <m:r>
          <m:t>i</m:t>
        </m:r>
      </m:oMath>
      <w:r>
        <w:rPr>
          <w:rFonts w:ascii="Times New Roman" w:hAnsi="Times New Roman" w:cs="Times New Roman"/>
          <w:sz w:val="24"/>
        </w:rPr>
        <w:t xml:space="preserve"> beregnes en årsverdi </w:t>
      </w:r>
      <m:oMath>
        <m:sSub>
          <m:e>
            <m:r>
              <m:t>v</m:t>
            </m:r>
          </m:e>
          <m:sub>
            <m:r>
              <m:t>i</m:t>
            </m:r>
          </m:sub>
        </m:sSub>
      </m:oMath>
      <w:r>
        <w:rPr>
          <w:rFonts w:ascii="Times New Roman" w:hAnsi="Times New Roman" w:cs="Times New Roman"/>
          <w:sz w:val="24"/>
        </w:rPr>
        <w:t xml:space="preserve"> som produktet av årsforbruk og enhetspris:</w:t>
      </w:r>
    </w:p>
    <w:p>
      <w:pPr>
        <w:spacing w:line="360" w:lineRule="auto"/>
        <w:jc w:val="center"/>
      </w:pPr>
      <m:oMath>
        <m:sSub>
          <m:e>
            <m:r>
              <m:t>v</m:t>
            </m:r>
          </m:e>
          <m:sub>
            <m:r>
              <m:t>i</m:t>
            </m:r>
          </m:sub>
        </m:sSub>
        <m:r>
          <m:t>=</m:t>
        </m:r>
        <m:sSub>
          <m:e>
            <m:r>
              <m:t>D</m:t>
            </m:r>
          </m:e>
          <m:sub>
            <m:r>
              <m:t>i</m:t>
            </m:r>
          </m:sub>
        </m:sSub>
        <m:r>
          <m:t>×</m:t>
        </m:r>
        <m:sSub>
          <m:e>
            <m:r>
              <m:rPr>
                <m:nor/>
              </m:rPr>
              <m:t>UNIT\_PRICE</m:t>
            </m:r>
          </m:e>
          <m:sub>
            <m:r>
              <m:t>i</m:t>
            </m:r>
          </m:sub>
        </m:sSub>
      </m:oMath>
    </w:p>
    <w:p>
      <w:pPr>
        <w:spacing w:line="360" w:lineRule="auto"/>
        <w:jc w:val="both"/>
      </w:pPr>
      <w:r>
        <w:rPr>
          <w:rFonts w:ascii="Times New Roman" w:hAnsi="Times New Roman" w:cs="Times New Roman"/>
          <w:sz w:val="24"/>
        </w:rPr>
        <w:t xml:space="preserve">Der </w:t>
      </w:r>
      <m:oMath>
        <m:sSub>
          <m:e>
            <m:r>
              <m:t>D</m:t>
            </m:r>
          </m:e>
          <m:sub>
            <m:r>
              <m:t>i</m:t>
            </m:r>
          </m:sub>
        </m:sSub>
      </m:oMath>
      <w:r>
        <w:rPr>
          <w:rFonts w:ascii="Times New Roman" w:hAnsi="Times New Roman" w:cs="Times New Roman"/>
          <w:sz w:val="24"/>
        </w:rPr>
        <w:t xml:space="preserve"> er annualisert forbruk (enheter/år) og </w:t>
      </w:r>
      <m:oMath>
        <m:sSub>
          <m:e>
            <m:r>
              <m:rPr>
                <m:nor/>
              </m:rPr>
              <m:t>UNIT\_PRICE</m:t>
            </m:r>
          </m:e>
          <m:sub>
            <m:r>
              <m:t>i</m:t>
            </m:r>
          </m:sub>
        </m:sSub>
      </m:oMath>
      <w:r>
        <w:rPr>
          <w:rFonts w:ascii="Times New Roman" w:hAnsi="Times New Roman" w:cs="Times New Roman"/>
          <w:sz w:val="24"/>
        </w:rPr>
        <w:t xml:space="preserve"> er PEINH-korrigert standardpris (NOK/enhet), jf. beslutning D-02 og D-03 i avsnitt 4.3. Artiklene sorteres deretter i synkende rekkefølge etter </w:t>
      </w:r>
      <m:oMath>
        <m:sSub>
          <m:e>
            <m:r>
              <m:t>v</m:t>
            </m:r>
          </m:e>
          <m:sub>
            <m:r>
              <m:t>i</m:t>
            </m:r>
          </m:sub>
        </m:sSub>
      </m:oMath>
      <w:r>
        <w:rPr>
          <w:rFonts w:ascii="Times New Roman" w:hAnsi="Times New Roman" w:cs="Times New Roman"/>
          <w:sz w:val="24"/>
        </w:rPr>
        <w:t xml:space="preserve">, og kumulativ verdiandel </w:t>
      </w:r>
      <m:oMath>
        <m:sSub>
          <m:e>
            <m:r>
              <m:t>C</m:t>
            </m:r>
          </m:e>
          <m:sub>
            <m:r>
              <m:t>i</m:t>
            </m:r>
          </m:sub>
        </m:sSub>
      </m:oMath>
      <w:r>
        <w:rPr>
          <w:rFonts w:ascii="Times New Roman" w:hAnsi="Times New Roman" w:cs="Times New Roman"/>
          <w:sz w:val="24"/>
        </w:rPr>
        <w:t xml:space="preserve"> beregnes som:</w:t>
      </w:r>
    </w:p>
    <w:p>
      <w:pPr>
        <w:spacing w:line="360" w:lineRule="auto"/>
        <w:jc w:val="center"/>
      </w:pPr>
      <m:oMath>
        <m:sSub>
          <m:e>
            <m:r>
              <m:t>C</m:t>
            </m:r>
          </m:e>
          <m:sub>
            <m:r>
              <m:t>i</m:t>
            </m:r>
          </m:sub>
        </m:sSub>
        <m:r>
          <m:t>=</m:t>
        </m:r>
        <m:f>
          <m:fPr>
            <m:type m:val="bar"/>
          </m:fPr>
          <m:num>
            <m:nary>
              <m:naryPr>
                <m:chr m:val="∑"/>
                <m:limLoc m:val="subSup"/>
                <m:grow m:val="1"/>
                <m:subHide m:val="off"/>
                <m:supHide m:val="off"/>
              </m:naryPr>
              <m:sub>
                <m:r>
                  <m:t>j=1</m:t>
                </m:r>
              </m:sub>
              <m:sup>
                <m:r>
                  <m:t>i</m:t>
                </m:r>
              </m:sup>
              <m:e>
                <m:sSub>
                  <m:e>
                    <m:r>
                      <m:t>v</m:t>
                    </m:r>
                  </m:e>
                  <m:sub>
                    <m:r>
                      <m:t>j</m:t>
                    </m:r>
                  </m:sub>
                </m:sSub>
              </m:e>
            </m:nary>
          </m:num>
          <m:den>
            <m:sSub>
              <m:e>
                <m:r>
                  <m:t>V</m:t>
                </m:r>
              </m:e>
              <m:sub>
                <m:r>
                  <m:rPr>
                    <m:nor/>
                  </m:rPr>
                  <m:t>tot</m:t>
                </m:r>
              </m:sub>
            </m:sSub>
          </m:den>
        </m:f>
      </m:oMath>
    </w:p>
    <w:p>
      <w:pPr>
        <w:spacing w:line="360" w:lineRule="auto"/>
        <w:jc w:val="both"/>
      </w:pPr>
      <w:r>
        <w:rPr>
          <w:rFonts w:ascii="Times New Roman" w:hAnsi="Times New Roman" w:cs="Times New Roman"/>
          <w:sz w:val="24"/>
        </w:rPr>
        <w:t xml:space="preserve">der </w:t>
      </w:r>
      <m:oMath>
        <m:sSub>
          <m:e>
            <m:r>
              <m:t>V</m:t>
            </m:r>
          </m:e>
          <m:sub>
            <m:r>
              <m:rPr>
                <m:nor/>
              </m:rPr>
              <m:t>tot</m:t>
            </m:r>
          </m:sub>
        </m:sSub>
        <m:r>
          <m:t>=</m:t>
        </m:r>
        <m:nary>
          <m:naryPr>
            <m:chr m:val="∑"/>
            <m:limLoc m:val="subSup"/>
            <m:grow m:val="1"/>
            <m:subHide m:val="off"/>
            <m:supHide m:val="off"/>
          </m:naryPr>
          <m:sub>
            <m:r>
              <m:t>j=1</m:t>
            </m:r>
          </m:sub>
          <m:sup>
            <m:r>
              <m:t>N</m:t>
            </m:r>
          </m:sup>
          <m:e>
            <m:sSub>
              <m:e>
                <m:r>
                  <m:t>v</m:t>
                </m:r>
              </m:e>
              <m:sub>
                <m:r>
                  <m:t>j</m:t>
                </m:r>
              </m:sub>
            </m:sSub>
          </m:e>
        </m:nary>
      </m:oMath>
      <w:r>
        <w:rPr>
          <w:rFonts w:ascii="Times New Roman" w:hAnsi="Times New Roman" w:cs="Times New Roman"/>
          <w:sz w:val="24"/>
        </w:rPr>
        <w:t xml:space="preserve"> er total årsverdi over alle </w:t>
      </w:r>
      <m:oMath>
        <m:r>
          <m:t>N</m:t>
        </m:r>
      </m:oMath>
      <w:r>
        <w:rPr>
          <w:rFonts w:ascii="Times New Roman" w:hAnsi="Times New Roman" w:cs="Times New Roman"/>
          <w:sz w:val="24"/>
        </w:rPr>
        <w:t xml:space="preserve"> artikler. En artikkel tilhører A-klassen dersom </w:t>
      </w:r>
      <m:oMath>
        <m:sSub>
          <m:e>
            <m:r>
              <m:t>C</m:t>
            </m:r>
          </m:e>
          <m:sub>
            <m:r>
              <m:t>i</m:t>
            </m:r>
          </m:sub>
        </m:sSub>
        <m:r>
          <m:t>≤0</m:t>
        </m:r>
        <m:r>
          <m:t>,</m:t>
        </m:r>
        <m:r>
          <m:t>80</m:t>
        </m:r>
      </m:oMath>
      <w:r>
        <w:rPr>
          <w:rFonts w:ascii="Times New Roman" w:hAnsi="Times New Roman" w:cs="Times New Roman"/>
          <w:sz w:val="24"/>
        </w:rPr>
        <w:t xml:space="preserve">, B-klassen dersom </w:t>
      </w:r>
      <m:oMath>
        <m:r>
          <m:t>0</m:t>
        </m:r>
        <m:r>
          <m:t>,</m:t>
        </m:r>
        <m:r>
          <m:t>80&lt;</m:t>
        </m:r>
        <m:sSub>
          <m:e>
            <m:r>
              <m:t>C</m:t>
            </m:r>
          </m:e>
          <m:sub>
            <m:r>
              <m:t>i</m:t>
            </m:r>
          </m:sub>
        </m:sSub>
        <m:r>
          <m:t>≤0</m:t>
        </m:r>
        <m:r>
          <m:t>,</m:t>
        </m:r>
        <m:r>
          <m:t>95</m:t>
        </m:r>
      </m:oMath>
      <w:r>
        <w:rPr>
          <w:rFonts w:ascii="Times New Roman" w:hAnsi="Times New Roman" w:cs="Times New Roman"/>
          <w:sz w:val="24"/>
        </w:rPr>
        <w:t>, og C-klassen ellers.</w:t>
      </w:r>
    </w:p>
    <w:p>
      <w:pPr>
        <w:spacing w:line="360" w:lineRule="auto"/>
        <w:jc w:val="both"/>
      </w:pPr>
      <w:r>
        <w:rPr>
          <w:rFonts w:ascii="Times New Roman" w:hAnsi="Times New Roman" w:cs="Times New Roman"/>
          <w:sz w:val="24"/>
        </w:rPr>
        <w:t>Klassifiseringsgrensene er satt i henhold til standard ABC-litteratur (Silaen et al., 2023):</w:t>
      </w:r>
    </w:p>
    <w:p>
      <w:r>
        <w:rPr>
          <w:rFonts w:ascii="Times New Roman" w:hAnsi="Times New Roman"/>
          <w:b/>
          <w:sz w:val="20"/>
        </w:rPr>
        <w:t>Tabell 6</w:t>
      </w:r>
    </w:p>
    <w:p>
      <w:r>
        <w:rPr>
          <w:rFonts w:ascii="Times New Roman" w:hAnsi="Times New Roman"/>
          <w:i/>
          <w:sz w:val="20"/>
        </w:rPr>
        <w:t>Modellparametere: ABC-klassifiseringsgrenser og øvrige analyseinnstillinger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Parameter</w:t>
            </w:r>
          </w:p>
        </w:tc>
        <w:tc>
          <w:tcPr>
            <w:tcW w:type="dxa" w:w="2923"/>
            <w:tcBorders>
              <w:top w:val="single" w:sz="8" w:space="0" w:color="000000"/>
              <w:bottom w:val="single" w:sz="4" w:space="0" w:color="000000"/>
              <w:left w:val="nil"/>
              <w:right w:val="nil"/>
            </w:tcBorders>
          </w:tcPr>
          <w:p>
            <w:r/>
            <w:r>
              <w:rPr>
                <w:rFonts w:ascii="Times New Roman" w:hAnsi="Times New Roman"/>
                <w:b/>
                <w:sz w:val="22"/>
              </w:rPr>
              <w:t>Verdi</w:t>
            </w:r>
          </w:p>
        </w:tc>
        <w:tc>
          <w:tcPr>
            <w:tcW w:type="dxa" w:w="2923"/>
            <w:tcBorders>
              <w:top w:val="single" w:sz="8" w:space="0" w:color="000000"/>
              <w:bottom w:val="single" w:sz="4" w:space="0" w:color="000000"/>
              <w:left w:val="nil"/>
              <w:right w:val="nil"/>
            </w:tcBorders>
          </w:tcPr>
          <w:p>
            <w:r/>
            <w:r>
              <w:rPr>
                <w:rFonts w:ascii="Times New Roman" w:hAnsi="Times New Roman"/>
                <w:b/>
                <w:sz w:val="22"/>
              </w:rPr>
              <w:t>Kilde/Begrunnelse</w:t>
            </w:r>
          </w:p>
        </w:tc>
      </w:tr>
      <w:tr>
        <w:tc>
          <w:tcPr>
            <w:tcW w:type="dxa" w:w="2923"/>
          </w:tcPr>
          <w:p>
            <w:r/>
            <w:r>
              <w:rPr>
                <w:rFonts w:ascii="Times New Roman" w:hAnsi="Times New Roman"/>
                <w:b w:val="0"/>
                <w:sz w:val="22"/>
              </w:rPr>
              <w:t>ABC A-grense</w:t>
            </w:r>
          </w:p>
        </w:tc>
        <w:tc>
          <w:tcPr>
            <w:tcW w:type="dxa" w:w="2923"/>
          </w:tcPr>
          <w:p>
            <w:r/>
            <w:r>
              <w:rPr>
                <w:rFonts w:ascii="Times New Roman" w:hAnsi="Times New Roman"/>
                <w:b w:val="0"/>
                <w:sz w:val="22"/>
              </w:rPr>
              <w:t>80 % kumulativ verdi</w:t>
            </w:r>
          </w:p>
        </w:tc>
        <w:tc>
          <w:tcPr>
            <w:tcW w:type="dxa" w:w="2923"/>
          </w:tcPr>
          <w:p>
            <w:r/>
            <w:r>
              <w:rPr>
                <w:rFonts w:ascii="Times New Roman" w:hAnsi="Times New Roman"/>
                <w:b w:val="0"/>
                <w:sz w:val="22"/>
              </w:rPr>
              <w:t>Silaen et al. (2023)</w:t>
            </w:r>
          </w:p>
        </w:tc>
      </w:tr>
      <w:tr>
        <w:tc>
          <w:tcPr>
            <w:tcW w:type="dxa" w:w="2923"/>
          </w:tcPr>
          <w:p>
            <w:r/>
            <w:r>
              <w:rPr>
                <w:rFonts w:ascii="Times New Roman" w:hAnsi="Times New Roman"/>
                <w:b w:val="0"/>
                <w:sz w:val="22"/>
              </w:rPr>
              <w:t>ABC B-grense</w:t>
            </w:r>
          </w:p>
        </w:tc>
        <w:tc>
          <w:tcPr>
            <w:tcW w:type="dxa" w:w="2923"/>
          </w:tcPr>
          <w:p>
            <w:r/>
            <w:r>
              <w:rPr>
                <w:rFonts w:ascii="Times New Roman" w:hAnsi="Times New Roman"/>
                <w:b w:val="0"/>
                <w:sz w:val="22"/>
              </w:rPr>
              <w:t>95 % kumulativ verdi</w:t>
            </w:r>
          </w:p>
        </w:tc>
        <w:tc>
          <w:tcPr>
            <w:tcW w:type="dxa" w:w="2923"/>
          </w:tcPr>
          <w:p>
            <w:r/>
            <w:r>
              <w:rPr>
                <w:rFonts w:ascii="Times New Roman" w:hAnsi="Times New Roman"/>
                <w:b w:val="0"/>
                <w:sz w:val="22"/>
              </w:rPr>
              <w:t>Silaen et al. (2023)</w:t>
            </w:r>
          </w:p>
        </w:tc>
      </w:tr>
      <w:tr>
        <w:tc>
          <w:tcPr>
            <w:tcW w:type="dxa" w:w="2923"/>
          </w:tcPr>
          <w:p>
            <w:r/>
            <w:r>
              <w:rPr>
                <w:rFonts w:ascii="Times New Roman" w:hAnsi="Times New Roman"/>
                <w:b w:val="0"/>
                <w:sz w:val="22"/>
              </w:rPr>
              <w:t>XYZ X-grense</w:t>
            </w:r>
          </w:p>
        </w:tc>
        <w:tc>
          <w:tcPr>
            <w:tcW w:type="dxa" w:w="2923"/>
          </w:tcPr>
          <w:p>
            <w:r/>
            <w:r>
              <w:rPr>
                <w:rFonts w:ascii="Times New Roman" w:hAnsi="Times New Roman"/>
                <w:b w:val="0"/>
                <w:sz w:val="22"/>
              </w:rPr>
              <w:t>CV &lt; 0,5</w:t>
            </w:r>
          </w:p>
        </w:tc>
        <w:tc>
          <w:tcPr>
            <w:tcW w:type="dxa" w:w="2923"/>
          </w:tcPr>
          <w:p>
            <w:r/>
            <w:r>
              <w:rPr>
                <w:rFonts w:ascii="Times New Roman" w:hAnsi="Times New Roman"/>
                <w:b w:val="0"/>
                <w:sz w:val="22"/>
              </w:rPr>
              <w:t>Nowotyńska (2013)</w:t>
            </w:r>
          </w:p>
        </w:tc>
      </w:tr>
      <w:tr>
        <w:tc>
          <w:tcPr>
            <w:tcW w:type="dxa" w:w="2923"/>
          </w:tcPr>
          <w:p>
            <w:r/>
            <w:r>
              <w:rPr>
                <w:rFonts w:ascii="Times New Roman" w:hAnsi="Times New Roman"/>
                <w:b w:val="0"/>
                <w:sz w:val="22"/>
              </w:rPr>
              <w:t>XYZ Y-grense</w:t>
            </w:r>
          </w:p>
        </w:tc>
        <w:tc>
          <w:tcPr>
            <w:tcW w:type="dxa" w:w="2923"/>
          </w:tcPr>
          <w:p>
            <w:r/>
            <w:r>
              <w:rPr>
                <w:rFonts w:ascii="Times New Roman" w:hAnsi="Times New Roman"/>
                <w:b w:val="0"/>
                <w:sz w:val="22"/>
              </w:rPr>
              <w:t>0,5 ≤ CV &lt; 1,0</w:t>
            </w:r>
          </w:p>
        </w:tc>
        <w:tc>
          <w:tcPr>
            <w:tcW w:type="dxa" w:w="2923"/>
          </w:tcPr>
          <w:p>
            <w:r/>
            <w:r>
              <w:rPr>
                <w:rFonts w:ascii="Times New Roman" w:hAnsi="Times New Roman"/>
                <w:b w:val="0"/>
                <w:sz w:val="22"/>
              </w:rPr>
              <w:t>Nowotyńska (2013)</w:t>
            </w:r>
          </w:p>
        </w:tc>
      </w:tr>
      <w:tr>
        <w:tc>
          <w:tcPr>
            <w:tcW w:type="dxa" w:w="2923"/>
          </w:tcPr>
          <w:p>
            <w:r/>
            <w:r>
              <w:rPr>
                <w:rFonts w:ascii="Times New Roman" w:hAnsi="Times New Roman"/>
                <w:b w:val="0"/>
                <w:sz w:val="22"/>
              </w:rPr>
              <w:t>XYZ Z-grense</w:t>
            </w:r>
          </w:p>
        </w:tc>
        <w:tc>
          <w:tcPr>
            <w:tcW w:type="dxa" w:w="2923"/>
          </w:tcPr>
          <w:p>
            <w:r/>
            <w:r>
              <w:rPr>
                <w:rFonts w:ascii="Times New Roman" w:hAnsi="Times New Roman"/>
                <w:b w:val="0"/>
                <w:sz w:val="22"/>
              </w:rPr>
              <w:t>CV ≥ 1,0</w:t>
            </w:r>
          </w:p>
        </w:tc>
        <w:tc>
          <w:tcPr>
            <w:tcW w:type="dxa" w:w="2923"/>
          </w:tcPr>
          <w:p>
            <w:r/>
            <w:r>
              <w:rPr>
                <w:rFonts w:ascii="Times New Roman" w:hAnsi="Times New Roman"/>
                <w:b w:val="0"/>
                <w:sz w:val="22"/>
              </w:rPr>
              <w:t>Nowotyńska (2013)</w:t>
            </w:r>
          </w:p>
        </w:tc>
      </w:tr>
      <w:tr>
        <w:tc>
          <w:tcPr>
            <w:tcW w:type="dxa" w:w="2923"/>
          </w:tcPr>
          <w:p>
            <w:r/>
            <w:r>
              <w:rPr>
                <w:rFonts w:ascii="Times New Roman" w:hAnsi="Times New Roman"/>
                <w:b w:val="0"/>
                <w:sz w:val="22"/>
              </w:rPr>
              <w:t>Ordrekostnad S</w:t>
            </w:r>
          </w:p>
        </w:tc>
        <w:tc>
          <w:tcPr>
            <w:tcW w:type="dxa" w:w="2923"/>
          </w:tcPr>
          <w:p>
            <w:r/>
            <w:r>
              <w:rPr>
                <w:rFonts w:ascii="Times New Roman" w:hAnsi="Times New Roman"/>
                <w:b w:val="0"/>
                <w:sz w:val="22"/>
              </w:rPr>
              <w:t>750 NOK</w:t>
            </w:r>
          </w:p>
        </w:tc>
        <w:tc>
          <w:tcPr>
            <w:tcW w:type="dxa" w:w="2923"/>
          </w:tcPr>
          <w:p>
            <w:r/>
            <w:r>
              <w:rPr>
                <w:rFonts w:ascii="Times New Roman" w:hAnsi="Times New Roman"/>
                <w:b w:val="0"/>
                <w:sz w:val="22"/>
              </w:rPr>
              <w:t>Bijvank &amp; Vis (2012); Kelle et al. (2012)</w:t>
            </w:r>
          </w:p>
        </w:tc>
      </w:tr>
      <w:tr>
        <w:tc>
          <w:tcPr>
            <w:tcW w:type="dxa" w:w="2923"/>
          </w:tcPr>
          <w:p>
            <w:r/>
            <w:r>
              <w:rPr>
                <w:rFonts w:ascii="Times New Roman" w:hAnsi="Times New Roman"/>
                <w:b w:val="0"/>
                <w:sz w:val="22"/>
              </w:rPr>
              <w:t>Holdesats h</w:t>
            </w:r>
          </w:p>
        </w:tc>
        <w:tc>
          <w:tcPr>
            <w:tcW w:type="dxa" w:w="2923"/>
          </w:tcPr>
          <w:p>
            <w:r/>
            <w:r>
              <w:rPr>
                <w:rFonts w:ascii="Times New Roman" w:hAnsi="Times New Roman"/>
                <w:b w:val="0"/>
                <w:sz w:val="22"/>
              </w:rPr>
              <w:t>20 % av UNIT_PRICE</w:t>
            </w:r>
          </w:p>
        </w:tc>
        <w:tc>
          <w:tcPr>
            <w:tcW w:type="dxa" w:w="2923"/>
          </w:tcPr>
          <w:p>
            <w:r/>
            <w:r>
              <w:rPr>
                <w:rFonts w:ascii="Times New Roman" w:hAnsi="Times New Roman"/>
                <w:b w:val="0"/>
                <w:sz w:val="22"/>
              </w:rPr>
              <w:t>Ketkar &amp; Vaidya (2014)</w:t>
            </w:r>
          </w:p>
        </w:tc>
      </w:tr>
      <w:tr>
        <w:tc>
          <w:tcPr>
            <w:tcW w:type="dxa" w:w="2923"/>
          </w:tcPr>
          <w:p>
            <w:r/>
            <w:r>
              <w:rPr>
                <w:rFonts w:ascii="Times New Roman" w:hAnsi="Times New Roman"/>
                <w:b w:val="0"/>
                <w:sz w:val="22"/>
              </w:rPr>
              <w:t>Leveringstid standardverdi</w:t>
            </w:r>
          </w:p>
        </w:tc>
        <w:tc>
          <w:tcPr>
            <w:tcW w:type="dxa" w:w="2923"/>
          </w:tcPr>
          <w:p>
            <w:r/>
            <w:r>
              <w:rPr>
                <w:rFonts w:ascii="Times New Roman" w:hAnsi="Times New Roman"/>
                <w:b w:val="0"/>
                <w:sz w:val="22"/>
              </w:rPr>
              <w:t>14 dager</w:t>
            </w:r>
          </w:p>
        </w:tc>
        <w:tc>
          <w:tcPr>
            <w:tcW w:type="dxa" w:w="2923"/>
          </w:tcPr>
          <w:p>
            <w:r/>
            <w:r>
              <w:rPr>
                <w:rFonts w:ascii="Times New Roman" w:hAnsi="Times New Roman"/>
                <w:b w:val="0"/>
                <w:sz w:val="22"/>
              </w:rPr>
              <w:t>Bransjepraksis (D-05)</w:t>
            </w:r>
          </w:p>
        </w:tc>
      </w:tr>
      <w:tr>
        <w:tc>
          <w:tcPr>
            <w:tcW w:type="dxa" w:w="2923"/>
          </w:tcPr>
          <w:p>
            <w:r/>
            <w:r>
              <w:rPr>
                <w:rFonts w:ascii="Times New Roman" w:hAnsi="Times New Roman"/>
                <w:b w:val="0"/>
                <w:sz w:val="22"/>
              </w:rPr>
              <w:t>EOQ-terskel τ_f</w:t>
            </w:r>
          </w:p>
        </w:tc>
        <w:tc>
          <w:tcPr>
            <w:tcW w:type="dxa" w:w="2923"/>
          </w:tcPr>
          <w:p>
            <w:r/>
            <w:r>
              <w:rPr>
                <w:rFonts w:ascii="Times New Roman" w:hAnsi="Times New Roman"/>
                <w:b w:val="0"/>
                <w:sz w:val="22"/>
              </w:rPr>
              <w:t>1,5 (</w:t>
            </w:r>
            <m:oMath>
              <m:sSub>
                <m:e>
                  <m:r>
                    <m:t>f</m:t>
                  </m:r>
                </m:e>
                <m:sub>
                  <m:r>
                    <m:rPr>
                      <m:nor/>
                    </m:rPr>
                    <m:t>obs</m:t>
                  </m:r>
                  <m:r>
                    <m:t>,i</m:t>
                  </m:r>
                </m:sub>
              </m:sSub>
              <m:r>
                <m:t>&gt;1</m:t>
              </m:r>
              <m:r>
                <m:t>,</m:t>
              </m:r>
              <m:r>
                <m:t>5·</m:t>
              </m:r>
              <m:sSubSup>
                <m:e>
                  <m:r>
                    <m:t>f</m:t>
                  </m:r>
                </m:e>
                <m:sub>
                  <m:r>
                    <m:t>i</m:t>
                  </m:r>
                </m:sub>
                <m:sup>
                  <m:r>
                    <m:t>*</m:t>
                  </m:r>
                </m:sup>
              </m:sSubSup>
            </m:oMath>
            <w:r>
              <w:rPr>
                <w:rFonts w:ascii="Times New Roman" w:hAnsi="Times New Roman"/>
                <w:b w:val="0"/>
                <w:sz w:val="22"/>
              </w:rPr>
              <w:t>, ekvivalent FREQ_AVVIK &gt; 0,5 og FREQ_AVVIK_PCT &gt; 50 %)</w:t>
            </w:r>
          </w:p>
        </w:tc>
        <w:tc>
          <w:tcPr>
            <w:tcW w:type="dxa" w:w="2923"/>
          </w:tcPr>
          <w:p>
            <w:r/>
            <w:r>
              <w:rPr>
                <w:rFonts w:ascii="Times New Roman" w:hAnsi="Times New Roman"/>
                <w:b w:val="0"/>
                <w:sz w:val="22"/>
              </w:rPr>
              <w:t>Operasjonelt vesentlig avvik (forfatterens skjønn, jf. g = 75 %)</w:t>
            </w:r>
          </w:p>
        </w:tc>
      </w:tr>
      <w:tr>
        <w:tc>
          <w:tcPr>
            <w:tcW w:type="dxa" w:w="2923"/>
          </w:tcPr>
          <w:p>
            <w:r/>
            <w:r>
              <w:rPr>
                <w:rFonts w:ascii="Times New Roman" w:hAnsi="Times New Roman"/>
                <w:b w:val="0"/>
                <w:sz w:val="22"/>
              </w:rPr>
              <w:t>K-means K-søk</w:t>
            </w:r>
          </w:p>
        </w:tc>
        <w:tc>
          <w:tcPr>
            <w:tcW w:type="dxa" w:w="2923"/>
          </w:tcPr>
          <w:p>
            <w:r/>
            <w:r>
              <w:rPr>
                <w:rFonts w:ascii="Times New Roman" w:hAnsi="Times New Roman"/>
                <w:b w:val="0"/>
                <w:sz w:val="22"/>
              </w:rPr>
              <w:t>K ∈ {2, 3, 4, 5, 6, 7}</w:t>
            </w:r>
          </w:p>
        </w:tc>
        <w:tc>
          <w:tcPr>
            <w:tcW w:type="dxa" w:w="2923"/>
          </w:tcPr>
          <w:p>
            <w:r/>
            <w:r>
              <w:rPr>
                <w:rFonts w:ascii="Times New Roman" w:hAnsi="Times New Roman"/>
                <w:b w:val="0"/>
                <w:sz w:val="22"/>
              </w:rPr>
              <w:t>Silhouette-optimering</w:t>
            </w:r>
          </w:p>
        </w:tc>
      </w:tr>
      <w:tr>
        <w:tc>
          <w:tcPr>
            <w:tcW w:type="dxa" w:w="2923"/>
          </w:tcPr>
          <w:p>
            <w:r/>
            <w:r>
              <w:rPr>
                <w:rFonts w:ascii="Times New Roman" w:hAnsi="Times New Roman"/>
                <w:b w:val="0"/>
                <w:sz w:val="22"/>
              </w:rPr>
              <w:t>K-means n_init</w:t>
            </w:r>
          </w:p>
        </w:tc>
        <w:tc>
          <w:tcPr>
            <w:tcW w:type="dxa" w:w="2923"/>
          </w:tcPr>
          <w:p>
            <w:r/>
            <w:r>
              <w:rPr>
                <w:rFonts w:ascii="Times New Roman" w:hAnsi="Times New Roman"/>
                <w:b w:val="0"/>
                <w:sz w:val="22"/>
              </w:rPr>
              <w:t>50</w:t>
            </w:r>
          </w:p>
        </w:tc>
        <w:tc>
          <w:tcPr>
            <w:tcW w:type="dxa" w:w="2923"/>
          </w:tcPr>
          <w:p>
            <w:r/>
            <w:r>
              <w:rPr>
                <w:rFonts w:ascii="Times New Roman" w:hAnsi="Times New Roman"/>
                <w:b w:val="0"/>
                <w:sz w:val="22"/>
              </w:rPr>
              <w:t>Robust initialisering</w:t>
            </w:r>
          </w:p>
        </w:tc>
      </w:tr>
      <w:tr>
        <w:tc>
          <w:tcPr>
            <w:tcW w:type="dxa" w:w="2923"/>
          </w:tcPr>
          <w:p>
            <w:r/>
            <w:r>
              <w:rPr>
                <w:rFonts w:ascii="Times New Roman" w:hAnsi="Times New Roman"/>
                <w:b w:val="0"/>
                <w:sz w:val="22"/>
              </w:rPr>
              <w:t>Random state</w:t>
            </w:r>
          </w:p>
        </w:tc>
        <w:tc>
          <w:tcPr>
            <w:tcW w:type="dxa" w:w="2923"/>
          </w:tcPr>
          <w:p>
            <w:r/>
            <w:r>
              <w:rPr>
                <w:rFonts w:ascii="Times New Roman" w:hAnsi="Times New Roman"/>
                <w:b w:val="0"/>
                <w:sz w:val="22"/>
              </w:rPr>
              <w:t>42</w:t>
            </w:r>
          </w:p>
        </w:tc>
        <w:tc>
          <w:tcPr>
            <w:tcW w:type="dxa" w:w="2923"/>
          </w:tcPr>
          <w:p>
            <w:r/>
            <w:r>
              <w:rPr>
                <w:rFonts w:ascii="Times New Roman" w:hAnsi="Times New Roman"/>
                <w:b w:val="0"/>
                <w:sz w:val="22"/>
              </w:rPr>
              <w:t>Reproduserbarhet</w:t>
            </w:r>
          </w:p>
        </w:tc>
      </w:tr>
      <w:tr>
        <w:tc>
          <w:tcPr>
            <w:tcW w:type="dxa" w:w="2923"/>
          </w:tcPr>
          <w:p>
            <w:r/>
            <w:r>
              <w:rPr>
                <w:rFonts w:ascii="Times New Roman" w:hAnsi="Times New Roman"/>
                <w:b w:val="0"/>
                <w:sz w:val="22"/>
              </w:rPr>
              <w:t>Train/test split</w:t>
            </w:r>
          </w:p>
        </w:tc>
        <w:tc>
          <w:tcPr>
            <w:tcW w:type="dxa" w:w="2923"/>
          </w:tcPr>
          <w:p>
            <w:r/>
            <w:r>
              <w:rPr>
                <w:rFonts w:ascii="Times New Roman" w:hAnsi="Times New Roman"/>
                <w:b w:val="0"/>
                <w:sz w:val="22"/>
              </w:rPr>
              <w:t>80/20</w:t>
            </w:r>
          </w:p>
        </w:tc>
        <w:tc>
          <w:tcPr>
            <w:tcW w:type="dxa" w:w="2923"/>
          </w:tcPr>
          <w:p>
            <w:r/>
            <w:r>
              <w:rPr>
                <w:rFonts w:ascii="Times New Roman" w:hAnsi="Times New Roman"/>
                <w:b w:val="0"/>
                <w:sz w:val="22"/>
              </w:rPr>
              <w:t>Standard validering</w:t>
            </w:r>
          </w:p>
        </w:tc>
      </w:tr>
    </w:tbl>
    <w:p>
      <w:pPr>
        <w:spacing w:line="360" w:lineRule="auto"/>
        <w:jc w:val="both"/>
      </w:pPr>
      <w:r>
        <w:rPr>
          <w:rFonts w:ascii="Times New Roman" w:hAnsi="Times New Roman" w:cs="Times New Roman"/>
          <w:sz w:val="24"/>
        </w:rPr>
        <w:t>Grensene 80 % og 95 % er i tråd med den klassiske Pareto-inndelingen og er konsistente med anbefalingene i van Kampen et al. (2012). Sorteringen og kumulative beregningene er implementert med pandas (McKinney, 2010), og ingen manuell justering av enkeltartikler er foretatt.</w:t>
      </w:r>
    </w:p>
    <w:p>
      <w:pPr>
        <w:pStyle w:val="Overskrift2"/>
      </w:pPr>
      <w:r>
        <w:rPr>
          <w:rFonts w:ascii="Times New Roman" w:hAnsi="Times New Roman"/>
          <w:color w:val="000000"/>
          <w:sz w:val="32"/>
        </w:rPr>
        <w:t>5.2 XYZ-modellen</w:t>
      </w:r>
    </w:p>
    <w:p>
      <w:pPr>
        <w:spacing w:line="360" w:lineRule="auto"/>
        <w:jc w:val="both"/>
      </w:pPr>
      <w:r>
        <w:rPr>
          <w:rFonts w:ascii="Times New Roman" w:hAnsi="Times New Roman" w:cs="Times New Roman"/>
          <w:sz w:val="24"/>
        </w:rPr>
        <w:t xml:space="preserve">XYZ-klassifisering beskriver stabilitet i forbruksmønsteret over tid, og komplementerer ABC-analysen ved å skille artikler med forutsigbar etterspørsel fra artikler med uregelmessig forbruk (Nowotyńska, 2013). Modellformen er en </w:t>
      </w:r>
      <w:r>
        <w:rPr>
          <w:rFonts w:ascii="Times New Roman" w:hAnsi="Times New Roman" w:cs="Times New Roman"/>
          <w:b/>
          <w:sz w:val="24"/>
        </w:rPr>
        <w:t>klassifiseringsregel</w:t>
      </w:r>
      <w:r>
        <w:rPr>
          <w:rFonts w:ascii="Times New Roman" w:hAnsi="Times New Roman" w:cs="Times New Roman"/>
          <w:sz w:val="24"/>
        </w:rPr>
        <w:t xml:space="preserve"> med ett beregnet inngangsmål (CV) og to terskelverdier (0,5 og 1,0), som tilordner hver artikkel til klasse X, Y eller Z. Grunnlaget for klassifiseringen er variasjonskoeffisienten CV (coefficient of variation), beregnet fra månedlig forbruk over analyseperioden på 24 måneder:</w:t>
      </w:r>
    </w:p>
    <w:p>
      <w:pPr>
        <w:spacing w:line="360" w:lineRule="auto"/>
        <w:jc w:val="center"/>
      </w:pPr>
      <m:oMath>
        <m:sSub>
          <m:e>
            <m:r>
              <m:rPr>
                <m:nor/>
              </m:rPr>
              <m:t>CV</m:t>
            </m:r>
          </m:e>
          <m:sub>
            <m:r>
              <m:t>i</m:t>
            </m:r>
          </m:sub>
        </m:sSub>
        <m:r>
          <m:t>=</m:t>
        </m:r>
        <m:f>
          <m:fPr>
            <m:type m:val="bar"/>
          </m:fPr>
          <m:num>
            <m:sSub>
              <m:e>
                <m:r>
                  <m:t>σ</m:t>
                </m:r>
              </m:e>
              <m:sub>
                <m:r>
                  <m:t>i</m:t>
                </m:r>
              </m:sub>
            </m:sSub>
          </m:num>
          <m:den>
            <m:sSub>
              <m:e>
                <m:r>
                  <m:t>μ</m:t>
                </m:r>
              </m:e>
              <m:sub>
                <m:r>
                  <m:t>i</m:t>
                </m:r>
              </m:sub>
            </m:sSub>
          </m:den>
        </m:f>
      </m:oMath>
    </w:p>
    <w:p>
      <w:pPr>
        <w:spacing w:line="360" w:lineRule="auto"/>
        <w:jc w:val="both"/>
      </w:pPr>
      <w:r>
        <w:rPr>
          <w:rFonts w:ascii="Times New Roman" w:hAnsi="Times New Roman" w:cs="Times New Roman"/>
          <w:sz w:val="24"/>
        </w:rPr>
        <w:t xml:space="preserve">der </w:t>
      </w:r>
      <m:oMath>
        <m:sSub>
          <m:e>
            <m:r>
              <m:t>σ</m:t>
            </m:r>
          </m:e>
          <m:sub>
            <m:r>
              <m:t>i</m:t>
            </m:r>
          </m:sub>
        </m:sSub>
      </m:oMath>
      <w:r>
        <w:rPr>
          <w:rFonts w:ascii="Times New Roman" w:hAnsi="Times New Roman" w:cs="Times New Roman"/>
          <w:sz w:val="24"/>
        </w:rPr>
        <w:t xml:space="preserve"> er standardavviket og </w:t>
      </w:r>
      <m:oMath>
        <m:sSub>
          <m:e>
            <m:r>
              <m:t>μ</m:t>
            </m:r>
          </m:e>
          <m:sub>
            <m:r>
              <m:t>i</m:t>
            </m:r>
          </m:sub>
        </m:sSub>
      </m:oMath>
      <w:r>
        <w:rPr>
          <w:rFonts w:ascii="Times New Roman" w:hAnsi="Times New Roman" w:cs="Times New Roman"/>
          <w:sz w:val="24"/>
        </w:rPr>
        <w:t xml:space="preserve"> er gjennomsnittet av månedlig forbruk for artikkel </w:t>
      </w:r>
      <m:oMath>
        <m:r>
          <m:t>i</m:t>
        </m:r>
      </m:oMath>
      <w:r>
        <w:rPr>
          <w:rFonts w:ascii="Times New Roman" w:hAnsi="Times New Roman" w:cs="Times New Roman"/>
          <w:sz w:val="24"/>
        </w:rPr>
        <w:t>, basert på MSEG-bevegelsestypene 201 og 647. CV er et dimensjonsløst relativt spredningsmål som gjør det mulig å sammenligne variasjon på tvers av artikler med svært ulike forbruksvolumer (Suryaputri et al., 2022). Artikler med manglende forbruksdata utelates fra XYZ-analysen. Grensene fremgår av Tabell 6 ovenfor.</w:t>
      </w:r>
    </w:p>
    <w:p>
      <w:pPr>
        <w:spacing w:line="360" w:lineRule="auto"/>
        <w:jc w:val="both"/>
      </w:pPr>
      <w:r>
        <w:rPr>
          <w:rFonts w:ascii="Times New Roman" w:hAnsi="Times New Roman" w:cs="Times New Roman"/>
          <w:sz w:val="24"/>
        </w:rPr>
        <w:t>Kombinasjonen av ABC og XYZ gir en ni-felts matrise (AX, AY, AZ … CZ) som nyanserer styringsbeslutningen: en AX-artikkel er både høyverdi og forutsigbar, og er dermed velegnet for automatisert etterfylling med stram styring, mens en CZ-artikkel er lavverdi og uregelmessig, og typisk bør håndteres med en reaktiv, behovsstyrt tilnærming (Ketkar &amp; Vaidya, 2014). Matrisen er ikke et mål i seg selv, men fungerer som ett av tre inngangssignaler til regelmotoren beskrevet i avsnitt 5.5.</w:t>
      </w:r>
    </w:p>
    <w:p>
      <w:pPr>
        <w:spacing w:line="360" w:lineRule="auto"/>
        <w:jc w:val="both"/>
      </w:pPr>
      <w:r>
        <w:rPr>
          <w:rFonts w:ascii="Times New Roman" w:hAnsi="Times New Roman" w:cs="Times New Roman"/>
          <w:sz w:val="24"/>
        </w:rPr>
        <w:t>Som beskrevet i avsnitt 4.3 (D-04) benyttes SAP-feltet ZZXYZ utelukkende til validering: systemklassen sammenlignes med den beregnede CV-klassen for å kvantifisere i hvilken grad den eksisterende SAP-klassifiseringen er i overensstemmelse med faktiske forbruksdata. Valideringsresultater presenteres i kapittel 6.</w:t>
      </w:r>
    </w:p>
    <w:p>
      <w:pPr>
        <w:pStyle w:val="Overskrift2"/>
      </w:pPr>
      <w:r>
        <w:rPr>
          <w:rFonts w:ascii="Times New Roman" w:hAnsi="Times New Roman"/>
          <w:color w:val="000000"/>
          <w:sz w:val="32"/>
        </w:rPr>
        <w:t>5.3 EOQ-modellen og besparelsesformelen</w:t>
      </w:r>
    </w:p>
    <w:p>
      <w:pPr>
        <w:spacing w:line="360" w:lineRule="auto"/>
        <w:jc w:val="both"/>
      </w:pPr>
      <w:r>
        <w:rPr>
          <w:rFonts w:ascii="Times New Roman" w:hAnsi="Times New Roman" w:cs="Times New Roman"/>
          <w:sz w:val="24"/>
        </w:rPr>
        <w:t xml:space="preserve">EOQ er den eneste komponenten i rammeverket med en klassisk </w:t>
      </w:r>
      <w:r>
        <w:rPr>
          <w:rFonts w:ascii="Times New Roman" w:hAnsi="Times New Roman" w:cs="Times New Roman"/>
          <w:b/>
          <w:sz w:val="24"/>
        </w:rPr>
        <w:t>optimeringsmodell</w:t>
      </w:r>
      <w:r>
        <w:rPr>
          <w:rFonts w:ascii="Times New Roman" w:hAnsi="Times New Roman" w:cs="Times New Roman"/>
          <w:sz w:val="24"/>
        </w:rPr>
        <w:t xml:space="preserve">: parametrene er </w:t>
      </w:r>
      <m:oMath>
        <m:r>
          <m:t>D</m:t>
        </m:r>
      </m:oMath>
      <w:r>
        <w:rPr>
          <w:rFonts w:ascii="Times New Roman" w:hAnsi="Times New Roman" w:cs="Times New Roman"/>
          <w:sz w:val="24"/>
        </w:rPr>
        <w:t xml:space="preserve"> (årsforbruk), </w:t>
      </w:r>
      <m:oMath>
        <m:r>
          <m:t>S</m:t>
        </m:r>
      </m:oMath>
      <w:r>
        <w:rPr>
          <w:rFonts w:ascii="Times New Roman" w:hAnsi="Times New Roman" w:cs="Times New Roman"/>
          <w:sz w:val="24"/>
        </w:rPr>
        <w:t xml:space="preserve"> (ordrekostnad) og </w:t>
      </w:r>
      <m:oMath>
        <m:r>
          <m:t>H</m:t>
        </m:r>
      </m:oMath>
      <w:r>
        <w:rPr>
          <w:rFonts w:ascii="Times New Roman" w:hAnsi="Times New Roman" w:cs="Times New Roman"/>
          <w:sz w:val="24"/>
        </w:rPr>
        <w:t xml:space="preserve"> (holdekostnad per enhet); beslutningsvariabelen er ordrefrekvens </w:t>
      </w:r>
      <m:oMath>
        <m:r>
          <m:t>f</m:t>
        </m:r>
      </m:oMath>
      <w:r>
        <w:rPr>
          <w:rFonts w:ascii="Times New Roman" w:hAnsi="Times New Roman" w:cs="Times New Roman"/>
          <w:sz w:val="24"/>
        </w:rPr>
        <w:t xml:space="preserve"> (eller ekvivalent ordrekvantum </w:t>
      </w:r>
      <m:oMath>
        <m:r>
          <m:t>Q</m:t>
        </m:r>
      </m:oMath>
      <w:r>
        <w:rPr>
          <w:rFonts w:ascii="Times New Roman" w:hAnsi="Times New Roman" w:cs="Times New Roman"/>
          <w:sz w:val="24"/>
        </w:rPr>
        <w:t xml:space="preserve">); målfunksjonen er total årlig kostnad </w:t>
      </w:r>
      <m:oMath>
        <m:r>
          <m:t>TC(f)=fS+DH/(2f)</m:t>
        </m:r>
      </m:oMath>
      <w:r>
        <w:rPr>
          <w:rFonts w:ascii="Times New Roman" w:hAnsi="Times New Roman" w:cs="Times New Roman"/>
          <w:sz w:val="24"/>
        </w:rPr>
        <w:t>; og forutsetningene er konstant og kjent etterspørsel, øyeblikkelig leveranse, ingen kvantumsrabatter og lineær holdekostnad.</w:t>
      </w:r>
    </w:p>
    <w:p>
      <w:pPr>
        <w:spacing w:line="360" w:lineRule="auto"/>
        <w:jc w:val="both"/>
      </w:pPr>
      <w:r>
        <w:rPr>
          <w:rFonts w:ascii="Times New Roman" w:hAnsi="Times New Roman" w:cs="Times New Roman"/>
          <w:b/>
          <w:sz w:val="24"/>
        </w:rPr>
        <w:t>Wilson EOQ-modell.</w:t>
      </w:r>
      <w:r>
        <w:rPr>
          <w:rFonts w:ascii="Times New Roman" w:hAnsi="Times New Roman" w:cs="Times New Roman"/>
          <w:sz w:val="24"/>
        </w:rPr>
        <w:t xml:space="preserve"> Den klassiske Wilson-formelen gir den ordrekvantum </w:t>
      </w:r>
      <m:oMath>
        <m:sSup>
          <m:e>
            <m:r>
              <m:t>Q</m:t>
            </m:r>
          </m:e>
          <m:sup>
            <m:r>
              <m:t>*</m:t>
            </m:r>
          </m:sup>
        </m:sSup>
      </m:oMath>
      <w:r>
        <w:rPr>
          <w:rFonts w:ascii="Times New Roman" w:hAnsi="Times New Roman" w:cs="Times New Roman"/>
          <w:sz w:val="24"/>
        </w:rPr>
        <w:t xml:space="preserve"> som minimerer den totale lagerholde- og ordrekostnaden per år (Hautaniemi &amp; Pirttilä, 1999):</w:t>
      </w:r>
    </w:p>
    <w:p>
      <w:pPr>
        <w:spacing w:line="360" w:lineRule="auto"/>
        <w:jc w:val="center"/>
      </w:pPr>
      <m:oMath>
        <m:sSup>
          <m:e>
            <m:r>
              <m:t>Q</m:t>
            </m:r>
          </m:e>
          <m:sup>
            <m:r>
              <m:t>*</m:t>
            </m:r>
          </m:sup>
        </m:sSup>
        <m:r>
          <m:t>=</m:t>
        </m:r>
        <m:rad>
          <m:radPr>
            <m:degHide m:val="on"/>
          </m:radPr>
          <m:deg/>
          <m:e>
            <m:f>
              <m:fPr>
                <m:type m:val="bar"/>
              </m:fPr>
              <m:num>
                <m:r>
                  <m:t>2DS</m:t>
                </m:r>
              </m:num>
              <m:den>
                <m:r>
                  <m:t>H</m:t>
                </m:r>
              </m:den>
            </m:f>
          </m:e>
        </m:rad>
      </m:oMath>
    </w:p>
    <w:p>
      <w:pPr>
        <w:spacing w:line="360" w:lineRule="auto"/>
        <w:jc w:val="both"/>
      </w:pPr>
      <w:r>
        <w:rPr>
          <w:rFonts w:ascii="Times New Roman" w:hAnsi="Times New Roman" w:cs="Times New Roman"/>
          <w:sz w:val="24"/>
        </w:rPr>
        <w:t xml:space="preserve">der </w:t>
      </w:r>
      <m:oMath>
        <m:r>
          <m:t>D</m:t>
        </m:r>
      </m:oMath>
      <w:r>
        <w:rPr>
          <w:rFonts w:ascii="Times New Roman" w:hAnsi="Times New Roman" w:cs="Times New Roman"/>
          <w:sz w:val="24"/>
        </w:rPr>
        <w:t xml:space="preserve"> er årsforbruk (enheter/år), </w:t>
      </w:r>
      <m:oMath>
        <m:r>
          <m:t>S=750</m:t>
        </m:r>
      </m:oMath>
      <w:r>
        <w:rPr>
          <w:rFonts w:ascii="Times New Roman" w:hAnsi="Times New Roman" w:cs="Times New Roman"/>
          <w:sz w:val="24"/>
        </w:rPr>
        <w:t xml:space="preserve"> NOK er ordrekostnad per bestilling og </w:t>
      </w:r>
      <m:oMath>
        <m:r>
          <m:t>H=h×</m:t>
        </m:r>
        <m:r>
          <m:rPr>
            <m:nor/>
          </m:rPr>
          <m:t>UNIT\_PRICE</m:t>
        </m:r>
      </m:oMath>
      <w:r>
        <w:rPr>
          <w:rFonts w:ascii="Times New Roman" w:hAnsi="Times New Roman" w:cs="Times New Roman"/>
          <w:sz w:val="24"/>
        </w:rPr>
        <w:t xml:space="preserve"> er holdekostnad per enhet per år, med holdesats </w:t>
      </w:r>
      <m:oMath>
        <m:r>
          <m:t>h=20</m:t>
        </m:r>
        <m:r>
          <m:t>%</m:t>
        </m:r>
      </m:oMath>
      <w:r>
        <w:rPr>
          <w:rFonts w:ascii="Times New Roman" w:hAnsi="Times New Roman" w:cs="Times New Roman"/>
          <w:sz w:val="24"/>
        </w:rPr>
        <w:t>. Den optimale ordrefrekvensen følger direkte:</w:t>
      </w:r>
    </w:p>
    <w:p>
      <w:pPr>
        <w:spacing w:line="360" w:lineRule="auto"/>
        <w:jc w:val="center"/>
      </w:pPr>
      <m:oMath>
        <m:sSup>
          <m:e>
            <m:r>
              <m:t>f</m:t>
            </m:r>
          </m:e>
          <m:sup>
            <m:r>
              <m:t>*</m:t>
            </m:r>
          </m:sup>
        </m:sSup>
        <m:r>
          <m:t>=</m:t>
        </m:r>
        <m:f>
          <m:fPr>
            <m:type m:val="bar"/>
          </m:fPr>
          <m:num>
            <m:r>
              <m:t>D</m:t>
            </m:r>
          </m:num>
          <m:den>
            <m:sSup>
              <m:e>
                <m:r>
                  <m:t>Q</m:t>
                </m:r>
              </m:e>
              <m:sup>
                <m:r>
                  <m:t>*</m:t>
                </m:r>
              </m:sup>
            </m:sSup>
          </m:den>
        </m:f>
        <m:r>
          <m:t>=</m:t>
        </m:r>
        <m:rad>
          <m:radPr>
            <m:degHide m:val="on"/>
          </m:radPr>
          <m:deg/>
          <m:e>
            <m:f>
              <m:fPr>
                <m:type m:val="bar"/>
              </m:fPr>
              <m:num>
                <m:r>
                  <m:t>DH</m:t>
                </m:r>
              </m:num>
              <m:den>
                <m:r>
                  <m:t>2S</m:t>
                </m:r>
              </m:den>
            </m:f>
          </m:e>
        </m:rad>
      </m:oMath>
    </w:p>
    <w:p>
      <w:pPr>
        <w:spacing w:line="360" w:lineRule="auto"/>
        <w:jc w:val="both"/>
      </w:pPr>
      <w:r>
        <w:rPr>
          <w:rFonts w:ascii="Times New Roman" w:hAnsi="Times New Roman" w:cs="Times New Roman"/>
          <w:b/>
          <w:sz w:val="24"/>
        </w:rPr>
        <w:t>Avviksformel.</w:t>
      </w:r>
      <w:r>
        <w:rPr>
          <w:rFonts w:ascii="Times New Roman" w:hAnsi="Times New Roman" w:cs="Times New Roman"/>
          <w:sz w:val="24"/>
        </w:rPr>
        <w:t xml:space="preserve"> Faktisk ordrefrekvens </w:t>
      </w:r>
      <m:oMath>
        <m:sSub>
          <m:e>
            <m:r>
              <m:t>f</m:t>
            </m:r>
          </m:e>
          <m:sub>
            <m:r>
              <m:rPr>
                <m:nor/>
              </m:rPr>
              <m:t>obs</m:t>
            </m:r>
          </m:sub>
        </m:sSub>
      </m:oMath>
      <w:r>
        <w:rPr>
          <w:rFonts w:ascii="Times New Roman" w:hAnsi="Times New Roman" w:cs="Times New Roman"/>
          <w:sz w:val="24"/>
        </w:rPr>
        <w:t xml:space="preserve"> er annualisert fra EKBE-data via D-08. Relativt frekvensavvik er definert som:</w:t>
      </w:r>
    </w:p>
    <w:p>
      <w:pPr>
        <w:spacing w:line="360" w:lineRule="auto"/>
        <w:jc w:val="center"/>
      </w:pPr>
      <m:oMath>
        <m:sSub>
          <m:e>
            <m:r>
              <m:rPr>
                <m:nor/>
              </m:rPr>
              <m:t>FREQ\_AVVIK</m:t>
            </m:r>
          </m:e>
          <m:sub>
            <m:r>
              <m:t>i</m:t>
            </m:r>
          </m:sub>
        </m:sSub>
        <m:r>
          <m:t>=</m:t>
        </m:r>
        <m:f>
          <m:fPr>
            <m:type m:val="bar"/>
          </m:fPr>
          <m:num>
            <m:sSub>
              <m:e>
                <m:r>
                  <m:t>f</m:t>
                </m:r>
              </m:e>
              <m:sub>
                <m:r>
                  <m:rPr>
                    <m:nor/>
                  </m:rPr>
                  <m:t>obs</m:t>
                </m:r>
                <m:r>
                  <m:t>,i</m:t>
                </m:r>
              </m:sub>
            </m:sSub>
            <m:r>
              <m:t>−</m:t>
            </m:r>
            <m:sSubSup>
              <m:e>
                <m:r>
                  <m:t>f</m:t>
                </m:r>
              </m:e>
              <m:sub>
                <m:r>
                  <m:t>i</m:t>
                </m:r>
              </m:sub>
              <m:sup>
                <m:r>
                  <m:t>*</m:t>
                </m:r>
              </m:sup>
            </m:sSubSup>
          </m:num>
          <m:den>
            <m:sSubSup>
              <m:e>
                <m:r>
                  <m:t>f</m:t>
                </m:r>
              </m:e>
              <m:sub>
                <m:r>
                  <m:t>i</m:t>
                </m:r>
              </m:sub>
              <m:sup>
                <m:r>
                  <m:t>*</m:t>
                </m:r>
              </m:sup>
            </m:sSubSup>
          </m:den>
        </m:f>
      </m:oMath>
    </w:p>
    <w:p>
      <w:pPr>
        <w:spacing w:line="360" w:lineRule="auto"/>
        <w:jc w:val="both"/>
      </w:pPr>
      <w:r>
        <w:rPr>
          <w:rFonts w:ascii="Times New Roman" w:hAnsi="Times New Roman" w:cs="Times New Roman"/>
          <w:sz w:val="24"/>
        </w:rPr>
        <w:t xml:space="preserve">En artikkel klassifiseres som FOR\_MANGE\_ORDRER dersom </w:t>
      </w:r>
      <m:oMath>
        <m:sSub>
          <m:e>
            <m:r>
              <m:t>f</m:t>
            </m:r>
          </m:e>
          <m:sub>
            <m:r>
              <m:rPr>
                <m:nor/>
              </m:rPr>
              <m:t>obs</m:t>
            </m:r>
            <m:r>
              <m:t>,i</m:t>
            </m:r>
          </m:sub>
        </m:sSub>
        <m:r>
          <m:t>&gt;</m:t>
        </m:r>
        <m:sSub>
          <m:e>
            <m:r>
              <m:t>τ</m:t>
            </m:r>
          </m:e>
          <m:sub>
            <m:r>
              <m:t>f</m:t>
            </m:r>
          </m:sub>
        </m:sSub>
        <m:r>
          <m:t>·</m:t>
        </m:r>
        <m:sSubSup>
          <m:e>
            <m:r>
              <m:t>f</m:t>
            </m:r>
          </m:e>
          <m:sub>
            <m:r>
              <m:t>i</m:t>
            </m:r>
          </m:sub>
          <m:sup>
            <m:r>
              <m:t>*</m:t>
            </m:r>
          </m:sup>
        </m:sSubSup>
      </m:oMath>
      <w:r>
        <w:rPr>
          <w:rFonts w:ascii="Times New Roman" w:hAnsi="Times New Roman" w:cs="Times New Roman"/>
          <w:sz w:val="24"/>
        </w:rPr>
        <w:t xml:space="preserve">, der </w:t>
      </w:r>
      <m:oMath>
        <m:sSub>
          <m:e>
            <m:r>
              <m:t>τ</m:t>
            </m:r>
          </m:e>
          <m:sub>
            <m:r>
              <m:t>f</m:t>
            </m:r>
          </m:sub>
        </m:sSub>
        <m:r>
          <m:t>=1</m:t>
        </m:r>
        <m:r>
          <m:t>,</m:t>
        </m:r>
        <m:r>
          <m:t>5</m:t>
        </m:r>
      </m:oMath>
      <w:r>
        <w:rPr>
          <w:rFonts w:ascii="Times New Roman" w:hAnsi="Times New Roman" w:cs="Times New Roman"/>
          <w:sz w:val="24"/>
        </w:rPr>
        <w:t xml:space="preserve">. Dette tilsvarer FREQ\_AVVIK </w:t>
      </w:r>
      <m:oMath>
        <m:r>
          <m:t>&gt;0</m:t>
        </m:r>
        <m:r>
          <m:t>,</m:t>
        </m:r>
        <m:r>
          <m:t>5</m:t>
        </m:r>
      </m:oMath>
      <w:r>
        <w:rPr>
          <w:rFonts w:ascii="Times New Roman" w:hAnsi="Times New Roman" w:cs="Times New Roman"/>
          <w:sz w:val="24"/>
        </w:rPr>
        <w:t xml:space="preserve">, det vil si at faktisk ordrefrekvens er mer enn 50 % høyere enn EOQ-optimal frekvens. Symmetrisk klassifiseres artikler med FREQ\_AVVIK </w:t>
      </w:r>
      <m:oMath>
        <m:d>
          <m:dPr>
            <m:begChr m:val="&lt;"/>
            <m:sepChr m:val="−"/>
            <m:endChr m:val=""/>
          </m:dPr>
          <m:e/>
          <m:e>
            <m:r>
              <m:t>0</m:t>
            </m:r>
            <m:r>
              <m:t>,</m:t>
            </m:r>
            <m:r>
              <m:t>5</m:t>
            </m:r>
          </m:e>
        </m:d>
      </m:oMath>
      <w:r>
        <w:rPr>
          <w:rFonts w:ascii="Times New Roman" w:hAnsi="Times New Roman" w:cs="Times New Roman"/>
          <w:sz w:val="24"/>
        </w:rPr>
        <w:t xml:space="preserve"> som FOR\_FÅ\_ORDRER, mens artikler i intervallet </w:t>
      </w:r>
      <m:oMath>
        <m:d>
          <m:dPr>
            <m:begChr m:val="["/>
            <m:sepChr m:val="−"/>
            <m:endChr m:val="]"/>
          </m:dPr>
          <m:e/>
          <m:e>
            <m:r>
              <m:t>0</m:t>
            </m:r>
            <m:r>
              <m:t>,</m:t>
            </m:r>
            <m:r>
              <m:t>5</m:t>
            </m:r>
            <m:r>
              <m:t>;</m:t>
            </m:r>
            <m:r>
              <m:t>0</m:t>
            </m:r>
            <m:r>
              <m:t>,</m:t>
            </m:r>
            <m:r>
              <m:t>5</m:t>
            </m:r>
          </m:e>
        </m:d>
      </m:oMath>
      <w:r>
        <w:rPr>
          <w:rFonts w:ascii="Times New Roman" w:hAnsi="Times New Roman" w:cs="Times New Roman"/>
          <w:sz w:val="24"/>
        </w:rPr>
        <w:t xml:space="preserve"> klassifiseres som OK. Terskelen </w:t>
      </w:r>
      <m:oMath>
        <m:sSub>
          <m:e>
            <m:r>
              <m:t>τ</m:t>
            </m:r>
          </m:e>
          <m:sub>
            <m:r>
              <m:t>f</m:t>
            </m:r>
          </m:sub>
        </m:sSub>
        <m:r>
          <m:t>=1</m:t>
        </m:r>
        <m:r>
          <m:t>,</m:t>
        </m:r>
        <m:r>
          <m:t>5</m:t>
        </m:r>
      </m:oMath>
      <w:r>
        <w:rPr>
          <w:rFonts w:ascii="Times New Roman" w:hAnsi="Times New Roman" w:cs="Times New Roman"/>
          <w:sz w:val="24"/>
        </w:rPr>
        <w:t xml:space="preserve"> er satt for å fokusere analysen på de artiklene der avviket er operasjonelt vesentlig, og ikke bare statistisk merkbart. Verdien er forfatterens operasjonelle skjønn – på linje med </w:t>
      </w:r>
      <m:oMath>
        <m:r>
          <m:t>g=75</m:t>
        </m:r>
        <m:r>
          <m:t>%</m:t>
        </m:r>
      </m:oMath>
      <w:r>
        <w:rPr>
          <w:rFonts w:ascii="Times New Roman" w:hAnsi="Times New Roman" w:cs="Times New Roman"/>
          <w:sz w:val="24"/>
        </w:rPr>
        <w:t xml:space="preserve"> i base case (avsnitt 5.7) – og ikke litteraturbasert; sensitivitetsanalysen i kapittel 7.6 tester robustheten ved variasjon i </w:t>
      </w:r>
      <m:oMath>
        <m:sSub>
          <m:e>
            <m:r>
              <m:t>τ</m:t>
            </m:r>
          </m:e>
          <m:sub>
            <m:r>
              <m:t>f</m:t>
            </m:r>
          </m:sub>
        </m:sSub>
      </m:oMath>
      <w:r>
        <w:rPr>
          <w:rFonts w:ascii="Times New Roman" w:hAnsi="Times New Roman" w:cs="Times New Roman"/>
          <w:sz w:val="24"/>
        </w:rPr>
        <w:t>. Differansen i totalkostnad mellom faktisk og optimal drift for en artikkel er:</w:t>
      </w:r>
    </w:p>
    <w:p>
      <w:pPr>
        <w:spacing w:line="360" w:lineRule="auto"/>
        <w:jc w:val="center"/>
      </w:pPr>
      <m:oMath>
        <m:r>
          <m:t>ΔT</m:t>
        </m:r>
        <m:sSub>
          <m:e>
            <m:r>
              <m:t>C</m:t>
            </m:r>
          </m:e>
          <m:sub>
            <m:r>
              <m:t>i</m:t>
            </m:r>
          </m:sub>
        </m:sSub>
        <m:r>
          <m:t>=TC(</m:t>
        </m:r>
        <m:sSub>
          <m:e>
            <m:r>
              <m:t>f</m:t>
            </m:r>
          </m:e>
          <m:sub>
            <m:r>
              <m:rPr>
                <m:nor/>
              </m:rPr>
              <m:t>obs</m:t>
            </m:r>
            <m:r>
              <m:t>,i</m:t>
            </m:r>
          </m:sub>
        </m:sSub>
        <m:r>
          <m:t>)−TC(</m:t>
        </m:r>
        <m:sSubSup>
          <m:e>
            <m:r>
              <m:t>f</m:t>
            </m:r>
          </m:e>
          <m:sub>
            <m:r>
              <m:t>i</m:t>
            </m:r>
          </m:sub>
          <m:sup>
            <m:r>
              <m:t>*</m:t>
            </m:r>
          </m:sup>
        </m:sSubSup>
        <m:r>
          <m:t>)</m:t>
        </m:r>
      </m:oMath>
    </w:p>
    <w:p>
      <w:pPr>
        <w:spacing w:line="360" w:lineRule="auto"/>
        <w:jc w:val="both"/>
      </w:pPr>
      <w:r>
        <w:rPr>
          <w:rFonts w:ascii="Times New Roman" w:hAnsi="Times New Roman" w:cs="Times New Roman"/>
          <w:sz w:val="24"/>
        </w:rPr>
        <w:t xml:space="preserve">der totalkostnaden ved frekvens </w:t>
      </w:r>
      <m:oMath>
        <m:r>
          <m:t>f</m:t>
        </m:r>
      </m:oMath>
      <w:r>
        <w:rPr>
          <w:rFonts w:ascii="Times New Roman" w:hAnsi="Times New Roman" w:cs="Times New Roman"/>
          <w:sz w:val="24"/>
        </w:rPr>
        <w:t xml:space="preserve"> er:</w:t>
      </w:r>
    </w:p>
    <w:p>
      <w:pPr>
        <w:spacing w:line="360" w:lineRule="auto"/>
        <w:jc w:val="center"/>
      </w:pPr>
      <m:oMath>
        <m:r>
          <m:t>TC(f)=f·S+</m:t>
        </m:r>
        <m:f>
          <m:fPr>
            <m:type m:val="bar"/>
          </m:fPr>
          <m:num>
            <m:r>
              <m:t>D</m:t>
            </m:r>
          </m:num>
          <m:den>
            <m:r>
              <m:t>2f</m:t>
            </m:r>
          </m:den>
        </m:f>
        <m:r>
          <m:t>·H</m:t>
        </m:r>
      </m:oMath>
    </w:p>
    <w:p>
      <w:pPr>
        <w:spacing w:line="360" w:lineRule="auto"/>
        <w:jc w:val="both"/>
      </w:pPr>
      <w:r>
        <w:rPr>
          <w:rFonts w:ascii="Times New Roman" w:hAnsi="Times New Roman" w:cs="Times New Roman"/>
          <w:sz w:val="24"/>
        </w:rPr>
        <w:t xml:space="preserve">Parametervalgene </w:t>
      </w:r>
      <m:oMath>
        <m:r>
          <m:t>S=750</m:t>
        </m:r>
      </m:oMath>
      <w:r>
        <w:rPr>
          <w:rFonts w:ascii="Times New Roman" w:hAnsi="Times New Roman" w:cs="Times New Roman"/>
          <w:sz w:val="24"/>
        </w:rPr>
        <w:t xml:space="preserve">NOK og </w:t>
      </w:r>
      <m:oMath>
        <m:r>
          <m:t>h=20</m:t>
        </m:r>
      </m:oMath>
      <w:r>
        <w:rPr>
          <w:rFonts w:ascii="Times New Roman" w:hAnsi="Times New Roman" w:cs="Times New Roman"/>
          <w:sz w:val="24"/>
        </w:rPr>
        <w:t xml:space="preserve"> er begrunnet i avsnitt 1.4. Sensitivitetsanalysen i kapittel 7.6 tester robustheten ved systematisk variasjon i </w:t>
      </w:r>
      <m:oMath>
        <m:r>
          <m:t>S</m:t>
        </m:r>
      </m:oMath>
      <w:r>
        <w:rPr>
          <w:rFonts w:ascii="Times New Roman" w:hAnsi="Times New Roman" w:cs="Times New Roman"/>
          <w:sz w:val="24"/>
        </w:rPr>
        <w:t xml:space="preserve">, </w:t>
      </w:r>
      <m:oMath>
        <m:r>
          <m:t>h</m:t>
        </m:r>
      </m:oMath>
      <w:r>
        <w:rPr>
          <w:rFonts w:ascii="Times New Roman" w:hAnsi="Times New Roman" w:cs="Times New Roman"/>
          <w:sz w:val="24"/>
        </w:rPr>
        <w:t xml:space="preserve"> og </w:t>
      </w:r>
      <m:oMath>
        <m:sSub>
          <m:e>
            <m:r>
              <m:t>τ</m:t>
            </m:r>
          </m:e>
          <m:sub>
            <m:r>
              <m:t>f</m:t>
            </m:r>
          </m:sub>
        </m:sSub>
      </m:oMath>
      <w:r>
        <w:rPr>
          <w:rFonts w:ascii="Times New Roman" w:hAnsi="Times New Roman" w:cs="Times New Roman"/>
          <w:sz w:val="24"/>
        </w:rPr>
        <w:t>.</w:t>
      </w:r>
    </w:p>
    <w:p>
      <w:pPr>
        <w:spacing w:line="360" w:lineRule="auto"/>
        <w:jc w:val="both"/>
      </w:pPr>
      <w:r>
        <w:rPr>
          <w:rFonts w:ascii="Times New Roman" w:hAnsi="Times New Roman" w:cs="Times New Roman"/>
          <w:b/>
          <w:sz w:val="24"/>
        </w:rPr>
        <w:t>Besparelsesformel.</w:t>
      </w:r>
      <w:r>
        <w:rPr>
          <w:rFonts w:ascii="Times New Roman" w:hAnsi="Times New Roman" w:cs="Times New Roman"/>
          <w:sz w:val="24"/>
        </w:rPr>
        <w:t xml:space="preserve"> Besparelsesformelen estimerer den reduksjonen i totalkostnad som kan realiseres ved overføring til HVFS og konsolidering av ordrefrekvens mot EOQ-optimalt nivå. Formelen bygger direkte på </w:t>
      </w:r>
      <m:oMath>
        <m:r>
          <m:t>ΔT</m:t>
        </m:r>
        <m:sSub>
          <m:e>
            <m:r>
              <m:t>C</m:t>
            </m:r>
          </m:e>
          <m:sub>
            <m:r>
              <m:t>i</m:t>
            </m:r>
          </m:sub>
        </m:sSub>
      </m:oMath>
      <w:r>
        <w:rPr>
          <w:rFonts w:ascii="Times New Roman" w:hAnsi="Times New Roman" w:cs="Times New Roman"/>
          <w:sz w:val="24"/>
        </w:rPr>
        <w:t>:</w:t>
      </w:r>
    </w:p>
    <w:p>
      <w:pPr>
        <w:spacing w:line="360" w:lineRule="auto"/>
        <w:jc w:val="center"/>
      </w:pPr>
      <m:oMath>
        <m:sSub>
          <m:e>
            <m:r>
              <m:t>B</m:t>
            </m:r>
          </m:e>
          <m:sub>
            <m:r>
              <m:rPr>
                <m:nor/>
              </m:rPr>
              <m:t>HVFS</m:t>
            </m:r>
          </m:sub>
        </m:sSub>
        <m:r>
          <m:t>=</m:t>
        </m:r>
        <m:nary>
          <m:naryPr>
            <m:chr m:val="∑"/>
            <m:limLoc m:val="subSup"/>
            <m:grow m:val="1"/>
            <m:subHide m:val="off"/>
            <m:supHide m:val="on"/>
          </m:naryPr>
          <m:sub>
            <m:r>
              <m:t>i∈</m:t>
            </m:r>
            <m:r>
              <m:rPr>
                <m:nor/>
              </m:rPr>
              <m:t>OVERFØR</m:t>
            </m:r>
          </m:sub>
          <m:sup/>
          <m:e>
            <m:r>
              <m:t>ΔT</m:t>
            </m:r>
          </m:e>
        </m:nary>
        <m:sSub>
          <m:e>
            <m:r>
              <m:t>C</m:t>
            </m:r>
          </m:e>
          <m:sub>
            <m:r>
              <m:t>i</m:t>
            </m:r>
          </m:sub>
        </m:sSub>
        <m:r>
          <m:t>·g</m:t>
        </m:r>
      </m:oMath>
    </w:p>
    <w:p>
      <w:pPr>
        <w:spacing w:line="360" w:lineRule="auto"/>
        <w:jc w:val="both"/>
      </w:pPr>
      <w:r>
        <w:rPr>
          <w:rFonts w:ascii="Times New Roman" w:hAnsi="Times New Roman" w:cs="Times New Roman"/>
          <w:sz w:val="24"/>
        </w:rPr>
        <w:t xml:space="preserve">der </w:t>
      </w:r>
      <m:oMath>
        <m:r>
          <m:t>g</m:t>
        </m:r>
      </m:oMath>
      <w:r>
        <w:rPr>
          <w:rFonts w:ascii="Times New Roman" w:hAnsi="Times New Roman" w:cs="Times New Roman"/>
          <w:sz w:val="24"/>
        </w:rPr>
        <w:t xml:space="preserve"> er en gevinstrealiseringsgrad som reflekterer at ikke alle teoretiske besparelser lar seg realisere fullt ut i praksis – blant annet som følge av implementeringsfriksjon, endrede leverandøravtaler og SAP-parameterjusteringer. Tre scenarier er definert: worst case (</w:t>
      </w:r>
      <m:oMath>
        <m:r>
          <m:t>g=50</m:t>
        </m:r>
        <m:r>
          <m:t>%</m:t>
        </m:r>
      </m:oMath>
      <w:r>
        <w:rPr>
          <w:rFonts w:ascii="Times New Roman" w:hAnsi="Times New Roman" w:cs="Times New Roman"/>
          <w:sz w:val="24"/>
        </w:rPr>
        <w:t>), base case (</w:t>
      </w:r>
      <m:oMath>
        <m:r>
          <m:t>g=75</m:t>
        </m:r>
        <m:r>
          <m:t>%</m:t>
        </m:r>
      </m:oMath>
      <w:r>
        <w:rPr>
          <w:rFonts w:ascii="Times New Roman" w:hAnsi="Times New Roman" w:cs="Times New Roman"/>
          <w:sz w:val="24"/>
        </w:rPr>
        <w:t>) og best case (</w:t>
      </w:r>
      <m:oMath>
        <m:r>
          <m:t>g=100</m:t>
        </m:r>
        <m:r>
          <m:t>%</m:t>
        </m:r>
      </m:oMath>
      <w:r>
        <w:rPr>
          <w:rFonts w:ascii="Times New Roman" w:hAnsi="Times New Roman" w:cs="Times New Roman"/>
          <w:sz w:val="24"/>
        </w:rPr>
        <w:t xml:space="preserve">). Kun artikler som både er i OVERFØR\_HVFS-kategorien </w:t>
      </w:r>
      <w:r>
        <w:rPr>
          <w:rFonts w:ascii="Times New Roman" w:hAnsi="Times New Roman" w:cs="Times New Roman"/>
          <w:i/>
          <w:sz w:val="24"/>
        </w:rPr>
        <w:t>og</w:t>
      </w:r>
      <w:r>
        <w:rPr>
          <w:rFonts w:ascii="Times New Roman" w:hAnsi="Times New Roman" w:cs="Times New Roman"/>
          <w:sz w:val="24"/>
        </w:rPr>
        <w:t xml:space="preserve"> har status FOR\_MANGE\_ORDRER inngår i besparelsesgrunnlaget, da </w:t>
      </w:r>
      <m:oMath>
        <m:r>
          <m:t>ΔT</m:t>
        </m:r>
        <m:sSub>
          <m:e>
            <m:r>
              <m:t>C</m:t>
            </m:r>
          </m:e>
          <m:sub>
            <m:r>
              <m:t>i</m:t>
            </m:r>
          </m:sub>
        </m:sSub>
      </m:oMath>
      <w:r>
        <w:rPr>
          <w:rFonts w:ascii="Times New Roman" w:hAnsi="Times New Roman" w:cs="Times New Roman"/>
          <w:sz w:val="24"/>
        </w:rPr>
        <w:t xml:space="preserve"> modellerer kostnadsavviket fra suboptimal ordrefrekvens – et avvik som nettopp adresseres ved sentralisering til HVFS. Sensitivitetsanalysen i kapittel 7 undersøker robustheten av dette estimatet ved systematisk variasjon i </w:t>
      </w:r>
      <m:oMath>
        <m:r>
          <m:t>S</m:t>
        </m:r>
      </m:oMath>
      <w:r>
        <w:rPr>
          <w:rFonts w:ascii="Times New Roman" w:hAnsi="Times New Roman" w:cs="Times New Roman"/>
          <w:sz w:val="24"/>
        </w:rPr>
        <w:t xml:space="preserve">, </w:t>
      </w:r>
      <m:oMath>
        <m:r>
          <m:t>h</m:t>
        </m:r>
      </m:oMath>
      <w:r>
        <w:rPr>
          <w:rFonts w:ascii="Times New Roman" w:hAnsi="Times New Roman" w:cs="Times New Roman"/>
          <w:sz w:val="24"/>
        </w:rPr>
        <w:t xml:space="preserve"> og </w:t>
      </w:r>
      <m:oMath>
        <m:sSub>
          <m:e>
            <m:r>
              <m:t>τ</m:t>
            </m:r>
          </m:e>
          <m:sub>
            <m:r>
              <m:t>f</m:t>
            </m:r>
          </m:sub>
        </m:sSub>
      </m:oMath>
      <w:r>
        <w:rPr>
          <w:rFonts w:ascii="Times New Roman" w:hAnsi="Times New Roman" w:cs="Times New Roman"/>
          <w:sz w:val="24"/>
        </w:rPr>
        <w:t xml:space="preserve">, mens </w:t>
      </w:r>
      <m:oMath>
        <m:r>
          <m:t>g</m:t>
        </m:r>
      </m:oMath>
      <w:r>
        <w:rPr>
          <w:rFonts w:ascii="Times New Roman" w:hAnsi="Times New Roman" w:cs="Times New Roman"/>
          <w:sz w:val="24"/>
        </w:rPr>
        <w:t xml:space="preserve"> varieres separat gjennom tre scenarier (worst/base/best).</w:t>
      </w:r>
    </w:p>
    <w:p>
      <w:pPr>
        <w:pStyle w:val="Overskrift2"/>
      </w:pPr>
      <w:r>
        <w:rPr>
          <w:rFonts w:ascii="Times New Roman" w:hAnsi="Times New Roman"/>
          <w:color w:val="000000"/>
          <w:sz w:val="32"/>
        </w:rPr>
        <w:t>5.4 K-means klyngemodellen</w:t>
      </w:r>
    </w:p>
    <w:p>
      <w:pPr>
        <w:spacing w:line="360" w:lineRule="auto"/>
        <w:jc w:val="both"/>
      </w:pPr>
      <w:r>
        <w:rPr>
          <w:rFonts w:ascii="Times New Roman" w:hAnsi="Times New Roman" w:cs="Times New Roman"/>
          <w:sz w:val="24"/>
        </w:rPr>
        <w:t xml:space="preserve">K-means er en partisjonerende klyngealgoritme som deler et datasett med </w:t>
      </w:r>
      <m:oMath>
        <m:r>
          <m:t>N</m:t>
        </m:r>
      </m:oMath>
      <w:r>
        <w:rPr>
          <w:rFonts w:ascii="Times New Roman" w:hAnsi="Times New Roman" w:cs="Times New Roman"/>
          <w:sz w:val="24"/>
        </w:rPr>
        <w:t xml:space="preserve"> observasjoner inn i </w:t>
      </w:r>
      <m:oMath>
        <m:r>
          <m:t>K</m:t>
        </m:r>
      </m:oMath>
      <w:r>
        <w:rPr>
          <w:rFonts w:ascii="Times New Roman" w:hAnsi="Times New Roman" w:cs="Times New Roman"/>
          <w:sz w:val="24"/>
        </w:rPr>
        <w:t xml:space="preserve"> klynger ved å minimere intra-klynge varians (Srinivasan &amp; Moon, 1999). Algoritmen er iterativ: den initialiserer </w:t>
      </w:r>
      <m:oMath>
        <m:r>
          <m:t>K</m:t>
        </m:r>
      </m:oMath>
      <w:r>
        <w:rPr>
          <w:rFonts w:ascii="Times New Roman" w:hAnsi="Times New Roman" w:cs="Times New Roman"/>
          <w:sz w:val="24"/>
        </w:rPr>
        <w:t xml:space="preserve"> sentroider, tildeler hvert datapunkt til nærmeste sentroid, oppdaterer sentroider som klyngenes tyngdepunkter og gjentar til konvergens. Implementasjonen benytter scikit-learn (Pedregosa et al., 2011) med </w:t>
      </w:r>
      <w:r>
        <w:rPr>
          <w:rFonts w:ascii="Consolas" w:hAnsi="Consolas" w:cs="Consolas"/>
          <w:sz w:val="20"/>
          <w:shd w:val="clear" w:color="auto" w:fill="F4F4F4"/>
        </w:rPr>
        <w:t>n_init=50</w:t>
      </w:r>
      <w:r>
        <w:rPr>
          <w:rFonts w:ascii="Times New Roman" w:hAnsi="Times New Roman" w:cs="Times New Roman"/>
          <w:sz w:val="24"/>
        </w:rPr>
        <w:t xml:space="preserve"> og </w:t>
      </w:r>
      <w:r>
        <w:rPr>
          <w:rFonts w:ascii="Consolas" w:hAnsi="Consolas" w:cs="Consolas"/>
          <w:sz w:val="20"/>
          <w:shd w:val="clear" w:color="auto" w:fill="F4F4F4"/>
        </w:rPr>
        <w:t>max_iter=300</w:t>
      </w:r>
      <w:r>
        <w:rPr>
          <w:rFonts w:ascii="Times New Roman" w:hAnsi="Times New Roman" w:cs="Times New Roman"/>
          <w:sz w:val="24"/>
        </w:rPr>
        <w:t xml:space="preserve"> for robust initialisering.</w:t>
      </w:r>
    </w:p>
    <w:p>
      <w:pPr>
        <w:spacing w:line="360" w:lineRule="auto"/>
        <w:jc w:val="both"/>
      </w:pPr>
      <w:r>
        <w:rPr>
          <w:rFonts w:ascii="Times New Roman" w:hAnsi="Times New Roman" w:cs="Times New Roman"/>
          <w:b/>
          <w:sz w:val="24"/>
        </w:rPr>
        <w:t>Featurevektor.</w:t>
      </w:r>
      <w:r>
        <w:rPr>
          <w:rFonts w:ascii="Times New Roman" w:hAnsi="Times New Roman" w:cs="Times New Roman"/>
          <w:sz w:val="24"/>
        </w:rPr>
        <w:t xml:space="preserve"> Hver artikkel representeres av en tredimensjonal featurevektor:</w:t>
      </w:r>
    </w:p>
    <w:p>
      <w:pPr>
        <w:spacing w:line="360" w:lineRule="auto"/>
        <w:jc w:val="center"/>
      </w:pPr>
      <m:oMath>
        <m:sSub>
          <m:e>
            <m:r>
              <m:t>𝐱</m:t>
            </m:r>
          </m:e>
          <m:sub>
            <m:r>
              <m:t>i</m:t>
            </m:r>
          </m:sub>
        </m:sSub>
        <m:r>
          <m:t>=[</m:t>
        </m:r>
        <m:r>
          <m:t>z(</m:t>
        </m:r>
        <m:r>
          <m:rPr>
            <m:sty m:val="p"/>
          </m:rPr>
          <m:t>ln</m:t>
        </m:r>
        <m:sSub>
          <m:e>
            <m:r>
              <m:rPr>
                <m:nor/>
              </m:rPr>
              <m:t>CV</m:t>
            </m:r>
          </m:e>
          <m:sub>
            <m:r>
              <m:t>i</m:t>
            </m:r>
          </m:sub>
        </m:sSub>
        <m:r>
          <m:t>),</m:t>
        </m:r>
        <m:r>
          <m:t>z(</m:t>
        </m:r>
        <m:r>
          <m:rPr>
            <m:sty m:val="p"/>
          </m:rPr>
          <m:t>ln</m:t>
        </m:r>
        <m:r>
          <m:t>(</m:t>
        </m:r>
        <m:sSub>
          <m:e>
            <m:r>
              <m:t>v</m:t>
            </m:r>
          </m:e>
          <m:sub>
            <m:r>
              <m:t>i</m:t>
            </m:r>
          </m:sub>
        </m:sSub>
        <m:r>
          <m:t>+1)),</m:t>
        </m:r>
        <m:r>
          <m:t>z(</m:t>
        </m:r>
        <m:r>
          <m:rPr>
            <m:sty m:val="p"/>
          </m:rPr>
          <m:t>ln</m:t>
        </m:r>
        <m:r>
          <m:t>(|ΔT</m:t>
        </m:r>
        <m:sSub>
          <m:e>
            <m:r>
              <m:t>C</m:t>
            </m:r>
          </m:e>
          <m:sub>
            <m:r>
              <m:t>i</m:t>
            </m:r>
          </m:sub>
        </m:sSub>
        <m:r>
          <m:t>|+1))</m:t>
        </m:r>
        <m:r>
          <m:t>]</m:t>
        </m:r>
      </m:oMath>
    </w:p>
    <w:p>
      <w:pPr>
        <w:spacing w:line="360" w:lineRule="auto"/>
        <w:jc w:val="both"/>
      </w:pPr>
      <w:r>
        <w:rPr>
          <w:rFonts w:ascii="Times New Roman" w:hAnsi="Times New Roman" w:cs="Times New Roman"/>
          <w:sz w:val="24"/>
        </w:rPr>
        <w:t xml:space="preserve">der </w:t>
      </w:r>
      <m:oMath>
        <m:r>
          <m:t>z(·)</m:t>
        </m:r>
      </m:oMath>
      <w:r>
        <w:rPr>
          <w:rFonts w:ascii="Times New Roman" w:hAnsi="Times New Roman" w:cs="Times New Roman"/>
          <w:sz w:val="24"/>
        </w:rPr>
        <w:t xml:space="preserve"> betegner standardisering (z-score). Log-transformasjon er anvendt på alle tre features fordi de underliggende variablene er høyreskjeve: CV, artikkelverdi og EOQ-avvik har lange høyre haler, og uten transformasjon vil K-means domineres av ekstremverdier fremfor den typiske variasjonen i datasettet (Srinivasan &amp; Moon, 1999). Absoluttverdien </w:t>
      </w:r>
      <m:oMath>
        <m:d>
          <m:dPr>
            <m:begChr m:val="|"/>
            <m:sepChr m:val=""/>
            <m:endChr m:val="|"/>
          </m:dPr>
          <m:e>
            <m:r>
              <m:t>Δ</m:t>
            </m:r>
            <m:r>
              <m:t>T</m:t>
            </m:r>
            <m:sSub>
              <m:e>
                <m:r>
                  <m:t>C</m:t>
                </m:r>
              </m:e>
              <m:sub>
                <m:r>
                  <m:t>i</m:t>
                </m:r>
              </m:sub>
            </m:sSub>
          </m:e>
        </m:d>
      </m:oMath>
      <w:r>
        <w:rPr>
          <w:rFonts w:ascii="Times New Roman" w:hAnsi="Times New Roman" w:cs="Times New Roman"/>
          <w:sz w:val="24"/>
        </w:rPr>
        <w:t xml:space="preserve"> benyttes fordi det er størrelsen på EOQ-avviket som er relevant for klyngingen – ikke retningen. Konstantleddet </w:t>
      </w:r>
      <m:oMath>
        <m:r>
          <m:t>+1</m:t>
        </m:r>
      </m:oMath>
      <w:r>
        <w:rPr>
          <w:rFonts w:ascii="Times New Roman" w:hAnsi="Times New Roman" w:cs="Times New Roman"/>
          <w:sz w:val="24"/>
        </w:rPr>
        <w:t xml:space="preserve"> i logaritmen hindrer </w:t>
      </w:r>
      <m:oMath>
        <m:r>
          <m:rPr>
            <m:sty m:val="p"/>
          </m:rPr>
          <m:t>ln</m:t>
        </m:r>
        <m:r>
          <m:t>(0)</m:t>
        </m:r>
      </m:oMath>
      <w:r>
        <w:rPr>
          <w:rFonts w:ascii="Times New Roman" w:hAnsi="Times New Roman" w:cs="Times New Roman"/>
          <w:sz w:val="24"/>
        </w:rPr>
        <w:t xml:space="preserve"> for artikler med </w:t>
      </w:r>
      <m:oMath>
        <m:r>
          <m:t>ΔTC=0</m:t>
        </m:r>
      </m:oMath>
      <w:r>
        <w:rPr>
          <w:rFonts w:ascii="Times New Roman" w:hAnsi="Times New Roman" w:cs="Times New Roman"/>
          <w:sz w:val="24"/>
        </w:rPr>
        <w:t>.</w:t>
      </w:r>
    </w:p>
    <w:p>
      <w:pPr>
        <w:spacing w:line="360" w:lineRule="auto"/>
        <w:jc w:val="both"/>
      </w:pPr>
      <w:r>
        <w:rPr>
          <w:rFonts w:ascii="Times New Roman" w:hAnsi="Times New Roman" w:cs="Times New Roman"/>
          <w:b/>
          <w:sz w:val="24"/>
        </w:rPr>
        <w:t>Trenings- og testprosedyre.</w:t>
      </w:r>
      <w:r>
        <w:rPr>
          <w:rFonts w:ascii="Times New Roman" w:hAnsi="Times New Roman" w:cs="Times New Roman"/>
          <w:sz w:val="24"/>
        </w:rPr>
        <w:t xml:space="preserve"> Datasettet deles i et treningssett (80 %, random\_state = 42) og et testsett (20 %). StandardScaler tilpasses utelukkende til treningsdataene og transformerer deretter begge sett. KMeans-modellen trenes kun på treningsdataene. Testsettet evaluerer klyngestrukturens generaliserbarhet.</w:t>
      </w:r>
    </w:p>
    <w:p>
      <w:pPr>
        <w:spacing w:line="360" w:lineRule="auto"/>
        <w:jc w:val="both"/>
      </w:pPr>
      <w:r>
        <w:rPr>
          <w:rFonts w:ascii="Times New Roman" w:hAnsi="Times New Roman" w:cs="Times New Roman"/>
          <w:b/>
          <w:sz w:val="24"/>
        </w:rPr>
        <w:t>K-valg.</w:t>
      </w:r>
      <w:r>
        <w:rPr>
          <w:rFonts w:ascii="Times New Roman" w:hAnsi="Times New Roman" w:cs="Times New Roman"/>
          <w:sz w:val="24"/>
        </w:rPr>
        <w:t xml:space="preserve"> Antall klynger </w:t>
      </w:r>
      <m:oMath>
        <m:r>
          <m:t>K</m:t>
        </m:r>
      </m:oMath>
      <w:r>
        <w:rPr>
          <w:rFonts w:ascii="Times New Roman" w:hAnsi="Times New Roman" w:cs="Times New Roman"/>
          <w:sz w:val="24"/>
        </w:rPr>
        <w:t xml:space="preserve"> velges automatisk som den </w:t>
      </w:r>
      <m:oMath>
        <m:r>
          <m:t>K</m:t>
        </m:r>
      </m:oMath>
      <w:r>
        <w:rPr>
          <w:rFonts w:ascii="Times New Roman" w:hAnsi="Times New Roman" w:cs="Times New Roman"/>
          <w:sz w:val="24"/>
        </w:rPr>
        <w:t xml:space="preserve">-verdien i intervallet </w:t>
      </w:r>
      <m:oMath>
        <m:d>
          <m:dPr>
            <m:begChr m:val="["/>
            <m:sepChr m:val=","/>
            <m:endChr m:val="]"/>
          </m:dPr>
          <m:e>
            <m:r>
              <m:t>2</m:t>
            </m:r>
          </m:e>
          <m:e>
            <m:r>
              <m:t>7</m:t>
            </m:r>
          </m:e>
        </m:d>
      </m:oMath>
      <w:r>
        <w:rPr>
          <w:rFonts w:ascii="Times New Roman" w:hAnsi="Times New Roman" w:cs="Times New Roman"/>
          <w:sz w:val="24"/>
        </w:rPr>
        <w:t xml:space="preserve"> som gir høyest gjennomsnittlig silhouette-score på treningsdataene. Silhouette-score </w:t>
      </w:r>
      <m:oMath>
        <m:sSub>
          <m:e>
            <m:r>
              <m:t>s</m:t>
            </m:r>
          </m:e>
          <m:sub>
            <m:r>
              <m:t>i</m:t>
            </m:r>
          </m:sub>
        </m:sSub>
      </m:oMath>
      <w:r>
        <w:rPr>
          <w:rFonts w:ascii="Times New Roman" w:hAnsi="Times New Roman" w:cs="Times New Roman"/>
          <w:sz w:val="24"/>
        </w:rPr>
        <w:t xml:space="preserve"> for punkt </w:t>
      </w:r>
      <m:oMath>
        <m:r>
          <m:t>i</m:t>
        </m:r>
      </m:oMath>
      <w:r>
        <w:rPr>
          <w:rFonts w:ascii="Times New Roman" w:hAnsi="Times New Roman" w:cs="Times New Roman"/>
          <w:sz w:val="24"/>
        </w:rPr>
        <w:t xml:space="preserve"> er definert som (Rousseeuw, 1987):</w:t>
      </w:r>
    </w:p>
    <w:p>
      <w:pPr>
        <w:spacing w:line="360" w:lineRule="auto"/>
        <w:jc w:val="center"/>
      </w:pPr>
      <m:oMath>
        <m:sSub>
          <m:e>
            <m:r>
              <m:t>s</m:t>
            </m:r>
          </m:e>
          <m:sub>
            <m:r>
              <m:t>i</m:t>
            </m:r>
          </m:sub>
        </m:sSub>
        <m:r>
          <m:t>=</m:t>
        </m:r>
        <m:f>
          <m:fPr>
            <m:type m:val="bar"/>
          </m:fPr>
          <m:num>
            <m:sSub>
              <m:e>
                <m:r>
                  <m:t>b</m:t>
                </m:r>
              </m:e>
              <m:sub>
                <m:r>
                  <m:t>i</m:t>
                </m:r>
              </m:sub>
            </m:sSub>
            <m:r>
              <m:t>−</m:t>
            </m:r>
            <m:sSub>
              <m:e>
                <m:r>
                  <m:t>a</m:t>
                </m:r>
              </m:e>
              <m:sub>
                <m:r>
                  <m:t>i</m:t>
                </m:r>
              </m:sub>
            </m:sSub>
          </m:num>
          <m:den>
            <m:r>
              <m:t>max(</m:t>
            </m:r>
            <m:sSub>
              <m:e>
                <m:r>
                  <m:t>a</m:t>
                </m:r>
              </m:e>
              <m:sub>
                <m:r>
                  <m:t>i</m:t>
                </m:r>
              </m:sub>
            </m:sSub>
            <m:r>
              <m:t>,</m:t>
            </m:r>
            <m:sSub>
              <m:e>
                <m:r>
                  <m:t>b</m:t>
                </m:r>
              </m:e>
              <m:sub>
                <m:r>
                  <m:t>i</m:t>
                </m:r>
              </m:sub>
            </m:sSub>
            <m:r>
              <m:t>)</m:t>
            </m:r>
          </m:den>
        </m:f>
      </m:oMath>
    </w:p>
    <w:p>
      <w:pPr>
        <w:spacing w:line="360" w:lineRule="auto"/>
        <w:jc w:val="both"/>
      </w:pPr>
      <w:r>
        <w:rPr>
          <w:rFonts w:ascii="Times New Roman" w:hAnsi="Times New Roman" w:cs="Times New Roman"/>
          <w:sz w:val="24"/>
        </w:rPr>
        <w:t xml:space="preserve">der </w:t>
      </w:r>
      <m:oMath>
        <m:sSub>
          <m:e>
            <m:r>
              <m:t>a</m:t>
            </m:r>
          </m:e>
          <m:sub>
            <m:r>
              <m:t>i</m:t>
            </m:r>
          </m:sub>
        </m:sSub>
      </m:oMath>
      <w:r>
        <w:rPr>
          <w:rFonts w:ascii="Times New Roman" w:hAnsi="Times New Roman" w:cs="Times New Roman"/>
          <w:sz w:val="24"/>
        </w:rPr>
        <w:t xml:space="preserve"> er gjennomsnittlig intra-klyngeavstand og </w:t>
      </w:r>
      <m:oMath>
        <m:sSub>
          <m:e>
            <m:r>
              <m:t>b</m:t>
            </m:r>
          </m:e>
          <m:sub>
            <m:r>
              <m:t>i</m:t>
            </m:r>
          </m:sub>
        </m:sSub>
      </m:oMath>
      <w:r>
        <w:rPr>
          <w:rFonts w:ascii="Times New Roman" w:hAnsi="Times New Roman" w:cs="Times New Roman"/>
          <w:sz w:val="24"/>
        </w:rPr>
        <w:t xml:space="preserve"> er gjennomsnittlig avstand til nærmeste naboklynge. Score nær 1 indikerer tydelig klyngetilhørighet; score nær 0 indikerer overlapp; negativ score indikerer feil klynge. Scorer over 0,3 regnes som akseptable for eksplorativ analyse (Ketkar &amp; Vaidya, 2014). Silhouette beregnes separat for trenings- og testdata; et lavere testresultat enn treningsresultat er normalt, men et vesentlig fall vil indikere svak stabilitet – det vil si at klyngestrukturen ikke generaliserer godt utenfor treningssettet.</w:t>
      </w:r>
    </w:p>
    <w:p>
      <w:pPr>
        <w:spacing w:line="360" w:lineRule="auto"/>
        <w:jc w:val="both"/>
      </w:pPr>
      <w:r>
        <w:rPr>
          <w:rFonts w:ascii="Times New Roman" w:hAnsi="Times New Roman" w:cs="Times New Roman"/>
          <w:b/>
          <w:sz w:val="24"/>
        </w:rPr>
        <w:t>K\_OVERFØR-klyngen.</w:t>
      </w:r>
      <w:r>
        <w:rPr>
          <w:rFonts w:ascii="Times New Roman" w:hAnsi="Times New Roman" w:cs="Times New Roman"/>
          <w:sz w:val="24"/>
        </w:rPr>
        <w:t xml:space="preserve"> Etter kjøring identifiseres én klynge som HVFS-overføringsklynge. Identifiseringen er deterministisk: for hver klynge </w:t>
      </w:r>
      <m:oMath>
        <m:r>
          <m:t>k</m:t>
        </m:r>
      </m:oMath>
      <w:r>
        <w:rPr>
          <w:rFonts w:ascii="Times New Roman" w:hAnsi="Times New Roman" w:cs="Times New Roman"/>
          <w:sz w:val="24"/>
        </w:rPr>
        <w:t xml:space="preserve"> beregnes to rangeringer – </w:t>
      </w:r>
      <m:oMath>
        <m:r>
          <m:rPr>
            <m:nor/>
          </m:rPr>
          <m:t>rang</m:t>
        </m:r>
        <m:r>
          <m:t>(</m:t>
        </m:r>
        <m:sSub>
          <m:e>
            <m:acc>
              <m:accPr>
                <m:chr m:val="―"/>
              </m:accPr>
              <m:e>
                <m:r>
                  <m:rPr>
                    <m:nor/>
                  </m:rPr>
                  <m:t>CV</m:t>
                </m:r>
              </m:e>
            </m:acc>
          </m:e>
          <m:sub>
            <m:r>
              <m:t>k</m:t>
            </m:r>
          </m:sub>
        </m:sSub>
        <m:r>
          <m:t>)</m:t>
        </m:r>
      </m:oMath>
      <w:r>
        <w:rPr>
          <w:rFonts w:ascii="Times New Roman" w:hAnsi="Times New Roman" w:cs="Times New Roman"/>
          <w:sz w:val="24"/>
        </w:rPr>
        <w:t xml:space="preserve"> stigende og </w:t>
      </w:r>
      <m:oMath>
        <m:r>
          <m:rPr>
            <m:nor/>
          </m:rPr>
          <m:t>rang</m:t>
        </m:r>
        <m:r>
          <m:t>(</m:t>
        </m:r>
        <m:sSub>
          <m:e>
            <m:acc>
              <m:accPr>
                <m:chr m:val="―"/>
              </m:accPr>
              <m:e>
                <m:r>
                  <m:t>v</m:t>
                </m:r>
              </m:e>
            </m:acc>
          </m:e>
          <m:sub>
            <m:r>
              <m:t>k</m:t>
            </m:r>
          </m:sub>
        </m:sSub>
        <m:r>
          <m:t>)</m:t>
        </m:r>
      </m:oMath>
      <w:r>
        <w:rPr>
          <w:rFonts w:ascii="Times New Roman" w:hAnsi="Times New Roman" w:cs="Times New Roman"/>
          <w:sz w:val="24"/>
        </w:rPr>
        <w:t xml:space="preserve"> synkende – og klyngen med lavest rangsum velges:</w:t>
      </w:r>
    </w:p>
    <w:p>
      <w:pPr>
        <w:spacing w:line="360" w:lineRule="auto"/>
        <w:jc w:val="center"/>
      </w:pPr>
      <m:oMath>
        <m:sSup>
          <m:e>
            <m:r>
              <m:t>k</m:t>
            </m:r>
          </m:e>
          <m:sup>
            <m:r>
              <m:t>*</m:t>
            </m:r>
          </m:sup>
        </m:sSup>
        <m:r>
          <m:t>=</m:t>
        </m:r>
        <m:r>
          <m:rPr>
            <m:sty m:val="p"/>
          </m:rPr>
          <m:t>\arg</m:t>
        </m:r>
        <m:sSub>
          <m:e>
            <m:r>
              <m:t>min</m:t>
            </m:r>
          </m:e>
          <m:sub>
            <m:r>
              <m:t>k</m:t>
            </m:r>
          </m:sub>
        </m:sSub>
        <m:r>
          <m:t>[</m:t>
        </m:r>
        <m:r>
          <m:rPr>
            <m:nor/>
          </m:rPr>
          <m:t>rang</m:t>
        </m:r>
        <m:r>
          <m:t>(</m:t>
        </m:r>
        <m:sSub>
          <m:e>
            <m:acc>
              <m:accPr>
                <m:chr m:val="―"/>
              </m:accPr>
              <m:e>
                <m:r>
                  <m:rPr>
                    <m:nor/>
                  </m:rPr>
                  <m:t>CV</m:t>
                </m:r>
              </m:e>
            </m:acc>
          </m:e>
          <m:sub>
            <m:r>
              <m:t>k</m:t>
            </m:r>
          </m:sub>
        </m:sSub>
        <m:r>
          <m:t>↑)+</m:t>
        </m:r>
        <m:r>
          <m:rPr>
            <m:nor/>
          </m:rPr>
          <m:t>rang</m:t>
        </m:r>
        <m:r>
          <m:t>(</m:t>
        </m:r>
        <m:sSub>
          <m:e>
            <m:acc>
              <m:accPr>
                <m:chr m:val="―"/>
              </m:accPr>
              <m:e>
                <m:r>
                  <m:t>v</m:t>
                </m:r>
              </m:e>
            </m:acc>
          </m:e>
          <m:sub>
            <m:r>
              <m:t>k</m:t>
            </m:r>
          </m:sub>
        </m:sSub>
        <m:r>
          <m:t>↓)]</m:t>
        </m:r>
      </m:oMath>
    </w:p>
    <w:p>
      <w:pPr>
        <w:spacing w:line="360" w:lineRule="auto"/>
        <w:jc w:val="both"/>
      </w:pPr>
      <w:r>
        <w:rPr>
          <w:rFonts w:ascii="Times New Roman" w:hAnsi="Times New Roman" w:cs="Times New Roman"/>
          <w:sz w:val="24"/>
        </w:rPr>
        <w:t xml:space="preserve">K\_OVERFØR er altså klyngen med lavest gjennomsnittlig CV (stabilt forbruksmønster) og høyest gjennomsnittlig artikkelverdi. Implementasjonen benytter </w:t>
      </w:r>
      <w:r>
        <w:rPr>
          <w:rFonts w:ascii="Consolas" w:hAnsi="Consolas" w:cs="Consolas"/>
          <w:sz w:val="20"/>
          <w:shd w:val="clear" w:color="auto" w:fill="F4F4F4"/>
        </w:rPr>
        <w:t>pandas.Series.rank()</w:t>
      </w:r>
      <w:r>
        <w:rPr>
          <w:rFonts w:ascii="Times New Roman" w:hAnsi="Times New Roman" w:cs="Times New Roman"/>
          <w:sz w:val="24"/>
        </w:rPr>
        <w:t xml:space="preserve"> på klyngeprofilens CV- og verdikolonner (se Vedlegg B). Ettersom </w:t>
      </w:r>
      <m:oMath>
        <m:d>
          <m:dPr>
            <m:begChr m:val="|"/>
            <m:sepChr m:val=""/>
            <m:endChr m:val="|"/>
          </m:dPr>
          <m:e>
            <m:r>
              <m:t>Δ</m:t>
            </m:r>
            <m:r>
              <m:t>T</m:t>
            </m:r>
            <m:r>
              <m:t>C</m:t>
            </m:r>
          </m:e>
        </m:d>
      </m:oMath>
      <w:r>
        <w:rPr>
          <w:rFonts w:ascii="Times New Roman" w:hAnsi="Times New Roman" w:cs="Times New Roman"/>
          <w:sz w:val="24"/>
        </w:rPr>
        <w:t xml:space="preserve"> inngår i featurevektoren, påvirker den klyngestrukturen indirekte: artikler med høyt kostnadsavvik tenderer mot samme klynge som artikler med høy verdi og lav CV.</w:t>
      </w:r>
    </w:p>
    <w:p>
      <w:pPr>
        <w:spacing w:line="360" w:lineRule="auto"/>
        <w:jc w:val="both"/>
      </w:pPr>
      <w:r>
        <w:rPr>
          <w:rFonts w:ascii="Times New Roman" w:hAnsi="Times New Roman" w:cs="Times New Roman"/>
          <w:b/>
          <w:sz w:val="24"/>
        </w:rPr>
        <w:t>Designvalg.</w:t>
      </w:r>
      <w:r>
        <w:rPr>
          <w:rFonts w:ascii="Times New Roman" w:hAnsi="Times New Roman" w:cs="Times New Roman"/>
          <w:sz w:val="24"/>
        </w:rPr>
        <w:t xml:space="preserve"> K-means er valgt som </w:t>
      </w:r>
      <w:r>
        <w:rPr>
          <w:rFonts w:ascii="Times New Roman" w:hAnsi="Times New Roman" w:cs="Times New Roman"/>
          <w:b/>
          <w:sz w:val="24"/>
        </w:rPr>
        <w:t>uovervåket maskinlæring</w:t>
      </w:r>
      <w:r>
        <w:rPr>
          <w:rFonts w:ascii="Times New Roman" w:hAnsi="Times New Roman" w:cs="Times New Roman"/>
          <w:sz w:val="24"/>
        </w:rPr>
        <w:t xml:space="preserve"> fordi datasettet ikke inneholder merkede fasitklasser for HVFS-egnethet – en veiledet algoritme ville derfor ikke ha noe å trenes mot. Metoden er inkludert i rammeverket av to begrunnede årsaker. For det første gir den </w:t>
      </w:r>
      <w:r>
        <w:rPr>
          <w:rFonts w:ascii="Times New Roman" w:hAnsi="Times New Roman" w:cs="Times New Roman"/>
          <w:i/>
          <w:sz w:val="24"/>
        </w:rPr>
        <w:t>frihet fra forhåndsdefinerte terskelverdier</w:t>
      </w:r>
      <w:r>
        <w:rPr>
          <w:rFonts w:ascii="Times New Roman" w:hAnsi="Times New Roman" w:cs="Times New Roman"/>
          <w:sz w:val="24"/>
        </w:rPr>
        <w:t xml:space="preserve">: ABC-grensene (80/95 %) og XYZ-grensene (0,5 og 1,0) er litteraturbaserte valg, mens K-means lar dataene selv avgjøre gruppestrukturen multivariat. For det andre bidrar metoden til </w:t>
      </w:r>
      <w:r>
        <w:rPr>
          <w:rFonts w:ascii="Times New Roman" w:hAnsi="Times New Roman" w:cs="Times New Roman"/>
          <w:i/>
          <w:sz w:val="24"/>
        </w:rPr>
        <w:t>metodisk triangulering</w:t>
      </w:r>
      <w:r>
        <w:rPr>
          <w:rFonts w:ascii="Times New Roman" w:hAnsi="Times New Roman" w:cs="Times New Roman"/>
          <w:sz w:val="24"/>
        </w:rPr>
        <w:t xml:space="preserve"> – at tre analytiske tilnærminger med ulike antagelser konvergerer mot samme artikkelgruppe utgjør et validitetsargument, ikke en redundans. At K\_OVERFØR-klyngen bygger på de samme underliggende dimensjonene (verdi og forbruksstabilitet) som ABC/XYZ-klassifiseringen er dermed forventet og ettersøkt; sammenfallet bekrefter at de litteraturbaserte tersklene er rimelige for dette datasettet. Klyngen inngår som ett av inngangssignalene i regelmotoren beskrevet nedenfor.</w:t>
      </w:r>
    </w:p>
    <w:p>
      <w:pPr>
        <w:pStyle w:val="Overskrift2"/>
      </w:pPr>
      <w:r>
        <w:rPr>
          <w:rFonts w:ascii="Times New Roman" w:hAnsi="Times New Roman"/>
          <w:color w:val="000000"/>
          <w:sz w:val="32"/>
        </w:rPr>
        <w:t>5.5 Regelmotor</w:t>
      </w:r>
    </w:p>
    <w:p>
      <w:pPr>
        <w:spacing w:line="360" w:lineRule="auto"/>
        <w:jc w:val="both"/>
      </w:pPr>
      <w:r>
        <w:rPr>
          <w:rFonts w:ascii="Times New Roman" w:hAnsi="Times New Roman" w:cs="Times New Roman"/>
          <w:sz w:val="24"/>
        </w:rPr>
        <w:t>Regelmotoren kombinerer utfallene fra de fire foregående modellene – ABC-klasse, XYZ-klasse, EOQ-avviksstatus og K-means klyngetilhørighet – og produserer en anbefaling per artikkel. Reglene anvender en sekvensiell prioritet: artikkelen evalueres mot reglene i nummerert rekkefølge, og den første regelen som gir treff bestemmer utfallet. Dette forhindrer at en artikkel oppfyller kriteriene for flere kategorier.</w:t>
      </w:r>
    </w:p>
    <w:p>
      <w:r>
        <w:rPr>
          <w:rFonts w:ascii="Times New Roman" w:hAnsi="Times New Roman"/>
          <w:b/>
          <w:sz w:val="20"/>
        </w:rPr>
        <w:t>Tabell 7</w:t>
      </w:r>
    </w:p>
    <w:p>
      <w:r>
        <w:rPr>
          <w:rFonts w:ascii="Times New Roman" w:hAnsi="Times New Roman"/>
          <w:i/>
          <w:sz w:val="20"/>
        </w:rPr>
        <w:t>Regelmotor: 8 beslutningsregler i prioritert rekkefølge</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Regel</w:t>
            </w:r>
          </w:p>
        </w:tc>
        <w:tc>
          <w:tcPr>
            <w:tcW w:type="dxa" w:w="2192"/>
            <w:tcBorders>
              <w:top w:val="single" w:sz="8" w:space="0" w:color="000000"/>
              <w:bottom w:val="single" w:sz="4" w:space="0" w:color="000000"/>
              <w:left w:val="nil"/>
              <w:right w:val="nil"/>
            </w:tcBorders>
          </w:tcPr>
          <w:p>
            <w:r/>
            <w:r>
              <w:rPr>
                <w:rFonts w:ascii="Times New Roman" w:hAnsi="Times New Roman"/>
                <w:b/>
                <w:sz w:val="22"/>
              </w:rPr>
              <w:t>Betingelse</w:t>
            </w:r>
          </w:p>
        </w:tc>
        <w:tc>
          <w:tcPr>
            <w:tcW w:type="dxa" w:w="2192"/>
            <w:tcBorders>
              <w:top w:val="single" w:sz="8" w:space="0" w:color="000000"/>
              <w:bottom w:val="single" w:sz="4" w:space="0" w:color="000000"/>
              <w:left w:val="nil"/>
              <w:right w:val="nil"/>
            </w:tcBorders>
          </w:tcPr>
          <w:p>
            <w:r/>
            <w:r>
              <w:rPr>
                <w:rFonts w:ascii="Times New Roman" w:hAnsi="Times New Roman"/>
                <w:b/>
                <w:sz w:val="22"/>
              </w:rPr>
              <w:t>Anbefaling</w:t>
            </w:r>
          </w:p>
        </w:tc>
        <w:tc>
          <w:tcPr>
            <w:tcW w:type="dxa" w:w="2192"/>
            <w:tcBorders>
              <w:top w:val="single" w:sz="8" w:space="0" w:color="000000"/>
              <w:bottom w:val="single" w:sz="4" w:space="0" w:color="000000"/>
              <w:left w:val="nil"/>
              <w:right w:val="nil"/>
            </w:tcBorders>
          </w:tcPr>
          <w:p>
            <w:r/>
            <w:r>
              <w:rPr>
                <w:rFonts w:ascii="Times New Roman" w:hAnsi="Times New Roman"/>
                <w:b/>
                <w:sz w:val="22"/>
              </w:rPr>
              <w:t>Logikk</w:t>
            </w:r>
          </w:p>
        </w:tc>
      </w:tr>
      <w:tr>
        <w:tc>
          <w:tcPr>
            <w:tcW w:type="dxa" w:w="2192"/>
          </w:tcPr>
          <w:p>
            <w:r/>
            <w:r>
              <w:rPr>
                <w:rFonts w:ascii="Times New Roman" w:hAnsi="Times New Roman"/>
                <w:b w:val="0"/>
                <w:sz w:val="22"/>
              </w:rPr>
              <w:t>R1</w:t>
            </w:r>
          </w:p>
        </w:tc>
        <w:tc>
          <w:tcPr>
            <w:tcW w:type="dxa" w:w="2192"/>
          </w:tcPr>
          <w:p>
            <w:r/>
            <w:r>
              <w:rPr>
                <w:rFonts w:ascii="Times New Roman" w:hAnsi="Times New Roman"/>
                <w:b w:val="0"/>
                <w:sz w:val="22"/>
              </w:rPr>
              <w:t>XYZ = Z (uavh. av ABC)</w:t>
            </w:r>
          </w:p>
        </w:tc>
        <w:tc>
          <w:tcPr>
            <w:tcW w:type="dxa" w:w="2192"/>
          </w:tcPr>
          <w:p>
            <w:r/>
            <w:r>
              <w:rPr>
                <w:rFonts w:ascii="Times New Roman" w:hAnsi="Times New Roman"/>
                <w:b w:val="0"/>
                <w:sz w:val="22"/>
              </w:rPr>
              <w:t>BEHOLD_LOKALT</w:t>
            </w:r>
          </w:p>
        </w:tc>
        <w:tc>
          <w:tcPr>
            <w:tcW w:type="dxa" w:w="2192"/>
          </w:tcPr>
          <w:p>
            <w:r/>
            <w:r>
              <w:rPr>
                <w:rFonts w:ascii="Times New Roman" w:hAnsi="Times New Roman"/>
                <w:b w:val="0"/>
                <w:sz w:val="22"/>
              </w:rPr>
              <w:t>Uforutsigbart forbruk → uegnet for APL</w:t>
            </w:r>
          </w:p>
        </w:tc>
      </w:tr>
      <w:tr>
        <w:tc>
          <w:tcPr>
            <w:tcW w:type="dxa" w:w="2192"/>
          </w:tcPr>
          <w:p>
            <w:r/>
            <w:r>
              <w:rPr>
                <w:rFonts w:ascii="Times New Roman" w:hAnsi="Times New Roman"/>
                <w:b w:val="0"/>
                <w:sz w:val="22"/>
              </w:rPr>
              <w:t>R2</w:t>
            </w:r>
          </w:p>
        </w:tc>
        <w:tc>
          <w:tcPr>
            <w:tcW w:type="dxa" w:w="2192"/>
          </w:tcPr>
          <w:p>
            <w:r/>
            <w:r>
              <w:rPr>
                <w:rFonts w:ascii="Times New Roman" w:hAnsi="Times New Roman"/>
                <w:b w:val="0"/>
                <w:sz w:val="22"/>
              </w:rPr>
              <w:t>ABC = C og XYZ = Y</w:t>
            </w:r>
          </w:p>
        </w:tc>
        <w:tc>
          <w:tcPr>
            <w:tcW w:type="dxa" w:w="2192"/>
          </w:tcPr>
          <w:p>
            <w:r/>
            <w:r>
              <w:rPr>
                <w:rFonts w:ascii="Times New Roman" w:hAnsi="Times New Roman"/>
                <w:b w:val="0"/>
                <w:sz w:val="22"/>
              </w:rPr>
              <w:t>BEHOLD_LOKALT</w:t>
            </w:r>
          </w:p>
        </w:tc>
        <w:tc>
          <w:tcPr>
            <w:tcW w:type="dxa" w:w="2192"/>
          </w:tcPr>
          <w:p>
            <w:r/>
            <w:r>
              <w:rPr>
                <w:rFonts w:ascii="Times New Roman" w:hAnsi="Times New Roman"/>
                <w:b w:val="0"/>
                <w:sz w:val="22"/>
              </w:rPr>
              <w:t>Lav verdi + moderat variasjon</w:t>
            </w:r>
          </w:p>
        </w:tc>
      </w:tr>
      <w:tr>
        <w:tc>
          <w:tcPr>
            <w:tcW w:type="dxa" w:w="2192"/>
          </w:tcPr>
          <w:p>
            <w:r/>
            <w:r>
              <w:rPr>
                <w:rFonts w:ascii="Times New Roman" w:hAnsi="Times New Roman"/>
                <w:b w:val="0"/>
                <w:sz w:val="22"/>
              </w:rPr>
              <w:t>R3</w:t>
            </w:r>
          </w:p>
        </w:tc>
        <w:tc>
          <w:tcPr>
            <w:tcW w:type="dxa" w:w="2192"/>
          </w:tcPr>
          <w:p>
            <w:r/>
            <w:r>
              <w:rPr>
                <w:rFonts w:ascii="Times New Roman" w:hAnsi="Times New Roman"/>
                <w:b w:val="0"/>
                <w:sz w:val="22"/>
              </w:rPr>
              <w:t>ABC ∈ {A, B} og XYZ = X og EOQ = FOR_MANGE</w:t>
            </w:r>
          </w:p>
        </w:tc>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Sterkeste signal: høy verdi, stabilt, overbestilt</w:t>
            </w:r>
          </w:p>
        </w:tc>
      </w:tr>
      <w:tr>
        <w:tc>
          <w:tcPr>
            <w:tcW w:type="dxa" w:w="2192"/>
          </w:tcPr>
          <w:p>
            <w:r/>
            <w:r>
              <w:rPr>
                <w:rFonts w:ascii="Times New Roman" w:hAnsi="Times New Roman"/>
                <w:b w:val="0"/>
                <w:sz w:val="22"/>
              </w:rPr>
              <w:t>R4</w:t>
            </w:r>
          </w:p>
        </w:tc>
        <w:tc>
          <w:tcPr>
            <w:tcW w:type="dxa" w:w="2192"/>
          </w:tcPr>
          <w:p>
            <w:r/>
            <w:r>
              <w:rPr>
                <w:rFonts w:ascii="Times New Roman" w:hAnsi="Times New Roman"/>
                <w:b w:val="0"/>
                <w:sz w:val="22"/>
              </w:rPr>
              <w:t>ABC ∈ {A, B} og XYZ = X og K_OVERFØR</w:t>
            </w:r>
          </w:p>
        </w:tc>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Høy verdi, stabilt, klyngeprofil bekrefter</w:t>
            </w:r>
          </w:p>
        </w:tc>
      </w:tr>
      <w:tr>
        <w:tc>
          <w:tcPr>
            <w:tcW w:type="dxa" w:w="2192"/>
          </w:tcPr>
          <w:p>
            <w:r/>
            <w:r>
              <w:rPr>
                <w:rFonts w:ascii="Times New Roman" w:hAnsi="Times New Roman"/>
                <w:b w:val="0"/>
                <w:sz w:val="22"/>
              </w:rPr>
              <w:t>R5</w:t>
            </w:r>
          </w:p>
        </w:tc>
        <w:tc>
          <w:tcPr>
            <w:tcW w:type="dxa" w:w="2192"/>
          </w:tcPr>
          <w:p>
            <w:r/>
            <w:r>
              <w:rPr>
                <w:rFonts w:ascii="Times New Roman" w:hAnsi="Times New Roman"/>
                <w:b w:val="0"/>
                <w:sz w:val="22"/>
              </w:rPr>
              <w:t>ABC ∈ {A, B} og XYZ = Y og K_OVERFØR</w:t>
            </w:r>
          </w:p>
        </w:tc>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Høy verdi, moderat variasjon, klyngeprofil bekrefter</w:t>
            </w:r>
          </w:p>
        </w:tc>
      </w:tr>
      <w:tr>
        <w:tc>
          <w:tcPr>
            <w:tcW w:type="dxa" w:w="2192"/>
          </w:tcPr>
          <w:p>
            <w:r/>
            <w:r>
              <w:rPr>
                <w:rFonts w:ascii="Times New Roman" w:hAnsi="Times New Roman"/>
                <w:b w:val="0"/>
                <w:sz w:val="22"/>
              </w:rPr>
              <w:t>R6</w:t>
            </w:r>
          </w:p>
        </w:tc>
        <w:tc>
          <w:tcPr>
            <w:tcW w:type="dxa" w:w="2192"/>
          </w:tcPr>
          <w:p>
            <w:r/>
            <w:r>
              <w:rPr>
                <w:rFonts w:ascii="Times New Roman" w:hAnsi="Times New Roman"/>
                <w:b w:val="0"/>
                <w:sz w:val="22"/>
              </w:rPr>
              <w:t>ABC ∈ {A, B} og XYZ = X</w:t>
            </w:r>
          </w:p>
        </w:tc>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Høy verdi, stabilt, men ikke K_OVERFØR</w:t>
            </w:r>
          </w:p>
        </w:tc>
      </w:tr>
      <w:tr>
        <w:tc>
          <w:tcPr>
            <w:tcW w:type="dxa" w:w="2192"/>
          </w:tcPr>
          <w:p>
            <w:r/>
            <w:r>
              <w:rPr>
                <w:rFonts w:ascii="Times New Roman" w:hAnsi="Times New Roman"/>
                <w:b w:val="0"/>
                <w:sz w:val="22"/>
              </w:rPr>
              <w:t>R7</w:t>
            </w:r>
          </w:p>
        </w:tc>
        <w:tc>
          <w:tcPr>
            <w:tcW w:type="dxa" w:w="2192"/>
          </w:tcPr>
          <w:p>
            <w:r/>
            <w:r>
              <w:rPr>
                <w:rFonts w:ascii="Times New Roman" w:hAnsi="Times New Roman"/>
                <w:b w:val="0"/>
                <w:sz w:val="22"/>
              </w:rPr>
              <w:t>ABC ∈ {A, B} og XYZ = Y</w:t>
            </w:r>
          </w:p>
        </w:tc>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Høy verdi, moderat variasjon, ikke K_OVERFØR</w:t>
            </w:r>
          </w:p>
        </w:tc>
      </w:tr>
      <w:tr>
        <w:tc>
          <w:tcPr>
            <w:tcW w:type="dxa" w:w="2192"/>
          </w:tcPr>
          <w:p>
            <w:r/>
            <w:r>
              <w:rPr>
                <w:rFonts w:ascii="Times New Roman" w:hAnsi="Times New Roman"/>
                <w:b w:val="0"/>
                <w:sz w:val="22"/>
              </w:rPr>
              <w:t>R8</w:t>
            </w:r>
          </w:p>
        </w:tc>
        <w:tc>
          <w:tcPr>
            <w:tcW w:type="dxa" w:w="2192"/>
          </w:tcPr>
          <w:p>
            <w:r/>
            <w:r>
              <w:rPr>
                <w:rFonts w:ascii="Times New Roman" w:hAnsi="Times New Roman"/>
                <w:b w:val="0"/>
                <w:sz w:val="22"/>
              </w:rPr>
              <w:t>Ellers (inkl. C + X)</w:t>
            </w:r>
          </w:p>
        </w:tc>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Uklart signalmønster eller lav verdi</w:t>
            </w:r>
          </w:p>
        </w:tc>
      </w:tr>
    </w:tbl>
    <w:p>
      <w:pPr>
        <w:spacing w:line="360" w:lineRule="auto"/>
        <w:jc w:val="both"/>
      </w:pPr>
      <w:r>
        <w:rPr>
          <w:rFonts w:ascii="Times New Roman" w:hAnsi="Times New Roman" w:cs="Times New Roman"/>
          <w:sz w:val="24"/>
        </w:rPr>
        <w:t>Sekvenslogikken er utformet slik at de to første reglene fungerer som overordnede frastøtingsregler: enhver Z-artikkel beholdes lokalt uavhengig av ABC-klasse (R1), og CY-artikler beholdes lokalt som standard (R2). Disse reglene reflekterer den grunnleggende innsikten at uforutsigbart forbruksmønster er den sterkeste kontraindikasjon mot sentralisering, fordi HVFS-modellen med APL-leveranse forutsetter planbar etterspørsel for å opprettholde tilfredsstillende servicenivå (Bijvank &amp; Vis, 2012; Fragapane et al., 2019).</w:t>
      </w:r>
    </w:p>
    <w:p>
      <w:pPr>
        <w:spacing w:line="360" w:lineRule="auto"/>
        <w:jc w:val="both"/>
      </w:pPr>
      <w:r>
        <w:rPr>
          <w:rFonts w:ascii="Times New Roman" w:hAnsi="Times New Roman" w:cs="Times New Roman"/>
          <w:sz w:val="24"/>
        </w:rPr>
        <w:t>Reglene 3–5 definerer positivt overføringssignal med to krav: artikkelen må ha høy verdi (A/B) og stabilt forbruk (X eller Y), og i tillegg enten dokumentert overbestilling (R3: FOR\_MANGE\_ORDRER) eller klyngetilhørighet som bekrefter HVFS-egnethet (R4 og R5: K\_OVERFØR). K\_OVERFØR-kravet i R4 og R5 er et bevisst designvalg for å sikre at overføringsanbefalinger for artikler uten EOQ-avvikssignal er forankret i klyngeanalysen – dette gir regelmotoren høyere presisjon på bekostning av recall, og er grunnen til at VURDER-kategorien er den største enkeltgruppen. Regel 6 sender A/B-artikler med XYZ = X, men uten K\_OVERFØR-signal, til manuell vurdering; regel 7 gjør det samme for A/B-artikler med XYZ = Y. Regel 8 fanger opp alle øvrige artikler, inkludert C + X (lav verdi, stabilt forbruk), som sendes til vurdering. Regelmotorens sekvensielle beslutningsflyt er illustrert i Figur 5.</w:t>
      </w:r>
    </w:p>
    <w:p>
      <w:r>
        <w:drawing>
          <wp:inline xmlns:a="http://schemas.openxmlformats.org/drawingml/2006/main" xmlns:pic="http://schemas.openxmlformats.org/drawingml/2006/picture">
            <wp:extent cx="5400000" cy="4225574"/>
            <wp:docPr id="8" name="Picture 8"/>
            <wp:cNvGraphicFramePr>
              <a:graphicFrameLocks noChangeAspect="1"/>
            </wp:cNvGraphicFramePr>
            <a:graphic>
              <a:graphicData uri="http://schemas.openxmlformats.org/drawingml/2006/picture">
                <pic:pic>
                  <pic:nvPicPr>
                    <pic:cNvPr id="0" name="Fig03_Regelmotor.png"/>
                    <pic:cNvPicPr/>
                  </pic:nvPicPr>
                  <pic:blipFill>
                    <a:blip r:embed="rId26"/>
                    <a:stretch>
                      <a:fillRect/>
                    </a:stretch>
                  </pic:blipFill>
                  <pic:spPr>
                    <a:xfrm>
                      <a:off x="0" y="0"/>
                      <a:ext cx="5400000" cy="4225574"/>
                    </a:xfrm>
                    <a:prstGeom prst="rect"/>
                  </pic:spPr>
                </pic:pic>
              </a:graphicData>
            </a:graphic>
          </wp:inline>
        </w:drawing>
      </w:r>
    </w:p>
    <w:p>
      <w:pPr>
        <w:jc w:val="center"/>
      </w:pPr>
      <w:r>
        <w:rPr>
          <w:rFonts w:ascii="Times New Roman" w:hAnsi="Times New Roman"/>
          <w:i/>
          <w:sz w:val="20"/>
        </w:rPr>
        <w:t>Figur 5. Regelmotor: sekvensiell beslutningsflyt for HVFS-anbefaling (R1–R8).</w:t>
      </w:r>
    </w:p>
    <w:p>
      <w:pPr>
        <w:spacing w:line="360" w:lineRule="auto"/>
        <w:jc w:val="both"/>
      </w:pPr>
      <w:r>
        <w:rPr>
          <w:rFonts w:ascii="Times New Roman" w:hAnsi="Times New Roman" w:cs="Times New Roman"/>
          <w:sz w:val="24"/>
        </w:rPr>
        <w:t>Artikler som ikke fanges opp av noen av de åtte reglene – typisk fordi CV-data eller verdidata mangler – klassifiseres som MANGLER\_DATA. Disse inngår ikke i besparelsesestimatet, men rapporteres separat for å synliggjøre datakvalitetsproblemer i kildedataene. Det understrekes at regelmotoren er et normativt beslutningsstøtteverktøy: den produserer en datadrevet anbefaling per artikkel, men erstatter ikke innkjøpsfaglig skjønn. Alle anbefalinger bør valideres i en begrenset pilot mot ekspertvurdering fra innkjøpsfunksjonen ved Helse Bergen før implementering i full skala. Alle beregnede anbefalinger, klyngeprofiler og besparelsesestimater presenteres som sluttresultater i kapittel 7. Kapittel 6 beskriver den analytiske gjennomføringen av modellene fra kapittel 5 på de 709 artiklene i LGORT 3001.</w:t>
      </w:r>
    </w:p>
    <w:p>
      <w:pPr>
        <w:pStyle w:val="Overskrift1"/>
        <w:pageBreakBefore w:val="true"/>
      </w:pPr>
      <w:r>
        <w:rPr>
          <w:rFonts w:ascii="Times New Roman" w:hAnsi="Times New Roman"/>
          <w:color w:val="000000"/>
          <w:sz w:val="36"/>
        </w:rPr>
        <w:t>Kapittel 6 – Analyse</w:t>
      </w:r>
    </w:p>
    <w:p>
      <w:pPr>
        <w:pStyle w:val="Overskrift2"/>
      </w:pPr>
      <w:r>
        <w:rPr>
          <w:rFonts w:ascii="Times New Roman" w:hAnsi="Times New Roman"/>
          <w:color w:val="000000"/>
          <w:sz w:val="32"/>
        </w:rPr>
        <w:t>6.1 ABC-analyse av 709 artikler</w:t>
      </w:r>
    </w:p>
    <w:p>
      <w:pPr>
        <w:spacing w:line="360" w:lineRule="auto"/>
        <w:jc w:val="both"/>
      </w:pPr>
      <w:r>
        <w:rPr>
          <w:rFonts w:ascii="Times New Roman" w:hAnsi="Times New Roman" w:cs="Times New Roman"/>
          <w:sz w:val="24"/>
        </w:rPr>
        <w:t xml:space="preserve">ABC-analysen ble gjennomført ved å sortere samtlige 709 aktive artikler i synkende rekkefølge etter beregnet årsverdi </w:t>
      </w:r>
      <m:oMath>
        <m:sSub>
          <m:e>
            <m:r>
              <m:t>v</m:t>
            </m:r>
          </m:e>
          <m:sub>
            <m:r>
              <m:t>i</m:t>
            </m:r>
          </m:sub>
        </m:sSub>
        <m:r>
          <m:t>=</m:t>
        </m:r>
        <m:sSub>
          <m:e>
            <m:r>
              <m:t>D</m:t>
            </m:r>
          </m:e>
          <m:sub>
            <m:r>
              <m:t>i</m:t>
            </m:r>
          </m:sub>
        </m:sSub>
        <m:r>
          <m:t>×</m:t>
        </m:r>
        <m:sSub>
          <m:e>
            <m:r>
              <m:rPr>
                <m:nor/>
              </m:rPr>
              <m:t>UNIT\_PRICE</m:t>
            </m:r>
          </m:e>
          <m:sub>
            <m:r>
              <m:t>i</m:t>
            </m:r>
          </m:sub>
        </m:sSub>
      </m:oMath>
      <w:r>
        <w:rPr>
          <w:rFonts w:ascii="Times New Roman" w:hAnsi="Times New Roman" w:cs="Times New Roman"/>
          <w:sz w:val="24"/>
        </w:rPr>
        <w:t xml:space="preserve">, der </w:t>
      </w:r>
      <m:oMath>
        <m:sSub>
          <m:e>
            <m:r>
              <m:t>D</m:t>
            </m:r>
          </m:e>
          <m:sub>
            <m:r>
              <m:t>i</m:t>
            </m:r>
          </m:sub>
        </m:sSub>
      </m:oMath>
      <w:r>
        <w:rPr>
          <w:rFonts w:ascii="Times New Roman" w:hAnsi="Times New Roman" w:cs="Times New Roman"/>
          <w:sz w:val="24"/>
        </w:rPr>
        <w:t xml:space="preserve"> er annualisert forbruk og </w:t>
      </w:r>
      <m:oMath>
        <m:sSub>
          <m:e>
            <m:r>
              <m:rPr>
                <m:nor/>
              </m:rPr>
              <m:t>UNIT\_PRICE</m:t>
            </m:r>
          </m:e>
          <m:sub>
            <m:r>
              <m:t>i</m:t>
            </m:r>
          </m:sub>
        </m:sSub>
      </m:oMath>
      <w:r>
        <w:rPr>
          <w:rFonts w:ascii="Times New Roman" w:hAnsi="Times New Roman" w:cs="Times New Roman"/>
          <w:sz w:val="24"/>
        </w:rPr>
        <w:t xml:space="preserve"> er PEINH-korrigert standardpris fra MBEW (beslutningene D-02 og D-03, avsnitt 4.3). For 505 av artiklene er </w:t>
      </w:r>
      <m:oMath>
        <m:sSub>
          <m:e>
            <m:r>
              <m:t>v</m:t>
            </m:r>
          </m:e>
          <m:sub>
            <m:r>
              <m:t>i</m:t>
            </m:r>
          </m:sub>
        </m:sSub>
      </m:oMath>
      <w:r>
        <w:rPr>
          <w:rFonts w:ascii="Times New Roman" w:hAnsi="Times New Roman" w:cs="Times New Roman"/>
          <w:sz w:val="24"/>
        </w:rPr>
        <w:t xml:space="preserve"> basert direkte på EKPO-innkjøpsdata (ABC\_VALUE\_SOURCE = EKPO); for de resterende 204 er verdien beregnet fra MSEG-forbruk og enhetspris (ABC\_VALUE\_SOURCE = BEREGNET). Etter sortering ble kumulativ verdiandel CUM\_PCT beregnet som løpende sum av </w:t>
      </w:r>
      <m:oMath>
        <m:sSub>
          <m:e>
            <m:r>
              <m:t>v</m:t>
            </m:r>
          </m:e>
          <m:sub>
            <m:r>
              <m:t>i</m:t>
            </m:r>
          </m:sub>
        </m:sSub>
      </m:oMath>
      <w:r>
        <w:rPr>
          <w:rFonts w:ascii="Times New Roman" w:hAnsi="Times New Roman" w:cs="Times New Roman"/>
          <w:sz w:val="24"/>
        </w:rPr>
        <w:t xml:space="preserve"> dividert på totalsum. Den samlede årsverdien for de 709 artiklene er beregnet til i overkant av 34 millioner kroner. De to verdikildene gir systematisk ulike bidrag til rangeringen: artikler med EKPO-data har observerte innkjøpsverdier fra faktiske transaksjoner, mens artikler med beregnet verdi baseres på forbruksvolum og standardpris. For de 204 beregnede artiklene er det en implisitt antagelse om at STPRS i MBEW er en rimelig tilnærming til faktisk innkjøpspris; denne antagelsen er diskutert i avsnitt 8.2. Analysen ble implementert i pandas med vektoriserte operasjoner for å sikre at rangeringen er deterministisk og reproduserbar.</w:t>
      </w:r>
    </w:p>
    <w:p>
      <w:pPr>
        <w:spacing w:line="360" w:lineRule="auto"/>
        <w:jc w:val="both"/>
      </w:pPr>
      <w:r>
        <w:rPr>
          <w:rFonts w:ascii="Times New Roman" w:hAnsi="Times New Roman" w:cs="Times New Roman"/>
          <w:sz w:val="24"/>
        </w:rPr>
        <w:t>Pareto-grensene 80 % og 95 % ble deretter lagt på den kumulative kurven, som vist i Figur 6 nedenfor. Kurvens form – en bratt stigning tidlig etterfulgt av en lang flat hale – bekrefter at verdikonsentrasjonen følger Pareto-mønsteret. Endelig fordeling mellom A-, B- og C-artikler presenteres i Tabell 8 i kapittel 7.</w:t>
      </w:r>
    </w:p>
    <w:p>
      <w:r>
        <w:drawing>
          <wp:inline xmlns:a="http://schemas.openxmlformats.org/drawingml/2006/main" xmlns:pic="http://schemas.openxmlformats.org/drawingml/2006/picture">
            <wp:extent cx="5400000" cy="1795574"/>
            <wp:docPr id="9" name="Picture 9"/>
            <wp:cNvGraphicFramePr>
              <a:graphicFrameLocks noChangeAspect="1"/>
            </wp:cNvGraphicFramePr>
            <a:graphic>
              <a:graphicData uri="http://schemas.openxmlformats.org/drawingml/2006/picture">
                <pic:pic>
                  <pic:nvPicPr>
                    <pic:cNvPr id="0" name="Fig05_ABC_Pareto.png"/>
                    <pic:cNvPicPr/>
                  </pic:nvPicPr>
                  <pic:blipFill>
                    <a:blip r:embed="rId27"/>
                    <a:stretch>
                      <a:fillRect/>
                    </a:stretch>
                  </pic:blipFill>
                  <pic:spPr>
                    <a:xfrm>
                      <a:off x="0" y="0"/>
                      <a:ext cx="5400000" cy="1795574"/>
                    </a:xfrm>
                    <a:prstGeom prst="rect"/>
                  </pic:spPr>
                </pic:pic>
              </a:graphicData>
            </a:graphic>
          </wp:inline>
        </w:drawing>
      </w:r>
    </w:p>
    <w:p>
      <w:pPr>
        <w:jc w:val="center"/>
      </w:pPr>
      <w:r>
        <w:rPr>
          <w:rFonts w:ascii="Times New Roman" w:hAnsi="Times New Roman"/>
          <w:i/>
          <w:sz w:val="20"/>
        </w:rPr>
        <w:t>Figur 6. ABC Pareto-kurve: kumulativ verdiandel for 709 artikler rangert etter årsverdi, med grenser ved 80 % (A/B) og 95 % (B/C).</w:t>
      </w:r>
    </w:p>
    <w:p>
      <w:pPr>
        <w:pStyle w:val="Overskrift2"/>
      </w:pPr>
      <w:r>
        <w:rPr>
          <w:rFonts w:ascii="Times New Roman" w:hAnsi="Times New Roman"/>
          <w:color w:val="000000"/>
          <w:sz w:val="32"/>
        </w:rPr>
        <w:t>6.2 XYZ-klassifisering</w:t>
      </w:r>
    </w:p>
    <w:p>
      <w:pPr>
        <w:spacing w:line="360" w:lineRule="auto"/>
        <w:jc w:val="both"/>
      </w:pPr>
      <w:r>
        <w:rPr>
          <w:rFonts w:ascii="Times New Roman" w:hAnsi="Times New Roman" w:cs="Times New Roman"/>
          <w:sz w:val="24"/>
        </w:rPr>
        <w:t xml:space="preserve">XYZ-klassifiseringen tok utgangspunkt i månedlig MSEG-forbruk per artikkel over den 24 måneder lange analyseperioden, med bevegelsestypene 201 og 647. For hver artikkel ble variasjonskoeffisienten </w:t>
      </w:r>
      <m:oMath>
        <m:sSub>
          <m:e>
            <m:r>
              <m:rPr>
                <m:nor/>
              </m:rPr>
              <m:t>CV</m:t>
            </m:r>
          </m:e>
          <m:sub>
            <m:r>
              <m:t>i</m:t>
            </m:r>
          </m:sub>
        </m:sSub>
        <m:r>
          <m:t>=</m:t>
        </m:r>
        <m:sSub>
          <m:e>
            <m:r>
              <m:t>σ</m:t>
            </m:r>
          </m:e>
          <m:sub>
            <m:r>
              <m:t>i</m:t>
            </m:r>
          </m:sub>
        </m:sSub>
        <m:r>
          <m:t>/</m:t>
        </m:r>
        <m:sSub>
          <m:e>
            <m:r>
              <m:t>μ</m:t>
            </m:r>
          </m:e>
          <m:sub>
            <m:r>
              <m:t>i</m:t>
            </m:r>
          </m:sub>
        </m:sSub>
      </m:oMath>
      <w:r>
        <w:rPr>
          <w:rFonts w:ascii="Times New Roman" w:hAnsi="Times New Roman" w:cs="Times New Roman"/>
          <w:sz w:val="24"/>
        </w:rPr>
        <w:t xml:space="preserve"> beregnet, der </w:t>
      </w:r>
      <m:oMath>
        <m:sSub>
          <m:e>
            <m:r>
              <m:t>σ</m:t>
            </m:r>
          </m:e>
          <m:sub>
            <m:r>
              <m:t>i</m:t>
            </m:r>
          </m:sub>
        </m:sSub>
      </m:oMath>
      <w:r>
        <w:rPr>
          <w:rFonts w:ascii="Times New Roman" w:hAnsi="Times New Roman" w:cs="Times New Roman"/>
          <w:sz w:val="24"/>
        </w:rPr>
        <w:t xml:space="preserve"> er standardavviket og </w:t>
      </w:r>
      <m:oMath>
        <m:sSub>
          <m:e>
            <m:r>
              <m:t>μ</m:t>
            </m:r>
          </m:e>
          <m:sub>
            <m:r>
              <m:t>i</m:t>
            </m:r>
          </m:sub>
        </m:sSub>
      </m:oMath>
      <w:r>
        <w:rPr>
          <w:rFonts w:ascii="Times New Roman" w:hAnsi="Times New Roman" w:cs="Times New Roman"/>
          <w:sz w:val="24"/>
        </w:rPr>
        <w:t xml:space="preserve"> er gjennomsnittet av de månedlige forbruksobservasjonene. For å sikre at CV-estimatene er basert på et tilstrekkelig antall observasjoner, ble det satt et minimumskrav om registrert forbruk i minst tre av de 24 månedene i analyseperioden. Artikler med færre enn tre måneder med registrert forbruk ble ekskludert fra XYZ-klassifiseringen for å unngå at CV-estimater basert på svært få observasjoner gir misvisende klassifisering. CV-beregningen benytter alle 24 måneder inkludert nullmåneder for artikler som oppfyller minimumskravet, noe som innebærer at artikler med sporadisk forbruk får en høyere CV enn artikler med jevnt forbruk over samme volum – en ønsket egenskap for å fange opp forbruksstabilitet. Totalt 22 av 709 artikler tilfredsstilte ikke datakravet og ble ikke XYZ-klassifisert; disse rapporteres i MANGLER\_DATA-kategorien og inngår ikke i ABC/XYZ-kryssmatrisen.</w:t>
      </w:r>
    </w:p>
    <w:p>
      <w:pPr>
        <w:spacing w:line="360" w:lineRule="auto"/>
        <w:jc w:val="both"/>
      </w:pPr>
      <w:r>
        <w:rPr>
          <w:rFonts w:ascii="Times New Roman" w:hAnsi="Times New Roman" w:cs="Times New Roman"/>
          <w:sz w:val="24"/>
        </w:rPr>
        <w:t>Etter beregning ble CV-grensene fra Tabell 6 (kap. 5) anvendt: X (</w:t>
      </w:r>
      <m:oMath>
        <m:r>
          <m:t>CV&lt;0,5</m:t>
        </m:r>
      </m:oMath>
      <w:r>
        <w:rPr>
          <w:rFonts w:ascii="Times New Roman" w:hAnsi="Times New Roman" w:cs="Times New Roman"/>
          <w:sz w:val="24"/>
        </w:rPr>
        <w:t xml:space="preserve">), Y (0,5 ≤ </w:t>
      </w:r>
      <m:oMath>
        <m:r>
          <m:t>CV&lt;1,0</m:t>
        </m:r>
      </m:oMath>
      <w:r>
        <w:rPr>
          <w:rFonts w:ascii="Times New Roman" w:hAnsi="Times New Roman" w:cs="Times New Roman"/>
          <w:sz w:val="24"/>
        </w:rPr>
        <w:t>) og Z (</w:t>
      </w:r>
      <m:oMath>
        <m:r>
          <m:t>CV≥1,0</m:t>
        </m:r>
      </m:oMath>
      <w:r>
        <w:rPr>
          <w:rFonts w:ascii="Times New Roman" w:hAnsi="Times New Roman" w:cs="Times New Roman"/>
          <w:sz w:val="24"/>
        </w:rPr>
        <w:t>). XYZ-analysen ble deretter kryssvalidert mot SAP-feltet ZZXYZ; resultatene presenteres i Tabell 10 i kapittel 7.</w:t>
      </w:r>
    </w:p>
    <w:p>
      <w:pPr>
        <w:spacing w:line="360" w:lineRule="auto"/>
        <w:jc w:val="both"/>
      </w:pPr>
      <w:r>
        <w:rPr>
          <w:rFonts w:ascii="Times New Roman" w:hAnsi="Times New Roman" w:cs="Times New Roman"/>
          <w:sz w:val="24"/>
        </w:rPr>
        <w:t>ABC- og XYZ-klassifiseringene ble kombinert til en ni-felts kryssmatrise, som vist i Figur 7. Matrisen gir et øyeblikksbilde av populasjonens sammensetning langs de to dimensjonene og danner inngangsdataene for regelmotoren i avsnitt 6.5. Fullstendige celleantall er gjengitt i Figur 7; univariate XYZ-fordelinger presenteres i Tabell 9 i kapittel 7.</w:t>
      </w:r>
    </w:p>
    <w:p>
      <w:r>
        <w:drawing>
          <wp:inline xmlns:a="http://schemas.openxmlformats.org/drawingml/2006/main" xmlns:pic="http://schemas.openxmlformats.org/drawingml/2006/picture">
            <wp:extent cx="5400000" cy="4642684"/>
            <wp:docPr id="10" name="Picture 10"/>
            <wp:cNvGraphicFramePr>
              <a:graphicFrameLocks noChangeAspect="1"/>
            </wp:cNvGraphicFramePr>
            <a:graphic>
              <a:graphicData uri="http://schemas.openxmlformats.org/drawingml/2006/picture">
                <pic:pic>
                  <pic:nvPicPr>
                    <pic:cNvPr id="0" name="Fig06_ABC_XYZ_Matrise.png"/>
                    <pic:cNvPicPr/>
                  </pic:nvPicPr>
                  <pic:blipFill>
                    <a:blip r:embed="rId28"/>
                    <a:stretch>
                      <a:fillRect/>
                    </a:stretch>
                  </pic:blipFill>
                  <pic:spPr>
                    <a:xfrm>
                      <a:off x="0" y="0"/>
                      <a:ext cx="5400000" cy="4642684"/>
                    </a:xfrm>
                    <a:prstGeom prst="rect"/>
                  </pic:spPr>
                </pic:pic>
              </a:graphicData>
            </a:graphic>
          </wp:inline>
        </w:drawing>
      </w:r>
    </w:p>
    <w:p>
      <w:pPr>
        <w:jc w:val="center"/>
      </w:pPr>
      <w:r>
        <w:rPr>
          <w:rFonts w:ascii="Times New Roman" w:hAnsi="Times New Roman"/>
          <w:i/>
          <w:sz w:val="20"/>
        </w:rPr>
        <w:t>Figur 7. ABC/XYZ-kryssmatrise: antall artikler per kombinasjon (687 klassifiserte artikler, WERKS 3300 / LGORT 3001).</w:t>
      </w:r>
    </w:p>
    <w:p>
      <w:pPr>
        <w:spacing w:line="360" w:lineRule="auto"/>
        <w:jc w:val="both"/>
      </w:pPr>
      <w:r>
        <w:rPr>
          <w:rFonts w:ascii="Times New Roman" w:hAnsi="Times New Roman" w:cs="Times New Roman"/>
          <w:sz w:val="24"/>
        </w:rPr>
        <w:t>Matrisen viser at A- og B-artikler i stor grad er konsentrert i X-kolonnen (stabilt forbruk), mens Z-kolonnen er dominert av C-artikler. AZ- og BZ-kategoriene er relativt små. De ni cellene i matrisen danner det primære inngangssignalet for regelmotorens beslutningslogikk i avsnitt 6.5.</w:t>
      </w:r>
    </w:p>
    <w:p>
      <w:pPr>
        <w:pStyle w:val="Overskrift2"/>
      </w:pPr>
      <w:r>
        <w:rPr>
          <w:rFonts w:ascii="Times New Roman" w:hAnsi="Times New Roman"/>
          <w:color w:val="000000"/>
          <w:sz w:val="32"/>
        </w:rPr>
        <w:t>6.3 EOQ-avviksberegning</w:t>
      </w:r>
    </w:p>
    <w:p>
      <w:pPr>
        <w:spacing w:line="360" w:lineRule="auto"/>
        <w:jc w:val="both"/>
      </w:pPr>
      <w:r>
        <w:rPr>
          <w:rFonts w:ascii="Times New Roman" w:hAnsi="Times New Roman" w:cs="Times New Roman"/>
          <w:sz w:val="24"/>
        </w:rPr>
        <w:t xml:space="preserve">EOQ-avviksanalysen ble gjennomført for alle artikler der tilstrekkelig data forelå for beregning av optimal ordrefrekvens </w:t>
      </w:r>
      <m:oMath>
        <m:sSup>
          <m:e>
            <m:r>
              <m:t>f</m:t>
            </m:r>
          </m:e>
          <m:sup>
            <m:r>
              <m:t>*</m:t>
            </m:r>
          </m:sup>
        </m:sSup>
      </m:oMath>
      <w:r>
        <w:rPr>
          <w:rFonts w:ascii="Times New Roman" w:hAnsi="Times New Roman" w:cs="Times New Roman"/>
          <w:sz w:val="24"/>
        </w:rPr>
        <w:t xml:space="preserve">, det vil si artikler med </w:t>
      </w:r>
      <m:oMath>
        <m:sSub>
          <m:e>
            <m:r>
              <m:t>D</m:t>
            </m:r>
          </m:e>
          <m:sub>
            <m:r>
              <m:t>i</m:t>
            </m:r>
          </m:sub>
        </m:sSub>
        <m:r>
          <m:t>&gt;0</m:t>
        </m:r>
      </m:oMath>
      <w:r>
        <w:rPr>
          <w:rFonts w:ascii="Times New Roman" w:hAnsi="Times New Roman" w:cs="Times New Roman"/>
          <w:sz w:val="24"/>
        </w:rPr>
        <w:t xml:space="preserve">, </w:t>
      </w:r>
      <m:oMath>
        <m:sSub>
          <m:e>
            <m:r>
              <m:rPr>
                <m:nor/>
              </m:rPr>
              <m:t>UNIT\_PRICE</m:t>
            </m:r>
          </m:e>
          <m:sub>
            <m:r>
              <m:t>i</m:t>
            </m:r>
          </m:sub>
        </m:sSub>
        <m:r>
          <m:t>&gt;0</m:t>
        </m:r>
      </m:oMath>
      <w:r>
        <w:rPr>
          <w:rFonts w:ascii="Times New Roman" w:hAnsi="Times New Roman" w:cs="Times New Roman"/>
          <w:sz w:val="24"/>
        </w:rPr>
        <w:t xml:space="preserve"> og tilgjengelig LEAD\_TIME. Den optimale frekvensen </w:t>
      </w:r>
      <m:oMath>
        <m:sSup>
          <m:e>
            <m:r>
              <m:t>f</m:t>
            </m:r>
          </m:e>
          <m:sup>
            <m:r>
              <m:t>*</m:t>
            </m:r>
          </m:sup>
        </m:sSup>
        <m:r>
          <m:t>=</m:t>
        </m:r>
        <m:rad>
          <m:radPr>
            <m:degHide m:val="on"/>
          </m:radPr>
          <m:deg/>
          <m:e>
            <m:r>
              <m:t>DH/2S</m:t>
            </m:r>
          </m:e>
        </m:rad>
      </m:oMath>
      <w:r>
        <w:rPr>
          <w:rFonts w:ascii="Times New Roman" w:hAnsi="Times New Roman" w:cs="Times New Roman"/>
          <w:sz w:val="24"/>
        </w:rPr>
        <w:t xml:space="preserve"> ble beregnet med </w:t>
      </w:r>
      <m:oMath>
        <m:r>
          <m:t>S=750</m:t>
        </m:r>
      </m:oMath>
      <w:r>
        <w:rPr>
          <w:rFonts w:ascii="Times New Roman" w:hAnsi="Times New Roman" w:cs="Times New Roman"/>
          <w:sz w:val="24"/>
        </w:rPr>
        <w:t xml:space="preserve"> NOK og </w:t>
      </w:r>
      <m:oMath>
        <m:r>
          <m:t>H=0</m:t>
        </m:r>
        <m:r>
          <m:t>,</m:t>
        </m:r>
        <m:r>
          <m:t>20×</m:t>
        </m:r>
        <m:sSub>
          <m:e>
            <m:r>
              <m:rPr>
                <m:nor/>
              </m:rPr>
              <m:t>UNIT\_PRICE</m:t>
            </m:r>
          </m:e>
          <m:sub>
            <m:r>
              <m:t>i</m:t>
            </m:r>
          </m:sub>
        </m:sSub>
      </m:oMath>
      <w:r>
        <w:rPr>
          <w:rFonts w:ascii="Times New Roman" w:hAnsi="Times New Roman" w:cs="Times New Roman"/>
          <w:sz w:val="24"/>
        </w:rPr>
        <w:t xml:space="preserve"> som modellparametere (se Tabell 6, kap. 5). Faktisk ordrefrekvens </w:t>
      </w:r>
      <m:oMath>
        <m:sSub>
          <m:e>
            <m:r>
              <m:t>f</m:t>
            </m:r>
          </m:e>
          <m:sub>
            <m:r>
              <m:rPr>
                <m:nor/>
              </m:rPr>
              <m:t>obs</m:t>
            </m:r>
          </m:sub>
        </m:sSub>
      </m:oMath>
      <w:r>
        <w:rPr>
          <w:rFonts w:ascii="Times New Roman" w:hAnsi="Times New Roman" w:cs="Times New Roman"/>
          <w:sz w:val="24"/>
        </w:rPr>
        <w:t xml:space="preserve"> ble hentet fra EKBE og annualisert i henhold til beslutning D-08: ACTUAL\_FREQ = ORDER\_COUNT </w:t>
      </w:r>
      <m:oMath>
        <m:r>
          <m:t>×</m:t>
        </m:r>
      </m:oMath>
      <w:r>
        <w:rPr>
          <w:rFonts w:ascii="Times New Roman" w:hAnsi="Times New Roman" w:cs="Times New Roman"/>
          <w:sz w:val="24"/>
        </w:rPr>
        <w:t xml:space="preserve"> (12/24).</w:t>
      </w:r>
    </w:p>
    <w:p>
      <w:pPr>
        <w:spacing w:line="360" w:lineRule="auto"/>
        <w:jc w:val="both"/>
      </w:pPr>
      <w:r>
        <w:rPr>
          <w:rFonts w:ascii="Times New Roman" w:hAnsi="Times New Roman" w:cs="Times New Roman"/>
          <w:sz w:val="24"/>
        </w:rPr>
        <w:t xml:space="preserve">Det relative frekvensavviket </w:t>
      </w:r>
      <m:oMath>
        <m:sSub>
          <m:e>
            <m:r>
              <m:rPr>
                <m:nor/>
              </m:rPr>
              <m:t>FREQ\_AVVIK</m:t>
            </m:r>
          </m:e>
          <m:sub>
            <m:r>
              <m:t>i</m:t>
            </m:r>
          </m:sub>
        </m:sSub>
        <m:r>
          <m:t>=(</m:t>
        </m:r>
        <m:sSub>
          <m:e>
            <m:r>
              <m:t>f</m:t>
            </m:r>
          </m:e>
          <m:sub>
            <m:r>
              <m:rPr>
                <m:nor/>
              </m:rPr>
              <m:t>obs</m:t>
            </m:r>
            <m:r>
              <m:t>,i</m:t>
            </m:r>
          </m:sub>
        </m:sSub>
        <m:r>
          <m:t>−</m:t>
        </m:r>
        <m:sSubSup>
          <m:e>
            <m:r>
              <m:t>f</m:t>
            </m:r>
          </m:e>
          <m:sub>
            <m:r>
              <m:t>i</m:t>
            </m:r>
          </m:sub>
          <m:sup>
            <m:r>
              <m:t>*</m:t>
            </m:r>
          </m:sup>
        </m:sSubSup>
        <m:r>
          <m:t>)/</m:t>
        </m:r>
        <m:sSubSup>
          <m:e>
            <m:r>
              <m:t>f</m:t>
            </m:r>
          </m:e>
          <m:sub>
            <m:r>
              <m:t>i</m:t>
            </m:r>
          </m:sub>
          <m:sup>
            <m:r>
              <m:t>*</m:t>
            </m:r>
          </m:sup>
        </m:sSubSup>
      </m:oMath>
      <w:r>
        <w:rPr>
          <w:rFonts w:ascii="Times New Roman" w:hAnsi="Times New Roman" w:cs="Times New Roman"/>
          <w:sz w:val="24"/>
        </w:rPr>
        <w:t xml:space="preserve"> ble beregnet per artikkel. Fordelingen av dette avviket er illustrert i Figur 8 nedenfor. Terskelen </w:t>
      </w:r>
      <m:oMath>
        <m:sSub>
          <m:e>
            <m:r>
              <m:t>τ</m:t>
            </m:r>
          </m:e>
          <m:sub>
            <m:r>
              <m:t>f</m:t>
            </m:r>
          </m:sub>
        </m:sSub>
        <m:r>
          <m:t>=1</m:t>
        </m:r>
        <m:r>
          <m:t>,</m:t>
        </m:r>
        <m:r>
          <m:t>5</m:t>
        </m:r>
      </m:oMath>
      <w:r>
        <w:rPr>
          <w:rFonts w:ascii="Times New Roman" w:hAnsi="Times New Roman" w:cs="Times New Roman"/>
          <w:sz w:val="24"/>
        </w:rPr>
        <w:t xml:space="preserve"> (dvs. FREQ\_AVVIK &gt; 0,5) ble lagt inn for å skille artikler med vesentlig overbestilling (FOR\_MANGE\_ORDRER) fra artikler innenfor akseptabelt avvik. I tillegg ble differansen i totalkostnad </w:t>
      </w:r>
      <m:oMath>
        <m:r>
          <m:t>ΔT</m:t>
        </m:r>
        <m:sSub>
          <m:e>
            <m:r>
              <m:t>C</m:t>
            </m:r>
          </m:e>
          <m:sub>
            <m:r>
              <m:t>i</m:t>
            </m:r>
          </m:sub>
        </m:sSub>
        <m:r>
          <m:t>=TC(</m:t>
        </m:r>
        <m:sSub>
          <m:e>
            <m:r>
              <m:t>f</m:t>
            </m:r>
          </m:e>
          <m:sub>
            <m:r>
              <m:rPr>
                <m:nor/>
              </m:rPr>
              <m:t>obs</m:t>
            </m:r>
            <m:r>
              <m:t>,i</m:t>
            </m:r>
          </m:sub>
        </m:sSub>
        <m:r>
          <m:t>)−TC(</m:t>
        </m:r>
        <m:sSubSup>
          <m:e>
            <m:r>
              <m:t>f</m:t>
            </m:r>
          </m:e>
          <m:sub>
            <m:r>
              <m:t>i</m:t>
            </m:r>
          </m:sub>
          <m:sup>
            <m:r>
              <m:t>*</m:t>
            </m:r>
          </m:sup>
        </m:sSubSup>
        <m:r>
          <m:t>)</m:t>
        </m:r>
      </m:oMath>
      <w:r>
        <w:rPr>
          <w:rFonts w:ascii="Times New Roman" w:hAnsi="Times New Roman" w:cs="Times New Roman"/>
          <w:sz w:val="24"/>
        </w:rPr>
        <w:t xml:space="preserve"> beregnet per artikkel, og summert til et samlet EOQ-avvikstall for hele populasjonen. Disse resultatene presenteres i sin helhet i Tabell 11 og avsnitt 7.3.</w:t>
      </w:r>
    </w:p>
    <w:p>
      <w:r>
        <w:drawing>
          <wp:inline xmlns:a="http://schemas.openxmlformats.org/drawingml/2006/main" xmlns:pic="http://schemas.openxmlformats.org/drawingml/2006/picture">
            <wp:extent cx="5400000" cy="2238197"/>
            <wp:docPr id="11" name="Picture 11"/>
            <wp:cNvGraphicFramePr>
              <a:graphicFrameLocks noChangeAspect="1"/>
            </wp:cNvGraphicFramePr>
            <a:graphic>
              <a:graphicData uri="http://schemas.openxmlformats.org/drawingml/2006/picture">
                <pic:pic>
                  <pic:nvPicPr>
                    <pic:cNvPr id="0" name="Fig07_EOQ_Avvik.png"/>
                    <pic:cNvPicPr/>
                  </pic:nvPicPr>
                  <pic:blipFill>
                    <a:blip r:embed="rId29"/>
                    <a:stretch>
                      <a:fillRect/>
                    </a:stretch>
                  </pic:blipFill>
                  <pic:spPr>
                    <a:xfrm>
                      <a:off x="0" y="0"/>
                      <a:ext cx="5400000" cy="2238197"/>
                    </a:xfrm>
                    <a:prstGeom prst="rect"/>
                  </pic:spPr>
                </pic:pic>
              </a:graphicData>
            </a:graphic>
          </wp:inline>
        </w:drawing>
      </w:r>
    </w:p>
    <w:p>
      <w:pPr>
        <w:jc w:val="center"/>
      </w:pPr>
      <w:r>
        <w:rPr>
          <w:rFonts w:ascii="Times New Roman" w:hAnsi="Times New Roman"/>
          <w:i/>
          <w:sz w:val="20"/>
        </w:rPr>
        <w:t>Figur 8. EOQ-avvik: relativ frekvensavvik (FREQ_AVVIK) for artikler med tilstrekkelige data, med terskel ved τ_f = 1,5.</w:t>
      </w:r>
    </w:p>
    <w:p>
      <w:pPr>
        <w:spacing w:line="360" w:lineRule="auto"/>
        <w:jc w:val="both"/>
      </w:pPr>
      <w:r>
        <w:rPr>
          <w:rFonts w:ascii="Times New Roman" w:hAnsi="Times New Roman" w:cs="Times New Roman"/>
          <w:sz w:val="24"/>
        </w:rPr>
        <w:t xml:space="preserve">Figur 8 viser at fordelingen er sterkt høyreskjev: majoriteten av artiklene med EOQ-data har et FREQ\_AVVIK over terskelen på 0,5. Fordeling etter avviksstatus og totale </w:t>
      </w:r>
      <m:oMath>
        <m:r>
          <m:t>ΔTC</m:t>
        </m:r>
      </m:oMath>
      <w:r>
        <w:rPr>
          <w:rFonts w:ascii="Times New Roman" w:hAnsi="Times New Roman" w:cs="Times New Roman"/>
          <w:sz w:val="24"/>
        </w:rPr>
        <w:t>-summer presenteres i Tabell 11 og avsnitt 7.3.</w:t>
      </w:r>
    </w:p>
    <w:p>
      <w:pPr>
        <w:pStyle w:val="Overskrift2"/>
      </w:pPr>
      <w:r>
        <w:rPr>
          <w:rFonts w:ascii="Times New Roman" w:hAnsi="Times New Roman"/>
          <w:color w:val="000000"/>
          <w:sz w:val="32"/>
        </w:rPr>
        <w:t>6.4 K-means klyngeanalyse</w:t>
      </w:r>
    </w:p>
    <w:p>
      <w:pPr>
        <w:spacing w:line="360" w:lineRule="auto"/>
        <w:jc w:val="both"/>
      </w:pPr>
      <w:r>
        <w:rPr>
          <w:rFonts w:ascii="Times New Roman" w:hAnsi="Times New Roman" w:cs="Times New Roman"/>
          <w:b/>
          <w:sz w:val="24"/>
        </w:rPr>
        <w:t>Dataklargjøring og splitting.</w:t>
      </w:r>
      <w:r>
        <w:rPr>
          <w:rFonts w:ascii="Times New Roman" w:hAnsi="Times New Roman" w:cs="Times New Roman"/>
          <w:sz w:val="24"/>
        </w:rPr>
        <w:t xml:space="preserve"> Featurevektoren </w:t>
      </w:r>
      <m:oMath>
        <m:sSub>
          <m:e>
            <m:r>
              <m:t>𝐱</m:t>
            </m:r>
          </m:e>
          <m:sub>
            <m:r>
              <m:t>i</m:t>
            </m:r>
          </m:sub>
        </m:sSub>
        <m:r>
          <m:t>=[z(</m:t>
        </m:r>
        <m:r>
          <m:rPr>
            <m:sty m:val="p"/>
          </m:rPr>
          <m:t>ln</m:t>
        </m:r>
        <m:sSub>
          <m:e>
            <m:r>
              <m:rPr>
                <m:nor/>
              </m:rPr>
              <m:t>CV</m:t>
            </m:r>
          </m:e>
          <m:sub>
            <m:r>
              <m:t>i</m:t>
            </m:r>
          </m:sub>
        </m:sSub>
        <m:r>
          <m:t>),</m:t>
        </m:r>
        <m:r>
          <m:t>z(</m:t>
        </m:r>
        <m:r>
          <m:rPr>
            <m:sty m:val="p"/>
          </m:rPr>
          <m:t>ln</m:t>
        </m:r>
        <m:r>
          <m:t>(</m:t>
        </m:r>
        <m:sSub>
          <m:e>
            <m:r>
              <m:t>v</m:t>
            </m:r>
          </m:e>
          <m:sub>
            <m:r>
              <m:t>i</m:t>
            </m:r>
          </m:sub>
        </m:sSub>
        <m:r>
          <m:t>+1)),</m:t>
        </m:r>
        <m:r>
          <m:t>z(</m:t>
        </m:r>
        <m:r>
          <m:rPr>
            <m:sty m:val="p"/>
          </m:rPr>
          <m:t>ln</m:t>
        </m:r>
        <m:r>
          <m:t>(|ΔT</m:t>
        </m:r>
        <m:sSub>
          <m:e>
            <m:r>
              <m:t>C</m:t>
            </m:r>
          </m:e>
          <m:sub>
            <m:r>
              <m:t>i</m:t>
            </m:r>
          </m:sub>
        </m:sSub>
        <m:r>
          <m:t>|+1))]</m:t>
        </m:r>
      </m:oMath>
      <w:r>
        <w:rPr>
          <w:rFonts w:ascii="Times New Roman" w:hAnsi="Times New Roman" w:cs="Times New Roman"/>
          <w:sz w:val="24"/>
        </w:rPr>
        <w:t xml:space="preserve"> ble konstruert for alle artikler med tilstrekkelig data. Log-transformasjonen ble påført før z-score-standardisering for å håndtere høyreskjevheten i de underliggende distribusjonene, som beskrevet i avsnitt 5.4. Datasettet ble delt i et treningssett (</w:t>
      </w:r>
      <m:oMath>
        <m:r>
          <m:t>n=389</m:t>
        </m:r>
      </m:oMath>
      <w:r>
        <w:rPr>
          <w:rFonts w:ascii="Times New Roman" w:hAnsi="Times New Roman" w:cs="Times New Roman"/>
          <w:sz w:val="24"/>
        </w:rPr>
        <w:t>) og et testsett (</w:t>
      </w:r>
      <m:oMath>
        <m:r>
          <m:t>n=98</m:t>
        </m:r>
      </m:oMath>
      <w:r>
        <w:rPr>
          <w:rFonts w:ascii="Times New Roman" w:hAnsi="Times New Roman" w:cs="Times New Roman"/>
          <w:sz w:val="24"/>
        </w:rPr>
        <w:t xml:space="preserve">) med </w:t>
      </w:r>
      <w:r>
        <w:rPr>
          <w:rFonts w:ascii="Consolas" w:hAnsi="Consolas" w:cs="Consolas"/>
          <w:sz w:val="20"/>
          <w:shd w:val="clear" w:color="auto" w:fill="F4F4F4"/>
        </w:rPr>
        <w:t>random_state=42</w:t>
      </w:r>
      <w:r>
        <w:rPr>
          <w:rFonts w:ascii="Times New Roman" w:hAnsi="Times New Roman" w:cs="Times New Roman"/>
          <w:sz w:val="24"/>
        </w:rPr>
        <w:t>. StandardScaler ble tilpasset utelukkende til treningsdataene og deretter brukt til å transformere begge sett, slik at informasjon fra testsettet ikke lekker inn i skaleringen.</w:t>
      </w:r>
    </w:p>
    <w:p>
      <w:pPr>
        <w:spacing w:line="360" w:lineRule="auto"/>
        <w:jc w:val="both"/>
      </w:pPr>
      <w:r>
        <w:rPr>
          <w:rFonts w:ascii="Times New Roman" w:hAnsi="Times New Roman" w:cs="Times New Roman"/>
          <w:b/>
          <w:sz w:val="24"/>
        </w:rPr>
        <w:t>K-valg via silhouette.</w:t>
      </w:r>
      <w:r>
        <w:rPr>
          <w:rFonts w:ascii="Times New Roman" w:hAnsi="Times New Roman" w:cs="Times New Roman"/>
          <w:sz w:val="24"/>
        </w:rPr>
        <w:t xml:space="preserve"> KMeans-modellen ble trent for </w:t>
      </w:r>
      <m:oMath>
        <m:r>
          <m:t>K=2</m:t>
        </m:r>
      </m:oMath>
      <w:r>
        <w:rPr>
          <w:rFonts w:ascii="Times New Roman" w:hAnsi="Times New Roman" w:cs="Times New Roman"/>
          <w:sz w:val="24"/>
        </w:rPr>
        <w:t>, 3, 4, 5, 6 og 7 på treningsdataene. For hvert K ble gjennomsnittlig silhouette-score beregnet. Figur 9 viser silhouette-profilen over K-søket.</w:t>
      </w:r>
    </w:p>
    <w:p>
      <w:r>
        <w:drawing>
          <wp:inline xmlns:a="http://schemas.openxmlformats.org/drawingml/2006/main" xmlns:pic="http://schemas.openxmlformats.org/drawingml/2006/picture">
            <wp:extent cx="5400000" cy="2147647"/>
            <wp:docPr id="12" name="Picture 12"/>
            <wp:cNvGraphicFramePr>
              <a:graphicFrameLocks noChangeAspect="1"/>
            </wp:cNvGraphicFramePr>
            <a:graphic>
              <a:graphicData uri="http://schemas.openxmlformats.org/drawingml/2006/picture">
                <pic:pic>
                  <pic:nvPicPr>
                    <pic:cNvPr id="0" name="Fig08_Silhouette.png"/>
                    <pic:cNvPicPr/>
                  </pic:nvPicPr>
                  <pic:blipFill>
                    <a:blip r:embed="rId30"/>
                    <a:stretch>
                      <a:fillRect/>
                    </a:stretch>
                  </pic:blipFill>
                  <pic:spPr>
                    <a:xfrm>
                      <a:off x="0" y="0"/>
                      <a:ext cx="5400000" cy="2147647"/>
                    </a:xfrm>
                    <a:prstGeom prst="rect"/>
                  </pic:spPr>
                </pic:pic>
              </a:graphicData>
            </a:graphic>
          </wp:inline>
        </w:drawing>
      </w:r>
    </w:p>
    <w:p>
      <w:pPr>
        <w:jc w:val="center"/>
      </w:pPr>
      <w:r>
        <w:rPr>
          <w:rFonts w:ascii="Times New Roman" w:hAnsi="Times New Roman"/>
          <w:i/>
          <w:sz w:val="20"/>
        </w:rPr>
        <w:t>Figur 9. Silhouette-score for K = 2–7 (treningsdata, n = 389): K = 3 gir høyest score (0,383).</w:t>
      </w:r>
    </w:p>
    <w:p>
      <w:pPr>
        <w:spacing w:line="360" w:lineRule="auto"/>
        <w:jc w:val="both"/>
      </w:pPr>
      <m:oMath>
        <m:r>
          <m:t>K=3</m:t>
        </m:r>
      </m:oMath>
      <w:r>
        <w:rPr>
          <w:rFonts w:ascii="Times New Roman" w:hAnsi="Times New Roman" w:cs="Times New Roman"/>
          <w:sz w:val="24"/>
        </w:rPr>
        <w:t xml:space="preserve"> ga høyest silhouette-score og ble valgt som det endelige antallet klynger. For </w:t>
      </w:r>
      <m:oMath>
        <m:r>
          <m:t>K=4</m:t>
        </m:r>
      </m:oMath>
      <w:r>
        <w:rPr>
          <w:rFonts w:ascii="Times New Roman" w:hAnsi="Times New Roman" w:cs="Times New Roman"/>
          <w:sz w:val="24"/>
        </w:rPr>
        <w:t xml:space="preserve"> og oppover falt scoren monotont, noe som indikerer at tre klynger representerer den mest naturlige gruppestrukturen i featurerommet. KMeans-modellen ble trent endelig med </w:t>
      </w:r>
      <m:oMath>
        <m:r>
          <m:t>K=3</m:t>
        </m:r>
      </m:oMath>
      <w:r>
        <w:rPr>
          <w:rFonts w:ascii="Times New Roman" w:hAnsi="Times New Roman" w:cs="Times New Roman"/>
          <w:sz w:val="24"/>
        </w:rPr>
        <w:t xml:space="preserve">, </w:t>
      </w:r>
      <w:r>
        <w:rPr>
          <w:rFonts w:ascii="Consolas" w:hAnsi="Consolas" w:cs="Consolas"/>
          <w:sz w:val="20"/>
          <w:shd w:val="clear" w:color="auto" w:fill="F4F4F4"/>
        </w:rPr>
        <w:t>n_init=50</w:t>
      </w:r>
      <w:r>
        <w:rPr>
          <w:rFonts w:ascii="Times New Roman" w:hAnsi="Times New Roman" w:cs="Times New Roman"/>
          <w:sz w:val="24"/>
        </w:rPr>
        <w:t xml:space="preserve"> og </w:t>
      </w:r>
      <w:r>
        <w:rPr>
          <w:rFonts w:ascii="Consolas" w:hAnsi="Consolas" w:cs="Consolas"/>
          <w:sz w:val="20"/>
          <w:shd w:val="clear" w:color="auto" w:fill="F4F4F4"/>
        </w:rPr>
        <w:t>max_iter=300</w:t>
      </w:r>
      <w:r>
        <w:rPr>
          <w:rFonts w:ascii="Times New Roman" w:hAnsi="Times New Roman" w:cs="Times New Roman"/>
          <w:sz w:val="24"/>
        </w:rPr>
        <w:t>. Testdataene (</w:t>
      </w:r>
      <m:oMath>
        <m:r>
          <m:t>n=98</m:t>
        </m:r>
      </m:oMath>
      <w:r>
        <w:rPr>
          <w:rFonts w:ascii="Times New Roman" w:hAnsi="Times New Roman" w:cs="Times New Roman"/>
          <w:sz w:val="24"/>
        </w:rPr>
        <w:t>) ble predikert til nærmeste sentroid for å evaluere generaliserbarhet. Silhouette-scorer for trenings- og testdata presenteres i avsnitt 7.4.</w:t>
      </w:r>
    </w:p>
    <w:p>
      <w:pPr>
        <w:spacing w:line="360" w:lineRule="auto"/>
        <w:jc w:val="both"/>
      </w:pPr>
      <w:r>
        <w:rPr>
          <w:rFonts w:ascii="Times New Roman" w:hAnsi="Times New Roman" w:cs="Times New Roman"/>
          <w:b/>
          <w:sz w:val="24"/>
        </w:rPr>
        <w:t>Klyngeprofiler.</w:t>
      </w:r>
      <w:r>
        <w:rPr>
          <w:rFonts w:ascii="Times New Roman" w:hAnsi="Times New Roman" w:cs="Times New Roman"/>
          <w:sz w:val="24"/>
        </w:rPr>
        <w:t xml:space="preserve"> Etter at KMeans-modellen var trent på treningsdataene, ble samtlige 487 artikler med tilstrekkelig data predikert til én av de tre klyngene. Klyngene ble karakterisert langs de tre featuredimensjonene, og én klynge ble identifisert som K\_OVERFØR basert på lavest gjennomsnittlig CV (stabilt forbruksmønster) og høyest gjennomsnittlig artikkelverdi. Figur 10 visualiserer klyngestrukturen i en todimensjonal projeksjon langs de to mest informative featurene.</w:t>
      </w:r>
    </w:p>
    <w:p>
      <w:r>
        <w:drawing>
          <wp:inline xmlns:a="http://schemas.openxmlformats.org/drawingml/2006/main" xmlns:pic="http://schemas.openxmlformats.org/drawingml/2006/picture">
            <wp:extent cx="5400000" cy="2679344"/>
            <wp:docPr id="13" name="Picture 13"/>
            <wp:cNvGraphicFramePr>
              <a:graphicFrameLocks noChangeAspect="1"/>
            </wp:cNvGraphicFramePr>
            <a:graphic>
              <a:graphicData uri="http://schemas.openxmlformats.org/drawingml/2006/picture">
                <pic:pic>
                  <pic:nvPicPr>
                    <pic:cNvPr id="0" name="Fig09_Kmeans_Klynger.png"/>
                    <pic:cNvPicPr/>
                  </pic:nvPicPr>
                  <pic:blipFill>
                    <a:blip r:embed="rId31"/>
                    <a:stretch>
                      <a:fillRect/>
                    </a:stretch>
                  </pic:blipFill>
                  <pic:spPr>
                    <a:xfrm>
                      <a:off x="0" y="0"/>
                      <a:ext cx="5400000" cy="2679344"/>
                    </a:xfrm>
                    <a:prstGeom prst="rect"/>
                  </pic:spPr>
                </pic:pic>
              </a:graphicData>
            </a:graphic>
          </wp:inline>
        </w:drawing>
      </w:r>
    </w:p>
    <w:p>
      <w:pPr>
        <w:jc w:val="center"/>
      </w:pPr>
      <w:r>
        <w:rPr>
          <w:rFonts w:ascii="Times New Roman" w:hAnsi="Times New Roman"/>
          <w:i/>
          <w:sz w:val="20"/>
        </w:rPr>
        <w:t>Figur 10. K-means klyngeresultat (K = 3): artikler plottet langs z(ln CV) og z(ln verdi), farge etter klynge. K_OVERFØR-klyngen er markert med stjerne (★).</w:t>
      </w:r>
    </w:p>
    <w:p>
      <w:pPr>
        <w:spacing w:line="360" w:lineRule="auto"/>
        <w:jc w:val="both"/>
      </w:pPr>
      <w:r>
        <w:rPr>
          <w:rFonts w:ascii="Times New Roman" w:hAnsi="Times New Roman" w:cs="Times New Roman"/>
          <w:sz w:val="24"/>
        </w:rPr>
        <w:t>Figur 10 viser at de tre klyngene er rimelig separert i featurerommet, særlig K\_OVERFØR-klyngen (grønn), som skiller seg fra de øvrige ved sin kombinasjon av lav CV og høy verdi. For å tolke innholdet i hver klynge viser Figur 11 gjennomsnittlig standardisert verdi per feature for de tre klyngene.</w:t>
      </w:r>
    </w:p>
    <w:p>
      <w:r>
        <w:drawing>
          <wp:inline xmlns:a="http://schemas.openxmlformats.org/drawingml/2006/main" xmlns:pic="http://schemas.openxmlformats.org/drawingml/2006/picture">
            <wp:extent cx="5400000" cy="2998537"/>
            <wp:docPr id="14" name="Picture 14"/>
            <wp:cNvGraphicFramePr>
              <a:graphicFrameLocks noChangeAspect="1"/>
            </wp:cNvGraphicFramePr>
            <a:graphic>
              <a:graphicData uri="http://schemas.openxmlformats.org/drawingml/2006/picture">
                <pic:pic>
                  <pic:nvPicPr>
                    <pic:cNvPr id="0" name="Fig10_Kmeans_Profil.png"/>
                    <pic:cNvPicPr/>
                  </pic:nvPicPr>
                  <pic:blipFill>
                    <a:blip r:embed="rId32"/>
                    <a:stretch>
                      <a:fillRect/>
                    </a:stretch>
                  </pic:blipFill>
                  <pic:spPr>
                    <a:xfrm>
                      <a:off x="0" y="0"/>
                      <a:ext cx="5400000" cy="2998537"/>
                    </a:xfrm>
                    <a:prstGeom prst="rect"/>
                  </pic:spPr>
                </pic:pic>
              </a:graphicData>
            </a:graphic>
          </wp:inline>
        </w:drawing>
      </w:r>
    </w:p>
    <w:p>
      <w:pPr>
        <w:jc w:val="center"/>
      </w:pPr>
      <w:r>
        <w:rPr>
          <w:rFonts w:ascii="Times New Roman" w:hAnsi="Times New Roman"/>
          <w:i/>
          <w:sz w:val="20"/>
        </w:rPr>
        <w:t>Figur 11. Klyngeprofiler for K-means (K=3): gjennomsnittlig z-score per feature per klynge. K\_OVERFØR-klyngen (grønn) kjennetegnes av lav CV og høy verdi.</w:t>
      </w:r>
    </w:p>
    <w:p>
      <w:pPr>
        <w:spacing w:line="360" w:lineRule="auto"/>
        <w:jc w:val="both"/>
      </w:pPr>
      <w:r>
        <w:rPr>
          <w:rFonts w:ascii="Times New Roman" w:hAnsi="Times New Roman" w:cs="Times New Roman"/>
          <w:sz w:val="24"/>
        </w:rPr>
        <w:t xml:space="preserve">Figur 11 bekrefter at K\_OVERFØR-klyngen har den laveste CV-verdien og den høyeste verdiprofilen. Fullstendige klyngeprofiler med gjennomsnittsverdier for CV, verdi og </w:t>
      </w:r>
      <m:oMath>
        <m:d>
          <m:dPr>
            <m:begChr m:val="|"/>
            <m:sepChr m:val=""/>
            <m:endChr m:val="|"/>
          </m:dPr>
          <m:e>
            <m:r>
              <m:t>Δ</m:t>
            </m:r>
            <m:r>
              <m:t>T</m:t>
            </m:r>
            <m:r>
              <m:t>C</m:t>
            </m:r>
          </m:e>
        </m:d>
      </m:oMath>
      <w:r>
        <w:rPr>
          <w:rFonts w:ascii="Times New Roman" w:hAnsi="Times New Roman" w:cs="Times New Roman"/>
          <w:sz w:val="24"/>
        </w:rPr>
        <w:t xml:space="preserve"> presenteres i Tabell 12 i kapittel 7.</w:t>
      </w:r>
    </w:p>
    <w:p>
      <w:pPr>
        <w:pStyle w:val="Overskrift2"/>
      </w:pPr>
      <w:r>
        <w:rPr>
          <w:rFonts w:ascii="Times New Roman" w:hAnsi="Times New Roman"/>
          <w:color w:val="000000"/>
          <w:sz w:val="32"/>
        </w:rPr>
        <w:t>6.5 Regelmotor og HVFS-scoring</w:t>
      </w:r>
    </w:p>
    <w:p>
      <w:pPr>
        <w:spacing w:line="360" w:lineRule="auto"/>
        <w:jc w:val="both"/>
      </w:pPr>
      <w:r>
        <w:rPr>
          <w:rFonts w:ascii="Times New Roman" w:hAnsi="Times New Roman" w:cs="Times New Roman"/>
          <w:sz w:val="24"/>
        </w:rPr>
        <w:t>Regelmotoren ble kjørt sekvensielt på samtlige 709 artikler i den prioriterte rekkefølgen beskrevet i Tabell 7 (kap. 5). For hver artikkel ble inngangssignalene ABC-klasse, XYZ-klasse, EOQ-avviksstatus (FOR\_MANGE\_ORDRER) og K-means klyngetilhørighet (K\_OVERFØR) hentet fra de foregående analysemodulene. Den første regelen med treff avgjorde artiklens anbefaling; artikler uten treff på noen regel, typisk grunnet manglende CV- eller verdidata, ble tildelt kategorien MANGLER\_DATA.</w:t>
      </w:r>
    </w:p>
    <w:p>
      <w:pPr>
        <w:spacing w:line="360" w:lineRule="auto"/>
        <w:jc w:val="both"/>
      </w:pPr>
      <w:r>
        <w:rPr>
          <w:rFonts w:ascii="Times New Roman" w:hAnsi="Times New Roman" w:cs="Times New Roman"/>
          <w:sz w:val="24"/>
        </w:rPr>
        <w:t xml:space="preserve">For alle artikler som fikk anbefalingen OVERFØR\_HVFS, ble besparelsesestimatet </w:t>
      </w:r>
      <m:oMath>
        <m:r>
          <m:t>ΔT</m:t>
        </m:r>
        <m:sSub>
          <m:e>
            <m:r>
              <m:t>C</m:t>
            </m:r>
          </m:e>
          <m:sub>
            <m:r>
              <m:t>i</m:t>
            </m:r>
          </m:sub>
        </m:sSub>
        <m:r>
          <m:t>·g</m:t>
        </m:r>
      </m:oMath>
      <w:r>
        <w:rPr>
          <w:rFonts w:ascii="Times New Roman" w:hAnsi="Times New Roman" w:cs="Times New Roman"/>
          <w:sz w:val="24"/>
        </w:rPr>
        <w:t xml:space="preserve"> beregnet for tre scenarier (worst: </w:t>
      </w:r>
      <m:oMath>
        <m:r>
          <m:t>g=50</m:t>
        </m:r>
        <m:r>
          <m:t>%</m:t>
        </m:r>
      </m:oMath>
      <w:r>
        <w:rPr>
          <w:rFonts w:ascii="Times New Roman" w:hAnsi="Times New Roman" w:cs="Times New Roman"/>
          <w:sz w:val="24"/>
        </w:rPr>
        <w:t xml:space="preserve">, base: </w:t>
      </w:r>
      <m:oMath>
        <m:r>
          <m:t>g=75</m:t>
        </m:r>
        <m:r>
          <m:t>%</m:t>
        </m:r>
      </m:oMath>
      <w:r>
        <w:rPr>
          <w:rFonts w:ascii="Times New Roman" w:hAnsi="Times New Roman" w:cs="Times New Roman"/>
          <w:sz w:val="24"/>
        </w:rPr>
        <w:t xml:space="preserve">, best: </w:t>
      </w:r>
      <m:oMath>
        <m:r>
          <m:t>g=100</m:t>
        </m:r>
        <m:r>
          <m:t>%</m:t>
        </m:r>
      </m:oMath>
      <w:r>
        <w:rPr>
          <w:rFonts w:ascii="Times New Roman" w:hAnsi="Times New Roman" w:cs="Times New Roman"/>
          <w:sz w:val="24"/>
        </w:rPr>
        <w:t xml:space="preserve">) i henhold til formelen i avsnitt 5.3. Kun artikler som både er i OVERFØR\_HVFS-kategorien </w:t>
      </w:r>
      <w:r>
        <w:rPr>
          <w:rFonts w:ascii="Times New Roman" w:hAnsi="Times New Roman" w:cs="Times New Roman"/>
          <w:i/>
          <w:sz w:val="24"/>
        </w:rPr>
        <w:t>og</w:t>
      </w:r>
      <w:r>
        <w:rPr>
          <w:rFonts w:ascii="Times New Roman" w:hAnsi="Times New Roman" w:cs="Times New Roman"/>
          <w:sz w:val="24"/>
        </w:rPr>
        <w:t xml:space="preserve"> har status FOR\_MANGE\_ORDRER inngår i besparelsesgrunnlaget, da </w:t>
      </w:r>
      <m:oMath>
        <m:r>
          <m:t>ΔT</m:t>
        </m:r>
        <m:sSub>
          <m:e>
            <m:r>
              <m:t>C</m:t>
            </m:r>
          </m:e>
          <m:sub>
            <m:r>
              <m:t>i</m:t>
            </m:r>
          </m:sub>
        </m:sSub>
      </m:oMath>
      <w:r>
        <w:rPr>
          <w:rFonts w:ascii="Times New Roman" w:hAnsi="Times New Roman" w:cs="Times New Roman"/>
          <w:sz w:val="24"/>
        </w:rPr>
        <w:t xml:space="preserve"> modellerer kostnadsavviket fra suboptimal ordrefrekvens – et avvik som adresseres direkte ved sentralisering til HVFS. Totalt inngår 117 artikler i dette grunnlaget.</w:t>
      </w:r>
    </w:p>
    <w:p>
      <w:pPr>
        <w:spacing w:line="360" w:lineRule="auto"/>
        <w:jc w:val="both"/>
      </w:pPr>
      <w:r>
        <w:rPr>
          <w:rFonts w:ascii="Times New Roman" w:hAnsi="Times New Roman" w:cs="Times New Roman"/>
          <w:sz w:val="24"/>
        </w:rPr>
        <w:t xml:space="preserve">I tillegg til de tre scenariene ble det gjennomført en systematisk sensitivitetsanalyse med 27 kombinasjoner av </w:t>
      </w:r>
      <m:oMath>
        <m:r>
          <m:t>S</m:t>
        </m:r>
      </m:oMath>
      <w:r>
        <w:rPr>
          <w:rFonts w:ascii="Times New Roman" w:hAnsi="Times New Roman" w:cs="Times New Roman"/>
          <w:sz w:val="24"/>
        </w:rPr>
        <w:t xml:space="preserve">, </w:t>
      </w:r>
      <m:oMath>
        <m:r>
          <m:t>h</m:t>
        </m:r>
      </m:oMath>
      <w:r>
        <w:rPr>
          <w:rFonts w:ascii="Times New Roman" w:hAnsi="Times New Roman" w:cs="Times New Roman"/>
          <w:sz w:val="24"/>
        </w:rPr>
        <w:t xml:space="preserve"> og </w:t>
      </w:r>
      <m:oMath>
        <m:sSub>
          <m:e>
            <m:r>
              <m:t>τ</m:t>
            </m:r>
          </m:e>
          <m:sub>
            <m:r>
              <m:t>f</m:t>
            </m:r>
          </m:sub>
        </m:sSub>
      </m:oMath>
      <w:r>
        <w:rPr>
          <w:rFonts w:ascii="Times New Roman" w:hAnsi="Times New Roman" w:cs="Times New Roman"/>
          <w:sz w:val="24"/>
        </w:rPr>
        <w:t>, for å kartlegge robustheten av besparelsesestimatet overfor usikkerhet i modellantagelsene. Figur 12 viser den endelige fordelingen av regelmotor-anbefalinger og estimert EOQ-besparelse under tre scenarier, mens detaljerte besparelsestall og sensitivitetsintervaller presenteres i avsnitt 7.5–7.6.</w:t>
      </w:r>
    </w:p>
    <w:p>
      <w:r>
        <w:drawing>
          <wp:inline xmlns:a="http://schemas.openxmlformats.org/drawingml/2006/main" xmlns:pic="http://schemas.openxmlformats.org/drawingml/2006/picture">
            <wp:extent cx="5400000" cy="2238197"/>
            <wp:docPr id="15" name="Picture 15"/>
            <wp:cNvGraphicFramePr>
              <a:graphicFrameLocks noChangeAspect="1"/>
            </wp:cNvGraphicFramePr>
            <a:graphic>
              <a:graphicData uri="http://schemas.openxmlformats.org/drawingml/2006/picture">
                <pic:pic>
                  <pic:nvPicPr>
                    <pic:cNvPr id="0" name="Fig11_Regelmotor_Besparelse.png"/>
                    <pic:cNvPicPr/>
                  </pic:nvPicPr>
                  <pic:blipFill>
                    <a:blip r:embed="rId33"/>
                    <a:stretch>
                      <a:fillRect/>
                    </a:stretch>
                  </pic:blipFill>
                  <pic:spPr>
                    <a:xfrm>
                      <a:off x="0" y="0"/>
                      <a:ext cx="5400000" cy="2238197"/>
                    </a:xfrm>
                    <a:prstGeom prst="rect"/>
                  </pic:spPr>
                </pic:pic>
              </a:graphicData>
            </a:graphic>
          </wp:inline>
        </w:drawing>
      </w:r>
    </w:p>
    <w:p>
      <w:pPr>
        <w:jc w:val="center"/>
      </w:pPr>
      <w:r>
        <w:rPr>
          <w:rFonts w:ascii="Times New Roman" w:hAnsi="Times New Roman"/>
          <w:i/>
          <w:sz w:val="20"/>
        </w:rPr>
        <w:t>Figur 12. Regelmotor og besparelsesanalyse: fordeling av HVFS-anbefalinger (venstre) og estimert årlig EOQ-besparelse under tre realiseringsscenarier (høyre). 709 artikler, WERKS 3300 / LGORT 3001.</w:t>
      </w:r>
    </w:p>
    <w:p>
      <w:pPr>
        <w:spacing w:line="360" w:lineRule="auto"/>
        <w:jc w:val="both"/>
      </w:pPr>
      <w:r>
        <w:rPr>
          <w:rFonts w:ascii="Times New Roman" w:hAnsi="Times New Roman" w:cs="Times New Roman"/>
          <w:sz w:val="24"/>
        </w:rPr>
        <w:t>Figur 12 viser den endelige fordelingen av HVFS-anbefalinger og estimert besparelse. Fullstendige resultat- og besparelsestabeller presenteres i kapittel 7.</w:t>
      </w:r>
    </w:p>
    <w:p>
      <w:pPr>
        <w:pStyle w:val="Overskrift1"/>
        <w:pageBreakBefore w:val="true"/>
      </w:pPr>
      <w:r>
        <w:rPr>
          <w:rFonts w:ascii="Times New Roman" w:hAnsi="Times New Roman"/>
          <w:color w:val="000000"/>
          <w:sz w:val="36"/>
        </w:rPr>
        <w:t>Kapittel 7 – Resultater</w:t>
      </w:r>
    </w:p>
    <w:p>
      <w:pPr>
        <w:pStyle w:val="Overskrift2"/>
      </w:pPr>
      <w:r>
        <w:rPr>
          <w:rFonts w:ascii="Times New Roman" w:hAnsi="Times New Roman"/>
          <w:color w:val="000000"/>
          <w:sz w:val="32"/>
        </w:rPr>
        <w:t>7.1 ABC-resultater</w:t>
      </w:r>
    </w:p>
    <w:p>
      <w:r>
        <w:rPr>
          <w:rFonts w:ascii="Times New Roman" w:hAnsi="Times New Roman"/>
          <w:b/>
          <w:sz w:val="20"/>
        </w:rPr>
        <w:t>Tabell 8</w:t>
      </w:r>
    </w:p>
    <w:p>
      <w:r>
        <w:rPr>
          <w:rFonts w:ascii="Times New Roman" w:hAnsi="Times New Roman"/>
          <w:i/>
          <w:sz w:val="20"/>
        </w:rPr>
        <w:t>ABC-fordeling: antall artikler og verdiandel per klasse (n = 709)</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Klasse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 artikler</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 av populasjon</w:t>
            </w:r>
          </w:p>
        </w:tc>
        <w:tc>
          <w:tcPr>
            <w:tcW w:type="dxa" w:w="2192"/>
            <w:tcBorders>
              <w:top w:val="single" w:sz="8" w:space="0" w:color="000000"/>
              <w:bottom w:val="single" w:sz="4" w:space="0" w:color="000000"/>
              <w:left w:val="nil"/>
              <w:right w:val="nil"/>
            </w:tcBorders>
          </w:tcPr>
          <w:p>
            <w:r/>
            <w:r>
              <w:rPr>
                <w:rFonts w:ascii="Times New Roman" w:hAnsi="Times New Roman"/>
                <w:b/>
                <w:sz w:val="22"/>
              </w:rPr>
              <w:t>Kumulativ verdiandel</w:t>
            </w:r>
          </w:p>
        </w:tc>
      </w:tr>
      <w:tr>
        <w:tc>
          <w:tcPr>
            <w:tcW w:type="dxa" w:w="2192"/>
          </w:tcPr>
          <w:p>
            <w:r/>
            <w:r>
              <w:rPr>
                <w:rFonts w:ascii="Times New Roman" w:hAnsi="Times New Roman"/>
                <w:b w:val="0"/>
                <w:sz w:val="22"/>
              </w:rPr>
              <w:t>A</w:t>
            </w:r>
          </w:p>
        </w:tc>
        <w:tc>
          <w:tcPr>
            <w:tcW w:type="dxa" w:w="2192"/>
          </w:tcPr>
          <w:p>
            <w:r/>
            <w:r>
              <w:rPr>
                <w:rFonts w:ascii="Times New Roman" w:hAnsi="Times New Roman"/>
                <w:b w:val="0"/>
                <w:sz w:val="22"/>
              </w:rPr>
              <w:t>182</w:t>
            </w:r>
          </w:p>
        </w:tc>
        <w:tc>
          <w:tcPr>
            <w:tcW w:type="dxa" w:w="2192"/>
          </w:tcPr>
          <w:p>
            <w:r/>
            <w:r>
              <w:rPr>
                <w:rFonts w:ascii="Times New Roman" w:hAnsi="Times New Roman"/>
                <w:b w:val="0"/>
                <w:sz w:val="22"/>
              </w:rPr>
              <w:t>25,7 %</w:t>
            </w:r>
          </w:p>
        </w:tc>
        <w:tc>
          <w:tcPr>
            <w:tcW w:type="dxa" w:w="2192"/>
          </w:tcPr>
          <w:p>
            <w:r/>
            <w:r>
              <w:rPr>
                <w:rFonts w:ascii="Times New Roman" w:hAnsi="Times New Roman"/>
                <w:b w:val="0"/>
                <w:sz w:val="22"/>
              </w:rPr>
              <w:t>0–80 %</w:t>
            </w:r>
          </w:p>
        </w:tc>
      </w:tr>
      <w:tr>
        <w:tc>
          <w:tcPr>
            <w:tcW w:type="dxa" w:w="2192"/>
          </w:tcPr>
          <w:p>
            <w:r/>
            <w:r>
              <w:rPr>
                <w:rFonts w:ascii="Times New Roman" w:hAnsi="Times New Roman"/>
                <w:b w:val="0"/>
                <w:sz w:val="22"/>
              </w:rPr>
              <w:t>B</w:t>
            </w:r>
          </w:p>
        </w:tc>
        <w:tc>
          <w:tcPr>
            <w:tcW w:type="dxa" w:w="2192"/>
          </w:tcPr>
          <w:p>
            <w:r/>
            <w:r>
              <w:rPr>
                <w:rFonts w:ascii="Times New Roman" w:hAnsi="Times New Roman"/>
                <w:b w:val="0"/>
                <w:sz w:val="22"/>
              </w:rPr>
              <w:t>184</w:t>
            </w:r>
          </w:p>
        </w:tc>
        <w:tc>
          <w:tcPr>
            <w:tcW w:type="dxa" w:w="2192"/>
          </w:tcPr>
          <w:p>
            <w:r/>
            <w:r>
              <w:rPr>
                <w:rFonts w:ascii="Times New Roman" w:hAnsi="Times New Roman"/>
                <w:b w:val="0"/>
                <w:sz w:val="22"/>
              </w:rPr>
              <w:t>26,0 %</w:t>
            </w:r>
          </w:p>
        </w:tc>
        <w:tc>
          <w:tcPr>
            <w:tcW w:type="dxa" w:w="2192"/>
          </w:tcPr>
          <w:p>
            <w:r/>
            <w:r>
              <w:rPr>
                <w:rFonts w:ascii="Times New Roman" w:hAnsi="Times New Roman"/>
                <w:b w:val="0"/>
                <w:sz w:val="22"/>
              </w:rPr>
              <w:t>80–95 %</w:t>
            </w:r>
          </w:p>
        </w:tc>
      </w:tr>
      <w:tr>
        <w:tc>
          <w:tcPr>
            <w:tcW w:type="dxa" w:w="2192"/>
          </w:tcPr>
          <w:p>
            <w:r/>
            <w:r>
              <w:rPr>
                <w:rFonts w:ascii="Times New Roman" w:hAnsi="Times New Roman"/>
                <w:b w:val="0"/>
                <w:sz w:val="22"/>
              </w:rPr>
              <w:t>C</w:t>
            </w:r>
          </w:p>
        </w:tc>
        <w:tc>
          <w:tcPr>
            <w:tcW w:type="dxa" w:w="2192"/>
          </w:tcPr>
          <w:p>
            <w:r/>
            <w:r>
              <w:rPr>
                <w:rFonts w:ascii="Times New Roman" w:hAnsi="Times New Roman"/>
                <w:b w:val="0"/>
                <w:sz w:val="22"/>
              </w:rPr>
              <w:t>338</w:t>
            </w:r>
          </w:p>
        </w:tc>
        <w:tc>
          <w:tcPr>
            <w:tcW w:type="dxa" w:w="2192"/>
          </w:tcPr>
          <w:p>
            <w:r/>
            <w:r>
              <w:rPr>
                <w:rFonts w:ascii="Times New Roman" w:hAnsi="Times New Roman"/>
                <w:b w:val="0"/>
                <w:sz w:val="22"/>
              </w:rPr>
              <w:t>47,7 %</w:t>
            </w:r>
          </w:p>
        </w:tc>
        <w:tc>
          <w:tcPr>
            <w:tcW w:type="dxa" w:w="2192"/>
          </w:tcPr>
          <w:p>
            <w:r/>
            <w:r>
              <w:rPr>
                <w:rFonts w:ascii="Times New Roman" w:hAnsi="Times New Roman"/>
                <w:b w:val="0"/>
                <w:sz w:val="22"/>
              </w:rPr>
              <w:t>95–100 %</w:t>
            </w:r>
          </w:p>
        </w:tc>
      </w:tr>
      <w:tr>
        <w:tc>
          <w:tcPr>
            <w:tcW w:type="dxa" w:w="2192"/>
          </w:tcPr>
          <w:p>
            <w:r/>
            <w:r>
              <w:rPr>
                <w:rFonts w:ascii="Times New Roman" w:hAnsi="Times New Roman"/>
                <w:b w:val="0"/>
                <w:sz w:val="22"/>
              </w:rPr>
              <w:t>Ikke klassifisert</w:t>
            </w:r>
          </w:p>
        </w:tc>
        <w:tc>
          <w:tcPr>
            <w:tcW w:type="dxa" w:w="2192"/>
          </w:tcPr>
          <w:p>
            <w:r/>
            <w:r>
              <w:rPr>
                <w:rFonts w:ascii="Times New Roman" w:hAnsi="Times New Roman"/>
                <w:b w:val="0"/>
                <w:sz w:val="22"/>
              </w:rPr>
              <w:t>5</w:t>
            </w:r>
          </w:p>
        </w:tc>
        <w:tc>
          <w:tcPr>
            <w:tcW w:type="dxa" w:w="2192"/>
          </w:tcPr>
          <w:p>
            <w:r/>
            <w:r>
              <w:rPr>
                <w:rFonts w:ascii="Times New Roman" w:hAnsi="Times New Roman"/>
                <w:b w:val="0"/>
                <w:sz w:val="22"/>
              </w:rPr>
              <w:t>0,7 %</w:t>
            </w:r>
          </w:p>
        </w:tc>
        <w:tc>
          <w:tcPr>
            <w:tcW w:type="dxa" w:w="2192"/>
          </w:tcPr>
          <w:p>
            <w:r/>
            <w:r>
              <w:rPr>
                <w:rFonts w:ascii="Times New Roman" w:hAnsi="Times New Roman"/>
                <w:b w:val="0"/>
                <w:sz w:val="22"/>
              </w:rPr>
              <w:t>Mangler verdidata</w:t>
            </w:r>
          </w:p>
        </w:tc>
      </w:tr>
      <w:tr>
        <w:tc>
          <w:tcPr>
            <w:tcW w:type="dxa" w:w="2192"/>
          </w:tcPr>
          <w:p>
            <w:r/>
            <w:r>
              <w:rPr>
                <w:rFonts w:ascii="Times New Roman" w:hAnsi="Times New Roman"/>
                <w:b/>
                <w:sz w:val="22"/>
              </w:rPr>
              <w:t>Totalt</w:t>
            </w:r>
          </w:p>
        </w:tc>
        <w:tc>
          <w:tcPr>
            <w:tcW w:type="dxa" w:w="2192"/>
          </w:tcPr>
          <w:p>
            <w:r/>
            <w:r>
              <w:rPr>
                <w:rFonts w:ascii="Times New Roman" w:hAnsi="Times New Roman"/>
                <w:b/>
                <w:sz w:val="22"/>
              </w:rPr>
              <w:t>709</w:t>
            </w:r>
          </w:p>
        </w:tc>
        <w:tc>
          <w:tcPr>
            <w:tcW w:type="dxa" w:w="2192"/>
          </w:tcPr>
          <w:p>
            <w:r/>
            <w:r>
              <w:rPr>
                <w:rFonts w:ascii="Times New Roman" w:hAnsi="Times New Roman"/>
                <w:b/>
                <w:sz w:val="22"/>
              </w:rPr>
              <w:t>100 %</w:t>
            </w:r>
          </w:p>
        </w:tc>
        <w:tc>
          <w:tcPr>
            <w:tcW w:type="dxa" w:w="2192"/>
          </w:tcPr>
          <w:p>
            <w:r/>
          </w:p>
        </w:tc>
      </w:tr>
    </w:tbl>
    <w:p>
      <w:pPr>
        <w:spacing w:line="360" w:lineRule="auto"/>
        <w:jc w:val="both"/>
      </w:pPr>
      <w:r>
        <w:rPr>
          <w:rFonts w:ascii="Times New Roman" w:hAnsi="Times New Roman" w:cs="Times New Roman"/>
          <w:sz w:val="24"/>
        </w:rPr>
        <w:t>Fordelingen viser et tydelig Pareto-mønster: A- og B-artiklene (366 artikler, 51,6 %) står for ~95 % av verdibindingen, mens 338 C-artikler (47,7 %) dekker de resterende 5 %. A-klassens andel på 25,7 % er noe høyere enn den kanoniske 20 %-regelen, men konsistent med sykehussortiment der få høyverdige artikler dominerer. De 5 ikke-klassifiserte artiklene mangler enten UNIT\_PRICE eller D\_ANNUAL i kildedata og holdes utenfor ABC-analysen for å unngå feilberegnet kumulativ verdi. Pareto-kurven er presentert som Figur 6 i kapittel 6.</w:t>
      </w:r>
    </w:p>
    <w:p>
      <w:pPr>
        <w:pStyle w:val="Overskrift2"/>
      </w:pPr>
      <w:r>
        <w:rPr>
          <w:rFonts w:ascii="Times New Roman" w:hAnsi="Times New Roman"/>
          <w:color w:val="000000"/>
          <w:sz w:val="32"/>
        </w:rPr>
        <w:t>7.2 XYZ-resultater</w:t>
      </w:r>
    </w:p>
    <w:p>
      <w:r>
        <w:rPr>
          <w:rFonts w:ascii="Times New Roman" w:hAnsi="Times New Roman"/>
          <w:b/>
          <w:sz w:val="20"/>
        </w:rPr>
        <w:t>Tabell 9</w:t>
      </w:r>
    </w:p>
    <w:p>
      <w:r>
        <w:rPr>
          <w:rFonts w:ascii="Times New Roman" w:hAnsi="Times New Roman"/>
          <w:i/>
          <w:sz w:val="20"/>
        </w:rPr>
        <w:t>XYZ-fordeling: antall artikler per klasse (n = 687 klassifiserte)</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Klasse</w:t>
            </w:r>
          </w:p>
        </w:tc>
        <w:tc>
          <w:tcPr>
            <w:tcW w:type="dxa" w:w="2192"/>
            <w:tcBorders>
              <w:top w:val="single" w:sz="8" w:space="0" w:color="000000"/>
              <w:bottom w:val="single" w:sz="4" w:space="0" w:color="000000"/>
              <w:left w:val="nil"/>
              <w:right w:val="nil"/>
            </w:tcBorders>
          </w:tcPr>
          <w:p>
            <w:r/>
            <w:r>
              <w:rPr>
                <w:rFonts w:ascii="Times New Roman" w:hAnsi="Times New Roman"/>
                <w:b/>
                <w:sz w:val="22"/>
              </w:rPr>
              <w:t>CV-grense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r>
      <w:tr>
        <w:tc>
          <w:tcPr>
            <w:tcW w:type="dxa" w:w="2192"/>
          </w:tcPr>
          <w:p>
            <w:r/>
            <w:r>
              <w:rPr>
                <w:rFonts w:ascii="Times New Roman" w:hAnsi="Times New Roman"/>
                <w:b w:val="0"/>
                <w:sz w:val="22"/>
              </w:rPr>
              <w:t>X (stabilt)</w:t>
            </w:r>
          </w:p>
        </w:tc>
        <w:tc>
          <w:tcPr>
            <w:tcW w:type="dxa" w:w="2192"/>
          </w:tcPr>
          <w:p>
            <w:r/>
            <w:r>
              <w:rPr>
                <w:rFonts w:ascii="Times New Roman" w:hAnsi="Times New Roman"/>
                <w:b w:val="0"/>
                <w:sz w:val="22"/>
              </w:rPr>
              <w:t>CV &lt; 0,5</w:t>
            </w:r>
          </w:p>
        </w:tc>
        <w:tc>
          <w:tcPr>
            <w:tcW w:type="dxa" w:w="2192"/>
          </w:tcPr>
          <w:p>
            <w:r/>
            <w:r>
              <w:rPr>
                <w:rFonts w:ascii="Times New Roman" w:hAnsi="Times New Roman"/>
                <w:b w:val="0"/>
                <w:sz w:val="22"/>
              </w:rPr>
              <w:t>350</w:t>
            </w:r>
          </w:p>
        </w:tc>
        <w:tc>
          <w:tcPr>
            <w:tcW w:type="dxa" w:w="2192"/>
          </w:tcPr>
          <w:p>
            <w:r/>
            <w:r>
              <w:rPr>
                <w:rFonts w:ascii="Times New Roman" w:hAnsi="Times New Roman"/>
                <w:b w:val="0"/>
                <w:sz w:val="22"/>
              </w:rPr>
              <w:t>50,9 %</w:t>
            </w:r>
          </w:p>
        </w:tc>
      </w:tr>
      <w:tr>
        <w:tc>
          <w:tcPr>
            <w:tcW w:type="dxa" w:w="2192"/>
          </w:tcPr>
          <w:p>
            <w:r/>
            <w:r>
              <w:rPr>
                <w:rFonts w:ascii="Times New Roman" w:hAnsi="Times New Roman"/>
                <w:b w:val="0"/>
                <w:sz w:val="22"/>
              </w:rPr>
              <w:t>Y (moderat)</w:t>
            </w:r>
          </w:p>
        </w:tc>
        <w:tc>
          <w:tcPr>
            <w:tcW w:type="dxa" w:w="2192"/>
          </w:tcPr>
          <w:p>
            <w:r/>
            <w:r>
              <w:rPr>
                <w:rFonts w:ascii="Times New Roman" w:hAnsi="Times New Roman"/>
                <w:b w:val="0"/>
                <w:sz w:val="22"/>
              </w:rPr>
              <w:t>0,5 ≤ CV &lt; 1,0</w:t>
            </w:r>
          </w:p>
        </w:tc>
        <w:tc>
          <w:tcPr>
            <w:tcW w:type="dxa" w:w="2192"/>
          </w:tcPr>
          <w:p>
            <w:r/>
            <w:r>
              <w:rPr>
                <w:rFonts w:ascii="Times New Roman" w:hAnsi="Times New Roman"/>
                <w:b w:val="0"/>
                <w:sz w:val="22"/>
              </w:rPr>
              <w:t>193</w:t>
            </w:r>
          </w:p>
        </w:tc>
        <w:tc>
          <w:tcPr>
            <w:tcW w:type="dxa" w:w="2192"/>
          </w:tcPr>
          <w:p>
            <w:r/>
            <w:r>
              <w:rPr>
                <w:rFonts w:ascii="Times New Roman" w:hAnsi="Times New Roman"/>
                <w:b w:val="0"/>
                <w:sz w:val="22"/>
              </w:rPr>
              <w:t>28,1 %</w:t>
            </w:r>
          </w:p>
        </w:tc>
      </w:tr>
      <w:tr>
        <w:tc>
          <w:tcPr>
            <w:tcW w:type="dxa" w:w="2192"/>
          </w:tcPr>
          <w:p>
            <w:r/>
            <w:r>
              <w:rPr>
                <w:rFonts w:ascii="Times New Roman" w:hAnsi="Times New Roman"/>
                <w:b w:val="0"/>
                <w:sz w:val="22"/>
              </w:rPr>
              <w:t>Z (uregelmessig)</w:t>
            </w:r>
          </w:p>
        </w:tc>
        <w:tc>
          <w:tcPr>
            <w:tcW w:type="dxa" w:w="2192"/>
          </w:tcPr>
          <w:p>
            <w:r/>
            <w:r>
              <w:rPr>
                <w:rFonts w:ascii="Times New Roman" w:hAnsi="Times New Roman"/>
                <w:b w:val="0"/>
                <w:sz w:val="22"/>
              </w:rPr>
              <w:t>CV ≥ 1,0</w:t>
            </w:r>
          </w:p>
        </w:tc>
        <w:tc>
          <w:tcPr>
            <w:tcW w:type="dxa" w:w="2192"/>
          </w:tcPr>
          <w:p>
            <w:r/>
            <w:r>
              <w:rPr>
                <w:rFonts w:ascii="Times New Roman" w:hAnsi="Times New Roman"/>
                <w:b w:val="0"/>
                <w:sz w:val="22"/>
              </w:rPr>
              <w:t>144</w:t>
            </w:r>
          </w:p>
        </w:tc>
        <w:tc>
          <w:tcPr>
            <w:tcW w:type="dxa" w:w="2192"/>
          </w:tcPr>
          <w:p>
            <w:r/>
            <w:r>
              <w:rPr>
                <w:rFonts w:ascii="Times New Roman" w:hAnsi="Times New Roman"/>
                <w:b w:val="0"/>
                <w:sz w:val="22"/>
              </w:rPr>
              <w:t>20,9 %</w:t>
            </w:r>
          </w:p>
        </w:tc>
      </w:tr>
      <w:tr>
        <w:tc>
          <w:tcPr>
            <w:tcW w:type="dxa" w:w="2192"/>
          </w:tcPr>
          <w:p>
            <w:r/>
            <w:r>
              <w:rPr>
                <w:rFonts w:ascii="Times New Roman" w:hAnsi="Times New Roman"/>
                <w:b w:val="0"/>
                <w:sz w:val="22"/>
              </w:rPr>
              <w:t>Ikke klassifisert</w:t>
            </w:r>
          </w:p>
        </w:tc>
        <w:tc>
          <w:tcPr>
            <w:tcW w:type="dxa" w:w="2192"/>
          </w:tcPr>
          <w:p>
            <w:r/>
            <w:r>
              <w:rPr>
                <w:rFonts w:ascii="Times New Roman" w:hAnsi="Times New Roman"/>
                <w:b w:val="0"/>
                <w:sz w:val="22"/>
              </w:rPr>
              <w:t>–</w:t>
            </w:r>
          </w:p>
        </w:tc>
        <w:tc>
          <w:tcPr>
            <w:tcW w:type="dxa" w:w="2192"/>
          </w:tcPr>
          <w:p>
            <w:r/>
            <w:r>
              <w:rPr>
                <w:rFonts w:ascii="Times New Roman" w:hAnsi="Times New Roman"/>
                <w:b w:val="0"/>
                <w:sz w:val="22"/>
              </w:rPr>
              <w:t>22</w:t>
            </w:r>
          </w:p>
        </w:tc>
        <w:tc>
          <w:tcPr>
            <w:tcW w:type="dxa" w:w="2192"/>
          </w:tcPr>
          <w:p>
            <w:r/>
            <w:r>
              <w:rPr>
                <w:rFonts w:ascii="Times New Roman" w:hAnsi="Times New Roman"/>
                <w:b w:val="0"/>
                <w:sz w:val="22"/>
              </w:rPr>
              <w:t>–</w:t>
            </w:r>
          </w:p>
        </w:tc>
      </w:tr>
    </w:tbl>
    <w:p>
      <w:pPr>
        <w:spacing w:line="360" w:lineRule="auto"/>
        <w:jc w:val="both"/>
      </w:pPr>
      <w:r>
        <w:rPr>
          <w:rFonts w:ascii="Times New Roman" w:hAnsi="Times New Roman" w:cs="Times New Roman"/>
          <w:sz w:val="24"/>
        </w:rPr>
        <w:t>350 artikler (50,9 % av klassifiserte) har stabilt forbruksmønster (X), 193 artikler (28,1 %) har moderat variasjon (Y), og 144 artikler (20,9 %) har uregelmessig forbruk (Z). At over halvparten av artiklene faller i X-kategorien tyder på at en vesentlig andel av sortimentet har den forbruksstabiliteten som APL-leveransemodellen forutsetter (Fragapane et al., 2019). De 22 ikke-klassifiserte artiklene mangler tilstrekkelig forbrukshistorikk i MSEG (færre enn tre måneder med registrert forbruk) og er ekskludert fra XYZ-analysen for å unngå misvisende CV-estimater.</w:t>
      </w:r>
    </w:p>
    <w:p>
      <w:pPr>
        <w:spacing w:line="360" w:lineRule="auto"/>
        <w:jc w:val="both"/>
      </w:pPr>
      <w:r>
        <w:rPr>
          <w:rFonts w:ascii="Times New Roman" w:hAnsi="Times New Roman" w:cs="Times New Roman"/>
          <w:sz w:val="24"/>
        </w:rPr>
        <w:t>Sammenligningen med SAP-feltet ZZXYZ viste 33 % samsvar mellom systemregistrert og beregnet klasse (125 av 375 artikler med data i begge kilder). Valideringen er begrenset til de 375 artiklene der ZZXYZ-feltet er utfylt i MDMA; for de øvrige 334 artiklene mangler systemklassifisering. Tabell 10 oppsummerer kryssvalideringen. Det lave samsvaret på 33 % kan forklares av tre faktorer: (1) ZZXYZ oppdateres via MRP-kjøring og kan basere seg på andre CV-terskler enn litteraturens standard (0,5/1,0); (2) beregningsperioden for ZZXYZ er ikke nødvendigvis sammenfallende med denne studiens 24-månedersperiode; og (3) feltet oppdateres kun for artikler med aktiv MRP-kjøring. Divergensen er mest slående for Z-kategorien: SAP klassifiserer kun 7 artikler som Z, mens den beregnede klassifiseringen gir 79 – SAP fanger dermed nesten ingen artikler med uregelmessig forbruk. Det rå samsvarstallet på 33 % overestimerer dessuten SAP-feltets reelle nytte, fordi SAP tildeler nesten alle artikler X (218 av 375); en sjanse-justert måling som Cohen's kappa ville derfor gitt et lavere reelt enighetsnivå mellom SAP og beregnet klasse. Samlet understreker dette at SAP-feltet ZZXYZ ikke er systematisk oppdatert og bør erstattes med beregnet CV-klasse som primær XYZ-indikator. ABC/XYZ-kryssmatrisen er presentert som Figur 7 i kapittel 6; fullstendige celleantall er gjengitt der.</w:t>
      </w:r>
    </w:p>
    <w:p>
      <w:r>
        <w:rPr>
          <w:rFonts w:ascii="Times New Roman" w:hAnsi="Times New Roman"/>
          <w:b/>
          <w:sz w:val="20"/>
        </w:rPr>
        <w:t>Tabell 10</w:t>
      </w:r>
    </w:p>
    <w:p>
      <w:r>
        <w:rPr>
          <w:rFonts w:ascii="Times New Roman" w:hAnsi="Times New Roman"/>
          <w:i/>
          <w:sz w:val="20"/>
        </w:rPr>
        <w:t>SAP ZZXYZ-validering: samsvar mellom systemklasse og beregnet CV-klasse (n = 375 artikler med data i begge kilder)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X</w:t>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Y</w:t>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Z</w:t>
            </w:r>
          </w:p>
        </w:tc>
        <w:tc>
          <w:tcPr>
            <w:tcW w:type="dxa" w:w="1754"/>
            <w:tcBorders>
              <w:top w:val="single" w:sz="8" w:space="0" w:color="000000"/>
              <w:bottom w:val="single" w:sz="4" w:space="0" w:color="000000"/>
              <w:left w:val="nil"/>
              <w:right w:val="nil"/>
            </w:tcBorders>
          </w:tcPr>
          <w:p>
            <w:r/>
            <w:r>
              <w:rPr>
                <w:rFonts w:ascii="Times New Roman" w:hAnsi="Times New Roman"/>
                <w:b/>
                <w:sz w:val="22"/>
              </w:rPr>
              <w:t>Sum</w:t>
            </w:r>
          </w:p>
        </w:tc>
      </w:tr>
      <w:tr>
        <w:tc>
          <w:tcPr>
            <w:tcW w:type="dxa" w:w="1754"/>
          </w:tcPr>
          <w:p>
            <w:r/>
            <w:r>
              <w:rPr>
                <w:rFonts w:ascii="Times New Roman" w:hAnsi="Times New Roman"/>
                <w:b w:val="0"/>
                <w:sz w:val="22"/>
              </w:rPr>
              <w:t>SAP X</w:t>
            </w:r>
          </w:p>
        </w:tc>
        <w:tc>
          <w:tcPr>
            <w:tcW w:type="dxa" w:w="1754"/>
          </w:tcPr>
          <w:p>
            <w:r/>
            <w:r>
              <w:rPr>
                <w:rFonts w:ascii="Times New Roman" w:hAnsi="Times New Roman"/>
                <w:b/>
                <w:sz w:val="22"/>
              </w:rPr>
              <w:t>94</w:t>
            </w:r>
          </w:p>
        </w:tc>
        <w:tc>
          <w:tcPr>
            <w:tcW w:type="dxa" w:w="1754"/>
          </w:tcPr>
          <w:p>
            <w:r/>
            <w:r>
              <w:rPr>
                <w:rFonts w:ascii="Times New Roman" w:hAnsi="Times New Roman"/>
                <w:b w:val="0"/>
                <w:sz w:val="22"/>
              </w:rPr>
              <w:t>65</w:t>
            </w:r>
          </w:p>
        </w:tc>
        <w:tc>
          <w:tcPr>
            <w:tcW w:type="dxa" w:w="1754"/>
          </w:tcPr>
          <w:p>
            <w:r/>
            <w:r>
              <w:rPr>
                <w:rFonts w:ascii="Times New Roman" w:hAnsi="Times New Roman"/>
                <w:b w:val="0"/>
                <w:sz w:val="22"/>
              </w:rPr>
              <w:t>59</w:t>
            </w:r>
          </w:p>
        </w:tc>
        <w:tc>
          <w:tcPr>
            <w:tcW w:type="dxa" w:w="1754"/>
          </w:tcPr>
          <w:p>
            <w:r/>
            <w:r>
              <w:rPr>
                <w:rFonts w:ascii="Times New Roman" w:hAnsi="Times New Roman"/>
                <w:b w:val="0"/>
                <w:sz w:val="22"/>
              </w:rPr>
              <w:t>218</w:t>
            </w:r>
          </w:p>
        </w:tc>
      </w:tr>
      <w:tr>
        <w:tc>
          <w:tcPr>
            <w:tcW w:type="dxa" w:w="1754"/>
          </w:tcPr>
          <w:p>
            <w:r/>
            <w:r>
              <w:rPr>
                <w:rFonts w:ascii="Times New Roman" w:hAnsi="Times New Roman"/>
                <w:b w:val="0"/>
                <w:sz w:val="22"/>
              </w:rPr>
              <w:t>SAP Y</w:t>
            </w:r>
          </w:p>
        </w:tc>
        <w:tc>
          <w:tcPr>
            <w:tcW w:type="dxa" w:w="1754"/>
          </w:tcPr>
          <w:p>
            <w:r/>
            <w:r>
              <w:rPr>
                <w:rFonts w:ascii="Times New Roman" w:hAnsi="Times New Roman"/>
                <w:b w:val="0"/>
                <w:sz w:val="22"/>
              </w:rPr>
              <w:t>99</w:t>
            </w:r>
          </w:p>
        </w:tc>
        <w:tc>
          <w:tcPr>
            <w:tcW w:type="dxa" w:w="1754"/>
          </w:tcPr>
          <w:p>
            <w:r/>
            <w:r>
              <w:rPr>
                <w:rFonts w:ascii="Times New Roman" w:hAnsi="Times New Roman"/>
                <w:b/>
                <w:sz w:val="22"/>
              </w:rPr>
              <w:t>31</w:t>
            </w:r>
          </w:p>
        </w:tc>
        <w:tc>
          <w:tcPr>
            <w:tcW w:type="dxa" w:w="1754"/>
          </w:tcPr>
          <w:p>
            <w:r/>
            <w:r>
              <w:rPr>
                <w:rFonts w:ascii="Times New Roman" w:hAnsi="Times New Roman"/>
                <w:b w:val="0"/>
                <w:sz w:val="22"/>
              </w:rPr>
              <w:t>20</w:t>
            </w:r>
          </w:p>
        </w:tc>
        <w:tc>
          <w:tcPr>
            <w:tcW w:type="dxa" w:w="1754"/>
          </w:tcPr>
          <w:p>
            <w:r/>
            <w:r>
              <w:rPr>
                <w:rFonts w:ascii="Times New Roman" w:hAnsi="Times New Roman"/>
                <w:b w:val="0"/>
                <w:sz w:val="22"/>
              </w:rPr>
              <w:t>150</w:t>
            </w:r>
          </w:p>
        </w:tc>
      </w:tr>
      <w:tr>
        <w:tc>
          <w:tcPr>
            <w:tcW w:type="dxa" w:w="1754"/>
          </w:tcPr>
          <w:p>
            <w:r/>
            <w:r>
              <w:rPr>
                <w:rFonts w:ascii="Times New Roman" w:hAnsi="Times New Roman"/>
                <w:b w:val="0"/>
                <w:sz w:val="22"/>
              </w:rPr>
              <w:t>SAP Z</w:t>
            </w:r>
          </w:p>
        </w:tc>
        <w:tc>
          <w:tcPr>
            <w:tcW w:type="dxa" w:w="1754"/>
          </w:tcPr>
          <w:p>
            <w:r/>
            <w:r>
              <w:rPr>
                <w:rFonts w:ascii="Times New Roman" w:hAnsi="Times New Roman"/>
                <w:b w:val="0"/>
                <w:sz w:val="22"/>
              </w:rPr>
              <w:t>6</w:t>
            </w:r>
          </w:p>
        </w:tc>
        <w:tc>
          <w:tcPr>
            <w:tcW w:type="dxa" w:w="1754"/>
          </w:tcPr>
          <w:p>
            <w:r/>
            <w:r>
              <w:rPr>
                <w:rFonts w:ascii="Times New Roman" w:hAnsi="Times New Roman"/>
                <w:b w:val="0"/>
                <w:sz w:val="22"/>
              </w:rPr>
              <w:t>1</w:t>
            </w:r>
          </w:p>
        </w:tc>
        <w:tc>
          <w:tcPr>
            <w:tcW w:type="dxa" w:w="1754"/>
          </w:tcPr>
          <w:p>
            <w:r/>
            <w:r>
              <w:rPr>
                <w:rFonts w:ascii="Times New Roman" w:hAnsi="Times New Roman"/>
                <w:b/>
                <w:sz w:val="22"/>
              </w:rPr>
              <w:t>0</w:t>
            </w:r>
          </w:p>
        </w:tc>
        <w:tc>
          <w:tcPr>
            <w:tcW w:type="dxa" w:w="1754"/>
          </w:tcPr>
          <w:p>
            <w:r/>
            <w:r>
              <w:rPr>
                <w:rFonts w:ascii="Times New Roman" w:hAnsi="Times New Roman"/>
                <w:b w:val="0"/>
                <w:sz w:val="22"/>
              </w:rPr>
              <w:t>7</w:t>
            </w:r>
          </w:p>
        </w:tc>
      </w:tr>
      <w:tr>
        <w:tc>
          <w:tcPr>
            <w:tcW w:type="dxa" w:w="1754"/>
          </w:tcPr>
          <w:p>
            <w:r/>
            <w:r>
              <w:rPr>
                <w:rFonts w:ascii="Times New Roman" w:hAnsi="Times New Roman"/>
                <w:b/>
                <w:sz w:val="22"/>
              </w:rPr>
              <w:t>Totalt samsvar</w:t>
            </w:r>
          </w:p>
        </w:tc>
        <w:tc>
          <w:tcPr>
            <w:tcW w:type="dxa" w:w="1754"/>
          </w:tcPr>
          <w:p>
            <w:r/>
          </w:p>
        </w:tc>
        <w:tc>
          <w:tcPr>
            <w:tcW w:type="dxa" w:w="1754"/>
          </w:tcPr>
          <w:p>
            <w:r/>
          </w:p>
        </w:tc>
        <w:tc>
          <w:tcPr>
            <w:tcW w:type="dxa" w:w="1754"/>
          </w:tcPr>
          <w:p>
            <w:r/>
          </w:p>
        </w:tc>
        <w:tc>
          <w:tcPr>
            <w:tcW w:type="dxa" w:w="1754"/>
          </w:tcPr>
          <w:p>
            <w:r/>
            <w:r>
              <w:rPr>
                <w:rFonts w:ascii="Times New Roman" w:hAnsi="Times New Roman"/>
                <w:b/>
                <w:sz w:val="22"/>
              </w:rPr>
              <w:t>125 / 375 (33 %)</w:t>
            </w:r>
          </w:p>
        </w:tc>
      </w:tr>
    </w:tbl>
    <w:p>
      <w:pPr>
        <w:pStyle w:val="Overskrift2"/>
      </w:pPr>
      <w:r>
        <w:rPr>
          <w:rFonts w:ascii="Times New Roman" w:hAnsi="Times New Roman"/>
          <w:color w:val="000000"/>
          <w:sz w:val="32"/>
        </w:rPr>
        <w:t>7.3 EOQ-avviksresultater</w:t>
      </w:r>
    </w:p>
    <w:p>
      <w:r>
        <w:rPr>
          <w:rFonts w:ascii="Times New Roman" w:hAnsi="Times New Roman"/>
          <w:b/>
          <w:sz w:val="20"/>
        </w:rPr>
        <w:t>Tabell 11</w:t>
      </w:r>
    </w:p>
    <w:p>
      <w:r>
        <w:rPr>
          <w:rFonts w:ascii="Times New Roman" w:hAnsi="Times New Roman"/>
          <w:i/>
          <w:sz w:val="20"/>
        </w:rPr>
        <w:t>EOQ-avviksresultater: fordeling av artikler etter ordrefrekvensavvik (n = 487)</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EOQ-status</w:t>
            </w:r>
          </w:p>
        </w:tc>
        <w:tc>
          <w:tcPr>
            <w:tcW w:type="dxa" w:w="2192"/>
            <w:tcBorders>
              <w:top w:val="single" w:sz="8" w:space="0" w:color="000000"/>
              <w:bottom w:val="single" w:sz="4" w:space="0" w:color="000000"/>
              <w:left w:val="nil"/>
              <w:right w:val="nil"/>
            </w:tcBorders>
          </w:tcPr>
          <w:p>
            <w:r/>
            <w:r>
              <w:rPr>
                <w:rFonts w:ascii="Times New Roman" w:hAnsi="Times New Roman"/>
                <w:b/>
                <w:sz w:val="22"/>
              </w:rPr>
              <w:t>Betingelse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r>
      <w:tr>
        <w:tc>
          <w:tcPr>
            <w:tcW w:type="dxa" w:w="2192"/>
          </w:tcPr>
          <w:p>
            <w:r/>
            <w:r>
              <w:rPr>
                <w:rFonts w:ascii="Times New Roman" w:hAnsi="Times New Roman"/>
                <w:b w:val="0"/>
                <w:sz w:val="22"/>
              </w:rPr>
              <w:t>FOR_MANGE_ORDRER</w:t>
            </w:r>
          </w:p>
        </w:tc>
        <w:tc>
          <w:tcPr>
            <w:tcW w:type="dxa" w:w="2192"/>
          </w:tcPr>
          <w:p>
            <w:r/>
            <w:r>
              <w:rPr>
                <w:rFonts w:ascii="Times New Roman" w:hAnsi="Times New Roman"/>
                <w:b w:val="0"/>
                <w:sz w:val="22"/>
              </w:rPr>
              <w:t>FREQ_AVVIK &gt; 0,5</w:t>
            </w:r>
          </w:p>
        </w:tc>
        <w:tc>
          <w:tcPr>
            <w:tcW w:type="dxa" w:w="2192"/>
          </w:tcPr>
          <w:p>
            <w:r/>
            <w:r>
              <w:rPr>
                <w:rFonts w:ascii="Times New Roman" w:hAnsi="Times New Roman"/>
                <w:b w:val="0"/>
                <w:sz w:val="22"/>
              </w:rPr>
              <w:t>356</w:t>
            </w:r>
          </w:p>
        </w:tc>
        <w:tc>
          <w:tcPr>
            <w:tcW w:type="dxa" w:w="2192"/>
          </w:tcPr>
          <w:p>
            <w:r/>
            <w:r>
              <w:rPr>
                <w:rFonts w:ascii="Times New Roman" w:hAnsi="Times New Roman"/>
                <w:b w:val="0"/>
                <w:sz w:val="22"/>
              </w:rPr>
              <w:t>73,1 %</w:t>
            </w:r>
          </w:p>
        </w:tc>
      </w:tr>
      <w:tr>
        <w:tc>
          <w:tcPr>
            <w:tcW w:type="dxa" w:w="2192"/>
          </w:tcPr>
          <w:p>
            <w:r/>
            <w:r>
              <w:rPr>
                <w:rFonts w:ascii="Times New Roman" w:hAnsi="Times New Roman"/>
                <w:b w:val="0"/>
                <w:sz w:val="22"/>
              </w:rPr>
              <w:t>OK</w:t>
            </w:r>
          </w:p>
        </w:tc>
        <w:tc>
          <w:tcPr>
            <w:tcW w:type="dxa" w:w="2192"/>
          </w:tcPr>
          <w:p>
            <w:r/>
            <w:r>
              <w:rPr>
                <w:rFonts w:ascii="Times New Roman" w:hAnsi="Times New Roman"/>
                <w:b w:val="0"/>
                <w:sz w:val="22"/>
              </w:rPr>
              <w:t>−0,5 ≤ FREQ_AVVIK ≤ 0,5</w:t>
            </w:r>
          </w:p>
        </w:tc>
        <w:tc>
          <w:tcPr>
            <w:tcW w:type="dxa" w:w="2192"/>
          </w:tcPr>
          <w:p>
            <w:r/>
            <w:r>
              <w:rPr>
                <w:rFonts w:ascii="Times New Roman" w:hAnsi="Times New Roman"/>
                <w:b w:val="0"/>
                <w:sz w:val="22"/>
              </w:rPr>
              <w:t>100</w:t>
            </w:r>
          </w:p>
        </w:tc>
        <w:tc>
          <w:tcPr>
            <w:tcW w:type="dxa" w:w="2192"/>
          </w:tcPr>
          <w:p>
            <w:r/>
            <w:r>
              <w:rPr>
                <w:rFonts w:ascii="Times New Roman" w:hAnsi="Times New Roman"/>
                <w:b w:val="0"/>
                <w:sz w:val="22"/>
              </w:rPr>
              <w:t>20,5 %</w:t>
            </w:r>
          </w:p>
        </w:tc>
      </w:tr>
      <w:tr>
        <w:tc>
          <w:tcPr>
            <w:tcW w:type="dxa" w:w="2192"/>
          </w:tcPr>
          <w:p>
            <w:r/>
            <w:r>
              <w:rPr>
                <w:rFonts w:ascii="Times New Roman" w:hAnsi="Times New Roman"/>
                <w:b w:val="0"/>
                <w:sz w:val="22"/>
              </w:rPr>
              <w:t>FOR_FÅ_ORDRER</w:t>
            </w:r>
          </w:p>
        </w:tc>
        <w:tc>
          <w:tcPr>
            <w:tcW w:type="dxa" w:w="2192"/>
          </w:tcPr>
          <w:p>
            <w:r/>
            <w:r>
              <w:rPr>
                <w:rFonts w:ascii="Times New Roman" w:hAnsi="Times New Roman"/>
                <w:b w:val="0"/>
                <w:sz w:val="22"/>
              </w:rPr>
              <w:t>FREQ_AVVIK &lt; −0,5</w:t>
            </w:r>
          </w:p>
        </w:tc>
        <w:tc>
          <w:tcPr>
            <w:tcW w:type="dxa" w:w="2192"/>
          </w:tcPr>
          <w:p>
            <w:r/>
            <w:r>
              <w:rPr>
                <w:rFonts w:ascii="Times New Roman" w:hAnsi="Times New Roman"/>
                <w:b w:val="0"/>
                <w:sz w:val="22"/>
              </w:rPr>
              <w:t>31</w:t>
            </w:r>
          </w:p>
        </w:tc>
        <w:tc>
          <w:tcPr>
            <w:tcW w:type="dxa" w:w="2192"/>
          </w:tcPr>
          <w:p>
            <w:r/>
            <w:r>
              <w:rPr>
                <w:rFonts w:ascii="Times New Roman" w:hAnsi="Times New Roman"/>
                <w:b w:val="0"/>
                <w:sz w:val="22"/>
              </w:rPr>
              <w:t>6,4 %</w:t>
            </w:r>
          </w:p>
        </w:tc>
      </w:tr>
      <w:tr>
        <w:tc>
          <w:tcPr>
            <w:tcW w:type="dxa" w:w="2192"/>
          </w:tcPr>
          <w:p>
            <w:r/>
            <w:r>
              <w:rPr>
                <w:rFonts w:ascii="Times New Roman" w:hAnsi="Times New Roman"/>
                <w:b/>
                <w:sz w:val="22"/>
              </w:rPr>
              <w:t>Totalt analysert</w:t>
            </w:r>
          </w:p>
        </w:tc>
        <w:tc>
          <w:tcPr>
            <w:tcW w:type="dxa" w:w="2192"/>
          </w:tcPr>
          <w:p>
            <w:r/>
          </w:p>
        </w:tc>
        <w:tc>
          <w:tcPr>
            <w:tcW w:type="dxa" w:w="2192"/>
          </w:tcPr>
          <w:p>
            <w:r/>
            <w:r>
              <w:rPr>
                <w:rFonts w:ascii="Times New Roman" w:hAnsi="Times New Roman"/>
                <w:b/>
                <w:sz w:val="22"/>
              </w:rPr>
              <w:t>487</w:t>
            </w:r>
          </w:p>
        </w:tc>
        <w:tc>
          <w:tcPr>
            <w:tcW w:type="dxa" w:w="2192"/>
          </w:tcPr>
          <w:p>
            <w:r/>
            <w:r>
              <w:rPr>
                <w:rFonts w:ascii="Times New Roman" w:hAnsi="Times New Roman"/>
                <w:b/>
                <w:sz w:val="22"/>
              </w:rPr>
              <w:t>100 %</w:t>
            </w:r>
          </w:p>
        </w:tc>
      </w:tr>
      <w:tr>
        <w:tc>
          <w:tcPr>
            <w:tcW w:type="dxa" w:w="2192"/>
          </w:tcPr>
          <w:p>
            <w:r/>
            <w:r>
              <w:rPr>
                <w:rFonts w:ascii="Times New Roman" w:hAnsi="Times New Roman"/>
                <w:b w:val="0"/>
                <w:sz w:val="22"/>
              </w:rPr>
              <w:t>Samlet ΔTC (alle 487)</w:t>
            </w:r>
          </w:p>
        </w:tc>
        <w:tc>
          <w:tcPr>
            <w:tcW w:type="dxa" w:w="2192"/>
          </w:tcPr>
          <w:p>
            <w:r/>
          </w:p>
        </w:tc>
        <w:tc>
          <w:tcPr>
            <w:tcW w:type="dxa" w:w="2192"/>
          </w:tcPr>
          <w:p>
            <w:r/>
            <w:r>
              <w:rPr>
                <w:rFonts w:ascii="Times New Roman" w:hAnsi="Times New Roman"/>
                <w:b/>
                <w:sz w:val="22"/>
              </w:rPr>
              <w:t>kr 2 333 441 / år</w:t>
            </w:r>
          </w:p>
        </w:tc>
        <w:tc>
          <w:tcPr>
            <w:tcW w:type="dxa" w:w="2192"/>
          </w:tcPr>
          <w:p>
            <w:r/>
          </w:p>
        </w:tc>
      </w:tr>
    </w:tbl>
    <w:p>
      <w:pPr>
        <w:spacing w:line="360" w:lineRule="auto"/>
        <w:jc w:val="both"/>
      </w:pPr>
      <w:r>
        <w:rPr>
          <w:rFonts w:ascii="Times New Roman" w:hAnsi="Times New Roman" w:cs="Times New Roman"/>
          <w:sz w:val="24"/>
        </w:rPr>
        <w:t>Av de 487 artiklene med tilstrekkelig data for EOQ-beregning har 356 artikler (73,1 %) en faktisk ordrefrekvens som overskrider EOQ-optimal frekvens med mer enn 50 % (</w:t>
      </w:r>
      <m:oMath>
        <m:sSub>
          <m:e>
            <m:r>
              <m:t>f</m:t>
            </m:r>
          </m:e>
          <m:sub>
            <m:r>
              <m:rPr>
                <m:nor/>
              </m:rPr>
              <m:t>obs</m:t>
            </m:r>
          </m:sub>
        </m:sSub>
        <m:r>
          <m:t>&gt;1</m:t>
        </m:r>
        <m:r>
          <m:t>,</m:t>
        </m:r>
        <m:r>
          <m:t>5·</m:t>
        </m:r>
        <m:sSup>
          <m:e>
            <m:r>
              <m:t>f</m:t>
            </m:r>
          </m:e>
          <m:sup>
            <m:r>
              <m:t>*</m:t>
            </m:r>
          </m:sup>
        </m:sSup>
      </m:oMath>
      <w:r>
        <w:rPr>
          <w:rFonts w:ascii="Times New Roman" w:hAnsi="Times New Roman" w:cs="Times New Roman"/>
          <w:sz w:val="24"/>
        </w:rPr>
        <w:t xml:space="preserve">), og er klassifisert som FOR\_MANGE\_ORDRER. 100 artikler (20,5 %) opererer innenfor akseptabelt avvik (OK), og 31 artikler (6,4 %) bestiller sjeldnere enn EOQ-optimalt (FOR\_FÅ\_ORDRER). Den høye andelen FOR\_MANGE\_ORDRER indikerer at bestillingspraksisen ved LGORT 3001 avviker vesentlig fra EOQ-optimalt nivå – artiklene bestilles i for små kvanta og for ofte i forhold til hva Wilson-modellen tilsier med de gitte parameterne </w:t>
      </w:r>
      <m:oMath>
        <m:r>
          <m:t>S=750</m:t>
        </m:r>
      </m:oMath>
      <w:r>
        <w:rPr>
          <w:rFonts w:ascii="Times New Roman" w:hAnsi="Times New Roman" w:cs="Times New Roman"/>
          <w:sz w:val="24"/>
        </w:rPr>
        <w:t xml:space="preserve">NOK og </w:t>
      </w:r>
      <m:oMath>
        <m:r>
          <m:t>h=20</m:t>
        </m:r>
      </m:oMath>
      <w:r>
        <w:rPr>
          <w:rFonts w:ascii="Times New Roman" w:hAnsi="Times New Roman" w:cs="Times New Roman"/>
          <w:sz w:val="24"/>
        </w:rPr>
        <w:t>.</w:t>
      </w:r>
    </w:p>
    <w:p>
      <w:pPr>
        <w:spacing w:line="360" w:lineRule="auto"/>
        <w:jc w:val="both"/>
      </w:pPr>
      <w:r>
        <w:rPr>
          <w:rFonts w:ascii="Times New Roman" w:hAnsi="Times New Roman" w:cs="Times New Roman"/>
          <w:sz w:val="24"/>
        </w:rPr>
        <w:t xml:space="preserve">Det samlede teoretiske totalkostnadsavviket </w:t>
      </w:r>
      <m:oMath>
        <m:r>
          <m:t>∑ΔT</m:t>
        </m:r>
        <m:sSub>
          <m:e>
            <m:r>
              <m:t>C</m:t>
            </m:r>
          </m:e>
          <m:sub>
            <m:r>
              <m:t>i</m:t>
            </m:r>
          </m:sub>
        </m:sSub>
      </m:oMath>
      <w:r>
        <w:rPr>
          <w:rFonts w:ascii="Times New Roman" w:hAnsi="Times New Roman" w:cs="Times New Roman"/>
          <w:sz w:val="24"/>
        </w:rPr>
        <w:t xml:space="preserve"> for alle 487 artikler er kr 2 333 441 per år. Dette representerer det totale kostnadsoverskuddet som genereres av at faktisk ordrepraksis avviker fra EOQ-optimal; det er ikke direkte det samme som det realiserbare besparelsespotensialet, da kun artikler i OVERFØR\_HVFS-kategorien inngår i besparelsesberegningen (se avsnitt 7.6). Fordelingen av FREQ\_AVVIK er illustrert i Figur 8 i kapittel 6.</w:t>
      </w:r>
    </w:p>
    <w:p>
      <w:pPr>
        <w:pStyle w:val="Overskrift2"/>
      </w:pPr>
      <w:r>
        <w:rPr>
          <w:rFonts w:ascii="Times New Roman" w:hAnsi="Times New Roman"/>
          <w:color w:val="000000"/>
          <w:sz w:val="32"/>
        </w:rPr>
        <w:t>7.4 K-means klyngeresultater</w:t>
      </w:r>
    </w:p>
    <w:p>
      <w:pPr>
        <w:spacing w:line="360" w:lineRule="auto"/>
        <w:jc w:val="both"/>
      </w:pPr>
      <w:r>
        <w:rPr>
          <w:rFonts w:ascii="Times New Roman" w:hAnsi="Times New Roman" w:cs="Times New Roman"/>
          <w:sz w:val="24"/>
        </w:rPr>
        <w:t xml:space="preserve">K-means-analysen med automatisk K-valg via silhouette-score identifiserte </w:t>
      </w:r>
      <m:oMath>
        <m:r>
          <m:t>K=3</m:t>
        </m:r>
      </m:oMath>
      <w:r>
        <w:rPr>
          <w:rFonts w:ascii="Times New Roman" w:hAnsi="Times New Roman" w:cs="Times New Roman"/>
          <w:sz w:val="24"/>
        </w:rPr>
        <w:t xml:space="preserve"> som optimalt antall klynger. Silhouette-score på treningsdataene (</w:t>
      </w:r>
      <m:oMath>
        <m:r>
          <m:t>n=389</m:t>
        </m:r>
      </m:oMath>
      <w:r>
        <w:rPr>
          <w:rFonts w:ascii="Times New Roman" w:hAnsi="Times New Roman" w:cs="Times New Roman"/>
          <w:sz w:val="24"/>
        </w:rPr>
        <w:t>) var 0,383, og på testdataene (</w:t>
      </w:r>
      <m:oMath>
        <m:r>
          <m:t>n=98</m:t>
        </m:r>
      </m:oMath>
      <w:r>
        <w:rPr>
          <w:rFonts w:ascii="Times New Roman" w:hAnsi="Times New Roman" w:cs="Times New Roman"/>
          <w:sz w:val="24"/>
        </w:rPr>
        <w:t>) var 0,368. Differansen mellom trenings- og testresultat er 0,015, noe som indikerer at klyngestrukturen er stabil og generaliserer til usett data. Klyngeprofiler er presentert i Tabell 12.</w:t>
      </w:r>
    </w:p>
    <w:p>
      <w:r>
        <w:rPr>
          <w:rFonts w:ascii="Times New Roman" w:hAnsi="Times New Roman"/>
          <w:b/>
          <w:sz w:val="20"/>
        </w:rPr>
        <w:t>Tabell 12</w:t>
      </w:r>
    </w:p>
    <w:p>
      <w:r>
        <w:rPr>
          <w:rFonts w:ascii="Times New Roman" w:hAnsi="Times New Roman"/>
          <w:i/>
          <w:sz w:val="20"/>
        </w:rPr>
        <w:t>K-means klyngeprofiler: gjennomsnittsverdier per klynge for de tre featurene (K = 3, n = 487)</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461"/>
        <w:gridCol w:w="1461"/>
        <w:gridCol w:w="1461"/>
        <w:gridCol w:w="1461"/>
        <w:gridCol w:w="1461"/>
        <w:gridCol w:w="1461"/>
      </w:tblGrid>
      <w:tr>
        <w:tc>
          <w:tcPr>
            <w:tcW w:type="dxa" w:w="1461"/>
            <w:tcBorders>
              <w:top w:val="single" w:sz="8" w:space="0" w:color="000000"/>
              <w:bottom w:val="single" w:sz="4" w:space="0" w:color="000000"/>
              <w:left w:val="nil"/>
              <w:right w:val="nil"/>
            </w:tcBorders>
          </w:tcPr>
          <w:p>
            <w:r/>
            <w:r>
              <w:rPr>
                <w:rFonts w:ascii="Times New Roman" w:hAnsi="Times New Roman"/>
                <w:b/>
                <w:sz w:val="22"/>
              </w:rPr>
              <w:t>Klynge</w:t>
            </w:r>
          </w:p>
        </w:tc>
        <w:tc>
          <w:tcPr>
            <w:tcW w:type="dxa" w:w="1461"/>
            <w:tcBorders>
              <w:top w:val="single" w:sz="8" w:space="0" w:color="000000"/>
              <w:bottom w:val="single" w:sz="4" w:space="0" w:color="000000"/>
              <w:left w:val="nil"/>
              <w:right w:val="nil"/>
            </w:tcBorders>
          </w:tcPr>
          <w:p>
            <w:r/>
            <w:r>
              <w:rPr>
                <w:rFonts w:ascii="Times New Roman" w:hAnsi="Times New Roman"/>
                <w:b/>
                <w:sz w:val="22"/>
              </w:rPr>
              <w:t>Antall</w:t>
            </w:r>
          </w:p>
        </w:tc>
        <w:tc>
          <w:tcPr>
            <w:tcW w:type="dxa" w:w="1461"/>
            <w:tcBorders>
              <w:top w:val="single" w:sz="8" w:space="0" w:color="000000"/>
              <w:bottom w:val="single" w:sz="4" w:space="0" w:color="000000"/>
              <w:left w:val="nil"/>
              <w:right w:val="nil"/>
            </w:tcBorders>
          </w:tcPr>
          <w:p>
            <w:r/>
            <w:r>
              <w:rPr>
                <w:rFonts w:ascii="Times New Roman" w:hAnsi="Times New Roman"/>
                <w:b/>
                <w:sz w:val="22"/>
              </w:rPr>
              <w:t>CV snitt</w:t>
            </w:r>
          </w:p>
        </w:tc>
        <w:tc>
          <w:tcPr>
            <w:tcW w:type="dxa" w:w="1461"/>
            <w:tcBorders>
              <w:top w:val="single" w:sz="8" w:space="0" w:color="000000"/>
              <w:bottom w:val="single" w:sz="4" w:space="0" w:color="000000"/>
              <w:left w:val="nil"/>
              <w:right w:val="nil"/>
            </w:tcBorders>
          </w:tcPr>
          <w:p>
            <w:r/>
            <w:r>
              <w:rPr>
                <w:rFonts w:ascii="Times New Roman" w:hAnsi="Times New Roman"/>
                <w:b/>
                <w:sz w:val="22"/>
              </w:rPr>
              <w:t>Verdi snitt (kr)</w:t>
            </w:r>
          </w:p>
        </w:tc>
        <w:tc>
          <w:tcPr>
            <w:tcW w:type="dxa" w:w="1461"/>
            <w:tcBorders>
              <w:top w:val="single" w:sz="8" w:space="0" w:color="000000"/>
              <w:bottom w:val="single" w:sz="4" w:space="0" w:color="000000"/>
              <w:left w:val="nil"/>
              <w:right w:val="nil"/>
            </w:tcBorders>
          </w:tcPr>
          <w:p>
            <w:r/>
            <w:r>
              <w:rPr>
                <w:rFonts w:ascii="Times New Roman" w:hAnsi="Times New Roman"/>
                <w:b/>
                <w:sz w:val="22"/>
              </w:rPr>
              <w:t>ΔTC snitt (kr)</w:t>
            </w:r>
          </w:p>
        </w:tc>
        <w:tc>
          <w:tcPr>
            <w:tcW w:type="dxa" w:w="1461"/>
            <w:tcBorders>
              <w:top w:val="single" w:sz="8" w:space="0" w:color="000000"/>
              <w:bottom w:val="single" w:sz="4" w:space="0" w:color="000000"/>
              <w:left w:val="nil"/>
              <w:right w:val="nil"/>
            </w:tcBorders>
          </w:tcPr>
          <w:p>
            <w:r/>
            <w:r>
              <w:rPr>
                <w:rFonts w:ascii="Times New Roman" w:hAnsi="Times New Roman"/>
                <w:b/>
                <w:sz w:val="22"/>
              </w:rPr>
              <w:t>Profil</w:t>
            </w:r>
          </w:p>
        </w:tc>
      </w:tr>
      <w:tr>
        <w:tc>
          <w:tcPr>
            <w:tcW w:type="dxa" w:w="1461"/>
          </w:tcPr>
          <w:p>
            <w:r/>
            <w:r>
              <w:rPr>
                <w:rFonts w:ascii="Times New Roman" w:hAnsi="Times New Roman"/>
                <w:b w:val="0"/>
                <w:sz w:val="22"/>
              </w:rPr>
              <w:t>1</w:t>
            </w:r>
          </w:p>
        </w:tc>
        <w:tc>
          <w:tcPr>
            <w:tcW w:type="dxa" w:w="1461"/>
          </w:tcPr>
          <w:p>
            <w:r/>
            <w:r>
              <w:rPr>
                <w:rFonts w:ascii="Times New Roman" w:hAnsi="Times New Roman"/>
                <w:b w:val="0"/>
                <w:sz w:val="22"/>
              </w:rPr>
              <w:t>31</w:t>
            </w:r>
          </w:p>
        </w:tc>
        <w:tc>
          <w:tcPr>
            <w:tcW w:type="dxa" w:w="1461"/>
          </w:tcPr>
          <w:p>
            <w:r/>
            <w:r>
              <w:rPr>
                <w:rFonts w:ascii="Times New Roman" w:hAnsi="Times New Roman"/>
                <w:b w:val="0"/>
                <w:sz w:val="22"/>
              </w:rPr>
              <w:t>1,05</w:t>
            </w:r>
          </w:p>
        </w:tc>
        <w:tc>
          <w:tcPr>
            <w:tcW w:type="dxa" w:w="1461"/>
          </w:tcPr>
          <w:p>
            <w:r/>
            <w:r>
              <w:rPr>
                <w:rFonts w:ascii="Times New Roman" w:hAnsi="Times New Roman"/>
                <w:b w:val="0"/>
                <w:sz w:val="22"/>
              </w:rPr>
              <w:t>150</w:t>
            </w:r>
          </w:p>
        </w:tc>
        <w:tc>
          <w:tcPr>
            <w:tcW w:type="dxa" w:w="1461"/>
          </w:tcPr>
          <w:p>
            <w:r/>
            <w:r>
              <w:rPr>
                <w:rFonts w:ascii="Times New Roman" w:hAnsi="Times New Roman"/>
                <w:b w:val="0"/>
                <w:sz w:val="22"/>
              </w:rPr>
              <w:t>4 999</w:t>
            </w:r>
          </w:p>
        </w:tc>
        <w:tc>
          <w:tcPr>
            <w:tcW w:type="dxa" w:w="1461"/>
          </w:tcPr>
          <w:p>
            <w:r/>
            <w:r>
              <w:rPr>
                <w:rFonts w:ascii="Times New Roman" w:hAnsi="Times New Roman"/>
                <w:b w:val="0"/>
                <w:sz w:val="22"/>
              </w:rPr>
              <w:t>Lav verdi, høy variasjon</w:t>
            </w:r>
          </w:p>
        </w:tc>
      </w:tr>
      <w:tr>
        <w:tc>
          <w:tcPr>
            <w:tcW w:type="dxa" w:w="1461"/>
          </w:tcPr>
          <w:p>
            <w:r/>
            <w:r>
              <w:rPr>
                <w:rFonts w:ascii="Times New Roman" w:hAnsi="Times New Roman"/>
                <w:b w:val="0"/>
                <w:sz w:val="22"/>
              </w:rPr>
              <w:t>2</w:t>
            </w:r>
          </w:p>
        </w:tc>
        <w:tc>
          <w:tcPr>
            <w:tcW w:type="dxa" w:w="1461"/>
          </w:tcPr>
          <w:p>
            <w:r/>
            <w:r>
              <w:rPr>
                <w:rFonts w:ascii="Times New Roman" w:hAnsi="Times New Roman"/>
                <w:b w:val="0"/>
                <w:sz w:val="22"/>
              </w:rPr>
              <w:t>175</w:t>
            </w:r>
          </w:p>
        </w:tc>
        <w:tc>
          <w:tcPr>
            <w:tcW w:type="dxa" w:w="1461"/>
          </w:tcPr>
          <w:p>
            <w:r/>
            <w:r>
              <w:rPr>
                <w:rFonts w:ascii="Times New Roman" w:hAnsi="Times New Roman"/>
                <w:b w:val="0"/>
                <w:sz w:val="22"/>
              </w:rPr>
              <w:t>1,59</w:t>
            </w:r>
          </w:p>
        </w:tc>
        <w:tc>
          <w:tcPr>
            <w:tcW w:type="dxa" w:w="1461"/>
          </w:tcPr>
          <w:p>
            <w:r/>
            <w:r>
              <w:rPr>
                <w:rFonts w:ascii="Times New Roman" w:hAnsi="Times New Roman"/>
                <w:b w:val="0"/>
                <w:sz w:val="22"/>
              </w:rPr>
              <w:t>79 658</w:t>
            </w:r>
          </w:p>
        </w:tc>
        <w:tc>
          <w:tcPr>
            <w:tcW w:type="dxa" w:w="1461"/>
          </w:tcPr>
          <w:p>
            <w:r/>
            <w:r>
              <w:rPr>
                <w:rFonts w:ascii="Times New Roman" w:hAnsi="Times New Roman"/>
                <w:b w:val="0"/>
                <w:sz w:val="22"/>
              </w:rPr>
              <w:t>1 199</w:t>
            </w:r>
          </w:p>
        </w:tc>
        <w:tc>
          <w:tcPr>
            <w:tcW w:type="dxa" w:w="1461"/>
          </w:tcPr>
          <w:p>
            <w:r/>
            <w:r>
              <w:rPr>
                <w:rFonts w:ascii="Times New Roman" w:hAnsi="Times New Roman"/>
                <w:b w:val="0"/>
                <w:sz w:val="22"/>
              </w:rPr>
              <w:t>Middels verdi, svært variabelt</w:t>
            </w:r>
          </w:p>
        </w:tc>
      </w:tr>
      <w:tr>
        <w:tc>
          <w:tcPr>
            <w:tcW w:type="dxa" w:w="1461"/>
          </w:tcPr>
          <w:p>
            <w:r/>
            <w:r>
              <w:rPr>
                <w:rFonts w:ascii="Times New Roman" w:hAnsi="Times New Roman"/>
                <w:b w:val="0"/>
                <w:sz w:val="22"/>
              </w:rPr>
              <w:t>3 (K_OVERFØR)</w:t>
            </w:r>
          </w:p>
        </w:tc>
        <w:tc>
          <w:tcPr>
            <w:tcW w:type="dxa" w:w="1461"/>
          </w:tcPr>
          <w:p>
            <w:r/>
            <w:r>
              <w:rPr>
                <w:rFonts w:ascii="Times New Roman" w:hAnsi="Times New Roman"/>
                <w:b w:val="0"/>
                <w:sz w:val="22"/>
              </w:rPr>
              <w:t>281</w:t>
            </w:r>
          </w:p>
        </w:tc>
        <w:tc>
          <w:tcPr>
            <w:tcW w:type="dxa" w:w="1461"/>
          </w:tcPr>
          <w:p>
            <w:r/>
            <w:r>
              <w:rPr>
                <w:rFonts w:ascii="Times New Roman" w:hAnsi="Times New Roman"/>
                <w:b w:val="0"/>
                <w:sz w:val="22"/>
              </w:rPr>
              <w:t>0,47</w:t>
            </w:r>
          </w:p>
        </w:tc>
        <w:tc>
          <w:tcPr>
            <w:tcW w:type="dxa" w:w="1461"/>
          </w:tcPr>
          <w:p>
            <w:r/>
            <w:r>
              <w:rPr>
                <w:rFonts w:ascii="Times New Roman" w:hAnsi="Times New Roman"/>
                <w:b w:val="0"/>
                <w:sz w:val="22"/>
              </w:rPr>
              <w:t>167 267</w:t>
            </w:r>
          </w:p>
        </w:tc>
        <w:tc>
          <w:tcPr>
            <w:tcW w:type="dxa" w:w="1461"/>
          </w:tcPr>
          <w:p>
            <w:r/>
            <w:r>
              <w:rPr>
                <w:rFonts w:ascii="Times New Roman" w:hAnsi="Times New Roman"/>
                <w:b w:val="0"/>
                <w:sz w:val="22"/>
              </w:rPr>
              <w:t>7 005</w:t>
            </w:r>
          </w:p>
        </w:tc>
        <w:tc>
          <w:tcPr>
            <w:tcW w:type="dxa" w:w="1461"/>
          </w:tcPr>
          <w:p>
            <w:r/>
            <w:r>
              <w:rPr>
                <w:rFonts w:ascii="Times New Roman" w:hAnsi="Times New Roman"/>
                <w:b w:val="0"/>
                <w:sz w:val="22"/>
              </w:rPr>
              <w:t>Høy verdi, stabilt, høyt avvik</w:t>
            </w:r>
          </w:p>
        </w:tc>
      </w:tr>
    </w:tbl>
    <w:p>
      <w:pPr>
        <w:spacing w:line="360" w:lineRule="auto"/>
        <w:jc w:val="both"/>
      </w:pPr>
      <w:r>
        <w:rPr>
          <w:rFonts w:ascii="Times New Roman" w:hAnsi="Times New Roman" w:cs="Times New Roman"/>
          <w:sz w:val="24"/>
        </w:rPr>
        <w:t>Klynge 1 (31 artikler) representerer en liten gruppe med gjennomsnittlig CV = 1,05 (Z-nivå), lav årsverdi (kr 150) og moderat kostnadsavvik (kr 4 999). Disse artiklene har uregelmessig forbruk og lav verdi – en profil som tilsier lokal lagring. Klynge 2 (175 artikler) har gjennomsnittlig CV = 1,59 (svært variabelt), middels årsverdi (kr 79 658) og lavt kostnadsavvik (kr 1 199). Den høye CV-en gjør disse artiklene uegnet for sentralisering til tross for middels verdi.</w:t>
      </w:r>
    </w:p>
    <w:p>
      <w:pPr>
        <w:spacing w:line="360" w:lineRule="auto"/>
        <w:jc w:val="both"/>
      </w:pPr>
      <w:r>
        <w:rPr>
          <w:rFonts w:ascii="Times New Roman" w:hAnsi="Times New Roman" w:cs="Times New Roman"/>
          <w:sz w:val="24"/>
        </w:rPr>
        <w:t xml:space="preserve">K\_OVERFØR-klyngen (klynge 3, 281 artikler) kjennetegnes av gjennomsnittlig CV = 0,47 (under X-grensen på 0,5), gjennomsnittlig årsverdi kr 167 267 og gjennomsnittlig </w:t>
      </w:r>
      <m:oMath>
        <m:d>
          <m:dPr>
            <m:begChr m:val="|"/>
            <m:sepChr m:val=""/>
            <m:endChr m:val="|"/>
          </m:dPr>
          <m:e>
            <m:r>
              <m:t>Δ</m:t>
            </m:r>
            <m:r>
              <m:t>T</m:t>
            </m:r>
            <m:r>
              <m:t>C</m:t>
            </m:r>
          </m:e>
        </m:d>
      </m:oMath>
      <w:r>
        <w:rPr>
          <w:rFonts w:ascii="Times New Roman" w:hAnsi="Times New Roman" w:cs="Times New Roman"/>
          <w:sz w:val="24"/>
        </w:rPr>
        <w:t xml:space="preserve"> kr 7 005 – den høyeste av alle tre klynger. Profilen viser at denne klyngen samler artikler som er verdifulle, stabile og overbestilte, noe som gjør dem til naturlige kandidater for sentralisering. K\_OVERFØR-flagget settes automatisk basert på rangering av klyngenes gjennomsnittlige CV (stigende) og verdi (synkende). Klyngeprofilen i featurerommet er visualisert i Figur 10 i kapittel 6.</w:t>
      </w:r>
    </w:p>
    <w:p>
      <w:pPr>
        <w:pStyle w:val="Overskrift2"/>
      </w:pPr>
      <w:r>
        <w:rPr>
          <w:rFonts w:ascii="Times New Roman" w:hAnsi="Times New Roman"/>
          <w:color w:val="000000"/>
          <w:sz w:val="32"/>
        </w:rPr>
        <w:t>7.5 Regelmotor og HVFS-anbefalinger</w:t>
      </w:r>
    </w:p>
    <w:p>
      <w:pPr>
        <w:spacing w:line="360" w:lineRule="auto"/>
        <w:jc w:val="both"/>
      </w:pPr>
      <w:r>
        <w:rPr>
          <w:rFonts w:ascii="Times New Roman" w:hAnsi="Times New Roman" w:cs="Times New Roman"/>
          <w:sz w:val="24"/>
        </w:rPr>
        <w:t>Regelmotoren produserte en anbefaling for samtlige 709 artikler. Fordelingen per anbefalingskategori er presentert i Tabell 13, og fordelingen per regel R1–R8 i Tabell 14.</w:t>
      </w:r>
    </w:p>
    <w:p>
      <w:r>
        <w:rPr>
          <w:rFonts w:ascii="Times New Roman" w:hAnsi="Times New Roman"/>
          <w:b/>
          <w:sz w:val="20"/>
        </w:rPr>
        <w:t>Tabell 13</w:t>
      </w:r>
    </w:p>
    <w:p>
      <w:r>
        <w:rPr>
          <w:rFonts w:ascii="Times New Roman" w:hAnsi="Times New Roman"/>
          <w:i/>
          <w:sz w:val="20"/>
        </w:rPr>
        <w:t>HVFS-anbefalinger fra regelmotor: fordeling per kategori (n = 709, LGORT 3001)</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Kategori</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c>
          <w:tcPr>
            <w:tcW w:type="dxa" w:w="2192"/>
            <w:tcBorders>
              <w:top w:val="single" w:sz="8" w:space="0" w:color="000000"/>
              <w:bottom w:val="single" w:sz="4" w:space="0" w:color="000000"/>
              <w:left w:val="nil"/>
              <w:right w:val="nil"/>
            </w:tcBorders>
          </w:tcPr>
          <w:p>
            <w:r/>
            <w:r>
              <w:rPr>
                <w:rFonts w:ascii="Times New Roman" w:hAnsi="Times New Roman"/>
                <w:b/>
                <w:sz w:val="22"/>
              </w:rPr>
              <w:t>Beskrivelse</w:t>
            </w:r>
          </w:p>
        </w:tc>
      </w:tr>
      <w:tr>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145</w:t>
            </w:r>
          </w:p>
        </w:tc>
        <w:tc>
          <w:tcPr>
            <w:tcW w:type="dxa" w:w="2192"/>
          </w:tcPr>
          <w:p>
            <w:r/>
            <w:r>
              <w:rPr>
                <w:rFonts w:ascii="Times New Roman" w:hAnsi="Times New Roman"/>
                <w:b w:val="0"/>
                <w:sz w:val="22"/>
              </w:rPr>
              <w:t>20,5 %</w:t>
            </w:r>
          </w:p>
        </w:tc>
        <w:tc>
          <w:tcPr>
            <w:tcW w:type="dxa" w:w="2192"/>
          </w:tcPr>
          <w:p>
            <w:r/>
            <w:r>
              <w:rPr>
                <w:rFonts w:ascii="Times New Roman" w:hAnsi="Times New Roman"/>
                <w:b w:val="0"/>
                <w:sz w:val="22"/>
              </w:rPr>
              <w:t>Anbefales overført til HVFS</w:t>
            </w:r>
          </w:p>
        </w:tc>
      </w:tr>
      <w:tr>
        <w:tc>
          <w:tcPr>
            <w:tcW w:type="dxa" w:w="2192"/>
          </w:tcPr>
          <w:p>
            <w:r/>
            <w:r>
              <w:rPr>
                <w:rFonts w:ascii="Times New Roman" w:hAnsi="Times New Roman"/>
                <w:b w:val="0"/>
                <w:sz w:val="22"/>
              </w:rPr>
              <w:t>BEHOLD_LOKALT</w:t>
            </w:r>
          </w:p>
        </w:tc>
        <w:tc>
          <w:tcPr>
            <w:tcW w:type="dxa" w:w="2192"/>
          </w:tcPr>
          <w:p>
            <w:r/>
            <w:r>
              <w:rPr>
                <w:rFonts w:ascii="Times New Roman" w:hAnsi="Times New Roman"/>
                <w:b w:val="0"/>
                <w:sz w:val="22"/>
              </w:rPr>
              <w:t>257</w:t>
            </w:r>
          </w:p>
        </w:tc>
        <w:tc>
          <w:tcPr>
            <w:tcW w:type="dxa" w:w="2192"/>
          </w:tcPr>
          <w:p>
            <w:r/>
            <w:r>
              <w:rPr>
                <w:rFonts w:ascii="Times New Roman" w:hAnsi="Times New Roman"/>
                <w:b w:val="0"/>
                <w:sz w:val="22"/>
              </w:rPr>
              <w:t>36,2 %</w:t>
            </w:r>
          </w:p>
        </w:tc>
        <w:tc>
          <w:tcPr>
            <w:tcW w:type="dxa" w:w="2192"/>
          </w:tcPr>
          <w:p>
            <w:r/>
            <w:r>
              <w:rPr>
                <w:rFonts w:ascii="Times New Roman" w:hAnsi="Times New Roman"/>
                <w:b w:val="0"/>
                <w:sz w:val="22"/>
              </w:rPr>
              <w:t>Beholdes lokalt (Z-klasse eller CY)</w:t>
            </w:r>
          </w:p>
        </w:tc>
      </w:tr>
      <w:tr>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284</w:t>
            </w:r>
          </w:p>
        </w:tc>
        <w:tc>
          <w:tcPr>
            <w:tcW w:type="dxa" w:w="2192"/>
          </w:tcPr>
          <w:p>
            <w:r/>
            <w:r>
              <w:rPr>
                <w:rFonts w:ascii="Times New Roman" w:hAnsi="Times New Roman"/>
                <w:b w:val="0"/>
                <w:sz w:val="22"/>
              </w:rPr>
              <w:t>40,1 %</w:t>
            </w:r>
          </w:p>
        </w:tc>
        <w:tc>
          <w:tcPr>
            <w:tcW w:type="dxa" w:w="2192"/>
          </w:tcPr>
          <w:p>
            <w:r/>
            <w:r>
              <w:rPr>
                <w:rFonts w:ascii="Times New Roman" w:hAnsi="Times New Roman"/>
                <w:b w:val="0"/>
                <w:sz w:val="22"/>
              </w:rPr>
              <w:t>Krever manuell vurdering</w:t>
            </w:r>
          </w:p>
        </w:tc>
      </w:tr>
      <w:tr>
        <w:tc>
          <w:tcPr>
            <w:tcW w:type="dxa" w:w="2192"/>
          </w:tcPr>
          <w:p>
            <w:r/>
            <w:r>
              <w:rPr>
                <w:rFonts w:ascii="Times New Roman" w:hAnsi="Times New Roman"/>
                <w:b w:val="0"/>
                <w:sz w:val="22"/>
              </w:rPr>
              <w:t>MANGLER_DATA</w:t>
            </w:r>
          </w:p>
        </w:tc>
        <w:tc>
          <w:tcPr>
            <w:tcW w:type="dxa" w:w="2192"/>
          </w:tcPr>
          <w:p>
            <w:r/>
            <w:r>
              <w:rPr>
                <w:rFonts w:ascii="Times New Roman" w:hAnsi="Times New Roman"/>
                <w:b w:val="0"/>
                <w:sz w:val="22"/>
              </w:rPr>
              <w:t>23</w:t>
            </w:r>
          </w:p>
        </w:tc>
        <w:tc>
          <w:tcPr>
            <w:tcW w:type="dxa" w:w="2192"/>
          </w:tcPr>
          <w:p>
            <w:r/>
            <w:r>
              <w:rPr>
                <w:rFonts w:ascii="Times New Roman" w:hAnsi="Times New Roman"/>
                <w:b w:val="0"/>
                <w:sz w:val="22"/>
              </w:rPr>
              <w:t>3,2 %</w:t>
            </w:r>
          </w:p>
        </w:tc>
        <w:tc>
          <w:tcPr>
            <w:tcW w:type="dxa" w:w="2192"/>
          </w:tcPr>
          <w:p>
            <w:r/>
            <w:r>
              <w:rPr>
                <w:rFonts w:ascii="Times New Roman" w:hAnsi="Times New Roman"/>
                <w:b w:val="0"/>
                <w:sz w:val="22"/>
              </w:rPr>
              <w:t>Utilstrekkelig data for klassifisering</w:t>
            </w:r>
          </w:p>
        </w:tc>
      </w:tr>
      <w:tr>
        <w:tc>
          <w:tcPr>
            <w:tcW w:type="dxa" w:w="2192"/>
          </w:tcPr>
          <w:p>
            <w:r/>
            <w:r>
              <w:rPr>
                <w:rFonts w:ascii="Times New Roman" w:hAnsi="Times New Roman"/>
                <w:b/>
                <w:sz w:val="22"/>
              </w:rPr>
              <w:t>Totalt</w:t>
            </w:r>
          </w:p>
        </w:tc>
        <w:tc>
          <w:tcPr>
            <w:tcW w:type="dxa" w:w="2192"/>
          </w:tcPr>
          <w:p>
            <w:r/>
            <w:r>
              <w:rPr>
                <w:rFonts w:ascii="Times New Roman" w:hAnsi="Times New Roman"/>
                <w:b/>
                <w:sz w:val="22"/>
              </w:rPr>
              <w:t>709</w:t>
            </w:r>
          </w:p>
        </w:tc>
        <w:tc>
          <w:tcPr>
            <w:tcW w:type="dxa" w:w="2192"/>
          </w:tcPr>
          <w:p>
            <w:r/>
            <w:r>
              <w:rPr>
                <w:rFonts w:ascii="Times New Roman" w:hAnsi="Times New Roman"/>
                <w:b/>
                <w:sz w:val="22"/>
              </w:rPr>
              <w:t>100 %</w:t>
            </w:r>
          </w:p>
        </w:tc>
        <w:tc>
          <w:tcPr>
            <w:tcW w:type="dxa" w:w="2192"/>
          </w:tcPr>
          <w:p>
            <w:r/>
          </w:p>
        </w:tc>
      </w:tr>
    </w:tbl>
    <w:p>
      <w:r>
        <w:rPr>
          <w:rFonts w:ascii="Times New Roman" w:hAnsi="Times New Roman"/>
          <w:b/>
          <w:sz w:val="20"/>
        </w:rPr>
        <w:t>Tabell 14</w:t>
      </w:r>
    </w:p>
    <w:p>
      <w:r>
        <w:rPr>
          <w:rFonts w:ascii="Times New Roman" w:hAnsi="Times New Roman"/>
          <w:i/>
          <w:sz w:val="20"/>
        </w:rPr>
        <w:t>Regelmotor R1–R8: antall artikler per regel (n = 709)</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r>
              <w:rPr>
                <w:rFonts w:ascii="Times New Roman" w:hAnsi="Times New Roman"/>
                <w:b/>
                <w:sz w:val="22"/>
              </w:rPr>
              <w:t>Regel</w:t>
            </w:r>
          </w:p>
        </w:tc>
        <w:tc>
          <w:tcPr>
            <w:tcW w:type="dxa" w:w="1754"/>
            <w:tcBorders>
              <w:top w:val="single" w:sz="8" w:space="0" w:color="000000"/>
              <w:bottom w:val="single" w:sz="4" w:space="0" w:color="000000"/>
              <w:left w:val="nil"/>
              <w:right w:val="nil"/>
            </w:tcBorders>
          </w:tcPr>
          <w:p>
            <w:r/>
            <w:r>
              <w:rPr>
                <w:rFonts w:ascii="Times New Roman" w:hAnsi="Times New Roman"/>
                <w:b/>
                <w:sz w:val="22"/>
              </w:rPr>
              <w:t>Betingelse</w:t>
            </w:r>
          </w:p>
        </w:tc>
        <w:tc>
          <w:tcPr>
            <w:tcW w:type="dxa" w:w="1754"/>
            <w:tcBorders>
              <w:top w:val="single" w:sz="8" w:space="0" w:color="000000"/>
              <w:bottom w:val="single" w:sz="4" w:space="0" w:color="000000"/>
              <w:left w:val="nil"/>
              <w:right w:val="nil"/>
            </w:tcBorders>
          </w:tcPr>
          <w:p>
            <w:r/>
            <w:r>
              <w:rPr>
                <w:rFonts w:ascii="Times New Roman" w:hAnsi="Times New Roman"/>
                <w:b/>
                <w:sz w:val="22"/>
              </w:rPr>
              <w:t>Anbefaling</w:t>
            </w:r>
          </w:p>
        </w:tc>
        <w:tc>
          <w:tcPr>
            <w:tcW w:type="dxa" w:w="1754"/>
            <w:tcBorders>
              <w:top w:val="single" w:sz="8" w:space="0" w:color="000000"/>
              <w:bottom w:val="single" w:sz="4" w:space="0" w:color="000000"/>
              <w:left w:val="nil"/>
              <w:right w:val="nil"/>
            </w:tcBorders>
          </w:tcPr>
          <w:p>
            <w:r/>
            <w:r>
              <w:rPr>
                <w:rFonts w:ascii="Times New Roman" w:hAnsi="Times New Roman"/>
                <w:b/>
                <w:sz w:val="22"/>
              </w:rPr>
              <w:t>Antall</w:t>
            </w:r>
          </w:p>
        </w:tc>
        <w:tc>
          <w:tcPr>
            <w:tcW w:type="dxa" w:w="1754"/>
            <w:tcBorders>
              <w:top w:val="single" w:sz="8" w:space="0" w:color="000000"/>
              <w:bottom w:val="single" w:sz="4" w:space="0" w:color="000000"/>
              <w:left w:val="nil"/>
              <w:right w:val="nil"/>
            </w:tcBorders>
          </w:tcPr>
          <w:p>
            <w:r/>
            <w:r>
              <w:rPr>
                <w:rFonts w:ascii="Times New Roman" w:hAnsi="Times New Roman"/>
                <w:b/>
                <w:sz w:val="22"/>
              </w:rPr>
              <w:t>Andel</w:t>
            </w:r>
          </w:p>
        </w:tc>
      </w:tr>
      <w:tr>
        <w:tc>
          <w:tcPr>
            <w:tcW w:type="dxa" w:w="1754"/>
          </w:tcPr>
          <w:p>
            <w:r/>
            <w:r>
              <w:rPr>
                <w:rFonts w:ascii="Times New Roman" w:hAnsi="Times New Roman"/>
                <w:b w:val="0"/>
                <w:sz w:val="22"/>
              </w:rPr>
              <w:t>R1</w:t>
            </w:r>
          </w:p>
        </w:tc>
        <w:tc>
          <w:tcPr>
            <w:tcW w:type="dxa" w:w="1754"/>
          </w:tcPr>
          <w:p>
            <w:r/>
            <w:r>
              <w:rPr>
                <w:rFonts w:ascii="Times New Roman" w:hAnsi="Times New Roman"/>
                <w:b w:val="0"/>
                <w:sz w:val="22"/>
              </w:rPr>
              <w:t>XYZ = Z</w:t>
            </w:r>
          </w:p>
        </w:tc>
        <w:tc>
          <w:tcPr>
            <w:tcW w:type="dxa" w:w="1754"/>
          </w:tcPr>
          <w:p>
            <w:r/>
            <w:r>
              <w:rPr>
                <w:rFonts w:ascii="Times New Roman" w:hAnsi="Times New Roman"/>
                <w:b w:val="0"/>
                <w:sz w:val="22"/>
              </w:rPr>
              <w:t>BEHOLD_LOKALT</w:t>
            </w:r>
          </w:p>
        </w:tc>
        <w:tc>
          <w:tcPr>
            <w:tcW w:type="dxa" w:w="1754"/>
          </w:tcPr>
          <w:p>
            <w:r/>
            <w:r>
              <w:rPr>
                <w:rFonts w:ascii="Times New Roman" w:hAnsi="Times New Roman"/>
                <w:b w:val="0"/>
                <w:sz w:val="22"/>
              </w:rPr>
              <w:t>143</w:t>
            </w:r>
          </w:p>
        </w:tc>
        <w:tc>
          <w:tcPr>
            <w:tcW w:type="dxa" w:w="1754"/>
          </w:tcPr>
          <w:p>
            <w:r/>
            <w:r>
              <w:rPr>
                <w:rFonts w:ascii="Times New Roman" w:hAnsi="Times New Roman"/>
                <w:b w:val="0"/>
                <w:sz w:val="22"/>
              </w:rPr>
              <w:t>20,2 %</w:t>
            </w:r>
          </w:p>
        </w:tc>
      </w:tr>
      <w:tr>
        <w:tc>
          <w:tcPr>
            <w:tcW w:type="dxa" w:w="1754"/>
          </w:tcPr>
          <w:p>
            <w:r/>
            <w:r>
              <w:rPr>
                <w:rFonts w:ascii="Times New Roman" w:hAnsi="Times New Roman"/>
                <w:b w:val="0"/>
                <w:sz w:val="22"/>
              </w:rPr>
              <w:t>R2</w:t>
            </w:r>
          </w:p>
        </w:tc>
        <w:tc>
          <w:tcPr>
            <w:tcW w:type="dxa" w:w="1754"/>
          </w:tcPr>
          <w:p>
            <w:r/>
            <w:r>
              <w:rPr>
                <w:rFonts w:ascii="Times New Roman" w:hAnsi="Times New Roman"/>
                <w:b w:val="0"/>
                <w:sz w:val="22"/>
              </w:rPr>
              <w:t>ABC = C og XYZ = Y</w:t>
            </w:r>
          </w:p>
        </w:tc>
        <w:tc>
          <w:tcPr>
            <w:tcW w:type="dxa" w:w="1754"/>
          </w:tcPr>
          <w:p>
            <w:r/>
            <w:r>
              <w:rPr>
                <w:rFonts w:ascii="Times New Roman" w:hAnsi="Times New Roman"/>
                <w:b w:val="0"/>
                <w:sz w:val="22"/>
              </w:rPr>
              <w:t>BEHOLD_LOKALT</w:t>
            </w:r>
          </w:p>
        </w:tc>
        <w:tc>
          <w:tcPr>
            <w:tcW w:type="dxa" w:w="1754"/>
          </w:tcPr>
          <w:p>
            <w:r/>
            <w:r>
              <w:rPr>
                <w:rFonts w:ascii="Times New Roman" w:hAnsi="Times New Roman"/>
                <w:b w:val="0"/>
                <w:sz w:val="22"/>
              </w:rPr>
              <w:t>114</w:t>
            </w:r>
          </w:p>
        </w:tc>
        <w:tc>
          <w:tcPr>
            <w:tcW w:type="dxa" w:w="1754"/>
          </w:tcPr>
          <w:p>
            <w:r/>
            <w:r>
              <w:rPr>
                <w:rFonts w:ascii="Times New Roman" w:hAnsi="Times New Roman"/>
                <w:b w:val="0"/>
                <w:sz w:val="22"/>
              </w:rPr>
              <w:t>16,1 %</w:t>
            </w:r>
          </w:p>
        </w:tc>
      </w:tr>
      <w:tr>
        <w:tc>
          <w:tcPr>
            <w:tcW w:type="dxa" w:w="1754"/>
          </w:tcPr>
          <w:p>
            <w:r/>
            <w:r>
              <w:rPr>
                <w:rFonts w:ascii="Times New Roman" w:hAnsi="Times New Roman"/>
                <w:b w:val="0"/>
                <w:sz w:val="22"/>
              </w:rPr>
              <w:t>R3</w:t>
            </w:r>
          </w:p>
        </w:tc>
        <w:tc>
          <w:tcPr>
            <w:tcW w:type="dxa" w:w="1754"/>
          </w:tcPr>
          <w:p>
            <w:r/>
            <w:r>
              <w:rPr>
                <w:rFonts w:ascii="Times New Roman" w:hAnsi="Times New Roman"/>
                <w:b w:val="0"/>
                <w:sz w:val="22"/>
              </w:rPr>
              <w:t>A/B + X + FOR_MANGE_ORDRER</w:t>
            </w:r>
          </w:p>
        </w:tc>
        <w:tc>
          <w:tcPr>
            <w:tcW w:type="dxa" w:w="1754"/>
          </w:tcPr>
          <w:p>
            <w:r/>
            <w:r>
              <w:rPr>
                <w:rFonts w:ascii="Times New Roman" w:hAnsi="Times New Roman"/>
                <w:b w:val="0"/>
                <w:sz w:val="22"/>
              </w:rPr>
              <w:t>OVERFØR_HVFS</w:t>
            </w:r>
          </w:p>
        </w:tc>
        <w:tc>
          <w:tcPr>
            <w:tcW w:type="dxa" w:w="1754"/>
          </w:tcPr>
          <w:p>
            <w:r/>
            <w:r>
              <w:rPr>
                <w:rFonts w:ascii="Times New Roman" w:hAnsi="Times New Roman"/>
                <w:b w:val="0"/>
                <w:sz w:val="22"/>
              </w:rPr>
              <w:t>71</w:t>
            </w:r>
          </w:p>
        </w:tc>
        <w:tc>
          <w:tcPr>
            <w:tcW w:type="dxa" w:w="1754"/>
          </w:tcPr>
          <w:p>
            <w:r/>
            <w:r>
              <w:rPr>
                <w:rFonts w:ascii="Times New Roman" w:hAnsi="Times New Roman"/>
                <w:b w:val="0"/>
                <w:sz w:val="22"/>
              </w:rPr>
              <w:t>10,0 %</w:t>
            </w:r>
          </w:p>
        </w:tc>
      </w:tr>
      <w:tr>
        <w:tc>
          <w:tcPr>
            <w:tcW w:type="dxa" w:w="1754"/>
          </w:tcPr>
          <w:p>
            <w:r/>
            <w:r>
              <w:rPr>
                <w:rFonts w:ascii="Times New Roman" w:hAnsi="Times New Roman"/>
                <w:b w:val="0"/>
                <w:sz w:val="22"/>
              </w:rPr>
              <w:t>R4</w:t>
            </w:r>
          </w:p>
        </w:tc>
        <w:tc>
          <w:tcPr>
            <w:tcW w:type="dxa" w:w="1754"/>
          </w:tcPr>
          <w:p>
            <w:r/>
            <w:r>
              <w:rPr>
                <w:rFonts w:ascii="Times New Roman" w:hAnsi="Times New Roman"/>
                <w:b w:val="0"/>
                <w:sz w:val="22"/>
              </w:rPr>
              <w:t>A/B + X + K_OVERFØR</w:t>
            </w:r>
          </w:p>
        </w:tc>
        <w:tc>
          <w:tcPr>
            <w:tcW w:type="dxa" w:w="1754"/>
          </w:tcPr>
          <w:p>
            <w:r/>
            <w:r>
              <w:rPr>
                <w:rFonts w:ascii="Times New Roman" w:hAnsi="Times New Roman"/>
                <w:b w:val="0"/>
                <w:sz w:val="22"/>
              </w:rPr>
              <w:t>OVERFØR_HVFS</w:t>
            </w:r>
          </w:p>
        </w:tc>
        <w:tc>
          <w:tcPr>
            <w:tcW w:type="dxa" w:w="1754"/>
          </w:tcPr>
          <w:p>
            <w:r/>
            <w:r>
              <w:rPr>
                <w:rFonts w:ascii="Times New Roman" w:hAnsi="Times New Roman"/>
                <w:b w:val="0"/>
                <w:sz w:val="22"/>
              </w:rPr>
              <w:t>18</w:t>
            </w:r>
          </w:p>
        </w:tc>
        <w:tc>
          <w:tcPr>
            <w:tcW w:type="dxa" w:w="1754"/>
          </w:tcPr>
          <w:p>
            <w:r/>
            <w:r>
              <w:rPr>
                <w:rFonts w:ascii="Times New Roman" w:hAnsi="Times New Roman"/>
                <w:b w:val="0"/>
                <w:sz w:val="22"/>
              </w:rPr>
              <w:t>2,5 %</w:t>
            </w:r>
          </w:p>
        </w:tc>
      </w:tr>
      <w:tr>
        <w:tc>
          <w:tcPr>
            <w:tcW w:type="dxa" w:w="1754"/>
          </w:tcPr>
          <w:p>
            <w:r/>
            <w:r>
              <w:rPr>
                <w:rFonts w:ascii="Times New Roman" w:hAnsi="Times New Roman"/>
                <w:b w:val="0"/>
                <w:sz w:val="22"/>
              </w:rPr>
              <w:t>R5</w:t>
            </w:r>
          </w:p>
        </w:tc>
        <w:tc>
          <w:tcPr>
            <w:tcW w:type="dxa" w:w="1754"/>
          </w:tcPr>
          <w:p>
            <w:r/>
            <w:r>
              <w:rPr>
                <w:rFonts w:ascii="Times New Roman" w:hAnsi="Times New Roman"/>
                <w:b w:val="0"/>
                <w:sz w:val="22"/>
              </w:rPr>
              <w:t>A/B + Y + K_OVERFØR</w:t>
            </w:r>
          </w:p>
        </w:tc>
        <w:tc>
          <w:tcPr>
            <w:tcW w:type="dxa" w:w="1754"/>
          </w:tcPr>
          <w:p>
            <w:r/>
            <w:r>
              <w:rPr>
                <w:rFonts w:ascii="Times New Roman" w:hAnsi="Times New Roman"/>
                <w:b w:val="0"/>
                <w:sz w:val="22"/>
              </w:rPr>
              <w:t>OVERFØR_HVFS</w:t>
            </w:r>
          </w:p>
        </w:tc>
        <w:tc>
          <w:tcPr>
            <w:tcW w:type="dxa" w:w="1754"/>
          </w:tcPr>
          <w:p>
            <w:r/>
            <w:r>
              <w:rPr>
                <w:rFonts w:ascii="Times New Roman" w:hAnsi="Times New Roman"/>
                <w:b w:val="0"/>
                <w:sz w:val="22"/>
              </w:rPr>
              <w:t>56</w:t>
            </w:r>
          </w:p>
        </w:tc>
        <w:tc>
          <w:tcPr>
            <w:tcW w:type="dxa" w:w="1754"/>
          </w:tcPr>
          <w:p>
            <w:r/>
            <w:r>
              <w:rPr>
                <w:rFonts w:ascii="Times New Roman" w:hAnsi="Times New Roman"/>
                <w:b w:val="0"/>
                <w:sz w:val="22"/>
              </w:rPr>
              <w:t>7,9 %</w:t>
            </w:r>
          </w:p>
        </w:tc>
      </w:tr>
      <w:tr>
        <w:tc>
          <w:tcPr>
            <w:tcW w:type="dxa" w:w="1754"/>
          </w:tcPr>
          <w:p>
            <w:r/>
            <w:r>
              <w:rPr>
                <w:rFonts w:ascii="Times New Roman" w:hAnsi="Times New Roman"/>
                <w:b w:val="0"/>
                <w:sz w:val="22"/>
              </w:rPr>
              <w:t>R6</w:t>
            </w:r>
          </w:p>
        </w:tc>
        <w:tc>
          <w:tcPr>
            <w:tcW w:type="dxa" w:w="1754"/>
          </w:tcPr>
          <w:p>
            <w:r/>
            <w:r>
              <w:rPr>
                <w:rFonts w:ascii="Times New Roman" w:hAnsi="Times New Roman"/>
                <w:b w:val="0"/>
                <w:sz w:val="22"/>
              </w:rPr>
              <w:t>A/B + X (uten K_OVERFØR)</w:t>
            </w:r>
          </w:p>
        </w:tc>
        <w:tc>
          <w:tcPr>
            <w:tcW w:type="dxa" w:w="1754"/>
          </w:tcPr>
          <w:p>
            <w:r/>
            <w:r>
              <w:rPr>
                <w:rFonts w:ascii="Times New Roman" w:hAnsi="Times New Roman"/>
                <w:b w:val="0"/>
                <w:sz w:val="22"/>
              </w:rPr>
              <w:t>VURDER_NÆRMERE</w:t>
            </w:r>
          </w:p>
        </w:tc>
        <w:tc>
          <w:tcPr>
            <w:tcW w:type="dxa" w:w="1754"/>
          </w:tcPr>
          <w:p>
            <w:r/>
            <w:r>
              <w:rPr>
                <w:rFonts w:ascii="Times New Roman" w:hAnsi="Times New Roman"/>
                <w:b w:val="0"/>
                <w:sz w:val="22"/>
              </w:rPr>
              <w:t>160</w:t>
            </w:r>
          </w:p>
        </w:tc>
        <w:tc>
          <w:tcPr>
            <w:tcW w:type="dxa" w:w="1754"/>
          </w:tcPr>
          <w:p>
            <w:r/>
            <w:r>
              <w:rPr>
                <w:rFonts w:ascii="Times New Roman" w:hAnsi="Times New Roman"/>
                <w:b w:val="0"/>
                <w:sz w:val="22"/>
              </w:rPr>
              <w:t>22,6 %</w:t>
            </w:r>
          </w:p>
        </w:tc>
      </w:tr>
      <w:tr>
        <w:tc>
          <w:tcPr>
            <w:tcW w:type="dxa" w:w="1754"/>
          </w:tcPr>
          <w:p>
            <w:r/>
            <w:r>
              <w:rPr>
                <w:rFonts w:ascii="Times New Roman" w:hAnsi="Times New Roman"/>
                <w:b w:val="0"/>
                <w:sz w:val="22"/>
              </w:rPr>
              <w:t>R7</w:t>
            </w:r>
          </w:p>
        </w:tc>
        <w:tc>
          <w:tcPr>
            <w:tcW w:type="dxa" w:w="1754"/>
          </w:tcPr>
          <w:p>
            <w:r/>
            <w:r>
              <w:rPr>
                <w:rFonts w:ascii="Times New Roman" w:hAnsi="Times New Roman"/>
                <w:b w:val="0"/>
                <w:sz w:val="22"/>
              </w:rPr>
              <w:t>A/B + Y (uten K_OVERFØR)</w:t>
            </w:r>
          </w:p>
        </w:tc>
        <w:tc>
          <w:tcPr>
            <w:tcW w:type="dxa" w:w="1754"/>
          </w:tcPr>
          <w:p>
            <w:r/>
            <w:r>
              <w:rPr>
                <w:rFonts w:ascii="Times New Roman" w:hAnsi="Times New Roman"/>
                <w:b w:val="0"/>
                <w:sz w:val="22"/>
              </w:rPr>
              <w:t>VURDER_NÆRMERE</w:t>
            </w:r>
          </w:p>
        </w:tc>
        <w:tc>
          <w:tcPr>
            <w:tcW w:type="dxa" w:w="1754"/>
          </w:tcPr>
          <w:p>
            <w:r/>
            <w:r>
              <w:rPr>
                <w:rFonts w:ascii="Times New Roman" w:hAnsi="Times New Roman"/>
                <w:b w:val="0"/>
                <w:sz w:val="22"/>
              </w:rPr>
              <w:t>23</w:t>
            </w:r>
          </w:p>
        </w:tc>
        <w:tc>
          <w:tcPr>
            <w:tcW w:type="dxa" w:w="1754"/>
          </w:tcPr>
          <w:p>
            <w:r/>
            <w:r>
              <w:rPr>
                <w:rFonts w:ascii="Times New Roman" w:hAnsi="Times New Roman"/>
                <w:b w:val="0"/>
                <w:sz w:val="22"/>
              </w:rPr>
              <w:t>3,2 %</w:t>
            </w:r>
          </w:p>
        </w:tc>
      </w:tr>
      <w:tr>
        <w:tc>
          <w:tcPr>
            <w:tcW w:type="dxa" w:w="1754"/>
          </w:tcPr>
          <w:p>
            <w:r/>
            <w:r>
              <w:rPr>
                <w:rFonts w:ascii="Times New Roman" w:hAnsi="Times New Roman"/>
                <w:b w:val="0"/>
                <w:sz w:val="22"/>
              </w:rPr>
              <w:t>R8</w:t>
            </w:r>
          </w:p>
        </w:tc>
        <w:tc>
          <w:tcPr>
            <w:tcW w:type="dxa" w:w="1754"/>
          </w:tcPr>
          <w:p>
            <w:r/>
            <w:r>
              <w:rPr>
                <w:rFonts w:ascii="Times New Roman" w:hAnsi="Times New Roman"/>
                <w:b w:val="0"/>
                <w:sz w:val="22"/>
              </w:rPr>
              <w:t>Øvrige (inkl. C + X)</w:t>
            </w:r>
          </w:p>
        </w:tc>
        <w:tc>
          <w:tcPr>
            <w:tcW w:type="dxa" w:w="1754"/>
          </w:tcPr>
          <w:p>
            <w:r/>
            <w:r>
              <w:rPr>
                <w:rFonts w:ascii="Times New Roman" w:hAnsi="Times New Roman"/>
                <w:b w:val="0"/>
                <w:sz w:val="22"/>
              </w:rPr>
              <w:t>VURDER_NÆRMERE</w:t>
            </w:r>
          </w:p>
        </w:tc>
        <w:tc>
          <w:tcPr>
            <w:tcW w:type="dxa" w:w="1754"/>
          </w:tcPr>
          <w:p>
            <w:r/>
            <w:r>
              <w:rPr>
                <w:rFonts w:ascii="Times New Roman" w:hAnsi="Times New Roman"/>
                <w:b w:val="0"/>
                <w:sz w:val="22"/>
              </w:rPr>
              <w:t>101</w:t>
            </w:r>
          </w:p>
        </w:tc>
        <w:tc>
          <w:tcPr>
            <w:tcW w:type="dxa" w:w="1754"/>
          </w:tcPr>
          <w:p>
            <w:r/>
            <w:r>
              <w:rPr>
                <w:rFonts w:ascii="Times New Roman" w:hAnsi="Times New Roman"/>
                <w:b w:val="0"/>
                <w:sz w:val="22"/>
              </w:rPr>
              <w:t>14,2 %</w:t>
            </w:r>
          </w:p>
        </w:tc>
      </w:tr>
      <w:tr>
        <w:tc>
          <w:tcPr>
            <w:tcW w:type="dxa" w:w="1754"/>
          </w:tcPr>
          <w:p>
            <w:r/>
            <w:r>
              <w:rPr>
                <w:rFonts w:ascii="Times New Roman" w:hAnsi="Times New Roman"/>
                <w:b w:val="0"/>
                <w:sz w:val="22"/>
              </w:rPr>
              <w:t>–</w:t>
            </w:r>
          </w:p>
        </w:tc>
        <w:tc>
          <w:tcPr>
            <w:tcW w:type="dxa" w:w="1754"/>
          </w:tcPr>
          <w:p>
            <w:r/>
            <w:r>
              <w:rPr>
                <w:rFonts w:ascii="Times New Roman" w:hAnsi="Times New Roman"/>
                <w:b w:val="0"/>
                <w:sz w:val="22"/>
              </w:rPr>
              <w:t>Manglende ABC/XYZ-data</w:t>
            </w:r>
          </w:p>
        </w:tc>
        <w:tc>
          <w:tcPr>
            <w:tcW w:type="dxa" w:w="1754"/>
          </w:tcPr>
          <w:p>
            <w:r/>
            <w:r>
              <w:rPr>
                <w:rFonts w:ascii="Times New Roman" w:hAnsi="Times New Roman"/>
                <w:b w:val="0"/>
                <w:sz w:val="22"/>
              </w:rPr>
              <w:t>MANGLER_DATA</w:t>
            </w:r>
          </w:p>
        </w:tc>
        <w:tc>
          <w:tcPr>
            <w:tcW w:type="dxa" w:w="1754"/>
          </w:tcPr>
          <w:p>
            <w:r/>
            <w:r>
              <w:rPr>
                <w:rFonts w:ascii="Times New Roman" w:hAnsi="Times New Roman"/>
                <w:b w:val="0"/>
                <w:sz w:val="22"/>
              </w:rPr>
              <w:t>23</w:t>
            </w:r>
          </w:p>
        </w:tc>
        <w:tc>
          <w:tcPr>
            <w:tcW w:type="dxa" w:w="1754"/>
          </w:tcPr>
          <w:p>
            <w:r/>
            <w:r>
              <w:rPr>
                <w:rFonts w:ascii="Times New Roman" w:hAnsi="Times New Roman"/>
                <w:b w:val="0"/>
                <w:sz w:val="22"/>
              </w:rPr>
              <w:t>3,2 %</w:t>
            </w:r>
          </w:p>
        </w:tc>
      </w:tr>
      <w:tr>
        <w:tc>
          <w:tcPr>
            <w:tcW w:type="dxa" w:w="1754"/>
          </w:tcPr>
          <w:p>
            <w:r/>
            <w:r>
              <w:rPr>
                <w:rFonts w:ascii="Times New Roman" w:hAnsi="Times New Roman"/>
                <w:b/>
                <w:sz w:val="22"/>
              </w:rPr>
              <w:t>Totalt</w:t>
            </w:r>
          </w:p>
        </w:tc>
        <w:tc>
          <w:tcPr>
            <w:tcW w:type="dxa" w:w="1754"/>
          </w:tcPr>
          <w:p>
            <w:r/>
          </w:p>
        </w:tc>
        <w:tc>
          <w:tcPr>
            <w:tcW w:type="dxa" w:w="1754"/>
          </w:tcPr>
          <w:p>
            <w:r/>
          </w:p>
        </w:tc>
        <w:tc>
          <w:tcPr>
            <w:tcW w:type="dxa" w:w="1754"/>
          </w:tcPr>
          <w:p>
            <w:r/>
            <w:r>
              <w:rPr>
                <w:rFonts w:ascii="Times New Roman" w:hAnsi="Times New Roman"/>
                <w:b/>
                <w:sz w:val="22"/>
              </w:rPr>
              <w:t>709</w:t>
            </w:r>
          </w:p>
        </w:tc>
        <w:tc>
          <w:tcPr>
            <w:tcW w:type="dxa" w:w="1754"/>
          </w:tcPr>
          <w:p>
            <w:r/>
            <w:r>
              <w:rPr>
                <w:rFonts w:ascii="Times New Roman" w:hAnsi="Times New Roman"/>
                <w:b/>
                <w:sz w:val="22"/>
              </w:rPr>
              <w:t>100 %</w:t>
            </w:r>
          </w:p>
        </w:tc>
      </w:tr>
    </w:tbl>
    <w:p>
      <w:pPr>
        <w:spacing w:line="360" w:lineRule="auto"/>
        <w:jc w:val="both"/>
      </w:pPr>
      <w:r>
        <w:rPr>
          <w:rFonts w:ascii="Times New Roman" w:hAnsi="Times New Roman" w:cs="Times New Roman"/>
          <w:sz w:val="24"/>
        </w:rPr>
        <w:t>145 artikler (20,5 %) anbefales overført til HVFS: R3 fanger 71, R4 fanger 18 og R5 fanger 56. Av disse har 117 status FOR\_MANGE\_ORDRER og inngår i besparelsesberegningen i avsnitt 7.6. De resterende 28 artiklene (18 fra R4 og 10 fra R5) inngår ikke i besparelsesgrunnlaget fordi FOR\_MANGE\_ORDRER-flagget ikke er aktivert, men anbefales overført fordi kombinasjonen av ABC/XYZ-profil og K\_OVERFØR-klyngetilhørighet oppfyller APL-egnethetskriteriet, jf. kap. 5.5.</w:t>
      </w:r>
    </w:p>
    <w:p>
      <w:pPr>
        <w:spacing w:line="360" w:lineRule="auto"/>
        <w:jc w:val="both"/>
      </w:pPr>
      <w:r>
        <w:rPr>
          <w:rFonts w:ascii="Times New Roman" w:hAnsi="Times New Roman" w:cs="Times New Roman"/>
          <w:sz w:val="24"/>
        </w:rPr>
        <w:t>Av de 281 artiklene i K\_OVERFØR-klyngen får 74 (R4 + R5 = 18 + 56) en OVERFØR-anbefaling i regelmotoren. De resterende ~207 sendes til BEHOLD eller VURDER, primært fordi XYZ = Z (R1) eller manglende ABC-A/B-status overstyrer klyngesignalet. Dette synliggjør at klyngetilhørighet alene ikke er tilstrekkelig for overføring, men fungerer som et bekreftende signal når ABC- og XYZ-profilen først er gunstig – i tråd med trianguleringslogikken i avsnitt 5.4.</w:t>
      </w:r>
    </w:p>
    <w:p>
      <w:pPr>
        <w:spacing w:line="360" w:lineRule="auto"/>
        <w:jc w:val="both"/>
      </w:pPr>
      <w:r>
        <w:rPr>
          <w:rFonts w:ascii="Times New Roman" w:hAnsi="Times New Roman" w:cs="Times New Roman"/>
          <w:sz w:val="24"/>
        </w:rPr>
        <w:t>257 artikler (36,2 %) beholdes lokalt, primært grunnet Z-klassifisering (R1: 143) eller CY-profil (R2: 114). Z-override (R1) er den enkeltregelen som fanger flest artikler i overføringskategorien – uforutsigbart forbruksmønster er dermed den vanligste kontraindikasjonen mot sentralisering i dette sortimentet. 284 artikler (40,1 %) sendes til manuell vurdering: R6 dominerer med 160 A/B-artikler som har stabilt forbruk men verken FOR\_MANGE\_ORDRER eller K\_OVERFØR-signal, R8 fanger 101 artikler med blandede eller lavverdi-signaler, og R7 fanger 23 A/B-Y-artikler uten klyngesignal. For å gjøre gjennomgangen håndterbar anbefales en prioritert tilnærming: (a) start med R8-artiklene som omfatter CX-profil (stabilt forbruk, lav verdi) – disse kan i mange tilfeller overføres med begrenset risiko; (b) gjennomgå deretter R6-gruppen (A/B + X uten K\_OVERFØR); (c) adresser til slutt R7 og øvrige blandede signaler. 23 artikler (3,2 %) mangler tilstrekkelig data for klassifisering. Fordelingen er visualisert i Figur 12 i kapittel 6.</w:t>
      </w:r>
    </w:p>
    <w:p>
      <w:pPr>
        <w:pStyle w:val="Overskrift2"/>
      </w:pPr>
      <w:r>
        <w:rPr>
          <w:rFonts w:ascii="Times New Roman" w:hAnsi="Times New Roman"/>
          <w:color w:val="000000"/>
          <w:sz w:val="32"/>
        </w:rPr>
        <w:t>7.6 Besparelse og sensitivitet</w:t>
      </w:r>
    </w:p>
    <w:p>
      <w:pPr>
        <w:spacing w:line="360" w:lineRule="auto"/>
        <w:jc w:val="both"/>
      </w:pPr>
      <w:r>
        <w:rPr>
          <w:rFonts w:ascii="Times New Roman" w:hAnsi="Times New Roman" w:cs="Times New Roman"/>
          <w:sz w:val="24"/>
        </w:rPr>
        <w:t xml:space="preserve">Besparelsesestimatet er beregnet for de 117 artiklene som oppfyller begge kriteriene OVERFØR\_HVFS og FOR\_MANGE\_ORDRER. Formelen er </w:t>
      </w:r>
      <m:oMath>
        <m:sSub>
          <m:e>
            <m:r>
              <m:t>B</m:t>
            </m:r>
          </m:e>
          <m:sub>
            <m:r>
              <m:rPr>
                <m:nor/>
              </m:rPr>
              <m:t>HVFS</m:t>
            </m:r>
          </m:sub>
        </m:sSub>
        <m:r>
          <m:t>=</m:t>
        </m:r>
        <m:nary>
          <m:naryPr>
            <m:chr m:val="∑"/>
            <m:limLoc m:val="subSup"/>
            <m:grow m:val="1"/>
            <m:subHide m:val="off"/>
            <m:supHide m:val="on"/>
          </m:naryPr>
          <m:sub>
            <m:r>
              <m:t>i∈</m:t>
            </m:r>
            <m:r>
              <m:rPr>
                <m:nor/>
              </m:rPr>
              <m:t>OVERFØR</m:t>
            </m:r>
          </m:sub>
          <m:sup/>
          <m:e>
            <m:r>
              <m:t>ΔT</m:t>
            </m:r>
          </m:e>
        </m:nary>
        <m:sSub>
          <m:e>
            <m:r>
              <m:t>C</m:t>
            </m:r>
          </m:e>
          <m:sub>
            <m:r>
              <m:t>i</m:t>
            </m:r>
          </m:sub>
        </m:sSub>
        <m:r>
          <m:t>·g</m:t>
        </m:r>
      </m:oMath>
      <w:r>
        <w:rPr>
          <w:rFonts w:ascii="Times New Roman" w:hAnsi="Times New Roman" w:cs="Times New Roman"/>
          <w:sz w:val="24"/>
        </w:rPr>
        <w:t xml:space="preserve">, der </w:t>
      </w:r>
      <m:oMath>
        <m:r>
          <m:t>g</m:t>
        </m:r>
      </m:oMath>
      <w:r>
        <w:rPr>
          <w:rFonts w:ascii="Times New Roman" w:hAnsi="Times New Roman" w:cs="Times New Roman"/>
          <w:sz w:val="24"/>
        </w:rPr>
        <w:t xml:space="preserve"> er antatt realiseringsgrad for den teoretiske EOQ-besparelsen. Tabell 15 viser resultatene for de tre scenariene.</w:t>
      </w:r>
    </w:p>
    <w:p>
      <w:r>
        <w:rPr>
          <w:rFonts w:ascii="Times New Roman" w:hAnsi="Times New Roman"/>
          <w:b/>
          <w:sz w:val="20"/>
        </w:rPr>
        <w:t>Tabell 15</w:t>
      </w:r>
    </w:p>
    <w:p>
      <w:r>
        <w:rPr>
          <w:rFonts w:ascii="Times New Roman" w:hAnsi="Times New Roman"/>
          <w:i/>
          <w:sz w:val="20"/>
        </w:rPr>
        <w:t>Besparelsesestimater for tre scenarier: 117 artikler (OVERFØR_HVFS ∩ FOR_MANGE_ORDRER), S = 750 NOK</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Scenario</w:t>
            </w:r>
          </w:p>
        </w:tc>
        <w:tc>
          <w:tcPr>
            <w:tcW w:type="dxa" w:w="2923"/>
            <w:tcBorders>
              <w:top w:val="single" w:sz="8" w:space="0" w:color="000000"/>
              <w:bottom w:val="single" w:sz="4" w:space="0" w:color="000000"/>
              <w:left w:val="nil"/>
              <w:right w:val="nil"/>
            </w:tcBorders>
          </w:tcPr>
          <w:p>
            <w:r/>
            <w:r>
              <w:rPr>
                <w:rFonts w:ascii="Times New Roman" w:hAnsi="Times New Roman"/>
                <w:b/>
                <w:sz w:val="22"/>
              </w:rPr>
              <w:t>Realiseringsgrad g</w:t>
            </w:r>
          </w:p>
        </w:tc>
        <w:tc>
          <w:tcPr>
            <w:tcW w:type="dxa" w:w="2923"/>
            <w:tcBorders>
              <w:top w:val="single" w:sz="8" w:space="0" w:color="000000"/>
              <w:bottom w:val="single" w:sz="4" w:space="0" w:color="000000"/>
              <w:left w:val="nil"/>
              <w:right w:val="nil"/>
            </w:tcBorders>
          </w:tcPr>
          <w:p>
            <w:r/>
            <w:r>
              <w:rPr>
                <w:rFonts w:ascii="Times New Roman" w:hAnsi="Times New Roman"/>
                <w:b/>
                <w:sz w:val="22"/>
              </w:rPr>
              <w:t>Besparelse B_HVFS (kr/år)</w:t>
            </w:r>
          </w:p>
        </w:tc>
      </w:tr>
      <w:tr>
        <w:tc>
          <w:tcPr>
            <w:tcW w:type="dxa" w:w="2923"/>
          </w:tcPr>
          <w:p>
            <w:r/>
            <w:r>
              <w:rPr>
                <w:rFonts w:ascii="Times New Roman" w:hAnsi="Times New Roman"/>
                <w:b w:val="0"/>
                <w:sz w:val="22"/>
              </w:rPr>
              <w:t>Worst case</w:t>
            </w:r>
          </w:p>
        </w:tc>
        <w:tc>
          <w:tcPr>
            <w:tcW w:type="dxa" w:w="2923"/>
          </w:tcPr>
          <w:p>
            <w:r/>
            <w:r>
              <w:rPr>
                <w:rFonts w:ascii="Times New Roman" w:hAnsi="Times New Roman"/>
                <w:b w:val="0"/>
                <w:sz w:val="22"/>
              </w:rPr>
              <w:t>50 %</w:t>
            </w:r>
          </w:p>
        </w:tc>
        <w:tc>
          <w:tcPr>
            <w:tcW w:type="dxa" w:w="2923"/>
          </w:tcPr>
          <w:p>
            <w:r/>
            <w:r>
              <w:rPr>
                <w:rFonts w:ascii="Times New Roman" w:hAnsi="Times New Roman"/>
                <w:b w:val="0"/>
                <w:sz w:val="22"/>
              </w:rPr>
              <w:t>301 010</w:t>
            </w:r>
          </w:p>
        </w:tc>
      </w:tr>
      <w:tr>
        <w:tc>
          <w:tcPr>
            <w:tcW w:type="dxa" w:w="2923"/>
          </w:tcPr>
          <w:p>
            <w:r/>
            <w:r>
              <w:rPr>
                <w:rFonts w:ascii="Times New Roman" w:hAnsi="Times New Roman"/>
                <w:b/>
                <w:sz w:val="22"/>
              </w:rPr>
              <w:t>Base case</w:t>
            </w:r>
          </w:p>
        </w:tc>
        <w:tc>
          <w:tcPr>
            <w:tcW w:type="dxa" w:w="2923"/>
          </w:tcPr>
          <w:p>
            <w:r/>
            <w:r>
              <w:rPr>
                <w:rFonts w:ascii="Times New Roman" w:hAnsi="Times New Roman"/>
                <w:b/>
                <w:sz w:val="22"/>
              </w:rPr>
              <w:t>75 %</w:t>
            </w:r>
          </w:p>
        </w:tc>
        <w:tc>
          <w:tcPr>
            <w:tcW w:type="dxa" w:w="2923"/>
          </w:tcPr>
          <w:p>
            <w:r/>
            <w:r>
              <w:rPr>
                <w:rFonts w:ascii="Times New Roman" w:hAnsi="Times New Roman"/>
                <w:b/>
                <w:sz w:val="22"/>
              </w:rPr>
              <w:t>451 515</w:t>
            </w:r>
          </w:p>
        </w:tc>
      </w:tr>
      <w:tr>
        <w:tc>
          <w:tcPr>
            <w:tcW w:type="dxa" w:w="2923"/>
          </w:tcPr>
          <w:p>
            <w:r/>
            <w:r>
              <w:rPr>
                <w:rFonts w:ascii="Times New Roman" w:hAnsi="Times New Roman"/>
                <w:b w:val="0"/>
                <w:sz w:val="22"/>
              </w:rPr>
              <w:t>Best case</w:t>
            </w:r>
          </w:p>
        </w:tc>
        <w:tc>
          <w:tcPr>
            <w:tcW w:type="dxa" w:w="2923"/>
          </w:tcPr>
          <w:p>
            <w:r/>
            <w:r>
              <w:rPr>
                <w:rFonts w:ascii="Times New Roman" w:hAnsi="Times New Roman"/>
                <w:b w:val="0"/>
                <w:sz w:val="22"/>
              </w:rPr>
              <w:t>100 %</w:t>
            </w:r>
          </w:p>
        </w:tc>
        <w:tc>
          <w:tcPr>
            <w:tcW w:type="dxa" w:w="2923"/>
          </w:tcPr>
          <w:p>
            <w:r/>
            <w:r>
              <w:rPr>
                <w:rFonts w:ascii="Times New Roman" w:hAnsi="Times New Roman"/>
                <w:b w:val="0"/>
                <w:sz w:val="22"/>
              </w:rPr>
              <w:t>602 020</w:t>
            </w:r>
          </w:p>
        </w:tc>
      </w:tr>
    </w:tbl>
    <w:p>
      <w:pPr>
        <w:spacing w:line="360" w:lineRule="auto"/>
        <w:jc w:val="both"/>
      </w:pPr>
      <w:r>
        <w:rPr>
          <w:rFonts w:ascii="Times New Roman" w:hAnsi="Times New Roman" w:cs="Times New Roman"/>
          <w:sz w:val="24"/>
        </w:rPr>
        <w:t>Base case-besparelsen er kr 451 515 per år (</w:t>
      </w:r>
      <m:oMath>
        <m:r>
          <m:t>g=75</m:t>
        </m:r>
      </m:oMath>
      <w:r>
        <w:rPr>
          <w:rFonts w:ascii="Times New Roman" w:hAnsi="Times New Roman" w:cs="Times New Roman"/>
          <w:sz w:val="24"/>
        </w:rPr>
        <w:t xml:space="preserve">) av et samlet teoretisk </w:t>
      </w:r>
      <m:oMath>
        <m:r>
          <m:t>∑ΔT</m:t>
        </m:r>
        <m:sSub>
          <m:e>
            <m:r>
              <m:t>C</m:t>
            </m:r>
          </m:e>
          <m:sub>
            <m:r>
              <m:t>i</m:t>
            </m:r>
          </m:sub>
        </m:sSub>
      </m:oMath>
      <w:r>
        <w:rPr>
          <w:rFonts w:ascii="Times New Roman" w:hAnsi="Times New Roman" w:cs="Times New Roman"/>
          <w:sz w:val="24"/>
        </w:rPr>
        <w:t xml:space="preserve"> på kr 602 020. Gevinstrealiseringsgraden </w:t>
      </w:r>
      <m:oMath>
        <m:r>
          <m:t>g</m:t>
        </m:r>
      </m:oMath>
      <w:r>
        <w:rPr>
          <w:rFonts w:ascii="Times New Roman" w:hAnsi="Times New Roman" w:cs="Times New Roman"/>
          <w:sz w:val="24"/>
        </w:rPr>
        <w:t xml:space="preserve"> reflekterer at implementeringsfriksjon og SAP-parameterjusteringer gjør det urealistisk å oppnå 100 % av det teoretiske potensialet.</w:t>
      </w:r>
    </w:p>
    <w:p>
      <w:pPr>
        <w:spacing w:line="360" w:lineRule="auto"/>
        <w:jc w:val="both"/>
      </w:pPr>
      <w:r>
        <w:rPr>
          <w:rFonts w:ascii="Times New Roman" w:hAnsi="Times New Roman" w:cs="Times New Roman"/>
          <w:sz w:val="24"/>
        </w:rPr>
        <w:t xml:space="preserve">Sensitivitetsanalysen over 27 scenarier – der S varieres over {500, 750, 1 000} NOK, h over {15 %, 20 %, 25 %} og terskelparameteren </w:t>
      </w:r>
      <m:oMath>
        <m:sSub>
          <m:e>
            <m:r>
              <m:t>τ</m:t>
            </m:r>
          </m:e>
          <m:sub>
            <m:r>
              <m:t>f</m:t>
            </m:r>
          </m:sub>
        </m:sSub>
      </m:oMath>
      <w:r>
        <w:rPr>
          <w:rFonts w:ascii="Times New Roman" w:hAnsi="Times New Roman" w:cs="Times New Roman"/>
          <w:sz w:val="24"/>
        </w:rPr>
        <w:t xml:space="preserve"> over {1,25, 1,50, 2,00} – viser at det samlede </w:t>
      </w:r>
      <m:oMath>
        <m:r>
          <m:t>ΔTC</m:t>
        </m:r>
      </m:oMath>
      <w:r>
        <w:rPr>
          <w:rFonts w:ascii="Times New Roman" w:hAnsi="Times New Roman" w:cs="Times New Roman"/>
          <w:sz w:val="24"/>
        </w:rPr>
        <w:t xml:space="preserve"> for hele populasjonen (487 artikler) varierer mellom kr 1 602 464 og kr 3 068 757 per år avhengig av parametervalg. Besparelsesestimatet </w:t>
      </w:r>
      <m:oMath>
        <m:sSub>
          <m:e>
            <m:r>
              <m:t>B</m:t>
            </m:r>
          </m:e>
          <m:sub>
            <m:r>
              <m:rPr>
                <m:nor/>
              </m:rPr>
              <m:t>HVFS</m:t>
            </m:r>
          </m:sub>
        </m:sSub>
      </m:oMath>
      <w:r>
        <w:rPr>
          <w:rFonts w:ascii="Times New Roman" w:hAnsi="Times New Roman" w:cs="Times New Roman"/>
          <w:sz w:val="24"/>
        </w:rPr>
        <w:t xml:space="preserve"> (</w:t>
      </w:r>
      <m:oMath>
        <m:r>
          <m:t>g=75</m:t>
        </m:r>
      </m:oMath>
      <w:r>
        <w:rPr>
          <w:rFonts w:ascii="Times New Roman" w:hAnsi="Times New Roman" w:cs="Times New Roman"/>
          <w:sz w:val="24"/>
        </w:rPr>
        <w:t xml:space="preserve">) varierer mellom kr 176 374 og kr 763 903 per år over de 27 scenariene, der kandidatsettet (OVERFØR\_HVFS ∩ FOR\_MANGE\_ORDRER) reberegnes for hvert scenario. Den dominerende usikkerhetsfaktoren er ordrekostnad S: en økning fra 500 til 1 000 NOK nær dobler det beregnede kostnadsavviket, da ordrekostnaden inngår lineært i totalkostnadsfunksjonen. Holdesats h har en moderat effekt, mens terskelparameteren </w:t>
      </w:r>
      <m:oMath>
        <m:sSub>
          <m:e>
            <m:r>
              <m:t>τ</m:t>
            </m:r>
          </m:e>
          <m:sub>
            <m:r>
              <m:t>f</m:t>
            </m:r>
          </m:sub>
        </m:sSub>
      </m:oMath>
      <w:r>
        <w:rPr>
          <w:rFonts w:ascii="Times New Roman" w:hAnsi="Times New Roman" w:cs="Times New Roman"/>
          <w:sz w:val="24"/>
        </w:rPr>
        <w:t xml:space="preserve"> primært påvirker antallet artikler som klassifiseres som FOR\_MANGE\_ORDRER – en lavere terskel (1,25) gir flere artikler i overføringsgrunnlaget, men reduserer gjennomsnittlig </w:t>
      </w:r>
      <m:oMath>
        <m:r>
          <m:t>ΔTC</m:t>
        </m:r>
      </m:oMath>
      <w:r>
        <w:rPr>
          <w:rFonts w:ascii="Times New Roman" w:hAnsi="Times New Roman" w:cs="Times New Roman"/>
          <w:sz w:val="24"/>
        </w:rPr>
        <w:t xml:space="preserve"> per artikkel. Resultatene er robuste i den forstand at besparelsesestimatet forblir positivt og vesentlig over alle 27 scenarier.</w:t>
      </w:r>
    </w:p>
    <w:p>
      <w:pPr>
        <w:pStyle w:val="Overskrift1"/>
        <w:pageBreakBefore w:val="true"/>
      </w:pPr>
      <w:r>
        <w:rPr>
          <w:rFonts w:ascii="Times New Roman" w:hAnsi="Times New Roman"/>
          <w:color w:val="000000"/>
          <w:sz w:val="36"/>
        </w:rPr>
        <w:t>Kapittel 8 – Diskusjon</w:t>
      </w:r>
    </w:p>
    <w:p>
      <w:pPr>
        <w:pStyle w:val="Overskrift2"/>
      </w:pPr>
      <w:r>
        <w:rPr>
          <w:rFonts w:ascii="Times New Roman" w:hAnsi="Times New Roman"/>
          <w:color w:val="000000"/>
          <w:sz w:val="32"/>
        </w:rPr>
        <w:t>8.1 Funn opp mot litteraturen</w:t>
      </w:r>
    </w:p>
    <w:p>
      <w:pPr>
        <w:spacing w:line="360" w:lineRule="auto"/>
        <w:jc w:val="both"/>
      </w:pPr>
      <w:r>
        <w:rPr>
          <w:rFonts w:ascii="Times New Roman" w:hAnsi="Times New Roman" w:cs="Times New Roman"/>
          <w:sz w:val="24"/>
        </w:rPr>
        <w:t>A-kategoriens 182 artikler (25,7 % av populasjonen, ~80 % av verdien) samsvarer med Pareto-prinsippet. At A-andelen er noe høyere enn den kanoniske 20 %, er konsistent med Bijvank og Vis (2012), som påpeker at sykehuslagre gjerne har en mer konsentrert verdidistribusjon enn industrilager.</w:t>
      </w:r>
    </w:p>
    <w:p>
      <w:pPr>
        <w:spacing w:line="360" w:lineRule="auto"/>
        <w:jc w:val="both"/>
      </w:pPr>
      <w:r>
        <w:rPr>
          <w:rFonts w:ascii="Times New Roman" w:hAnsi="Times New Roman" w:cs="Times New Roman"/>
          <w:sz w:val="24"/>
        </w:rPr>
        <w:t>Det lave samsvaret (33 %) mellom ZZXYZ og beregnet CV er forventet: van Kampen et al. (2012) understreker at systemregistrerte klassifiseringer raskt mister aktualitet, og Nowotyńska (2013) finner tilsvarende divergens. Funnet gir empirisk støtte til at CV-beregning fra transaksjonsdata er nødvendig for pålitelig klassifisering.</w:t>
      </w:r>
    </w:p>
    <w:p>
      <w:pPr>
        <w:spacing w:line="360" w:lineRule="auto"/>
        <w:jc w:val="both"/>
      </w:pPr>
      <w:r>
        <w:rPr>
          <w:rFonts w:ascii="Times New Roman" w:hAnsi="Times New Roman" w:cs="Times New Roman"/>
          <w:sz w:val="24"/>
        </w:rPr>
        <w:t>Silhouette-scoren (0,383 trening, 0,368 test) er over minstekravet 0,3 for eksplorativ analyse (Ketkar &amp; Vaidya, 2014), men moderat – noe som er typisk for lagerklassifiseringsproblemer der artikler ikke naturlig danner skarpt separerte grupper (Srinivasan &amp; Moon, 1999). Differansen på 0,015 indikerer akseptabel generalisering.</w:t>
      </w:r>
    </w:p>
    <w:p>
      <w:pPr>
        <w:spacing w:line="360" w:lineRule="auto"/>
        <w:jc w:val="both"/>
      </w:pPr>
      <w:r>
        <w:rPr>
          <w:rFonts w:ascii="Times New Roman" w:hAnsi="Times New Roman" w:cs="Times New Roman"/>
          <w:sz w:val="24"/>
        </w:rPr>
        <w:t>Base case-besparelsen (kr 451 515/år) er i tråd med Moons et al. (2019), som rapporterer moderate, men operasjonelt vesentlige gevinster ved optimalisert bestillingspraksis i europeiske sykehus. At 73,1 % av EOQ-analyserte artikler klassifiseres som FOR\_MANGE\_ORDRER er konsistent med Pujawan (2004), som viser at suboptimale partistørrelser er utbredt og kan forplante seg som ordrevariabilitet i forsyningskjeden. Suryaputri et al. (2022) bekrefter at kryssmatrisen ABC/XYZ gir merverdi utover enkeltkriterieanalyse for lagersegmentering, noe som understøtter valget om å kombinere klassifiseringsdimensjonene.</w:t>
      </w:r>
    </w:p>
    <w:p>
      <w:pPr>
        <w:spacing w:line="360" w:lineRule="auto"/>
        <w:jc w:val="both"/>
      </w:pPr>
      <w:r>
        <w:rPr>
          <w:rFonts w:ascii="Times New Roman" w:hAnsi="Times New Roman" w:cs="Times New Roman"/>
          <w:sz w:val="24"/>
        </w:rPr>
        <w:t>Tabell 16 oppsummerer de sentrale funnene fra denne studien sett opp mot forventninger fra litteraturen.</w:t>
      </w:r>
    </w:p>
    <w:p>
      <w:r>
        <w:rPr>
          <w:rFonts w:ascii="Times New Roman" w:hAnsi="Times New Roman"/>
          <w:b/>
          <w:sz w:val="20"/>
        </w:rPr>
        <w:t>Tabell 16</w:t>
      </w:r>
    </w:p>
    <w:p>
      <w:r>
        <w:rPr>
          <w:rFonts w:ascii="Times New Roman" w:hAnsi="Times New Roman"/>
          <w:i/>
          <w:sz w:val="20"/>
        </w:rPr>
        <w:t>Sammenstilling av egne resultater mot funn i eksisterende litteratur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r>
              <w:rPr>
                <w:rFonts w:ascii="Times New Roman" w:hAnsi="Times New Roman"/>
                <w:b/>
                <w:sz w:val="22"/>
              </w:rPr>
              <w:t>Funn</w:t>
            </w:r>
          </w:p>
        </w:tc>
        <w:tc>
          <w:tcPr>
            <w:tcW w:type="dxa" w:w="1754"/>
            <w:tcBorders>
              <w:top w:val="single" w:sz="8" w:space="0" w:color="000000"/>
              <w:bottom w:val="single" w:sz="4" w:space="0" w:color="000000"/>
              <w:left w:val="nil"/>
              <w:right w:val="nil"/>
            </w:tcBorders>
          </w:tcPr>
          <w:p>
            <w:r/>
            <w:r>
              <w:rPr>
                <w:rFonts w:ascii="Times New Roman" w:hAnsi="Times New Roman"/>
                <w:b/>
                <w:sz w:val="22"/>
              </w:rPr>
              <w:t>Eget resultat</w:t>
            </w:r>
          </w:p>
        </w:tc>
        <w:tc>
          <w:tcPr>
            <w:tcW w:type="dxa" w:w="1754"/>
            <w:tcBorders>
              <w:top w:val="single" w:sz="8" w:space="0" w:color="000000"/>
              <w:bottom w:val="single" w:sz="4" w:space="0" w:color="000000"/>
              <w:left w:val="nil"/>
              <w:right w:val="nil"/>
            </w:tcBorders>
          </w:tcPr>
          <w:p>
            <w:r/>
            <w:r>
              <w:rPr>
                <w:rFonts w:ascii="Times New Roman" w:hAnsi="Times New Roman"/>
                <w:b/>
                <w:sz w:val="22"/>
              </w:rPr>
              <w:t>Litteraturen</w:t>
            </w:r>
          </w:p>
        </w:tc>
        <w:tc>
          <w:tcPr>
            <w:tcW w:type="dxa" w:w="1754"/>
            <w:tcBorders>
              <w:top w:val="single" w:sz="8" w:space="0" w:color="000000"/>
              <w:bottom w:val="single" w:sz="4" w:space="0" w:color="000000"/>
              <w:left w:val="nil"/>
              <w:right w:val="nil"/>
            </w:tcBorders>
          </w:tcPr>
          <w:p>
            <w:r/>
            <w:r>
              <w:rPr>
                <w:rFonts w:ascii="Times New Roman" w:hAnsi="Times New Roman"/>
                <w:b/>
                <w:sz w:val="22"/>
              </w:rPr>
              <w:t>Konsistens med litteratur</w:t>
            </w:r>
          </w:p>
        </w:tc>
        <w:tc>
          <w:tcPr>
            <w:tcW w:type="dxa" w:w="1754"/>
            <w:tcBorders>
              <w:top w:val="single" w:sz="8" w:space="0" w:color="000000"/>
              <w:bottom w:val="single" w:sz="4" w:space="0" w:color="000000"/>
              <w:left w:val="nil"/>
              <w:right w:val="nil"/>
            </w:tcBorders>
          </w:tcPr>
          <w:p>
            <w:r/>
            <w:r>
              <w:rPr>
                <w:rFonts w:ascii="Times New Roman" w:hAnsi="Times New Roman"/>
                <w:b/>
                <w:sz w:val="22"/>
              </w:rPr>
              <w:t>Referanse</w:t>
            </w:r>
          </w:p>
        </w:tc>
      </w:tr>
      <w:tr>
        <w:tc>
          <w:tcPr>
            <w:tcW w:type="dxa" w:w="1754"/>
          </w:tcPr>
          <w:p>
            <w:r/>
            <w:r>
              <w:rPr>
                <w:rFonts w:ascii="Times New Roman" w:hAnsi="Times New Roman"/>
                <w:b w:val="0"/>
                <w:sz w:val="22"/>
              </w:rPr>
              <w:t>A-klasse andel</w:t>
            </w:r>
          </w:p>
        </w:tc>
        <w:tc>
          <w:tcPr>
            <w:tcW w:type="dxa" w:w="1754"/>
          </w:tcPr>
          <w:p>
            <w:r/>
            <w:r>
              <w:rPr>
                <w:rFonts w:ascii="Times New Roman" w:hAnsi="Times New Roman"/>
                <w:b w:val="0"/>
                <w:sz w:val="22"/>
              </w:rPr>
              <w:t>25,7 % av artikler = 80 % av verdi</w:t>
            </w:r>
          </w:p>
        </w:tc>
        <w:tc>
          <w:tcPr>
            <w:tcW w:type="dxa" w:w="1754"/>
          </w:tcPr>
          <w:p>
            <w:r/>
            <w:r>
              <w:rPr>
                <w:rFonts w:ascii="Times New Roman" w:hAnsi="Times New Roman"/>
                <w:b w:val="0"/>
                <w:sz w:val="22"/>
              </w:rPr>
              <w:t>Typisk 20–25 % etter Pareto</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Gupta et al. (2007)</w:t>
            </w:r>
          </w:p>
        </w:tc>
      </w:tr>
      <w:tr>
        <w:tc>
          <w:tcPr>
            <w:tcW w:type="dxa" w:w="1754"/>
          </w:tcPr>
          <w:p>
            <w:r/>
            <w:r>
              <w:rPr>
                <w:rFonts w:ascii="Times New Roman" w:hAnsi="Times New Roman"/>
                <w:b w:val="0"/>
                <w:sz w:val="22"/>
              </w:rPr>
              <w:t>XYZ-samsvar med SAP ZZXYZ</w:t>
            </w:r>
          </w:p>
        </w:tc>
        <w:tc>
          <w:tcPr>
            <w:tcW w:type="dxa" w:w="1754"/>
          </w:tcPr>
          <w:p>
            <w:r/>
            <w:r>
              <w:rPr>
                <w:rFonts w:ascii="Times New Roman" w:hAnsi="Times New Roman"/>
                <w:b w:val="0"/>
                <w:sz w:val="22"/>
              </w:rPr>
              <w:t>33 % (125/375)</w:t>
            </w:r>
          </w:p>
        </w:tc>
        <w:tc>
          <w:tcPr>
            <w:tcW w:type="dxa" w:w="1754"/>
          </w:tcPr>
          <w:p>
            <w:r/>
            <w:r>
              <w:rPr>
                <w:rFonts w:ascii="Times New Roman" w:hAnsi="Times New Roman"/>
                <w:b w:val="0"/>
                <w:sz w:val="22"/>
              </w:rPr>
              <w:t>Statisk klassifisering divergerer over tid</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van Kampen et al. (2012)</w:t>
            </w:r>
          </w:p>
        </w:tc>
      </w:tr>
      <w:tr>
        <w:tc>
          <w:tcPr>
            <w:tcW w:type="dxa" w:w="1754"/>
          </w:tcPr>
          <w:p>
            <w:r/>
            <w:r>
              <w:rPr>
                <w:rFonts w:ascii="Times New Roman" w:hAnsi="Times New Roman"/>
                <w:b w:val="0"/>
                <w:sz w:val="22"/>
              </w:rPr>
              <w:t>X-artikler andel</w:t>
            </w:r>
          </w:p>
        </w:tc>
        <w:tc>
          <w:tcPr>
            <w:tcW w:type="dxa" w:w="1754"/>
          </w:tcPr>
          <w:p>
            <w:r/>
            <w:r>
              <w:rPr>
                <w:rFonts w:ascii="Times New Roman" w:hAnsi="Times New Roman"/>
                <w:b w:val="0"/>
                <w:sz w:val="22"/>
              </w:rPr>
              <w:t>50,9 % (350 av 687)</w:t>
            </w:r>
          </w:p>
        </w:tc>
        <w:tc>
          <w:tcPr>
            <w:tcW w:type="dxa" w:w="1754"/>
          </w:tcPr>
          <w:p>
            <w:r/>
            <w:r>
              <w:rPr>
                <w:rFonts w:ascii="Times New Roman" w:hAnsi="Times New Roman"/>
                <w:b w:val="0"/>
                <w:sz w:val="22"/>
              </w:rPr>
              <w:t>Stabile artikler utgjør gjerne flertallet</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Nowotyńska (2013)</w:t>
            </w:r>
          </w:p>
        </w:tc>
      </w:tr>
      <w:tr>
        <w:tc>
          <w:tcPr>
            <w:tcW w:type="dxa" w:w="1754"/>
          </w:tcPr>
          <w:p>
            <w:r/>
            <w:r>
              <w:rPr>
                <w:rFonts w:ascii="Times New Roman" w:hAnsi="Times New Roman"/>
                <w:b w:val="0"/>
                <w:sz w:val="22"/>
              </w:rPr>
              <w:t>K-means silhouette</w:t>
            </w:r>
          </w:p>
        </w:tc>
        <w:tc>
          <w:tcPr>
            <w:tcW w:type="dxa" w:w="1754"/>
          </w:tcPr>
          <w:p>
            <w:r/>
            <w:r>
              <w:rPr>
                <w:rFonts w:ascii="Times New Roman" w:hAnsi="Times New Roman"/>
                <w:b w:val="0"/>
                <w:sz w:val="22"/>
              </w:rPr>
              <w:t>0,383 (tren) / 0,368 (test)</w:t>
            </w:r>
          </w:p>
        </w:tc>
        <w:tc>
          <w:tcPr>
            <w:tcW w:type="dxa" w:w="1754"/>
          </w:tcPr>
          <w:p>
            <w:r/>
            <w:r>
              <w:rPr>
                <w:rFonts w:ascii="Times New Roman" w:hAnsi="Times New Roman"/>
                <w:b w:val="0"/>
                <w:sz w:val="22"/>
              </w:rPr>
              <w:t>&gt; 0,3 akseptabelt for eksplorativ analyse</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Ketkar &amp; Vaidya (2014)</w:t>
            </w:r>
          </w:p>
        </w:tc>
      </w:tr>
      <w:tr>
        <w:tc>
          <w:tcPr>
            <w:tcW w:type="dxa" w:w="1754"/>
          </w:tcPr>
          <w:p>
            <w:r/>
            <w:r>
              <w:rPr>
                <w:rFonts w:ascii="Times New Roman" w:hAnsi="Times New Roman"/>
                <w:b w:val="0"/>
                <w:sz w:val="22"/>
              </w:rPr>
              <w:t>Besparelse (base case)</w:t>
            </w:r>
          </w:p>
        </w:tc>
        <w:tc>
          <w:tcPr>
            <w:tcW w:type="dxa" w:w="1754"/>
          </w:tcPr>
          <w:p>
            <w:r/>
            <w:r>
              <w:rPr>
                <w:rFonts w:ascii="Times New Roman" w:hAnsi="Times New Roman"/>
                <w:b w:val="0"/>
                <w:sz w:val="22"/>
              </w:rPr>
              <w:t>kr 451 515/år (g = 75 %)</w:t>
            </w:r>
          </w:p>
        </w:tc>
        <w:tc>
          <w:tcPr>
            <w:tcW w:type="dxa" w:w="1754"/>
          </w:tcPr>
          <w:p>
            <w:r/>
            <w:r>
              <w:rPr>
                <w:rFonts w:ascii="Times New Roman" w:hAnsi="Times New Roman"/>
                <w:b w:val="0"/>
                <w:sz w:val="22"/>
              </w:rPr>
              <w:t>Moderate gevinster ved ordreoptimalisering</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Moons et al. (2019)</w:t>
            </w:r>
          </w:p>
        </w:tc>
      </w:tr>
      <w:tr>
        <w:tc>
          <w:tcPr>
            <w:tcW w:type="dxa" w:w="1754"/>
          </w:tcPr>
          <w:p>
            <w:r/>
            <w:r>
              <w:rPr>
                <w:rFonts w:ascii="Times New Roman" w:hAnsi="Times New Roman"/>
                <w:b w:val="0"/>
                <w:sz w:val="22"/>
              </w:rPr>
              <w:t>FOR_MANGE_ORDRER</w:t>
            </w:r>
          </w:p>
        </w:tc>
        <w:tc>
          <w:tcPr>
            <w:tcW w:type="dxa" w:w="1754"/>
          </w:tcPr>
          <w:p>
            <w:r/>
            <w:r>
              <w:rPr>
                <w:rFonts w:ascii="Times New Roman" w:hAnsi="Times New Roman"/>
                <w:b w:val="0"/>
                <w:sz w:val="22"/>
              </w:rPr>
              <w:t>73,1 % (356/487)</w:t>
            </w:r>
          </w:p>
        </w:tc>
        <w:tc>
          <w:tcPr>
            <w:tcW w:type="dxa" w:w="1754"/>
          </w:tcPr>
          <w:p>
            <w:r/>
            <w:r>
              <w:rPr>
                <w:rFonts w:ascii="Times New Roman" w:hAnsi="Times New Roman"/>
                <w:b w:val="0"/>
                <w:sz w:val="22"/>
              </w:rPr>
              <w:t>Suboptimal bestilling utbredt i sykehus</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Volland et al. (2017)</w:t>
            </w:r>
          </w:p>
        </w:tc>
      </w:tr>
      <w:tr>
        <w:tc>
          <w:tcPr>
            <w:tcW w:type="dxa" w:w="1754"/>
          </w:tcPr>
          <w:p>
            <w:r/>
            <w:r>
              <w:rPr>
                <w:rFonts w:ascii="Times New Roman" w:hAnsi="Times New Roman"/>
                <w:b w:val="0"/>
                <w:sz w:val="22"/>
              </w:rPr>
              <w:t>ABC/XYZ-matrise</w:t>
            </w:r>
          </w:p>
        </w:tc>
        <w:tc>
          <w:tcPr>
            <w:tcW w:type="dxa" w:w="1754"/>
          </w:tcPr>
          <w:p>
            <w:r/>
            <w:r>
              <w:rPr>
                <w:rFonts w:ascii="Times New Roman" w:hAnsi="Times New Roman"/>
                <w:b w:val="0"/>
                <w:sz w:val="22"/>
              </w:rPr>
              <w:t>9-felts kryssklassifisering</w:t>
            </w:r>
          </w:p>
        </w:tc>
        <w:tc>
          <w:tcPr>
            <w:tcW w:type="dxa" w:w="1754"/>
          </w:tcPr>
          <w:p>
            <w:r/>
            <w:r>
              <w:rPr>
                <w:rFonts w:ascii="Times New Roman" w:hAnsi="Times New Roman"/>
                <w:b w:val="0"/>
                <w:sz w:val="22"/>
              </w:rPr>
              <w:t>Gir økt segmenteringsverdi</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Suryaputri et al. (2022)</w:t>
            </w:r>
          </w:p>
        </w:tc>
      </w:tr>
      <w:tr>
        <w:tc>
          <w:tcPr>
            <w:tcW w:type="dxa" w:w="1754"/>
          </w:tcPr>
          <w:p>
            <w:r/>
            <w:r>
              <w:rPr>
                <w:rFonts w:ascii="Times New Roman" w:hAnsi="Times New Roman"/>
                <w:b w:val="0"/>
                <w:sz w:val="22"/>
              </w:rPr>
              <w:t>K-means merverdi</w:t>
            </w:r>
          </w:p>
        </w:tc>
        <w:tc>
          <w:tcPr>
            <w:tcW w:type="dxa" w:w="1754"/>
          </w:tcPr>
          <w:p>
            <w:r/>
            <w:r>
              <w:rPr>
                <w:rFonts w:ascii="Times New Roman" w:hAnsi="Times New Roman"/>
                <w:b w:val="0"/>
                <w:sz w:val="22"/>
              </w:rPr>
              <w:t>Begrenset – bekrefter ABC/XYZ</w:t>
            </w:r>
          </w:p>
        </w:tc>
        <w:tc>
          <w:tcPr>
            <w:tcW w:type="dxa" w:w="1754"/>
          </w:tcPr>
          <w:p>
            <w:r/>
            <w:r>
              <w:rPr>
                <w:rFonts w:ascii="Times New Roman" w:hAnsi="Times New Roman"/>
                <w:b w:val="0"/>
                <w:sz w:val="22"/>
              </w:rPr>
              <w:t>Klyngeanalyse komplementær, men ofte bekreftende</w:t>
            </w:r>
          </w:p>
        </w:tc>
        <w:tc>
          <w:tcPr>
            <w:tcW w:type="dxa" w:w="1754"/>
          </w:tcPr>
          <w:p>
            <w:r/>
            <w:r>
              <w:rPr>
                <w:rFonts w:ascii="Times New Roman" w:hAnsi="Times New Roman"/>
                <w:b w:val="0"/>
                <w:sz w:val="22"/>
              </w:rPr>
              <w:t>Delvis</w:t>
            </w:r>
          </w:p>
        </w:tc>
        <w:tc>
          <w:tcPr>
            <w:tcW w:type="dxa" w:w="1754"/>
          </w:tcPr>
          <w:p>
            <w:r/>
            <w:r>
              <w:rPr>
                <w:rFonts w:ascii="Times New Roman" w:hAnsi="Times New Roman"/>
                <w:b w:val="0"/>
                <w:sz w:val="22"/>
              </w:rPr>
              <w:t>Srinivasan &amp; Moon (1999)</w:t>
            </w:r>
          </w:p>
        </w:tc>
      </w:tr>
    </w:tbl>
    <w:p>
      <w:pPr>
        <w:pStyle w:val="Overskrift2"/>
      </w:pPr>
      <w:r>
        <w:rPr>
          <w:rFonts w:ascii="Times New Roman" w:hAnsi="Times New Roman"/>
          <w:color w:val="000000"/>
          <w:sz w:val="32"/>
        </w:rPr>
        <w:t>8.2 Metodekritikk</w:t>
      </w:r>
    </w:p>
    <w:p>
      <w:pPr>
        <w:spacing w:line="360" w:lineRule="auto"/>
        <w:jc w:val="both"/>
      </w:pPr>
      <w:r>
        <w:rPr>
          <w:rFonts w:ascii="Times New Roman" w:hAnsi="Times New Roman" w:cs="Times New Roman"/>
          <w:sz w:val="24"/>
        </w:rPr>
        <w:t>SAP S/4HANA-data fra SE16H er operasjonelle systemdata. Transaksjonsdataene (MSEG, EKBE) registreres automatisk ved hvert varemottak, lageruttak og bestilling, og er ikke gjenstand for hukommelsesfeil eller sosial ønskverdighet, noe som gir dem høy reliabilitet sammenlignet med spørreundersøkelsesdata (Saha &amp; Ray, 2019). Stamdata (MARA, MBEW) er imidlertid manuelt vedlikeholdt og kan inneholde feil i prisregistrering eller klassifisering. For de 204 artiklene der ABC-verdien er beregnet fra STPRS (D-03), vil eventuelle prisavvik direkte påvirke klassifiseringen. Analysescriptet er deterministisk og reproduserbart: gitt samme kildedata og samme script vil analysen gi identiske resultater. Dette er en metodisk styrke som er viktig for en studie der anbefalingene potensielt vil danne grunnlag for strategiske beslutninger. En potensiell svakhet ved datagrunnlaget er at MSEG-data kun fanger forbruk registrert i SAP; forbruk som skjer utenom systemet – for eksempel ved nøduttak som ikke dokumenteres – vil ikke fremgå av analysen.</w:t>
      </w:r>
    </w:p>
    <w:p>
      <w:pPr>
        <w:spacing w:line="360" w:lineRule="auto"/>
        <w:jc w:val="both"/>
      </w:pPr>
      <w:r>
        <w:rPr>
          <w:rFonts w:ascii="Times New Roman" w:hAnsi="Times New Roman" w:cs="Times New Roman"/>
          <w:sz w:val="24"/>
        </w:rPr>
        <w:t>Intern validitet handler om hvorvidt ABC-analysen faktisk måler det den hevder å måle for LGORT 3001. For de 505 artiklene der ABC-verdi er basert på faktiske EKPO-innkjøpsdata (ABC_VALUE_SOURCE = EKPO), er dette uproblematisk. For de 204 artiklene der verdien er beregnet som D_ANNUAL × UNIT_PRICE (D-03), er det en implisitt antagelse om at forbruksvolum og standardpris gir et godt estimat for faktisk verdi. Dersom standardprisen i MBEW avviker vesentlig fra faktisk innkjøpspris, vil ABC-rangeringen for disse artiklene være feilaktig. En oppfølgingsstudie bør undersøke prisavviket mellom STPRS og faktisk kjøpspris for de 204 beregnede artiklene.</w:t>
      </w:r>
    </w:p>
    <w:p>
      <w:pPr>
        <w:spacing w:line="360" w:lineRule="auto"/>
        <w:jc w:val="both"/>
      </w:pPr>
      <w:r>
        <w:rPr>
          <w:rFonts w:ascii="Times New Roman" w:hAnsi="Times New Roman" w:cs="Times New Roman"/>
          <w:sz w:val="24"/>
        </w:rPr>
        <w:t>Studien gjennomfører ingen ekstern validering av regelmotor-anbefalingene mot innkjøpsfaglig skjønn eller historiske overføringsbeslutninger. Dette er en anerkjent begrensning ved normative klassifiseringsmodeller, som van Kampen et al. (2012) påpeker at alltid innebærer en grad av normativt skjønn i regelutformingen som vanskelig lar seg verifisere rent kvantitativt. Manglende ekstern validering innebærer at regelmotoren bør betraktes som et strukturert beslutningsunderlag, ikke som en autorisert beslutning. Konkret innebærer dette at vi ikke kan angi modellens presisjon (andel korrekte OVERFØR-anbefalinger) eller recall (andel faktisk egnede artikler som fanges opp). Fraværet skyldes at ingen historisk referanseklassifisering eksisterer ved Helse Bergen – det er nettopp dette gapet studien adresserer. Resultatene bør dermed tolkes som et førstegenerasjons beslutningsunderlag. En planlagt oppfølgingsfase ved Helse Bergen vil innebære faglig gjennomgang av OVERFØR-listen mot innkjøpsfaglig og klinisk kompetanse, noe som vil gi det første empiriske grunnlaget for å kalibrere regelmotoren.</w:t>
      </w:r>
    </w:p>
    <w:p>
      <w:pPr>
        <w:spacing w:line="360" w:lineRule="auto"/>
        <w:jc w:val="both"/>
      </w:pPr>
      <w:r>
        <w:rPr>
          <w:rFonts w:ascii="Times New Roman" w:hAnsi="Times New Roman" w:cs="Times New Roman"/>
          <w:sz w:val="24"/>
        </w:rPr>
        <w:t>EOQ-modellen forutsetter deterministisk og stasjonær etterspørsel (Wilson-formelen). Analysen anvender EOQ på de 350 X-artiklene (</w:t>
      </w:r>
      <m:oMath>
        <m:r>
          <m:t>CV&lt;0,5</m:t>
        </m:r>
      </m:oMath>
      <w:r>
        <w:rPr>
          <w:rFonts w:ascii="Times New Roman" w:hAnsi="Times New Roman" w:cs="Times New Roman"/>
          <w:sz w:val="24"/>
        </w:rPr>
        <w:t xml:space="preserve">), men det er ikke gjennomført en formell stasjonaritets- eller normalitetstest for disse artiklenes etterspørselsserier. For artiklene med størst </w:t>
      </w:r>
      <m:oMath>
        <m:r>
          <m:t>ΔTC</m:t>
        </m:r>
      </m:oMath>
      <w:r>
        <w:rPr>
          <w:rFonts w:ascii="Times New Roman" w:hAnsi="Times New Roman" w:cs="Times New Roman"/>
          <w:sz w:val="24"/>
        </w:rPr>
        <w:t xml:space="preserve"> – som utgjør grunnlaget for besparelsesestimatet – representerer dette en potensiell intern validitetstrussel: dersom etterspørselen er sesongavhengig eller har trend, vil den optimale ordrefrekvensen </w:t>
      </w:r>
      <m:oMath>
        <m:sSup>
          <m:e>
            <m:r>
              <m:t>f</m:t>
            </m:r>
          </m:e>
          <m:sup>
            <m:r>
              <m:t>*</m:t>
            </m:r>
          </m:sup>
        </m:sSup>
      </m:oMath>
      <w:r>
        <w:rPr>
          <w:rFonts w:ascii="Times New Roman" w:hAnsi="Times New Roman" w:cs="Times New Roman"/>
          <w:sz w:val="24"/>
        </w:rPr>
        <w:t xml:space="preserve"> avvike fra Wilson-estimatet. Hautaniemi og Pirttilä (1999) påpeker at EOQ-baserte beregninger er mest pålitelige for artikler med lav variabilitet, noe som understøtter valget om å begrense analysen til X-klassen, men en formell stasjonaritetstest (f.eks. augmented Dickey–Fuller) ville styrket den interne validiteten ytterligere. Et mitigerende argument er at X-artikler per definisjon har </w:t>
      </w:r>
      <m:oMath>
        <m:r>
          <m:t>CV&lt;0,5,</m:t>
        </m:r>
      </m:oMath>
      <w:r>
        <w:rPr>
          <w:rFonts w:ascii="Times New Roman" w:hAnsi="Times New Roman" w:cs="Times New Roman"/>
          <w:sz w:val="24"/>
        </w:rPr>
        <w:t xml:space="preserve"> noe som innebærer at etterspørselsvariansen er lav relativt til gjennomsnittet over den 24-månedersperioden analysen dekker. EOQ-avviksanalysens primære formål er dessuten </w:t>
      </w:r>
      <w:r>
        <w:rPr>
          <w:rFonts w:ascii="Times New Roman" w:hAnsi="Times New Roman" w:cs="Times New Roman"/>
          <w:i/>
          <w:sz w:val="24"/>
        </w:rPr>
        <w:t>relativ rangering</w:t>
      </w:r>
      <w:r>
        <w:rPr>
          <w:rFonts w:ascii="Times New Roman" w:hAnsi="Times New Roman" w:cs="Times New Roman"/>
          <w:sz w:val="24"/>
        </w:rPr>
        <w:t xml:space="preserve"> av artikler etter kostnadsavvik, ikke eksakt kostnadsestimering. En eventuell ikke-stasjonaritet – f.eks. sesongvariasjon eller svak trend – vil typisk skalere </w:t>
      </w:r>
      <m:oMath>
        <m:sSup>
          <m:e>
            <m:r>
              <m:t>f</m:t>
            </m:r>
          </m:e>
          <m:sup>
            <m:r>
              <m:t>*</m:t>
            </m:r>
          </m:sup>
        </m:sSup>
      </m:oMath>
      <w:r>
        <w:rPr>
          <w:rFonts w:ascii="Times New Roman" w:hAnsi="Times New Roman" w:cs="Times New Roman"/>
          <w:sz w:val="24"/>
        </w:rPr>
        <w:t xml:space="preserve"> og dermed </w:t>
      </w:r>
      <m:oMath>
        <m:r>
          <m:t>ΔT</m:t>
        </m:r>
        <m:sSub>
          <m:e>
            <m:r>
              <m:t>C</m:t>
            </m:r>
          </m:e>
          <m:sub>
            <m:r>
              <m:t>i</m:t>
            </m:r>
          </m:sub>
        </m:sSub>
      </m:oMath>
      <w:r>
        <w:rPr>
          <w:rFonts w:ascii="Times New Roman" w:hAnsi="Times New Roman" w:cs="Times New Roman"/>
          <w:sz w:val="24"/>
        </w:rPr>
        <w:t xml:space="preserve"> proporsjonalt på tvers av sammenlignbare X-artikler, slik at rangordenen mellom artiklene bevares selv om absoluttverdiene endres. Konsekvensen for overføringsbeslutningen – som bygger på rangeringen, ikke på eksakt beløp per artikkel – er derfor liten. En formell stasjonaritetstest (f.eks. augmented Dickey–Fuller) i en oppfølgingsstudie vil likevel styrke den interne validiteten ytterligere.</w:t>
      </w:r>
    </w:p>
    <w:p>
      <w:pPr>
        <w:spacing w:line="360" w:lineRule="auto"/>
        <w:jc w:val="both"/>
      </w:pPr>
      <w:r>
        <w:rPr>
          <w:rFonts w:ascii="Times New Roman" w:hAnsi="Times New Roman" w:cs="Times New Roman"/>
          <w:sz w:val="24"/>
        </w:rPr>
        <w:t xml:space="preserve">En videre validitetstrussel er at </w:t>
      </w:r>
      <m:oMath>
        <m:d>
          <m:dPr>
            <m:begChr m:val="|"/>
            <m:sepChr m:val=""/>
            <m:endChr m:val="|"/>
          </m:dPr>
          <m:e>
            <m:r>
              <m:t>Δ</m:t>
            </m:r>
            <m:r>
              <m:t>T</m:t>
            </m:r>
            <m:r>
              <m:t>C</m:t>
            </m:r>
          </m:e>
        </m:d>
      </m:oMath>
      <w:r>
        <w:rPr>
          <w:rFonts w:ascii="Times New Roman" w:hAnsi="Times New Roman" w:cs="Times New Roman"/>
          <w:sz w:val="24"/>
        </w:rPr>
        <w:t xml:space="preserve"> inngår både som feature i K-means-klyngingen og som tellevariabel i besparelsesberegningen. Dette gir en mild metodisk sirkularitet: artikler med høyt EOQ-avvik tenderer mot K\_OVERFØR-klyngen, som så brukes som signal i regelmotor R4/R5 for å anbefale OVERFØR – samtidig som det samme </w:t>
      </w:r>
      <m:oMath>
        <m:d>
          <m:dPr>
            <m:begChr m:val="|"/>
            <m:sepChr m:val=""/>
            <m:endChr m:val="|"/>
          </m:dPr>
          <m:e>
            <m:r>
              <m:t>Δ</m:t>
            </m:r>
            <m:r>
              <m:t>T</m:t>
            </m:r>
            <m:r>
              <m:t>C</m:t>
            </m:r>
          </m:e>
        </m:d>
      </m:oMath>
      <w:r>
        <w:rPr>
          <w:rFonts w:ascii="Times New Roman" w:hAnsi="Times New Roman" w:cs="Times New Roman"/>
          <w:sz w:val="24"/>
        </w:rPr>
        <w:t xml:space="preserve"> kvantifiserer den estimerte besparelsen. Sirkulariteten er begrenset av at K-means bruker absoluttverdien (signalstyrke), mens besparelsesformelen kun summerer signerte positive avvik fra FOR\_MANGE\_ORDRER, men leseren bør være oppmerksom på sammenhengen når besparelsesestimatet tolkes.</w:t>
      </w:r>
    </w:p>
    <w:p>
      <w:pPr>
        <w:spacing w:line="360" w:lineRule="auto"/>
        <w:jc w:val="both"/>
      </w:pPr>
      <w:r>
        <w:rPr>
          <w:rFonts w:ascii="Times New Roman" w:hAnsi="Times New Roman" w:cs="Times New Roman"/>
          <w:sz w:val="24"/>
        </w:rPr>
        <w:t xml:space="preserve">Besparelsesestimatet </w:t>
      </w:r>
      <m:oMath>
        <m:sSub>
          <m:e>
            <m:r>
              <m:t>B</m:t>
            </m:r>
          </m:e>
          <m:sub>
            <m:r>
              <m:rPr>
                <m:nor/>
              </m:rPr>
              <m:t>HVFS</m:t>
            </m:r>
          </m:sub>
        </m:sSub>
        <m:r>
          <m:t>=∑ΔT</m:t>
        </m:r>
        <m:sSub>
          <m:e>
            <m:r>
              <m:t>C</m:t>
            </m:r>
          </m:e>
          <m:sub>
            <m:r>
              <m:t>i</m:t>
            </m:r>
          </m:sub>
        </m:sSub>
        <m:r>
          <m:t>·g</m:t>
        </m:r>
      </m:oMath>
      <w:r>
        <w:rPr>
          <w:rFonts w:ascii="Times New Roman" w:hAnsi="Times New Roman" w:cs="Times New Roman"/>
          <w:sz w:val="24"/>
        </w:rPr>
        <w:t xml:space="preserve"> fanger utelukkende transaksjonskostnadsavviket fra suboptimal ordrefrekvens for de 117 artiklene i skjæringspunktet OVERFØR\_HVFS </w:t>
      </w:r>
      <m:oMath>
        <m:r>
          <m:t>∩</m:t>
        </m:r>
      </m:oMath>
      <w:r>
        <w:rPr>
          <w:rFonts w:ascii="Times New Roman" w:hAnsi="Times New Roman" w:cs="Times New Roman"/>
          <w:sz w:val="24"/>
        </w:rPr>
        <w:t xml:space="preserve"> FOR\_MANGE\_ORDRER. Tre kostnadselementer er eksplisitt utenfor modellens rekkevidde: (1) redusert lokal lagerkapitalbinding ved overføring – en positiv gevinst som ikke er kvantifisert, men som Kelle et al. (2012) anslår til 5–15 % av lagerverdien for sentraliserte artikler; (2) transportkostnader fra HVFS til avdeling via APL-modellen, som representerer en motpost og må kartlegges i implementeringsfasen; og (3) engangskostnader for SAP MM-konfigurering, leverandørforhandlinger og prosessomstilling. Estimatet er dermed et konservativt transaksjonskostnadsestimat som ikke omfatter den fulle netto besparelseseffekten av sentralisering.</w:t>
      </w:r>
    </w:p>
    <w:p>
      <w:pPr>
        <w:spacing w:line="360" w:lineRule="auto"/>
        <w:jc w:val="both"/>
      </w:pPr>
      <w:r>
        <w:rPr>
          <w:rFonts w:ascii="Times New Roman" w:hAnsi="Times New Roman" w:cs="Times New Roman"/>
          <w:sz w:val="24"/>
        </w:rPr>
        <w:t>Studien er avgrenset til WERKS 3300, LGORT 3001 ved Helse Bergen. Det er ikke grunnlag for å hevde at de eksakte tallresultatene gjelder for andre WERKS-enheter i Helse Vest. Metoderammeverket – kombinasjonen av ABC, XYZ, EOQ og K-means med en regelmotor – er imidlertid fullt reproduserbart og kan, med tilpassing av parameterinnstillinger, anvendes på tilsvarende SAP-datastrukturer ved andre helseforetak. Fragapane et al. (2019) argumenterer for at datadrevne klassifiseringsmetoder for sykehuslogistikk har generell overføringsverdi så lenge datagrunnlaget er av tilsvarende type og kvalitet. Det er likevel viktig å være nøktern: strukturelle forskjeller mellom helseforetak – ulik sortimentssammensetning, ulike leverandøravtaler og ulike driftsmodeller – vil påvirke resultater og anbefalinger.</w:t>
      </w:r>
    </w:p>
    <w:p>
      <w:pPr>
        <w:pStyle w:val="Overskrift2"/>
      </w:pPr>
      <w:r>
        <w:rPr>
          <w:rFonts w:ascii="Times New Roman" w:hAnsi="Times New Roman"/>
          <w:color w:val="000000"/>
          <w:sz w:val="32"/>
        </w:rPr>
        <w:t>8.3 Praktisk betydning for Helse Bergen</w:t>
      </w:r>
    </w:p>
    <w:p>
      <w:pPr>
        <w:spacing w:line="360" w:lineRule="auto"/>
        <w:jc w:val="both"/>
      </w:pPr>
      <w:r>
        <w:rPr>
          <w:rFonts w:ascii="Times New Roman" w:hAnsi="Times New Roman" w:cs="Times New Roman"/>
          <w:sz w:val="24"/>
        </w:rPr>
        <w:t>At 145 artikler anbefales overført til HVFS innebærer en konkret overgang fra lokal lagerhåndtering til sentralisert forsyning via NorEngros og APL-leveransemodellen. I praksis betyr dette at bestillingsansvaret for disse artiklene flyttes fra Helse Bergens innkjøpsenhet til HVFS, og at artiklene mottas avdelingspakket i stedet for som bulk til forsyningslageret LGORT 3001. En slik overgang forutsetter endringer i SAP MM-oppsettet: MRP-type bør gjennomgås og justeres, og ordrekvantumsparametere (minimum ordrekvantum, avrundingsverdi) bør kalibreres mot EOQ-optimal frekvens for de aktuelle artiklene. De 117 artiklene som er i skjæringspunktet OVERFØR_HVFS ∩ FOR_MANGE_ORDRER representerer de mest presserende tilfellene, der den nåværende ordrepraksisen avviker vesentlig fra det som er kostnadsoptimalt.</w:t>
      </w:r>
    </w:p>
    <w:p>
      <w:pPr>
        <w:spacing w:line="360" w:lineRule="auto"/>
        <w:jc w:val="both"/>
      </w:pPr>
      <w:r>
        <w:rPr>
          <w:rFonts w:ascii="Times New Roman" w:hAnsi="Times New Roman" w:cs="Times New Roman"/>
          <w:sz w:val="24"/>
        </w:rPr>
        <w:t>Den største enkeltgruppen er artikler som regelmotoren sender til manuell vurdering. Disse 284 artiklene kan ikke automatisk klassifiseres med tilstrekkelig sikkerhet basert på de tilgjengelige kvantitative signalene alene. En strukturert gjennomgang av denne gruppen bør inkludere innkjøpsfaglig skjønn: hvilke av disse artiklene er kritiske for pasientbehandling og bør forbli lokalt tilgjengelig uavhengig av kvantitative analysesignaler? De Vries (2011) påpeker at lagerstyring i helsesektoren alltid må balansere kostnadsoptimalisering mot forsyningssikkerhet, og at sistnevnte hensyn legitimt kan overstyre det førstnevnte for utvalgte artikler. Kategorien BEHOLD LOKALT (257 artikler) er analytisk velbegrunnet og krever ikke umiddelbar oppfølging, men bør inkluderes i en periodisk revidering av klassifiseringen.</w:t>
      </w:r>
    </w:p>
    <w:p>
      <w:pPr>
        <w:spacing w:line="360" w:lineRule="auto"/>
        <w:jc w:val="both"/>
      </w:pPr>
      <w:r>
        <w:rPr>
          <w:rFonts w:ascii="Times New Roman" w:hAnsi="Times New Roman" w:cs="Times New Roman"/>
          <w:sz w:val="24"/>
        </w:rPr>
        <w:t>Besparelsesestimatet forutsetter at HVFS-overføringen faktisk fører til endret bestillingspraksis og redusert ordrefrekvens. Dette er ikke automatisk: dersom SAP MM-parametere ikke justeres, vil systemet fortsette å generere ordrer med eksisterende frekvens. Gevinstrealisering krever dermed aktiv oppfølging i SAP – noe som igjen understreker at den kvantitative analysen er ett steg i en lengre implementeringsprosess, ikke et selvstendig endepunkt.</w:t>
      </w:r>
    </w:p>
    <w:p>
      <w:pPr>
        <w:spacing w:line="360" w:lineRule="auto"/>
        <w:jc w:val="both"/>
      </w:pPr>
      <w:r>
        <w:rPr>
          <w:rFonts w:ascii="Times New Roman" w:hAnsi="Times New Roman" w:cs="Times New Roman"/>
          <w:sz w:val="24"/>
        </w:rPr>
        <w:t>For LIBRA-prosjektet spesifikt innebærer resultatene at det foreligger et forslag til et kvantitativt, reproduserbart beslutningsgrunnlag som potensielt kan integreres i den regionale utrullingen av sentralisert forsyning. Rammeverket kan brukes som mal for tilsvarende analyser ved de øvrige helseforetakene (Helse Stavanger, Helse Fonna, Helse Førde) etter hvert som de kobles på HVFS via SAP S/4HANA. Dersom LIBRA velger å implementere periodisk reklassifisering – for eksempel årlig – vil analysescriptet kunne kjøres på oppdaterte data uten metodisk tilpasning, noe som gir HVFS et verktøy for kontinuerlig porteføljeoptimalisering.</w:t>
      </w:r>
    </w:p>
    <w:p>
      <w:pPr>
        <w:pStyle w:val="Overskrift2"/>
      </w:pPr>
      <w:r>
        <w:rPr>
          <w:rFonts w:ascii="Times New Roman" w:hAnsi="Times New Roman"/>
          <w:color w:val="000000"/>
          <w:sz w:val="32"/>
        </w:rPr>
        <w:t>8.4 Svakheter og begrensninger</w:t>
      </w:r>
    </w:p>
    <w:p>
      <w:pPr>
        <w:spacing w:line="360" w:lineRule="auto"/>
        <w:jc w:val="both"/>
      </w:pPr>
      <w:r>
        <w:rPr>
          <w:rFonts w:ascii="Times New Roman" w:hAnsi="Times New Roman" w:cs="Times New Roman"/>
          <w:sz w:val="24"/>
        </w:rPr>
        <w:t xml:space="preserve">Realiseringsgraden </w:t>
      </w:r>
      <m:oMath>
        <m:r>
          <m:t>g</m:t>
        </m:r>
      </m:oMath>
      <w:r>
        <w:rPr>
          <w:rFonts w:ascii="Times New Roman" w:hAnsi="Times New Roman" w:cs="Times New Roman"/>
          <w:sz w:val="24"/>
        </w:rPr>
        <w:t xml:space="preserve"> i besparelsesformelen er en scenarioparameter, ikke en empirisk prognose. Verdien </w:t>
      </w:r>
      <m:oMath>
        <m:r>
          <m:t>g=75</m:t>
        </m:r>
        <m:r>
          <m:t>%</m:t>
        </m:r>
      </m:oMath>
      <w:r>
        <w:rPr>
          <w:rFonts w:ascii="Times New Roman" w:hAnsi="Times New Roman" w:cs="Times New Roman"/>
          <w:sz w:val="24"/>
        </w:rPr>
        <w:t xml:space="preserve"> (base case) er en ekspertantagelse uten direkte empirisk belegg fra sykehuslogistikk, og representerer den viktigste enkeltusikkerheten i besparelsesestimatet. Intervallet 50–100 % er valgt for å fange realistisk implementeringsfriksjon: tre-scenarioanalysen gjør usikkerheten eksplisitt og lar beslutningstaker vurdere robustheten. Ettersom estimatet kun fanger transaksjonskostnadsavviket og utelater kapitalbindingsgevinsten – som Kelle et al. (2012) anslår til 5–15 % av lagerverdien – vil den faktiske nettogevinsten sannsynligvis ligge høyere enn base case isolert sett tilsier, selv med moderat gevinstrealisering. Tilsvarende er ordrekostnad </w:t>
      </w:r>
      <m:oMath>
        <m:r>
          <m:t>S=750</m:t>
        </m:r>
      </m:oMath>
      <w:r>
        <w:rPr>
          <w:rFonts w:ascii="Times New Roman" w:hAnsi="Times New Roman" w:cs="Times New Roman"/>
          <w:sz w:val="24"/>
        </w:rPr>
        <w:t xml:space="preserve"> NOK basert på internasjonal litteratur og ikke empirisk estimert for Helse Bergen; en ABC-kalkyle (Activity-Based Costing) av faktisk ordrekostnad ville styrket estimatets presisjon. Den faktiske gevinsten avhenger av gjennomføringskvalitet, leverandørenes kapasitet og Helse Bergens evne til å revidere SAP-parametere. Sensitivitetsanalysen over 27 scenarier synliggjør bredden i usikkerhetsintervallet.</w:t>
      </w:r>
    </w:p>
    <w:p>
      <w:pPr>
        <w:spacing w:line="360" w:lineRule="auto"/>
        <w:jc w:val="both"/>
      </w:pPr>
      <w:r>
        <w:rPr>
          <w:rFonts w:ascii="Times New Roman" w:hAnsi="Times New Roman" w:cs="Times New Roman"/>
          <w:sz w:val="24"/>
        </w:rPr>
        <w:t>Standardverdien for leveringstid på 14 dager (94 % av artiklene) har begrenset direkte effekt på den frekvensbaserte EOQ-analysen, men vil være avgjørende for en fremtidig ROP-analyse. Analyseperioden 2024–2025 kan fortsatt være påvirket av ettervirkninger fra COVID-19-pandemien, noe som kan gi misvisende CV for enkeltartikler.</w:t>
      </w:r>
    </w:p>
    <w:p>
      <w:pPr>
        <w:spacing w:line="360" w:lineRule="auto"/>
        <w:jc w:val="both"/>
      </w:pPr>
      <w:r>
        <w:rPr>
          <w:rFonts w:ascii="Times New Roman" w:hAnsi="Times New Roman" w:cs="Times New Roman"/>
          <w:sz w:val="24"/>
        </w:rPr>
        <w:t xml:space="preserve">K-means er sensitiv overfor valget av K (Srinivasan &amp; Moon, 1999): med </w:t>
      </w:r>
      <m:oMath>
        <m:r>
          <m:t>K=2</m:t>
        </m:r>
      </m:oMath>
      <w:r>
        <w:rPr>
          <w:rFonts w:ascii="Times New Roman" w:hAnsi="Times New Roman" w:cs="Times New Roman"/>
          <w:sz w:val="24"/>
        </w:rPr>
        <w:t xml:space="preserve"> eller </w:t>
      </w:r>
      <m:oMath>
        <m:r>
          <m:t>K=4</m:t>
        </m:r>
      </m:oMath>
      <w:r>
        <w:rPr>
          <w:rFonts w:ascii="Times New Roman" w:hAnsi="Times New Roman" w:cs="Times New Roman"/>
          <w:sz w:val="24"/>
        </w:rPr>
        <w:t xml:space="preserve"> ville klyngestrukturen sett annerledes ut. Z-score-standardiseringen gir de tre featurene lik vekt – en normativ beslutning som påvirker klyngeresultatene. CV-koeffisienten har en kjent svakhet ved lavt forbruksvolum, der enkeltutleveringer kan gi kunstig høy eller lav CV. K-means overlapper i stor grad med artikler som identifiseres via ABC/XYZ-reglene (R3) – et utfall som er både forventet og ettersøkt gitt designvalget redegjort for i avsnitt 5.4. Metodens merverdi ligger i metodisk triangulering: at en datadrevet, terskelfri segmentering konvergerer mot samme artikkelgrupper som den terskelbaserte ABC/XYZ-klassifiseringen, utgjør et validitetsargument som styrker tilliten til at terskelvalgene (80/95 % for ABC, 0,5/1,0 for CV) ikke er vilkårlige for dette datasettet. Begrensningen er at K-means dermed bidrar med relativt lite uavhengig informasjonsinnhold utover denne valideringen; en fremtidig analyse som utvider featurevektoren med kritikalitet (VED) eller leveringstid vil kunne gi klyngeanalysen en mer selvstendig rolle.</w:t>
      </w:r>
    </w:p>
    <w:p>
      <w:pPr>
        <w:spacing w:line="360" w:lineRule="auto"/>
        <w:jc w:val="both"/>
      </w:pPr>
      <w:r>
        <w:rPr>
          <w:rFonts w:ascii="Times New Roman" w:hAnsi="Times New Roman" w:cs="Times New Roman"/>
          <w:sz w:val="24"/>
        </w:rPr>
        <w:t>For 204 artikler uten EKPO-data er ABC-verdien beregnet fra D_ANNUAL × UNIT_PRICE. Av de 199 som har tilstrekkelig data til ABC-klassifisering, havner 98 i A-klassen og 63 i B-klassen. Dersom standardprisen systematisk avviker fra faktisk innkjøpspris, kan ABC-rangeringen for disse artiklene være upresis. Risikoen dempes av at regelmotoren krever flere sammenfallende signaler (ABC + XYZ + EOQ/K-means) for OVERFØR-anbefaling – en isolert ABC-feil vil dermed sjelden alene utløse en feilklassifisering.</w:t>
      </w:r>
    </w:p>
    <w:p>
      <w:pPr>
        <w:spacing w:line="360" w:lineRule="auto"/>
        <w:jc w:val="both"/>
      </w:pPr>
      <w:r>
        <w:rPr>
          <w:rFonts w:ascii="Times New Roman" w:hAnsi="Times New Roman" w:cs="Times New Roman"/>
          <w:sz w:val="24"/>
        </w:rPr>
        <w:t>Modellen inkluderer ikke en eksplisitt kritikalitetsdimensjon som VED (Vital, Essential, Desirable). I sykehuslogistikk er kritikalitet en primær styringsparameter (Gupta et al., 2007; Gurumurthy et al., 2021), og fraværet innebærer at OVERFØR-anbefalingen kan omfatte artikler der leveringssvikt har alvorlige pasientkonsekvenser. Kritikalitetsdata inngår ikke som strukturert variabel i det aktuelle datauttrekket; ved Helse Bergen er VED-vurderingen i praksis basert på klinisk skjønn og foreligger ikke i maskinlesbar form. Regelmotorens R1-regel (Z-override) fungerer som en delvis kompensasjon ved å holde artikler med uregelmessig forbruk lokalt, men dette erstatter ikke en eksplisitt kritikalitetsvurdering. Pilotvalideringen (anbefaling 1, kap. 9.2) bør eksplisitt inkludere en klinisk kritikalitetsvurdering som supplement til de kvantitative signalene.</w:t>
      </w:r>
    </w:p>
    <w:p>
      <w:pPr>
        <w:spacing w:line="360" w:lineRule="auto"/>
        <w:jc w:val="both"/>
      </w:pPr>
      <w:r>
        <w:rPr>
          <w:rFonts w:ascii="Times New Roman" w:hAnsi="Times New Roman" w:cs="Times New Roman"/>
          <w:sz w:val="24"/>
        </w:rPr>
        <w:t>Studien benytter kun K-means som klyngealgoritme. En sammenligning med hierarkisk klynging eller DBSCAN ville styrket tilliten til klyngeresultatene, særlig gitt at silhouette-scoren (0,383) indikerer moderat separasjon.</w:t>
      </w:r>
    </w:p>
    <w:p>
      <w:pPr>
        <w:spacing w:line="360" w:lineRule="auto"/>
        <w:jc w:val="both"/>
      </w:pPr>
      <w:r>
        <w:rPr>
          <w:rFonts w:ascii="Times New Roman" w:hAnsi="Times New Roman" w:cs="Times New Roman"/>
          <w:sz w:val="24"/>
        </w:rPr>
        <w:t>Besparelsesestimatet er beregnet analytisk. En Monte Carlo-simulering av bestillingsfrekvensendringer for de største overføringskandidatene ville gitt et dynamisk estimat som fanger samspillet mellom ordrefrekvens, lagernivå og servicenivå over tid.</w:t>
      </w:r>
    </w:p>
    <w:p>
      <w:pPr>
        <w:pStyle w:val="Overskrift1"/>
        <w:pageBreakBefore w:val="true"/>
      </w:pPr>
      <w:r>
        <w:rPr>
          <w:rFonts w:ascii="Times New Roman" w:hAnsi="Times New Roman"/>
          <w:color w:val="000000"/>
          <w:sz w:val="36"/>
        </w:rPr>
        <w:t>Kapittel 9 – Konklusjon</w:t>
      </w:r>
    </w:p>
    <w:p>
      <w:pPr>
        <w:pStyle w:val="Overskrift2"/>
      </w:pPr>
      <w:r>
        <w:rPr>
          <w:rFonts w:ascii="Times New Roman" w:hAnsi="Times New Roman"/>
          <w:color w:val="000000"/>
          <w:sz w:val="32"/>
        </w:rPr>
        <w:t>9.1 Svar på problemstillingen</w:t>
      </w:r>
    </w:p>
    <w:p>
      <w:pPr>
        <w:spacing w:line="360" w:lineRule="auto"/>
        <w:jc w:val="both"/>
      </w:pPr>
      <w:r>
        <w:rPr>
          <w:rFonts w:ascii="Times New Roman" w:hAnsi="Times New Roman" w:cs="Times New Roman"/>
          <w:sz w:val="24"/>
        </w:rPr>
        <w:t xml:space="preserve">Denne studien tok utgangspunkt i følgende problemstilling: </w:t>
      </w:r>
      <w:r>
        <w:rPr>
          <w:rFonts w:ascii="Times New Roman" w:hAnsi="Times New Roman" w:cs="Times New Roman"/>
          <w:i/>
          <w:sz w:val="24"/>
        </w:rPr>
        <w:t>Hvordan kan multidimensjonal klassifisering og klyngeanalyse av SAP-transaksjonsdata identifisere hvilke artikler ved Helse Bergens forsyningslager (WERKS 3300, LGORT 3001) som er kandidater for overføring til HVFS, og hva er det estimerte besparelsespotensialet?</w:t>
      </w:r>
    </w:p>
    <w:p>
      <w:pPr>
        <w:spacing w:line="360" w:lineRule="auto"/>
        <w:jc w:val="both"/>
      </w:pPr>
      <w:r>
        <w:rPr>
          <w:rFonts w:ascii="Times New Roman" w:hAnsi="Times New Roman" w:cs="Times New Roman"/>
          <w:sz w:val="24"/>
        </w:rPr>
        <w:t xml:space="preserve">Studien viser at en strukturert kombinasjon av ABC-analyse, XYZ-klassifisering, EOQ-avviksanalyse og K-means klyngeanalyse – sammenstilt i regelmotoren – gir et strukturert beslutningsgrunnlag for å prioritere overføringskandidater direkte fra SAP-transaksjonsdata. Av de 709 aktive artiklene i LGORT 3001 identifiserer regelmotoren </w:t>
      </w:r>
      <w:r>
        <w:rPr>
          <w:rFonts w:ascii="Times New Roman" w:hAnsi="Times New Roman" w:cs="Times New Roman"/>
          <w:b/>
          <w:sz w:val="24"/>
        </w:rPr>
        <w:t>145 artikler</w:t>
      </w:r>
      <w:r>
        <w:rPr>
          <w:rFonts w:ascii="Times New Roman" w:hAnsi="Times New Roman" w:cs="Times New Roman"/>
          <w:sz w:val="24"/>
        </w:rPr>
        <w:t xml:space="preserve"> (20,5 %) som prioriterte overføringskandidater til HVFS. Disse artiklene kjennetegnes ved høy verdi (A- eller B-klasse), stabilt forbruksmønster (X- eller Y-klasse) og dokumentert overbestilling eller klyngetilhørighet som indikerer ineffektiv ordrepraksis. Anbefalingene er ikke eksternt validert mot innkjøpsfaglig skjønn, og bør betraktes som et rangert beslutningsunderlag – ikke som verifiserte beslutningsregler.</w:t>
      </w:r>
    </w:p>
    <w:p>
      <w:pPr>
        <w:spacing w:line="360" w:lineRule="auto"/>
        <w:jc w:val="both"/>
      </w:pPr>
      <w:r>
        <w:rPr>
          <w:rFonts w:ascii="Times New Roman" w:hAnsi="Times New Roman" w:cs="Times New Roman"/>
          <w:sz w:val="24"/>
        </w:rPr>
        <w:t>Besparelsespotensialet er estimert som et scenariobasert intervall, ikke som et enkelt punktestimat, fordi nøkkelparametrene S, h og g ikke er kalibrert mot lokalt observerte kostnader. For de 117 artiklene i skjæringspunktet OVERFØR\_HVFS og FOR\_MANGE\_ORDRER gir base case (</w:t>
      </w:r>
      <m:oMath>
        <m:r>
          <m:t>g=75</m:t>
        </m:r>
      </m:oMath>
      <w:r>
        <w:rPr>
          <w:rFonts w:ascii="Times New Roman" w:hAnsi="Times New Roman" w:cs="Times New Roman"/>
          <w:sz w:val="24"/>
        </w:rPr>
        <w:t xml:space="preserve">) et estimat på </w:t>
      </w:r>
      <w:r>
        <w:rPr>
          <w:rFonts w:ascii="Times New Roman" w:hAnsi="Times New Roman" w:cs="Times New Roman"/>
          <w:b/>
          <w:sz w:val="24"/>
        </w:rPr>
        <w:t>kr 451 515 per år</w:t>
      </w:r>
      <w:r>
        <w:rPr>
          <w:rFonts w:ascii="Times New Roman" w:hAnsi="Times New Roman" w:cs="Times New Roman"/>
          <w:sz w:val="24"/>
        </w:rPr>
        <w:t>, mens pessimistisk scenario (</w:t>
      </w:r>
      <m:oMath>
        <m:r>
          <m:t>g=50</m:t>
        </m:r>
      </m:oMath>
      <w:r>
        <w:rPr>
          <w:rFonts w:ascii="Times New Roman" w:hAnsi="Times New Roman" w:cs="Times New Roman"/>
          <w:sz w:val="24"/>
        </w:rPr>
        <w:t>) gir kr 301 010 og optimistisk scenario (</w:t>
      </w:r>
      <m:oMath>
        <m:r>
          <m:t>g=100</m:t>
        </m:r>
      </m:oMath>
      <w:r>
        <w:rPr>
          <w:rFonts w:ascii="Times New Roman" w:hAnsi="Times New Roman" w:cs="Times New Roman"/>
          <w:sz w:val="24"/>
        </w:rPr>
        <w:t xml:space="preserve">) gir kr 602 020. Sensitivitetsanalysen over 27 parameterkombinasjoner – med variasjon i S, h og </w:t>
      </w:r>
      <m:oMath>
        <m:sSub>
          <m:e>
            <m:r>
              <m:t>τ</m:t>
            </m:r>
          </m:e>
          <m:sub>
            <m:r>
              <m:t>f</m:t>
            </m:r>
          </m:sub>
        </m:sSub>
      </m:oMath>
      <w:r>
        <w:rPr>
          <w:rFonts w:ascii="Times New Roman" w:hAnsi="Times New Roman" w:cs="Times New Roman"/>
          <w:sz w:val="24"/>
        </w:rPr>
        <w:t xml:space="preserve"> – viser at </w:t>
      </w:r>
      <m:oMath>
        <m:sSub>
          <m:e>
            <m:r>
              <m:t>B</m:t>
            </m:r>
          </m:e>
          <m:sub>
            <m:r>
              <m:rPr>
                <m:nor/>
              </m:rPr>
              <m:t>HVFS</m:t>
            </m:r>
          </m:sub>
        </m:sSub>
      </m:oMath>
      <w:r>
        <w:rPr>
          <w:rFonts w:ascii="Times New Roman" w:hAnsi="Times New Roman" w:cs="Times New Roman"/>
          <w:sz w:val="24"/>
        </w:rPr>
        <w:t xml:space="preserve"> (</w:t>
      </w:r>
      <m:oMath>
        <m:r>
          <m:t>g=75</m:t>
        </m:r>
      </m:oMath>
      <w:r>
        <w:rPr>
          <w:rFonts w:ascii="Times New Roman" w:hAnsi="Times New Roman" w:cs="Times New Roman"/>
          <w:sz w:val="24"/>
        </w:rPr>
        <w:t>) varierer mellom kr 176 374 og kr 763 903 per år avhengig av parametervalg. Estimatene forblir positive og vesentlige over alle 27 scenarier, men den brede spennvidden understreker at det faktiske besparelsesnivået avhenger av lokale kostnadsforhold som ikke er empirisk fastslått i denne studien.</w:t>
      </w:r>
    </w:p>
    <w:p>
      <w:pPr>
        <w:spacing w:line="360" w:lineRule="auto"/>
        <w:jc w:val="both"/>
      </w:pPr>
      <w:r>
        <w:rPr>
          <w:rFonts w:ascii="Times New Roman" w:hAnsi="Times New Roman" w:cs="Times New Roman"/>
          <w:sz w:val="24"/>
        </w:rPr>
        <w:t>Et selvstendig empirisk funn i studien er at SAPs egen XYZ-klassifisering (ZZXYZ) kun samsvarer med beregnet CV-klasse i 33 % av tilfellene (125 av 375 artikler med data i begge kilder), og at SAP kategoriserer bare 7 artikler som Z mot 79 beregnede Z-artikler. Dette tyder på at ZZXYZ-feltet er systematisk utdatert og ikke kan brukes som uavhengig beslutningsgrunnlag for HVFS-valg uten rekalkulering fra transaksjonsdata – en konstatering med direkte operasjonell relevans for LIBRA.</w:t>
      </w:r>
    </w:p>
    <w:p>
      <w:pPr>
        <w:spacing w:line="360" w:lineRule="auto"/>
        <w:jc w:val="both"/>
      </w:pPr>
      <w:r>
        <w:rPr>
          <w:rFonts w:ascii="Times New Roman" w:hAnsi="Times New Roman" w:cs="Times New Roman"/>
          <w:sz w:val="24"/>
        </w:rPr>
        <w:t>Studien konkluderer dermed med at SAP-transaksjonsdata – hentet fra 14 tabeller via SE16H og bearbeidet med en reproduserbar Python-analyse – gir et tilstrekkelig informasjonsgrunnlag for datadrevet sentraliseringsvurdering, forutsatt at klassifiseringer beregnes fra rådata snarere enn hentes fra SAPs egne felt. Metoderammeverket besvarer problemstillingen både kvalitativt (hvilke artikler) og kvantitativt (hva er besparelsespotensialet), og gir et strukturert beslutningsgrunnlag for LIBRA-prosjektets videre gjennomføring. Verktøyets primære verdi er systematisk prioritering og triage av artikkelporteføljen – den endelige overføringsbeslutningen krever innkjøpsfaglig og klinisk validering.</w:t>
      </w:r>
    </w:p>
    <w:p>
      <w:pPr>
        <w:spacing w:line="360" w:lineRule="auto"/>
        <w:jc w:val="both"/>
      </w:pPr>
      <w:r>
        <w:rPr>
          <w:rFonts w:ascii="Times New Roman" w:hAnsi="Times New Roman" w:cs="Times New Roman"/>
          <w:sz w:val="24"/>
        </w:rPr>
        <w:t>Tre hovedbegrensninger må holdes i mente når funnene leses: (i) anbefalingene er ikke eksternt validert mot innkjøpsfaglig skjønn ved Helse Bergen og må valideres i pilot før implementering; (ii) besparelsesestimatet er scenariobasert med S, h og g som ikke-kalibrerte parametere, og det reelle nivået innenfor intervallet kr 176 000 – kr 764 000 avhenger av lokale kostnadsforhold; (iii) klinisk kritikalitet (VED) er ikke operasjonalisert som datadrevet variabel og må vurderes manuelt parallelt med de kvantitative signalene. En fyldigere drøfting av disse og øvrige svakheter er gitt i avsnitt 8.4.</w:t>
      </w:r>
    </w:p>
    <w:p>
      <w:pPr>
        <w:pStyle w:val="Overskrift2"/>
      </w:pPr>
      <w:r>
        <w:rPr>
          <w:rFonts w:ascii="Times New Roman" w:hAnsi="Times New Roman"/>
          <w:color w:val="000000"/>
          <w:sz w:val="32"/>
        </w:rPr>
        <w:t>9.2 Anbefalinger til Helse Bergen</w:t>
      </w:r>
    </w:p>
    <w:p>
      <w:pPr>
        <w:spacing w:line="360" w:lineRule="auto"/>
        <w:jc w:val="both"/>
      </w:pPr>
      <w:r>
        <w:rPr>
          <w:rFonts w:ascii="Times New Roman" w:hAnsi="Times New Roman" w:cs="Times New Roman"/>
          <w:sz w:val="24"/>
        </w:rPr>
        <w:t>Basert på studiens funn rettes følgende fire anbefalinger til Helse Bergen og Helse Vest IKT. Anbefalingene er formulert i prioritert rekkefølge, der anbefaling 1 og 3 er umiddelbare parallelle tiltak, anbefaling 2 er mellomfristig, og anbefaling 4 er en langsiktig evalueringssyklus:</w:t>
      </w:r>
    </w:p>
    <w:p>
      <w:pPr>
        <w:spacing w:line="360" w:lineRule="auto"/>
        <w:jc w:val="both"/>
      </w:pPr>
      <w:r>
        <w:rPr>
          <w:rFonts w:ascii="Times New Roman" w:hAnsi="Times New Roman" w:cs="Times New Roman"/>
          <w:b/>
          <w:sz w:val="24"/>
        </w:rPr>
        <w:t>1. Gjennomfør klinisk kritikalitetsvurdering før pilotoverføring.</w:t>
      </w:r>
    </w:p>
    <w:p>
      <w:pPr>
        <w:spacing w:line="360" w:lineRule="auto"/>
        <w:jc w:val="both"/>
      </w:pPr>
      <w:r>
        <w:rPr>
          <w:rFonts w:ascii="Times New Roman" w:hAnsi="Times New Roman" w:cs="Times New Roman"/>
          <w:sz w:val="24"/>
        </w:rPr>
        <w:t>Før noen artikkel faktisk overføres, må de 145 kandidatene underkastes en formell kritikalitetsgjennomgang (VED-vurdering) i samarbeid med kliniske miljøer. Kvantitative signaler (ABC + XYZ + EOQ + K-means) er nødvendige, men ikke tilstrekkelige: en artikkel kan være stabilt etterspurt og høyverdig, men samtidig kritisk for pasientsikkerhet ved leveransesvikt (jf. avsnitt 4.4 og 8.4). Pilotfasen bør deretter starte med artiklene i skjæringspunktet mellom K_OVERFØR-klyngen og AX/BX-kategoriene som er VED-klassifisert som "Desirable" – for å minimere risikoen ved leveransesvikt under utprøving av APL-modellen. "Essential"-artikler kan inkluderes i en senere fase når HVFS og NorEngros har dokumentert stabil leveringspresisjon, mens "Vital"-artikler bør forbli lokalt inntil videre. Overføringen gjennomføres gradvis, slik at HVFS og NorEngros kan verifisere APL-leveransemodellen før hele porteføljen flyttes.</w:t>
      </w:r>
    </w:p>
    <w:p>
      <w:pPr>
        <w:spacing w:line="360" w:lineRule="auto"/>
        <w:jc w:val="both"/>
      </w:pPr>
      <w:r>
        <w:rPr>
          <w:rFonts w:ascii="Times New Roman" w:hAnsi="Times New Roman" w:cs="Times New Roman"/>
          <w:b/>
          <w:sz w:val="24"/>
        </w:rPr>
        <w:t>2. Gjennomgå de 284 artiklene i VURDER NÆRMERE manuelt.</w:t>
      </w:r>
    </w:p>
    <w:p>
      <w:pPr>
        <w:spacing w:line="360" w:lineRule="auto"/>
        <w:jc w:val="both"/>
      </w:pPr>
      <w:r>
        <w:rPr>
          <w:rFonts w:ascii="Times New Roman" w:hAnsi="Times New Roman" w:cs="Times New Roman"/>
          <w:sz w:val="24"/>
        </w:rPr>
        <w:t>Denne gruppen er for stor og sammensatt til å håndteres med et enkelt kvantitativt signal. En strukturert gjennomgang bør inkludere innkjøpsfaglig og klinisk kompetanse for å vurdere forsyningssikkerhet, leverandørforbindelser og artikkelkritikalitet. Målet er å redusere VURDER-gruppen til en endelig fordeling mellom OVERFØR og BEHOLD innen utgangen av pilotfasen.</w:t>
      </w:r>
    </w:p>
    <w:p>
      <w:pPr>
        <w:spacing w:line="360" w:lineRule="auto"/>
        <w:jc w:val="both"/>
      </w:pPr>
      <w:r>
        <w:rPr>
          <w:rFonts w:ascii="Times New Roman" w:hAnsi="Times New Roman" w:cs="Times New Roman"/>
          <w:b/>
          <w:sz w:val="24"/>
        </w:rPr>
        <w:t>3. Oppdater SAP MM-parametere for overførte artikler.</w:t>
      </w:r>
    </w:p>
    <w:p>
      <w:pPr>
        <w:spacing w:line="360" w:lineRule="auto"/>
        <w:jc w:val="both"/>
      </w:pPr>
      <w:r>
        <w:rPr>
          <w:rFonts w:ascii="Times New Roman" w:hAnsi="Times New Roman" w:cs="Times New Roman"/>
          <w:sz w:val="24"/>
        </w:rPr>
        <w:t>Gevinstrealisering forutsetter at MRP-type og ordrekvantumsparametere justeres i SAP for de artiklene som overføres. Artiklene som er klassifisert som FOR_MANGE_ORDRER bør få oppdaterte ordreintervaller og minimum ordrekvantum i tråd med EOQ-optimale verdier. Uten denne justeringen vil systemet fortsette å generere ordrer med eksisterende frekvens, og besparelsespotensialet vil ikke realiseres. Feltet ZZXYZ bør i tillegg oppdateres med den beregnede CV-klassen som en del av det ordinære SAP MM-vedlikeholdet.</w:t>
      </w:r>
    </w:p>
    <w:p>
      <w:pPr>
        <w:spacing w:line="360" w:lineRule="auto"/>
        <w:jc w:val="both"/>
      </w:pPr>
      <w:r>
        <w:rPr>
          <w:rFonts w:ascii="Times New Roman" w:hAnsi="Times New Roman" w:cs="Times New Roman"/>
          <w:b/>
          <w:sz w:val="24"/>
        </w:rPr>
        <w:t>4. Evaluer gevinstrealisering etter 12 måneder.</w:t>
      </w:r>
    </w:p>
    <w:p>
      <w:pPr>
        <w:spacing w:line="360" w:lineRule="auto"/>
        <w:jc w:val="both"/>
      </w:pPr>
      <w:r>
        <w:rPr>
          <w:rFonts w:ascii="Times New Roman" w:hAnsi="Times New Roman" w:cs="Times New Roman"/>
          <w:sz w:val="24"/>
        </w:rPr>
        <w:t>Etter at pilotoverføringen er gjennomført og SAP-parametere er justert, bør analysen gjentas etter 12 måneder med oppdaterte transaksjonsdata. Dette vil gi grunnlag for å vurdere om det estimerte besparelsespotensialet faktisk er realisert, og om det er ytterligere artikler som bør overføres i neste fase. En slik syklisk evalueringsmodell er i tråd med prinsippene for kontinuerlig forbedring i sykehuslogistikk.</w:t>
      </w:r>
    </w:p>
    <w:p>
      <w:pPr>
        <w:pStyle w:val="Overskrift2"/>
      </w:pPr>
      <w:r>
        <w:rPr>
          <w:rFonts w:ascii="Times New Roman" w:hAnsi="Times New Roman"/>
          <w:color w:val="000000"/>
          <w:sz w:val="32"/>
        </w:rPr>
        <w:t>9.3 Forslag til videre forskning</w:t>
      </w:r>
    </w:p>
    <w:p>
      <w:pPr>
        <w:spacing w:line="360" w:lineRule="auto"/>
        <w:jc w:val="both"/>
      </w:pPr>
      <w:r>
        <w:rPr>
          <w:rFonts w:ascii="Times New Roman" w:hAnsi="Times New Roman" w:cs="Times New Roman"/>
          <w:sz w:val="24"/>
        </w:rPr>
        <w:t xml:space="preserve">Studien åpner for fire retninger innen videre forskning: (1) En </w:t>
      </w:r>
      <w:r>
        <w:rPr>
          <w:rFonts w:ascii="Times New Roman" w:hAnsi="Times New Roman" w:cs="Times New Roman"/>
          <w:b/>
          <w:sz w:val="24"/>
        </w:rPr>
        <w:t>ROP-modul</w:t>
      </w:r>
      <w:r>
        <w:rPr>
          <w:rFonts w:ascii="Times New Roman" w:hAnsi="Times New Roman" w:cs="Times New Roman"/>
          <w:sz w:val="24"/>
        </w:rPr>
        <w:t xml:space="preserve"> som integrerer bestillingspunktberegning vil kreve at EINE-tabellen berikes med faktiske leveringstider, men vil gi anbefalinger om lagernivåer etter overføring. (2) </w:t>
      </w:r>
      <w:r>
        <w:rPr>
          <w:rFonts w:ascii="Times New Roman" w:hAnsi="Times New Roman" w:cs="Times New Roman"/>
          <w:b/>
          <w:sz w:val="24"/>
        </w:rPr>
        <w:t>Leverandørkonsolidering</w:t>
      </w:r>
      <w:r>
        <w:rPr>
          <w:rFonts w:ascii="Times New Roman" w:hAnsi="Times New Roman" w:cs="Times New Roman"/>
          <w:sz w:val="24"/>
        </w:rPr>
        <w:t xml:space="preserve"> via analyse av EKKO/EKPO kan avdekke om HVFS-kandidatene leveres av felles leverandører, noe som kan gi ytterligere besparelser utover ordrefrekvensoptimalisering. (3) </w:t>
      </w:r>
      <w:r>
        <w:rPr>
          <w:rFonts w:ascii="Times New Roman" w:hAnsi="Times New Roman" w:cs="Times New Roman"/>
          <w:b/>
          <w:sz w:val="24"/>
        </w:rPr>
        <w:t>Replikering</w:t>
      </w:r>
      <w:r>
        <w:rPr>
          <w:rFonts w:ascii="Times New Roman" w:hAnsi="Times New Roman" w:cs="Times New Roman"/>
          <w:sz w:val="24"/>
        </w:rPr>
        <w:t xml:space="preserve"> av rammeverket til andre WERKS i Helse Vest (Stavanger, Fonna, Førde) vil styrke den eksterne validiteten og gi grunnlag for differensiert HVFS-sentralisering per foretak. (4) </w:t>
      </w:r>
      <w:r>
        <w:rPr>
          <w:rFonts w:ascii="Times New Roman" w:hAnsi="Times New Roman" w:cs="Times New Roman"/>
          <w:b/>
          <w:sz w:val="24"/>
        </w:rPr>
        <w:t>Utvidet metoderepertoar innen innkjøpsoptimalisering</w:t>
      </w:r>
      <w:r>
        <w:rPr>
          <w:rFonts w:ascii="Times New Roman" w:hAnsi="Times New Roman" w:cs="Times New Roman"/>
          <w:sz w:val="24"/>
        </w:rPr>
        <w:t xml:space="preserve"> – flerkriterieteknikker som AHP/TOPSIS for leverandørvurdering, kombinatoriske auksjoner for porteføljeanskaffelser, og veiledet maskinlæring (når det foreligger merkede beslutningsdata fra pilotfasen) – er relevante videreføringer som faller utenfor denne oppgavens scope, men som kan gi ytterligere beslutningsgrunnlag for innkjøpsstrategien rundt HVFS.</w:t>
      </w:r>
    </w:p>
    <w:p>
      <w:pPr>
        <w:pStyle w:val="Overskrift1"/>
        <w:pageBreakBefore w:val="true"/>
      </w:pPr>
      <w:r>
        <w:rPr>
          <w:rFonts w:ascii="Times New Roman" w:hAnsi="Times New Roman"/>
          <w:color w:val="000000"/>
          <w:sz w:val="36"/>
        </w:rPr>
        <w:t>Referanseliste</w:t>
      </w:r>
    </w:p>
    <w:p>
      <w:pPr>
        <w:spacing w:line="240" w:lineRule="auto" w:after="120"/>
        <w:ind w:left="720" w:hanging="720"/>
        <w:jc w:val="both"/>
      </w:pPr>
      <w:r>
        <w:rPr>
          <w:rFonts w:ascii="Times New Roman" w:hAnsi="Times New Roman" w:cs="Times New Roman"/>
          <w:sz w:val="24"/>
        </w:rPr>
        <w:t xml:space="preserve">Bijvank, M., &amp; Vis, I. F. A. (2012). Inventory control for point-of-use locations in hospitals. </w:t>
      </w:r>
      <w:r>
        <w:rPr>
          <w:rFonts w:ascii="Times New Roman" w:hAnsi="Times New Roman" w:cs="Times New Roman"/>
          <w:i/>
          <w:sz w:val="24"/>
        </w:rPr>
        <w:t>Journal of the Operational Research Society</w:t>
      </w:r>
      <w:r>
        <w:rPr>
          <w:rFonts w:ascii="Times New Roman" w:hAnsi="Times New Roman" w:cs="Times New Roman"/>
          <w:sz w:val="24"/>
        </w:rPr>
        <w:t xml:space="preserve">, </w:t>
      </w:r>
      <w:r>
        <w:rPr>
          <w:rFonts w:ascii="Times New Roman" w:hAnsi="Times New Roman" w:cs="Times New Roman"/>
          <w:i/>
          <w:sz w:val="24"/>
        </w:rPr>
        <w:t>63</w:t>
      </w:r>
      <w:r>
        <w:rPr>
          <w:rFonts w:ascii="Times New Roman" w:hAnsi="Times New Roman" w:cs="Times New Roman"/>
          <w:sz w:val="24"/>
        </w:rPr>
        <w:t>(4), 497–510. https://doi.org/10.1057/jors.2011.52</w:t>
      </w:r>
    </w:p>
    <w:p>
      <w:pPr>
        <w:spacing w:line="240" w:lineRule="auto" w:after="120"/>
        <w:ind w:left="720" w:hanging="720"/>
        <w:jc w:val="both"/>
      </w:pPr>
      <w:r>
        <w:rPr>
          <w:rFonts w:ascii="Times New Roman" w:hAnsi="Times New Roman" w:cs="Times New Roman"/>
          <w:sz w:val="24"/>
        </w:rPr>
        <w:t xml:space="preserve">de Vries, J. (2011). The shaping of inventory systems in health services: A stakeholder analysis. </w:t>
      </w:r>
      <w:r>
        <w:rPr>
          <w:rFonts w:ascii="Times New Roman" w:hAnsi="Times New Roman" w:cs="Times New Roman"/>
          <w:i/>
          <w:sz w:val="24"/>
        </w:rPr>
        <w:t>International Journal of Production Economics</w:t>
      </w:r>
      <w:r>
        <w:rPr>
          <w:rFonts w:ascii="Times New Roman" w:hAnsi="Times New Roman" w:cs="Times New Roman"/>
          <w:sz w:val="24"/>
        </w:rPr>
        <w:t xml:space="preserve">, </w:t>
      </w:r>
      <w:r>
        <w:rPr>
          <w:rFonts w:ascii="Times New Roman" w:hAnsi="Times New Roman" w:cs="Times New Roman"/>
          <w:i/>
          <w:sz w:val="24"/>
        </w:rPr>
        <w:t>133</w:t>
      </w:r>
      <w:r>
        <w:rPr>
          <w:rFonts w:ascii="Times New Roman" w:hAnsi="Times New Roman" w:cs="Times New Roman"/>
          <w:sz w:val="24"/>
        </w:rPr>
        <w:t>(1), 60–69. https://doi.org/10.1016/j.ijpe.2009.10.029</w:t>
      </w:r>
    </w:p>
    <w:p>
      <w:pPr>
        <w:spacing w:line="240" w:lineRule="auto" w:after="120"/>
        <w:ind w:left="720" w:hanging="720"/>
        <w:jc w:val="both"/>
      </w:pPr>
      <w:r>
        <w:rPr>
          <w:rFonts w:ascii="Times New Roman" w:hAnsi="Times New Roman" w:cs="Times New Roman"/>
          <w:sz w:val="24"/>
        </w:rPr>
        <w:t xml:space="preserve">Fragapane, G. I., Bertnum, A. B., Hvolby, H.-H., &amp; Strandhagen, J. O. (2019). Medical supplies to the point-of-use in hospitals. I </w:t>
      </w:r>
      <w:r>
        <w:rPr>
          <w:rFonts w:ascii="Times New Roman" w:hAnsi="Times New Roman" w:cs="Times New Roman"/>
          <w:i/>
          <w:sz w:val="24"/>
        </w:rPr>
        <w:t>IFIP International Conference on Advances in Production Management Systems (APMS)</w:t>
      </w:r>
      <w:r>
        <w:rPr>
          <w:rFonts w:ascii="Times New Roman" w:hAnsi="Times New Roman" w:cs="Times New Roman"/>
          <w:sz w:val="24"/>
        </w:rPr>
        <w:t xml:space="preserve"> (s. 248–255). Springer. https://doi.org/10.1007/978-3-030-29996-5_29</w:t>
      </w:r>
    </w:p>
    <w:p>
      <w:pPr>
        <w:spacing w:line="240" w:lineRule="auto" w:after="120"/>
        <w:ind w:left="720" w:hanging="720"/>
        <w:jc w:val="both"/>
      </w:pPr>
      <w:r>
        <w:rPr>
          <w:rFonts w:ascii="Times New Roman" w:hAnsi="Times New Roman" w:cs="Times New Roman"/>
          <w:sz w:val="24"/>
        </w:rPr>
        <w:t xml:space="preserve">Gupta, R., Gupta, K. K., Jain, B. R., &amp; Garg, R. K. (2007). ABC and VED analysis in medical stores inventory control. </w:t>
      </w:r>
      <w:r>
        <w:rPr>
          <w:rFonts w:ascii="Times New Roman" w:hAnsi="Times New Roman" w:cs="Times New Roman"/>
          <w:i/>
          <w:sz w:val="24"/>
        </w:rPr>
        <w:t>Medical Journal Armed Forces India</w:t>
      </w:r>
      <w:r>
        <w:rPr>
          <w:rFonts w:ascii="Times New Roman" w:hAnsi="Times New Roman" w:cs="Times New Roman"/>
          <w:sz w:val="24"/>
        </w:rPr>
        <w:t xml:space="preserve">, </w:t>
      </w:r>
      <w:r>
        <w:rPr>
          <w:rFonts w:ascii="Times New Roman" w:hAnsi="Times New Roman" w:cs="Times New Roman"/>
          <w:i/>
          <w:sz w:val="24"/>
        </w:rPr>
        <w:t>63</w:t>
      </w:r>
      <w:r>
        <w:rPr>
          <w:rFonts w:ascii="Times New Roman" w:hAnsi="Times New Roman" w:cs="Times New Roman"/>
          <w:sz w:val="24"/>
        </w:rPr>
        <w:t>(4), 325–327. https://doi.org/10.1016/S0377-1237(07)80005-2</w:t>
      </w:r>
    </w:p>
    <w:p>
      <w:pPr>
        <w:spacing w:line="240" w:lineRule="auto" w:after="120"/>
        <w:ind w:left="720" w:hanging="720"/>
        <w:jc w:val="both"/>
      </w:pPr>
      <w:r>
        <w:rPr>
          <w:rFonts w:ascii="Times New Roman" w:hAnsi="Times New Roman" w:cs="Times New Roman"/>
          <w:sz w:val="24"/>
        </w:rPr>
        <w:t xml:space="preserve">Gurumurthy, A., Nair, V. K., &amp; Vinodh, S. (2021). Application of a hybrid selective inventory control technique in a hospital: A precursor for inventory reduction through lean thinking. </w:t>
      </w:r>
      <w:r>
        <w:rPr>
          <w:rFonts w:ascii="Times New Roman" w:hAnsi="Times New Roman" w:cs="Times New Roman"/>
          <w:i/>
          <w:sz w:val="24"/>
        </w:rPr>
        <w:t>The TQM Journal</w:t>
      </w:r>
      <w:r>
        <w:rPr>
          <w:rFonts w:ascii="Times New Roman" w:hAnsi="Times New Roman" w:cs="Times New Roman"/>
          <w:sz w:val="24"/>
        </w:rPr>
        <w:t xml:space="preserve">, </w:t>
      </w:r>
      <w:r>
        <w:rPr>
          <w:rFonts w:ascii="Times New Roman" w:hAnsi="Times New Roman" w:cs="Times New Roman"/>
          <w:i/>
          <w:sz w:val="24"/>
        </w:rPr>
        <w:t>33</w:t>
      </w:r>
      <w:r>
        <w:rPr>
          <w:rFonts w:ascii="Times New Roman" w:hAnsi="Times New Roman" w:cs="Times New Roman"/>
          <w:sz w:val="24"/>
        </w:rPr>
        <w:t>(3), 568–595. https://doi.org/10.1108/TQM-06-2020-0123</w:t>
      </w:r>
    </w:p>
    <w:p>
      <w:pPr>
        <w:spacing w:line="240" w:lineRule="auto" w:after="120"/>
        <w:ind w:left="720" w:hanging="720"/>
        <w:jc w:val="both"/>
      </w:pPr>
      <w:r>
        <w:rPr>
          <w:rFonts w:ascii="Times New Roman" w:hAnsi="Times New Roman" w:cs="Times New Roman"/>
          <w:sz w:val="24"/>
        </w:rPr>
        <w:t xml:space="preserve">Hautaniemi, P., &amp; Pirttilä, T. (1999). The choice of replenishment policies in an MRP environment. </w:t>
      </w:r>
      <w:r>
        <w:rPr>
          <w:rFonts w:ascii="Times New Roman" w:hAnsi="Times New Roman" w:cs="Times New Roman"/>
          <w:i/>
          <w:sz w:val="24"/>
        </w:rPr>
        <w:t>International Journal of Production Economics</w:t>
      </w:r>
      <w:r>
        <w:rPr>
          <w:rFonts w:ascii="Times New Roman" w:hAnsi="Times New Roman" w:cs="Times New Roman"/>
          <w:sz w:val="24"/>
        </w:rPr>
        <w:t xml:space="preserve">, </w:t>
      </w:r>
      <w:r>
        <w:rPr>
          <w:rFonts w:ascii="Times New Roman" w:hAnsi="Times New Roman" w:cs="Times New Roman"/>
          <w:i/>
          <w:sz w:val="24"/>
        </w:rPr>
        <w:t>59</w:t>
      </w:r>
      <w:r>
        <w:rPr>
          <w:rFonts w:ascii="Times New Roman" w:hAnsi="Times New Roman" w:cs="Times New Roman"/>
          <w:sz w:val="24"/>
        </w:rPr>
        <w:t>(1–3), 85–92. https://doi.org/10.1016/S0925-5273(98)00026-7</w:t>
      </w:r>
    </w:p>
    <w:p>
      <w:pPr>
        <w:spacing w:line="240" w:lineRule="auto" w:after="120"/>
        <w:ind w:left="720" w:hanging="720"/>
        <w:jc w:val="both"/>
      </w:pPr>
      <w:r>
        <w:rPr>
          <w:rFonts w:ascii="Times New Roman" w:hAnsi="Times New Roman" w:cs="Times New Roman"/>
          <w:sz w:val="24"/>
        </w:rPr>
        <w:t xml:space="preserve">Kelle, P., Woosley, J., &amp; Schneider, H. (2012). Pharmaceutical supply chain specifics and inventory solutions for a hospital case. </w:t>
      </w:r>
      <w:r>
        <w:rPr>
          <w:rFonts w:ascii="Times New Roman" w:hAnsi="Times New Roman" w:cs="Times New Roman"/>
          <w:i/>
          <w:sz w:val="24"/>
        </w:rPr>
        <w:t>Operations Research for Health Care</w:t>
      </w:r>
      <w:r>
        <w:rPr>
          <w:rFonts w:ascii="Times New Roman" w:hAnsi="Times New Roman" w:cs="Times New Roman"/>
          <w:sz w:val="24"/>
        </w:rPr>
        <w:t xml:space="preserve">, </w:t>
      </w:r>
      <w:r>
        <w:rPr>
          <w:rFonts w:ascii="Times New Roman" w:hAnsi="Times New Roman" w:cs="Times New Roman"/>
          <w:i/>
          <w:sz w:val="24"/>
        </w:rPr>
        <w:t>1</w:t>
      </w:r>
      <w:r>
        <w:rPr>
          <w:rFonts w:ascii="Times New Roman" w:hAnsi="Times New Roman" w:cs="Times New Roman"/>
          <w:sz w:val="24"/>
        </w:rPr>
        <w:t>(2–3), 54–63. https://doi.org/10.1016/j.orhc.2012.07.001</w:t>
      </w:r>
    </w:p>
    <w:p>
      <w:pPr>
        <w:spacing w:line="240" w:lineRule="auto" w:after="120"/>
        <w:ind w:left="720" w:hanging="720"/>
        <w:jc w:val="both"/>
      </w:pPr>
      <w:r>
        <w:rPr>
          <w:rFonts w:ascii="Times New Roman" w:hAnsi="Times New Roman" w:cs="Times New Roman"/>
          <w:sz w:val="24"/>
        </w:rPr>
        <w:t xml:space="preserve">Keshavarz Ghorabaee, M., Zavadskas, E. K., Olfat, L., &amp; Turskis, Z. (2015). Multi-criteria inventory classification using a new method of evaluation based on distance from average solution (EDAS). </w:t>
      </w:r>
      <w:r>
        <w:rPr>
          <w:rFonts w:ascii="Times New Roman" w:hAnsi="Times New Roman" w:cs="Times New Roman"/>
          <w:i/>
          <w:sz w:val="24"/>
        </w:rPr>
        <w:t>Informatica</w:t>
      </w:r>
      <w:r>
        <w:rPr>
          <w:rFonts w:ascii="Times New Roman" w:hAnsi="Times New Roman" w:cs="Times New Roman"/>
          <w:sz w:val="24"/>
        </w:rPr>
        <w:t xml:space="preserve">, </w:t>
      </w:r>
      <w:r>
        <w:rPr>
          <w:rFonts w:ascii="Times New Roman" w:hAnsi="Times New Roman" w:cs="Times New Roman"/>
          <w:i/>
          <w:sz w:val="24"/>
        </w:rPr>
        <w:t>26</w:t>
      </w:r>
      <w:r>
        <w:rPr>
          <w:rFonts w:ascii="Times New Roman" w:hAnsi="Times New Roman" w:cs="Times New Roman"/>
          <w:sz w:val="24"/>
        </w:rPr>
        <w:t>(3), 435–451. https://doi.org/10.15388/Informatica.2015.57</w:t>
      </w:r>
    </w:p>
    <w:p>
      <w:pPr>
        <w:spacing w:line="240" w:lineRule="auto" w:after="120"/>
        <w:ind w:left="720" w:hanging="720"/>
        <w:jc w:val="both"/>
      </w:pPr>
      <w:r>
        <w:rPr>
          <w:rFonts w:ascii="Times New Roman" w:hAnsi="Times New Roman" w:cs="Times New Roman"/>
          <w:sz w:val="24"/>
        </w:rPr>
        <w:t xml:space="preserve">Ketkar, M., &amp; Vaidya, O. S. (2014). Developing ordering policy based on multiple inventory classification schemes. </w:t>
      </w:r>
      <w:r>
        <w:rPr>
          <w:rFonts w:ascii="Times New Roman" w:hAnsi="Times New Roman" w:cs="Times New Roman"/>
          <w:i/>
          <w:sz w:val="24"/>
        </w:rPr>
        <w:t>Procedia – Social and Behavioral Sciences</w:t>
      </w:r>
      <w:r>
        <w:rPr>
          <w:rFonts w:ascii="Times New Roman" w:hAnsi="Times New Roman" w:cs="Times New Roman"/>
          <w:sz w:val="24"/>
        </w:rPr>
        <w:t xml:space="preserve">, </w:t>
      </w:r>
      <w:r>
        <w:rPr>
          <w:rFonts w:ascii="Times New Roman" w:hAnsi="Times New Roman" w:cs="Times New Roman"/>
          <w:i/>
          <w:sz w:val="24"/>
        </w:rPr>
        <w:t>133</w:t>
      </w:r>
      <w:r>
        <w:rPr>
          <w:rFonts w:ascii="Times New Roman" w:hAnsi="Times New Roman" w:cs="Times New Roman"/>
          <w:sz w:val="24"/>
        </w:rPr>
        <w:t>, 180–188. https://doi.org/10.1016/j.sbspro.2014.04.183</w:t>
      </w:r>
    </w:p>
    <w:p>
      <w:pPr>
        <w:spacing w:line="240" w:lineRule="auto" w:after="120"/>
        <w:ind w:left="720" w:hanging="720"/>
        <w:jc w:val="both"/>
      </w:pPr>
      <w:r>
        <w:rPr>
          <w:rFonts w:ascii="Times New Roman" w:hAnsi="Times New Roman" w:cs="Times New Roman"/>
          <w:sz w:val="24"/>
        </w:rPr>
        <w:t xml:space="preserve">McKinney, W. (2010). Data structures for statistical computing in Python. I S. van der Walt &amp; J. Millman (Red.), </w:t>
      </w:r>
      <w:r>
        <w:rPr>
          <w:rFonts w:ascii="Times New Roman" w:hAnsi="Times New Roman" w:cs="Times New Roman"/>
          <w:i/>
          <w:sz w:val="24"/>
        </w:rPr>
        <w:t>Proceedings of the 9th Python in Science Conference</w:t>
      </w:r>
      <w:r>
        <w:rPr>
          <w:rFonts w:ascii="Times New Roman" w:hAnsi="Times New Roman" w:cs="Times New Roman"/>
          <w:sz w:val="24"/>
        </w:rPr>
        <w:t xml:space="preserve"> (s. 56–61). https://doi.org/10.25080/Majora-92bf1922-00a</w:t>
      </w:r>
    </w:p>
    <w:p>
      <w:pPr>
        <w:spacing w:line="240" w:lineRule="auto" w:after="120"/>
        <w:ind w:left="720" w:hanging="720"/>
        <w:jc w:val="both"/>
      </w:pPr>
      <w:r>
        <w:rPr>
          <w:rFonts w:ascii="Times New Roman" w:hAnsi="Times New Roman" w:cs="Times New Roman"/>
          <w:sz w:val="24"/>
        </w:rPr>
        <w:t xml:space="preserve">Moons, K., Waeyenbergh, G., &amp; Pintelon, L. (2019). Measuring the logistics performance of internal hospital supply chains – A literature study. </w:t>
      </w:r>
      <w:r>
        <w:rPr>
          <w:rFonts w:ascii="Times New Roman" w:hAnsi="Times New Roman" w:cs="Times New Roman"/>
          <w:i/>
          <w:sz w:val="24"/>
        </w:rPr>
        <w:t>Omega</w:t>
      </w:r>
      <w:r>
        <w:rPr>
          <w:rFonts w:ascii="Times New Roman" w:hAnsi="Times New Roman" w:cs="Times New Roman"/>
          <w:sz w:val="24"/>
        </w:rPr>
        <w:t xml:space="preserve">, </w:t>
      </w:r>
      <w:r>
        <w:rPr>
          <w:rFonts w:ascii="Times New Roman" w:hAnsi="Times New Roman" w:cs="Times New Roman"/>
          <w:i/>
          <w:sz w:val="24"/>
        </w:rPr>
        <w:t>82</w:t>
      </w:r>
      <w:r>
        <w:rPr>
          <w:rFonts w:ascii="Times New Roman" w:hAnsi="Times New Roman" w:cs="Times New Roman"/>
          <w:sz w:val="24"/>
        </w:rPr>
        <w:t>, 205–217. https://doi.org/10.1016/j.omega.2018.01.007</w:t>
      </w:r>
    </w:p>
    <w:p>
      <w:pPr>
        <w:spacing w:line="240" w:lineRule="auto" w:after="120"/>
        <w:ind w:left="720" w:hanging="720"/>
        <w:jc w:val="both"/>
      </w:pPr>
      <w:r>
        <w:rPr>
          <w:rFonts w:ascii="Times New Roman" w:hAnsi="Times New Roman" w:cs="Times New Roman"/>
          <w:sz w:val="24"/>
        </w:rPr>
        <w:t xml:space="preserve">Nowotyńska, I. (2013). An application of XYZ analysis in company stock management. </w:t>
      </w:r>
      <w:r>
        <w:rPr>
          <w:rFonts w:ascii="Times New Roman" w:hAnsi="Times New Roman" w:cs="Times New Roman"/>
          <w:i/>
          <w:sz w:val="24"/>
        </w:rPr>
        <w:t>Modern Management Review</w:t>
      </w:r>
      <w:r>
        <w:rPr>
          <w:rFonts w:ascii="Times New Roman" w:hAnsi="Times New Roman" w:cs="Times New Roman"/>
          <w:sz w:val="24"/>
        </w:rPr>
        <w:t xml:space="preserve">, </w:t>
      </w:r>
      <w:r>
        <w:rPr>
          <w:rFonts w:ascii="Times New Roman" w:hAnsi="Times New Roman" w:cs="Times New Roman"/>
          <w:i/>
          <w:sz w:val="24"/>
        </w:rPr>
        <w:t>XVIII</w:t>
      </w:r>
      <w:r>
        <w:rPr>
          <w:rFonts w:ascii="Times New Roman" w:hAnsi="Times New Roman" w:cs="Times New Roman"/>
          <w:sz w:val="24"/>
        </w:rPr>
        <w:t>(20), 77–86.</w:t>
      </w:r>
    </w:p>
    <w:p>
      <w:pPr>
        <w:spacing w:line="240" w:lineRule="auto" w:after="120"/>
        <w:ind w:left="720" w:hanging="720"/>
        <w:jc w:val="both"/>
      </w:pPr>
      <w:r>
        <w:rPr>
          <w:rFonts w:ascii="Times New Roman" w:hAnsi="Times New Roman" w:cs="Times New Roman"/>
          <w:sz w:val="24"/>
        </w:rPr>
        <w:t xml:space="preserve">Partovi, F. Y., &amp; Burton, J. (1993). Using the analytic hierarchy process for ABC analysis. </w:t>
      </w:r>
      <w:r>
        <w:rPr>
          <w:rFonts w:ascii="Times New Roman" w:hAnsi="Times New Roman" w:cs="Times New Roman"/>
          <w:i/>
          <w:sz w:val="24"/>
        </w:rPr>
        <w:t>International Journal of Operations and Production Management</w:t>
      </w:r>
      <w:r>
        <w:rPr>
          <w:rFonts w:ascii="Times New Roman" w:hAnsi="Times New Roman" w:cs="Times New Roman"/>
          <w:sz w:val="24"/>
        </w:rPr>
        <w:t xml:space="preserve">, </w:t>
      </w:r>
      <w:r>
        <w:rPr>
          <w:rFonts w:ascii="Times New Roman" w:hAnsi="Times New Roman" w:cs="Times New Roman"/>
          <w:i/>
          <w:sz w:val="24"/>
        </w:rPr>
        <w:t>13</w:t>
      </w:r>
      <w:r>
        <w:rPr>
          <w:rFonts w:ascii="Times New Roman" w:hAnsi="Times New Roman" w:cs="Times New Roman"/>
          <w:sz w:val="24"/>
        </w:rPr>
        <w:t>(9), 29–44. https://doi.org/10.1108/01443579310043619</w:t>
      </w:r>
    </w:p>
    <w:p>
      <w:pPr>
        <w:spacing w:line="240" w:lineRule="auto" w:after="120"/>
        <w:ind w:left="720" w:hanging="720"/>
        <w:jc w:val="both"/>
      </w:pPr>
      <w:r>
        <w:rPr>
          <w:rFonts w:ascii="Times New Roman" w:hAnsi="Times New Roman" w:cs="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i/>
          <w:sz w:val="24"/>
        </w:rPr>
        <w:t>Journal of Machine Learning Research</w:t>
      </w:r>
      <w:r>
        <w:rPr>
          <w:rFonts w:ascii="Times New Roman" w:hAnsi="Times New Roman" w:cs="Times New Roman"/>
          <w:sz w:val="24"/>
        </w:rPr>
        <w:t xml:space="preserve">, </w:t>
      </w:r>
      <w:r>
        <w:rPr>
          <w:rFonts w:ascii="Times New Roman" w:hAnsi="Times New Roman" w:cs="Times New Roman"/>
          <w:i/>
          <w:sz w:val="24"/>
        </w:rPr>
        <w:t>12</w:t>
      </w:r>
      <w:r>
        <w:rPr>
          <w:rFonts w:ascii="Times New Roman" w:hAnsi="Times New Roman" w:cs="Times New Roman"/>
          <w:sz w:val="24"/>
        </w:rPr>
        <w:t>, 2825–2830. https://jmlr.org/papers/v12/pedregosa11a.html</w:t>
      </w:r>
    </w:p>
    <w:p>
      <w:pPr>
        <w:spacing w:line="240" w:lineRule="auto" w:after="120"/>
        <w:ind w:left="720" w:hanging="720"/>
        <w:jc w:val="both"/>
      </w:pPr>
      <w:r>
        <w:rPr>
          <w:rFonts w:ascii="Times New Roman" w:hAnsi="Times New Roman" w:cs="Times New Roman"/>
          <w:sz w:val="24"/>
        </w:rPr>
        <w:t xml:space="preserve">Pujawan, I. N. (2004). The effect of lot sizing rules on order variability. </w:t>
      </w:r>
      <w:r>
        <w:rPr>
          <w:rFonts w:ascii="Times New Roman" w:hAnsi="Times New Roman" w:cs="Times New Roman"/>
          <w:i/>
          <w:sz w:val="24"/>
        </w:rPr>
        <w:t>European Journal of Operational Research</w:t>
      </w:r>
      <w:r>
        <w:rPr>
          <w:rFonts w:ascii="Times New Roman" w:hAnsi="Times New Roman" w:cs="Times New Roman"/>
          <w:sz w:val="24"/>
        </w:rPr>
        <w:t xml:space="preserve">, </w:t>
      </w:r>
      <w:r>
        <w:rPr>
          <w:rFonts w:ascii="Times New Roman" w:hAnsi="Times New Roman" w:cs="Times New Roman"/>
          <w:i/>
          <w:sz w:val="24"/>
        </w:rPr>
        <w:t>159</w:t>
      </w:r>
      <w:r>
        <w:rPr>
          <w:rFonts w:ascii="Times New Roman" w:hAnsi="Times New Roman" w:cs="Times New Roman"/>
          <w:sz w:val="24"/>
        </w:rPr>
        <w:t>(3), 617–635. https://doi.org/10.1016/S0377-2217(03)00419-3</w:t>
      </w:r>
    </w:p>
    <w:p>
      <w:pPr>
        <w:spacing w:line="240" w:lineRule="auto" w:after="120"/>
        <w:ind w:left="720" w:hanging="720"/>
        <w:jc w:val="both"/>
      </w:pPr>
      <w:r>
        <w:rPr>
          <w:rFonts w:ascii="Times New Roman" w:hAnsi="Times New Roman" w:cs="Times New Roman"/>
          <w:sz w:val="24"/>
        </w:rPr>
        <w:t xml:space="preserve">Rousseeuw, P. J. (1987). Silhouettes: A graphical aid to the interpretation and validation of cluster analysis. </w:t>
      </w:r>
      <w:r>
        <w:rPr>
          <w:rFonts w:ascii="Times New Roman" w:hAnsi="Times New Roman" w:cs="Times New Roman"/>
          <w:i/>
          <w:sz w:val="24"/>
        </w:rPr>
        <w:t>Journal of Computational and Applied Mathematics</w:t>
      </w:r>
      <w:r>
        <w:rPr>
          <w:rFonts w:ascii="Times New Roman" w:hAnsi="Times New Roman" w:cs="Times New Roman"/>
          <w:sz w:val="24"/>
        </w:rPr>
        <w:t xml:space="preserve">, </w:t>
      </w:r>
      <w:r>
        <w:rPr>
          <w:rFonts w:ascii="Times New Roman" w:hAnsi="Times New Roman" w:cs="Times New Roman"/>
          <w:i/>
          <w:sz w:val="24"/>
        </w:rPr>
        <w:t>20</w:t>
      </w:r>
      <w:r>
        <w:rPr>
          <w:rFonts w:ascii="Times New Roman" w:hAnsi="Times New Roman" w:cs="Times New Roman"/>
          <w:sz w:val="24"/>
        </w:rPr>
        <w:t>, 53–65. https://doi.org/10.1016/0377-0427(87)90125-7</w:t>
      </w:r>
    </w:p>
    <w:p>
      <w:pPr>
        <w:spacing w:line="240" w:lineRule="auto" w:after="120"/>
        <w:ind w:left="720" w:hanging="720"/>
        <w:jc w:val="both"/>
      </w:pPr>
      <w:r>
        <w:rPr>
          <w:rFonts w:ascii="Times New Roman" w:hAnsi="Times New Roman" w:cs="Times New Roman"/>
          <w:sz w:val="24"/>
        </w:rPr>
        <w:t xml:space="preserve">Saha, E., &amp; Ray, P. K. (2019). Modelling and analysis of inventory management systems in healthcare: A review and reflections. </w:t>
      </w:r>
      <w:r>
        <w:rPr>
          <w:rFonts w:ascii="Times New Roman" w:hAnsi="Times New Roman" w:cs="Times New Roman"/>
          <w:i/>
          <w:sz w:val="24"/>
        </w:rPr>
        <w:t>Computers &amp; Industrial Engineering</w:t>
      </w:r>
      <w:r>
        <w:rPr>
          <w:rFonts w:ascii="Times New Roman" w:hAnsi="Times New Roman" w:cs="Times New Roman"/>
          <w:sz w:val="24"/>
        </w:rPr>
        <w:t xml:space="preserve">, </w:t>
      </w:r>
      <w:r>
        <w:rPr>
          <w:rFonts w:ascii="Times New Roman" w:hAnsi="Times New Roman" w:cs="Times New Roman"/>
          <w:i/>
          <w:sz w:val="24"/>
        </w:rPr>
        <w:t>137</w:t>
      </w:r>
      <w:r>
        <w:rPr>
          <w:rFonts w:ascii="Times New Roman" w:hAnsi="Times New Roman" w:cs="Times New Roman"/>
          <w:sz w:val="24"/>
        </w:rPr>
        <w:t>, 106051. https://doi.org/10.1016/j.cie.2019.106051</w:t>
      </w:r>
    </w:p>
    <w:p>
      <w:pPr>
        <w:spacing w:line="240" w:lineRule="auto" w:after="120"/>
        <w:ind w:left="720" w:hanging="720"/>
        <w:jc w:val="both"/>
      </w:pPr>
      <w:r>
        <w:rPr>
          <w:rFonts w:ascii="Times New Roman" w:hAnsi="Times New Roman" w:cs="Times New Roman"/>
          <w:sz w:val="24"/>
        </w:rPr>
        <w:t xml:space="preserve">Silaen, B. R., Nasution, M., &amp; Muti'ah, R. (2023). Implementation of the ABC analysis to the inventory management. </w:t>
      </w:r>
      <w:r>
        <w:rPr>
          <w:rFonts w:ascii="Times New Roman" w:hAnsi="Times New Roman" w:cs="Times New Roman"/>
          <w:i/>
          <w:sz w:val="24"/>
        </w:rPr>
        <w:t>International Journal of Science, Technology &amp; Management</w:t>
      </w:r>
      <w:r>
        <w:rPr>
          <w:rFonts w:ascii="Times New Roman" w:hAnsi="Times New Roman" w:cs="Times New Roman"/>
          <w:sz w:val="24"/>
        </w:rPr>
        <w:t xml:space="preserve">, </w:t>
      </w:r>
      <w:r>
        <w:rPr>
          <w:rFonts w:ascii="Times New Roman" w:hAnsi="Times New Roman" w:cs="Times New Roman"/>
          <w:i/>
          <w:sz w:val="24"/>
        </w:rPr>
        <w:t>4</w:t>
      </w:r>
      <w:r>
        <w:rPr>
          <w:rFonts w:ascii="Times New Roman" w:hAnsi="Times New Roman" w:cs="Times New Roman"/>
          <w:sz w:val="24"/>
        </w:rPr>
        <w:t>(4), 815–822. https://doi.org/10.46729/ijstm.v4i4.886</w:t>
      </w:r>
    </w:p>
    <w:p>
      <w:pPr>
        <w:spacing w:line="240" w:lineRule="auto" w:after="120"/>
        <w:ind w:left="720" w:hanging="720"/>
        <w:jc w:val="both"/>
      </w:pPr>
      <w:r>
        <w:rPr>
          <w:rFonts w:ascii="Times New Roman" w:hAnsi="Times New Roman" w:cs="Times New Roman"/>
          <w:sz w:val="24"/>
        </w:rPr>
        <w:t xml:space="preserve">Srinivasan, M., &amp; Moon, Y. B. (1999). A comprehensive clustering algorithm for strategic analysis of supply chain networks. </w:t>
      </w:r>
      <w:r>
        <w:rPr>
          <w:rFonts w:ascii="Times New Roman" w:hAnsi="Times New Roman" w:cs="Times New Roman"/>
          <w:i/>
          <w:sz w:val="24"/>
        </w:rPr>
        <w:t>Computers &amp; Industrial Engineering</w:t>
      </w:r>
      <w:r>
        <w:rPr>
          <w:rFonts w:ascii="Times New Roman" w:hAnsi="Times New Roman" w:cs="Times New Roman"/>
          <w:sz w:val="24"/>
        </w:rPr>
        <w:t xml:space="preserve">, </w:t>
      </w:r>
      <w:r>
        <w:rPr>
          <w:rFonts w:ascii="Times New Roman" w:hAnsi="Times New Roman" w:cs="Times New Roman"/>
          <w:i/>
          <w:sz w:val="24"/>
        </w:rPr>
        <w:t>36</w:t>
      </w:r>
      <w:r>
        <w:rPr>
          <w:rFonts w:ascii="Times New Roman" w:hAnsi="Times New Roman" w:cs="Times New Roman"/>
          <w:sz w:val="24"/>
        </w:rPr>
        <w:t>, 615–633. https://doi.org/10.1016/S0360-8352(99)00155-2</w:t>
      </w:r>
    </w:p>
    <w:p>
      <w:pPr>
        <w:spacing w:line="240" w:lineRule="auto" w:after="120"/>
        <w:ind w:left="720" w:hanging="720"/>
        <w:jc w:val="both"/>
      </w:pPr>
      <w:r>
        <w:rPr>
          <w:rFonts w:ascii="Times New Roman" w:hAnsi="Times New Roman" w:cs="Times New Roman"/>
          <w:sz w:val="24"/>
        </w:rPr>
        <w:t xml:space="preserve">Suryaputri, Z., Gabriel, D. S., &amp; Nurcahyo, R. (2022). Integration of ABC-XYZ analysis in inventory management optimization: A case study in the health industry. I </w:t>
      </w:r>
      <w:r>
        <w:rPr>
          <w:rFonts w:ascii="Times New Roman" w:hAnsi="Times New Roman" w:cs="Times New Roman"/>
          <w:i/>
          <w:sz w:val="24"/>
        </w:rPr>
        <w:t>Proceedings of the International Conference on Industrial Engineering and Operations Management</w:t>
      </w:r>
      <w:r>
        <w:rPr>
          <w:rFonts w:ascii="Times New Roman" w:hAnsi="Times New Roman" w:cs="Times New Roman"/>
          <w:sz w:val="24"/>
        </w:rPr>
        <w:t xml:space="preserve"> (s. 351–360). IEOM Society International.</w:t>
      </w:r>
    </w:p>
    <w:p>
      <w:pPr>
        <w:spacing w:line="240" w:lineRule="auto" w:after="120"/>
        <w:ind w:left="720" w:hanging="720"/>
        <w:jc w:val="both"/>
      </w:pPr>
      <w:r>
        <w:rPr>
          <w:rFonts w:ascii="Times New Roman" w:hAnsi="Times New Roman" w:cs="Times New Roman"/>
          <w:sz w:val="24"/>
        </w:rPr>
        <w:t xml:space="preserve">van Kampen, T. J., Akkerman, R., &amp; van Donk, D. P. (2012). SKU classification: A literature review and conceptual framework. </w:t>
      </w:r>
      <w:r>
        <w:rPr>
          <w:rFonts w:ascii="Times New Roman" w:hAnsi="Times New Roman" w:cs="Times New Roman"/>
          <w:i/>
          <w:sz w:val="24"/>
        </w:rPr>
        <w:t>International Journal of Operations and Production Management</w:t>
      </w:r>
      <w:r>
        <w:rPr>
          <w:rFonts w:ascii="Times New Roman" w:hAnsi="Times New Roman" w:cs="Times New Roman"/>
          <w:sz w:val="24"/>
        </w:rPr>
        <w:t xml:space="preserve">, </w:t>
      </w:r>
      <w:r>
        <w:rPr>
          <w:rFonts w:ascii="Times New Roman" w:hAnsi="Times New Roman" w:cs="Times New Roman"/>
          <w:i/>
          <w:sz w:val="24"/>
        </w:rPr>
        <w:t>32</w:t>
      </w:r>
      <w:r>
        <w:rPr>
          <w:rFonts w:ascii="Times New Roman" w:hAnsi="Times New Roman" w:cs="Times New Roman"/>
          <w:sz w:val="24"/>
        </w:rPr>
        <w:t>(7), 850–876. https://doi.org/10.1108/01443571211250112</w:t>
      </w:r>
    </w:p>
    <w:p>
      <w:pPr>
        <w:spacing w:line="240" w:lineRule="auto" w:after="120"/>
        <w:ind w:left="720" w:hanging="720"/>
        <w:jc w:val="both"/>
      </w:pPr>
      <w:r>
        <w:rPr>
          <w:rFonts w:ascii="Times New Roman" w:hAnsi="Times New Roman" w:cs="Times New Roman"/>
          <w:sz w:val="24"/>
        </w:rPr>
        <w:t xml:space="preserve">Volland, J., Fügener, A., Schoenfelder, J., &amp; Brunner, J. O. (2017). Material logistics in hospitals: A literature review. </w:t>
      </w:r>
      <w:r>
        <w:rPr>
          <w:rFonts w:ascii="Times New Roman" w:hAnsi="Times New Roman" w:cs="Times New Roman"/>
          <w:i/>
          <w:sz w:val="24"/>
        </w:rPr>
        <w:t>Omega</w:t>
      </w:r>
      <w:r>
        <w:rPr>
          <w:rFonts w:ascii="Times New Roman" w:hAnsi="Times New Roman" w:cs="Times New Roman"/>
          <w:sz w:val="24"/>
        </w:rPr>
        <w:t xml:space="preserve">, </w:t>
      </w:r>
      <w:r>
        <w:rPr>
          <w:rFonts w:ascii="Times New Roman" w:hAnsi="Times New Roman" w:cs="Times New Roman"/>
          <w:i/>
          <w:sz w:val="24"/>
        </w:rPr>
        <w:t>69</w:t>
      </w:r>
      <w:r>
        <w:rPr>
          <w:rFonts w:ascii="Times New Roman" w:hAnsi="Times New Roman" w:cs="Times New Roman"/>
          <w:sz w:val="24"/>
        </w:rPr>
        <w:t>, 82–101. https://doi.org/10.1016/j.omega.2016.08.004</w:t>
      </w:r>
    </w:p>
    <w:p>
      <w:pPr>
        <w:pStyle w:val="Overskrift1"/>
        <w:pageBreakBefore w:val="true"/>
      </w:pPr>
      <w:r>
        <w:rPr>
          <w:rFonts w:ascii="Times New Roman" w:hAnsi="Times New Roman"/>
          <w:color w:val="000000"/>
          <w:sz w:val="36"/>
        </w:rPr>
        <w:t>Vedlegg</w:t>
      </w:r>
    </w:p>
    <w:p>
      <w:pPr>
        <w:pStyle w:val="Overskrift2"/>
      </w:pPr>
      <w:r>
        <w:rPr>
          <w:rFonts w:ascii="Times New Roman" w:hAnsi="Times New Roman"/>
          <w:color w:val="000000"/>
          <w:sz w:val="32"/>
        </w:rPr>
        <w:t>Vedlegg A – SAP-dataspesifikasjon</w:t>
      </w:r>
    </w:p>
    <w:p>
      <w:pPr>
        <w:spacing w:line="360" w:lineRule="auto"/>
        <w:jc w:val="both"/>
      </w:pPr>
      <w:r>
        <w:rPr>
          <w:rFonts w:ascii="Times New Roman" w:hAnsi="Times New Roman" w:cs="Times New Roman"/>
          <w:sz w:val="24"/>
        </w:rPr>
        <w:t>Se Tabell 4 i avsnitt 4.2 for fullstendig oversikt over de 14 SAP S/4HANA-tabellene, og Tabell 5 for de åtte datavalgsbeslutningene D-01–D-08.</w:t>
      </w:r>
    </w:p>
    <w:p>
      <w:pPr>
        <w:spacing w:line="360" w:lineRule="auto"/>
        <w:jc w:val="both"/>
      </w:pPr>
      <w:r>
        <w:rPr>
          <w:rFonts w:ascii="Times New Roman" w:hAnsi="Times New Roman" w:cs="Times New Roman"/>
          <w:sz w:val="24"/>
        </w:rPr>
        <w:t>Tabell A1 forklarer SAP-feltene som er sitert i hovedteksten, slik at lesere uten SAP MM-bakgrunn kan tolke datagrunnlaget direkte.</w:t>
      </w:r>
    </w:p>
    <w:p>
      <w:r>
        <w:rPr>
          <w:rFonts w:ascii="Times New Roman" w:hAnsi="Times New Roman"/>
          <w:i/>
          <w:sz w:val="20"/>
        </w:rPr>
        <w:t>Tabell A1. Feltforklaring: SAP MM- og MDMA-felter sitert i Tabell 4, kapittel 4 og analyseskriptet.</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Felt</w:t>
            </w:r>
          </w:p>
        </w:tc>
        <w:tc>
          <w:tcPr>
            <w:tcW w:type="dxa" w:w="2923"/>
            <w:tcBorders>
              <w:top w:val="single" w:sz="8" w:space="0" w:color="000000"/>
              <w:bottom w:val="single" w:sz="4" w:space="0" w:color="000000"/>
              <w:left w:val="nil"/>
              <w:right w:val="nil"/>
            </w:tcBorders>
          </w:tcPr>
          <w:p>
            <w:r/>
            <w:r>
              <w:rPr>
                <w:rFonts w:ascii="Times New Roman" w:hAnsi="Times New Roman"/>
                <w:b/>
                <w:sz w:val="22"/>
              </w:rPr>
              <w:t>Tabell</w:t>
            </w:r>
          </w:p>
        </w:tc>
        <w:tc>
          <w:tcPr>
            <w:tcW w:type="dxa" w:w="2923"/>
            <w:tcBorders>
              <w:top w:val="single" w:sz="8" w:space="0" w:color="000000"/>
              <w:bottom w:val="single" w:sz="4" w:space="0" w:color="000000"/>
              <w:left w:val="nil"/>
              <w:right w:val="nil"/>
            </w:tcBorders>
          </w:tcPr>
          <w:p>
            <w:r/>
            <w:r>
              <w:rPr>
                <w:rFonts w:ascii="Times New Roman" w:hAnsi="Times New Roman"/>
                <w:b/>
                <w:sz w:val="22"/>
              </w:rPr>
              <w:t>Beskrivelse</w:t>
            </w:r>
          </w:p>
        </w:tc>
      </w:tr>
      <w:tr>
        <w:tc>
          <w:tcPr>
            <w:tcW w:type="dxa" w:w="2923"/>
          </w:tcPr>
          <w:p>
            <w:r/>
            <w:r>
              <w:rPr>
                <w:rFonts w:ascii="Times New Roman" w:hAnsi="Times New Roman"/>
                <w:b w:val="0"/>
                <w:sz w:val="22"/>
              </w:rPr>
              <w:t>MATNR</w:t>
            </w:r>
          </w:p>
        </w:tc>
        <w:tc>
          <w:tcPr>
            <w:tcW w:type="dxa" w:w="2923"/>
          </w:tcPr>
          <w:p>
            <w:r/>
            <w:r>
              <w:rPr>
                <w:rFonts w:ascii="Times New Roman" w:hAnsi="Times New Roman"/>
                <w:b w:val="0"/>
                <w:sz w:val="22"/>
              </w:rPr>
              <w:t>MARA</w:t>
            </w:r>
          </w:p>
        </w:tc>
        <w:tc>
          <w:tcPr>
            <w:tcW w:type="dxa" w:w="2923"/>
          </w:tcPr>
          <w:p>
            <w:r/>
            <w:r>
              <w:rPr>
                <w:rFonts w:ascii="Times New Roman" w:hAnsi="Times New Roman"/>
                <w:b w:val="0"/>
                <w:sz w:val="22"/>
              </w:rPr>
              <w:t>Artikkelnummer (unik nøkkel)</w:t>
            </w:r>
          </w:p>
        </w:tc>
      </w:tr>
      <w:tr>
        <w:tc>
          <w:tcPr>
            <w:tcW w:type="dxa" w:w="2923"/>
          </w:tcPr>
          <w:p>
            <w:r/>
            <w:r>
              <w:rPr>
                <w:rFonts w:ascii="Times New Roman" w:hAnsi="Times New Roman"/>
                <w:b w:val="0"/>
                <w:sz w:val="22"/>
              </w:rPr>
              <w:t>MAKTX</w:t>
            </w:r>
          </w:p>
        </w:tc>
        <w:tc>
          <w:tcPr>
            <w:tcW w:type="dxa" w:w="2923"/>
          </w:tcPr>
          <w:p>
            <w:r/>
            <w:r>
              <w:rPr>
                <w:rFonts w:ascii="Times New Roman" w:hAnsi="Times New Roman"/>
                <w:b w:val="0"/>
                <w:sz w:val="22"/>
              </w:rPr>
              <w:t>MAKT</w:t>
            </w:r>
          </w:p>
        </w:tc>
        <w:tc>
          <w:tcPr>
            <w:tcW w:type="dxa" w:w="2923"/>
          </w:tcPr>
          <w:p>
            <w:r/>
            <w:r>
              <w:rPr>
                <w:rFonts w:ascii="Times New Roman" w:hAnsi="Times New Roman"/>
                <w:b w:val="0"/>
                <w:sz w:val="22"/>
              </w:rPr>
              <w:t>Artikkeltekst (norsk benevnelse)</w:t>
            </w:r>
          </w:p>
        </w:tc>
      </w:tr>
      <w:tr>
        <w:tc>
          <w:tcPr>
            <w:tcW w:type="dxa" w:w="2923"/>
          </w:tcPr>
          <w:p>
            <w:r/>
            <w:r>
              <w:rPr>
                <w:rFonts w:ascii="Times New Roman" w:hAnsi="Times New Roman"/>
                <w:b w:val="0"/>
                <w:sz w:val="22"/>
              </w:rPr>
              <w:t>MTART</w:t>
            </w:r>
          </w:p>
        </w:tc>
        <w:tc>
          <w:tcPr>
            <w:tcW w:type="dxa" w:w="2923"/>
          </w:tcPr>
          <w:p>
            <w:r/>
            <w:r>
              <w:rPr>
                <w:rFonts w:ascii="Times New Roman" w:hAnsi="Times New Roman"/>
                <w:b w:val="0"/>
                <w:sz w:val="22"/>
              </w:rPr>
              <w:t>MARA</w:t>
            </w:r>
          </w:p>
        </w:tc>
        <w:tc>
          <w:tcPr>
            <w:tcW w:type="dxa" w:w="2923"/>
          </w:tcPr>
          <w:p>
            <w:r/>
            <w:r>
              <w:rPr>
                <w:rFonts w:ascii="Times New Roman" w:hAnsi="Times New Roman"/>
                <w:b w:val="0"/>
                <w:sz w:val="22"/>
              </w:rPr>
              <w:t>Materialtype (klassifiserer artikkelens forretningsmessige rolle, f.eks. forbruksvare)</w:t>
            </w:r>
          </w:p>
        </w:tc>
      </w:tr>
      <w:tr>
        <w:tc>
          <w:tcPr>
            <w:tcW w:type="dxa" w:w="2923"/>
          </w:tcPr>
          <w:p>
            <w:r/>
            <w:r>
              <w:rPr>
                <w:rFonts w:ascii="Times New Roman" w:hAnsi="Times New Roman"/>
                <w:b w:val="0"/>
                <w:sz w:val="22"/>
              </w:rPr>
              <w:t>MATKL</w:t>
            </w:r>
          </w:p>
        </w:tc>
        <w:tc>
          <w:tcPr>
            <w:tcW w:type="dxa" w:w="2923"/>
          </w:tcPr>
          <w:p>
            <w:r/>
            <w:r>
              <w:rPr>
                <w:rFonts w:ascii="Times New Roman" w:hAnsi="Times New Roman"/>
                <w:b w:val="0"/>
                <w:sz w:val="22"/>
              </w:rPr>
              <w:t>MARA</w:t>
            </w:r>
          </w:p>
        </w:tc>
        <w:tc>
          <w:tcPr>
            <w:tcW w:type="dxa" w:w="2923"/>
          </w:tcPr>
          <w:p>
            <w:r/>
            <w:r>
              <w:rPr>
                <w:rFonts w:ascii="Times New Roman" w:hAnsi="Times New Roman"/>
                <w:b w:val="0"/>
                <w:sz w:val="22"/>
              </w:rPr>
              <w:t>Varegruppe (intern kategorisering)</w:t>
            </w:r>
          </w:p>
        </w:tc>
      </w:tr>
      <w:tr>
        <w:tc>
          <w:tcPr>
            <w:tcW w:type="dxa" w:w="2923"/>
          </w:tcPr>
          <w:p>
            <w:r/>
            <w:r>
              <w:rPr>
                <w:rFonts w:ascii="Times New Roman" w:hAnsi="Times New Roman"/>
                <w:b w:val="0"/>
                <w:sz w:val="22"/>
              </w:rPr>
              <w:t>WGBEZ</w:t>
            </w:r>
          </w:p>
        </w:tc>
        <w:tc>
          <w:tcPr>
            <w:tcW w:type="dxa" w:w="2923"/>
          </w:tcPr>
          <w:p>
            <w:r/>
            <w:r>
              <w:rPr>
                <w:rFonts w:ascii="Times New Roman" w:hAnsi="Times New Roman"/>
                <w:b w:val="0"/>
                <w:sz w:val="22"/>
              </w:rPr>
              <w:t>T023T</w:t>
            </w:r>
          </w:p>
        </w:tc>
        <w:tc>
          <w:tcPr>
            <w:tcW w:type="dxa" w:w="2923"/>
          </w:tcPr>
          <w:p>
            <w:r/>
            <w:r>
              <w:rPr>
                <w:rFonts w:ascii="Times New Roman" w:hAnsi="Times New Roman"/>
                <w:b w:val="0"/>
                <w:sz w:val="22"/>
              </w:rPr>
              <w:t>Varegruppebetegnelse (tekstbeskrivelse av MATKL)</w:t>
            </w:r>
          </w:p>
        </w:tc>
      </w:tr>
      <w:tr>
        <w:tc>
          <w:tcPr>
            <w:tcW w:type="dxa" w:w="2923"/>
          </w:tcPr>
          <w:p>
            <w:r/>
            <w:r>
              <w:rPr>
                <w:rFonts w:ascii="Times New Roman" w:hAnsi="Times New Roman"/>
                <w:b w:val="0"/>
                <w:sz w:val="22"/>
              </w:rPr>
              <w:t>MEINS</w:t>
            </w:r>
          </w:p>
        </w:tc>
        <w:tc>
          <w:tcPr>
            <w:tcW w:type="dxa" w:w="2923"/>
          </w:tcPr>
          <w:p>
            <w:r/>
            <w:r>
              <w:rPr>
                <w:rFonts w:ascii="Times New Roman" w:hAnsi="Times New Roman"/>
                <w:b w:val="0"/>
                <w:sz w:val="22"/>
              </w:rPr>
              <w:t>MARA</w:t>
            </w:r>
          </w:p>
        </w:tc>
        <w:tc>
          <w:tcPr>
            <w:tcW w:type="dxa" w:w="2923"/>
          </w:tcPr>
          <w:p>
            <w:r/>
            <w:r>
              <w:rPr>
                <w:rFonts w:ascii="Times New Roman" w:hAnsi="Times New Roman"/>
                <w:b w:val="0"/>
                <w:sz w:val="22"/>
              </w:rPr>
              <w:t>Basismengdeenhet (f.eks. ST = stykk, PAK = pakke)</w:t>
            </w:r>
          </w:p>
        </w:tc>
      </w:tr>
      <w:tr>
        <w:tc>
          <w:tcPr>
            <w:tcW w:type="dxa" w:w="2923"/>
          </w:tcPr>
          <w:p>
            <w:r/>
            <w:r>
              <w:rPr>
                <w:rFonts w:ascii="Times New Roman" w:hAnsi="Times New Roman"/>
                <w:b w:val="0"/>
                <w:sz w:val="22"/>
              </w:rPr>
              <w:t>WERKS</w:t>
            </w:r>
          </w:p>
        </w:tc>
        <w:tc>
          <w:tcPr>
            <w:tcW w:type="dxa" w:w="2923"/>
          </w:tcPr>
          <w:p>
            <w:r/>
            <w:r>
              <w:rPr>
                <w:rFonts w:ascii="Times New Roman" w:hAnsi="Times New Roman"/>
                <w:b w:val="0"/>
                <w:sz w:val="22"/>
              </w:rPr>
              <w:t>MARC/MARD</w:t>
            </w:r>
          </w:p>
        </w:tc>
        <w:tc>
          <w:tcPr>
            <w:tcW w:type="dxa" w:w="2923"/>
          </w:tcPr>
          <w:p>
            <w:r/>
            <w:r>
              <w:rPr>
                <w:rFonts w:ascii="Times New Roman" w:hAnsi="Times New Roman"/>
                <w:b w:val="0"/>
                <w:sz w:val="22"/>
              </w:rPr>
              <w:t>Anleggskode (3300 = Helse Bergen)</w:t>
            </w:r>
          </w:p>
        </w:tc>
      </w:tr>
      <w:tr>
        <w:tc>
          <w:tcPr>
            <w:tcW w:type="dxa" w:w="2923"/>
          </w:tcPr>
          <w:p>
            <w:r/>
            <w:r>
              <w:rPr>
                <w:rFonts w:ascii="Times New Roman" w:hAnsi="Times New Roman"/>
                <w:b w:val="0"/>
                <w:sz w:val="22"/>
              </w:rPr>
              <w:t>LGORT</w:t>
            </w:r>
          </w:p>
        </w:tc>
        <w:tc>
          <w:tcPr>
            <w:tcW w:type="dxa" w:w="2923"/>
          </w:tcPr>
          <w:p>
            <w:r/>
            <w:r>
              <w:rPr>
                <w:rFonts w:ascii="Times New Roman" w:hAnsi="Times New Roman"/>
                <w:b w:val="0"/>
                <w:sz w:val="22"/>
              </w:rPr>
              <w:t>MARD</w:t>
            </w:r>
          </w:p>
        </w:tc>
        <w:tc>
          <w:tcPr>
            <w:tcW w:type="dxa" w:w="2923"/>
          </w:tcPr>
          <w:p>
            <w:r/>
            <w:r>
              <w:rPr>
                <w:rFonts w:ascii="Times New Roman" w:hAnsi="Times New Roman"/>
                <w:b w:val="0"/>
                <w:sz w:val="22"/>
              </w:rPr>
              <w:t>Lagersted (3001 = forsyningslager ved WERKS 3300)</w:t>
            </w:r>
          </w:p>
        </w:tc>
      </w:tr>
      <w:tr>
        <w:tc>
          <w:tcPr>
            <w:tcW w:type="dxa" w:w="2923"/>
          </w:tcPr>
          <w:p>
            <w:r/>
            <w:r>
              <w:rPr>
                <w:rFonts w:ascii="Times New Roman" w:hAnsi="Times New Roman"/>
                <w:b w:val="0"/>
                <w:sz w:val="22"/>
              </w:rPr>
              <w:t>STPRS</w:t>
            </w:r>
          </w:p>
        </w:tc>
        <w:tc>
          <w:tcPr>
            <w:tcW w:type="dxa" w:w="2923"/>
          </w:tcPr>
          <w:p>
            <w:r/>
            <w:r>
              <w:rPr>
                <w:rFonts w:ascii="Times New Roman" w:hAnsi="Times New Roman"/>
                <w:b w:val="0"/>
                <w:sz w:val="22"/>
              </w:rPr>
              <w:t>MBEW</w:t>
            </w:r>
          </w:p>
        </w:tc>
        <w:tc>
          <w:tcPr>
            <w:tcW w:type="dxa" w:w="2923"/>
          </w:tcPr>
          <w:p>
            <w:r/>
            <w:r>
              <w:rPr>
                <w:rFonts w:ascii="Times New Roman" w:hAnsi="Times New Roman"/>
                <w:b w:val="0"/>
                <w:sz w:val="22"/>
              </w:rPr>
              <w:t>Standardpris i lokal valuta</w:t>
            </w:r>
          </w:p>
        </w:tc>
      </w:tr>
      <w:tr>
        <w:tc>
          <w:tcPr>
            <w:tcW w:type="dxa" w:w="2923"/>
          </w:tcPr>
          <w:p>
            <w:r/>
            <w:r>
              <w:rPr>
                <w:rFonts w:ascii="Times New Roman" w:hAnsi="Times New Roman"/>
                <w:b w:val="0"/>
                <w:sz w:val="22"/>
              </w:rPr>
              <w:t>PEINH</w:t>
            </w:r>
          </w:p>
        </w:tc>
        <w:tc>
          <w:tcPr>
            <w:tcW w:type="dxa" w:w="2923"/>
          </w:tcPr>
          <w:p>
            <w:r/>
            <w:r>
              <w:rPr>
                <w:rFonts w:ascii="Times New Roman" w:hAnsi="Times New Roman"/>
                <w:b w:val="0"/>
                <w:sz w:val="22"/>
              </w:rPr>
              <w:t>MBEW</w:t>
            </w:r>
          </w:p>
        </w:tc>
        <w:tc>
          <w:tcPr>
            <w:tcW w:type="dxa" w:w="2923"/>
          </w:tcPr>
          <w:p>
            <w:r/>
            <w:r>
              <w:rPr>
                <w:rFonts w:ascii="Times New Roman" w:hAnsi="Times New Roman"/>
                <w:b w:val="0"/>
                <w:sz w:val="22"/>
              </w:rPr>
              <w:t>Prisenhet – STPRS gjelder per PEINH enheter; UNIT_PRICE = STPRS ÷ PEINH (D-02)</w:t>
            </w:r>
          </w:p>
        </w:tc>
      </w:tr>
      <w:tr>
        <w:tc>
          <w:tcPr>
            <w:tcW w:type="dxa" w:w="2923"/>
          </w:tcPr>
          <w:p>
            <w:r/>
            <w:r>
              <w:rPr>
                <w:rFonts w:ascii="Times New Roman" w:hAnsi="Times New Roman"/>
                <w:b w:val="0"/>
                <w:sz w:val="22"/>
              </w:rPr>
              <w:t>MARC_ABC</w:t>
            </w:r>
          </w:p>
        </w:tc>
        <w:tc>
          <w:tcPr>
            <w:tcW w:type="dxa" w:w="2923"/>
          </w:tcPr>
          <w:p>
            <w:r/>
            <w:r>
              <w:rPr>
                <w:rFonts w:ascii="Times New Roman" w:hAnsi="Times New Roman"/>
                <w:b w:val="0"/>
                <w:sz w:val="22"/>
              </w:rPr>
              <w:t>MARC</w:t>
            </w:r>
          </w:p>
        </w:tc>
        <w:tc>
          <w:tcPr>
            <w:tcW w:type="dxa" w:w="2923"/>
          </w:tcPr>
          <w:p>
            <w:r/>
            <w:r>
              <w:rPr>
                <w:rFonts w:ascii="Times New Roman" w:hAnsi="Times New Roman"/>
                <w:b w:val="0"/>
                <w:sz w:val="22"/>
              </w:rPr>
              <w:t>Anleggsspesifikk ABC-indikator vedlikeholdt i materialstamdata</w:t>
            </w:r>
          </w:p>
        </w:tc>
      </w:tr>
      <w:tr>
        <w:tc>
          <w:tcPr>
            <w:tcW w:type="dxa" w:w="2923"/>
          </w:tcPr>
          <w:p>
            <w:r/>
            <w:r>
              <w:rPr>
                <w:rFonts w:ascii="Times New Roman" w:hAnsi="Times New Roman"/>
                <w:b w:val="0"/>
                <w:sz w:val="22"/>
              </w:rPr>
              <w:t>ZZABC</w:t>
            </w:r>
          </w:p>
        </w:tc>
        <w:tc>
          <w:tcPr>
            <w:tcW w:type="dxa" w:w="2923"/>
          </w:tcPr>
          <w:p>
            <w:r/>
            <w:r>
              <w:rPr>
                <w:rFonts w:ascii="Times New Roman" w:hAnsi="Times New Roman"/>
                <w:b w:val="0"/>
                <w:sz w:val="22"/>
              </w:rPr>
              <w:t>MDMA</w:t>
            </w:r>
          </w:p>
        </w:tc>
        <w:tc>
          <w:tcPr>
            <w:tcW w:type="dxa" w:w="2923"/>
          </w:tcPr>
          <w:p>
            <w:r/>
            <w:r>
              <w:rPr>
                <w:rFonts w:ascii="Times New Roman" w:hAnsi="Times New Roman"/>
                <w:b w:val="0"/>
                <w:sz w:val="22"/>
              </w:rPr>
              <w:t>Kundespesifikt (Z-) felt for ABC-klassifisering, oppdateres via MRP</w:t>
            </w:r>
          </w:p>
        </w:tc>
      </w:tr>
      <w:tr>
        <w:tc>
          <w:tcPr>
            <w:tcW w:type="dxa" w:w="2923"/>
          </w:tcPr>
          <w:p>
            <w:r/>
            <w:r>
              <w:rPr>
                <w:rFonts w:ascii="Times New Roman" w:hAnsi="Times New Roman"/>
                <w:b w:val="0"/>
                <w:sz w:val="22"/>
              </w:rPr>
              <w:t>ZZXYZ</w:t>
            </w:r>
          </w:p>
        </w:tc>
        <w:tc>
          <w:tcPr>
            <w:tcW w:type="dxa" w:w="2923"/>
          </w:tcPr>
          <w:p>
            <w:r/>
            <w:r>
              <w:rPr>
                <w:rFonts w:ascii="Times New Roman" w:hAnsi="Times New Roman"/>
                <w:b w:val="0"/>
                <w:sz w:val="22"/>
              </w:rPr>
              <w:t>MDMA</w:t>
            </w:r>
          </w:p>
        </w:tc>
        <w:tc>
          <w:tcPr>
            <w:tcW w:type="dxa" w:w="2923"/>
          </w:tcPr>
          <w:p>
            <w:r/>
            <w:r>
              <w:rPr>
                <w:rFonts w:ascii="Times New Roman" w:hAnsi="Times New Roman"/>
                <w:b w:val="0"/>
                <w:sz w:val="22"/>
              </w:rPr>
              <w:t>Kundespesifikt (Z-) felt for XYZ-klassifisering, oppdateres via MRP</w:t>
            </w:r>
          </w:p>
        </w:tc>
      </w:tr>
      <w:tr>
        <w:tc>
          <w:tcPr>
            <w:tcW w:type="dxa" w:w="2923"/>
          </w:tcPr>
          <w:p>
            <w:r/>
            <w:r>
              <w:rPr>
                <w:rFonts w:ascii="Times New Roman" w:hAnsi="Times New Roman"/>
                <w:b w:val="0"/>
                <w:sz w:val="22"/>
              </w:rPr>
              <w:t>EKGRP</w:t>
            </w:r>
          </w:p>
        </w:tc>
        <w:tc>
          <w:tcPr>
            <w:tcW w:type="dxa" w:w="2923"/>
          </w:tcPr>
          <w:p>
            <w:r/>
            <w:r>
              <w:rPr>
                <w:rFonts w:ascii="Times New Roman" w:hAnsi="Times New Roman"/>
                <w:b w:val="0"/>
                <w:sz w:val="22"/>
              </w:rPr>
              <w:t>T024</w:t>
            </w:r>
          </w:p>
        </w:tc>
        <w:tc>
          <w:tcPr>
            <w:tcW w:type="dxa" w:w="2923"/>
          </w:tcPr>
          <w:p>
            <w:r/>
            <w:r>
              <w:rPr>
                <w:rFonts w:ascii="Times New Roman" w:hAnsi="Times New Roman"/>
                <w:b w:val="0"/>
                <w:sz w:val="22"/>
              </w:rPr>
              <w:t>Innkjøpsgruppe (300 / 3000 ved Helse Bergen)</w:t>
            </w:r>
          </w:p>
        </w:tc>
      </w:tr>
      <w:tr>
        <w:tc>
          <w:tcPr>
            <w:tcW w:type="dxa" w:w="2923"/>
          </w:tcPr>
          <w:p>
            <w:r/>
            <w:r>
              <w:rPr>
                <w:rFonts w:ascii="Times New Roman" w:hAnsi="Times New Roman"/>
                <w:b w:val="0"/>
                <w:sz w:val="22"/>
              </w:rPr>
              <w:t>BWART</w:t>
            </w:r>
          </w:p>
        </w:tc>
        <w:tc>
          <w:tcPr>
            <w:tcW w:type="dxa" w:w="2923"/>
          </w:tcPr>
          <w:p>
            <w:r/>
            <w:r>
              <w:rPr>
                <w:rFonts w:ascii="Times New Roman" w:hAnsi="Times New Roman"/>
                <w:b w:val="0"/>
                <w:sz w:val="22"/>
              </w:rPr>
              <w:t>MSEG</w:t>
            </w:r>
          </w:p>
        </w:tc>
        <w:tc>
          <w:tcPr>
            <w:tcW w:type="dxa" w:w="2923"/>
          </w:tcPr>
          <w:p>
            <w:r/>
            <w:r>
              <w:rPr>
                <w:rFonts w:ascii="Times New Roman" w:hAnsi="Times New Roman"/>
                <w:b w:val="0"/>
                <w:sz w:val="22"/>
              </w:rPr>
              <w:t>Bevegelsestype (201 = forbruk, 647 = lokal forbruksvariant, 101 = varemottak)</w:t>
            </w:r>
          </w:p>
        </w:tc>
      </w:tr>
      <w:tr>
        <w:tc>
          <w:tcPr>
            <w:tcW w:type="dxa" w:w="2923"/>
          </w:tcPr>
          <w:p>
            <w:r/>
            <w:r>
              <w:rPr>
                <w:rFonts w:ascii="Times New Roman" w:hAnsi="Times New Roman"/>
                <w:b w:val="0"/>
                <w:sz w:val="22"/>
              </w:rPr>
              <w:t>NETWR</w:t>
            </w:r>
          </w:p>
        </w:tc>
        <w:tc>
          <w:tcPr>
            <w:tcW w:type="dxa" w:w="2923"/>
          </w:tcPr>
          <w:p>
            <w:r/>
            <w:r>
              <w:rPr>
                <w:rFonts w:ascii="Times New Roman" w:hAnsi="Times New Roman"/>
                <w:b w:val="0"/>
                <w:sz w:val="22"/>
              </w:rPr>
              <w:t>EKPO</w:t>
            </w:r>
          </w:p>
        </w:tc>
        <w:tc>
          <w:tcPr>
            <w:tcW w:type="dxa" w:w="2923"/>
          </w:tcPr>
          <w:p>
            <w:r/>
            <w:r>
              <w:rPr>
                <w:rFonts w:ascii="Times New Roman" w:hAnsi="Times New Roman"/>
                <w:b w:val="0"/>
                <w:sz w:val="22"/>
              </w:rPr>
              <w:t>Netto ordreverdi per innkjøpsordrelinje</w:t>
            </w:r>
          </w:p>
        </w:tc>
      </w:tr>
      <w:tr>
        <w:tc>
          <w:tcPr>
            <w:tcW w:type="dxa" w:w="2923"/>
          </w:tcPr>
          <w:p>
            <w:r/>
            <w:r>
              <w:rPr>
                <w:rFonts w:ascii="Times New Roman" w:hAnsi="Times New Roman"/>
                <w:b w:val="0"/>
                <w:sz w:val="22"/>
              </w:rPr>
              <w:t>PLIFZ</w:t>
            </w:r>
          </w:p>
        </w:tc>
        <w:tc>
          <w:tcPr>
            <w:tcW w:type="dxa" w:w="2923"/>
          </w:tcPr>
          <w:p>
            <w:r/>
            <w:r>
              <w:rPr>
                <w:rFonts w:ascii="Times New Roman" w:hAnsi="Times New Roman"/>
                <w:b w:val="0"/>
                <w:sz w:val="22"/>
              </w:rPr>
              <w:t>EINE</w:t>
            </w:r>
          </w:p>
        </w:tc>
        <w:tc>
          <w:tcPr>
            <w:tcW w:type="dxa" w:w="2923"/>
          </w:tcPr>
          <w:p>
            <w:r/>
            <w:r>
              <w:rPr>
                <w:rFonts w:ascii="Times New Roman" w:hAnsi="Times New Roman"/>
                <w:b w:val="0"/>
                <w:sz w:val="22"/>
              </w:rPr>
              <w:t>Planlagt leveringstid (dager) per inforecord-organisasjonsdel</w:t>
            </w:r>
          </w:p>
        </w:tc>
      </w:tr>
      <w:tr>
        <w:tc>
          <w:tcPr>
            <w:tcW w:type="dxa" w:w="2923"/>
          </w:tcPr>
          <w:p>
            <w:r/>
            <w:r>
              <w:rPr>
                <w:rFonts w:ascii="Times New Roman" w:hAnsi="Times New Roman"/>
                <w:b w:val="0"/>
                <w:sz w:val="22"/>
              </w:rPr>
              <w:t>MSEG_STATUS</w:t>
            </w:r>
          </w:p>
        </w:tc>
        <w:tc>
          <w:tcPr>
            <w:tcW w:type="dxa" w:w="2923"/>
          </w:tcPr>
          <w:p>
            <w:r/>
            <w:r>
              <w:rPr>
                <w:rFonts w:ascii="Times New Roman" w:hAnsi="Times New Roman"/>
                <w:b w:val="0"/>
                <w:sz w:val="22"/>
              </w:rPr>
              <w:t>Avledet</w:t>
            </w:r>
          </w:p>
        </w:tc>
        <w:tc>
          <w:tcPr>
            <w:tcW w:type="dxa" w:w="2923"/>
          </w:tcPr>
          <w:p>
            <w:r/>
            <w:r>
              <w:rPr>
                <w:rFonts w:ascii="Times New Roman" w:hAnsi="Times New Roman"/>
                <w:b w:val="0"/>
                <w:sz w:val="22"/>
              </w:rPr>
              <w:t>Aktiv-flagg utledet fra MSEG-bevegelseshistorikk (Z-felt, ikke standard MSEG)</w:t>
            </w:r>
          </w:p>
        </w:tc>
      </w:tr>
    </w:tbl>
    <w:p>
      <w:pPr>
        <w:pStyle w:val="Overskrift2"/>
      </w:pPr>
      <w:r>
        <w:rPr>
          <w:rFonts w:ascii="Times New Roman" w:hAnsi="Times New Roman"/>
          <w:color w:val="000000"/>
          <w:sz w:val="32"/>
        </w:rPr>
        <w:t>Vedlegg B – Python-analyseverktøy</w:t>
      </w:r>
    </w:p>
    <w:p>
      <w:pPr>
        <w:spacing w:line="360" w:lineRule="auto"/>
        <w:jc w:val="both"/>
      </w:pPr>
      <w:r>
        <w:rPr>
          <w:rFonts w:ascii="Times New Roman" w:hAnsi="Times New Roman" w:cs="Times New Roman"/>
          <w:sz w:val="24"/>
        </w:rPr>
        <w:t>Analyseverktøyet er implementert i Python 3.13 og består av to hovedkomponenter:</w:t>
      </w:r>
    </w:p>
    <w:p>
      <w:pPr>
        <w:spacing w:line="360" w:lineRule="auto"/>
        <w:jc w:val="both"/>
      </w:pPr>
      <w:r>
        <w:rPr>
          <w:rFonts w:ascii="Times New Roman" w:hAnsi="Times New Roman" w:cs="Times New Roman"/>
          <w:b/>
          <w:sz w:val="24"/>
        </w:rPr>
        <w:t>Hovedscript:</w:t>
      </w:r>
      <w:r>
        <w:rPr>
          <w:rFonts w:ascii="Times New Roman" w:hAnsi="Times New Roman" w:cs="Times New Roman"/>
          <w:sz w:val="24"/>
        </w:rPr>
        <w:t xml:space="preserve"> </w:t>
      </w:r>
      <w:r>
        <w:rPr>
          <w:rFonts w:ascii="Consolas" w:hAnsi="Consolas" w:cs="Consolas"/>
          <w:sz w:val="20"/>
          <w:shd w:val="clear" w:color="auto" w:fill="F4F4F4"/>
        </w:rPr>
        <w:t>LOG650_analyse_v2_7.py</w:t>
      </w:r>
      <w:r>
        <w:rPr>
          <w:rFonts w:ascii="Times New Roman" w:hAnsi="Times New Roman" w:cs="Times New Roman"/>
          <w:sz w:val="24"/>
        </w:rPr>
        <w:t xml:space="preserve"> – deterministisk analysepipeline som leser MASTERFILE V1.xlsx og produserer alle klassifiseringer, K-means-modellen, regelmotoranbefalinger og besparelsesestimater. Outputformat: Excel (LOG650_Resultater.xlsx) med separate ark for hvert analysesteg.</w:t>
      </w:r>
    </w:p>
    <w:p>
      <w:pPr>
        <w:spacing w:line="360" w:lineRule="auto"/>
        <w:jc w:val="both"/>
      </w:pPr>
      <w:r>
        <w:rPr>
          <w:rFonts w:ascii="Times New Roman" w:hAnsi="Times New Roman" w:cs="Times New Roman"/>
          <w:b/>
          <w:sz w:val="24"/>
        </w:rPr>
        <w:t>Figurscripts:</w:t>
      </w:r>
      <w:r>
        <w:rPr>
          <w:rFonts w:ascii="Times New Roman" w:hAnsi="Times New Roman" w:cs="Times New Roman"/>
          <w:sz w:val="24"/>
        </w:rPr>
        <w:t xml:space="preserve"> 12 separate Python-scripts (</w:t>
      </w:r>
      <w:r>
        <w:rPr>
          <w:rFonts w:ascii="Consolas" w:hAnsi="Consolas" w:cs="Consolas"/>
          <w:sz w:val="20"/>
          <w:shd w:val="clear" w:color="auto" w:fill="F4F4F4"/>
        </w:rPr>
        <w:t>plot_*.py</w:t>
      </w:r>
      <w:r>
        <w:rPr>
          <w:rFonts w:ascii="Times New Roman" w:hAnsi="Times New Roman" w:cs="Times New Roman"/>
          <w:sz w:val="24"/>
        </w:rPr>
        <w:t>) som genererer figurene Fig00–Fig11 i konsistent stil (serif-font, 300 dpi, felles fargepalett).</w:t>
      </w:r>
    </w:p>
    <w:p>
      <w:pPr>
        <w:spacing w:line="360" w:lineRule="auto"/>
        <w:jc w:val="both"/>
      </w:pPr>
      <w:r>
        <w:rPr>
          <w:rFonts w:ascii="Times New Roman" w:hAnsi="Times New Roman" w:cs="Times New Roman"/>
          <w:b/>
          <w:sz w:val="24"/>
        </w:rPr>
        <w:t>Nøkkelbibliotek:</w:t>
      </w:r>
      <w:r>
        <w:rPr>
          <w:rFonts w:ascii="Times New Roman" w:hAnsi="Times New Roman" w:cs="Times New Roman"/>
          <w:sz w:val="24"/>
        </w:rPr>
        <w:t xml:space="preserve"> pandas 2.2.2 (datastrukturer), numpy 1.26.4 (numeriske beregninger), scikit-learn 1.4.2 (KMeans, StandardScaler, silhouette\_score, train\_test\_split), matplotlib 3.8.4 (visualisering), openpyxl 3.1.2 (Excel-lesing), xlsxwriter 3.2.0 (Excel-skriving).</w:t>
      </w:r>
    </w:p>
    <w:p>
      <w:pPr>
        <w:spacing w:line="360" w:lineRule="auto"/>
        <w:jc w:val="both"/>
      </w:pPr>
      <w:r>
        <w:rPr>
          <w:rFonts w:ascii="Times New Roman" w:hAnsi="Times New Roman" w:cs="Times New Roman"/>
          <w:b/>
          <w:sz w:val="24"/>
        </w:rPr>
        <w:t>Reproduserbarhet:</w:t>
      </w:r>
      <w:r>
        <w:rPr>
          <w:rFonts w:ascii="Times New Roman" w:hAnsi="Times New Roman" w:cs="Times New Roman"/>
          <w:sz w:val="24"/>
        </w:rPr>
        <w:t xml:space="preserve"> Alle scripts bruker </w:t>
      </w:r>
      <w:r>
        <w:rPr>
          <w:rFonts w:ascii="Consolas" w:hAnsi="Consolas" w:cs="Consolas"/>
          <w:sz w:val="20"/>
          <w:shd w:val="clear" w:color="auto" w:fill="F4F4F4"/>
        </w:rPr>
        <w:t>random_state=42</w:t>
      </w:r>
      <w:r>
        <w:rPr>
          <w:rFonts w:ascii="Times New Roman" w:hAnsi="Times New Roman" w:cs="Times New Roman"/>
          <w:sz w:val="24"/>
        </w:rPr>
        <w:t xml:space="preserve"> for deterministisk output. Gjentatt kjøring med samme inputdata gir identiske resultater.</w:t>
      </w:r>
    </w:p>
    <w:p>
      <w:pPr>
        <w:spacing w:line="360" w:lineRule="auto"/>
        <w:jc w:val="both"/>
      </w:pPr>
      <w:r>
        <w:rPr>
          <w:rFonts w:ascii="Times New Roman" w:hAnsi="Times New Roman" w:cs="Times New Roman"/>
          <w:sz w:val="24"/>
        </w:rPr>
        <w:t>Fullstendig kildekode er tilgjengelig i prosjektets GitHub-repository.</w:t>
      </w:r>
    </w:p>
    <w:p>
      <w:pPr>
        <w:pStyle w:val="Overskrift2"/>
      </w:pPr>
      <w:r>
        <w:rPr>
          <w:rFonts w:ascii="Times New Roman" w:hAnsi="Times New Roman"/>
          <w:color w:val="000000"/>
          <w:sz w:val="32"/>
        </w:rPr>
        <w:t>Vedlegg C – Erklæring om bruk av kunstig intelligens</w:t>
      </w:r>
    </w:p>
    <w:p>
      <w:pPr>
        <w:spacing w:line="360" w:lineRule="auto"/>
        <w:jc w:val="both"/>
      </w:pPr>
      <w:r>
        <w:rPr>
          <w:rFonts w:ascii="Times New Roman" w:hAnsi="Times New Roman" w:cs="Times New Roman"/>
          <w:sz w:val="24"/>
        </w:rPr>
        <w:t>I denne rapporten er KI-verktøyet Claude brukt som støtteverktøy i tre deler av arbeidet, i samsvar med Høgskolen i Molde sine retningslinjer for bruk av KI på hjemmeeksamen.</w:t>
      </w:r>
    </w:p>
    <w:p>
      <w:pPr>
        <w:spacing w:line="360" w:lineRule="auto"/>
        <w:jc w:val="both"/>
      </w:pPr>
      <w:r>
        <w:rPr>
          <w:rFonts w:ascii="Times New Roman" w:hAnsi="Times New Roman" w:cs="Times New Roman"/>
          <w:b/>
          <w:sz w:val="24"/>
        </w:rPr>
        <w:t>1. Kode og algoritmer.</w:t>
      </w:r>
      <w:r>
        <w:rPr>
          <w:rFonts w:ascii="Times New Roman" w:hAnsi="Times New Roman" w:cs="Times New Roman"/>
          <w:sz w:val="24"/>
        </w:rPr>
        <w:t xml:space="preserve"> Claude ble brukt til kodestøtte og feilsøking i Python-scriptet (</w:t>
      </w:r>
      <w:r>
        <w:rPr>
          <w:rFonts w:ascii="Consolas" w:hAnsi="Consolas" w:cs="Consolas"/>
          <w:sz w:val="20"/>
          <w:shd w:val="clear" w:color="auto" w:fill="F4F4F4"/>
        </w:rPr>
        <w:t>LOG650_analyse_v2_7.py</w:t>
      </w:r>
      <w:r>
        <w:rPr>
          <w:rFonts w:ascii="Times New Roman" w:hAnsi="Times New Roman" w:cs="Times New Roman"/>
          <w:sz w:val="24"/>
        </w:rPr>
        <w:t xml:space="preserve">) som implementerer ABC-, XYZ-, EOQ- og K-means-analysen. Verktøyet ble brukt til å forstå kodelogikk, feilsøke syntaksfeil og generere foreløpige kodeutdrag som senere ble tilpasset og integrert. All kode er gjennomgått, testet og modifisert av forfatteren for å sikre korrekthet. Den endelige implementasjonen, tolkningen av resultater og presentasjonen av numeriske verdier er forfatterens ansvar. Alle scripts bruker </w:t>
      </w:r>
      <w:r>
        <w:rPr>
          <w:rFonts w:ascii="Consolas" w:hAnsi="Consolas" w:cs="Consolas"/>
          <w:sz w:val="20"/>
          <w:shd w:val="clear" w:color="auto" w:fill="F4F4F4"/>
        </w:rPr>
        <w:t>random_state=42</w:t>
      </w:r>
      <w:r>
        <w:rPr>
          <w:rFonts w:ascii="Times New Roman" w:hAnsi="Times New Roman" w:cs="Times New Roman"/>
          <w:sz w:val="24"/>
        </w:rPr>
        <w:t xml:space="preserve"> for deterministisk og reproduserbar output.</w:t>
      </w:r>
    </w:p>
    <w:p>
      <w:pPr>
        <w:spacing w:line="360" w:lineRule="auto"/>
        <w:jc w:val="both"/>
      </w:pPr>
      <w:r>
        <w:rPr>
          <w:rFonts w:ascii="Times New Roman" w:hAnsi="Times New Roman" w:cs="Times New Roman"/>
          <w:b/>
          <w:sz w:val="24"/>
        </w:rPr>
        <w:t>2. Figurer og tabeller.</w:t>
      </w:r>
      <w:r>
        <w:rPr>
          <w:rFonts w:ascii="Times New Roman" w:hAnsi="Times New Roman" w:cs="Times New Roman"/>
          <w:sz w:val="24"/>
        </w:rPr>
        <w:t xml:space="preserve"> Alle 12 figurer (Fig00–Fig11) er generert med matplotlib-scripts der Claude bidro til utforming av layout, fargepalett og aksetitler. Figurene er basert på analyseresultater produsert av Python-scriptet fra SAP-kildedata – KI-verktøyet har ikke produsert eller modifisert noen dataverdier. Bruken gjelder samtlige figurer i rapporten og deklareres samlet her, slik at figurtekstene kan holdes strengt deskriptive. Tabeller er formatert med støtte fra Claude, men alle verdier kommer direkte fra analysescriptet.</w:t>
      </w:r>
    </w:p>
    <w:p>
      <w:pPr>
        <w:spacing w:line="360" w:lineRule="auto"/>
        <w:jc w:val="both"/>
      </w:pPr>
      <w:r>
        <w:rPr>
          <w:rFonts w:ascii="Times New Roman" w:hAnsi="Times New Roman" w:cs="Times New Roman"/>
          <w:b/>
          <w:sz w:val="24"/>
        </w:rPr>
        <w:t>3. Tekststrukturering og språklig bearbeiding.</w:t>
      </w:r>
      <w:r>
        <w:rPr>
          <w:rFonts w:ascii="Times New Roman" w:hAnsi="Times New Roman" w:cs="Times New Roman"/>
          <w:sz w:val="24"/>
        </w:rPr>
        <w:t xml:space="preserve"> Claude ble brukt til å strukturere rapportteksten og forbedre språklig klarhet. Verktøyet foreslo disposisjon, avsnittsinndeling og formuleringer som forfatteren vurderte kritisk og reviderte. Alle faglige påstander, argumenter og konklusjoner er forfatterens egne. Claude er ikke brukt som fagkilde og er ikke sitert som belegg for faglige påstander.</w:t>
      </w:r>
    </w:p>
    <w:p>
      <w:pPr>
        <w:spacing w:line="360" w:lineRule="auto"/>
        <w:jc w:val="both"/>
      </w:pPr>
      <w:r>
        <w:rPr>
          <w:rFonts w:ascii="Times New Roman" w:hAnsi="Times New Roman" w:cs="Times New Roman"/>
          <w:b/>
          <w:sz w:val="24"/>
        </w:rPr>
        <w:t>4. Refleksjon over KI-brukens påvirkning.</w:t>
      </w:r>
      <w:r>
        <w:rPr>
          <w:rFonts w:ascii="Times New Roman" w:hAnsi="Times New Roman" w:cs="Times New Roman"/>
          <w:sz w:val="24"/>
        </w:rPr>
        <w:t xml:space="preserve"> Bruken av Claude påvirket arbeidsprosessen på to vesentlige måter. For det første akselererte kodestøtten iterasjonshastigheten i Python-utviklingen, noe som muliggjorde flere eksperimentelle kjøringer og raskere feilsøking enn manuell utvikling alene ville tillatt. For det andre bidro den språklige bearbeidingen til mer konsise formuleringer, men krevde aktiv overvåking for å unngå at faglig presisjon gikk tapt til fordel for språklig eleganse. Den analytiske retningen – valg av metoder, regelutforming og tolkning av resultater – er ikke påvirket av KI-verktøyet.</w:t>
      </w:r>
    </w:p>
    <w:p>
      <w:pPr>
        <w:spacing w:line="360" w:lineRule="auto"/>
        <w:jc w:val="both"/>
      </w:pPr>
      <w:r>
        <w:rPr>
          <w:rFonts w:ascii="Times New Roman" w:hAnsi="Times New Roman" w:cs="Times New Roman"/>
          <w:b/>
          <w:sz w:val="24"/>
        </w:rPr>
        <w:t>Avgrensning.</w:t>
      </w:r>
      <w:r>
        <w:rPr>
          <w:rFonts w:ascii="Times New Roman" w:hAnsi="Times New Roman" w:cs="Times New Roman"/>
          <w:sz w:val="24"/>
        </w:rPr>
        <w:t xml:space="preserve"> Rådata fra SAP ble ikke lagt inn i KI-verktøyet. Alle datatransformasjoner er dokumentert i D-01–D-08 (avsnitt 4.3) og kjørt lokalt i Python. Ingen pasientdata eller personopplysninger er brukt i studien.</w:t>
      </w:r>
    </w:p>
    <w:p>
      <w:pPr>
        <w:spacing w:line="360" w:lineRule="auto"/>
        <w:jc w:val="both"/>
      </w:pPr>
      <w:r>
        <w:rPr>
          <w:rFonts w:ascii="Times New Roman" w:hAnsi="Times New Roman" w:cs="Times New Roman"/>
          <w:b/>
          <w:sz w:val="24"/>
        </w:rPr>
        <w:t>Signatur:</w:t>
      </w:r>
    </w:p>
    <w:p>
      <w:pPr>
        <w:spacing w:line="360" w:lineRule="auto"/>
        <w:jc w:val="both"/>
      </w:pPr>
      <w:r>
        <w:rPr>
          <w:rFonts w:ascii="Times New Roman" w:hAnsi="Times New Roman" w:cs="Times New Roman"/>
          <w:sz w:val="24"/>
        </w:rPr>
        <w:t>Sted og dato: \_\_\_\_\_\_\_\_\_\_\_\_\_\_\_\_\_\_\_\_\_\_\_\_</w:t>
      </w:r>
    </w:p>
    <w:p>
      <w:pPr>
        <w:spacing w:line="360" w:lineRule="auto"/>
        <w:jc w:val="both"/>
      </w:pPr>
      <w:r>
        <w:rPr>
          <w:rFonts w:ascii="Times New Roman" w:hAnsi="Times New Roman" w:cs="Times New Roman"/>
          <w:sz w:val="24"/>
        </w:rPr>
        <w:t>Navn: \_\_\_\_\_\_\_\_\_\_\_\_\_\_\_\_\_\_\_\_\_\_\_\_</w:t>
      </w:r>
    </w:p>
    <w:p>
      <w:pPr>
        <w:spacing w:line="360" w:lineRule="auto"/>
        <w:jc w:val="both"/>
      </w:pPr>
      <w:r>
        <w:rPr>
          <w:rFonts w:ascii="Times New Roman" w:hAnsi="Times New Roman" w:cs="Times New Roman"/>
          <w:sz w:val="24"/>
        </w:rPr>
        <w:t>Studentnummer: \_\_\_\_\_\_\_\_\_\_\_\_\_\_\_\_\_\_\_\_\_\_\_\_</w:t>
      </w:r>
    </w:p>
    <w:p>
      <w:pPr>
        <w:spacing w:line="360" w:lineRule="auto"/>
        <w:jc w:val="both"/>
      </w:pPr>
      <w:r>
        <w:rPr>
          <w:rFonts w:ascii="Times New Roman" w:hAnsi="Times New Roman" w:cs="Times New Roman"/>
          <w:sz w:val="24"/>
        </w:rPr>
        <w:t>Jeg bekrefter at opplysningene ovenfor er korrekte, og at all bruk av kunstig intelligens i dette arbeidet er beskrevet fullstendig og ærlig.</w:t>
      </w:r>
    </w:p>
    <w:sectPr w:rsidR="000F66BC" w:rsidRPr="000F66BC" w:rsidSect="00C90D42">
      <w:footerReference w:type="default" r:id="rId41"/>
      <w:pgSz w:w="11907" w:h="16840"/>
      <w:pgMar w:top="1417" w:right="1417" w:bottom="1417" w:left="1701"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78071" w14:textId="77777777" w:rsidR="003C55BC" w:rsidRDefault="003C55BC">
      <w:r>
        <w:separator/>
      </w:r>
    </w:p>
  </w:endnote>
  <w:endnote w:type="continuationSeparator" w:id="0">
    <w:p w14:paraId="62D59B89" w14:textId="77777777" w:rsidR="003C55BC" w:rsidRDefault="003C5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jc w:val="center"/>
      <w:rPr>
        <w:rStyle w:val="Sidetall"/>
      </w:rP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p w14:paraId="615642A0" w14:textId="77777777" w:rsidR="00955329" w:rsidRDefault="00955329" w:rsidP="00BE42D3">
    <w:pPr>
      <w:pStyle w:val="Bunntekst"/>
      <w:ind w:right="36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3836" w14:textId="77777777" w:rsidR="003C55BC" w:rsidRDefault="003C55BC">
      <w:r>
        <w:separator/>
      </w:r>
    </w:p>
  </w:footnote>
  <w:footnote w:type="continuationSeparator" w:id="0">
    <w:p w14:paraId="77E4AC6C" w14:textId="77777777" w:rsidR="003C55BC" w:rsidRDefault="003C55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pStyle w:val="Overskrift1"/>
      <w:lvlText w:val="%1.0"/>
      <w:lvlJc w:val="left"/>
      <w:pPr>
        <w:ind w:left="432" w:hanging="432"/>
      </w:pPr>
      <w:rPr>
        <w:rFonts w:hint="default"/>
      </w:rPr>
    </w:lvl>
    <w:lvl w:ilvl="1">
      <w:start w:val="1"/>
      <w:numFmt w:val="decimal"/>
      <w:pStyle w:val="Overskrift2"/>
      <w:lvlText w:val="%1.%2"/>
      <w:lvlJc w:val="left"/>
      <w:pPr>
        <w:ind w:left="576" w:hanging="576"/>
      </w:pPr>
      <w:rPr>
        <w:rFonts w:hint="default"/>
        <w:i w:val="0"/>
      </w:rPr>
    </w:lvl>
    <w:lvl w:ilvl="2">
      <w:start w:val="1"/>
      <w:numFmt w:val="decimal"/>
      <w:pStyle w:val="Overskrift3"/>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7"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8"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4"/>
  </w:num>
  <w:num w:numId="12" w16cid:durableId="1239097919">
    <w:abstractNumId w:val="11"/>
  </w:num>
  <w:num w:numId="13" w16cid:durableId="229267933">
    <w:abstractNumId w:val="38"/>
  </w:num>
  <w:num w:numId="14" w16cid:durableId="277949532">
    <w:abstractNumId w:val="14"/>
  </w:num>
  <w:num w:numId="15" w16cid:durableId="1493644051">
    <w:abstractNumId w:val="14"/>
  </w:num>
  <w:num w:numId="16" w16cid:durableId="742948708">
    <w:abstractNumId w:val="27"/>
  </w:num>
  <w:num w:numId="17" w16cid:durableId="1036214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19"/>
  </w:num>
  <w:num w:numId="19" w16cid:durableId="1193304799">
    <w:abstractNumId w:val="29"/>
  </w:num>
  <w:num w:numId="20" w16cid:durableId="1202935331">
    <w:abstractNumId w:val="17"/>
  </w:num>
  <w:num w:numId="21" w16cid:durableId="1930965884">
    <w:abstractNumId w:val="10"/>
  </w:num>
  <w:num w:numId="22" w16cid:durableId="424545522">
    <w:abstractNumId w:val="28"/>
  </w:num>
  <w:num w:numId="23" w16cid:durableId="887113131">
    <w:abstractNumId w:val="16"/>
  </w:num>
  <w:num w:numId="24" w16cid:durableId="885023410">
    <w:abstractNumId w:val="21"/>
  </w:num>
  <w:num w:numId="25" w16cid:durableId="35352211">
    <w:abstractNumId w:val="22"/>
  </w:num>
  <w:num w:numId="26" w16cid:durableId="1465808159">
    <w:abstractNumId w:val="20"/>
  </w:num>
  <w:num w:numId="27" w16cid:durableId="1405762613">
    <w:abstractNumId w:val="18"/>
  </w:num>
  <w:num w:numId="28" w16cid:durableId="1591280976">
    <w:abstractNumId w:val="39"/>
  </w:num>
  <w:num w:numId="29" w16cid:durableId="1619484959">
    <w:abstractNumId w:val="30"/>
  </w:num>
  <w:num w:numId="30" w16cid:durableId="2979067">
    <w:abstractNumId w:val="35"/>
  </w:num>
  <w:num w:numId="31" w16cid:durableId="47413185">
    <w:abstractNumId w:val="15"/>
  </w:num>
  <w:num w:numId="32" w16cid:durableId="1902213139">
    <w:abstractNumId w:val="33"/>
  </w:num>
  <w:num w:numId="33" w16cid:durableId="616639970">
    <w:abstractNumId w:val="23"/>
  </w:num>
  <w:num w:numId="34" w16cid:durableId="1757898946">
    <w:abstractNumId w:val="12"/>
  </w:num>
  <w:num w:numId="35" w16cid:durableId="1915315373">
    <w:abstractNumId w:val="31"/>
  </w:num>
  <w:num w:numId="36" w16cid:durableId="1533113217">
    <w:abstractNumId w:val="13"/>
  </w:num>
  <w:num w:numId="37" w16cid:durableId="679548010">
    <w:abstractNumId w:val="26"/>
  </w:num>
  <w:num w:numId="38" w16cid:durableId="1413160251">
    <w:abstractNumId w:val="24"/>
  </w:num>
  <w:num w:numId="39" w16cid:durableId="1071005916">
    <w:abstractNumId w:val="32"/>
  </w:num>
  <w:num w:numId="40" w16cid:durableId="9794773">
    <w:abstractNumId w:val="37"/>
  </w:num>
  <w:num w:numId="41" w16cid:durableId="263465924">
    <w:abstractNumId w:val="25"/>
  </w:num>
  <w:num w:numId="42" w16cid:durableId="19538268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pPr>
      <w:spacing w:line="360" w:lineRule="auto"/>
      <w:jc w:val="both"/>
    </w:pPr>
    <w:rPr>
      <w:rFonts w:cs="Sendnya" w:ascii="Times New Roman" w:hAnsi="Times New Roman"/>
      <w:sz w:val="24"/>
      <w:szCs w:val="24"/>
      <w:lang w:eastAsia="zh-CN" w:bidi="or-IN"/>
    </w:rPr>
  </w:style>
  <w:style w:type="paragraph" w:styleId="Overskrift1">
    <w:name w:val="heading 1"/>
    <w:basedOn w:val="Normal"/>
    <w:next w:val="Normal"/>
    <w:qFormat/>
    <w:rsid w:val="00B33323"/>
    <w:pPr>
      <w:keepNext/>
      <w:spacing w:before="240" w:after="60"/>
      <w:outlineLvl w:val="0"/>
    </w:pPr>
    <w:rPr>
      <w:rFonts w:asciiTheme="minorHAnsi" w:hAnsiTheme="minorHAnsi" w:ascii="Times New Roman" w:hAnsi="Times New Roman"/>
      <w:b/>
      <w:bCs/>
      <w:color w:val="000000"/>
      <w:kern w:val="28"/>
      <w:sz w:val="36"/>
      <w:szCs w:val="28"/>
    </w:rPr>
  </w:style>
  <w:style w:type="paragraph" w:styleId="Overskrift2">
    <w:name w:val="heading 2"/>
    <w:basedOn w:val="Normal"/>
    <w:next w:val="Normal"/>
    <w:link w:val="Overskrift2Tegn"/>
    <w:qFormat/>
    <w:rsid w:val="00B33323"/>
    <w:pPr>
      <w:keepNext/>
      <w:spacing w:before="240" w:after="60"/>
      <w:outlineLvl w:val="1"/>
    </w:pPr>
    <w:rPr>
      <w:rFonts w:asciiTheme="minorHAnsi" w:hAnsiTheme="minorHAnsi" w:cs="Times New Roman" w:ascii="Times New Roman" w:hAnsi="Times New Roman"/>
      <w:b/>
      <w:bCs/>
      <w:iCs/>
      <w:color w:val="000000"/>
      <w:sz w:val="32"/>
      <w:szCs w:val="28"/>
    </w:rPr>
  </w:style>
  <w:style w:type="paragraph" w:styleId="Overskrift3">
    <w:name w:val="heading 3"/>
    <w:basedOn w:val="Normal"/>
    <w:next w:val="Normal"/>
    <w:link w:val="Overskrift3Tegn"/>
    <w:qFormat/>
    <w:rsid w:val="00B33323"/>
    <w:pPr>
      <w:keepNext/>
      <w:spacing w:before="240" w:after="60"/>
      <w:outlineLvl w:val="2"/>
    </w:pPr>
    <w:rPr>
      <w:rFonts w:asciiTheme="minorHAnsi" w:hAnsiTheme="minorHAnsi" w:cs="Times New Roman" w:ascii="Times New Roman" w:hAnsi="Times New Roman"/>
      <w:b/>
      <w:bCs/>
      <w:color w:val="000000"/>
      <w:sz w:val="28"/>
      <w:szCs w:val="26"/>
    </w:rPr>
  </w:style>
  <w:style w:type="paragraph" w:styleId="Overskrift4">
    <w:name w:val="heading 4"/>
    <w:basedOn w:val="Normal"/>
    <w:next w:val="Normal"/>
    <w:link w:val="Overskrift4Tegn"/>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footer" Target="footer3.xml"/><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footer" Target="footer6.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2.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0ADFCC-3591-4F93-934F-89209D1D4A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Rune Groedem</cp:lastModifiedBy>
  <cp:revision>17</cp:revision>
  <cp:lastPrinted>2026-02-13T12:13:00Z</cp:lastPrinted>
  <dcterms:created xsi:type="dcterms:W3CDTF">2023-01-12T08:52:00Z</dcterms:created>
  <dcterms:modified xsi:type="dcterms:W3CDTF">2026-02-18T09:05:00Z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