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7" w:right="1417" w:bottom="1417" w:left="1701"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Pr>
          <w:rFonts w:ascii="Times New Roman" w:hAnsi="Times New Roman"/>
          <w:sz w:val="24"/>
        </w:rPr>
        <w:t>Fra lokalt forsyningslager til regional sentralforsyning:</w:t>
        <w:br/>
        <w:t>Multikriterieklassifisering og klyngeanalyse for identifisering av overføringskandidater ved Helse Bergen</w:t>
      </w:r>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Pr>
          <w:rFonts w:ascii="Times New Roman" w:hAnsi="Times New Roman"/>
          <w:sz w:val="24"/>
        </w:rPr>
        <w:t>Thomas Ekrem Jensen</w:t>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Pr>
          <w:rFonts w:ascii="Times New Roman" w:hAnsi="Times New Roman"/>
          <w:sz w:val="24"/>
        </w:rPr>
        <w:t>Stavanger, Mai 2026</w:t>
      </w:r>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footerReference w:type="default" r:id="rId34"/>
          <w:type w:val="continuous"/>
          <w:pgSz w:w="11907" w:h="16840"/>
          <w:pgMar w:top="1417" w:right="1417" w:bottom="1417" w:left="1701"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7777777"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footerReference w:type="default" r:id="rId35"/>
          <w:pgSz w:w="11907" w:h="16840"/>
          <w:pgMar w:top="1417" w:right="1417" w:bottom="1417" w:left="1701"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5961E6CF"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footerReference w:type="default" r:id="rId36"/>
          <w:pgSz w:w="11907" w:h="16840"/>
          <w:pgMar w:top="1417" w:right="1417" w:bottom="1417" w:left="1701"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Pr>
          <w:rFonts w:ascii="Times New Roman" w:hAnsi="Times New Roman"/>
          <w:sz w:val="24"/>
        </w:rPr>
        <w:t>Studiepoeng: 15</w:t>
      </w:r>
    </w:p>
    <w:p w14:paraId="61564257" w14:textId="77777777" w:rsidR="00587456" w:rsidRDefault="00587456" w:rsidP="00587456">
      <w:pPr>
        <w:rPr>
          <w:rFonts w:ascii="Trebuchet MS" w:hAnsi="Trebuchet MS" w:cs="Times New Roman"/>
          <w:b/>
        </w:rPr>
      </w:pPr>
      <w:r>
        <w:rPr>
          <w:rFonts w:ascii="Times New Roman" w:hAnsi="Times New Roman"/>
          <w:sz w:val="24"/>
        </w:rPr>
        <w:t>Veileder: Bård Inge Austigard Pettersen</w:t>
      </w:r>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imes New Roman" w:hAnsi="Times New Roman"/>
          <w:sz w:val="24"/>
        </w:rPr>
        <w:t>Dato: Mai 2026</w:t>
      </w:r>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footerReference w:type="default" r:id="rId37"/>
          <w:pgSz w:w="11907" w:h="16840"/>
          <w:pgMar w:top="1417" w:right="1417" w:bottom="1417" w:left="1701" w:header="720" w:footer="403" w:gutter="0"/>
          <w:cols w:space="720"/>
          <w:titlePg/>
        </w:sectPr>
      </w:pPr>
    </w:p>
    <w:p w14:paraId="61564269" w14:textId="77777777" w:rsidR="00DC012B" w:rsidRDefault="00DC012B" w:rsidP="00223851">
      <w:pPr>
        <w:rPr>
          <w:rFonts w:ascii="Trebuchet MS" w:hAnsi="Trebuchet MS" w:cs="Arial"/>
        </w:rPr>
      </w:pP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footerReference w:type="default" r:id="rId38"/>
          <w:pgSz w:w="11907" w:h="16840"/>
          <w:pgMar w:top="1417" w:right="1417" w:bottom="1417" w:left="1701" w:header="720" w:footer="403" w:gutter="0"/>
          <w:cols w:space="720"/>
          <w:formProt w:val="0"/>
          <w:titlePg/>
        </w:sectPr>
      </w:pPr>
    </w:p>
    <w:p>
      <w:pPr>
        <w:pStyle w:val="Heading1"/>
        <w:pageBreakBefore w:val="true"/>
      </w:pPr>
      <w:r>
        <w:t>Forord</w:t>
      </w:r>
    </w:p>
    <w:p>
      <w:pPr>
        <w:spacing w:line="360" w:lineRule="auto"/>
      </w:pPr>
      <w:r>
        <w:rPr>
          <w:rFonts w:ascii="Times New Roman" w:hAnsi="Times New Roman"/>
          <w:sz w:val="24"/>
        </w:rPr>
        <w:t xml:space="preserve">Denne rapporten er skrevet som avsluttende arbeid i emnet LOG650 Forskningsprosjekt: Logistikk og kunstig intelligens ved Høgskolen i Molde, vårsemesteret 2026.</w:t>
      </w:r>
    </w:p>
    <w:p>
      <w:pPr>
        <w:spacing w:line="360" w:lineRule="auto"/>
      </w:pPr>
      <w:r>
        <w:rPr>
          <w:rFonts w:ascii="Times New Roman" w:hAnsi="Times New Roman"/>
          <w:sz w:val="24"/>
        </w:rPr>
        <w:t xml:space="preserve">Jeg vil rette en stor takk til min veileder, Bård Inge Austigard Pettersen, for faglig engasjement, konstruktive tilbakemeldinger og tydelige forventninger gjennom hele prosessen. Hans evne til å kombinere akademisk presisjon med praktisk relevans har vært avgjørende for arbeidet med oppgaven.</w:t>
      </w:r>
    </w:p>
    <w:p>
      <w:pPr>
        <w:spacing w:line="360" w:lineRule="auto"/>
      </w:pPr>
      <w:r>
        <w:rPr>
          <w:rFonts w:ascii="Times New Roman" w:hAnsi="Times New Roman"/>
          <w:sz w:val="24"/>
        </w:rPr>
        <w:t xml:space="preserve">Takk til Helse Bergen og Helse Vest IKT for tilgang til SAP S/4HANA-data som har gjort analysen mulig. Datagrunnlaget er behandlet i tråd med gjeldende retningslinjer for personvern og informasjonssikkerhet, og studien omfatter ikke personidentifiserbare opplysninger.</w:t>
      </w:r>
    </w:p>
    <w:p>
      <w:pPr>
        <w:spacing w:line="360" w:lineRule="auto"/>
      </w:pPr>
      <w:r>
        <w:rPr>
          <w:rFonts w:ascii="Times New Roman" w:hAnsi="Times New Roman"/>
          <w:sz w:val="24"/>
        </w:rPr>
        <w:t xml:space="preserve">Motivasjonen springer ut av min rolle som SAP MM-konsulent ved Helse Vest IKT, hvor jeg daglig ser at transaksjonsdataene i SAP er underutnyttet som beslutningsgrunnlag. Denne oppgaven er et forsøk på å bygge bro over det gapet.</w:t>
      </w:r>
    </w:p>
    <w:p>
      <w:pPr>
        <w:spacing w:line="360" w:lineRule="auto"/>
      </w:pPr>
      <w:r>
        <w:rPr>
          <w:rFonts w:ascii="Times New Roman" w:hAnsi="Times New Roman"/>
          <w:sz w:val="24"/>
        </w:rPr>
        <w:t xml:space="preserve">Til slutt vil jeg takke min samboer Hilde for støtte og tålmodighet gjennom et krevende semester med fulltidsjobb ved siden av studiene.</w:t>
      </w:r>
    </w:p>
    <w:p>
      <w:pPr>
        <w:spacing w:line="360" w:lineRule="auto"/>
      </w:pPr>
      <w:r>
        <w:rPr>
          <w:rFonts w:ascii="Times New Roman" w:hAnsi="Times New Roman"/>
          <w:sz w:val="24"/>
        </w:rPr>
        <w:t xml:space="preserve">Stavanger, mai 2026</w:t>
      </w:r>
    </w:p>
    <w:p>
      <w:pPr>
        <w:spacing w:line="360" w:lineRule="auto"/>
      </w:pPr>
      <w:r>
        <w:rPr>
          <w:rFonts w:ascii="Times New Roman" w:hAnsi="Times New Roman"/>
          <w:sz w:val="24"/>
        </w:rPr>
        <w:t xml:space="preserve">Thomas Ekrem Jensen</w:t>
      </w: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pPr>
        <w:pStyle w:val="Normal"/>
        <w:spacing w:line="360" w:lineRule="auto"/>
      </w:pPr>
      <w:r>
        <w:rPr>
          <w:rFonts w:ascii="Times New Roman" w:hAnsi="Times New Roman"/>
          <w:sz w:val="24"/>
        </w:rPr>
        <w:t xml:space="preserve">Denne studien analyserer hvilke artikler ved Helse Bergens forsyningslager (WERKS 3300, LGORT 3001) som er kandidater for overføring til Helse Vest Forsyningssenter (HVFS), og estimerer tilhørende besparelsespotensial. Studien er forankret i LIBRA-prosjektet og har som mål å utvikle et datadrevet og reproduserbart beslutningsgrunnlag for sentralisering basert på SAP S/4HANA-data.</w:t>
      </w:r>
    </w:p>
    <w:p>
      <w:pPr>
        <w:pStyle w:val="Normal"/>
        <w:spacing w:line="360" w:lineRule="auto"/>
      </w:pPr>
      <w:r>
        <w:rPr>
          <w:rFonts w:ascii="Times New Roman" w:hAnsi="Times New Roman"/>
          <w:sz w:val="24"/>
        </w:rPr>
        <w:t xml:space="preserve">Analysen omfatter 709 aktive artikler for perioden 2024–2025. Metodetilnærmingen kombinerer ABC- og XYZ-klassifisering, EOQ-avviksanalyse og K-means klyngeanalyse i en regelbasert beslutningsmodell. K-means identifiserer K = 3 klynger med akseptabel klyngestruktur (silhouette-score 0,383 trening / 0,368 test).</w:t>
      </w:r>
    </w:p>
    <w:p>
      <w:pPr>
        <w:pStyle w:val="Normal"/>
        <w:spacing w:line="360" w:lineRule="auto"/>
      </w:pPr>
      <w:r>
        <w:rPr>
          <w:rFonts w:ascii="Times New Roman" w:hAnsi="Times New Roman"/>
          <w:sz w:val="24"/>
        </w:rPr>
        <w:t xml:space="preserve">Resultatene viser at 145 artikler (20,5 %) identifiseres som prioriterte overføringskandidater til HVFS, mens 257 beholdes lokalt, 284 krever manuell vurdering og 23 mangler tilstrekkelig datagrunnlag. Den høye andelen manuell vurdering (40,1 %) reflekterer en bevisst prioritering av presisjon fremfor full automatisering.</w:t>
      </w:r>
    </w:p>
    <w:p>
      <w:pPr>
        <w:pStyle w:val="Normal"/>
        <w:spacing w:line="360" w:lineRule="auto"/>
      </w:pPr>
      <w:r>
        <w:rPr>
          <w:rFonts w:ascii="Times New Roman" w:hAnsi="Times New Roman"/>
          <w:sz w:val="24"/>
        </w:rPr>
        <w:t xml:space="preserve">Det estimerte besparelsespotensialet har et base case på kr 451 515 per år (g = 75 %). Tre-scenarioanalysen gir et intervall fra kr 301 010 (g = 50 %) til kr 602 020 (g = 100 %). Sensitivitetsanalysen over 27 parameterkombinasjoner viser en bredere spennvidde fra kr 176 374 til kr 763 903 per år. Estimatene er scenariobaserte og avhenger av ikke-kalibrerte kostnadsparametere.</w:t>
      </w:r>
    </w:p>
    <w:p>
      <w:pPr>
        <w:pStyle w:val="Normal"/>
        <w:spacing w:line="360" w:lineRule="auto"/>
      </w:pPr>
      <w:r>
        <w:rPr>
          <w:rFonts w:ascii="Times New Roman" w:hAnsi="Times New Roman"/>
          <w:sz w:val="24"/>
        </w:rPr>
        <w:t xml:space="preserve">Studien viser at multikriterieklassifisering kombinert med klyngeanalyse gir et strukturert beslutningsgrunnlag for sentralisering i sykehuslogistikk. Praktisk realisering forutsetter justering av SAP MM-parametere, faglig validering og systematisk gjennomgang av artikler med usikker klassifisering.</w:t>
      </w:r>
    </w:p>
    <w:p w14:paraId="7FD2C6E5" w14:textId="77777777" w:rsidR="00222CB6" w:rsidRDefault="00222CB6">
      <w:pPr>
        <w:rPr>
          <w:rFonts w:ascii="Arial" w:hAnsi="Arial" w:cs="Arial"/>
          <w:b/>
          <w:sz w:val="28"/>
          <w:szCs w:val="28"/>
        </w:rPr>
      </w:pPr>
      <w:r>
        <w:rPr>
          <w:rFonts w:ascii="Arial" w:hAnsi="Arial" w:cs="Arial"/>
          <w:b/>
          <w:sz w:val="28"/>
          <w:szCs w:val="28"/>
        </w:rPr>
        <w:br w:type="page"/>
      </w:r>
    </w:p>
    <w:p w14:paraId="353CE929" w14:textId="02F0E75E" w:rsidR="00222CB6" w:rsidRDefault="00222CB6" w:rsidP="00222CB6">
      <w:pPr>
        <w:jc w:val="center"/>
        <w:rPr>
          <w:rFonts w:ascii="Arial" w:hAnsi="Arial" w:cs="Arial"/>
          <w:b/>
          <w:sz w:val="28"/>
          <w:szCs w:val="28"/>
        </w:rPr>
      </w:pPr>
      <w:proofErr w:type="spellStart"/>
      <w:r>
        <w:rPr>
          <w:rFonts w:ascii="Arial" w:hAnsi="Arial" w:cs="Arial"/>
          <w:b/>
          <w:sz w:val="28"/>
          <w:szCs w:val="28"/>
        </w:rPr>
        <w:lastRenderedPageBreak/>
        <w:t>Abstract</w:t>
      </w:r>
      <w:proofErr w:type="spellEnd"/>
    </w:p>
    <w:p>
      <w:pPr>
        <w:pStyle w:val="Normal"/>
        <w:spacing w:line="360" w:lineRule="auto"/>
      </w:pPr>
      <w:r>
        <w:rPr>
          <w:rFonts w:ascii="Times New Roman" w:hAnsi="Times New Roman"/>
          <w:sz w:val="24"/>
        </w:rPr>
        <w:t xml:space="preserve">(Sammendrag på norsk – sjå avsnittet over.)</w:t>
      </w:r>
    </w:p>
    <w:p w14:paraId="6156427F" w14:textId="1D312F70" w:rsidR="001D2B8B" w:rsidRPr="00222CB6" w:rsidRDefault="00222CB6" w:rsidP="00025D53">
      <w:pPr>
        <w:rPr>
          <w:rFonts w:ascii="Arial" w:hAnsi="Arial" w:cs="Arial"/>
          <w:b/>
          <w:sz w:val="28"/>
          <w:szCs w:val="28"/>
        </w:rPr>
      </w:pPr>
      <w:r>
        <w:rPr>
          <w:rFonts w:ascii="Arial" w:hAnsi="Arial" w:cs="Arial"/>
          <w:b/>
          <w:sz w:val="28"/>
          <w:szCs w:val="28"/>
        </w:rPr>
        <w:br w:type="page"/>
      </w:r>
    </w:p>
    <w:p w14:paraId="61564280" w14:textId="77777777" w:rsidR="001D2B8B" w:rsidRDefault="001D2B8B" w:rsidP="001D2B8B"/>
    <w:p w14:paraId="61564281" w14:textId="77777777" w:rsidR="001D2B8B" w:rsidRDefault="001D2B8B" w:rsidP="001D2B8B">
      <w:pPr>
        <w:sectPr w:rsidR="001D2B8B" w:rsidSect="00C90D42">
          <w:footerReference w:type="default" r:id="rId39"/>
          <w:pgSz w:w="11907" w:h="16840"/>
          <w:pgMar w:top="1417" w:right="1417" w:bottom="1417" w:left="1701" w:header="720" w:footer="403" w:gutter="0"/>
          <w:cols w:space="720"/>
          <w:formProt w:val="0"/>
          <w:titlePg/>
        </w:sectPr>
      </w:pPr>
    </w:p>
    <w:p w14:paraId="61564286" w14:textId="7A946800" w:rsidR="00BE42D3" w:rsidRDefault="00B33323" w:rsidP="003A4872">
      <w:pPr>
        <w:sectPr w:rsidR="00BE42D3" w:rsidSect="00C90D42">
          <w:footerReference w:type="default" r:id="rId40"/>
          <w:pgSz w:w="11907" w:h="16840"/>
          <w:pgMar w:top="1417" w:right="1417" w:bottom="1417" w:left="1701" w:header="720" w:footer="403" w:gutter="0"/>
          <w:cols w:space="720"/>
          <w:formProt w:val="0"/>
          <w:titlePg/>
        </w:sectPr>
      </w:pPr>
      <w:r>
        <w:rPr>
          <w:rFonts w:ascii="Arial" w:hAnsi="Arial" w:cs="Arial"/>
          <w:b/>
          <w:noProof/>
          <w:sz w:val="28"/>
          <w:szCs w:val="28"/>
        </w:rPr>
        <w:fldChar w:fldCharType="end"/>
      </w:r>
    </w:p>
    <w:p>
      <w:pPr>
        <w:pStyle w:val="Overskrift1"/>
        <w:pageBreakBefore w:val="true"/>
      </w:pPr>
      <w:r>
        <w:rPr>
          <w:rFonts w:ascii="Times New Roman" w:hAnsi="Times New Roman"/>
          <w:color w:val="000000"/>
          <w:sz w:val="36"/>
        </w:rPr>
        <w:t>Innholdsfortegnelse</w:t>
      </w:r>
    </w:p>
    <w:p>
      <w:pPr>
        <w:spacing w:line="360" w:lineRule="auto"/>
      </w:pPr>
      <w:r>
        <w:fldChar w:fldCharType="begin"/>
      </w:r>
      <w:r>
        <w:instrText xml:space="preserve"> TOC \o "1-3" \h \z \u </w:instrText>
      </w:r>
      <w:r>
        <w:fldChar w:fldCharType="separate"/>
      </w:r>
      <w:r>
        <w:rPr>
          <w:rFonts w:ascii="Times New Roman" w:hAnsi="Times New Roman"/>
          <w:color w:val="808080"/>
          <w:sz w:val="20"/>
        </w:rPr>
        <w:t>Oppdater felt: Ctrl+A, F9</w:t>
      </w:r>
      <w:r>
        <w:fldChar w:fldCharType="end"/>
      </w:r>
    </w:p>
    <w:p>
      <w:pPr>
        <w:pStyle w:val="Overskrift1"/>
        <w:pageBreakBefore w:val="true"/>
      </w:pPr>
      <w:r>
        <w:rPr>
          <w:rFonts w:ascii="Times New Roman" w:hAnsi="Times New Roman"/>
          <w:color w:val="000000"/>
          <w:sz w:val="36"/>
        </w:rPr>
        <w:t>Figurliste</w:t>
      </w:r>
    </w:p>
    <w:p>
      <w:pPr>
        <w:spacing w:line="360" w:lineRule="auto"/>
      </w:pPr>
      <w:r>
        <w:rPr>
          <w:rFonts w:ascii="Times New Roman" w:hAnsi="Times New Roman"/>
          <w:sz w:val="24"/>
        </w:rPr>
        <w:t>Figur 1. Konseptuelt rammeverk – fra SAP-data til HVFS-anbefaling</w:t>
      </w:r>
    </w:p>
    <w:p>
      <w:pPr>
        <w:spacing w:line="360" w:lineRule="auto"/>
      </w:pPr>
      <w:r>
        <w:rPr>
          <w:rFonts w:ascii="Times New Roman" w:hAnsi="Times New Roman"/>
          <w:sz w:val="24"/>
        </w:rPr>
        <w:t>Figur 2. Lagerstruktur – Helse Vest forsyningskjede (forenklet)</w:t>
      </w:r>
    </w:p>
    <w:p>
      <w:pPr>
        <w:spacing w:line="360" w:lineRule="auto"/>
      </w:pPr>
      <w:r>
        <w:rPr>
          <w:rFonts w:ascii="Times New Roman" w:hAnsi="Times New Roman"/>
          <w:sz w:val="24"/>
        </w:rPr>
        <w:t>Figur 3. Dataoversikt: fordeling av nøkkelvariabler for 709 artikler</w:t>
      </w:r>
    </w:p>
    <w:p>
      <w:pPr>
        <w:spacing w:line="360" w:lineRule="auto"/>
      </w:pPr>
      <w:r>
        <w:rPr>
          <w:rFonts w:ascii="Times New Roman" w:hAnsi="Times New Roman"/>
          <w:sz w:val="24"/>
        </w:rPr>
        <w:t>Figur 4. Analysepipeline: fra SAP-rådata til HVFS-anbefaling</w:t>
      </w:r>
    </w:p>
    <w:p>
      <w:pPr>
        <w:spacing w:line="360" w:lineRule="auto"/>
      </w:pPr>
      <w:r>
        <w:rPr>
          <w:rFonts w:ascii="Times New Roman" w:hAnsi="Times New Roman"/>
          <w:sz w:val="24"/>
        </w:rPr>
        <w:t>Figur 5. Regelmotor: sekvensiell beslutningsflyt for HVFS-anbefaling (R1–R8)</w:t>
      </w:r>
    </w:p>
    <w:p>
      <w:pPr>
        <w:spacing w:line="360" w:lineRule="auto"/>
      </w:pPr>
      <w:r>
        <w:rPr>
          <w:rFonts w:ascii="Times New Roman" w:hAnsi="Times New Roman"/>
          <w:sz w:val="24"/>
        </w:rPr>
        <w:t>Figur 6. ABC Pareto-kurve: kumulativ verdiandel for 709 artikler</w:t>
      </w:r>
    </w:p>
    <w:p>
      <w:pPr>
        <w:spacing w:line="360" w:lineRule="auto"/>
      </w:pPr>
      <w:r>
        <w:rPr>
          <w:rFonts w:ascii="Times New Roman" w:hAnsi="Times New Roman"/>
          <w:sz w:val="24"/>
        </w:rPr>
        <w:t>Figur 7. ABC/XYZ-kryssmatrise: antall artikler per kombinasjon (687 klassifiserte)</w:t>
      </w:r>
    </w:p>
    <w:p>
      <w:pPr>
        <w:spacing w:line="360" w:lineRule="auto"/>
      </w:pPr>
      <w:r>
        <w:rPr>
          <w:rFonts w:ascii="Times New Roman" w:hAnsi="Times New Roman"/>
          <w:sz w:val="24"/>
        </w:rPr>
        <w:t>Figur 8. EOQ-avvik: relativ frekvensavvik med terskel ved τ_f = 1,5</w:t>
      </w:r>
    </w:p>
    <w:p>
      <w:pPr>
        <w:spacing w:line="360" w:lineRule="auto"/>
      </w:pPr>
      <w:r>
        <w:rPr>
          <w:rFonts w:ascii="Times New Roman" w:hAnsi="Times New Roman"/>
          <w:sz w:val="24"/>
        </w:rPr>
        <w:t>Figur 9. Silhouette-score for K = 2–7 (treningsdata, n = 389)</w:t>
      </w:r>
    </w:p>
    <w:p>
      <w:pPr>
        <w:spacing w:line="360" w:lineRule="auto"/>
      </w:pPr>
      <w:r>
        <w:rPr>
          <w:rFonts w:ascii="Times New Roman" w:hAnsi="Times New Roman"/>
          <w:sz w:val="24"/>
        </w:rPr>
        <w:t>Figur 10. K-means klyngeresultat (K = 3): artikler plottet langs z(ln CV) og z(ln verdi), farge etter klynge</w:t>
      </w:r>
    </w:p>
    <w:p>
      <w:pPr>
        <w:spacing w:line="360" w:lineRule="auto"/>
      </w:pPr>
      <w:r>
        <w:rPr>
          <w:rFonts w:ascii="Times New Roman" w:hAnsi="Times New Roman"/>
          <w:sz w:val="24"/>
        </w:rPr>
        <w:t>Figur 11. Klyngeprofiler for K-means (K = 3): gjennomsnittlig z-score per feature</w:t>
      </w:r>
    </w:p>
    <w:p>
      <w:pPr>
        <w:spacing w:line="360" w:lineRule="auto"/>
      </w:pPr>
      <w:r>
        <w:rPr>
          <w:rFonts w:ascii="Times New Roman" w:hAnsi="Times New Roman"/>
          <w:sz w:val="24"/>
        </w:rPr>
        <w:t>Figur 12. Regelmotor og besparelsesanalyse: HVFS-anbefalinger og EOQ-besparelse</w:t>
      </w:r>
    </w:p>
    <w:p>
      <w:pPr>
        <w:pStyle w:val="Overskrift1"/>
        <w:pageBreakBefore w:val="true"/>
      </w:pPr>
      <w:r>
        <w:rPr>
          <w:rFonts w:ascii="Times New Roman" w:hAnsi="Times New Roman"/>
          <w:color w:val="000000"/>
          <w:sz w:val="36"/>
        </w:rPr>
        <w:t>Tabelliste</w:t>
      </w:r>
    </w:p>
    <w:p>
      <w:pPr>
        <w:spacing w:line="360" w:lineRule="auto"/>
      </w:pPr>
      <w:r>
        <w:rPr>
          <w:rFonts w:ascii="Times New Roman" w:hAnsi="Times New Roman"/>
          <w:sz w:val="24"/>
        </w:rPr>
        <w:t>Tabell 1. Litteraturoversikt: sentrale kilder med tema og relevans</w:t>
      </w:r>
    </w:p>
    <w:p>
      <w:pPr>
        <w:spacing w:line="360" w:lineRule="auto"/>
      </w:pPr>
      <w:r>
        <w:rPr>
          <w:rFonts w:ascii="Times New Roman" w:hAnsi="Times New Roman"/>
          <w:sz w:val="24"/>
        </w:rPr>
        <w:t>Tabell 2. Sammenligning av analysemetoder brukt i oppgaven</w:t>
      </w:r>
    </w:p>
    <w:p>
      <w:pPr>
        <w:spacing w:line="360" w:lineRule="auto"/>
      </w:pPr>
      <w:r>
        <w:rPr>
          <w:rFonts w:ascii="Times New Roman" w:hAnsi="Times New Roman"/>
          <w:sz w:val="24"/>
        </w:rPr>
        <w:t>Tabell 3. Nøkkeltall for casevirksomheten Helse Bergen, WERKS 3300</w:t>
      </w:r>
    </w:p>
    <w:p>
      <w:pPr>
        <w:spacing w:line="360" w:lineRule="auto"/>
      </w:pPr>
      <w:r>
        <w:rPr>
          <w:rFonts w:ascii="Times New Roman" w:hAnsi="Times New Roman"/>
          <w:sz w:val="24"/>
        </w:rPr>
        <w:t>Tabell 4. Datagrunnlag: 14 SAP S/4HANA-tabeller hentet via SE16H</w:t>
      </w:r>
    </w:p>
    <w:p>
      <w:pPr>
        <w:spacing w:line="360" w:lineRule="auto"/>
      </w:pPr>
      <w:r>
        <w:rPr>
          <w:rFonts w:ascii="Times New Roman" w:hAnsi="Times New Roman"/>
          <w:sz w:val="24"/>
        </w:rPr>
        <w:t>Tabell 5. Datavalgsbeslutninger D-01–D-08 med begrunnelse</w:t>
      </w:r>
    </w:p>
    <w:p>
      <w:pPr>
        <w:spacing w:line="360" w:lineRule="auto"/>
      </w:pPr>
      <w:r>
        <w:rPr>
          <w:rFonts w:ascii="Times New Roman" w:hAnsi="Times New Roman"/>
          <w:sz w:val="24"/>
        </w:rPr>
        <w:t>Tabell 6. Modellparametere: ABC-klassifiseringsgrenser og analyseinnstillinger</w:t>
      </w:r>
    </w:p>
    <w:p>
      <w:pPr>
        <w:spacing w:line="360" w:lineRule="auto"/>
      </w:pPr>
      <w:r>
        <w:rPr>
          <w:rFonts w:ascii="Times New Roman" w:hAnsi="Times New Roman"/>
          <w:sz w:val="24"/>
        </w:rPr>
        <w:t>Tabell 7. Regelmotor: 8 beslutningsregler i prioritert rekkefølge</w:t>
      </w:r>
    </w:p>
    <w:p>
      <w:pPr>
        <w:spacing w:line="360" w:lineRule="auto"/>
      </w:pPr>
      <w:r>
        <w:rPr>
          <w:rFonts w:ascii="Times New Roman" w:hAnsi="Times New Roman"/>
          <w:sz w:val="24"/>
        </w:rPr>
        <w:t>Tabell 8. ABC-fordeling: antall artikler og verdiandel per klasse (n = 709)</w:t>
      </w:r>
    </w:p>
    <w:p>
      <w:pPr>
        <w:spacing w:line="360" w:lineRule="auto"/>
      </w:pPr>
      <w:r>
        <w:rPr>
          <w:rFonts w:ascii="Times New Roman" w:hAnsi="Times New Roman"/>
          <w:sz w:val="24"/>
        </w:rPr>
        <w:t>Tabell 9. XYZ-fordeling: antall artikler per klasse (n = 687)</w:t>
      </w:r>
    </w:p>
    <w:p>
      <w:pPr>
        <w:spacing w:line="360" w:lineRule="auto"/>
      </w:pPr>
      <w:r>
        <w:rPr>
          <w:rFonts w:ascii="Times New Roman" w:hAnsi="Times New Roman"/>
          <w:sz w:val="24"/>
        </w:rPr>
        <w:t>Tabell 10. SAP ZZXYZ-validering: samsvar mellom systemklasse og beregnet CV-klasse</w:t>
      </w:r>
    </w:p>
    <w:p>
      <w:pPr>
        <w:spacing w:line="360" w:lineRule="auto"/>
      </w:pPr>
      <w:r>
        <w:rPr>
          <w:rFonts w:ascii="Times New Roman" w:hAnsi="Times New Roman"/>
          <w:sz w:val="24"/>
        </w:rPr>
        <w:t>Tabell 11. EOQ-avviksresultater: fordeling etter ordrefrekvensavvik (n = 487)</w:t>
      </w:r>
    </w:p>
    <w:p>
      <w:pPr>
        <w:spacing w:line="360" w:lineRule="auto"/>
      </w:pPr>
      <w:r>
        <w:rPr>
          <w:rFonts w:ascii="Times New Roman" w:hAnsi="Times New Roman"/>
          <w:sz w:val="24"/>
        </w:rPr>
        <w:t>Tabell 12. K-means klyngeprofiler: gjennomsnittsverdier per klynge (K = 3)</w:t>
      </w:r>
    </w:p>
    <w:p>
      <w:pPr>
        <w:spacing w:line="360" w:lineRule="auto"/>
      </w:pPr>
      <w:r>
        <w:rPr>
          <w:rFonts w:ascii="Times New Roman" w:hAnsi="Times New Roman"/>
          <w:sz w:val="24"/>
        </w:rPr>
        <w:t>Tabell 13. HVFS-anbefalinger fra regelmotor: fordeling per kategori (n = 709)</w:t>
      </w:r>
    </w:p>
    <w:p>
      <w:pPr>
        <w:spacing w:line="360" w:lineRule="auto"/>
      </w:pPr>
      <w:r>
        <w:rPr>
          <w:rFonts w:ascii="Times New Roman" w:hAnsi="Times New Roman"/>
          <w:sz w:val="24"/>
        </w:rPr>
        <w:t>Tabell 14. Besparelsesestimater for tre scenarier (117 artikler, S = 750 NOK)</w:t>
      </w:r>
    </w:p>
    <w:p>
      <w:pPr>
        <w:spacing w:line="360" w:lineRule="auto"/>
      </w:pPr>
      <w:r>
        <w:rPr>
          <w:rFonts w:ascii="Times New Roman" w:hAnsi="Times New Roman"/>
          <w:sz w:val="24"/>
        </w:rPr>
        <w:t>Tabell 15. Sammenstilling av egne resultater mot funn i eksisterende litteratur</w:t>
      </w:r>
    </w:p>
    <w:p>
      <w:pPr>
        <w:pStyle w:val="Overskrift1"/>
        <w:pageBreakBefore w:val="true"/>
      </w:pPr>
      <w:r>
        <w:rPr>
          <w:rFonts w:ascii="Times New Roman" w:hAnsi="Times New Roman"/>
          <w:color w:val="000000"/>
          <w:sz w:val="36"/>
        </w:rPr>
        <w:t>Kapittel 1 – Innledning</w:t>
      </w:r>
    </w:p>
    <w:p>
      <w:pPr>
        <w:pStyle w:val="Overskrift2"/>
      </w:pPr>
      <w:r>
        <w:rPr>
          <w:rFonts w:ascii="Times New Roman" w:hAnsi="Times New Roman"/>
          <w:color w:val="000000"/>
          <w:sz w:val="32"/>
        </w:rPr>
        <w:t>1.1 Bakgrunn og aktualisering</w:t>
      </w:r>
    </w:p>
    <w:p>
      <w:pPr>
        <w:spacing w:line="360" w:lineRule="auto"/>
        <w:jc w:val="both"/>
      </w:pPr>
      <w:r>
        <w:rPr>
          <w:rFonts w:ascii="Times New Roman" w:hAnsi="Times New Roman" w:cs="Times New Roman"/>
          <w:sz w:val="24"/>
        </w:rPr>
        <w:t>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lagerhåndtering kan utgjøre mellom 30 og 40 % av et sykehus' driftskostnader (Volland et al., 2017). Suboptimal klassifisering av lagervarer fører til overflødige bestillingstransaksjoner, unødvendig kapitalbinding og økt administrativ belastning – uten at det nødvendigvis gir bedre forsyningssikkerhet for klinisk personell (Bijvank &amp; Vis, 2012).</w:t>
      </w:r>
    </w:p>
    <w:p>
      <w:pPr>
        <w:spacing w:line="360" w:lineRule="auto"/>
        <w:jc w:val="both"/>
      </w:pPr>
      <w:r>
        <w:rPr>
          <w:rFonts w:ascii="Times New Roman" w:hAnsi="Times New Roman" w:cs="Times New Roman"/>
          <w:sz w:val="24"/>
        </w:rPr>
        <w:t>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pPr>
        <w:spacing w:line="360" w:lineRule="auto"/>
        <w:jc w:val="both"/>
      </w:pPr>
      <w:r>
        <w:rPr>
          <w:rFonts w:ascii="Times New Roman" w:hAnsi="Times New Roman" w:cs="Times New Roman"/>
          <w:sz w:val="24"/>
        </w:rPr>
        <w:t>Helse Bergen er det største helseforetaket i Helse Vest og drifter i dag et lokalt forsyningslager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K-means klyngeanalyse, på operasjonelle transaksjonsdata fra SAP.</w:t>
      </w:r>
    </w:p>
    <w:p>
      <w:pPr>
        <w:pStyle w:val="Overskrift2"/>
      </w:pPr>
      <w:r>
        <w:rPr>
          <w:rFonts w:ascii="Times New Roman" w:hAnsi="Times New Roman"/>
          <w:color w:val="000000"/>
          <w:sz w:val="32"/>
        </w:rPr>
        <w:t>1.2 Problemstilling</w:t>
      </w:r>
    </w:p>
    <w:p>
      <w:pPr>
        <w:spacing w:line="360" w:lineRule="auto"/>
        <w:jc w:val="both"/>
      </w:pPr>
      <w:r>
        <w:rPr>
          <w:rFonts w:ascii="Times New Roman" w:hAnsi="Times New Roman" w:cs="Times New Roman"/>
          <w:sz w:val="24"/>
        </w:rPr>
        <w:t>Oppgaven besvarer følgende forskningsspørsmål:</w:t>
      </w:r>
    </w:p>
    <w:p>
      <w:pPr>
        <w:spacing w:line="360" w:lineRule="auto"/>
        <w:ind w:left="567"/>
        <w:jc w:val="both"/>
      </w:pPr>
      <w:r>
        <w:rPr>
          <w:rFonts w:ascii="Times New Roman" w:hAnsi="Times New Roman"/>
          <w:b/>
          <w:sz w:val="24"/>
        </w:rPr>
        <w:t>Hvordan kan multikriterieklassifisering og klyngeanalyse av SAP-transaksjonsdata identifisere hvilke artikler ved Helse Bergens forsyningslager (WERKS 3300, LGORT 3001) som er kandidater for overføring til Helse Vest Forsyningssenter, og hva er det estimerte besparelsespotensialet ved en slik overføring?</w:t>
      </w:r>
    </w:p>
    <w:p>
      <w:pPr>
        <w:spacing w:line="360" w:lineRule="auto"/>
        <w:jc w:val="both"/>
      </w:pPr>
      <w:r>
        <w:rPr>
          <w:rFonts w:ascii="Times New Roman" w:hAnsi="Times New Roman" w:cs="Times New Roman"/>
          <w:sz w:val="24"/>
        </w:rPr>
        <w:t>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p>
      <w:pPr>
        <w:pStyle w:val="Overskrift2"/>
      </w:pPr>
      <w:r>
        <w:rPr>
          <w:rFonts w:ascii="Times New Roman" w:hAnsi="Times New Roman"/>
          <w:color w:val="000000"/>
          <w:sz w:val="32"/>
        </w:rPr>
        <w:t>1.3 Avgrensninger</w:t>
      </w:r>
    </w:p>
    <w:p>
      <w:pPr>
        <w:spacing w:line="360" w:lineRule="auto"/>
        <w:jc w:val="both"/>
      </w:pPr>
      <w:r>
        <w:rPr>
          <w:rFonts w:ascii="Times New Roman" w:hAnsi="Times New Roman" w:cs="Times New Roman"/>
          <w:sz w:val="24"/>
        </w:rPr>
        <w:t>Oppgaven avgrenses på følgende punkter, begrunnet faglig:</w:t>
      </w:r>
    </w:p>
    <w:p>
      <w:pPr>
        <w:spacing w:line="360" w:lineRule="auto"/>
        <w:jc w:val="both"/>
      </w:pPr>
      <w:r>
        <w:rPr>
          <w:rFonts w:ascii="Times New Roman" w:hAnsi="Times New Roman" w:cs="Times New Roman"/>
          <w:b/>
          <w:sz w:val="24"/>
        </w:rPr>
        <w:t>Lagersted.</w:t>
      </w:r>
      <w:r>
        <w:rPr>
          <w:rFonts w:ascii="Times New Roman" w:hAnsi="Times New Roman" w:cs="Times New Roman"/>
          <w:sz w:val="24"/>
        </w:rPr>
        <w:t xml:space="preserve"> 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pPr>
        <w:spacing w:line="360" w:lineRule="auto"/>
        <w:jc w:val="both"/>
      </w:pPr>
      <w:r>
        <w:rPr>
          <w:rFonts w:ascii="Times New Roman" w:hAnsi="Times New Roman" w:cs="Times New Roman"/>
          <w:b/>
          <w:sz w:val="24"/>
        </w:rPr>
        <w:t>Artikkelstatus.</w:t>
      </w:r>
      <w:r>
        <w:rPr>
          <w:rFonts w:ascii="Times New Roman" w:hAnsi="Times New Roman" w:cs="Times New Roman"/>
          <w:sz w:val="24"/>
        </w:rPr>
        <w:t xml:space="preserve"> Kun artikler med aktiv status inngår i analysen, definert som artikler med registrert årsforbruk (</w:t>
      </w:r>
      <m:oMath>
        <m:sSub>
          <m:e>
            <m:r>
              <m:t>D</m:t>
            </m:r>
          </m:e>
          <m:sub>
            <m:r>
              <m:t>A</m:t>
            </m:r>
          </m:sub>
        </m:sSub>
        <m:r>
          <m:t>NNUAL&gt;0</m:t>
        </m:r>
      </m:oMath>
      <w:r>
        <w:rPr>
          <w:rFonts w:ascii="Times New Roman" w:hAnsi="Times New Roman" w:cs="Times New Roman"/>
          <w:sz w:val="24"/>
        </w:rPr>
        <w:t>)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pPr>
        <w:spacing w:line="360" w:lineRule="auto"/>
        <w:jc w:val="both"/>
      </w:pPr>
      <w:r>
        <w:rPr>
          <w:rFonts w:ascii="Times New Roman" w:hAnsi="Times New Roman" w:cs="Times New Roman"/>
          <w:b/>
          <w:sz w:val="24"/>
        </w:rPr>
        <w:t>Analyseperiode.</w:t>
      </w:r>
      <w:r>
        <w:rPr>
          <w:rFonts w:ascii="Times New Roman" w:hAnsi="Times New Roman" w:cs="Times New Roman"/>
          <w:sz w:val="24"/>
        </w:rPr>
        <w:t xml:space="preserve"> Datagrunnlaget er begrenset til 24 måneder (2024–2025). En lengre periode ville økt robustheten i XYZ-klassifiseringen, men data utover denne perioden var ikke tilgjengelig med tilstrekkelig kvalitet fra SAP.</w:t>
      </w:r>
    </w:p>
    <w:p>
      <w:pPr>
        <w:spacing w:line="360" w:lineRule="auto"/>
        <w:jc w:val="both"/>
      </w:pPr>
      <w:r>
        <w:rPr>
          <w:rFonts w:ascii="Times New Roman" w:hAnsi="Times New Roman" w:cs="Times New Roman"/>
          <w:b/>
          <w:sz w:val="24"/>
        </w:rPr>
        <w:t>Metodevalg.</w:t>
      </w:r>
      <w:r>
        <w:rPr>
          <w:rFonts w:ascii="Times New Roman" w:hAnsi="Times New Roman" w:cs="Times New Roman"/>
          <w:sz w:val="24"/>
        </w:rPr>
        <w:t xml:space="preserve"> Oppgaven anvender veletablerte kvantitative metoder. ROP-modulen er identifisert som en naturlig forlengelse, men utelatt da leveringstidsdata kun dekker 6 % av artiklene.</w:t>
      </w:r>
    </w:p>
    <w:p>
      <w:pPr>
        <w:spacing w:line="360" w:lineRule="auto"/>
        <w:jc w:val="both"/>
      </w:pPr>
      <w:r>
        <w:rPr>
          <w:rFonts w:ascii="Times New Roman" w:hAnsi="Times New Roman" w:cs="Times New Roman"/>
          <w:b/>
          <w:sz w:val="24"/>
        </w:rPr>
        <w:t>Generaliserbarhet.</w:t>
      </w:r>
      <w:r>
        <w:rPr>
          <w:rFonts w:ascii="Times New Roman" w:hAnsi="Times New Roman" w:cs="Times New Roman"/>
          <w:sz w:val="24"/>
        </w:rPr>
        <w:t xml:space="preserve"> Funnene er gyldige for WERKS 3300 og de konkrete SAP-parameterne som er benyttet. Overføring av metodikken til andre helseforetak i Helse Vest er mulig, men krever ny datakjøring per foretak.</w:t>
      </w:r>
    </w:p>
    <w:p>
      <w:pPr>
        <w:pStyle w:val="Overskrift2"/>
      </w:pPr>
      <w:r>
        <w:rPr>
          <w:rFonts w:ascii="Times New Roman" w:hAnsi="Times New Roman"/>
          <w:color w:val="000000"/>
          <w:sz w:val="32"/>
        </w:rPr>
        <w:t>1.4 Antagelser</w:t>
      </w:r>
    </w:p>
    <w:p>
      <w:pPr>
        <w:spacing w:line="360" w:lineRule="auto"/>
        <w:jc w:val="both"/>
      </w:pPr>
      <w:r>
        <w:rPr>
          <w:rFonts w:ascii="Times New Roman" w:hAnsi="Times New Roman" w:cs="Times New Roman"/>
          <w:sz w:val="24"/>
        </w:rPr>
        <w:t>Analysen hviler på følgende eksplisitte antagelser som ikke er empirisk estimert, men begrunnet ut fra bransjepraksis og tilgjengelig litteratur:</w:t>
      </w:r>
    </w:p>
    <w:p>
      <w:pPr>
        <w:spacing w:line="360" w:lineRule="auto"/>
        <w:jc w:val="both"/>
      </w:pPr>
      <w:r>
        <w:rPr>
          <w:rFonts w:ascii="Times New Roman" w:hAnsi="Times New Roman" w:cs="Times New Roman"/>
          <w:sz w:val="24"/>
        </w:rPr>
        <w:t>**Ordrekostnad (</w:t>
      </w:r>
      <m:oMath>
        <m:r>
          <m:t>S=750</m:t>
        </m:r>
      </m:oMath>
      <w:r>
        <w:rPr>
          <w:rFonts w:ascii="Times New Roman" w:hAnsi="Times New Roman" w:cs="Times New Roman"/>
          <w:sz w:val="24"/>
        </w:rPr>
        <w:t>NOK).** Kostnaden per bestillingstransaksjon er satt til 750 kroner, basert på estimater fra tilsvarende sykehuslogistikkstudier (Bijvank &amp; Vis, 2012; Kelle et al., 2012). Dette er en antagelse som dekker direkte administrative kostnader knyttet til å opprette, godkjenne og følge opp en innkjøpsordre i SAP. Sensitivitetsanalysen varierer S over intervallet {500, 750, 1 000} NOK for å belyse effekten av denne forutsetningen.</w:t>
      </w:r>
    </w:p>
    <w:p>
      <w:pPr>
        <w:spacing w:line="360" w:lineRule="auto"/>
        <w:jc w:val="both"/>
      </w:pPr>
      <w:r>
        <w:rPr>
          <w:rFonts w:ascii="Times New Roman" w:hAnsi="Times New Roman" w:cs="Times New Roman"/>
          <w:sz w:val="24"/>
        </w:rPr>
        <w:t>**Holdekostnadssats (</w:t>
      </w:r>
      <m:oMath>
        <m:r>
          <m:t>h=20</m:t>
        </m:r>
      </m:oMath>
      <w:r>
        <w:rPr>
          <w:rFonts w:ascii="Times New Roman" w:hAnsi="Times New Roman" w:cs="Times New Roman"/>
          <w:sz w:val="24"/>
        </w:rPr>
        <w:t>).** Den årlige holdekostnaden er satt til 20 % av enhetsprisen, i tråd med anbefalinger i lagerstyringslitteraturen (Ketkar &amp; Vaidya, 2014). Satsens innvirkning testes i sensitivitetsanalysen over intervallet {15, 20, 25} %.</w:t>
      </w:r>
    </w:p>
    <w:p>
      <w:pPr>
        <w:spacing w:line="360" w:lineRule="auto"/>
        <w:jc w:val="both"/>
      </w:pPr>
      <w:r>
        <w:rPr>
          <w:rFonts w:ascii="Times New Roman" w:hAnsi="Times New Roman" w:cs="Times New Roman"/>
          <w:b/>
          <w:sz w:val="24"/>
        </w:rPr>
        <w:t>Analyseperiode og annualisering.</w:t>
      </w:r>
      <w:r>
        <w:rPr>
          <w:rFonts w:ascii="Times New Roman" w:hAnsi="Times New Roman" w:cs="Times New Roman"/>
          <w:sz w:val="24"/>
        </w:rPr>
        <w:t xml:space="preserve"> Innkjøpsdata (EKBE) dekker 24 måneder. Ordrefrekvens er annualisert ved å multiplisere observert ordreantall med faktoren 12/24.</w:t>
      </w:r>
    </w:p>
    <w:p>
      <w:pPr>
        <w:spacing w:line="360" w:lineRule="auto"/>
        <w:jc w:val="both"/>
      </w:pPr>
      <w:r>
        <w:rPr>
          <w:rFonts w:ascii="Times New Roman" w:hAnsi="Times New Roman" w:cs="Times New Roman"/>
          <w:b/>
          <w:sz w:val="24"/>
        </w:rPr>
        <w:t>Leveringstid (LEAD_TIME = 14 dager).</w:t>
      </w:r>
      <w:r>
        <w:rPr>
          <w:rFonts w:ascii="Times New Roman" w:hAnsi="Times New Roman" w:cs="Times New Roman"/>
          <w:sz w:val="24"/>
        </w:rPr>
        <w:t xml:space="preserve"> For 94 % av artiklene mangler registrert leveringstid i EINA/EINE. En standardverdi på 14 dager er benyttet; parameteren er reservert for en fremtidig ROP-modul.</w:t>
      </w:r>
    </w:p>
    <w:p>
      <w:pPr>
        <w:spacing w:line="360" w:lineRule="auto"/>
        <w:jc w:val="both"/>
      </w:pPr>
      <w:r>
        <w:rPr>
          <w:rFonts w:ascii="Times New Roman" w:hAnsi="Times New Roman" w:cs="Times New Roman"/>
          <w:b/>
          <w:sz w:val="24"/>
        </w:rPr>
        <w:t>Besparelsesformel.</w:t>
      </w:r>
      <w:r>
        <w:rPr>
          <w:rFonts w:ascii="Times New Roman" w:hAnsi="Times New Roman" w:cs="Times New Roman"/>
          <w:sz w:val="24"/>
        </w:rPr>
        <w:t xml:space="preserve"> Besparelsesestimatet er basert på Wilson EOQ-modellen:</w:t>
      </w:r>
    </w:p>
    <w:p>
      <w:pPr>
        <w:spacing w:line="360" w:lineRule="auto"/>
        <w:jc w:val="center"/>
      </w:pP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p>
    <w:p>
      <w:pPr>
        <w:spacing w:line="360" w:lineRule="auto"/>
        <w:jc w:val="both"/>
      </w:pPr>
      <w:r>
        <w:rPr>
          <w:rFonts w:ascii="Times New Roman" w:hAnsi="Times New Roman" w:cs="Times New Roman"/>
          <w:sz w:val="24"/>
        </w:rPr>
        <w:t xml:space="preserve">der </w:t>
      </w:r>
      <m:oMath>
        <m:r>
          <m:t>ΔT</m:t>
        </m:r>
        <m:sSub>
          <m:e>
            <m:r>
              <m:t>C</m:t>
            </m:r>
          </m:e>
          <m:sub>
            <m:r>
              <m:t>i</m:t>
            </m:r>
          </m:sub>
        </m:sSub>
        <m:r>
          <m:t>=T</m:t>
        </m:r>
        <m:sSub>
          <m:e>
            <m:r>
              <m:t>C</m:t>
            </m:r>
          </m:e>
          <m:sub>
            <m:r>
              <m:rPr>
                <m:nor/>
              </m:rPr>
              <m:t>actual</m:t>
            </m:r>
            <m:r>
              <m:t>,i</m:t>
            </m:r>
          </m:sub>
        </m:sSub>
        <m:r>
          <m:t>−T</m:t>
        </m:r>
        <m:sSub>
          <m:e>
            <m:r>
              <m:t>C</m:t>
            </m:r>
          </m:e>
          <m:sub>
            <m:r>
              <m:rPr>
                <m:nor/>
              </m:rPr>
              <m:t>optimal</m:t>
            </m:r>
            <m:r>
              <m:t>,i</m:t>
            </m:r>
          </m:sub>
        </m:sSub>
      </m:oMath>
      <w:r>
        <w:rPr>
          <w:rFonts w:ascii="Times New Roman" w:hAnsi="Times New Roman" w:cs="Times New Roman"/>
          <w:sz w:val="24"/>
        </w:rPr>
        <w:t xml:space="preserve"> er kostnadsavviket mellom faktisk og optimal ordrefrekvens for artikkel </w:t>
      </w:r>
      <m:oMath>
        <m:r>
          <m:t>i</m:t>
        </m:r>
      </m:oMath>
      <w:r>
        <w:rPr>
          <w:rFonts w:ascii="Times New Roman" w:hAnsi="Times New Roman" w:cs="Times New Roman"/>
          <w:sz w:val="24"/>
        </w:rPr>
        <w:t xml:space="preserve">, og </w:t>
      </w:r>
      <m:oMath>
        <m:r>
          <m:t>g</m:t>
        </m:r>
      </m:oMath>
      <w:r>
        <w:rPr>
          <w:rFonts w:ascii="Times New Roman" w:hAnsi="Times New Roman" w:cs="Times New Roman"/>
          <w:sz w:val="24"/>
        </w:rPr>
        <w:t xml:space="preserve"> er en gevinstrealiseringsgrad på 50/75/100 % (worst/base/best). Dette er et avgrenset transaksjonskostnadsestimat – det inkluderer ikke varekostnader eller endringer i lagernivå.</w:t>
      </w:r>
    </w:p>
    <w:p>
      <w:pPr>
        <w:spacing w:line="360" w:lineRule="auto"/>
        <w:jc w:val="both"/>
      </w:pPr>
      <w:r>
        <w:rPr>
          <w:rFonts w:ascii="Times New Roman" w:hAnsi="Times New Roman" w:cs="Times New Roman"/>
          <w:sz w:val="24"/>
        </w:rPr>
        <w:t>Rapporten er strukturert som følger: Kapittel 2 presenterer litteratur og teoretisk rammeverk. Kapittel 3 beskriver caset – Helse Bergen, HVFS og LIBRA-prosjektet. Kapittel 4 redegjør for data og metode, inkludert SAP-uttrekk og datakvalitetsbeslutninger. Kapittel 5 beskriver modelleringen formelt. Kapittel 6 presenterer den analytiske gjennomføringen. Kapittel 7 presenterer resultatene. Kapittel 8 diskuterer funn opp mot litteratur, metodekritikk og praktisk betydning. Kapittel 9 konkluderer og gir anbefalinger til Helse Bergen.</w:t>
      </w:r>
    </w:p>
    <w:p>
      <w:pPr>
        <w:pStyle w:val="Overskrift1"/>
        <w:pageBreakBefore w:val="true"/>
      </w:pPr>
      <w:r>
        <w:rPr>
          <w:rFonts w:ascii="Times New Roman" w:hAnsi="Times New Roman"/>
          <w:color w:val="000000"/>
          <w:sz w:val="36"/>
        </w:rPr>
        <w:t>Kapittel 2 – Litteratur og teori</w:t>
      </w:r>
    </w:p>
    <w:p>
      <w:pPr>
        <w:pStyle w:val="Overskrift2"/>
      </w:pPr>
      <w:r>
        <w:rPr>
          <w:rFonts w:ascii="Times New Roman" w:hAnsi="Times New Roman"/>
          <w:color w:val="000000"/>
          <w:sz w:val="32"/>
        </w:rPr>
        <w:t>2.1 Litteraturgjennomgang</w:t>
      </w:r>
    </w:p>
    <w:p>
      <w:pPr>
        <w:spacing w:line="360" w:lineRule="auto"/>
        <w:jc w:val="both"/>
      </w:pPr>
      <w:r>
        <w:rPr>
          <w:rFonts w:ascii="Times New Roman" w:hAnsi="Times New Roman" w:cs="Times New Roman"/>
          <w:sz w:val="24"/>
        </w:rPr>
        <w:t>Forskning på lagerklassifisering i sykehus har økt i omfang siden 2000-tallet, drevet av erkjennelsen om at helseforetak binder store ressurser i logistikk og materialhåndtering. Volland et al. (2017) identifiserte i en systematisk gjennomgang av 145 publikasjoner fra 1998 til 2014 at lagerstyring er den mest publiserte kategorien innen sykehuslogistikk, med over 66 artikler. Til tross for dette volumet er det begrenset forskning som kobler klassifiseringsmetoder direkte til sentralisering av forsyningskjeden – noe denne oppgaven adresserer.</w:t>
      </w:r>
    </w:p>
    <w:p>
      <w:pPr>
        <w:spacing w:line="360" w:lineRule="auto"/>
        <w:jc w:val="both"/>
      </w:pPr>
      <w:r>
        <w:rPr>
          <w:rFonts w:ascii="Times New Roman" w:hAnsi="Times New Roman" w:cs="Times New Roman"/>
          <w:sz w:val="24"/>
        </w:rPr>
        <w:t>Den dominerende tilnærmingen i litteraturen er ABC-analyse basert på Pareto-prinsippet. Silaen et al. (2023) viser at enkeltkriterieanalyse på forbruksverdi er bredt adoptert i praksis, men påpeker at metoden alene ikke fanger opp variabilitet i etterspørsel eller kritikalitet for forsyningssikkerhet. Gupta et al. (2007) demonstrerer dette i en militærmedisinsk studie der ABC kombineres med VED-analyse for å differensiere mellom høyverdiartikler og artikler med kritisk klinisk betydning.</w:t>
      </w:r>
    </w:p>
    <w:p>
      <w:pPr>
        <w:spacing w:line="360" w:lineRule="auto"/>
        <w:jc w:val="both"/>
      </w:pPr>
      <w:r>
        <w:rPr>
          <w:rFonts w:ascii="Times New Roman" w:hAnsi="Times New Roman" w:cs="Times New Roman"/>
          <w:sz w:val="24"/>
        </w:rPr>
        <w:t>XYZ-analyse, basert på variasjonskoeffisienten til etterspørselen, fremstår som det mest naturlige komplementet til ABC. Nowotyńska (2013) og Suryaputri et al. (2022) viser at ABC/XYZ-matrisen gir differensierte styringsanbefalinger for ni varekategorier, med dokumentert merverdi i helseindustrien.</w:t>
      </w:r>
    </w:p>
    <w:p>
      <w:pPr>
        <w:spacing w:line="360" w:lineRule="auto"/>
        <w:jc w:val="both"/>
      </w:pPr>
      <w:r>
        <w:rPr>
          <w:rFonts w:ascii="Times New Roman" w:hAnsi="Times New Roman" w:cs="Times New Roman"/>
          <w:sz w:val="24"/>
        </w:rPr>
        <w:t>Flerkriterietilnærminger som EDAS (Keshavarz Ghorabaee et al., 2015) krever subjektiv vekting, noe som svekker etterprøvbarheten. Denne oppgaven benytter derfor objektivt beregnbare kriterier (verdi, CV, EOQ-avvik). Klyngeanalyse representerer et datadrevet alternativ som fanger sammensatte mønstre uten forhåndsdefinerte terskelverdier (Srinivasan &amp; Moon, 1999). Kombinasjonen av K-means med regelbaserte beslutningssystemer er lite dokumentert i sykehuskontekst, og utgjør et utforskende element i oppgavens metoderammeverk.</w:t>
      </w:r>
    </w:p>
    <w:p>
      <w:pPr>
        <w:spacing w:line="360" w:lineRule="auto"/>
        <w:jc w:val="both"/>
      </w:pPr>
      <w:r>
        <w:rPr>
          <w:rFonts w:ascii="Times New Roman" w:hAnsi="Times New Roman" w:cs="Times New Roman"/>
          <w:sz w:val="24"/>
        </w:rPr>
        <w:t>van Kampen et al. (2012) identifiserer tre hoveddimensjoner for SKU-klassifisering: karakteristikker (verdi, variabilitet, kritikalitet), klassifiseringsteknikk (ABC, clustering, MCDM) og operasjonalisering i styringssystemer. Denne oppgaven opererer i krysningspunktet mellom alle tre.</w:t>
      </w:r>
    </w:p>
    <w:p>
      <w:pPr>
        <w:spacing w:line="360" w:lineRule="auto"/>
        <w:jc w:val="both"/>
      </w:pPr>
      <w:r>
        <w:rPr>
          <w:rFonts w:ascii="Times New Roman" w:hAnsi="Times New Roman" w:cs="Times New Roman"/>
          <w:sz w:val="24"/>
        </w:rPr>
        <w:t>Et identifisert gap i litteraturen er den begrensede forekomsten av kvantitative casestudier som kombinerer ABC, XYZ, EOQ-avviksanalyse og klyngeanalyse i en samlet analysemodell koblet mot faktiske SAP-transaksjonsdata, med besparelsesestimat som eksplisitt output. Saha og Ray (2019) konkluderer i sin gjennomgang av 137 artikler at det er behov for empiriske studier som kobler kvantitative klassifiseringsmodeller til konkrete beslutninger i reelle sykehussystemer. Denne oppgaven søker å fylle dette gapet.</w:t>
      </w:r>
    </w:p>
    <w:p>
      <w:pPr>
        <w:spacing w:line="360" w:lineRule="auto"/>
        <w:jc w:val="both"/>
      </w:pPr>
      <w:r>
        <w:rPr>
          <w:rFonts w:ascii="Times New Roman" w:hAnsi="Times New Roman" w:cs="Times New Roman"/>
          <w:sz w:val="24"/>
        </w:rPr>
        <w:t>Tabell 1 gir en samlet oversikt over de sentrale kildene i litteraturgjennomgangen, organisert etter hovedtema og med kopling til denne oppgavens problemstilling.</w:t>
      </w:r>
    </w:p>
    <w:p>
      <w:r>
        <w:rPr>
          <w:rFonts w:ascii="Times New Roman" w:hAnsi="Times New Roman"/>
          <w:b/>
          <w:sz w:val="20"/>
        </w:rPr>
        <w:t>Tabell 1</w:t>
      </w:r>
    </w:p>
    <w:p>
      <w:r>
        <w:rPr>
          <w:rFonts w:ascii="Times New Roman" w:hAnsi="Times New Roman"/>
          <w:i/>
          <w:sz w:val="20"/>
        </w:rPr>
        <w:t>Litteraturoversikt: sentrale kilder med tema og relevans for oppgaven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Forfatter(e)</w:t>
            </w:r>
          </w:p>
        </w:tc>
        <w:tc>
          <w:tcPr>
            <w:tcW w:type="dxa" w:w="2192"/>
            <w:tcBorders>
              <w:top w:val="single" w:sz="8" w:space="0" w:color="000000"/>
              <w:bottom w:val="single" w:sz="4" w:space="0" w:color="000000"/>
              <w:left w:val="nil"/>
              <w:right w:val="nil"/>
            </w:tcBorders>
          </w:tcPr>
          <w:p>
            <w:r/>
            <w:r>
              <w:rPr>
                <w:rFonts w:ascii="Times New Roman" w:hAnsi="Times New Roman"/>
                <w:b/>
                <w:sz w:val="22"/>
              </w:rPr>
              <w:t>År</w:t>
            </w:r>
          </w:p>
        </w:tc>
        <w:tc>
          <w:tcPr>
            <w:tcW w:type="dxa" w:w="2192"/>
            <w:tcBorders>
              <w:top w:val="single" w:sz="8" w:space="0" w:color="000000"/>
              <w:bottom w:val="single" w:sz="4" w:space="0" w:color="000000"/>
              <w:left w:val="nil"/>
              <w:right w:val="nil"/>
            </w:tcBorders>
          </w:tcPr>
          <w:p>
            <w:r/>
            <w:r>
              <w:rPr>
                <w:rFonts w:ascii="Times New Roman" w:hAnsi="Times New Roman"/>
                <w:b/>
                <w:sz w:val="22"/>
              </w:rPr>
              <w:t>Hovedtema</w:t>
            </w:r>
          </w:p>
        </w:tc>
        <w:tc>
          <w:tcPr>
            <w:tcW w:type="dxa" w:w="2192"/>
            <w:tcBorders>
              <w:top w:val="single" w:sz="8" w:space="0" w:color="000000"/>
              <w:bottom w:val="single" w:sz="4" w:space="0" w:color="000000"/>
              <w:left w:val="nil"/>
              <w:right w:val="nil"/>
            </w:tcBorders>
          </w:tcPr>
          <w:p>
            <w:r/>
            <w:r>
              <w:rPr>
                <w:rFonts w:ascii="Times New Roman" w:hAnsi="Times New Roman"/>
                <w:b/>
                <w:sz w:val="22"/>
              </w:rPr>
              <w:t>Relevans for oppgaven</w:t>
            </w:r>
          </w:p>
        </w:tc>
      </w:tr>
      <w:tr>
        <w:tc>
          <w:tcPr>
            <w:tcW w:type="dxa" w:w="2192"/>
          </w:tcPr>
          <w:p>
            <w:r/>
            <w:r>
              <w:rPr>
                <w:rFonts w:ascii="Times New Roman" w:hAnsi="Times New Roman"/>
                <w:b w:val="0"/>
                <w:sz w:val="22"/>
              </w:rPr>
              <w:t>Bijvank &amp; Vis</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Lagerstyring ved brukssted i sykehus</w:t>
            </w:r>
          </w:p>
        </w:tc>
        <w:tc>
          <w:tcPr>
            <w:tcW w:type="dxa" w:w="2192"/>
          </w:tcPr>
          <w:p>
            <w:r/>
            <w:r>
              <w:rPr>
                <w:rFonts w:ascii="Times New Roman" w:hAnsi="Times New Roman"/>
                <w:b w:val="0"/>
                <w:sz w:val="22"/>
              </w:rPr>
              <w:t>Lost-sales-modell, forsyningssikkerhet</w:t>
            </w:r>
          </w:p>
        </w:tc>
      </w:tr>
      <w:tr>
        <w:tc>
          <w:tcPr>
            <w:tcW w:type="dxa" w:w="2192"/>
          </w:tcPr>
          <w:p>
            <w:r/>
            <w:r>
              <w:rPr>
                <w:rFonts w:ascii="Times New Roman" w:hAnsi="Times New Roman"/>
                <w:b w:val="0"/>
                <w:sz w:val="22"/>
              </w:rPr>
              <w:t>de Vries</w:t>
            </w:r>
          </w:p>
        </w:tc>
        <w:tc>
          <w:tcPr>
            <w:tcW w:type="dxa" w:w="2192"/>
          </w:tcPr>
          <w:p>
            <w:r/>
            <w:r>
              <w:rPr>
                <w:rFonts w:ascii="Times New Roman" w:hAnsi="Times New Roman"/>
                <w:b w:val="0"/>
                <w:sz w:val="22"/>
              </w:rPr>
              <w:t>2011</w:t>
            </w:r>
          </w:p>
        </w:tc>
        <w:tc>
          <w:tcPr>
            <w:tcW w:type="dxa" w:w="2192"/>
          </w:tcPr>
          <w:p>
            <w:r/>
            <w:r>
              <w:rPr>
                <w:rFonts w:ascii="Times New Roman" w:hAnsi="Times New Roman"/>
                <w:b w:val="0"/>
                <w:sz w:val="22"/>
              </w:rPr>
              <w:t>Interessentanalyse, lageromstilling i helse</w:t>
            </w:r>
          </w:p>
        </w:tc>
        <w:tc>
          <w:tcPr>
            <w:tcW w:type="dxa" w:w="2192"/>
          </w:tcPr>
          <w:p>
            <w:r/>
            <w:r>
              <w:rPr>
                <w:rFonts w:ascii="Times New Roman" w:hAnsi="Times New Roman"/>
                <w:b w:val="0"/>
                <w:sz w:val="22"/>
              </w:rPr>
              <w:t>Organisatoriske barrierer ved sentralisering</w:t>
            </w:r>
          </w:p>
        </w:tc>
      </w:tr>
      <w:tr>
        <w:tc>
          <w:tcPr>
            <w:tcW w:type="dxa" w:w="2192"/>
          </w:tcPr>
          <w:p>
            <w:r/>
            <w:r>
              <w:rPr>
                <w:rFonts w:ascii="Times New Roman" w:hAnsi="Times New Roman"/>
                <w:b w:val="0"/>
                <w:sz w:val="22"/>
              </w:rPr>
              <w:t>Fragapane et al.</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Forsyning til brukssted (APL)</w:t>
            </w:r>
          </w:p>
        </w:tc>
        <w:tc>
          <w:tcPr>
            <w:tcW w:type="dxa" w:w="2192"/>
          </w:tcPr>
          <w:p>
            <w:r/>
            <w:r>
              <w:rPr>
                <w:rFonts w:ascii="Times New Roman" w:hAnsi="Times New Roman"/>
                <w:b w:val="0"/>
                <w:sz w:val="22"/>
              </w:rPr>
              <w:t>APL-leveransemodell, sentraliseringskrav</w:t>
            </w:r>
          </w:p>
        </w:tc>
      </w:tr>
      <w:tr>
        <w:tc>
          <w:tcPr>
            <w:tcW w:type="dxa" w:w="2192"/>
          </w:tcPr>
          <w:p>
            <w:r/>
            <w:r>
              <w:rPr>
                <w:rFonts w:ascii="Times New Roman" w:hAnsi="Times New Roman"/>
                <w:b w:val="0"/>
                <w:sz w:val="22"/>
              </w:rPr>
              <w:t>Gupta et al.</w:t>
            </w:r>
          </w:p>
        </w:tc>
        <w:tc>
          <w:tcPr>
            <w:tcW w:type="dxa" w:w="2192"/>
          </w:tcPr>
          <w:p>
            <w:r/>
            <w:r>
              <w:rPr>
                <w:rFonts w:ascii="Times New Roman" w:hAnsi="Times New Roman"/>
                <w:b w:val="0"/>
                <w:sz w:val="22"/>
              </w:rPr>
              <w:t>2007</w:t>
            </w:r>
          </w:p>
        </w:tc>
        <w:tc>
          <w:tcPr>
            <w:tcW w:type="dxa" w:w="2192"/>
          </w:tcPr>
          <w:p>
            <w:r/>
            <w:r>
              <w:rPr>
                <w:rFonts w:ascii="Times New Roman" w:hAnsi="Times New Roman"/>
                <w:b w:val="0"/>
                <w:sz w:val="22"/>
              </w:rPr>
              <w:t>ABC- og VED-analyse, militærmedisinsk</w:t>
            </w:r>
          </w:p>
        </w:tc>
        <w:tc>
          <w:tcPr>
            <w:tcW w:type="dxa" w:w="2192"/>
          </w:tcPr>
          <w:p>
            <w:r/>
            <w:r>
              <w:rPr>
                <w:rFonts w:ascii="Times New Roman" w:hAnsi="Times New Roman"/>
                <w:b w:val="0"/>
                <w:sz w:val="22"/>
              </w:rPr>
              <w:t>ABC i sykehuskontekst med SAP-data</w:t>
            </w:r>
          </w:p>
        </w:tc>
      </w:tr>
      <w:tr>
        <w:tc>
          <w:tcPr>
            <w:tcW w:type="dxa" w:w="2192"/>
          </w:tcPr>
          <w:p>
            <w:r/>
            <w:r>
              <w:rPr>
                <w:rFonts w:ascii="Times New Roman" w:hAnsi="Times New Roman"/>
                <w:b w:val="0"/>
                <w:sz w:val="22"/>
              </w:rPr>
              <w:t>Gurumurthy et al.</w:t>
            </w:r>
          </w:p>
        </w:tc>
        <w:tc>
          <w:tcPr>
            <w:tcW w:type="dxa" w:w="2192"/>
          </w:tcPr>
          <w:p>
            <w:r/>
            <w:r>
              <w:rPr>
                <w:rFonts w:ascii="Times New Roman" w:hAnsi="Times New Roman"/>
                <w:b w:val="0"/>
                <w:sz w:val="22"/>
              </w:rPr>
              <w:t>2021</w:t>
            </w:r>
          </w:p>
        </w:tc>
        <w:tc>
          <w:tcPr>
            <w:tcW w:type="dxa" w:w="2192"/>
          </w:tcPr>
          <w:p>
            <w:r/>
            <w:r>
              <w:rPr>
                <w:rFonts w:ascii="Times New Roman" w:hAnsi="Times New Roman"/>
                <w:b w:val="0"/>
                <w:sz w:val="22"/>
              </w:rPr>
              <w:t>Hybrid lagerklassifisering, lean i sykehus</w:t>
            </w:r>
          </w:p>
        </w:tc>
        <w:tc>
          <w:tcPr>
            <w:tcW w:type="dxa" w:w="2192"/>
          </w:tcPr>
          <w:p>
            <w:r/>
            <w:r>
              <w:rPr>
                <w:rFonts w:ascii="Times New Roman" w:hAnsi="Times New Roman"/>
                <w:b w:val="0"/>
                <w:sz w:val="22"/>
              </w:rPr>
              <w:t>K-means i sykehuslogistikk</w:t>
            </w:r>
          </w:p>
        </w:tc>
      </w:tr>
      <w:tr>
        <w:tc>
          <w:tcPr>
            <w:tcW w:type="dxa" w:w="2192"/>
          </w:tcPr>
          <w:p>
            <w:r/>
            <w:r>
              <w:rPr>
                <w:rFonts w:ascii="Times New Roman" w:hAnsi="Times New Roman"/>
                <w:b w:val="0"/>
                <w:sz w:val="22"/>
              </w:rPr>
              <w:t>Hautaniemi &amp; Pirttilä</w:t>
            </w:r>
          </w:p>
        </w:tc>
        <w:tc>
          <w:tcPr>
            <w:tcW w:type="dxa" w:w="2192"/>
          </w:tcPr>
          <w:p>
            <w:r/>
            <w:r>
              <w:rPr>
                <w:rFonts w:ascii="Times New Roman" w:hAnsi="Times New Roman"/>
                <w:b w:val="0"/>
                <w:sz w:val="22"/>
              </w:rPr>
              <w:t>1999</w:t>
            </w:r>
          </w:p>
        </w:tc>
        <w:tc>
          <w:tcPr>
            <w:tcW w:type="dxa" w:w="2192"/>
          </w:tcPr>
          <w:p>
            <w:r/>
            <w:r>
              <w:rPr>
                <w:rFonts w:ascii="Times New Roman" w:hAnsi="Times New Roman"/>
                <w:b w:val="0"/>
                <w:sz w:val="22"/>
              </w:rPr>
              <w:t>Påfyllingspolicyer i MRP-miljø</w:t>
            </w:r>
          </w:p>
        </w:tc>
        <w:tc>
          <w:tcPr>
            <w:tcW w:type="dxa" w:w="2192"/>
          </w:tcPr>
          <w:p>
            <w:r/>
            <w:r>
              <w:rPr>
                <w:rFonts w:ascii="Times New Roman" w:hAnsi="Times New Roman"/>
                <w:b w:val="0"/>
                <w:sz w:val="22"/>
              </w:rPr>
              <w:t>EOQ-forutsetninger, lot sizing</w:t>
            </w:r>
          </w:p>
        </w:tc>
      </w:tr>
      <w:tr>
        <w:tc>
          <w:tcPr>
            <w:tcW w:type="dxa" w:w="2192"/>
          </w:tcPr>
          <w:p>
            <w:r/>
            <w:r>
              <w:rPr>
                <w:rFonts w:ascii="Times New Roman" w:hAnsi="Times New Roman"/>
                <w:b w:val="0"/>
                <w:sz w:val="22"/>
              </w:rPr>
              <w:t>Kelle et al.</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Farmasøytisk forsyningskjede, sykehus</w:t>
            </w:r>
          </w:p>
        </w:tc>
        <w:tc>
          <w:tcPr>
            <w:tcW w:type="dxa" w:w="2192"/>
          </w:tcPr>
          <w:p>
            <w:r/>
            <w:r>
              <w:rPr>
                <w:rFonts w:ascii="Times New Roman" w:hAnsi="Times New Roman"/>
                <w:b w:val="0"/>
                <w:sz w:val="22"/>
              </w:rPr>
              <w:t>Ordrekostnad S, sykehusinnkjøp</w:t>
            </w:r>
          </w:p>
        </w:tc>
      </w:tr>
      <w:tr>
        <w:tc>
          <w:tcPr>
            <w:tcW w:type="dxa" w:w="2192"/>
          </w:tcPr>
          <w:p>
            <w:r/>
            <w:r>
              <w:rPr>
                <w:rFonts w:ascii="Times New Roman" w:hAnsi="Times New Roman"/>
                <w:b w:val="0"/>
                <w:sz w:val="22"/>
              </w:rPr>
              <w:t>Keshavarz Ghorabaee et al.</w:t>
            </w:r>
          </w:p>
        </w:tc>
        <w:tc>
          <w:tcPr>
            <w:tcW w:type="dxa" w:w="2192"/>
          </w:tcPr>
          <w:p>
            <w:r/>
            <w:r>
              <w:rPr>
                <w:rFonts w:ascii="Times New Roman" w:hAnsi="Times New Roman"/>
                <w:b w:val="0"/>
                <w:sz w:val="22"/>
              </w:rPr>
              <w:t>2015</w:t>
            </w:r>
          </w:p>
        </w:tc>
        <w:tc>
          <w:tcPr>
            <w:tcW w:type="dxa" w:w="2192"/>
          </w:tcPr>
          <w:p>
            <w:r/>
            <w:r>
              <w:rPr>
                <w:rFonts w:ascii="Times New Roman" w:hAnsi="Times New Roman"/>
                <w:b w:val="0"/>
                <w:sz w:val="22"/>
              </w:rPr>
              <w:t>EDAS flerkriterieklassifisering</w:t>
            </w:r>
          </w:p>
        </w:tc>
        <w:tc>
          <w:tcPr>
            <w:tcW w:type="dxa" w:w="2192"/>
          </w:tcPr>
          <w:p>
            <w:r/>
            <w:r>
              <w:rPr>
                <w:rFonts w:ascii="Times New Roman" w:hAnsi="Times New Roman"/>
                <w:b w:val="0"/>
                <w:sz w:val="22"/>
              </w:rPr>
              <w:t>Alternativ til ABC, avstandsmetode</w:t>
            </w:r>
          </w:p>
        </w:tc>
      </w:tr>
      <w:tr>
        <w:tc>
          <w:tcPr>
            <w:tcW w:type="dxa" w:w="2192"/>
          </w:tcPr>
          <w:p>
            <w:r/>
            <w:r>
              <w:rPr>
                <w:rFonts w:ascii="Times New Roman" w:hAnsi="Times New Roman"/>
                <w:b w:val="0"/>
                <w:sz w:val="22"/>
              </w:rPr>
              <w:t>Ketkar &amp; Vaidya</w:t>
            </w:r>
          </w:p>
        </w:tc>
        <w:tc>
          <w:tcPr>
            <w:tcW w:type="dxa" w:w="2192"/>
          </w:tcPr>
          <w:p>
            <w:r/>
            <w:r>
              <w:rPr>
                <w:rFonts w:ascii="Times New Roman" w:hAnsi="Times New Roman"/>
                <w:b w:val="0"/>
                <w:sz w:val="22"/>
              </w:rPr>
              <w:t>2014</w:t>
            </w:r>
          </w:p>
        </w:tc>
        <w:tc>
          <w:tcPr>
            <w:tcW w:type="dxa" w:w="2192"/>
          </w:tcPr>
          <w:p>
            <w:r/>
            <w:r>
              <w:rPr>
                <w:rFonts w:ascii="Times New Roman" w:hAnsi="Times New Roman"/>
                <w:b w:val="0"/>
                <w:sz w:val="22"/>
              </w:rPr>
              <w:t>Bestillingspolicy, flerklassifisering</w:t>
            </w:r>
          </w:p>
        </w:tc>
        <w:tc>
          <w:tcPr>
            <w:tcW w:type="dxa" w:w="2192"/>
          </w:tcPr>
          <w:p>
            <w:r/>
            <w:r>
              <w:rPr>
                <w:rFonts w:ascii="Times New Roman" w:hAnsi="Times New Roman"/>
                <w:b w:val="0"/>
                <w:sz w:val="22"/>
              </w:rPr>
              <w:t>Holdesats h = 20 %, ABC/XYZ-kombinasjon</w:t>
            </w:r>
          </w:p>
        </w:tc>
      </w:tr>
      <w:tr>
        <w:tc>
          <w:tcPr>
            <w:tcW w:type="dxa" w:w="2192"/>
          </w:tcPr>
          <w:p>
            <w:r/>
            <w:r>
              <w:rPr>
                <w:rFonts w:ascii="Times New Roman" w:hAnsi="Times New Roman"/>
                <w:b w:val="0"/>
                <w:sz w:val="22"/>
              </w:rPr>
              <w:t>Moons et al.</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Ytelsesmåling, intern sykehusforsyning</w:t>
            </w:r>
          </w:p>
        </w:tc>
        <w:tc>
          <w:tcPr>
            <w:tcW w:type="dxa" w:w="2192"/>
          </w:tcPr>
          <w:p>
            <w:r/>
            <w:r>
              <w:rPr>
                <w:rFonts w:ascii="Times New Roman" w:hAnsi="Times New Roman"/>
                <w:b w:val="0"/>
                <w:sz w:val="22"/>
              </w:rPr>
              <w:t>Flerkriteriebaserte ytelsesmål</w:t>
            </w:r>
          </w:p>
        </w:tc>
      </w:tr>
      <w:tr>
        <w:tc>
          <w:tcPr>
            <w:tcW w:type="dxa" w:w="2192"/>
          </w:tcPr>
          <w:p>
            <w:r/>
            <w:r>
              <w:rPr>
                <w:rFonts w:ascii="Times New Roman" w:hAnsi="Times New Roman"/>
                <w:b w:val="0"/>
                <w:sz w:val="22"/>
              </w:rPr>
              <w:t>Nowotyńska</w:t>
            </w:r>
          </w:p>
        </w:tc>
        <w:tc>
          <w:tcPr>
            <w:tcW w:type="dxa" w:w="2192"/>
          </w:tcPr>
          <w:p>
            <w:r/>
            <w:r>
              <w:rPr>
                <w:rFonts w:ascii="Times New Roman" w:hAnsi="Times New Roman"/>
                <w:b w:val="0"/>
                <w:sz w:val="22"/>
              </w:rPr>
              <w:t>2013</w:t>
            </w:r>
          </w:p>
        </w:tc>
        <w:tc>
          <w:tcPr>
            <w:tcW w:type="dxa" w:w="2192"/>
          </w:tcPr>
          <w:p>
            <w:r/>
            <w:r>
              <w:rPr>
                <w:rFonts w:ascii="Times New Roman" w:hAnsi="Times New Roman"/>
                <w:b w:val="0"/>
                <w:sz w:val="22"/>
              </w:rPr>
              <w:t>XYZ-analyse, lagerstyring</w:t>
            </w:r>
          </w:p>
        </w:tc>
        <w:tc>
          <w:tcPr>
            <w:tcW w:type="dxa" w:w="2192"/>
          </w:tcPr>
          <w:p>
            <w:r/>
            <w:r>
              <w:rPr>
                <w:rFonts w:ascii="Times New Roman" w:hAnsi="Times New Roman"/>
                <w:b w:val="0"/>
                <w:sz w:val="22"/>
              </w:rPr>
              <w:t>CV-grenser X/Y/Z, metodegrunnlag</w:t>
            </w:r>
          </w:p>
        </w:tc>
      </w:tr>
      <w:tr>
        <w:tc>
          <w:tcPr>
            <w:tcW w:type="dxa" w:w="2192"/>
          </w:tcPr>
          <w:p>
            <w:r/>
            <w:r>
              <w:rPr>
                <w:rFonts w:ascii="Times New Roman" w:hAnsi="Times New Roman"/>
                <w:b w:val="0"/>
                <w:sz w:val="22"/>
              </w:rPr>
              <w:t>Pujawan</w:t>
            </w:r>
          </w:p>
        </w:tc>
        <w:tc>
          <w:tcPr>
            <w:tcW w:type="dxa" w:w="2192"/>
          </w:tcPr>
          <w:p>
            <w:r/>
            <w:r>
              <w:rPr>
                <w:rFonts w:ascii="Times New Roman" w:hAnsi="Times New Roman"/>
                <w:b w:val="0"/>
                <w:sz w:val="22"/>
              </w:rPr>
              <w:t>2004</w:t>
            </w:r>
          </w:p>
        </w:tc>
        <w:tc>
          <w:tcPr>
            <w:tcW w:type="dxa" w:w="2192"/>
          </w:tcPr>
          <w:p>
            <w:r/>
            <w:r>
              <w:rPr>
                <w:rFonts w:ascii="Times New Roman" w:hAnsi="Times New Roman"/>
                <w:b w:val="0"/>
                <w:sz w:val="22"/>
              </w:rPr>
              <w:t>Lot sizing, ordrevariabilitet</w:t>
            </w:r>
          </w:p>
        </w:tc>
        <w:tc>
          <w:tcPr>
            <w:tcW w:type="dxa" w:w="2192"/>
          </w:tcPr>
          <w:p>
            <w:r/>
            <w:r>
              <w:rPr>
                <w:rFonts w:ascii="Times New Roman" w:hAnsi="Times New Roman"/>
                <w:b w:val="0"/>
                <w:sz w:val="22"/>
              </w:rPr>
              <w:t>Bullwhip-effekt, EOQ-relevans</w:t>
            </w:r>
          </w:p>
        </w:tc>
      </w:tr>
      <w:tr>
        <w:tc>
          <w:tcPr>
            <w:tcW w:type="dxa" w:w="2192"/>
          </w:tcPr>
          <w:p>
            <w:r/>
            <w:r>
              <w:rPr>
                <w:rFonts w:ascii="Times New Roman" w:hAnsi="Times New Roman"/>
                <w:b w:val="0"/>
                <w:sz w:val="22"/>
              </w:rPr>
              <w:t>Saha &amp; Ray</w:t>
            </w:r>
          </w:p>
        </w:tc>
        <w:tc>
          <w:tcPr>
            <w:tcW w:type="dxa" w:w="2192"/>
          </w:tcPr>
          <w:p>
            <w:r/>
            <w:r>
              <w:rPr>
                <w:rFonts w:ascii="Times New Roman" w:hAnsi="Times New Roman"/>
                <w:b w:val="0"/>
                <w:sz w:val="22"/>
              </w:rPr>
              <w:t>2019</w:t>
            </w:r>
          </w:p>
        </w:tc>
        <w:tc>
          <w:tcPr>
            <w:tcW w:type="dxa" w:w="2192"/>
          </w:tcPr>
          <w:p>
            <w:r/>
            <w:r>
              <w:rPr>
                <w:rFonts w:ascii="Times New Roman" w:hAnsi="Times New Roman"/>
                <w:b w:val="0"/>
                <w:sz w:val="22"/>
              </w:rPr>
              <w:t>Lagermodeller i helsesektoren (review, 137 art.)</w:t>
            </w:r>
          </w:p>
        </w:tc>
        <w:tc>
          <w:tcPr>
            <w:tcW w:type="dxa" w:w="2192"/>
          </w:tcPr>
          <w:p>
            <w:r/>
            <w:r>
              <w:rPr>
                <w:rFonts w:ascii="Times New Roman" w:hAnsi="Times New Roman"/>
                <w:b w:val="0"/>
                <w:sz w:val="22"/>
              </w:rPr>
              <w:t>Gap: empiriske SAP-casestudier mangler</w:t>
            </w:r>
          </w:p>
        </w:tc>
      </w:tr>
      <w:tr>
        <w:tc>
          <w:tcPr>
            <w:tcW w:type="dxa" w:w="2192"/>
          </w:tcPr>
          <w:p>
            <w:r/>
            <w:r>
              <w:rPr>
                <w:rFonts w:ascii="Times New Roman" w:hAnsi="Times New Roman"/>
                <w:b w:val="0"/>
                <w:sz w:val="22"/>
              </w:rPr>
              <w:t>Silaen et al.</w:t>
            </w:r>
          </w:p>
        </w:tc>
        <w:tc>
          <w:tcPr>
            <w:tcW w:type="dxa" w:w="2192"/>
          </w:tcPr>
          <w:p>
            <w:r/>
            <w:r>
              <w:rPr>
                <w:rFonts w:ascii="Times New Roman" w:hAnsi="Times New Roman"/>
                <w:b w:val="0"/>
                <w:sz w:val="22"/>
              </w:rPr>
              <w:t>2023</w:t>
            </w:r>
          </w:p>
        </w:tc>
        <w:tc>
          <w:tcPr>
            <w:tcW w:type="dxa" w:w="2192"/>
          </w:tcPr>
          <w:p>
            <w:r/>
            <w:r>
              <w:rPr>
                <w:rFonts w:ascii="Times New Roman" w:hAnsi="Times New Roman"/>
                <w:b w:val="0"/>
                <w:sz w:val="22"/>
              </w:rPr>
              <w:t>ABC-analyse, implementering</w:t>
            </w:r>
          </w:p>
        </w:tc>
        <w:tc>
          <w:tcPr>
            <w:tcW w:type="dxa" w:w="2192"/>
          </w:tcPr>
          <w:p>
            <w:r/>
            <w:r>
              <w:rPr>
                <w:rFonts w:ascii="Times New Roman" w:hAnsi="Times New Roman"/>
                <w:b w:val="0"/>
                <w:sz w:val="22"/>
              </w:rPr>
              <w:t>ABC-grenser 80/95 %, Pareto-prinsippet</w:t>
            </w:r>
          </w:p>
        </w:tc>
      </w:tr>
      <w:tr>
        <w:tc>
          <w:tcPr>
            <w:tcW w:type="dxa" w:w="2192"/>
          </w:tcPr>
          <w:p>
            <w:r/>
            <w:r>
              <w:rPr>
                <w:rFonts w:ascii="Times New Roman" w:hAnsi="Times New Roman"/>
                <w:b w:val="0"/>
                <w:sz w:val="22"/>
              </w:rPr>
              <w:t>Srinivasan &amp; Moon</w:t>
            </w:r>
          </w:p>
        </w:tc>
        <w:tc>
          <w:tcPr>
            <w:tcW w:type="dxa" w:w="2192"/>
          </w:tcPr>
          <w:p>
            <w:r/>
            <w:r>
              <w:rPr>
                <w:rFonts w:ascii="Times New Roman" w:hAnsi="Times New Roman"/>
                <w:b w:val="0"/>
                <w:sz w:val="22"/>
              </w:rPr>
              <w:t>1999</w:t>
            </w:r>
          </w:p>
        </w:tc>
        <w:tc>
          <w:tcPr>
            <w:tcW w:type="dxa" w:w="2192"/>
          </w:tcPr>
          <w:p>
            <w:r/>
            <w:r>
              <w:rPr>
                <w:rFonts w:ascii="Times New Roman" w:hAnsi="Times New Roman"/>
                <w:b w:val="0"/>
                <w:sz w:val="22"/>
              </w:rPr>
              <w:t>Klyngeanalyse, forsyningskjedenettverk</w:t>
            </w:r>
          </w:p>
        </w:tc>
        <w:tc>
          <w:tcPr>
            <w:tcW w:type="dxa" w:w="2192"/>
          </w:tcPr>
          <w:p>
            <w:r/>
            <w:r>
              <w:rPr>
                <w:rFonts w:ascii="Times New Roman" w:hAnsi="Times New Roman"/>
                <w:b w:val="0"/>
                <w:sz w:val="22"/>
              </w:rPr>
              <w:t>K-means i SCM, nær-optimale løsninger</w:t>
            </w:r>
          </w:p>
        </w:tc>
      </w:tr>
      <w:tr>
        <w:tc>
          <w:tcPr>
            <w:tcW w:type="dxa" w:w="2192"/>
          </w:tcPr>
          <w:p>
            <w:r/>
            <w:r>
              <w:rPr>
                <w:rFonts w:ascii="Times New Roman" w:hAnsi="Times New Roman"/>
                <w:b w:val="0"/>
                <w:sz w:val="22"/>
              </w:rPr>
              <w:t>Suryaputri et al.</w:t>
            </w:r>
          </w:p>
        </w:tc>
        <w:tc>
          <w:tcPr>
            <w:tcW w:type="dxa" w:w="2192"/>
          </w:tcPr>
          <w:p>
            <w:r/>
            <w:r>
              <w:rPr>
                <w:rFonts w:ascii="Times New Roman" w:hAnsi="Times New Roman"/>
                <w:b w:val="0"/>
                <w:sz w:val="22"/>
              </w:rPr>
              <w:t>2022</w:t>
            </w:r>
          </w:p>
        </w:tc>
        <w:tc>
          <w:tcPr>
            <w:tcW w:type="dxa" w:w="2192"/>
          </w:tcPr>
          <w:p>
            <w:r/>
            <w:r>
              <w:rPr>
                <w:rFonts w:ascii="Times New Roman" w:hAnsi="Times New Roman"/>
                <w:b w:val="0"/>
                <w:sz w:val="22"/>
              </w:rPr>
              <w:t>ABC-XYZ-integrasjon, helseindustri</w:t>
            </w:r>
          </w:p>
        </w:tc>
        <w:tc>
          <w:tcPr>
            <w:tcW w:type="dxa" w:w="2192"/>
          </w:tcPr>
          <w:p>
            <w:r/>
            <w:r>
              <w:rPr>
                <w:rFonts w:ascii="Times New Roman" w:hAnsi="Times New Roman"/>
                <w:b w:val="0"/>
                <w:sz w:val="22"/>
              </w:rPr>
              <w:t>ABC/XYZ-matrise, bestillingspolicy</w:t>
            </w:r>
          </w:p>
        </w:tc>
      </w:tr>
      <w:tr>
        <w:tc>
          <w:tcPr>
            <w:tcW w:type="dxa" w:w="2192"/>
          </w:tcPr>
          <w:p>
            <w:r/>
            <w:r>
              <w:rPr>
                <w:rFonts w:ascii="Times New Roman" w:hAnsi="Times New Roman"/>
                <w:b w:val="0"/>
                <w:sz w:val="22"/>
              </w:rPr>
              <w:t>van Kampen et al.</w:t>
            </w:r>
          </w:p>
        </w:tc>
        <w:tc>
          <w:tcPr>
            <w:tcW w:type="dxa" w:w="2192"/>
          </w:tcPr>
          <w:p>
            <w:r/>
            <w:r>
              <w:rPr>
                <w:rFonts w:ascii="Times New Roman" w:hAnsi="Times New Roman"/>
                <w:b w:val="0"/>
                <w:sz w:val="22"/>
              </w:rPr>
              <w:t>2012</w:t>
            </w:r>
          </w:p>
        </w:tc>
        <w:tc>
          <w:tcPr>
            <w:tcW w:type="dxa" w:w="2192"/>
          </w:tcPr>
          <w:p>
            <w:r/>
            <w:r>
              <w:rPr>
                <w:rFonts w:ascii="Times New Roman" w:hAnsi="Times New Roman"/>
                <w:b w:val="0"/>
                <w:sz w:val="22"/>
              </w:rPr>
              <w:t>SKU-klassifiseringsrammeverk</w:t>
            </w:r>
          </w:p>
        </w:tc>
        <w:tc>
          <w:tcPr>
            <w:tcW w:type="dxa" w:w="2192"/>
          </w:tcPr>
          <w:p>
            <w:r/>
            <w:r>
              <w:rPr>
                <w:rFonts w:ascii="Times New Roman" w:hAnsi="Times New Roman"/>
                <w:b w:val="0"/>
                <w:sz w:val="22"/>
              </w:rPr>
              <w:t>Tre hoveddimensjoner, posisjonering</w:t>
            </w:r>
          </w:p>
        </w:tc>
      </w:tr>
      <w:tr>
        <w:tc>
          <w:tcPr>
            <w:tcW w:type="dxa" w:w="2192"/>
          </w:tcPr>
          <w:p>
            <w:r/>
            <w:r>
              <w:rPr>
                <w:rFonts w:ascii="Times New Roman" w:hAnsi="Times New Roman"/>
                <w:b w:val="0"/>
                <w:sz w:val="22"/>
              </w:rPr>
              <w:t>Volland et al.</w:t>
            </w:r>
          </w:p>
        </w:tc>
        <w:tc>
          <w:tcPr>
            <w:tcW w:type="dxa" w:w="2192"/>
          </w:tcPr>
          <w:p>
            <w:r/>
            <w:r>
              <w:rPr>
                <w:rFonts w:ascii="Times New Roman" w:hAnsi="Times New Roman"/>
                <w:b w:val="0"/>
                <w:sz w:val="22"/>
              </w:rPr>
              <w:t>2017</w:t>
            </w:r>
          </w:p>
        </w:tc>
        <w:tc>
          <w:tcPr>
            <w:tcW w:type="dxa" w:w="2192"/>
          </w:tcPr>
          <w:p>
            <w:r/>
            <w:r>
              <w:rPr>
                <w:rFonts w:ascii="Times New Roman" w:hAnsi="Times New Roman"/>
                <w:b w:val="0"/>
                <w:sz w:val="22"/>
              </w:rPr>
              <w:t>Materiallogistikk i sykehus (review, 145 pub.)</w:t>
            </w:r>
          </w:p>
        </w:tc>
        <w:tc>
          <w:tcPr>
            <w:tcW w:type="dxa" w:w="2192"/>
          </w:tcPr>
          <w:p>
            <w:r/>
            <w:r>
              <w:rPr>
                <w:rFonts w:ascii="Times New Roman" w:hAnsi="Times New Roman"/>
                <w:b w:val="0"/>
                <w:sz w:val="22"/>
              </w:rPr>
              <w:t>Lagerstyring dominerer, 30–40 % av drift</w:t>
            </w:r>
          </w:p>
        </w:tc>
      </w:tr>
    </w:tbl>
    <w:p>
      <w:pPr>
        <w:pStyle w:val="Overskrift2"/>
      </w:pPr>
      <w:r>
        <w:rPr>
          <w:rFonts w:ascii="Times New Roman" w:hAnsi="Times New Roman"/>
          <w:color w:val="000000"/>
          <w:sz w:val="32"/>
        </w:rPr>
        <w:t>2.2 ABC-analyse</w:t>
      </w:r>
    </w:p>
    <w:p>
      <w:pPr>
        <w:spacing w:line="360" w:lineRule="auto"/>
        <w:jc w:val="both"/>
      </w:pPr>
      <w:r>
        <w:rPr>
          <w:rFonts w:ascii="Times New Roman" w:hAnsi="Times New Roman" w:cs="Times New Roman"/>
          <w:sz w:val="24"/>
        </w:rPr>
        <w:t>ABC-analyse er en klassifiseringsmetode basert på Pareto-prinsippet, som fastslår at en liten andel artikler typisk står for en stor andel av total forbruksverdi. Metoden deler lagerbeholdningen i tre kategorier etter kumulativ verdiandel: A-artikler representerer de første 80 % av total innkjøpsverdi, B-artikler de neste 15 % og C-artikler de resterende 5 % (Silaen et al., 2023). Den formelle beregningen er beskrevet i kapittel 5.</w:t>
      </w:r>
    </w:p>
    <w:p>
      <w:pPr>
        <w:spacing w:line="360" w:lineRule="auto"/>
        <w:jc w:val="both"/>
      </w:pPr>
      <w:r>
        <w:rPr>
          <w:rFonts w:ascii="Times New Roman" w:hAnsi="Times New Roman" w:cs="Times New Roman"/>
          <w:sz w:val="24"/>
        </w:rPr>
        <w:t>Styrken ved ABC er enkelhet og direkte kopling til lagerkapitalbinding, men verdidimensjonen alene fanger ikke variabilitet i etterspørsel eller kritikalitet for forsyningssikkerhet (Partovi &amp; Burton, 1993). I denne oppgaven adresseres dette ved å kombinere ABC med XYZ-klassifisering og EOQ-avviksanalyse.</w:t>
      </w:r>
    </w:p>
    <w:p>
      <w:pPr>
        <w:pStyle w:val="Overskrift2"/>
      </w:pPr>
      <w:r>
        <w:rPr>
          <w:rFonts w:ascii="Times New Roman" w:hAnsi="Times New Roman"/>
          <w:color w:val="000000"/>
          <w:sz w:val="32"/>
        </w:rPr>
        <w:t>2.3 XYZ-klassifisering</w:t>
      </w:r>
    </w:p>
    <w:p>
      <w:pPr>
        <w:spacing w:line="360" w:lineRule="auto"/>
        <w:jc w:val="both"/>
      </w:pPr>
      <w:r>
        <w:rPr>
          <w:rFonts w:ascii="Times New Roman" w:hAnsi="Times New Roman" w:cs="Times New Roman"/>
          <w:sz w:val="24"/>
        </w:rPr>
        <w:t>XYZ-klassifisering kategoriserer artikler etter etterspørselens forutsigbarhet, målt ved variasjonskoeffisienten (CV). Klassifiseringsgrensene følger Nowotyńska (2013): X (</w:t>
      </w:r>
      <m:oMath>
        <m:r>
          <m:t>CV&lt;0,5,</m:t>
        </m:r>
      </m:oMath>
      <w:r>
        <w:rPr>
          <w:rFonts w:ascii="Times New Roman" w:hAnsi="Times New Roman" w:cs="Times New Roman"/>
          <w:sz w:val="24"/>
        </w:rPr>
        <w:t xml:space="preserve"> stabilt), Y (0,5 ≤ </w:t>
      </w:r>
      <m:oMath>
        <m:r>
          <m:t>CV&lt;1,0,</m:t>
        </m:r>
      </m:oMath>
      <w:r>
        <w:rPr>
          <w:rFonts w:ascii="Times New Roman" w:hAnsi="Times New Roman" w:cs="Times New Roman"/>
          <w:sz w:val="24"/>
        </w:rPr>
        <w:t xml:space="preserve"> moderat) og Z (</w:t>
      </w:r>
      <m:oMath>
        <m:r>
          <m:t>CV≥1,0,</m:t>
        </m:r>
      </m:oMath>
      <w:r>
        <w:rPr>
          <w:rFonts w:ascii="Times New Roman" w:hAnsi="Times New Roman" w:cs="Times New Roman"/>
          <w:sz w:val="24"/>
        </w:rPr>
        <w:t xml:space="preserve"> uregelmessig). Den formelle definisjonen er gitt i kapittel 5.</w:t>
      </w:r>
    </w:p>
    <w:p>
      <w:pPr>
        <w:spacing w:line="360" w:lineRule="auto"/>
        <w:jc w:val="both"/>
      </w:pPr>
      <w:r>
        <w:rPr>
          <w:rFonts w:ascii="Times New Roman" w:hAnsi="Times New Roman" w:cs="Times New Roman"/>
          <w:sz w:val="24"/>
        </w:rPr>
        <w:t>XYZ er metodisk komplementær til ABC: en AX-artikkel er en svært god kandidat for sentralisert styring, mens en AZ-artikkel krever lokal beredskapslagring uavhengig av verdi. Suryaputri et al. (2022) viser at ABC/XYZ-matrisen gir substansielt bedre differensiering av bestillingspolicy sammenlignet med enkeltkriterieanalyse. En sentral utfordring er at SAP-feltet ZZXYZ ikke oppdateres løpende; oppgaven behandler dette som et valideringsspørsmål og rapporterer samsvarsprosenten eksplisitt.</w:t>
      </w:r>
    </w:p>
    <w:p>
      <w:pPr>
        <w:pStyle w:val="Overskrift2"/>
      </w:pPr>
      <w:r>
        <w:rPr>
          <w:rFonts w:ascii="Times New Roman" w:hAnsi="Times New Roman"/>
          <w:color w:val="000000"/>
          <w:sz w:val="32"/>
        </w:rPr>
        <w:t>2.4 Economic Order Quantity (EOQ)</w:t>
      </w:r>
    </w:p>
    <w:p>
      <w:pPr>
        <w:spacing w:line="360" w:lineRule="auto"/>
        <w:jc w:val="both"/>
      </w:pPr>
      <w:r>
        <w:rPr>
          <w:rFonts w:ascii="Times New Roman" w:hAnsi="Times New Roman" w:cs="Times New Roman"/>
          <w:sz w:val="24"/>
        </w:rPr>
        <w:t>Economic Order Quantity (EOQ), også kjent som Wilson-modellen, beregner den optimale bestillingsmengden som minimerer summen av årlige ordrekostnader og holdekostnader (Ketkar &amp; Vaidya, 2014). I denne oppgaven benyttes EOQ primært for å identifisere artikler der faktisk bestillingsfrekvens avviker vesentlig fra den optimale, og der kostnadsavviket er kvantifiserbart. Den formelle modellformuleringen er gitt i kapittel 5.</w:t>
      </w:r>
    </w:p>
    <w:p>
      <w:pPr>
        <w:spacing w:line="360" w:lineRule="auto"/>
        <w:jc w:val="both"/>
      </w:pPr>
      <w:r>
        <w:rPr>
          <w:rFonts w:ascii="Times New Roman" w:hAnsi="Times New Roman" w:cs="Times New Roman"/>
          <w:sz w:val="24"/>
        </w:rPr>
        <w:t>Modellen forutsetter konstant etterspørsel, øyeblikkelig leveranse, ingen kvantumsrabatter og lineær holdekostnad – forutsetninger som i praksis brytes i varierende grad. Hautaniemi og Pirttilä (1999) påpeker at EOQ i mange tilfeller overstiger faktisk etterspørsel per periode, og Pujawan (2004) viser at suboptimale partistørrelser kan forplante seg som ordrevariabilitet oppover i forsyningskjeden. I sykehuskontekst begrenses dette noe av relativt stabile etterspørselsmønstre for volumartikler, men problemstillingen er relevant for Z-klassifiserte artikler. Parametervalgene (</w:t>
      </w:r>
      <m:oMath>
        <m:r>
          <m:t>S=750</m:t>
        </m:r>
      </m:oMath>
      <w:r>
        <w:rPr>
          <w:rFonts w:ascii="Times New Roman" w:hAnsi="Times New Roman" w:cs="Times New Roman"/>
          <w:sz w:val="24"/>
        </w:rPr>
        <w:t xml:space="preserve"> NOK, </w:t>
      </w:r>
      <m:oMath>
        <m:r>
          <m:t>H=p×20</m:t>
        </m:r>
        <m:r>
          <m:t>%</m:t>
        </m:r>
      </m:oMath>
      <w:r>
        <w:rPr>
          <w:rFonts w:ascii="Times New Roman" w:hAnsi="Times New Roman" w:cs="Times New Roman"/>
          <w:sz w:val="24"/>
        </w:rPr>
        <w:t>) er begrunnet i kapittel 5, og sensitivitetsanalysen varierer begge for å kartlegge robustheten.</w:t>
      </w:r>
    </w:p>
    <w:p>
      <w:pPr>
        <w:pStyle w:val="Overskrift2"/>
      </w:pPr>
      <w:r>
        <w:rPr>
          <w:rFonts w:ascii="Times New Roman" w:hAnsi="Times New Roman"/>
          <w:color w:val="000000"/>
          <w:sz w:val="32"/>
        </w:rPr>
        <w:t>2.5 K-means klyngeanalyse</w:t>
      </w:r>
    </w:p>
    <w:p>
      <w:pPr>
        <w:spacing w:line="360" w:lineRule="auto"/>
        <w:jc w:val="both"/>
      </w:pPr>
      <w:r>
        <w:rPr>
          <w:rFonts w:ascii="Times New Roman" w:hAnsi="Times New Roman" w:cs="Times New Roman"/>
          <w:sz w:val="24"/>
        </w:rPr>
        <w:t xml:space="preserve">K-means er en partisjoneringsalgoritme som deler et datasett inn i </w:t>
      </w:r>
      <m:oMath>
        <m:r>
          <m:t>K</m:t>
        </m:r>
      </m:oMath>
      <w:r>
        <w:rPr>
          <w:rFonts w:ascii="Times New Roman" w:hAnsi="Times New Roman" w:cs="Times New Roman"/>
          <w:sz w:val="24"/>
        </w:rPr>
        <w:t xml:space="preserve"> klynger ved å minimere summen av kvadrerte euklidske avstander fra hvert datapunkt til tilhørende klyngesenter (Pedregosa et al., 2011). Optimalt antall klynger bestemmes via silhouette-score (Rousseeuw, 1987), der verdier over 0,3 regnes som akseptable for eksplorativ analyse (Ketkar &amp; Vaidya, 2014). Log-transformasjon og z-score-standardisering sikrer at variabler med ulik skala bidrar likeverdig til distanseberegningene; den tekniske spesifikasjonen er gitt i kapittel 5.</w:t>
      </w:r>
    </w:p>
    <w:p>
      <w:pPr>
        <w:spacing w:line="360" w:lineRule="auto"/>
        <w:jc w:val="both"/>
      </w:pPr>
      <w:r>
        <w:rPr>
          <w:rFonts w:ascii="Times New Roman" w:hAnsi="Times New Roman" w:cs="Times New Roman"/>
          <w:sz w:val="24"/>
        </w:rPr>
        <w:t>Sammenlignet med regelbaserte klassifiseringsmetoder har klyngeanalyse den fordelen at den er datadrevet og ikke forutsetter forhåndsdefinerte terskelverdier (Srinivasan &amp; Moon, 1999). Begrensningen er at K-means er sensitiv for initialisering og forutsetter konvekse klyngemønstre. Det finnes begrenset sykehus-spesifikk litteratur på K-means i lagerklassifisering; Gurumurthy et al. (2021) er blant de få som eksplisitt benytter klyngeanalyse i sykehuslogistikk, noe som understreker at metodekombinasjonen i denne studien bidrar til å utvide det empiriske grunnlaget.</w:t>
      </w:r>
    </w:p>
    <w:p>
      <w:pPr>
        <w:pStyle w:val="Overskrift2"/>
      </w:pPr>
      <w:r>
        <w:rPr>
          <w:rFonts w:ascii="Times New Roman" w:hAnsi="Times New Roman"/>
          <w:color w:val="000000"/>
          <w:sz w:val="32"/>
        </w:rPr>
        <w:t>2.6 Lagerstyring i helsesektoren</w:t>
      </w:r>
    </w:p>
    <w:p>
      <w:pPr>
        <w:spacing w:line="360" w:lineRule="auto"/>
        <w:jc w:val="both"/>
      </w:pPr>
      <w:r>
        <w:rPr>
          <w:rFonts w:ascii="Times New Roman" w:hAnsi="Times New Roman" w:cs="Times New Roman"/>
          <w:sz w:val="24"/>
        </w:rPr>
        <w:t>Sykehuslogistikk skiller seg fra industriell lagerstyring ved at forsyningssvikt kan ha direkte kliniske konsekvenser. Bijvank og Vis (2012) modellerer dette som et tapte-salg-lagersystem der stockout har direkte operasjonell kostnad, noe som medfører at sykehus tradisjonelt aksepterer høyere sikkerhetslager enn det som er kostnadsoptimalt. Moons et al. (2019) peker på at ytelsesmåling i sykehusforsyningskjeder er fragmentert, og at økonomiindikatorer må balanseres mot serviceindikatorer for klinisk tilgjengelighet.</w:t>
      </w:r>
    </w:p>
    <w:p>
      <w:pPr>
        <w:spacing w:line="360" w:lineRule="auto"/>
        <w:jc w:val="both"/>
      </w:pPr>
      <w:r>
        <w:rPr>
          <w:rFonts w:ascii="Times New Roman" w:hAnsi="Times New Roman" w:cs="Times New Roman"/>
          <w:sz w:val="24"/>
        </w:rPr>
        <w:t>Saha og Ray (2019) fant at casestudier med empiriske ERP-data er underrepresentert i litteraturen, og Gupta et al. (2007) viser at ABC-analyse med SAP-data reduserte lagerkapitalbindingen med 10–15 % i en sykehusstudie. Fragapane et al. (2019) understreker at sentraliserte APL-leveranser krever et systematisk klassifiseringsgrunnlag, mens de Vries (2011) advarer mot å undervurdere organisatoriske barrierer ved slike omstillinger.</w:t>
      </w:r>
    </w:p>
    <w:p>
      <w:pPr>
        <w:spacing w:line="360" w:lineRule="auto"/>
        <w:jc w:val="both"/>
      </w:pPr>
      <w:r>
        <w:rPr>
          <w:rFonts w:ascii="Times New Roman" w:hAnsi="Times New Roman" w:cs="Times New Roman"/>
          <w:sz w:val="24"/>
        </w:rPr>
        <w:t>Tabell 2 oppsummerer styrker, svakheter og forutsetninger for de fire analysemetodene som benyttes i denne oppgaven.</w:t>
      </w:r>
    </w:p>
    <w:p>
      <w:r>
        <w:rPr>
          <w:rFonts w:ascii="Times New Roman" w:hAnsi="Times New Roman"/>
          <w:b/>
          <w:sz w:val="20"/>
        </w:rPr>
        <w:t>Tabell 2</w:t>
      </w:r>
    </w:p>
    <w:p>
      <w:r>
        <w:rPr>
          <w:rFonts w:ascii="Times New Roman" w:hAnsi="Times New Roman"/>
          <w:i/>
          <w:sz w:val="20"/>
        </w:rPr>
        <w:t>Sammenligning av analysemetoder brukt i oppgaven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Modell</w:t>
            </w:r>
          </w:p>
        </w:tc>
        <w:tc>
          <w:tcPr>
            <w:tcW w:type="dxa" w:w="1754"/>
            <w:tcBorders>
              <w:top w:val="single" w:sz="8" w:space="0" w:color="000000"/>
              <w:bottom w:val="single" w:sz="4" w:space="0" w:color="000000"/>
              <w:left w:val="nil"/>
              <w:right w:val="nil"/>
            </w:tcBorders>
          </w:tcPr>
          <w:p>
            <w:r/>
            <w:r>
              <w:rPr>
                <w:rFonts w:ascii="Times New Roman" w:hAnsi="Times New Roman"/>
                <w:b/>
                <w:sz w:val="22"/>
              </w:rPr>
              <w:t>Styrker</w:t>
            </w:r>
          </w:p>
        </w:tc>
        <w:tc>
          <w:tcPr>
            <w:tcW w:type="dxa" w:w="1754"/>
            <w:tcBorders>
              <w:top w:val="single" w:sz="8" w:space="0" w:color="000000"/>
              <w:bottom w:val="single" w:sz="4" w:space="0" w:color="000000"/>
              <w:left w:val="nil"/>
              <w:right w:val="nil"/>
            </w:tcBorders>
          </w:tcPr>
          <w:p>
            <w:r/>
            <w:r>
              <w:rPr>
                <w:rFonts w:ascii="Times New Roman" w:hAnsi="Times New Roman"/>
                <w:b/>
                <w:sz w:val="22"/>
              </w:rPr>
              <w:t>Svakheter</w:t>
            </w:r>
          </w:p>
        </w:tc>
        <w:tc>
          <w:tcPr>
            <w:tcW w:type="dxa" w:w="1754"/>
            <w:tcBorders>
              <w:top w:val="single" w:sz="8" w:space="0" w:color="000000"/>
              <w:bottom w:val="single" w:sz="4" w:space="0" w:color="000000"/>
              <w:left w:val="nil"/>
              <w:right w:val="nil"/>
            </w:tcBorders>
          </w:tcPr>
          <w:p>
            <w:r/>
            <w:r>
              <w:rPr>
                <w:rFonts w:ascii="Times New Roman" w:hAnsi="Times New Roman"/>
                <w:b/>
                <w:sz w:val="22"/>
              </w:rPr>
              <w:t>Forutsetninger</w:t>
            </w:r>
          </w:p>
        </w:tc>
        <w:tc>
          <w:tcPr>
            <w:tcW w:type="dxa" w:w="1754"/>
            <w:tcBorders>
              <w:top w:val="single" w:sz="8" w:space="0" w:color="000000"/>
              <w:bottom w:val="single" w:sz="4" w:space="0" w:color="000000"/>
              <w:left w:val="nil"/>
              <w:right w:val="nil"/>
            </w:tcBorders>
          </w:tcPr>
          <w:p>
            <w:r/>
            <w:r>
              <w:rPr>
                <w:rFonts w:ascii="Times New Roman" w:hAnsi="Times New Roman"/>
                <w:b/>
                <w:sz w:val="22"/>
              </w:rPr>
              <w:t>Referanse</w:t>
            </w:r>
          </w:p>
        </w:tc>
      </w:tr>
      <w:tr>
        <w:tc>
          <w:tcPr>
            <w:tcW w:type="dxa" w:w="1754"/>
          </w:tcPr>
          <w:p>
            <w:r/>
            <w:r>
              <w:rPr>
                <w:rFonts w:ascii="Times New Roman" w:hAnsi="Times New Roman"/>
                <w:b w:val="0"/>
                <w:sz w:val="22"/>
              </w:rPr>
              <w:t>ABC-analyse</w:t>
            </w:r>
          </w:p>
        </w:tc>
        <w:tc>
          <w:tcPr>
            <w:tcW w:type="dxa" w:w="1754"/>
          </w:tcPr>
          <w:p>
            <w:r/>
            <w:r>
              <w:rPr>
                <w:rFonts w:ascii="Times New Roman" w:hAnsi="Times New Roman"/>
                <w:b w:val="0"/>
                <w:sz w:val="22"/>
              </w:rPr>
              <w:t>Enkel, transparent, bred støtte i litteraturen</w:t>
            </w:r>
          </w:p>
        </w:tc>
        <w:tc>
          <w:tcPr>
            <w:tcW w:type="dxa" w:w="1754"/>
          </w:tcPr>
          <w:p>
            <w:r/>
            <w:r>
              <w:rPr>
                <w:rFonts w:ascii="Times New Roman" w:hAnsi="Times New Roman"/>
                <w:b w:val="0"/>
                <w:sz w:val="22"/>
              </w:rPr>
              <w:t>Ignorerer etterspørselsvariabilitet og kritikalitet</w:t>
            </w:r>
          </w:p>
        </w:tc>
        <w:tc>
          <w:tcPr>
            <w:tcW w:type="dxa" w:w="1754"/>
          </w:tcPr>
          <w:p>
            <w:r/>
            <w:r>
              <w:rPr>
                <w:rFonts w:ascii="Times New Roman" w:hAnsi="Times New Roman"/>
                <w:b w:val="0"/>
                <w:sz w:val="22"/>
              </w:rPr>
              <w:t>Kjent årsverdi per artikkel</w:t>
            </w:r>
          </w:p>
        </w:tc>
        <w:tc>
          <w:tcPr>
            <w:tcW w:type="dxa" w:w="1754"/>
          </w:tcPr>
          <w:p>
            <w:r/>
            <w:r>
              <w:rPr>
                <w:rFonts w:ascii="Times New Roman" w:hAnsi="Times New Roman"/>
                <w:b w:val="0"/>
                <w:sz w:val="22"/>
              </w:rPr>
              <w:t>Silaen et al. (2023)</w:t>
            </w:r>
          </w:p>
        </w:tc>
      </w:tr>
      <w:tr>
        <w:tc>
          <w:tcPr>
            <w:tcW w:type="dxa" w:w="1754"/>
          </w:tcPr>
          <w:p>
            <w:r/>
            <w:r>
              <w:rPr>
                <w:rFonts w:ascii="Times New Roman" w:hAnsi="Times New Roman"/>
                <w:b w:val="0"/>
                <w:sz w:val="22"/>
              </w:rPr>
              <w:t>XYZ-klassifisering</w:t>
            </w:r>
          </w:p>
        </w:tc>
        <w:tc>
          <w:tcPr>
            <w:tcW w:type="dxa" w:w="1754"/>
          </w:tcPr>
          <w:p>
            <w:r/>
            <w:r>
              <w:rPr>
                <w:rFonts w:ascii="Times New Roman" w:hAnsi="Times New Roman"/>
                <w:b w:val="0"/>
                <w:sz w:val="22"/>
              </w:rPr>
              <w:t>Fanger variabilitet i etterspørsel over tid</w:t>
            </w:r>
          </w:p>
        </w:tc>
        <w:tc>
          <w:tcPr>
            <w:tcW w:type="dxa" w:w="1754"/>
          </w:tcPr>
          <w:p>
            <w:r/>
            <w:r>
              <w:rPr>
                <w:rFonts w:ascii="Times New Roman" w:hAnsi="Times New Roman"/>
                <w:b w:val="0"/>
                <w:sz w:val="22"/>
              </w:rPr>
              <w:t>Krever tilstrekkelig transaksjonshistorikk</w:t>
            </w:r>
          </w:p>
        </w:tc>
        <w:tc>
          <w:tcPr>
            <w:tcW w:type="dxa" w:w="1754"/>
          </w:tcPr>
          <w:p>
            <w:r/>
            <w:r>
              <w:rPr>
                <w:rFonts w:ascii="Times New Roman" w:hAnsi="Times New Roman"/>
                <w:b w:val="0"/>
                <w:sz w:val="22"/>
              </w:rPr>
              <w:t>Månedlige forbruksdata tilgjengelig</w:t>
            </w:r>
          </w:p>
        </w:tc>
        <w:tc>
          <w:tcPr>
            <w:tcW w:type="dxa" w:w="1754"/>
          </w:tcPr>
          <w:p>
            <w:r/>
            <w:r>
              <w:rPr>
                <w:rFonts w:ascii="Times New Roman" w:hAnsi="Times New Roman"/>
                <w:b w:val="0"/>
                <w:sz w:val="22"/>
              </w:rPr>
              <w:t>Nowotyńska (2013)</w:t>
            </w:r>
          </w:p>
        </w:tc>
      </w:tr>
      <w:tr>
        <w:tc>
          <w:tcPr>
            <w:tcW w:type="dxa" w:w="1754"/>
          </w:tcPr>
          <w:p>
            <w:r/>
            <w:r>
              <w:rPr>
                <w:rFonts w:ascii="Times New Roman" w:hAnsi="Times New Roman"/>
                <w:b w:val="0"/>
                <w:sz w:val="22"/>
              </w:rPr>
              <w:t>EOQ (Wilson)</w:t>
            </w:r>
          </w:p>
        </w:tc>
        <w:tc>
          <w:tcPr>
            <w:tcW w:type="dxa" w:w="1754"/>
          </w:tcPr>
          <w:p>
            <w:r/>
            <w:r>
              <w:rPr>
                <w:rFonts w:ascii="Times New Roman" w:hAnsi="Times New Roman"/>
                <w:b w:val="0"/>
                <w:sz w:val="22"/>
              </w:rPr>
              <w:t>Analytisk optimal ordrekvantum, kvantifiserbart avvik</w:t>
            </w:r>
          </w:p>
        </w:tc>
        <w:tc>
          <w:tcPr>
            <w:tcW w:type="dxa" w:w="1754"/>
          </w:tcPr>
          <w:p>
            <w:r/>
            <w:r>
              <w:rPr>
                <w:rFonts w:ascii="Times New Roman" w:hAnsi="Times New Roman"/>
                <w:b w:val="0"/>
                <w:sz w:val="22"/>
              </w:rPr>
              <w:t>Sensitiv for S og H; antar konstant etterspørsel</w:t>
            </w:r>
          </w:p>
        </w:tc>
        <w:tc>
          <w:tcPr>
            <w:tcW w:type="dxa" w:w="1754"/>
          </w:tcPr>
          <w:p>
            <w:r/>
            <w:r>
              <w:rPr>
                <w:rFonts w:ascii="Times New Roman" w:hAnsi="Times New Roman"/>
                <w:b w:val="0"/>
                <w:sz w:val="22"/>
              </w:rPr>
              <w:t>Kjent S og H; kontinuerlig etterspørsel</w:t>
            </w:r>
          </w:p>
        </w:tc>
        <w:tc>
          <w:tcPr>
            <w:tcW w:type="dxa" w:w="1754"/>
          </w:tcPr>
          <w:p>
            <w:r/>
            <w:r>
              <w:rPr>
                <w:rFonts w:ascii="Times New Roman" w:hAnsi="Times New Roman"/>
                <w:b w:val="0"/>
                <w:sz w:val="22"/>
              </w:rPr>
              <w:t>Hautaniemi &amp; Pirttilä (1999)</w:t>
            </w:r>
          </w:p>
        </w:tc>
      </w:tr>
      <w:tr>
        <w:tc>
          <w:tcPr>
            <w:tcW w:type="dxa" w:w="1754"/>
          </w:tcPr>
          <w:p>
            <w:r/>
            <w:r>
              <w:rPr>
                <w:rFonts w:ascii="Times New Roman" w:hAnsi="Times New Roman"/>
                <w:b w:val="0"/>
                <w:sz w:val="22"/>
              </w:rPr>
              <w:t>K-means klyngeanalyse</w:t>
            </w:r>
          </w:p>
        </w:tc>
        <w:tc>
          <w:tcPr>
            <w:tcW w:type="dxa" w:w="1754"/>
          </w:tcPr>
          <w:p>
            <w:r/>
            <w:r>
              <w:rPr>
                <w:rFonts w:ascii="Times New Roman" w:hAnsi="Times New Roman"/>
                <w:b w:val="0"/>
                <w:sz w:val="22"/>
              </w:rPr>
              <w:t>Avdekker skjulte mønstre uten forhåndsbestemte grenser</w:t>
            </w:r>
          </w:p>
        </w:tc>
        <w:tc>
          <w:tcPr>
            <w:tcW w:type="dxa" w:w="1754"/>
          </w:tcPr>
          <w:p>
            <w:r/>
            <w:r>
              <w:rPr>
                <w:rFonts w:ascii="Times New Roman" w:hAnsi="Times New Roman"/>
                <w:b w:val="0"/>
                <w:sz w:val="22"/>
              </w:rPr>
              <w:t>Sensitiv for K-valg og initialisering</w:t>
            </w:r>
          </w:p>
        </w:tc>
        <w:tc>
          <w:tcPr>
            <w:tcW w:type="dxa" w:w="1754"/>
          </w:tcPr>
          <w:p>
            <w:r/>
            <w:r>
              <w:rPr>
                <w:rFonts w:ascii="Times New Roman" w:hAnsi="Times New Roman"/>
                <w:b w:val="0"/>
                <w:sz w:val="22"/>
              </w:rPr>
              <w:t>Normaliserte features; euklidsk avstand</w:t>
            </w:r>
          </w:p>
        </w:tc>
        <w:tc>
          <w:tcPr>
            <w:tcW w:type="dxa" w:w="1754"/>
          </w:tcPr>
          <w:p>
            <w:r/>
            <w:r>
              <w:rPr>
                <w:rFonts w:ascii="Times New Roman" w:hAnsi="Times New Roman"/>
                <w:b w:val="0"/>
                <w:sz w:val="22"/>
              </w:rPr>
              <w:t>Srinivasan &amp; Moon (1999)</w:t>
            </w:r>
          </w:p>
        </w:tc>
      </w:tr>
    </w:tbl>
    <w:p>
      <w:pPr>
        <w:pStyle w:val="Overskrift2"/>
      </w:pPr>
      <w:r>
        <w:rPr>
          <w:rFonts w:ascii="Times New Roman" w:hAnsi="Times New Roman"/>
          <w:color w:val="000000"/>
          <w:sz w:val="32"/>
        </w:rPr>
        <w:t>2.7 Konseptuelt rammeverk</w:t>
      </w:r>
    </w:p>
    <w:p>
      <w:pPr>
        <w:spacing w:line="360" w:lineRule="auto"/>
        <w:jc w:val="both"/>
      </w:pPr>
      <w:r>
        <w:rPr>
          <w:rFonts w:ascii="Times New Roman" w:hAnsi="Times New Roman" w:cs="Times New Roman"/>
          <w:sz w:val="24"/>
        </w:rPr>
        <w:t xml:space="preserve">Denne oppgaven opererer innenfor et konseptuelt rammeverk som beskriver en sekvensiell analysemodell fra rådata til beslutningsanbefaling. Modellen kombinerer deterministisk klassifisering (ABC og XYZ) med eksplorativ segmentering (K-means): de regelbaserte metodene produserer reproduserbare klasser ut fra forhåndsdefinerte grenseverdier, mens K-means avdekker datadrevne gruppestrukturer uten forhåndsbestemte grenser. Rammeverket er illustrert i Figur 1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K-means klyngeanalyse er eksplorativ og avdekker datadrevne gruppestrukturer som ikke er forhåndsbestemt av regelgrenser. Regelmotor-trinnet integrerer alle fire dimensjoner til én anbefaling per artikkel: </w:t>
      </w:r>
      <w:r>
        <w:rPr>
          <w:rFonts w:ascii="Times New Roman" w:hAnsi="Times New Roman" w:cs="Times New Roman"/>
          <w:i/>
          <w:sz w:val="24"/>
        </w:rPr>
        <w:t>overfør til HVFS</w:t>
      </w:r>
      <w:r>
        <w:rPr>
          <w:rFonts w:ascii="Times New Roman" w:hAnsi="Times New Roman" w:cs="Times New Roman"/>
          <w:sz w:val="24"/>
        </w:rPr>
        <w:t xml:space="preserve">, </w:t>
      </w:r>
      <w:r>
        <w:rPr>
          <w:rFonts w:ascii="Times New Roman" w:hAnsi="Times New Roman" w:cs="Times New Roman"/>
          <w:i/>
          <w:sz w:val="24"/>
        </w:rPr>
        <w:t>behold lokalt</w:t>
      </w:r>
      <w:r>
        <w:rPr>
          <w:rFonts w:ascii="Times New Roman" w:hAnsi="Times New Roman" w:cs="Times New Roman"/>
          <w:sz w:val="24"/>
        </w:rPr>
        <w:t xml:space="preserve"> eller </w:t>
      </w:r>
      <w:r>
        <w:rPr>
          <w:rFonts w:ascii="Times New Roman" w:hAnsi="Times New Roman" w:cs="Times New Roman"/>
          <w:i/>
          <w:sz w:val="24"/>
        </w:rPr>
        <w:t>krever nærmere vurdering</w:t>
      </w:r>
      <w:r>
        <w:rPr>
          <w:rFonts w:ascii="Times New Roman" w:hAnsi="Times New Roman" w:cs="Times New Roman"/>
          <w:sz w:val="24"/>
        </w:rPr>
        <w:t>. Estimert besparelse beregnes som summen av EOQ-kostnadsavvik for HVFS-anbefalte artikler, justert for gevinstrealiseringsgrad.</w:t>
      </w:r>
    </w:p>
    <w:p>
      <w:r>
        <w:drawing>
          <wp:inline xmlns:a="http://schemas.openxmlformats.org/drawingml/2006/main" xmlns:pic="http://schemas.openxmlformats.org/drawingml/2006/picture">
            <wp:extent cx="5400000" cy="1615574"/>
            <wp:docPr id="4" name="Picture 4"/>
            <wp:cNvGraphicFramePr>
              <a:graphicFrameLocks noChangeAspect="1"/>
            </wp:cNvGraphicFramePr>
            <a:graphic>
              <a:graphicData uri="http://schemas.openxmlformats.org/drawingml/2006/picture">
                <pic:pic>
                  <pic:nvPicPr>
                    <pic:cNvPr id="0" name="Fig00_Konseptuelt_Rammeverk.png"/>
                    <pic:cNvPicPr/>
                  </pic:nvPicPr>
                  <pic:blipFill>
                    <a:blip r:embed="rId22"/>
                    <a:stretch>
                      <a:fillRect/>
                    </a:stretch>
                  </pic:blipFill>
                  <pic:spPr>
                    <a:xfrm>
                      <a:off x="0" y="0"/>
                      <a:ext cx="5400000" cy="1615574"/>
                    </a:xfrm>
                    <a:prstGeom prst="rect"/>
                  </pic:spPr>
                </pic:pic>
              </a:graphicData>
            </a:graphic>
          </wp:inline>
        </w:drawing>
      </w:r>
    </w:p>
    <w:p>
      <w:pPr>
        <w:jc w:val="center"/>
      </w:pPr>
      <w:r>
        <w:rPr>
          <w:rFonts w:ascii="Times New Roman" w:hAnsi="Times New Roman"/>
          <w:i/>
          <w:sz w:val="20"/>
        </w:rPr>
        <w:t>Figur 1. Konseptuelt rammeverk – fra SAP-data til HVFS-anbefaling. Generert med støtte fra Claude.</w:t>
      </w:r>
    </w:p>
    <w:p>
      <w:pPr>
        <w:spacing w:line="360" w:lineRule="auto"/>
        <w:jc w:val="both"/>
      </w:pPr>
      <w:r>
        <w:rPr>
          <w:rFonts w:ascii="Times New Roman" w:hAnsi="Times New Roman" w:cs="Times New Roman"/>
          <w:sz w:val="24"/>
        </w:rPr>
        <w:t>Den detaljerte matematiske formuleringen av alle modellkomponenter – parameterdefinisjonene, formlene og grenseverdiene – presenteres i kapittel 5. Rammeverket anvendes på en konkret sykehuskontekst som beskrives i neste kapittel.</w:t>
      </w:r>
    </w:p>
    <w:p>
      <w:pPr>
        <w:pStyle w:val="Overskrift1"/>
        <w:pageBreakBefore w:val="true"/>
      </w:pPr>
      <w:r>
        <w:rPr>
          <w:rFonts w:ascii="Times New Roman" w:hAnsi="Times New Roman"/>
          <w:color w:val="000000"/>
          <w:sz w:val="36"/>
        </w:rPr>
        <w:t>Kapittel 3 – Casebeskrivelse</w:t>
      </w:r>
    </w:p>
    <w:p>
      <w:pPr>
        <w:pStyle w:val="Overskrift2"/>
      </w:pPr>
      <w:r>
        <w:rPr>
          <w:rFonts w:ascii="Times New Roman" w:hAnsi="Times New Roman"/>
          <w:color w:val="000000"/>
          <w:sz w:val="32"/>
        </w:rPr>
        <w:t>3.1 Helse Bergen og Helse Vest</w:t>
      </w:r>
    </w:p>
    <w:p>
      <w:pPr>
        <w:spacing w:line="360" w:lineRule="auto"/>
        <w:jc w:val="both"/>
      </w:pPr>
      <w:r>
        <w:rPr>
          <w:rFonts w:ascii="Times New Roman" w:hAnsi="Times New Roman" w:cs="Times New Roman"/>
          <w:sz w:val="24"/>
        </w:rPr>
        <w:t>Helse Bergen HF er det største helseforetaket i Helse Vest RHF og drifter Haukeland Universitetssykehus med ansvar for spesialisthelsetjenester til om lag 460 000 innbyggere. Helse Vest koordinerer fire helseforetak (Bergen, Stavanger, Fonna, Førde), og en regionalt harmonisert tilnærming til materialforvaltning har fått økt prioritet for å oppnå stordriftsfordeler.</w:t>
      </w:r>
    </w:p>
    <w:p>
      <w:pPr>
        <w:spacing w:line="360" w:lineRule="auto"/>
        <w:jc w:val="both"/>
      </w:pPr>
      <w:r>
        <w:rPr>
          <w:rFonts w:ascii="Times New Roman" w:hAnsi="Times New Roman" w:cs="Times New Roman"/>
          <w:sz w:val="24"/>
        </w:rPr>
        <w:t>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2. Tabell 3 oppsummerer nøkkeltallene for casevirksomheten.</w:t>
      </w:r>
    </w:p>
    <w:p>
      <w:r>
        <w:rPr>
          <w:rFonts w:ascii="Times New Roman" w:hAnsi="Times New Roman"/>
          <w:b/>
          <w:sz w:val="20"/>
        </w:rPr>
        <w:t>Tabell 3</w:t>
      </w:r>
    </w:p>
    <w:p>
      <w:r>
        <w:rPr>
          <w:rFonts w:ascii="Times New Roman" w:hAnsi="Times New Roman"/>
          <w:i/>
          <w:sz w:val="20"/>
        </w:rPr>
        <w:t>Nøkkeltall for casevirksomheten Helse Bergen, WERKS 3300</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Nøkkeltall</w:t>
            </w:r>
          </w:p>
        </w:tc>
        <w:tc>
          <w:tcPr>
            <w:tcW w:type="dxa" w:w="2923"/>
            <w:tcBorders>
              <w:top w:val="single" w:sz="8" w:space="0" w:color="000000"/>
              <w:bottom w:val="single" w:sz="4" w:space="0" w:color="000000"/>
              <w:left w:val="nil"/>
              <w:right w:val="nil"/>
            </w:tcBorders>
          </w:tcPr>
          <w:p>
            <w:r/>
            <w:r>
              <w:rPr>
                <w:rFonts w:ascii="Times New Roman" w:hAnsi="Times New Roman"/>
                <w:b/>
                <w:sz w:val="22"/>
              </w:rPr>
              <w:t>Verdi</w:t>
            </w:r>
          </w:p>
        </w:tc>
        <w:tc>
          <w:tcPr>
            <w:tcW w:type="dxa" w:w="2923"/>
            <w:tcBorders>
              <w:top w:val="single" w:sz="8" w:space="0" w:color="000000"/>
              <w:bottom w:val="single" w:sz="4" w:space="0" w:color="000000"/>
              <w:left w:val="nil"/>
              <w:right w:val="nil"/>
            </w:tcBorders>
          </w:tcPr>
          <w:p>
            <w:r/>
            <w:r>
              <w:rPr>
                <w:rFonts w:ascii="Times New Roman" w:hAnsi="Times New Roman"/>
                <w:b/>
                <w:sz w:val="22"/>
              </w:rPr>
              <w:t>Kilde</w:t>
            </w:r>
          </w:p>
        </w:tc>
      </w:tr>
      <w:tr>
        <w:tc>
          <w:tcPr>
            <w:tcW w:type="dxa" w:w="2923"/>
          </w:tcPr>
          <w:p>
            <w:r/>
            <w:r>
              <w:rPr>
                <w:rFonts w:ascii="Times New Roman" w:hAnsi="Times New Roman"/>
                <w:b w:val="0"/>
                <w:sz w:val="22"/>
              </w:rPr>
              <w:t>Helseforetak</w:t>
            </w:r>
          </w:p>
        </w:tc>
        <w:tc>
          <w:tcPr>
            <w:tcW w:type="dxa" w:w="2923"/>
          </w:tcPr>
          <w:p>
            <w:r/>
            <w:r>
              <w:rPr>
                <w:rFonts w:ascii="Times New Roman" w:hAnsi="Times New Roman"/>
                <w:b w:val="0"/>
                <w:sz w:val="22"/>
              </w:rPr>
              <w:t>Helse Bergen HF</w:t>
            </w:r>
          </w:p>
        </w:tc>
        <w:tc>
          <w:tcPr>
            <w:tcW w:type="dxa" w:w="2923"/>
          </w:tcPr>
          <w:p>
            <w:r/>
            <w:r>
              <w:rPr>
                <w:rFonts w:ascii="Times New Roman" w:hAnsi="Times New Roman"/>
                <w:b w:val="0"/>
                <w:sz w:val="22"/>
              </w:rPr>
              <w:t>Helse Vest RHF</w:t>
            </w:r>
          </w:p>
        </w:tc>
      </w:tr>
      <w:tr>
        <w:tc>
          <w:tcPr>
            <w:tcW w:type="dxa" w:w="2923"/>
          </w:tcPr>
          <w:p>
            <w:r/>
            <w:r>
              <w:rPr>
                <w:rFonts w:ascii="Times New Roman" w:hAnsi="Times New Roman"/>
                <w:b w:val="0"/>
                <w:sz w:val="22"/>
              </w:rPr>
              <w:t>SAP-anlegg (WERKS)</w:t>
            </w:r>
          </w:p>
        </w:tc>
        <w:tc>
          <w:tcPr>
            <w:tcW w:type="dxa" w:w="2923"/>
          </w:tcPr>
          <w:p>
            <w:r/>
            <w:r>
              <w:rPr>
                <w:rFonts w:ascii="Times New Roman" w:hAnsi="Times New Roman"/>
                <w:b w:val="0"/>
                <w:sz w:val="22"/>
              </w:rPr>
              <w:t>3300</w:t>
            </w:r>
          </w:p>
        </w:tc>
        <w:tc>
          <w:tcPr>
            <w:tcW w:type="dxa" w:w="2923"/>
          </w:tcPr>
          <w:p>
            <w:r/>
            <w:r>
              <w:rPr>
                <w:rFonts w:ascii="Times New Roman" w:hAnsi="Times New Roman"/>
                <w:b w:val="0"/>
                <w:sz w:val="22"/>
              </w:rPr>
              <w:t>SAP S/4HANA</w:t>
            </w:r>
          </w:p>
        </w:tc>
      </w:tr>
      <w:tr>
        <w:tc>
          <w:tcPr>
            <w:tcW w:type="dxa" w:w="2923"/>
          </w:tcPr>
          <w:p>
            <w:r/>
            <w:r>
              <w:rPr>
                <w:rFonts w:ascii="Times New Roman" w:hAnsi="Times New Roman"/>
                <w:b w:val="0"/>
                <w:sz w:val="22"/>
              </w:rPr>
              <w:t>Lagersted (LGORT)</w:t>
            </w:r>
          </w:p>
        </w:tc>
        <w:tc>
          <w:tcPr>
            <w:tcW w:type="dxa" w:w="2923"/>
          </w:tcPr>
          <w:p>
            <w:r/>
            <w:r>
              <w:rPr>
                <w:rFonts w:ascii="Times New Roman" w:hAnsi="Times New Roman"/>
                <w:b w:val="0"/>
                <w:sz w:val="22"/>
              </w:rPr>
              <w:t>3001</w:t>
            </w:r>
          </w:p>
        </w:tc>
        <w:tc>
          <w:tcPr>
            <w:tcW w:type="dxa" w:w="2923"/>
          </w:tcPr>
          <w:p>
            <w:r/>
            <w:r>
              <w:rPr>
                <w:rFonts w:ascii="Times New Roman" w:hAnsi="Times New Roman"/>
                <w:b w:val="0"/>
                <w:sz w:val="22"/>
              </w:rPr>
              <w:t>SAP S/4HANA</w:t>
            </w:r>
          </w:p>
        </w:tc>
      </w:tr>
      <w:tr>
        <w:tc>
          <w:tcPr>
            <w:tcW w:type="dxa" w:w="2923"/>
          </w:tcPr>
          <w:p>
            <w:r/>
            <w:r>
              <w:rPr>
                <w:rFonts w:ascii="Times New Roman" w:hAnsi="Times New Roman"/>
                <w:b w:val="0"/>
                <w:sz w:val="22"/>
              </w:rPr>
              <w:t>Antall aktive artikler</w:t>
            </w:r>
          </w:p>
        </w:tc>
        <w:tc>
          <w:tcPr>
            <w:tcW w:type="dxa" w:w="2923"/>
          </w:tcPr>
          <w:p>
            <w:r/>
            <w:r>
              <w:rPr>
                <w:rFonts w:ascii="Times New Roman" w:hAnsi="Times New Roman"/>
                <w:b w:val="0"/>
                <w:sz w:val="22"/>
              </w:rPr>
              <w:t>709</w:t>
            </w:r>
          </w:p>
        </w:tc>
        <w:tc>
          <w:tcPr>
            <w:tcW w:type="dxa" w:w="2923"/>
          </w:tcPr>
          <w:p>
            <w:r/>
            <w:r>
              <w:rPr>
                <w:rFonts w:ascii="Times New Roman" w:hAnsi="Times New Roman"/>
                <w:b w:val="0"/>
                <w:sz w:val="22"/>
              </w:rPr>
              <w:t>MASTERFILE_V1.xlsx (D-01)</w:t>
            </w:r>
          </w:p>
        </w:tc>
      </w:tr>
      <w:tr>
        <w:tc>
          <w:tcPr>
            <w:tcW w:type="dxa" w:w="2923"/>
          </w:tcPr>
          <w:p>
            <w:r/>
            <w:r>
              <w:rPr>
                <w:rFonts w:ascii="Times New Roman" w:hAnsi="Times New Roman"/>
                <w:b w:val="0"/>
                <w:sz w:val="22"/>
              </w:rPr>
              <w:t>Analyseperiode</w:t>
            </w:r>
          </w:p>
        </w:tc>
        <w:tc>
          <w:tcPr>
            <w:tcW w:type="dxa" w:w="2923"/>
          </w:tcPr>
          <w:p>
            <w:r/>
            <w:r>
              <w:rPr>
                <w:rFonts w:ascii="Times New Roman" w:hAnsi="Times New Roman"/>
                <w:b w:val="0"/>
                <w:sz w:val="22"/>
              </w:rPr>
              <w:t>Januar 2024 – desember 2025 (24 mnd)</w:t>
            </w:r>
          </w:p>
        </w:tc>
        <w:tc>
          <w:tcPr>
            <w:tcW w:type="dxa" w:w="2923"/>
          </w:tcPr>
          <w:p>
            <w:r/>
            <w:r>
              <w:rPr>
                <w:rFonts w:ascii="Times New Roman" w:hAnsi="Times New Roman"/>
                <w:b w:val="0"/>
                <w:sz w:val="22"/>
              </w:rPr>
              <w:t>SAP SE16H</w:t>
            </w:r>
          </w:p>
        </w:tc>
      </w:tr>
      <w:tr>
        <w:tc>
          <w:tcPr>
            <w:tcW w:type="dxa" w:w="2923"/>
          </w:tcPr>
          <w:p>
            <w:r/>
            <w:r>
              <w:rPr>
                <w:rFonts w:ascii="Times New Roman" w:hAnsi="Times New Roman"/>
                <w:b w:val="0"/>
                <w:sz w:val="22"/>
              </w:rPr>
              <w:t>Antall SAP-kildetabeller</w:t>
            </w:r>
          </w:p>
        </w:tc>
        <w:tc>
          <w:tcPr>
            <w:tcW w:type="dxa" w:w="2923"/>
          </w:tcPr>
          <w:p>
            <w:r/>
            <w:r>
              <w:rPr>
                <w:rFonts w:ascii="Times New Roman" w:hAnsi="Times New Roman"/>
                <w:b w:val="0"/>
                <w:sz w:val="22"/>
              </w:rPr>
              <w:t>14</w:t>
            </w:r>
          </w:p>
        </w:tc>
        <w:tc>
          <w:tcPr>
            <w:tcW w:type="dxa" w:w="2923"/>
          </w:tcPr>
          <w:p>
            <w:r/>
            <w:r>
              <w:rPr>
                <w:rFonts w:ascii="Times New Roman" w:hAnsi="Times New Roman"/>
                <w:b w:val="0"/>
                <w:sz w:val="22"/>
              </w:rPr>
              <w:t>Dataspesifikasjon (Vedlegg A)</w:t>
            </w:r>
          </w:p>
        </w:tc>
      </w:tr>
      <w:tr>
        <w:tc>
          <w:tcPr>
            <w:tcW w:type="dxa" w:w="2923"/>
          </w:tcPr>
          <w:p>
            <w:r/>
            <w:r>
              <w:rPr>
                <w:rFonts w:ascii="Times New Roman" w:hAnsi="Times New Roman"/>
                <w:b w:val="0"/>
                <w:sz w:val="22"/>
              </w:rPr>
              <w:t>ERP-system</w:t>
            </w:r>
          </w:p>
        </w:tc>
        <w:tc>
          <w:tcPr>
            <w:tcW w:type="dxa" w:w="2923"/>
          </w:tcPr>
          <w:p>
            <w:r/>
            <w:r>
              <w:rPr>
                <w:rFonts w:ascii="Times New Roman" w:hAnsi="Times New Roman"/>
                <w:b w:val="0"/>
                <w:sz w:val="22"/>
              </w:rPr>
              <w:t>SAP S/4HANA (LIBRA-prosjektet)</w:t>
            </w:r>
          </w:p>
        </w:tc>
        <w:tc>
          <w:tcPr>
            <w:tcW w:type="dxa" w:w="2923"/>
          </w:tcPr>
          <w:p>
            <w:r/>
            <w:r>
              <w:rPr>
                <w:rFonts w:ascii="Times New Roman" w:hAnsi="Times New Roman"/>
                <w:b w:val="0"/>
                <w:sz w:val="22"/>
              </w:rPr>
              <w:t>Helse Vest IKT</w:t>
            </w:r>
          </w:p>
        </w:tc>
      </w:tr>
      <w:tr>
        <w:tc>
          <w:tcPr>
            <w:tcW w:type="dxa" w:w="2923"/>
          </w:tcPr>
          <w:p>
            <w:r/>
            <w:r>
              <w:rPr>
                <w:rFonts w:ascii="Times New Roman" w:hAnsi="Times New Roman"/>
                <w:b w:val="0"/>
                <w:sz w:val="22"/>
              </w:rPr>
              <w:t>Regionalt sentrallager</w:t>
            </w:r>
          </w:p>
        </w:tc>
        <w:tc>
          <w:tcPr>
            <w:tcW w:type="dxa" w:w="2923"/>
          </w:tcPr>
          <w:p>
            <w:r/>
            <w:r>
              <w:rPr>
                <w:rFonts w:ascii="Times New Roman" w:hAnsi="Times New Roman"/>
                <w:b w:val="0"/>
                <w:sz w:val="22"/>
              </w:rPr>
              <w:t>HVFS (Helse Vest Forsyningssenter)</w:t>
            </w:r>
          </w:p>
        </w:tc>
        <w:tc>
          <w:tcPr>
            <w:tcW w:type="dxa" w:w="2923"/>
          </w:tcPr>
          <w:p>
            <w:r/>
            <w:r>
              <w:rPr>
                <w:rFonts w:ascii="Times New Roman" w:hAnsi="Times New Roman"/>
                <w:b w:val="0"/>
                <w:sz w:val="22"/>
              </w:rPr>
              <w:t>Helse Vest RHF (2024)</w:t>
            </w:r>
          </w:p>
        </w:tc>
      </w:tr>
      <w:tr>
        <w:tc>
          <w:tcPr>
            <w:tcW w:type="dxa" w:w="2923"/>
          </w:tcPr>
          <w:p>
            <w:r/>
            <w:r>
              <w:rPr>
                <w:rFonts w:ascii="Times New Roman" w:hAnsi="Times New Roman"/>
                <w:b w:val="0"/>
                <w:sz w:val="22"/>
              </w:rPr>
              <w:t>APL-operatør</w:t>
            </w:r>
          </w:p>
        </w:tc>
        <w:tc>
          <w:tcPr>
            <w:tcW w:type="dxa" w:w="2923"/>
          </w:tcPr>
          <w:p>
            <w:r/>
            <w:r>
              <w:rPr>
                <w:rFonts w:ascii="Times New Roman" w:hAnsi="Times New Roman"/>
                <w:b w:val="0"/>
                <w:sz w:val="22"/>
              </w:rPr>
              <w:t>NorEngros</w:t>
            </w:r>
          </w:p>
        </w:tc>
        <w:tc>
          <w:tcPr>
            <w:tcW w:type="dxa" w:w="2923"/>
          </w:tcPr>
          <w:p>
            <w:r/>
            <w:r>
              <w:rPr>
                <w:rFonts w:ascii="Times New Roman" w:hAnsi="Times New Roman"/>
                <w:b w:val="0"/>
                <w:sz w:val="22"/>
              </w:rPr>
              <w:t>Helse Vest RHF (2024)</w:t>
            </w:r>
          </w:p>
        </w:tc>
      </w:tr>
      <w:tr>
        <w:tc>
          <w:tcPr>
            <w:tcW w:type="dxa" w:w="2923"/>
          </w:tcPr>
          <w:p>
            <w:r/>
            <w:r>
              <w:rPr>
                <w:rFonts w:ascii="Times New Roman" w:hAnsi="Times New Roman"/>
                <w:b w:val="0"/>
                <w:sz w:val="22"/>
              </w:rPr>
              <w:t>Innkjøpsgruppe</w:t>
            </w:r>
          </w:p>
        </w:tc>
        <w:tc>
          <w:tcPr>
            <w:tcW w:type="dxa" w:w="2923"/>
          </w:tcPr>
          <w:p>
            <w:r/>
            <w:r>
              <w:rPr>
                <w:rFonts w:ascii="Times New Roman" w:hAnsi="Times New Roman"/>
                <w:b w:val="0"/>
                <w:sz w:val="22"/>
              </w:rPr>
              <w:t>300 / 3000</w:t>
            </w:r>
          </w:p>
        </w:tc>
        <w:tc>
          <w:tcPr>
            <w:tcW w:type="dxa" w:w="2923"/>
          </w:tcPr>
          <w:p>
            <w:r/>
            <w:r>
              <w:rPr>
                <w:rFonts w:ascii="Times New Roman" w:hAnsi="Times New Roman"/>
                <w:b w:val="0"/>
                <w:sz w:val="22"/>
              </w:rPr>
              <w:t>SAP MM</w:t>
            </w:r>
          </w:p>
        </w:tc>
      </w:tr>
      <w:tr>
        <w:tc>
          <w:tcPr>
            <w:tcW w:type="dxa" w:w="2923"/>
          </w:tcPr>
          <w:p>
            <w:r/>
            <w:r>
              <w:rPr>
                <w:rFonts w:ascii="Times New Roman" w:hAnsi="Times New Roman"/>
                <w:b w:val="0"/>
                <w:sz w:val="22"/>
              </w:rPr>
              <w:t>Bestillingstype</w:t>
            </w:r>
          </w:p>
        </w:tc>
        <w:tc>
          <w:tcPr>
            <w:tcW w:type="dxa" w:w="2923"/>
          </w:tcPr>
          <w:p>
            <w:r/>
            <w:r>
              <w:rPr>
                <w:rFonts w:ascii="Times New Roman" w:hAnsi="Times New Roman"/>
                <w:b w:val="0"/>
                <w:sz w:val="22"/>
              </w:rPr>
              <w:t>ZNB (lokal bestillingstype)</w:t>
            </w:r>
          </w:p>
        </w:tc>
        <w:tc>
          <w:tcPr>
            <w:tcW w:type="dxa" w:w="2923"/>
          </w:tcPr>
          <w:p>
            <w:r/>
            <w:r>
              <w:rPr>
                <w:rFonts w:ascii="Times New Roman" w:hAnsi="Times New Roman"/>
                <w:b w:val="0"/>
                <w:sz w:val="22"/>
              </w:rPr>
              <w:t>SAP MM</w:t>
            </w:r>
          </w:p>
        </w:tc>
      </w:tr>
    </w:tbl>
    <w:p>
      <w:r>
        <w:drawing>
          <wp:inline xmlns:a="http://schemas.openxmlformats.org/drawingml/2006/main" xmlns:pic="http://schemas.openxmlformats.org/drawingml/2006/picture">
            <wp:extent cx="5400000" cy="2680986"/>
            <wp:docPr id="5" name="Picture 5"/>
            <wp:cNvGraphicFramePr>
              <a:graphicFrameLocks noChangeAspect="1"/>
            </wp:cNvGraphicFramePr>
            <a:graphic>
              <a:graphicData uri="http://schemas.openxmlformats.org/drawingml/2006/picture">
                <pic:pic>
                  <pic:nvPicPr>
                    <pic:cNvPr id="0" name="Fig01_Lagerstruktur.png"/>
                    <pic:cNvPicPr/>
                  </pic:nvPicPr>
                  <pic:blipFill>
                    <a:blip r:embed="rId23"/>
                    <a:stretch>
                      <a:fillRect/>
                    </a:stretch>
                  </pic:blipFill>
                  <pic:spPr>
                    <a:xfrm>
                      <a:off x="0" y="0"/>
                      <a:ext cx="5400000" cy="2680986"/>
                    </a:xfrm>
                    <a:prstGeom prst="rect"/>
                  </pic:spPr>
                </pic:pic>
              </a:graphicData>
            </a:graphic>
          </wp:inline>
        </w:drawing>
      </w:r>
    </w:p>
    <w:p>
      <w:pPr>
        <w:jc w:val="center"/>
      </w:pPr>
      <w:r>
        <w:rPr>
          <w:rFonts w:ascii="Times New Roman" w:hAnsi="Times New Roman"/>
          <w:i/>
          <w:sz w:val="20"/>
        </w:rPr>
        <w:t>Figur 2. Lagerstruktur – Helse Vest forsyningskjede (forenklet). Generert med støtte fra Claude.</w:t>
      </w:r>
    </w:p>
    <w:p>
      <w:pPr>
        <w:pStyle w:val="Overskrift2"/>
      </w:pPr>
      <w:r>
        <w:rPr>
          <w:rFonts w:ascii="Times New Roman" w:hAnsi="Times New Roman"/>
          <w:color w:val="000000"/>
          <w:sz w:val="32"/>
        </w:rPr>
        <w:t>3.2 HVFS og LIBRA-prosjektet</w:t>
      </w:r>
    </w:p>
    <w:p>
      <w:pPr>
        <w:spacing w:line="360" w:lineRule="auto"/>
        <w:jc w:val="both"/>
      </w:pPr>
      <w:r>
        <w:rPr>
          <w:rFonts w:ascii="Times New Roman" w:hAnsi="Times New Roman" w:cs="Times New Roman"/>
          <w:sz w:val="24"/>
        </w:rPr>
        <w:t>Helse Vest Forsyningssenter (HVFS) er under etablering som et regionalt sentrallager for medisinsk forbruksmateriell for samtlige helseforetak i Helse Vest. NorEngros vant offentlig anbudskonkurranse som operatør og har ansvar for den fysiske lagerdriften ved HVFS (Helse Vest RHF, 2024). HVFS er konsipiert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mer robust forsyningssikkerhet regionalt.</w:t>
      </w:r>
    </w:p>
    <w:p>
      <w:pPr>
        <w:spacing w:line="360" w:lineRule="auto"/>
        <w:jc w:val="both"/>
      </w:pPr>
      <w:r>
        <w:rPr>
          <w:rFonts w:ascii="Times New Roman" w:hAnsi="Times New Roman" w:cs="Times New Roman"/>
          <w:sz w:val="24"/>
        </w:rPr>
        <w:t>Et sentralt element i HVFS-konseptet er avdelingspakkede leveranser (APL) – ferdigpakkede leveranser direkte til avdeling uten mellomlagring. APL forutsetter stabil og forutsigbar etterspørsel, noe som gjør forbruksmønsterets stabilitet (XYZ-dimensjonen) til et relevant klassifiseringskriterium for HVFS-egnethet. APL-modellen er planlagt implementert frem mot 2029.</w:t>
      </w:r>
    </w:p>
    <w:p>
      <w:pPr>
        <w:spacing w:line="360" w:lineRule="auto"/>
        <w:jc w:val="both"/>
      </w:pPr>
      <w:r>
        <w:rPr>
          <w:rFonts w:ascii="Times New Roman" w:hAnsi="Times New Roman" w:cs="Times New Roman"/>
          <w:sz w:val="24"/>
        </w:rPr>
        <w:t>LIBRA-prosjektet er Helse Vest IKTs regionale program for implementering og harmonisering av SAP S/4HANA på tvers av alle helseforetak i Helse Vest. LIBRA legger det tekniske grunnlaget for at data fra ulike foretak kan sammenlignes og analyseres på tvers – en forutsetning for at HVFS-klassifisering skal ha overføringsverdi fra Helse Bergen til de øvrige foretakene. Fragapane et al. (2019) understreker at sentraliserte leveringsmodeller som APL krever et systematisk klassifiseringsgrunnlag for å skille mellom artikler som egner seg for sentralisering og artikler som bør forbli lokalt tilgjengelig.</w:t>
      </w:r>
    </w:p>
    <w:p>
      <w:pPr>
        <w:pStyle w:val="Overskrift2"/>
      </w:pPr>
      <w:r>
        <w:rPr>
          <w:rFonts w:ascii="Times New Roman" w:hAnsi="Times New Roman"/>
          <w:color w:val="000000"/>
          <w:sz w:val="32"/>
        </w:rPr>
        <w:t>3.3 Problemkontekst og datagrunnlag</w:t>
      </w:r>
    </w:p>
    <w:p>
      <w:pPr>
        <w:spacing w:line="360" w:lineRule="auto"/>
        <w:jc w:val="both"/>
      </w:pPr>
      <w:r>
        <w:rPr>
          <w:rFonts w:ascii="Times New Roman" w:hAnsi="Times New Roman" w:cs="Times New Roman"/>
          <w:sz w:val="24"/>
        </w:rPr>
        <w:t>Helse Bergens forsyningslager mangler i dag et systematisk, datadrevet grunnlag for å avgjøre hvilke av lagerets artikler som er aktuelle for overføring til HVFS. Beslutningene om sortimentstilhørighet treffes i stor grad basert på erfaring og skjønn, uten en strukturert analyse av verdi, forbruksmønster eller kostnadseffektiviteten ved nåværende bestillingspraksis.</w:t>
      </w:r>
    </w:p>
    <w:p>
      <w:pPr>
        <w:spacing w:line="360" w:lineRule="auto"/>
        <w:jc w:val="both"/>
      </w:pPr>
      <w:r>
        <w:rPr>
          <w:rFonts w:ascii="Times New Roman" w:hAnsi="Times New Roman" w:cs="Times New Roman"/>
          <w:sz w:val="24"/>
        </w:rPr>
        <w:t>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pPr>
        <w:spacing w:line="360" w:lineRule="auto"/>
        <w:jc w:val="both"/>
      </w:pPr>
      <w:r>
        <w:rPr>
          <w:rFonts w:ascii="Times New Roman" w:hAnsi="Times New Roman" w:cs="Times New Roman"/>
          <w:sz w:val="24"/>
        </w:rPr>
        <w:t>Datagrunnlaget for analysen er hentet fra 14 SAP-tabeller via transaksjonen SE16H i SAP S/4HANA ved Helse Bergen, for perioden 2024–2025 (se Tabell 4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EINE og T023T – bidrar med leveringstidsdata og varegruppenavn. Det er en viktig funksjonell distinksjon at forbruksdata (MSEG) og innkjøpsdata (EKKO/EKPO/EKBE) representerer henholdsvis vareflyt ut av og inn til lager, og benyttes til ulike analysedimensjoner.</w:t>
      </w:r>
    </w:p>
    <w:p>
      <w:pPr>
        <w:spacing w:line="360" w:lineRule="auto"/>
        <w:jc w:val="both"/>
      </w:pPr>
      <w:r>
        <w:rPr>
          <w:rFonts w:ascii="Times New Roman" w:hAnsi="Times New Roman" w:cs="Times New Roman"/>
          <w:sz w:val="24"/>
        </w:rPr>
        <w:t>Datapipelinen fra råuttrekk til analyseresultat er illustrert i Figur 4 (avsnitt 4.3).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annualisert forbruk og enhetspris. Disse og øvrige datakvalitetsbeslutninger er dokumentert i kapittel 4. Datagrunnlaget og problemkonteksten som er beskrevet i dette kapittelet danner utgangspunktet for de metodiske valgene som presenteres i neste kapittel.</w:t>
      </w:r>
    </w:p>
    <w:p>
      <w:pPr>
        <w:pStyle w:val="Overskrift1"/>
        <w:pageBreakBefore w:val="true"/>
      </w:pPr>
      <w:r>
        <w:rPr>
          <w:rFonts w:ascii="Times New Roman" w:hAnsi="Times New Roman"/>
          <w:color w:val="000000"/>
          <w:sz w:val="36"/>
        </w:rPr>
        <w:t>Kapittel 4 – Metode og data</w:t>
      </w:r>
    </w:p>
    <w:p>
      <w:pPr>
        <w:pStyle w:val="Overskrift2"/>
      </w:pPr>
      <w:r>
        <w:rPr>
          <w:rFonts w:ascii="Times New Roman" w:hAnsi="Times New Roman"/>
          <w:color w:val="000000"/>
          <w:sz w:val="32"/>
        </w:rPr>
        <w:t>4.1 Forskningsdesign</w:t>
      </w:r>
    </w:p>
    <w:p>
      <w:pPr>
        <w:spacing w:line="360" w:lineRule="auto"/>
        <w:jc w:val="both"/>
      </w:pPr>
      <w:r>
        <w:rPr>
          <w:rFonts w:ascii="Times New Roman" w:hAnsi="Times New Roman" w:cs="Times New Roman"/>
          <w:sz w:val="24"/>
        </w:rPr>
        <w:t>Denne studien er utformet som en kvantitativ casestudie med deskriptiv, eksplorativ og normativ komponent. Det deskriptive elementet omfatter ABC/XYZ-klassifisering av eksisterende forbruksmønstre; det eksplorative omfatter K-means klyngeanalyse for mønstergjenkjenning; og det normative omfatter regelmotoren og besparelsesformelen som genererer handlingsanbefalinger. Casestudiedesignet egner seg fordi problemstillingen er avgrenset til én operativ kontekst – Helse Bergens forsyningslager WERKS 3300, LGORT 3001 – og fordi målet er å generere handlingsrettede anbefalinger basert på de operasjonelle dataene som faktisk eksisterer i dette systemet.</w:t>
      </w:r>
    </w:p>
    <w:p>
      <w:pPr>
        <w:spacing w:line="360" w:lineRule="auto"/>
        <w:jc w:val="both"/>
      </w:pPr>
      <w:r>
        <w:rPr>
          <w:rFonts w:ascii="Times New Roman" w:hAnsi="Times New Roman" w:cs="Times New Roman"/>
          <w:sz w:val="24"/>
        </w:rPr>
        <w:t>Studien er rent kvantitativ – det benyttes ingen spørreundersøkelser, intervjuer eller deltakerobservasjon. Alle analyser er basert på operasjonelle ERP-data fra SAP S/4HANA, som er automatisk registrert og i vesentlig grad fri fra selvrapporteringsfeil, men som kan inneholde registreringsfeil og uregistrerte uttakstyper (Saha &amp; Ray, 2019; jf. diskusjon i avsnitt 8.2). Datauttrekket ble gjennomført av forfatteren i januar 2026, med lesetilgang gjennom rollen som SAP MM-konsulent ved Helse Vest IKT. Analyseenheten er den individuelle lagerartikkelen (SKU), og populasjonen er de 709 aktive artiklene i LGORT 3001 per analyseperioden 2024–2025.</w:t>
      </w:r>
    </w:p>
    <w:p>
      <w:pPr>
        <w:spacing w:line="360" w:lineRule="auto"/>
        <w:jc w:val="both"/>
      </w:pPr>
      <w:r>
        <w:rPr>
          <w:rFonts w:ascii="Times New Roman" w:hAnsi="Times New Roman" w:cs="Times New Roman"/>
          <w:sz w:val="24"/>
        </w:rPr>
        <w:t>Studien er deskriptiv-analytisk: den klassifiserer eksisterende artikler og kombinerer resultatene i en regelbasert beslutningsmodell (van Kampen et al., 2012). Generaliserbarhet er begrenset til sammenlignbare sykehuslagre med SAP-infrastruktur; studien gir et reproduserbart metoderammeverk som kan tilpasses andre WERKS-enheter innenfor Helse Vest.</w:t>
      </w:r>
    </w:p>
    <w:p>
      <w:pPr>
        <w:pStyle w:val="Overskrift2"/>
      </w:pPr>
      <w:r>
        <w:rPr>
          <w:rFonts w:ascii="Times New Roman" w:hAnsi="Times New Roman"/>
          <w:color w:val="000000"/>
          <w:sz w:val="32"/>
        </w:rPr>
        <w:t>4.2 Datainnsamling</w:t>
      </w:r>
    </w:p>
    <w:p>
      <w:pPr>
        <w:spacing w:line="360" w:lineRule="auto"/>
        <w:jc w:val="both"/>
      </w:pPr>
      <w:r>
        <w:rPr>
          <w:rFonts w:ascii="Times New Roman" w:hAnsi="Times New Roman" w:cs="Times New Roman"/>
          <w:sz w:val="24"/>
        </w:rPr>
        <w:t>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p>
      <w:r>
        <w:rPr>
          <w:rFonts w:ascii="Times New Roman" w:hAnsi="Times New Roman"/>
          <w:b/>
          <w:sz w:val="20"/>
        </w:rPr>
        <w:t>Tabell 4</w:t>
      </w:r>
    </w:p>
    <w:p>
      <w:r>
        <w:rPr>
          <w:rFonts w:ascii="Times New Roman" w:hAnsi="Times New Roman"/>
          <w:i/>
          <w:sz w:val="20"/>
        </w:rPr>
        <w:t>Datagrunnlag: 14 SAP S/4HANA-tabeller hentet via SE16H, analyseperiode 2024–2025, WERKS 3300 / LGORT 3001</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Nr</w:t>
            </w:r>
          </w:p>
        </w:tc>
        <w:tc>
          <w:tcPr>
            <w:tcW w:type="dxa" w:w="2192"/>
            <w:tcBorders>
              <w:top w:val="single" w:sz="8" w:space="0" w:color="000000"/>
              <w:bottom w:val="single" w:sz="4" w:space="0" w:color="000000"/>
              <w:left w:val="nil"/>
              <w:right w:val="nil"/>
            </w:tcBorders>
          </w:tcPr>
          <w:p>
            <w:r/>
            <w:r>
              <w:rPr>
                <w:rFonts w:ascii="Times New Roman" w:hAnsi="Times New Roman"/>
                <w:b/>
                <w:sz w:val="22"/>
              </w:rPr>
              <w:t>Tabell</w:t>
            </w:r>
          </w:p>
        </w:tc>
        <w:tc>
          <w:tcPr>
            <w:tcW w:type="dxa" w:w="2192"/>
            <w:tcBorders>
              <w:top w:val="single" w:sz="8" w:space="0" w:color="000000"/>
              <w:bottom w:val="single" w:sz="4" w:space="0" w:color="000000"/>
              <w:left w:val="nil"/>
              <w:right w:val="nil"/>
            </w:tcBorders>
          </w:tcPr>
          <w:p>
            <w:r/>
            <w:r>
              <w:rPr>
                <w:rFonts w:ascii="Times New Roman" w:hAnsi="Times New Roman"/>
                <w:b/>
                <w:sz w:val="22"/>
              </w:rPr>
              <w:t>Beskrivelse</w:t>
            </w:r>
          </w:p>
        </w:tc>
        <w:tc>
          <w:tcPr>
            <w:tcW w:type="dxa" w:w="2192"/>
            <w:tcBorders>
              <w:top w:val="single" w:sz="8" w:space="0" w:color="000000"/>
              <w:bottom w:val="single" w:sz="4" w:space="0" w:color="000000"/>
              <w:left w:val="nil"/>
              <w:right w:val="nil"/>
            </w:tcBorders>
          </w:tcPr>
          <w:p>
            <w:r/>
            <w:r>
              <w:rPr>
                <w:rFonts w:ascii="Times New Roman" w:hAnsi="Times New Roman"/>
                <w:b/>
                <w:sz w:val="22"/>
              </w:rPr>
              <w:t>Kategori</w:t>
            </w:r>
          </w:p>
        </w:tc>
      </w:tr>
      <w:tr>
        <w:tc>
          <w:tcPr>
            <w:tcW w:type="dxa" w:w="2192"/>
          </w:tcPr>
          <w:p>
            <w:r/>
            <w:r>
              <w:rPr>
                <w:rFonts w:ascii="Times New Roman" w:hAnsi="Times New Roman"/>
                <w:b w:val="0"/>
                <w:sz w:val="22"/>
              </w:rPr>
              <w:t>1</w:t>
            </w:r>
          </w:p>
        </w:tc>
        <w:tc>
          <w:tcPr>
            <w:tcW w:type="dxa" w:w="2192"/>
          </w:tcPr>
          <w:p>
            <w:r/>
            <w:r>
              <w:rPr>
                <w:rFonts w:ascii="Times New Roman" w:hAnsi="Times New Roman"/>
                <w:b w:val="0"/>
                <w:sz w:val="22"/>
              </w:rPr>
              <w:t>MARD</w:t>
            </w:r>
          </w:p>
        </w:tc>
        <w:tc>
          <w:tcPr>
            <w:tcW w:type="dxa" w:w="2192"/>
          </w:tcPr>
          <w:p>
            <w:r/>
            <w:r>
              <w:rPr>
                <w:rFonts w:ascii="Times New Roman" w:hAnsi="Times New Roman"/>
                <w:b w:val="0"/>
                <w:sz w:val="22"/>
              </w:rPr>
              <w:t>Lagerdata per lagersted (beholdning)</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2</w:t>
            </w:r>
          </w:p>
        </w:tc>
        <w:tc>
          <w:tcPr>
            <w:tcW w:type="dxa" w:w="2192"/>
          </w:tcPr>
          <w:p>
            <w:r/>
            <w:r>
              <w:rPr>
                <w:rFonts w:ascii="Times New Roman" w:hAnsi="Times New Roman"/>
                <w:b w:val="0"/>
                <w:sz w:val="22"/>
              </w:rPr>
              <w:t>MDMA</w:t>
            </w:r>
          </w:p>
        </w:tc>
        <w:tc>
          <w:tcPr>
            <w:tcW w:type="dxa" w:w="2192"/>
          </w:tcPr>
          <w:p>
            <w:r/>
            <w:r>
              <w:rPr>
                <w:rFonts w:ascii="Times New Roman" w:hAnsi="Times New Roman"/>
                <w:b w:val="0"/>
                <w:sz w:val="22"/>
              </w:rPr>
              <w:t>MRP-data, ABC/XYZ-indikator (ZZABC, ZZXYZ)</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3</w:t>
            </w:r>
          </w:p>
        </w:tc>
        <w:tc>
          <w:tcPr>
            <w:tcW w:type="dxa" w:w="2192"/>
          </w:tcPr>
          <w:p>
            <w:r/>
            <w:r>
              <w:rPr>
                <w:rFonts w:ascii="Times New Roman" w:hAnsi="Times New Roman"/>
                <w:b w:val="0"/>
                <w:sz w:val="22"/>
              </w:rPr>
              <w:t>MARA</w:t>
            </w:r>
          </w:p>
        </w:tc>
        <w:tc>
          <w:tcPr>
            <w:tcW w:type="dxa" w:w="2192"/>
          </w:tcPr>
          <w:p>
            <w:r/>
            <w:r>
              <w:rPr>
                <w:rFonts w:ascii="Times New Roman" w:hAnsi="Times New Roman"/>
                <w:b w:val="0"/>
                <w:sz w:val="22"/>
              </w:rPr>
              <w:t>Artikkelstamdata (MTART, MATKL, MEINS)</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4</w:t>
            </w:r>
          </w:p>
        </w:tc>
        <w:tc>
          <w:tcPr>
            <w:tcW w:type="dxa" w:w="2192"/>
          </w:tcPr>
          <w:p>
            <w:r/>
            <w:r>
              <w:rPr>
                <w:rFonts w:ascii="Times New Roman" w:hAnsi="Times New Roman"/>
                <w:b w:val="0"/>
                <w:sz w:val="22"/>
              </w:rPr>
              <w:t>MAKT</w:t>
            </w:r>
          </w:p>
        </w:tc>
        <w:tc>
          <w:tcPr>
            <w:tcW w:type="dxa" w:w="2192"/>
          </w:tcPr>
          <w:p>
            <w:r/>
            <w:r>
              <w:rPr>
                <w:rFonts w:ascii="Times New Roman" w:hAnsi="Times New Roman"/>
                <w:b w:val="0"/>
                <w:sz w:val="22"/>
              </w:rPr>
              <w:t>Artikkeltekst (MAKTX)</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5</w:t>
            </w:r>
          </w:p>
        </w:tc>
        <w:tc>
          <w:tcPr>
            <w:tcW w:type="dxa" w:w="2192"/>
          </w:tcPr>
          <w:p>
            <w:r/>
            <w:r>
              <w:rPr>
                <w:rFonts w:ascii="Times New Roman" w:hAnsi="Times New Roman"/>
                <w:b w:val="0"/>
                <w:sz w:val="22"/>
              </w:rPr>
              <w:t>MARC</w:t>
            </w:r>
          </w:p>
        </w:tc>
        <w:tc>
          <w:tcPr>
            <w:tcW w:type="dxa" w:w="2192"/>
          </w:tcPr>
          <w:p>
            <w:r/>
            <w:r>
              <w:rPr>
                <w:rFonts w:ascii="Times New Roman" w:hAnsi="Times New Roman"/>
                <w:b w:val="0"/>
                <w:sz w:val="22"/>
              </w:rPr>
              <w:t>Anleggsdata per materiale (MARC_ABC)</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6</w:t>
            </w:r>
          </w:p>
        </w:tc>
        <w:tc>
          <w:tcPr>
            <w:tcW w:type="dxa" w:w="2192"/>
          </w:tcPr>
          <w:p>
            <w:r/>
            <w:r>
              <w:rPr>
                <w:rFonts w:ascii="Times New Roman" w:hAnsi="Times New Roman"/>
                <w:b w:val="0"/>
                <w:sz w:val="22"/>
              </w:rPr>
              <w:t>MBEW</w:t>
            </w:r>
          </w:p>
        </w:tc>
        <w:tc>
          <w:tcPr>
            <w:tcW w:type="dxa" w:w="2192"/>
          </w:tcPr>
          <w:p>
            <w:r/>
            <w:r>
              <w:rPr>
                <w:rFonts w:ascii="Times New Roman" w:hAnsi="Times New Roman"/>
                <w:b w:val="0"/>
                <w:sz w:val="22"/>
              </w:rPr>
              <w:t>Verdsettingsdata (STPRS, PEINH)</w:t>
            </w:r>
          </w:p>
        </w:tc>
        <w:tc>
          <w:tcPr>
            <w:tcW w:type="dxa" w:w="2192"/>
          </w:tcPr>
          <w:p>
            <w:r/>
            <w:r>
              <w:rPr>
                <w:rFonts w:ascii="Times New Roman" w:hAnsi="Times New Roman"/>
                <w:b w:val="0"/>
                <w:sz w:val="22"/>
              </w:rPr>
              <w:t>Masterdata</w:t>
            </w:r>
          </w:p>
        </w:tc>
      </w:tr>
      <w:tr>
        <w:tc>
          <w:tcPr>
            <w:tcW w:type="dxa" w:w="2192"/>
          </w:tcPr>
          <w:p>
            <w:r/>
            <w:r>
              <w:rPr>
                <w:rFonts w:ascii="Times New Roman" w:hAnsi="Times New Roman"/>
                <w:b w:val="0"/>
                <w:sz w:val="22"/>
              </w:rPr>
              <w:t>7</w:t>
            </w:r>
          </w:p>
        </w:tc>
        <w:tc>
          <w:tcPr>
            <w:tcW w:type="dxa" w:w="2192"/>
          </w:tcPr>
          <w:p>
            <w:r/>
            <w:r>
              <w:rPr>
                <w:rFonts w:ascii="Times New Roman" w:hAnsi="Times New Roman"/>
                <w:b w:val="0"/>
                <w:sz w:val="22"/>
              </w:rPr>
              <w:t>MSEG</w:t>
            </w:r>
          </w:p>
        </w:tc>
        <w:tc>
          <w:tcPr>
            <w:tcW w:type="dxa" w:w="2192"/>
          </w:tcPr>
          <w:p>
            <w:r/>
            <w:r>
              <w:rPr>
                <w:rFonts w:ascii="Times New Roman" w:hAnsi="Times New Roman"/>
                <w:b w:val="0"/>
                <w:sz w:val="22"/>
              </w:rPr>
              <w:t>Varebevegelser, forbruk (BWART 201, 647)</w:t>
            </w:r>
          </w:p>
        </w:tc>
        <w:tc>
          <w:tcPr>
            <w:tcW w:type="dxa" w:w="2192"/>
          </w:tcPr>
          <w:p>
            <w:r/>
            <w:r>
              <w:rPr>
                <w:rFonts w:ascii="Times New Roman" w:hAnsi="Times New Roman"/>
                <w:b w:val="0"/>
                <w:sz w:val="22"/>
              </w:rPr>
              <w:t>Forbruksdata</w:t>
            </w:r>
          </w:p>
        </w:tc>
      </w:tr>
      <w:tr>
        <w:tc>
          <w:tcPr>
            <w:tcW w:type="dxa" w:w="2192"/>
          </w:tcPr>
          <w:p>
            <w:r/>
            <w:r>
              <w:rPr>
                <w:rFonts w:ascii="Times New Roman" w:hAnsi="Times New Roman"/>
                <w:b w:val="0"/>
                <w:sz w:val="22"/>
              </w:rPr>
              <w:t>8</w:t>
            </w:r>
          </w:p>
        </w:tc>
        <w:tc>
          <w:tcPr>
            <w:tcW w:type="dxa" w:w="2192"/>
          </w:tcPr>
          <w:p>
            <w:r/>
            <w:r>
              <w:rPr>
                <w:rFonts w:ascii="Times New Roman" w:hAnsi="Times New Roman"/>
                <w:b w:val="0"/>
                <w:sz w:val="22"/>
              </w:rPr>
              <w:t>EKKO</w:t>
            </w:r>
          </w:p>
        </w:tc>
        <w:tc>
          <w:tcPr>
            <w:tcW w:type="dxa" w:w="2192"/>
          </w:tcPr>
          <w:p>
            <w:r/>
            <w:r>
              <w:rPr>
                <w:rFonts w:ascii="Times New Roman" w:hAnsi="Times New Roman"/>
                <w:b w:val="0"/>
                <w:sz w:val="22"/>
              </w:rPr>
              <w:t>Innkjøpsordrehoder (bestillingstype ZNB)</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9</w:t>
            </w:r>
          </w:p>
        </w:tc>
        <w:tc>
          <w:tcPr>
            <w:tcW w:type="dxa" w:w="2192"/>
          </w:tcPr>
          <w:p>
            <w:r/>
            <w:r>
              <w:rPr>
                <w:rFonts w:ascii="Times New Roman" w:hAnsi="Times New Roman"/>
                <w:b w:val="0"/>
                <w:sz w:val="22"/>
              </w:rPr>
              <w:t>EKPO</w:t>
            </w:r>
          </w:p>
        </w:tc>
        <w:tc>
          <w:tcPr>
            <w:tcW w:type="dxa" w:w="2192"/>
          </w:tcPr>
          <w:p>
            <w:r/>
            <w:r>
              <w:rPr>
                <w:rFonts w:ascii="Times New Roman" w:hAnsi="Times New Roman"/>
                <w:b w:val="0"/>
                <w:sz w:val="22"/>
              </w:rPr>
              <w:t>Innkjøpsordreposisjoner (NETWR)</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10</w:t>
            </w:r>
          </w:p>
        </w:tc>
        <w:tc>
          <w:tcPr>
            <w:tcW w:type="dxa" w:w="2192"/>
          </w:tcPr>
          <w:p>
            <w:r/>
            <w:r>
              <w:rPr>
                <w:rFonts w:ascii="Times New Roman" w:hAnsi="Times New Roman"/>
                <w:b w:val="0"/>
                <w:sz w:val="22"/>
              </w:rPr>
              <w:t>EKBE</w:t>
            </w:r>
          </w:p>
        </w:tc>
        <w:tc>
          <w:tcPr>
            <w:tcW w:type="dxa" w:w="2192"/>
          </w:tcPr>
          <w:p>
            <w:r/>
            <w:r>
              <w:rPr>
                <w:rFonts w:ascii="Times New Roman" w:hAnsi="Times New Roman"/>
                <w:b w:val="0"/>
                <w:sz w:val="22"/>
              </w:rPr>
              <w:t>Innkjøpsordrehistorikk/varemottak</w:t>
            </w:r>
          </w:p>
        </w:tc>
        <w:tc>
          <w:tcPr>
            <w:tcW w:type="dxa" w:w="2192"/>
          </w:tcPr>
          <w:p>
            <w:r/>
            <w:r>
              <w:rPr>
                <w:rFonts w:ascii="Times New Roman" w:hAnsi="Times New Roman"/>
                <w:b w:val="0"/>
                <w:sz w:val="22"/>
              </w:rPr>
              <w:t>Innkjøpsdata</w:t>
            </w:r>
          </w:p>
        </w:tc>
      </w:tr>
      <w:tr>
        <w:tc>
          <w:tcPr>
            <w:tcW w:type="dxa" w:w="2192"/>
          </w:tcPr>
          <w:p>
            <w:r/>
            <w:r>
              <w:rPr>
                <w:rFonts w:ascii="Times New Roman" w:hAnsi="Times New Roman"/>
                <w:b w:val="0"/>
                <w:sz w:val="22"/>
              </w:rPr>
              <w:t>11</w:t>
            </w:r>
          </w:p>
        </w:tc>
        <w:tc>
          <w:tcPr>
            <w:tcW w:type="dxa" w:w="2192"/>
          </w:tcPr>
          <w:p>
            <w:r/>
            <w:r>
              <w:rPr>
                <w:rFonts w:ascii="Times New Roman" w:hAnsi="Times New Roman"/>
                <w:b w:val="0"/>
                <w:sz w:val="22"/>
              </w:rPr>
              <w:t>EINA</w:t>
            </w:r>
          </w:p>
        </w:tc>
        <w:tc>
          <w:tcPr>
            <w:tcW w:type="dxa" w:w="2192"/>
          </w:tcPr>
          <w:p>
            <w:r/>
            <w:r>
              <w:rPr>
                <w:rFonts w:ascii="Times New Roman" w:hAnsi="Times New Roman"/>
                <w:b w:val="0"/>
                <w:sz w:val="22"/>
              </w:rPr>
              <w:t>Innkjøpsinforecord – generell del</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12</w:t>
            </w:r>
          </w:p>
        </w:tc>
        <w:tc>
          <w:tcPr>
            <w:tcW w:type="dxa" w:w="2192"/>
          </w:tcPr>
          <w:p>
            <w:r/>
            <w:r>
              <w:rPr>
                <w:rFonts w:ascii="Times New Roman" w:hAnsi="Times New Roman"/>
                <w:b w:val="0"/>
                <w:sz w:val="22"/>
              </w:rPr>
              <w:t>EINE</w:t>
            </w:r>
          </w:p>
        </w:tc>
        <w:tc>
          <w:tcPr>
            <w:tcW w:type="dxa" w:w="2192"/>
          </w:tcPr>
          <w:p>
            <w:r/>
            <w:r>
              <w:rPr>
                <w:rFonts w:ascii="Times New Roman" w:hAnsi="Times New Roman"/>
                <w:b w:val="0"/>
                <w:sz w:val="22"/>
              </w:rPr>
              <w:t>Innkjøpsinforecord – organisasjonsdel (WETAG)</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13</w:t>
            </w:r>
          </w:p>
        </w:tc>
        <w:tc>
          <w:tcPr>
            <w:tcW w:type="dxa" w:w="2192"/>
          </w:tcPr>
          <w:p>
            <w:r/>
            <w:r>
              <w:rPr>
                <w:rFonts w:ascii="Times New Roman" w:hAnsi="Times New Roman"/>
                <w:b w:val="0"/>
                <w:sz w:val="22"/>
              </w:rPr>
              <w:t>T023T</w:t>
            </w:r>
          </w:p>
        </w:tc>
        <w:tc>
          <w:tcPr>
            <w:tcW w:type="dxa" w:w="2192"/>
          </w:tcPr>
          <w:p>
            <w:r/>
            <w:r>
              <w:rPr>
                <w:rFonts w:ascii="Times New Roman" w:hAnsi="Times New Roman"/>
                <w:b w:val="0"/>
                <w:sz w:val="22"/>
              </w:rPr>
              <w:t>Varegruppenavn (WGBEZ)</w:t>
            </w:r>
          </w:p>
        </w:tc>
        <w:tc>
          <w:tcPr>
            <w:tcW w:type="dxa" w:w="2192"/>
          </w:tcPr>
          <w:p>
            <w:r/>
            <w:r>
              <w:rPr>
                <w:rFonts w:ascii="Times New Roman" w:hAnsi="Times New Roman"/>
                <w:b w:val="0"/>
                <w:sz w:val="22"/>
              </w:rPr>
              <w:t>Supplerende</w:t>
            </w:r>
          </w:p>
        </w:tc>
      </w:tr>
      <w:tr>
        <w:tc>
          <w:tcPr>
            <w:tcW w:type="dxa" w:w="2192"/>
          </w:tcPr>
          <w:p>
            <w:r/>
            <w:r>
              <w:rPr>
                <w:rFonts w:ascii="Times New Roman" w:hAnsi="Times New Roman"/>
                <w:b w:val="0"/>
                <w:sz w:val="22"/>
              </w:rPr>
              <w:t>14</w:t>
            </w:r>
          </w:p>
        </w:tc>
        <w:tc>
          <w:tcPr>
            <w:tcW w:type="dxa" w:w="2192"/>
          </w:tcPr>
          <w:p>
            <w:r/>
            <w:r>
              <w:rPr>
                <w:rFonts w:ascii="Times New Roman" w:hAnsi="Times New Roman"/>
                <w:b w:val="0"/>
                <w:sz w:val="22"/>
              </w:rPr>
              <w:t>T024</w:t>
            </w:r>
          </w:p>
        </w:tc>
        <w:tc>
          <w:tcPr>
            <w:tcW w:type="dxa" w:w="2192"/>
          </w:tcPr>
          <w:p>
            <w:r/>
            <w:r>
              <w:rPr>
                <w:rFonts w:ascii="Times New Roman" w:hAnsi="Times New Roman"/>
                <w:b w:val="0"/>
                <w:sz w:val="22"/>
              </w:rPr>
              <w:t>Innkjøpsgrupper (EKGRP)</w:t>
            </w:r>
          </w:p>
        </w:tc>
        <w:tc>
          <w:tcPr>
            <w:tcW w:type="dxa" w:w="2192"/>
          </w:tcPr>
          <w:p>
            <w:r/>
            <w:r>
              <w:rPr>
                <w:rFonts w:ascii="Times New Roman" w:hAnsi="Times New Roman"/>
                <w:b w:val="0"/>
                <w:sz w:val="22"/>
              </w:rPr>
              <w:t>Supplerende</w:t>
            </w:r>
          </w:p>
        </w:tc>
      </w:tr>
    </w:tbl>
    <w:p>
      <w:pPr>
        <w:spacing w:line="360" w:lineRule="auto"/>
        <w:jc w:val="both"/>
      </w:pPr>
      <w:r>
        <w:rPr>
          <w:rFonts w:ascii="Times New Roman" w:hAnsi="Times New Roman" w:cs="Times New Roman"/>
          <w:sz w:val="24"/>
        </w:rPr>
        <w:t>Råuttrekket inneholder 1 006 unike artikkelnumre. Populasjonsavgrensningen beskrives i detalj i avsnitt 4.3 nedenfor, og reduserer dette til 709 aktive artikler. For forbruksdata er det benyttet bevegelsestyper (BWART) 201 og 647 fra MSEG, som representerer henholdsvis vareforbruk til kostnadssted og spesialforbruk. Disse to bevegelsesstypene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WETAG), men dekker kun 6 % av artiklene; se beslutning D-05 under. Figur 3 gir en samlet oversikt over fordelingen av nøkkelvariabler i det endelige datasettet på 709 artikler.</w:t>
      </w:r>
    </w:p>
    <w:p>
      <w:r>
        <w:drawing>
          <wp:inline xmlns:a="http://schemas.openxmlformats.org/drawingml/2006/main" xmlns:pic="http://schemas.openxmlformats.org/drawingml/2006/picture">
            <wp:extent cx="5400000" cy="3018889"/>
            <wp:docPr id="6" name="Picture 6"/>
            <wp:cNvGraphicFramePr>
              <a:graphicFrameLocks noChangeAspect="1"/>
            </wp:cNvGraphicFramePr>
            <a:graphic>
              <a:graphicData uri="http://schemas.openxmlformats.org/drawingml/2006/picture">
                <pic:pic>
                  <pic:nvPicPr>
                    <pic:cNvPr id="0" name="Fig04_Dataoversikt.png"/>
                    <pic:cNvPicPr/>
                  </pic:nvPicPr>
                  <pic:blipFill>
                    <a:blip r:embed="rId24"/>
                    <a:stretch>
                      <a:fillRect/>
                    </a:stretch>
                  </pic:blipFill>
                  <pic:spPr>
                    <a:xfrm>
                      <a:off x="0" y="0"/>
                      <a:ext cx="5400000" cy="3018889"/>
                    </a:xfrm>
                    <a:prstGeom prst="rect"/>
                  </pic:spPr>
                </pic:pic>
              </a:graphicData>
            </a:graphic>
          </wp:inline>
        </w:drawing>
      </w:r>
    </w:p>
    <w:p>
      <w:pPr>
        <w:jc w:val="center"/>
      </w:pPr>
      <w:r>
        <w:rPr>
          <w:rFonts w:ascii="Times New Roman" w:hAnsi="Times New Roman"/>
          <w:i/>
          <w:sz w:val="20"/>
        </w:rPr>
        <w:t>Figur 3. Dataoversikt: fordeling av nøkkelvariabler for 709 artikler ved WERKS 3300, LGORT 3001. Generert med støtte fra Claude.</w:t>
      </w:r>
    </w:p>
    <w:p>
      <w:pPr>
        <w:pStyle w:val="Overskrift2"/>
      </w:pPr>
      <w:r>
        <w:rPr>
          <w:rFonts w:ascii="Times New Roman" w:hAnsi="Times New Roman"/>
          <w:color w:val="000000"/>
          <w:sz w:val="32"/>
        </w:rPr>
        <w:t>4.3 Dataforbehandling</w:t>
      </w:r>
    </w:p>
    <w:p>
      <w:pPr>
        <w:spacing w:line="360" w:lineRule="auto"/>
        <w:jc w:val="both"/>
      </w:pPr>
      <w:r>
        <w:rPr>
          <w:rFonts w:ascii="Times New Roman" w:hAnsi="Times New Roman" w:cs="Times New Roman"/>
          <w:sz w:val="24"/>
        </w:rPr>
        <w:t>All dataforbehandling er gjennomført i Python 3.13 ved hjelp av bibliotekene pandas (McKinney, 2010) og scikit-learn (Pedregosa et al., 2011). Scriptet er deterministisk og reproduserbart: alle tilfeldige prosesser bruker random_state=42, og ingen manuell redigering av enkeltartikler er foretatt. Åtte eksplisitte datavalgsbeslutninger (D-01–D-08) er dokumentert nedenfor; disse tilsvarer steder i datapipelinen der analytikeren måtte treffe et valg mellom alternative behandlingsmåter, og der valget har materiell innvirkning på resultatene.</w:t>
      </w:r>
    </w:p>
    <w:p>
      <w:r>
        <w:rPr>
          <w:rFonts w:ascii="Times New Roman" w:hAnsi="Times New Roman"/>
          <w:b/>
          <w:sz w:val="20"/>
        </w:rPr>
        <w:t>Tabell 5</w:t>
      </w:r>
    </w:p>
    <w:p>
      <w:r>
        <w:rPr>
          <w:rFonts w:ascii="Times New Roman" w:hAnsi="Times New Roman"/>
          <w:i/>
          <w:sz w:val="20"/>
        </w:rPr>
        <w:t>Datavalgsbeslutninger D-01–D-08 med begrunnelse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ID</w:t>
            </w:r>
          </w:p>
        </w:tc>
        <w:tc>
          <w:tcPr>
            <w:tcW w:type="dxa" w:w="2192"/>
            <w:tcBorders>
              <w:top w:val="single" w:sz="8" w:space="0" w:color="000000"/>
              <w:bottom w:val="single" w:sz="4" w:space="0" w:color="000000"/>
              <w:left w:val="nil"/>
              <w:right w:val="nil"/>
            </w:tcBorders>
          </w:tcPr>
          <w:p>
            <w:r/>
            <w:r>
              <w:rPr>
                <w:rFonts w:ascii="Times New Roman" w:hAnsi="Times New Roman"/>
                <w:b/>
                <w:sz w:val="22"/>
              </w:rPr>
              <w:t>Beslutning</w:t>
            </w:r>
          </w:p>
        </w:tc>
        <w:tc>
          <w:tcPr>
            <w:tcW w:type="dxa" w:w="2192"/>
            <w:tcBorders>
              <w:top w:val="single" w:sz="8" w:space="0" w:color="000000"/>
              <w:bottom w:val="single" w:sz="4" w:space="0" w:color="000000"/>
              <w:left w:val="nil"/>
              <w:right w:val="nil"/>
            </w:tcBorders>
          </w:tcPr>
          <w:p>
            <w:r/>
            <w:r>
              <w:rPr>
                <w:rFonts w:ascii="Times New Roman" w:hAnsi="Times New Roman"/>
                <w:b/>
                <w:sz w:val="22"/>
              </w:rPr>
              <w:t>Effekt</w:t>
            </w:r>
          </w:p>
        </w:tc>
        <w:tc>
          <w:tcPr>
            <w:tcW w:type="dxa" w:w="2192"/>
            <w:tcBorders>
              <w:top w:val="single" w:sz="8" w:space="0" w:color="000000"/>
              <w:bottom w:val="single" w:sz="4" w:space="0" w:color="000000"/>
              <w:left w:val="nil"/>
              <w:right w:val="nil"/>
            </w:tcBorders>
          </w:tcPr>
          <w:p>
            <w:r/>
            <w:r>
              <w:rPr>
                <w:rFonts w:ascii="Times New Roman" w:hAnsi="Times New Roman"/>
                <w:b/>
                <w:sz w:val="22"/>
              </w:rPr>
              <w:t>Begrunnelse</w:t>
            </w:r>
          </w:p>
        </w:tc>
      </w:tr>
      <w:tr>
        <w:tc>
          <w:tcPr>
            <w:tcW w:type="dxa" w:w="2192"/>
          </w:tcPr>
          <w:p>
            <w:r/>
            <w:r>
              <w:rPr>
                <w:rFonts w:ascii="Times New Roman" w:hAnsi="Times New Roman"/>
                <w:b w:val="0"/>
                <w:sz w:val="22"/>
              </w:rPr>
              <w:t>D-01</w:t>
            </w:r>
          </w:p>
        </w:tc>
        <w:tc>
          <w:tcPr>
            <w:tcW w:type="dxa" w:w="2192"/>
          </w:tcPr>
          <w:p>
            <w:r/>
            <w:r>
              <w:rPr>
                <w:rFonts w:ascii="Times New Roman" w:hAnsi="Times New Roman"/>
                <w:b w:val="0"/>
                <w:sz w:val="22"/>
              </w:rPr>
              <w:t>Populasjonsavgrensning</w:t>
            </w:r>
          </w:p>
        </w:tc>
        <w:tc>
          <w:tcPr>
            <w:tcW w:type="dxa" w:w="2192"/>
          </w:tcPr>
          <w:p>
            <w:r/>
            <w:r>
              <w:rPr>
                <w:rFonts w:ascii="Times New Roman" w:hAnsi="Times New Roman"/>
                <w:b w:val="0"/>
                <w:sz w:val="22"/>
              </w:rPr>
              <w:t>1 006 → 709 artikler</w:t>
            </w:r>
          </w:p>
        </w:tc>
        <w:tc>
          <w:tcPr>
            <w:tcW w:type="dxa" w:w="2192"/>
          </w:tcPr>
          <w:p>
            <w:r/>
            <w:r>
              <w:rPr>
                <w:rFonts w:ascii="Times New Roman" w:hAnsi="Times New Roman"/>
                <w:b w:val="0"/>
                <w:sz w:val="22"/>
              </w:rPr>
              <w:t>Ekskluderer 297 inaktive (D_ANNUAL = 0 og TOTAL_STOCK = 0)</w:t>
            </w:r>
          </w:p>
        </w:tc>
      </w:tr>
      <w:tr>
        <w:tc>
          <w:tcPr>
            <w:tcW w:type="dxa" w:w="2192"/>
          </w:tcPr>
          <w:p>
            <w:r/>
            <w:r>
              <w:rPr>
                <w:rFonts w:ascii="Times New Roman" w:hAnsi="Times New Roman"/>
                <w:b w:val="0"/>
                <w:sz w:val="22"/>
              </w:rPr>
              <w:t>D-02</w:t>
            </w:r>
          </w:p>
        </w:tc>
        <w:tc>
          <w:tcPr>
            <w:tcW w:type="dxa" w:w="2192"/>
          </w:tcPr>
          <w:p>
            <w:r/>
            <w:r>
              <w:rPr>
                <w:rFonts w:ascii="Times New Roman" w:hAnsi="Times New Roman"/>
                <w:b w:val="0"/>
                <w:sz w:val="22"/>
              </w:rPr>
              <w:t>PEINH-korrigering</w:t>
            </w:r>
          </w:p>
        </w:tc>
        <w:tc>
          <w:tcPr>
            <w:tcW w:type="dxa" w:w="2192"/>
          </w:tcPr>
          <w:p>
            <w:r/>
            <w:r>
              <w:rPr>
                <w:rFonts w:ascii="Times New Roman" w:hAnsi="Times New Roman"/>
                <w:b w:val="0"/>
                <w:sz w:val="22"/>
              </w:rPr>
              <w:t>UNIT_PRICE = STPRS ÷ PEINH</w:t>
            </w:r>
          </w:p>
        </w:tc>
        <w:tc>
          <w:tcPr>
            <w:tcW w:type="dxa" w:w="2192"/>
          </w:tcPr>
          <w:p>
            <w:r/>
            <w:r>
              <w:rPr>
                <w:rFonts w:ascii="Times New Roman" w:hAnsi="Times New Roman"/>
                <w:b w:val="0"/>
                <w:sz w:val="22"/>
              </w:rPr>
              <w:t>Korrigerer for prisenhet ≠ 1</w:t>
            </w:r>
          </w:p>
        </w:tc>
      </w:tr>
      <w:tr>
        <w:tc>
          <w:tcPr>
            <w:tcW w:type="dxa" w:w="2192"/>
          </w:tcPr>
          <w:p>
            <w:r/>
            <w:r>
              <w:rPr>
                <w:rFonts w:ascii="Times New Roman" w:hAnsi="Times New Roman"/>
                <w:b w:val="0"/>
                <w:sz w:val="22"/>
              </w:rPr>
              <w:t>D-03</w:t>
            </w:r>
          </w:p>
        </w:tc>
        <w:tc>
          <w:tcPr>
            <w:tcW w:type="dxa" w:w="2192"/>
          </w:tcPr>
          <w:p>
            <w:r/>
            <w:r>
              <w:rPr>
                <w:rFonts w:ascii="Times New Roman" w:hAnsi="Times New Roman"/>
                <w:b w:val="0"/>
                <w:sz w:val="22"/>
              </w:rPr>
              <w:t>Beregnet ABC-verdi</w:t>
            </w:r>
          </w:p>
        </w:tc>
        <w:tc>
          <w:tcPr>
            <w:tcW w:type="dxa" w:w="2192"/>
          </w:tcPr>
          <w:p>
            <w:r/>
            <w:r>
              <w:rPr>
                <w:rFonts w:ascii="Times New Roman" w:hAnsi="Times New Roman"/>
                <w:b w:val="0"/>
                <w:sz w:val="22"/>
              </w:rPr>
              <w:t>204 artikler uten EKPO</w:t>
            </w:r>
          </w:p>
        </w:tc>
        <w:tc>
          <w:tcPr>
            <w:tcW w:type="dxa" w:w="2192"/>
          </w:tcPr>
          <w:p>
            <w:r/>
            <w:r>
              <w:rPr>
                <w:rFonts w:ascii="Times New Roman" w:hAnsi="Times New Roman"/>
                <w:b w:val="0"/>
                <w:sz w:val="22"/>
              </w:rPr>
              <w:t>ABC_VALUE = D_ANNUAL × UNIT_PRICE som standardverdi</w:t>
            </w:r>
          </w:p>
        </w:tc>
      </w:tr>
      <w:tr>
        <w:tc>
          <w:tcPr>
            <w:tcW w:type="dxa" w:w="2192"/>
          </w:tcPr>
          <w:p>
            <w:r/>
            <w:r>
              <w:rPr>
                <w:rFonts w:ascii="Times New Roman" w:hAnsi="Times New Roman"/>
                <w:b w:val="0"/>
                <w:sz w:val="22"/>
              </w:rPr>
              <w:t>D-04</w:t>
            </w:r>
          </w:p>
        </w:tc>
        <w:tc>
          <w:tcPr>
            <w:tcW w:type="dxa" w:w="2192"/>
          </w:tcPr>
          <w:p>
            <w:r/>
            <w:r>
              <w:rPr>
                <w:rFonts w:ascii="Times New Roman" w:hAnsi="Times New Roman"/>
                <w:b w:val="0"/>
                <w:sz w:val="22"/>
              </w:rPr>
              <w:t>CV-basert XYZ</w:t>
            </w:r>
          </w:p>
        </w:tc>
        <w:tc>
          <w:tcPr>
            <w:tcW w:type="dxa" w:w="2192"/>
          </w:tcPr>
          <w:p>
            <w:r/>
            <w:r>
              <w:rPr>
                <w:rFonts w:ascii="Times New Roman" w:hAnsi="Times New Roman"/>
                <w:b w:val="0"/>
                <w:sz w:val="22"/>
              </w:rPr>
              <w:t>Erstatter ZZXYZ</w:t>
            </w:r>
          </w:p>
        </w:tc>
        <w:tc>
          <w:tcPr>
            <w:tcW w:type="dxa" w:w="2192"/>
          </w:tcPr>
          <w:p>
            <w:r/>
            <w:r>
              <w:rPr>
                <w:rFonts w:ascii="Times New Roman" w:hAnsi="Times New Roman"/>
                <w:b w:val="0"/>
                <w:sz w:val="22"/>
              </w:rPr>
              <w:t>33 % samsvar → beregnet CV foretrukket</w:t>
            </w:r>
          </w:p>
        </w:tc>
      </w:tr>
      <w:tr>
        <w:tc>
          <w:tcPr>
            <w:tcW w:type="dxa" w:w="2192"/>
          </w:tcPr>
          <w:p>
            <w:r/>
            <w:r>
              <w:rPr>
                <w:rFonts w:ascii="Times New Roman" w:hAnsi="Times New Roman"/>
                <w:b w:val="0"/>
                <w:sz w:val="22"/>
              </w:rPr>
              <w:t>D-05</w:t>
            </w:r>
          </w:p>
        </w:tc>
        <w:tc>
          <w:tcPr>
            <w:tcW w:type="dxa" w:w="2192"/>
          </w:tcPr>
          <w:p>
            <w:r/>
            <w:r>
              <w:rPr>
                <w:rFonts w:ascii="Times New Roman" w:hAnsi="Times New Roman"/>
                <w:b w:val="0"/>
                <w:sz w:val="22"/>
              </w:rPr>
              <w:t>Leveringstid standardverdi</w:t>
            </w:r>
          </w:p>
        </w:tc>
        <w:tc>
          <w:tcPr>
            <w:tcW w:type="dxa" w:w="2192"/>
          </w:tcPr>
          <w:p>
            <w:r/>
            <w:r>
              <w:rPr>
                <w:rFonts w:ascii="Times New Roman" w:hAnsi="Times New Roman"/>
                <w:b w:val="0"/>
                <w:sz w:val="22"/>
              </w:rPr>
              <w:t>14 dager for 94 %</w:t>
            </w:r>
          </w:p>
        </w:tc>
        <w:tc>
          <w:tcPr>
            <w:tcW w:type="dxa" w:w="2192"/>
          </w:tcPr>
          <w:p>
            <w:r/>
            <w:r>
              <w:rPr>
                <w:rFonts w:ascii="Times New Roman" w:hAnsi="Times New Roman"/>
                <w:b w:val="0"/>
                <w:sz w:val="22"/>
              </w:rPr>
              <w:t>EINE WETAG dekker kun 6 %</w:t>
            </w:r>
          </w:p>
        </w:tc>
      </w:tr>
      <w:tr>
        <w:tc>
          <w:tcPr>
            <w:tcW w:type="dxa" w:w="2192"/>
          </w:tcPr>
          <w:p>
            <w:r/>
            <w:r>
              <w:rPr>
                <w:rFonts w:ascii="Times New Roman" w:hAnsi="Times New Roman"/>
                <w:b w:val="0"/>
                <w:sz w:val="22"/>
              </w:rPr>
              <w:t>D-06</w:t>
            </w:r>
          </w:p>
        </w:tc>
        <w:tc>
          <w:tcPr>
            <w:tcW w:type="dxa" w:w="2192"/>
          </w:tcPr>
          <w:p>
            <w:r/>
            <w:r>
              <w:rPr>
                <w:rFonts w:ascii="Times New Roman" w:hAnsi="Times New Roman"/>
                <w:b w:val="0"/>
                <w:sz w:val="22"/>
              </w:rPr>
              <w:t>MSEG_STATUS blank → AKTIV</w:t>
            </w:r>
          </w:p>
        </w:tc>
        <w:tc>
          <w:tcPr>
            <w:tcW w:type="dxa" w:w="2192"/>
          </w:tcPr>
          <w:p>
            <w:r/>
            <w:r>
              <w:rPr>
                <w:rFonts w:ascii="Times New Roman" w:hAnsi="Times New Roman"/>
                <w:b w:val="0"/>
                <w:sz w:val="22"/>
              </w:rPr>
              <w:t>Fyller manglende verdier</w:t>
            </w:r>
          </w:p>
        </w:tc>
        <w:tc>
          <w:tcPr>
            <w:tcW w:type="dxa" w:w="2192"/>
          </w:tcPr>
          <w:p>
            <w:r/>
            <w:r>
              <w:rPr>
                <w:rFonts w:ascii="Times New Roman" w:hAnsi="Times New Roman"/>
                <w:b w:val="0"/>
                <w:sz w:val="22"/>
              </w:rPr>
              <w:t>Antar normal driftsstatus</w:t>
            </w:r>
          </w:p>
        </w:tc>
      </w:tr>
      <w:tr>
        <w:tc>
          <w:tcPr>
            <w:tcW w:type="dxa" w:w="2192"/>
          </w:tcPr>
          <w:p>
            <w:r/>
            <w:r>
              <w:rPr>
                <w:rFonts w:ascii="Times New Roman" w:hAnsi="Times New Roman"/>
                <w:b w:val="0"/>
                <w:sz w:val="22"/>
              </w:rPr>
              <w:t>D-07</w:t>
            </w:r>
          </w:p>
        </w:tc>
        <w:tc>
          <w:tcPr>
            <w:tcW w:type="dxa" w:w="2192"/>
          </w:tcPr>
          <w:p>
            <w:r/>
            <w:r>
              <w:rPr>
                <w:rFonts w:ascii="Times New Roman" w:hAnsi="Times New Roman"/>
                <w:b w:val="0"/>
                <w:sz w:val="22"/>
              </w:rPr>
              <w:t>ABC_VALUE_SOURCE</w:t>
            </w:r>
          </w:p>
        </w:tc>
        <w:tc>
          <w:tcPr>
            <w:tcW w:type="dxa" w:w="2192"/>
          </w:tcPr>
          <w:p>
            <w:r/>
            <w:r>
              <w:rPr>
                <w:rFonts w:ascii="Times New Roman" w:hAnsi="Times New Roman"/>
                <w:b w:val="0"/>
                <w:sz w:val="22"/>
              </w:rPr>
              <w:t>EKPO-verdi prioriteres</w:t>
            </w:r>
          </w:p>
        </w:tc>
        <w:tc>
          <w:tcPr>
            <w:tcW w:type="dxa" w:w="2192"/>
          </w:tcPr>
          <w:p>
            <w:r/>
            <w:r>
              <w:rPr>
                <w:rFonts w:ascii="Times New Roman" w:hAnsi="Times New Roman"/>
                <w:b w:val="0"/>
                <w:sz w:val="22"/>
              </w:rPr>
              <w:t>TOTAL_NETWR &gt; 0 kreves for EKPO-kilde</w:t>
            </w:r>
          </w:p>
        </w:tc>
      </w:tr>
      <w:tr>
        <w:tc>
          <w:tcPr>
            <w:tcW w:type="dxa" w:w="2192"/>
          </w:tcPr>
          <w:p>
            <w:r/>
            <w:r>
              <w:rPr>
                <w:rFonts w:ascii="Times New Roman" w:hAnsi="Times New Roman"/>
                <w:b w:val="0"/>
                <w:sz w:val="22"/>
              </w:rPr>
              <w:t>D-08</w:t>
            </w:r>
          </w:p>
        </w:tc>
        <w:tc>
          <w:tcPr>
            <w:tcW w:type="dxa" w:w="2192"/>
          </w:tcPr>
          <w:p>
            <w:r/>
            <w:r>
              <w:rPr>
                <w:rFonts w:ascii="Times New Roman" w:hAnsi="Times New Roman"/>
                <w:b w:val="0"/>
                <w:sz w:val="22"/>
              </w:rPr>
              <w:t>Annualisering av ordrefrekvens</w:t>
            </w:r>
          </w:p>
        </w:tc>
        <w:tc>
          <w:tcPr>
            <w:tcW w:type="dxa" w:w="2192"/>
          </w:tcPr>
          <w:p>
            <w:r/>
            <w:r>
              <w:rPr>
                <w:rFonts w:ascii="Times New Roman" w:hAnsi="Times New Roman"/>
                <w:b w:val="0"/>
                <w:sz w:val="22"/>
              </w:rPr>
              <w:t>ACTUAL_FREQ = ORDER_COUNT × 12/24</w:t>
            </w:r>
          </w:p>
        </w:tc>
        <w:tc>
          <w:tcPr>
            <w:tcW w:type="dxa" w:w="2192"/>
          </w:tcPr>
          <w:p>
            <w:r/>
            <w:r>
              <w:rPr>
                <w:rFonts w:ascii="Times New Roman" w:hAnsi="Times New Roman"/>
                <w:b w:val="0"/>
                <w:sz w:val="22"/>
              </w:rPr>
              <w:t>24 mnd data → årsbasis</w:t>
            </w:r>
          </w:p>
        </w:tc>
      </w:tr>
    </w:tbl>
    <w:p>
      <w:pPr>
        <w:spacing w:line="360" w:lineRule="auto"/>
        <w:jc w:val="both"/>
      </w:pPr>
      <w:r>
        <w:rPr>
          <w:rFonts w:ascii="Times New Roman" w:hAnsi="Times New Roman" w:cs="Times New Roman"/>
          <w:sz w:val="24"/>
        </w:rPr>
        <w:t>Figur 4 nedenfor illustrerer den samlede datapipelinen fra rådata til analyseklart datasett.</w:t>
      </w:r>
    </w:p>
    <w:p>
      <w:r>
        <w:drawing>
          <wp:inline xmlns:a="http://schemas.openxmlformats.org/drawingml/2006/main" xmlns:pic="http://schemas.openxmlformats.org/drawingml/2006/picture">
            <wp:extent cx="5400000" cy="1615574"/>
            <wp:docPr id="7" name="Picture 7"/>
            <wp:cNvGraphicFramePr>
              <a:graphicFrameLocks noChangeAspect="1"/>
            </wp:cNvGraphicFramePr>
            <a:graphic>
              <a:graphicData uri="http://schemas.openxmlformats.org/drawingml/2006/picture">
                <pic:pic>
                  <pic:nvPicPr>
                    <pic:cNvPr id="0" name="Fig02_Analysepipeline.png"/>
                    <pic:cNvPicPr/>
                  </pic:nvPicPr>
                  <pic:blipFill>
                    <a:blip r:embed="rId25"/>
                    <a:stretch>
                      <a:fillRect/>
                    </a:stretch>
                  </pic:blipFill>
                  <pic:spPr>
                    <a:xfrm>
                      <a:off x="0" y="0"/>
                      <a:ext cx="5400000" cy="1615574"/>
                    </a:xfrm>
                    <a:prstGeom prst="rect"/>
                  </pic:spPr>
                </pic:pic>
              </a:graphicData>
            </a:graphic>
          </wp:inline>
        </w:drawing>
      </w:r>
    </w:p>
    <w:p>
      <w:pPr>
        <w:jc w:val="center"/>
      </w:pPr>
      <w:r>
        <w:rPr>
          <w:rFonts w:ascii="Times New Roman" w:hAnsi="Times New Roman"/>
          <w:i/>
          <w:sz w:val="20"/>
        </w:rPr>
        <w:t>Figur 4. Analysepipeline: fra SAP-rådata til HVFS-anbefaling. Generert med støtte fra Claude.</w:t>
      </w:r>
    </w:p>
    <w:p>
      <w:pPr>
        <w:pStyle w:val="Overskrift2"/>
      </w:pPr>
      <w:r>
        <w:rPr>
          <w:rFonts w:ascii="Times New Roman" w:hAnsi="Times New Roman"/>
          <w:color w:val="000000"/>
          <w:sz w:val="32"/>
        </w:rPr>
        <w:t>4.4 Etiske betraktninger og begrensninger</w:t>
      </w:r>
    </w:p>
    <w:p>
      <w:pPr>
        <w:spacing w:line="360" w:lineRule="auto"/>
        <w:jc w:val="both"/>
      </w:pPr>
      <w:r>
        <w:rPr>
          <w:rFonts w:ascii="Times New Roman" w:hAnsi="Times New Roman" w:cs="Times New Roman"/>
          <w:sz w:val="24"/>
        </w:rPr>
        <w:t>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pPr>
        <w:spacing w:line="360" w:lineRule="auto"/>
        <w:jc w:val="both"/>
      </w:pPr>
      <w:r>
        <w:rPr>
          <w:rFonts w:ascii="Times New Roman" w:hAnsi="Times New Roman" w:cs="Times New Roman"/>
          <w:sz w:val="24"/>
        </w:rPr>
        <w:t>Parametervalgene S og h er begrunnet i avsnitt 1.4 og testes i sensitivitetsanalysen (kap. 7.6). Det understrekes at verktøyet produserer et rangert beslutningsunderlag, ikke autoriserte beslutninger: en feilklassifisering – for eksempel at en klinisk kritisk artikkel anbefales overført – kan ha konsekvenser for forsyningssikkerheten. Nettopp derfor anbefales en begrenset pilotfase med faglig og klinisk gjennomgang før implementering (se kap. 9.2).</w:t>
      </w:r>
    </w:p>
    <w:p>
      <w:pPr>
        <w:spacing w:line="360" w:lineRule="auto"/>
        <w:jc w:val="both"/>
      </w:pPr>
      <w:r>
        <w:rPr>
          <w:rFonts w:ascii="Times New Roman" w:hAnsi="Times New Roman" w:cs="Times New Roman"/>
          <w:sz w:val="24"/>
        </w:rPr>
        <w:t>Standardverdien for leveringstid på 14 dager (D-05) dekker 94 % av artiklene, og er den enkeltbeslutningen som potensielt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p>
      <w:pPr>
        <w:pStyle w:val="Overskrift2"/>
      </w:pPr>
      <w:r>
        <w:rPr>
          <w:rFonts w:ascii="Times New Roman" w:hAnsi="Times New Roman"/>
          <w:color w:val="000000"/>
          <w:sz w:val="32"/>
        </w:rPr>
        <w:t>4.5 Bruk av kunstig intelligens</w:t>
      </w:r>
    </w:p>
    <w:p>
      <w:pPr>
        <w:spacing w:line="360" w:lineRule="auto"/>
        <w:jc w:val="both"/>
      </w:pPr>
      <w:r>
        <w:rPr>
          <w:rFonts w:ascii="Times New Roman" w:hAnsi="Times New Roman" w:cs="Times New Roman"/>
          <w:sz w:val="24"/>
        </w:rPr>
        <w:t>Kunstig intelligens i form av store språkmodeller ble benyttet som faglig støtteverktøy gjennom hele prosjektperioden, i tråd med retningslinjene i kursets skrivekompendium (Rekdal &amp; Pettersen, 2025). Claude ble anvendt til kodestøtte, generering av datavisualiseringer og språklig bearbeiding av rapportteksten. KI-verktøyet er ikke brukt som fagkilde og er ikke sitert som belegg for faglige påstander. All KI-generert kode og tekst er kritisk gjennomgått og revidert av forfatteren; en refleksjon over KI-brukens påvirkning på arbeidsprosessen er gitt i Vedlegg C.</w:t>
      </w:r>
    </w:p>
    <w:p>
      <w:pPr>
        <w:pStyle w:val="Overskrift1"/>
        <w:pageBreakBefore w:val="true"/>
      </w:pPr>
      <w:r>
        <w:rPr>
          <w:rFonts w:ascii="Times New Roman" w:hAnsi="Times New Roman"/>
          <w:color w:val="000000"/>
          <w:sz w:val="36"/>
        </w:rPr>
        <w:t>Kapittel 5 – Modellering</w:t>
      </w:r>
    </w:p>
    <w:p>
      <w:pPr>
        <w:pStyle w:val="Overskrift2"/>
      </w:pPr>
      <w:r>
        <w:rPr>
          <w:rFonts w:ascii="Times New Roman" w:hAnsi="Times New Roman"/>
          <w:color w:val="000000"/>
          <w:sz w:val="32"/>
        </w:rPr>
        <w:t>5.1 ABC-modellen</w:t>
      </w:r>
    </w:p>
    <w:p>
      <w:pPr>
        <w:spacing w:line="360" w:lineRule="auto"/>
        <w:jc w:val="both"/>
      </w:pPr>
      <w:r>
        <w:rPr>
          <w:rFonts w:ascii="Times New Roman" w:hAnsi="Times New Roman" w:cs="Times New Roman"/>
          <w:sz w:val="24"/>
        </w:rPr>
        <w:t>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w:t>
      </w:r>
    </w:p>
    <w:p>
      <w:pPr>
        <w:spacing w:line="360" w:lineRule="auto"/>
        <w:jc w:val="both"/>
      </w:pPr>
      <w:r>
        <w:rPr>
          <w:rFonts w:ascii="Times New Roman" w:hAnsi="Times New Roman" w:cs="Times New Roman"/>
          <w:sz w:val="24"/>
        </w:rPr>
        <w:t xml:space="preserve">For hver artikkel </w:t>
      </w:r>
      <m:oMath>
        <m:r>
          <m:t>i</m:t>
        </m:r>
      </m:oMath>
      <w:r>
        <w:rPr>
          <w:rFonts w:ascii="Times New Roman" w:hAnsi="Times New Roman" w:cs="Times New Roman"/>
          <w:sz w:val="24"/>
        </w:rPr>
        <w:t xml:space="preserve"> beregnes en årsverdi </w:t>
      </w:r>
      <m:oMath>
        <m:sSub>
          <m:e>
            <m:r>
              <m:t>v</m:t>
            </m:r>
          </m:e>
          <m:sub>
            <m:r>
              <m:t>i</m:t>
            </m:r>
          </m:sub>
        </m:sSub>
      </m:oMath>
      <w:r>
        <w:rPr>
          <w:rFonts w:ascii="Times New Roman" w:hAnsi="Times New Roman" w:cs="Times New Roman"/>
          <w:sz w:val="24"/>
        </w:rPr>
        <w:t xml:space="preserve"> som produktet av årsforbruk og enhetspris:</w:t>
      </w:r>
    </w:p>
    <w:p>
      <w:pPr>
        <w:spacing w:line="360" w:lineRule="auto"/>
        <w:jc w:val="center"/>
      </w:pPr>
      <m:oMath>
        <m:sSub>
          <m:e>
            <m:r>
              <m:t>v</m:t>
            </m:r>
          </m:e>
          <m:sub>
            <m:r>
              <m:t>i</m:t>
            </m:r>
          </m:sub>
        </m:sSub>
        <m:r>
          <m:t>=</m:t>
        </m:r>
        <m:sSub>
          <m:e>
            <m:r>
              <m:t>D</m:t>
            </m:r>
          </m:e>
          <m:sub>
            <m:r>
              <m:t>i</m:t>
            </m:r>
          </m:sub>
        </m:sSub>
        <m:r>
          <m:t>×</m:t>
        </m:r>
        <m:sSub>
          <m:e>
            <m:r>
              <m:rPr>
                <m:nor/>
              </m:rPr>
              <m:t>UNIT\_PRICE</m:t>
            </m:r>
          </m:e>
          <m:sub>
            <m:r>
              <m:t>i</m:t>
            </m:r>
          </m:sub>
        </m:sSub>
      </m:oMath>
    </w:p>
    <w:p>
      <w:pPr>
        <w:spacing w:line="360" w:lineRule="auto"/>
        <w:jc w:val="both"/>
      </w:pPr>
      <w:r>
        <w:rPr>
          <w:rFonts w:ascii="Times New Roman" w:hAnsi="Times New Roman" w:cs="Times New Roman"/>
          <w:sz w:val="24"/>
        </w:rPr>
        <w:t xml:space="preserve">Der </w:t>
      </w:r>
      <m:oMath>
        <m:sSub>
          <m:e>
            <m:r>
              <m:t>D</m:t>
            </m:r>
          </m:e>
          <m:sub>
            <m:r>
              <m:t>i</m:t>
            </m:r>
          </m:sub>
        </m:sSub>
      </m:oMath>
      <w:r>
        <w:rPr>
          <w:rFonts w:ascii="Times New Roman" w:hAnsi="Times New Roman" w:cs="Times New Roman"/>
          <w:sz w:val="24"/>
        </w:rPr>
        <w:t xml:space="preserve"> er annualisert forbruk (enheter/år) og </w:t>
      </w:r>
      <m:oMath>
        <m:sSub>
          <m:e>
            <m:r>
              <m:rPr>
                <m:nor/>
              </m:rPr>
              <m:t>UNIT\_PRICE</m:t>
            </m:r>
          </m:e>
          <m:sub>
            <m:r>
              <m:t>i</m:t>
            </m:r>
          </m:sub>
        </m:sSub>
      </m:oMath>
      <w:r>
        <w:rPr>
          <w:rFonts w:ascii="Times New Roman" w:hAnsi="Times New Roman" w:cs="Times New Roman"/>
          <w:sz w:val="24"/>
        </w:rPr>
        <w:t xml:space="preserve"> er PEINH-korrigert standardpris (NOK/enhet), jf. beslutning D-02 og D-03 i avsnitt 4.3. Artiklene sorteres deretter i synkende rekkefølge etter </w:t>
      </w:r>
      <m:oMath>
        <m:sSub>
          <m:e>
            <m:r>
              <m:t>v</m:t>
            </m:r>
          </m:e>
          <m:sub>
            <m:r>
              <m:t>i</m:t>
            </m:r>
          </m:sub>
        </m:sSub>
      </m:oMath>
      <w:r>
        <w:rPr>
          <w:rFonts w:ascii="Times New Roman" w:hAnsi="Times New Roman" w:cs="Times New Roman"/>
          <w:sz w:val="24"/>
        </w:rPr>
        <w:t xml:space="preserve">, og kumulativ verdiandel </w:t>
      </w:r>
      <m:oMath>
        <m:sSub>
          <m:e>
            <m:r>
              <m:t>C</m:t>
            </m:r>
          </m:e>
          <m:sub>
            <m:r>
              <m:t>i</m:t>
            </m:r>
          </m:sub>
        </m:sSub>
      </m:oMath>
      <w:r>
        <w:rPr>
          <w:rFonts w:ascii="Times New Roman" w:hAnsi="Times New Roman" w:cs="Times New Roman"/>
          <w:sz w:val="24"/>
        </w:rPr>
        <w:t xml:space="preserve"> beregnes som:</w:t>
      </w:r>
    </w:p>
    <w:p>
      <w:pPr>
        <w:spacing w:line="360" w:lineRule="auto"/>
        <w:jc w:val="center"/>
      </w:pPr>
      <m:oMath>
        <m:sSub>
          <m:e>
            <m:r>
              <m:t>C</m:t>
            </m:r>
          </m:e>
          <m:sub>
            <m:r>
              <m:t>i</m:t>
            </m:r>
          </m:sub>
        </m:sSub>
        <m:r>
          <m:t>=</m:t>
        </m:r>
        <m:f>
          <m:fPr>
            <m:type m:val="bar"/>
          </m:fPr>
          <m:num>
            <m:nary>
              <m:naryPr>
                <m:chr m:val="∑"/>
                <m:limLoc m:val="subSup"/>
                <m:grow m:val="1"/>
                <m:subHide m:val="off"/>
                <m:supHide m:val="off"/>
              </m:naryPr>
              <m:sub>
                <m:r>
                  <m:t>j=1</m:t>
                </m:r>
              </m:sub>
              <m:sup>
                <m:r>
                  <m:t>i</m:t>
                </m:r>
              </m:sup>
              <m:e>
                <m:sSub>
                  <m:e>
                    <m:r>
                      <m:t>v</m:t>
                    </m:r>
                  </m:e>
                  <m:sub>
                    <m:r>
                      <m:t>j</m:t>
                    </m:r>
                  </m:sub>
                </m:sSub>
              </m:e>
            </m:nary>
          </m:num>
          <m:den>
            <m:sSub>
              <m:e>
                <m:r>
                  <m:t>V</m:t>
                </m:r>
              </m:e>
              <m:sub>
                <m:r>
                  <m:rPr>
                    <m:nor/>
                  </m:rPr>
                  <m:t>tot</m:t>
                </m:r>
              </m:sub>
            </m:sSub>
          </m:den>
        </m:f>
      </m:oMath>
    </w:p>
    <w:p>
      <w:pPr>
        <w:spacing w:line="360" w:lineRule="auto"/>
        <w:jc w:val="both"/>
      </w:pPr>
      <w:r>
        <w:rPr>
          <w:rFonts w:ascii="Times New Roman" w:hAnsi="Times New Roman" w:cs="Times New Roman"/>
          <w:sz w:val="24"/>
        </w:rPr>
        <w:t xml:space="preserve">der </w:t>
      </w:r>
      <m:oMath>
        <m:sSub>
          <m:e>
            <m:r>
              <m:t>V</m:t>
            </m:r>
          </m:e>
          <m:sub>
            <m:r>
              <m:rPr>
                <m:nor/>
              </m:rPr>
              <m:t>tot</m:t>
            </m:r>
          </m:sub>
        </m:sSub>
        <m:r>
          <m:t>=</m:t>
        </m:r>
        <m:nary>
          <m:naryPr>
            <m:chr m:val="∑"/>
            <m:limLoc m:val="subSup"/>
            <m:grow m:val="1"/>
            <m:subHide m:val="off"/>
            <m:supHide m:val="off"/>
          </m:naryPr>
          <m:sub>
            <m:r>
              <m:t>j=1</m:t>
            </m:r>
          </m:sub>
          <m:sup>
            <m:r>
              <m:t>N</m:t>
            </m:r>
          </m:sup>
          <m:e>
            <m:sSub>
              <m:e>
                <m:r>
                  <m:t>v</m:t>
                </m:r>
              </m:e>
              <m:sub>
                <m:r>
                  <m:t>j</m:t>
                </m:r>
              </m:sub>
            </m:sSub>
          </m:e>
        </m:nary>
      </m:oMath>
      <w:r>
        <w:rPr>
          <w:rFonts w:ascii="Times New Roman" w:hAnsi="Times New Roman" w:cs="Times New Roman"/>
          <w:sz w:val="24"/>
        </w:rPr>
        <w:t xml:space="preserve"> er total årsverdi over alle </w:t>
      </w:r>
      <m:oMath>
        <m:r>
          <m:t>N</m:t>
        </m:r>
      </m:oMath>
      <w:r>
        <w:rPr>
          <w:rFonts w:ascii="Times New Roman" w:hAnsi="Times New Roman" w:cs="Times New Roman"/>
          <w:sz w:val="24"/>
        </w:rPr>
        <w:t xml:space="preserve"> artikler. En artikkel tilhører A-klassen dersom </w:t>
      </w:r>
      <m:oMath>
        <m:sSub>
          <m:e>
            <m:r>
              <m:t>C</m:t>
            </m:r>
          </m:e>
          <m:sub>
            <m:r>
              <m:t>i</m:t>
            </m:r>
          </m:sub>
        </m:sSub>
        <m:r>
          <m:t>≤0</m:t>
        </m:r>
        <m:r>
          <m:t>,</m:t>
        </m:r>
        <m:r>
          <m:t>80</m:t>
        </m:r>
      </m:oMath>
      <w:r>
        <w:rPr>
          <w:rFonts w:ascii="Times New Roman" w:hAnsi="Times New Roman" w:cs="Times New Roman"/>
          <w:sz w:val="24"/>
        </w:rPr>
        <w:t xml:space="preserve">, B-klassen dersom </w:t>
      </w:r>
      <m:oMath>
        <m:r>
          <m:t>0</m:t>
        </m:r>
        <m:r>
          <m:t>,</m:t>
        </m:r>
        <m:r>
          <m:t>80&lt;</m:t>
        </m:r>
        <m:sSub>
          <m:e>
            <m:r>
              <m:t>C</m:t>
            </m:r>
          </m:e>
          <m:sub>
            <m:r>
              <m:t>i</m:t>
            </m:r>
          </m:sub>
        </m:sSub>
        <m:r>
          <m:t>≤0</m:t>
        </m:r>
        <m:r>
          <m:t>,</m:t>
        </m:r>
        <m:r>
          <m:t>95</m:t>
        </m:r>
      </m:oMath>
      <w:r>
        <w:rPr>
          <w:rFonts w:ascii="Times New Roman" w:hAnsi="Times New Roman" w:cs="Times New Roman"/>
          <w:sz w:val="24"/>
        </w:rPr>
        <w:t>, og C-klassen ellers.</w:t>
      </w:r>
    </w:p>
    <w:p>
      <w:pPr>
        <w:spacing w:line="360" w:lineRule="auto"/>
        <w:jc w:val="both"/>
      </w:pPr>
      <w:r>
        <w:rPr>
          <w:rFonts w:ascii="Times New Roman" w:hAnsi="Times New Roman" w:cs="Times New Roman"/>
          <w:sz w:val="24"/>
        </w:rPr>
        <w:t>Klassifiseringsgrensene er satt i henhold til standard ABC-litteratur (Silaen et al., 2023):</w:t>
      </w:r>
    </w:p>
    <w:p>
      <w:r>
        <w:rPr>
          <w:rFonts w:ascii="Times New Roman" w:hAnsi="Times New Roman"/>
          <w:b/>
          <w:sz w:val="20"/>
        </w:rPr>
        <w:t>Tabell 6</w:t>
      </w:r>
    </w:p>
    <w:p>
      <w:r>
        <w:rPr>
          <w:rFonts w:ascii="Times New Roman" w:hAnsi="Times New Roman"/>
          <w:i/>
          <w:sz w:val="20"/>
        </w:rPr>
        <w:t>Modellparametere: ABC-klassifiseringsgrenser og øvrige analyseinnstillinger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Parameter</w:t>
            </w:r>
          </w:p>
        </w:tc>
        <w:tc>
          <w:tcPr>
            <w:tcW w:type="dxa" w:w="2923"/>
            <w:tcBorders>
              <w:top w:val="single" w:sz="8" w:space="0" w:color="000000"/>
              <w:bottom w:val="single" w:sz="4" w:space="0" w:color="000000"/>
              <w:left w:val="nil"/>
              <w:right w:val="nil"/>
            </w:tcBorders>
          </w:tcPr>
          <w:p>
            <w:r/>
            <w:r>
              <w:rPr>
                <w:rFonts w:ascii="Times New Roman" w:hAnsi="Times New Roman"/>
                <w:b/>
                <w:sz w:val="22"/>
              </w:rPr>
              <w:t>Verdi</w:t>
            </w:r>
          </w:p>
        </w:tc>
        <w:tc>
          <w:tcPr>
            <w:tcW w:type="dxa" w:w="2923"/>
            <w:tcBorders>
              <w:top w:val="single" w:sz="8" w:space="0" w:color="000000"/>
              <w:bottom w:val="single" w:sz="4" w:space="0" w:color="000000"/>
              <w:left w:val="nil"/>
              <w:right w:val="nil"/>
            </w:tcBorders>
          </w:tcPr>
          <w:p>
            <w:r/>
            <w:r>
              <w:rPr>
                <w:rFonts w:ascii="Times New Roman" w:hAnsi="Times New Roman"/>
                <w:b/>
                <w:sz w:val="22"/>
              </w:rPr>
              <w:t>Kilde/Begrunnelse</w:t>
            </w:r>
          </w:p>
        </w:tc>
      </w:tr>
      <w:tr>
        <w:tc>
          <w:tcPr>
            <w:tcW w:type="dxa" w:w="2923"/>
          </w:tcPr>
          <w:p>
            <w:r/>
            <w:r>
              <w:rPr>
                <w:rFonts w:ascii="Times New Roman" w:hAnsi="Times New Roman"/>
                <w:b w:val="0"/>
                <w:sz w:val="22"/>
              </w:rPr>
              <w:t>ABC A-grense</w:t>
            </w:r>
          </w:p>
        </w:tc>
        <w:tc>
          <w:tcPr>
            <w:tcW w:type="dxa" w:w="2923"/>
          </w:tcPr>
          <w:p>
            <w:r/>
            <w:r>
              <w:rPr>
                <w:rFonts w:ascii="Times New Roman" w:hAnsi="Times New Roman"/>
                <w:b w:val="0"/>
                <w:sz w:val="22"/>
              </w:rPr>
              <w:t>80 % kumulativ verdi</w:t>
            </w:r>
          </w:p>
        </w:tc>
        <w:tc>
          <w:tcPr>
            <w:tcW w:type="dxa" w:w="2923"/>
          </w:tcPr>
          <w:p>
            <w:r/>
            <w:r>
              <w:rPr>
                <w:rFonts w:ascii="Times New Roman" w:hAnsi="Times New Roman"/>
                <w:b w:val="0"/>
                <w:sz w:val="22"/>
              </w:rPr>
              <w:t>Silaen et al. (2023)</w:t>
            </w:r>
          </w:p>
        </w:tc>
      </w:tr>
      <w:tr>
        <w:tc>
          <w:tcPr>
            <w:tcW w:type="dxa" w:w="2923"/>
          </w:tcPr>
          <w:p>
            <w:r/>
            <w:r>
              <w:rPr>
                <w:rFonts w:ascii="Times New Roman" w:hAnsi="Times New Roman"/>
                <w:b w:val="0"/>
                <w:sz w:val="22"/>
              </w:rPr>
              <w:t>ABC B-grense</w:t>
            </w:r>
          </w:p>
        </w:tc>
        <w:tc>
          <w:tcPr>
            <w:tcW w:type="dxa" w:w="2923"/>
          </w:tcPr>
          <w:p>
            <w:r/>
            <w:r>
              <w:rPr>
                <w:rFonts w:ascii="Times New Roman" w:hAnsi="Times New Roman"/>
                <w:b w:val="0"/>
                <w:sz w:val="22"/>
              </w:rPr>
              <w:t>95 % kumulativ verdi</w:t>
            </w:r>
          </w:p>
        </w:tc>
        <w:tc>
          <w:tcPr>
            <w:tcW w:type="dxa" w:w="2923"/>
          </w:tcPr>
          <w:p>
            <w:r/>
            <w:r>
              <w:rPr>
                <w:rFonts w:ascii="Times New Roman" w:hAnsi="Times New Roman"/>
                <w:b w:val="0"/>
                <w:sz w:val="22"/>
              </w:rPr>
              <w:t>Silaen et al. (2023)</w:t>
            </w:r>
          </w:p>
        </w:tc>
      </w:tr>
      <w:tr>
        <w:tc>
          <w:tcPr>
            <w:tcW w:type="dxa" w:w="2923"/>
          </w:tcPr>
          <w:p>
            <w:r/>
            <w:r>
              <w:rPr>
                <w:rFonts w:ascii="Times New Roman" w:hAnsi="Times New Roman"/>
                <w:b w:val="0"/>
                <w:sz w:val="22"/>
              </w:rPr>
              <w:t>XYZ X-grense</w:t>
            </w:r>
          </w:p>
        </w:tc>
        <w:tc>
          <w:tcPr>
            <w:tcW w:type="dxa" w:w="2923"/>
          </w:tcPr>
          <w:p>
            <w:r/>
            <w:r>
              <w:rPr>
                <w:rFonts w:ascii="Times New Roman" w:hAnsi="Times New Roman"/>
                <w:b w:val="0"/>
                <w:sz w:val="22"/>
              </w:rPr>
              <w:t>CV &lt; 0,5</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XYZ Y-grense</w:t>
            </w:r>
          </w:p>
        </w:tc>
        <w:tc>
          <w:tcPr>
            <w:tcW w:type="dxa" w:w="2923"/>
          </w:tcPr>
          <w:p>
            <w:r/>
            <w:r>
              <w:rPr>
                <w:rFonts w:ascii="Times New Roman" w:hAnsi="Times New Roman"/>
                <w:b w:val="0"/>
                <w:sz w:val="22"/>
              </w:rPr>
              <w:t>0,5 ≤ CV &lt; 1,0</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XYZ Z-grense</w:t>
            </w:r>
          </w:p>
        </w:tc>
        <w:tc>
          <w:tcPr>
            <w:tcW w:type="dxa" w:w="2923"/>
          </w:tcPr>
          <w:p>
            <w:r/>
            <w:r>
              <w:rPr>
                <w:rFonts w:ascii="Times New Roman" w:hAnsi="Times New Roman"/>
                <w:b w:val="0"/>
                <w:sz w:val="22"/>
              </w:rPr>
              <w:t>CV ≥ 1,0</w:t>
            </w:r>
          </w:p>
        </w:tc>
        <w:tc>
          <w:tcPr>
            <w:tcW w:type="dxa" w:w="2923"/>
          </w:tcPr>
          <w:p>
            <w:r/>
            <w:r>
              <w:rPr>
                <w:rFonts w:ascii="Times New Roman" w:hAnsi="Times New Roman"/>
                <w:b w:val="0"/>
                <w:sz w:val="22"/>
              </w:rPr>
              <w:t>Nowotyńska (2013)</w:t>
            </w:r>
          </w:p>
        </w:tc>
      </w:tr>
      <w:tr>
        <w:tc>
          <w:tcPr>
            <w:tcW w:type="dxa" w:w="2923"/>
          </w:tcPr>
          <w:p>
            <w:r/>
            <w:r>
              <w:rPr>
                <w:rFonts w:ascii="Times New Roman" w:hAnsi="Times New Roman"/>
                <w:b w:val="0"/>
                <w:sz w:val="22"/>
              </w:rPr>
              <w:t>Ordrekostnad S</w:t>
            </w:r>
          </w:p>
        </w:tc>
        <w:tc>
          <w:tcPr>
            <w:tcW w:type="dxa" w:w="2923"/>
          </w:tcPr>
          <w:p>
            <w:r/>
            <w:r>
              <w:rPr>
                <w:rFonts w:ascii="Times New Roman" w:hAnsi="Times New Roman"/>
                <w:b w:val="0"/>
                <w:sz w:val="22"/>
              </w:rPr>
              <w:t>750 NOK</w:t>
            </w:r>
          </w:p>
        </w:tc>
        <w:tc>
          <w:tcPr>
            <w:tcW w:type="dxa" w:w="2923"/>
          </w:tcPr>
          <w:p>
            <w:r/>
            <w:r>
              <w:rPr>
                <w:rFonts w:ascii="Times New Roman" w:hAnsi="Times New Roman"/>
                <w:b w:val="0"/>
                <w:sz w:val="22"/>
              </w:rPr>
              <w:t>Bijvank &amp; Vis (2012); Kelle et al. (2012)</w:t>
            </w:r>
          </w:p>
        </w:tc>
      </w:tr>
      <w:tr>
        <w:tc>
          <w:tcPr>
            <w:tcW w:type="dxa" w:w="2923"/>
          </w:tcPr>
          <w:p>
            <w:r/>
            <w:r>
              <w:rPr>
                <w:rFonts w:ascii="Times New Roman" w:hAnsi="Times New Roman"/>
                <w:b w:val="0"/>
                <w:sz w:val="22"/>
              </w:rPr>
              <w:t>Holdesats h</w:t>
            </w:r>
          </w:p>
        </w:tc>
        <w:tc>
          <w:tcPr>
            <w:tcW w:type="dxa" w:w="2923"/>
          </w:tcPr>
          <w:p>
            <w:r/>
            <w:r>
              <w:rPr>
                <w:rFonts w:ascii="Times New Roman" w:hAnsi="Times New Roman"/>
                <w:b w:val="0"/>
                <w:sz w:val="22"/>
              </w:rPr>
              <w:t>20 % av UNIT_PRICE</w:t>
            </w:r>
          </w:p>
        </w:tc>
        <w:tc>
          <w:tcPr>
            <w:tcW w:type="dxa" w:w="2923"/>
          </w:tcPr>
          <w:p>
            <w:r/>
            <w:r>
              <w:rPr>
                <w:rFonts w:ascii="Times New Roman" w:hAnsi="Times New Roman"/>
                <w:b w:val="0"/>
                <w:sz w:val="22"/>
              </w:rPr>
              <w:t>Ketkar &amp; Vaidya (2014)</w:t>
            </w:r>
          </w:p>
        </w:tc>
      </w:tr>
      <w:tr>
        <w:tc>
          <w:tcPr>
            <w:tcW w:type="dxa" w:w="2923"/>
          </w:tcPr>
          <w:p>
            <w:r/>
            <w:r>
              <w:rPr>
                <w:rFonts w:ascii="Times New Roman" w:hAnsi="Times New Roman"/>
                <w:b w:val="0"/>
                <w:sz w:val="22"/>
              </w:rPr>
              <w:t>Leveringstid standardverdi</w:t>
            </w:r>
          </w:p>
        </w:tc>
        <w:tc>
          <w:tcPr>
            <w:tcW w:type="dxa" w:w="2923"/>
          </w:tcPr>
          <w:p>
            <w:r/>
            <w:r>
              <w:rPr>
                <w:rFonts w:ascii="Times New Roman" w:hAnsi="Times New Roman"/>
                <w:b w:val="0"/>
                <w:sz w:val="22"/>
              </w:rPr>
              <w:t>14 dager</w:t>
            </w:r>
          </w:p>
        </w:tc>
        <w:tc>
          <w:tcPr>
            <w:tcW w:type="dxa" w:w="2923"/>
          </w:tcPr>
          <w:p>
            <w:r/>
            <w:r>
              <w:rPr>
                <w:rFonts w:ascii="Times New Roman" w:hAnsi="Times New Roman"/>
                <w:b w:val="0"/>
                <w:sz w:val="22"/>
              </w:rPr>
              <w:t>Bransjepraksis (D-05)</w:t>
            </w:r>
          </w:p>
        </w:tc>
      </w:tr>
      <w:tr>
        <w:tc>
          <w:tcPr>
            <w:tcW w:type="dxa" w:w="2923"/>
          </w:tcPr>
          <w:p>
            <w:r/>
            <w:r>
              <w:rPr>
                <w:rFonts w:ascii="Times New Roman" w:hAnsi="Times New Roman"/>
                <w:b w:val="0"/>
                <w:sz w:val="22"/>
              </w:rPr>
              <w:t>EOQ-terskel τ_f</w:t>
            </w:r>
          </w:p>
        </w:tc>
        <w:tc>
          <w:tcPr>
            <w:tcW w:type="dxa" w:w="2923"/>
          </w:tcPr>
          <w:p>
            <w:r/>
            <w:r>
              <w:rPr>
                <w:rFonts w:ascii="Times New Roman" w:hAnsi="Times New Roman"/>
                <w:b w:val="0"/>
                <w:sz w:val="22"/>
              </w:rPr>
              <w:t>1,5 (</w:t>
            </w:r>
            <m:oMath>
              <m:sSub>
                <m:e>
                  <m:r>
                    <m:t>f</m:t>
                  </m:r>
                </m:e>
                <m:sub>
                  <m:r>
                    <m:rPr>
                      <m:nor/>
                    </m:rPr>
                    <m:t>obs</m:t>
                  </m:r>
                  <m:r>
                    <m:t>,i</m:t>
                  </m:r>
                </m:sub>
              </m:sSub>
              <m:r>
                <m:t>&gt;1</m:t>
              </m:r>
              <m:r>
                <m:t>,</m:t>
              </m:r>
              <m:r>
                <m:t>5·</m:t>
              </m:r>
              <m:sSubSup>
                <m:e>
                  <m:r>
                    <m:t>f</m:t>
                  </m:r>
                </m:e>
                <m:sub>
                  <m:r>
                    <m:t>i</m:t>
                  </m:r>
                </m:sub>
                <m:sup>
                  <m:r>
                    <m:t>*</m:t>
                  </m:r>
                </m:sup>
              </m:sSubSup>
            </m:oMath>
            <w:r>
              <w:rPr>
                <w:rFonts w:ascii="Times New Roman" w:hAnsi="Times New Roman"/>
                <w:b w:val="0"/>
                <w:sz w:val="22"/>
              </w:rPr>
              <w:t>, dvs. FREQ_AVVIK &gt; 0,5)</w:t>
            </w:r>
          </w:p>
        </w:tc>
        <w:tc>
          <w:tcPr>
            <w:tcW w:type="dxa" w:w="2923"/>
          </w:tcPr>
          <w:p>
            <w:r/>
            <w:r>
              <w:rPr>
                <w:rFonts w:ascii="Times New Roman" w:hAnsi="Times New Roman"/>
                <w:b w:val="0"/>
                <w:sz w:val="22"/>
              </w:rPr>
              <w:t>Operasjonelt vesentlig avvik</w:t>
            </w:r>
          </w:p>
        </w:tc>
      </w:tr>
      <w:tr>
        <w:tc>
          <w:tcPr>
            <w:tcW w:type="dxa" w:w="2923"/>
          </w:tcPr>
          <w:p>
            <w:r/>
            <w:r>
              <w:rPr>
                <w:rFonts w:ascii="Times New Roman" w:hAnsi="Times New Roman"/>
                <w:b w:val="0"/>
                <w:sz w:val="22"/>
              </w:rPr>
              <w:t>K-means K-søk</w:t>
            </w:r>
          </w:p>
        </w:tc>
        <w:tc>
          <w:tcPr>
            <w:tcW w:type="dxa" w:w="2923"/>
          </w:tcPr>
          <w:p>
            <w:r/>
            <w:r>
              <w:rPr>
                <w:rFonts w:ascii="Times New Roman" w:hAnsi="Times New Roman"/>
                <w:b w:val="0"/>
                <w:sz w:val="22"/>
              </w:rPr>
              <w:t>K ∈ {2, 3, 4, 5, 6, 7}</w:t>
            </w:r>
          </w:p>
        </w:tc>
        <w:tc>
          <w:tcPr>
            <w:tcW w:type="dxa" w:w="2923"/>
          </w:tcPr>
          <w:p>
            <w:r/>
            <w:r>
              <w:rPr>
                <w:rFonts w:ascii="Times New Roman" w:hAnsi="Times New Roman"/>
                <w:b w:val="0"/>
                <w:sz w:val="22"/>
              </w:rPr>
              <w:t>Silhouette-optimering</w:t>
            </w:r>
          </w:p>
        </w:tc>
      </w:tr>
      <w:tr>
        <w:tc>
          <w:tcPr>
            <w:tcW w:type="dxa" w:w="2923"/>
          </w:tcPr>
          <w:p>
            <w:r/>
            <w:r>
              <w:rPr>
                <w:rFonts w:ascii="Times New Roman" w:hAnsi="Times New Roman"/>
                <w:b w:val="0"/>
                <w:sz w:val="22"/>
              </w:rPr>
              <w:t>K-means n_init</w:t>
            </w:r>
          </w:p>
        </w:tc>
        <w:tc>
          <w:tcPr>
            <w:tcW w:type="dxa" w:w="2923"/>
          </w:tcPr>
          <w:p>
            <w:r/>
            <w:r>
              <w:rPr>
                <w:rFonts w:ascii="Times New Roman" w:hAnsi="Times New Roman"/>
                <w:b w:val="0"/>
                <w:sz w:val="22"/>
              </w:rPr>
              <w:t>50</w:t>
            </w:r>
          </w:p>
        </w:tc>
        <w:tc>
          <w:tcPr>
            <w:tcW w:type="dxa" w:w="2923"/>
          </w:tcPr>
          <w:p>
            <w:r/>
            <w:r>
              <w:rPr>
                <w:rFonts w:ascii="Times New Roman" w:hAnsi="Times New Roman"/>
                <w:b w:val="0"/>
                <w:sz w:val="22"/>
              </w:rPr>
              <w:t>Robust initialisering</w:t>
            </w:r>
          </w:p>
        </w:tc>
      </w:tr>
      <w:tr>
        <w:tc>
          <w:tcPr>
            <w:tcW w:type="dxa" w:w="2923"/>
          </w:tcPr>
          <w:p>
            <w:r/>
            <w:r>
              <w:rPr>
                <w:rFonts w:ascii="Times New Roman" w:hAnsi="Times New Roman"/>
                <w:b w:val="0"/>
                <w:sz w:val="22"/>
              </w:rPr>
              <w:t>Random state</w:t>
            </w:r>
          </w:p>
        </w:tc>
        <w:tc>
          <w:tcPr>
            <w:tcW w:type="dxa" w:w="2923"/>
          </w:tcPr>
          <w:p>
            <w:r/>
            <w:r>
              <w:rPr>
                <w:rFonts w:ascii="Times New Roman" w:hAnsi="Times New Roman"/>
                <w:b w:val="0"/>
                <w:sz w:val="22"/>
              </w:rPr>
              <w:t>42</w:t>
            </w:r>
          </w:p>
        </w:tc>
        <w:tc>
          <w:tcPr>
            <w:tcW w:type="dxa" w:w="2923"/>
          </w:tcPr>
          <w:p>
            <w:r/>
            <w:r>
              <w:rPr>
                <w:rFonts w:ascii="Times New Roman" w:hAnsi="Times New Roman"/>
                <w:b w:val="0"/>
                <w:sz w:val="22"/>
              </w:rPr>
              <w:t>Reproduserbarhet</w:t>
            </w:r>
          </w:p>
        </w:tc>
      </w:tr>
      <w:tr>
        <w:tc>
          <w:tcPr>
            <w:tcW w:type="dxa" w:w="2923"/>
          </w:tcPr>
          <w:p>
            <w:r/>
            <w:r>
              <w:rPr>
                <w:rFonts w:ascii="Times New Roman" w:hAnsi="Times New Roman"/>
                <w:b w:val="0"/>
                <w:sz w:val="22"/>
              </w:rPr>
              <w:t>Train/test split</w:t>
            </w:r>
          </w:p>
        </w:tc>
        <w:tc>
          <w:tcPr>
            <w:tcW w:type="dxa" w:w="2923"/>
          </w:tcPr>
          <w:p>
            <w:r/>
            <w:r>
              <w:rPr>
                <w:rFonts w:ascii="Times New Roman" w:hAnsi="Times New Roman"/>
                <w:b w:val="0"/>
                <w:sz w:val="22"/>
              </w:rPr>
              <w:t>80/20</w:t>
            </w:r>
          </w:p>
        </w:tc>
        <w:tc>
          <w:tcPr>
            <w:tcW w:type="dxa" w:w="2923"/>
          </w:tcPr>
          <w:p>
            <w:r/>
            <w:r>
              <w:rPr>
                <w:rFonts w:ascii="Times New Roman" w:hAnsi="Times New Roman"/>
                <w:b w:val="0"/>
                <w:sz w:val="22"/>
              </w:rPr>
              <w:t>Standard validering</w:t>
            </w:r>
          </w:p>
        </w:tc>
      </w:tr>
    </w:tbl>
    <w:p>
      <w:pPr>
        <w:spacing w:line="360" w:lineRule="auto"/>
        <w:jc w:val="both"/>
      </w:pPr>
      <w:r>
        <w:rPr>
          <w:rFonts w:ascii="Times New Roman" w:hAnsi="Times New Roman" w:cs="Times New Roman"/>
          <w:sz w:val="24"/>
        </w:rPr>
        <w:t>Grensene 80 % og 95 % er i tråd med den klassiske Pareto-inndelingen og er konsistente med anbefalingene i van Kampen et al. (2012). Sorteringen og kumulative beregningene er implementert med pandas (McKinney, 2010), og ingen manuell justering av enkeltartikler er foretatt.</w:t>
      </w:r>
    </w:p>
    <w:p>
      <w:pPr>
        <w:pStyle w:val="Overskrift2"/>
      </w:pPr>
      <w:r>
        <w:rPr>
          <w:rFonts w:ascii="Times New Roman" w:hAnsi="Times New Roman"/>
          <w:color w:val="000000"/>
          <w:sz w:val="32"/>
        </w:rPr>
        <w:t>5.2 XYZ-modellen</w:t>
      </w:r>
    </w:p>
    <w:p>
      <w:pPr>
        <w:spacing w:line="360" w:lineRule="auto"/>
        <w:jc w:val="both"/>
      </w:pPr>
      <w:r>
        <w:rPr>
          <w:rFonts w:ascii="Times New Roman" w:hAnsi="Times New Roman" w:cs="Times New Roman"/>
          <w:sz w:val="24"/>
        </w:rPr>
        <w:t>XYZ-klassifisering beskriver stabilitet i forbruksmønsteret over tid, og komplementerer ABC-analysen ved å skille artikler med forutsigbar etterspørsel fra artikler med uregelmessig forbruk (Nowotyńska, 2013). Grunnlaget for klassifiseringen er variasjonskoeffisienten CV (coefficient of variation), beregnet fra månedlig forbruk over analyseperioden på 24 måneder:</w:t>
      </w:r>
    </w:p>
    <w:p>
      <w:pPr>
        <w:spacing w:line="360" w:lineRule="auto"/>
        <w:jc w:val="center"/>
      </w:pPr>
      <m:oMath>
        <m:sSub>
          <m:e>
            <m:r>
              <m:rPr>
                <m:nor/>
              </m:rPr>
              <m:t>CV</m:t>
            </m:r>
          </m:e>
          <m:sub>
            <m:r>
              <m:t>i</m:t>
            </m:r>
          </m:sub>
        </m:sSub>
        <m:r>
          <m:t>=</m:t>
        </m:r>
        <m:f>
          <m:fPr>
            <m:type m:val="bar"/>
          </m:fPr>
          <m:num>
            <m:sSub>
              <m:e>
                <m:r>
                  <m:t>σ</m:t>
                </m:r>
              </m:e>
              <m:sub>
                <m:r>
                  <m:t>i</m:t>
                </m:r>
              </m:sub>
            </m:sSub>
          </m:num>
          <m:den>
            <m:sSub>
              <m:e>
                <m:r>
                  <m:t>μ</m:t>
                </m:r>
              </m:e>
              <m:sub>
                <m:r>
                  <m:t>i</m:t>
                </m:r>
              </m:sub>
            </m:sSub>
          </m:den>
        </m:f>
      </m:oMath>
    </w:p>
    <w:p>
      <w:pPr>
        <w:spacing w:line="360" w:lineRule="auto"/>
        <w:jc w:val="both"/>
      </w:pPr>
      <w:r>
        <w:rPr>
          <w:rFonts w:ascii="Times New Roman" w:hAnsi="Times New Roman" w:cs="Times New Roman"/>
          <w:sz w:val="24"/>
        </w:rPr>
        <w:t xml:space="preserve">der </w:t>
      </w:r>
      <m:oMath>
        <m:sSub>
          <m:e>
            <m:r>
              <m:t>σ</m:t>
            </m:r>
          </m:e>
          <m:sub>
            <m:r>
              <m:t>i</m:t>
            </m:r>
          </m:sub>
        </m:sSub>
      </m:oMath>
      <w:r>
        <w:rPr>
          <w:rFonts w:ascii="Times New Roman" w:hAnsi="Times New Roman" w:cs="Times New Roman"/>
          <w:sz w:val="24"/>
        </w:rPr>
        <w:t xml:space="preserve"> er standardavviket og </w:t>
      </w:r>
      <m:oMath>
        <m:sSub>
          <m:e>
            <m:r>
              <m:t>μ</m:t>
            </m:r>
          </m:e>
          <m:sub>
            <m:r>
              <m:t>i</m:t>
            </m:r>
          </m:sub>
        </m:sSub>
      </m:oMath>
      <w:r>
        <w:rPr>
          <w:rFonts w:ascii="Times New Roman" w:hAnsi="Times New Roman" w:cs="Times New Roman"/>
          <w:sz w:val="24"/>
        </w:rPr>
        <w:t xml:space="preserve"> er gjennomsnittet av månedlig forbruk for artikkel </w:t>
      </w:r>
      <m:oMath>
        <m:r>
          <m:t>i</m:t>
        </m:r>
      </m:oMath>
      <w:r>
        <w:rPr>
          <w:rFonts w:ascii="Times New Roman" w:hAnsi="Times New Roman" w:cs="Times New Roman"/>
          <w:sz w:val="24"/>
        </w:rPr>
        <w:t>,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fremgår av Tabell 6 ovenfor.</w:t>
      </w:r>
    </w:p>
    <w:p>
      <w:pPr>
        <w:spacing w:line="360" w:lineRule="auto"/>
        <w:jc w:val="both"/>
      </w:pPr>
      <w:r>
        <w:rPr>
          <w:rFonts w:ascii="Times New Roman" w:hAnsi="Times New Roman" w:cs="Times New Roman"/>
          <w:sz w:val="24"/>
        </w:rPr>
        <w:t>Kombinasjonen av ABC og XYZ gir en ni-felts matrise (AX, AY, AZ … CZ) som nyanserer styringsbeslutningen: en AX-artikkel er både høyverdi og forutsigbar, og er dermed velegnet for automatisert etterfylling med stram styring, mens en CZ-artikkel er lavverdi og uregelmessig, og typisk bør håndteres med en reaktiv, behovsstyrt tilnærming (Ketkar &amp; Vaidya, 2014). Matrisen er ikke et mål i seg selv, men fungerer som ett av tre inngangssignaler til regelmotoren beskrevet i avsnitt 5.5.</w:t>
      </w:r>
    </w:p>
    <w:p>
      <w:pPr>
        <w:spacing w:line="360" w:lineRule="auto"/>
        <w:jc w:val="both"/>
      </w:pPr>
      <w:r>
        <w:rPr>
          <w:rFonts w:ascii="Times New Roman" w:hAnsi="Times New Roman" w:cs="Times New Roman"/>
          <w:sz w:val="24"/>
        </w:rPr>
        <w:t>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p>
      <w:pPr>
        <w:pStyle w:val="Overskrift2"/>
      </w:pPr>
      <w:r>
        <w:rPr>
          <w:rFonts w:ascii="Times New Roman" w:hAnsi="Times New Roman"/>
          <w:color w:val="000000"/>
          <w:sz w:val="32"/>
        </w:rPr>
        <w:t>5.3 EOQ-modellen og besparelsesformelen</w:t>
      </w:r>
    </w:p>
    <w:p>
      <w:pPr>
        <w:spacing w:line="360" w:lineRule="auto"/>
        <w:jc w:val="both"/>
      </w:pPr>
      <w:r>
        <w:rPr>
          <w:rFonts w:ascii="Times New Roman" w:hAnsi="Times New Roman" w:cs="Times New Roman"/>
          <w:b/>
          <w:sz w:val="24"/>
        </w:rPr>
        <w:t>Wilson EOQ-modell.</w:t>
      </w:r>
      <w:r>
        <w:rPr>
          <w:rFonts w:ascii="Times New Roman" w:hAnsi="Times New Roman" w:cs="Times New Roman"/>
          <w:sz w:val="24"/>
        </w:rPr>
        <w:t xml:space="preserve"> Den klassiske Wilson-formelen gir den ordrekvantum </w:t>
      </w:r>
      <m:oMath>
        <m:sSup>
          <m:e>
            <m:r>
              <m:t>Q</m:t>
            </m:r>
          </m:e>
          <m:sup>
            <m:r>
              <m:t>*</m:t>
            </m:r>
          </m:sup>
        </m:sSup>
      </m:oMath>
      <w:r>
        <w:rPr>
          <w:rFonts w:ascii="Times New Roman" w:hAnsi="Times New Roman" w:cs="Times New Roman"/>
          <w:sz w:val="24"/>
        </w:rPr>
        <w:t xml:space="preserve"> som minimerer den totale lagerholde- og ordrekostnaden per år (Hautaniemi &amp; Pirttilä, 1999):</w:t>
      </w:r>
    </w:p>
    <w:p>
      <w:pPr>
        <w:spacing w:line="360" w:lineRule="auto"/>
        <w:jc w:val="center"/>
      </w:pPr>
      <m:oMath>
        <m:sSup>
          <m:e>
            <m:r>
              <m:t>Q</m:t>
            </m:r>
          </m:e>
          <m:sup>
            <m:r>
              <m:t>*</m:t>
            </m:r>
          </m:sup>
        </m:sSup>
        <m:r>
          <m:t>=</m:t>
        </m:r>
        <m:rad>
          <m:radPr>
            <m:degHide m:val="on"/>
          </m:radPr>
          <m:deg/>
          <m:e>
            <m:f>
              <m:fPr>
                <m:type m:val="bar"/>
              </m:fPr>
              <m:num>
                <m:r>
                  <m:t>2DS</m:t>
                </m:r>
              </m:num>
              <m:den>
                <m:r>
                  <m:t>H</m:t>
                </m:r>
              </m:den>
            </m:f>
          </m:e>
        </m:rad>
      </m:oMath>
    </w:p>
    <w:p>
      <w:pPr>
        <w:spacing w:line="360" w:lineRule="auto"/>
        <w:jc w:val="both"/>
      </w:pPr>
      <w:r>
        <w:rPr>
          <w:rFonts w:ascii="Times New Roman" w:hAnsi="Times New Roman" w:cs="Times New Roman"/>
          <w:sz w:val="24"/>
        </w:rPr>
        <w:t xml:space="preserve">der </w:t>
      </w:r>
      <m:oMath>
        <m:r>
          <m:t>D</m:t>
        </m:r>
      </m:oMath>
      <w:r>
        <w:rPr>
          <w:rFonts w:ascii="Times New Roman" w:hAnsi="Times New Roman" w:cs="Times New Roman"/>
          <w:sz w:val="24"/>
        </w:rPr>
        <w:t xml:space="preserve"> er årsforbruk (enheter/år), </w:t>
      </w:r>
      <m:oMath>
        <m:r>
          <m:t>S=750</m:t>
        </m:r>
      </m:oMath>
      <w:r>
        <w:rPr>
          <w:rFonts w:ascii="Times New Roman" w:hAnsi="Times New Roman" w:cs="Times New Roman"/>
          <w:sz w:val="24"/>
        </w:rPr>
        <w:t xml:space="preserve"> NOK er ordrekostnad per bestilling og </w:t>
      </w:r>
      <m:oMath>
        <m:r>
          <m:t>H=h×</m:t>
        </m:r>
        <m:r>
          <m:rPr>
            <m:nor/>
          </m:rPr>
          <m:t>UNIT\_PRICE</m:t>
        </m:r>
      </m:oMath>
      <w:r>
        <w:rPr>
          <w:rFonts w:ascii="Times New Roman" w:hAnsi="Times New Roman" w:cs="Times New Roman"/>
          <w:sz w:val="24"/>
        </w:rPr>
        <w:t xml:space="preserve"> er holdekostnad per enhet per år, med holdesats </w:t>
      </w:r>
      <m:oMath>
        <m:r>
          <m:t>h=20</m:t>
        </m:r>
        <m:r>
          <m:t>%</m:t>
        </m:r>
      </m:oMath>
      <w:r>
        <w:rPr>
          <w:rFonts w:ascii="Times New Roman" w:hAnsi="Times New Roman" w:cs="Times New Roman"/>
          <w:sz w:val="24"/>
        </w:rPr>
        <w:t>. Den optimale ordrefrekvensen følger direkte:</w:t>
      </w:r>
    </w:p>
    <w:p>
      <w:pPr>
        <w:spacing w:line="360" w:lineRule="auto"/>
        <w:jc w:val="center"/>
      </w:pPr>
      <m:oMath>
        <m:sSup>
          <m:e>
            <m:r>
              <m:t>f</m:t>
            </m:r>
          </m:e>
          <m:sup>
            <m:r>
              <m:t>*</m:t>
            </m:r>
          </m:sup>
        </m:sSup>
        <m:r>
          <m:t>=</m:t>
        </m:r>
        <m:f>
          <m:fPr>
            <m:type m:val="bar"/>
          </m:fPr>
          <m:num>
            <m:r>
              <m:t>D</m:t>
            </m:r>
          </m:num>
          <m:den>
            <m:sSup>
              <m:e>
                <m:r>
                  <m:t>Q</m:t>
                </m:r>
              </m:e>
              <m:sup>
                <m:r>
                  <m:t>*</m:t>
                </m:r>
              </m:sup>
            </m:sSup>
          </m:den>
        </m:f>
        <m:r>
          <m:t>=</m:t>
        </m:r>
        <m:rad>
          <m:radPr>
            <m:degHide m:val="on"/>
          </m:radPr>
          <m:deg/>
          <m:e>
            <m:f>
              <m:fPr>
                <m:type m:val="bar"/>
              </m:fPr>
              <m:num>
                <m:r>
                  <m:t>DH</m:t>
                </m:r>
              </m:num>
              <m:den>
                <m:r>
                  <m:t>2S</m:t>
                </m:r>
              </m:den>
            </m:f>
          </m:e>
        </m:rad>
      </m:oMath>
    </w:p>
    <w:p>
      <w:pPr>
        <w:spacing w:line="360" w:lineRule="auto"/>
        <w:jc w:val="both"/>
      </w:pPr>
      <w:r>
        <w:rPr>
          <w:rFonts w:ascii="Times New Roman" w:hAnsi="Times New Roman" w:cs="Times New Roman"/>
          <w:b/>
          <w:sz w:val="24"/>
        </w:rPr>
        <w:t>Avviksformel.</w:t>
      </w:r>
      <w:r>
        <w:rPr>
          <w:rFonts w:ascii="Times New Roman" w:hAnsi="Times New Roman" w:cs="Times New Roman"/>
          <w:sz w:val="24"/>
        </w:rPr>
        <w:t xml:space="preserve"> Faktisk ordrefrekvens </w:t>
      </w:r>
      <m:oMath>
        <m:sSub>
          <m:e>
            <m:r>
              <m:t>f</m:t>
            </m:r>
          </m:e>
          <m:sub>
            <m:r>
              <m:rPr>
                <m:nor/>
              </m:rPr>
              <m:t>obs</m:t>
            </m:r>
          </m:sub>
        </m:sSub>
      </m:oMath>
      <w:r>
        <w:rPr>
          <w:rFonts w:ascii="Times New Roman" w:hAnsi="Times New Roman" w:cs="Times New Roman"/>
          <w:sz w:val="24"/>
        </w:rPr>
        <w:t xml:space="preserve"> er annualisert fra EKBE-data via D-08. Relativt frekvensavvik er definert som:</w:t>
      </w:r>
    </w:p>
    <w:p>
      <w:pPr>
        <w:spacing w:line="360" w:lineRule="auto"/>
        <w:jc w:val="center"/>
      </w:pPr>
      <m:oMath>
        <m:sSub>
          <m:e>
            <m:r>
              <m:rPr>
                <m:nor/>
              </m:rPr>
              <m:t>FREQ\_AVVIK</m:t>
            </m:r>
          </m:e>
          <m:sub>
            <m:r>
              <m:t>i</m:t>
            </m:r>
          </m:sub>
        </m:sSub>
        <m:r>
          <m:t>=</m:t>
        </m:r>
        <m:f>
          <m:fPr>
            <m:type m:val="bar"/>
          </m:fPr>
          <m:num>
            <m:sSub>
              <m:e>
                <m:r>
                  <m:t>f</m:t>
                </m:r>
              </m:e>
              <m:sub>
                <m:r>
                  <m:rPr>
                    <m:nor/>
                  </m:rPr>
                  <m:t>obs</m:t>
                </m:r>
                <m:r>
                  <m:t>,i</m:t>
                </m:r>
              </m:sub>
            </m:sSub>
            <m:r>
              <m:t>−</m:t>
            </m:r>
            <m:sSubSup>
              <m:e>
                <m:r>
                  <m:t>f</m:t>
                </m:r>
              </m:e>
              <m:sub>
                <m:r>
                  <m:t>i</m:t>
                </m:r>
              </m:sub>
              <m:sup>
                <m:r>
                  <m:t>*</m:t>
                </m:r>
              </m:sup>
            </m:sSubSup>
          </m:num>
          <m:den>
            <m:sSubSup>
              <m:e>
                <m:r>
                  <m:t>f</m:t>
                </m:r>
              </m:e>
              <m:sub>
                <m:r>
                  <m:t>i</m:t>
                </m:r>
              </m:sub>
              <m:sup>
                <m:r>
                  <m:t>*</m:t>
                </m:r>
              </m:sup>
            </m:sSubSup>
          </m:den>
        </m:f>
      </m:oMath>
    </w:p>
    <w:p>
      <w:pPr>
        <w:spacing w:line="360" w:lineRule="auto"/>
        <w:jc w:val="both"/>
      </w:pPr>
      <w:r>
        <w:rPr>
          <w:rFonts w:ascii="Times New Roman" w:hAnsi="Times New Roman" w:cs="Times New Roman"/>
          <w:sz w:val="24"/>
        </w:rPr>
        <w:t xml:space="preserve">En artikkel klassifiseres som FOR\_MANGE\_ORDRER dersom </w:t>
      </w:r>
      <m:oMath>
        <m:sSub>
          <m:e>
            <m:r>
              <m:t>f</m:t>
            </m:r>
          </m:e>
          <m:sub>
            <m:r>
              <m:rPr>
                <m:nor/>
              </m:rPr>
              <m:t>obs</m:t>
            </m:r>
            <m:r>
              <m:t>,i</m:t>
            </m:r>
          </m:sub>
        </m:sSub>
        <m:r>
          <m:t>&gt;</m:t>
        </m:r>
        <m:sSub>
          <m:e>
            <m:r>
              <m:t>τ</m:t>
            </m:r>
          </m:e>
          <m:sub>
            <m:r>
              <m:t>f</m:t>
            </m:r>
          </m:sub>
        </m:sSub>
        <m:r>
          <m:t>·</m:t>
        </m:r>
        <m:sSubSup>
          <m:e>
            <m:r>
              <m:t>f</m:t>
            </m:r>
          </m:e>
          <m:sub>
            <m:r>
              <m:t>i</m:t>
            </m:r>
          </m:sub>
          <m:sup>
            <m:r>
              <m:t>*</m:t>
            </m:r>
          </m:sup>
        </m:sSubSup>
      </m:oMath>
      <w:r>
        <w:rPr>
          <w:rFonts w:ascii="Times New Roman" w:hAnsi="Times New Roman" w:cs="Times New Roman"/>
          <w:sz w:val="24"/>
        </w:rPr>
        <w:t xml:space="preserve">, der </w:t>
      </w:r>
      <m:oMath>
        <m:sSub>
          <m:e>
            <m:r>
              <m:t>τ</m:t>
            </m:r>
          </m:e>
          <m:sub>
            <m:r>
              <m:t>f</m:t>
            </m:r>
          </m:sub>
        </m:sSub>
        <m:r>
          <m:t>=1</m:t>
        </m:r>
        <m:r>
          <m:t>,</m:t>
        </m:r>
        <m:r>
          <m:t>5</m:t>
        </m:r>
      </m:oMath>
      <w:r>
        <w:rPr>
          <w:rFonts w:ascii="Times New Roman" w:hAnsi="Times New Roman" w:cs="Times New Roman"/>
          <w:sz w:val="24"/>
        </w:rPr>
        <w:t xml:space="preserve">. Dette tilsvarer FREQ\_AVVIK </w:t>
      </w:r>
      <m:oMath>
        <m:r>
          <m:t>&gt;0</m:t>
        </m:r>
        <m:r>
          <m:t>,</m:t>
        </m:r>
        <m:r>
          <m:t>5</m:t>
        </m:r>
      </m:oMath>
      <w:r>
        <w:rPr>
          <w:rFonts w:ascii="Times New Roman" w:hAnsi="Times New Roman" w:cs="Times New Roman"/>
          <w:sz w:val="24"/>
        </w:rPr>
        <w:t xml:space="preserve">, det vil si at faktisk ordrefrekvens er mer enn 50 % høyere enn EOQ-optimal frekvens. Symmetrisk klassifiseres artikler med FREQ\_AVVIK </w:t>
      </w:r>
      <m:oMath>
        <m:d>
          <m:dPr>
            <m:begChr m:val="&lt;"/>
            <m:sepChr m:val="−"/>
            <m:endChr m:val=""/>
          </m:dPr>
          <m:e/>
          <m:e>
            <m:r>
              <m:t>0</m:t>
            </m:r>
            <m:r>
              <m:t>,</m:t>
            </m:r>
            <m:r>
              <m:t>5</m:t>
            </m:r>
          </m:e>
        </m:d>
      </m:oMath>
      <w:r>
        <w:rPr>
          <w:rFonts w:ascii="Times New Roman" w:hAnsi="Times New Roman" w:cs="Times New Roman"/>
          <w:sz w:val="24"/>
        </w:rPr>
        <w:t xml:space="preserve"> som FOR\_FÅ\_ORDRER, mens artikler i intervallet </w:t>
      </w:r>
      <m:oMath>
        <m:d>
          <m:dPr>
            <m:begChr m:val="["/>
            <m:sepChr m:val="−"/>
            <m:endChr m:val="]"/>
          </m:dPr>
          <m:e/>
          <m:e>
            <m:r>
              <m:t>0</m:t>
            </m:r>
            <m:r>
              <m:t>,</m:t>
            </m:r>
            <m:r>
              <m:t>5</m:t>
            </m:r>
            <m:r>
              <m:t>;</m:t>
            </m:r>
            <m:r>
              <m:t>0</m:t>
            </m:r>
            <m:r>
              <m:t>,</m:t>
            </m:r>
            <m:r>
              <m:t>5</m:t>
            </m:r>
          </m:e>
        </m:d>
      </m:oMath>
      <w:r>
        <w:rPr>
          <w:rFonts w:ascii="Times New Roman" w:hAnsi="Times New Roman" w:cs="Times New Roman"/>
          <w:sz w:val="24"/>
        </w:rPr>
        <w:t xml:space="preserve"> klassifiseres som OK. Terskelen </w:t>
      </w:r>
      <m:oMath>
        <m:sSub>
          <m:e>
            <m:r>
              <m:t>τ</m:t>
            </m:r>
          </m:e>
          <m:sub>
            <m:r>
              <m:t>f</m:t>
            </m:r>
          </m:sub>
        </m:sSub>
      </m:oMath>
      <w:r>
        <w:rPr>
          <w:rFonts w:ascii="Times New Roman" w:hAnsi="Times New Roman" w:cs="Times New Roman"/>
          <w:sz w:val="24"/>
        </w:rPr>
        <w:t xml:space="preserve"> er satt for å fokusere analysen på de artiklene der avviket er operasjonelt vesentlig, og ikke bare statistisk merkbart. Differansen i totalkostnad mellom faktisk og optimal drift for en artikkel er:</w:t>
      </w:r>
    </w:p>
    <w:p>
      <w:pPr>
        <w:spacing w:line="360" w:lineRule="auto"/>
        <w:jc w:val="center"/>
      </w:pPr>
      <m:oMath>
        <m:r>
          <m:t>ΔT</m:t>
        </m:r>
        <m:sSub>
          <m:e>
            <m:r>
              <m:t>C</m:t>
            </m:r>
          </m:e>
          <m:sub>
            <m:r>
              <m:t>i</m:t>
            </m:r>
          </m:sub>
        </m:sSub>
        <m:r>
          <m:t>=TC(</m:t>
        </m:r>
        <m:sSub>
          <m:e>
            <m:r>
              <m:t>f</m:t>
            </m:r>
          </m:e>
          <m:sub>
            <m:r>
              <m:rPr>
                <m:nor/>
              </m:rPr>
              <m:t>obs</m:t>
            </m:r>
            <m:r>
              <m:t>,i</m:t>
            </m:r>
          </m:sub>
        </m:sSub>
        <m:r>
          <m:t>)−TC(</m:t>
        </m:r>
        <m:sSubSup>
          <m:e>
            <m:r>
              <m:t>f</m:t>
            </m:r>
          </m:e>
          <m:sub>
            <m:r>
              <m:t>i</m:t>
            </m:r>
          </m:sub>
          <m:sup>
            <m:r>
              <m:t>*</m:t>
            </m:r>
          </m:sup>
        </m:sSubSup>
        <m:r>
          <m:t>)</m:t>
        </m:r>
      </m:oMath>
    </w:p>
    <w:p>
      <w:pPr>
        <w:spacing w:line="360" w:lineRule="auto"/>
        <w:jc w:val="both"/>
      </w:pPr>
      <w:r>
        <w:rPr>
          <w:rFonts w:ascii="Times New Roman" w:hAnsi="Times New Roman" w:cs="Times New Roman"/>
          <w:sz w:val="24"/>
        </w:rPr>
        <w:t xml:space="preserve">der totalkostnaden ved frekvens </w:t>
      </w:r>
      <m:oMath>
        <m:r>
          <m:t>f</m:t>
        </m:r>
      </m:oMath>
      <w:r>
        <w:rPr>
          <w:rFonts w:ascii="Times New Roman" w:hAnsi="Times New Roman" w:cs="Times New Roman"/>
          <w:sz w:val="24"/>
        </w:rPr>
        <w:t xml:space="preserve"> er:</w:t>
      </w:r>
    </w:p>
    <w:p>
      <w:pPr>
        <w:spacing w:line="360" w:lineRule="auto"/>
        <w:jc w:val="center"/>
      </w:pPr>
      <m:oMath>
        <m:r>
          <m:t>TC(f)=f·S+</m:t>
        </m:r>
        <m:f>
          <m:fPr>
            <m:type m:val="bar"/>
          </m:fPr>
          <m:num>
            <m:r>
              <m:t>D</m:t>
            </m:r>
          </m:num>
          <m:den>
            <m:r>
              <m:t>2f</m:t>
            </m:r>
          </m:den>
        </m:f>
        <m:r>
          <m:t>·H</m:t>
        </m:r>
      </m:oMath>
    </w:p>
    <w:p>
      <w:pPr>
        <w:spacing w:line="360" w:lineRule="auto"/>
        <w:jc w:val="both"/>
      </w:pPr>
      <w:r>
        <w:rPr>
          <w:rFonts w:ascii="Times New Roman" w:hAnsi="Times New Roman" w:cs="Times New Roman"/>
          <w:sz w:val="24"/>
        </w:rPr>
        <w:t xml:space="preserve">Parametervalgene </w:t>
      </w:r>
      <m:oMath>
        <m:r>
          <m:t>S=750</m:t>
        </m:r>
      </m:oMath>
      <w:r>
        <w:rPr>
          <w:rFonts w:ascii="Times New Roman" w:hAnsi="Times New Roman" w:cs="Times New Roman"/>
          <w:sz w:val="24"/>
        </w:rPr>
        <w:t xml:space="preserve">NOK og </w:t>
      </w:r>
      <m:oMath>
        <m:r>
          <m:t>h=20</m:t>
        </m:r>
      </m:oMath>
      <w:r>
        <w:rPr>
          <w:rFonts w:ascii="Times New Roman" w:hAnsi="Times New Roman" w:cs="Times New Roman"/>
          <w:sz w:val="24"/>
        </w:rPr>
        <w:t xml:space="preserve"> er begrunnet i avsnitt 1.4. Sensitivitetsanalysen i kapittel 7.6 tester robustheten ved systematisk variasjon i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w:t>
      </w:r>
    </w:p>
    <w:p>
      <w:pPr>
        <w:spacing w:line="360" w:lineRule="auto"/>
        <w:jc w:val="both"/>
      </w:pPr>
      <w:r>
        <w:rPr>
          <w:rFonts w:ascii="Times New Roman" w:hAnsi="Times New Roman" w:cs="Times New Roman"/>
          <w:b/>
          <w:sz w:val="24"/>
        </w:rPr>
        <w:t>Besparelsesformel.</w:t>
      </w:r>
      <w:r>
        <w:rPr>
          <w:rFonts w:ascii="Times New Roman" w:hAnsi="Times New Roman" w:cs="Times New Roman"/>
          <w:sz w:val="24"/>
        </w:rPr>
        <w:t xml:space="preserve"> Besparelsesformelen estimerer den reduksjonen i totalkostnad som kan realiseres ved overføring til HVFS og konsolidering av ordrefrekvens mot EOQ-optimalt nivå. Formelen bygger direkte på </w:t>
      </w:r>
      <m:oMath>
        <m:r>
          <m:t>ΔT</m:t>
        </m:r>
        <m:sSub>
          <m:e>
            <m:r>
              <m:t>C</m:t>
            </m:r>
          </m:e>
          <m:sub>
            <m:r>
              <m:t>i</m:t>
            </m:r>
          </m:sub>
        </m:sSub>
      </m:oMath>
      <w:r>
        <w:rPr>
          <w:rFonts w:ascii="Times New Roman" w:hAnsi="Times New Roman" w:cs="Times New Roman"/>
          <w:sz w:val="24"/>
        </w:rPr>
        <w:t>:</w:t>
      </w:r>
    </w:p>
    <w:p>
      <w:pPr>
        <w:spacing w:line="360" w:lineRule="auto"/>
        <w:jc w:val="center"/>
      </w:pP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p>
    <w:p>
      <w:pPr>
        <w:spacing w:line="360" w:lineRule="auto"/>
        <w:jc w:val="both"/>
      </w:pPr>
      <w:r>
        <w:rPr>
          <w:rFonts w:ascii="Times New Roman" w:hAnsi="Times New Roman" w:cs="Times New Roman"/>
          <w:sz w:val="24"/>
        </w:rPr>
        <w:t xml:space="preserve">der </w:t>
      </w:r>
      <m:oMath>
        <m:r>
          <m:t>g</m:t>
        </m:r>
      </m:oMath>
      <w:r>
        <w:rPr>
          <w:rFonts w:ascii="Times New Roman" w:hAnsi="Times New Roman" w:cs="Times New Roman"/>
          <w:sz w:val="24"/>
        </w:rPr>
        <w:t xml:space="preserve"> er en gevinstrealiseringsgrad som reflekterer at ikke alle teoretiske besparelser lar seg realisere fullt ut i praksis – blant annet som følge av implementeringsfriksjon, endrede leverandøravtaler og SAP-parameterjusteringer. Tre scenarier er definert: worst case (</w:t>
      </w:r>
      <m:oMath>
        <m:r>
          <m:t>g=50</m:t>
        </m:r>
        <m:r>
          <m:t>%</m:t>
        </m:r>
      </m:oMath>
      <w:r>
        <w:rPr>
          <w:rFonts w:ascii="Times New Roman" w:hAnsi="Times New Roman" w:cs="Times New Roman"/>
          <w:sz w:val="24"/>
        </w:rPr>
        <w:t>), base case (</w:t>
      </w:r>
      <m:oMath>
        <m:r>
          <m:t>g=75</m:t>
        </m:r>
        <m:r>
          <m:t>%</m:t>
        </m:r>
      </m:oMath>
      <w:r>
        <w:rPr>
          <w:rFonts w:ascii="Times New Roman" w:hAnsi="Times New Roman" w:cs="Times New Roman"/>
          <w:sz w:val="24"/>
        </w:rPr>
        <w:t>) og best case (</w:t>
      </w:r>
      <m:oMath>
        <m:r>
          <m:t>g=100</m:t>
        </m:r>
        <m:r>
          <m:t>%</m:t>
        </m:r>
      </m:oMath>
      <w:r>
        <w:rPr>
          <w:rFonts w:ascii="Times New Roman" w:hAnsi="Times New Roman" w:cs="Times New Roman"/>
          <w:sz w:val="24"/>
        </w:rPr>
        <w:t xml:space="preserve">).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w:t>
      </w:r>
      <m:oMath>
        <m:r>
          <m:t>ΔT</m:t>
        </m:r>
        <m:sSub>
          <m:e>
            <m:r>
              <m:t>C</m:t>
            </m:r>
          </m:e>
          <m:sub>
            <m:r>
              <m:t>i</m:t>
            </m:r>
          </m:sub>
        </m:sSub>
      </m:oMath>
      <w:r>
        <w:rPr>
          <w:rFonts w:ascii="Times New Roman" w:hAnsi="Times New Roman" w:cs="Times New Roman"/>
          <w:sz w:val="24"/>
        </w:rPr>
        <w:t xml:space="preserve"> modellerer kostnadsavviket fra suboptimal ordrefrekvens – en avvik som nettopp adresseres ved sentralisering til HVFS. Sensitivitetsanalysen i kapittel 7 undersøker robustheten av dette estimatet ved systematisk variasjon i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 xml:space="preserve">, mens </w:t>
      </w:r>
      <m:oMath>
        <m:r>
          <m:t>g</m:t>
        </m:r>
      </m:oMath>
      <w:r>
        <w:rPr>
          <w:rFonts w:ascii="Times New Roman" w:hAnsi="Times New Roman" w:cs="Times New Roman"/>
          <w:sz w:val="24"/>
        </w:rPr>
        <w:t xml:space="preserve"> varieres separat gjennom tre scenarier (worst/base/best).</w:t>
      </w:r>
    </w:p>
    <w:p>
      <w:pPr>
        <w:pStyle w:val="Overskrift2"/>
      </w:pPr>
      <w:r>
        <w:rPr>
          <w:rFonts w:ascii="Times New Roman" w:hAnsi="Times New Roman"/>
          <w:color w:val="000000"/>
          <w:sz w:val="32"/>
        </w:rPr>
        <w:t>5.4 K-means klyngemodellen</w:t>
      </w:r>
    </w:p>
    <w:p>
      <w:pPr>
        <w:spacing w:line="360" w:lineRule="auto"/>
        <w:jc w:val="both"/>
      </w:pPr>
      <w:r>
        <w:rPr>
          <w:rFonts w:ascii="Times New Roman" w:hAnsi="Times New Roman" w:cs="Times New Roman"/>
          <w:sz w:val="24"/>
        </w:rPr>
        <w:t xml:space="preserve">K-means er en partisjonerende klyngealgoritme som deler et datasett med </w:t>
      </w:r>
      <m:oMath>
        <m:r>
          <m:t>N</m:t>
        </m:r>
      </m:oMath>
      <w:r>
        <w:rPr>
          <w:rFonts w:ascii="Times New Roman" w:hAnsi="Times New Roman" w:cs="Times New Roman"/>
          <w:sz w:val="24"/>
        </w:rPr>
        <w:t xml:space="preserve"> observasjoner inn i </w:t>
      </w:r>
      <m:oMath>
        <m:r>
          <m:t>K</m:t>
        </m:r>
      </m:oMath>
      <w:r>
        <w:rPr>
          <w:rFonts w:ascii="Times New Roman" w:hAnsi="Times New Roman" w:cs="Times New Roman"/>
          <w:sz w:val="24"/>
        </w:rPr>
        <w:t xml:space="preserve"> klynger ved å minimere intra-klynge varians (Srinivasan &amp; Moon, 1999). Algoritmen er iterativ: den initialiserer </w:t>
      </w:r>
      <m:oMath>
        <m:r>
          <m:t>K</m:t>
        </m:r>
      </m:oMath>
      <w:r>
        <w:rPr>
          <w:rFonts w:ascii="Times New Roman" w:hAnsi="Times New Roman" w:cs="Times New Roman"/>
          <w:sz w:val="24"/>
        </w:rPr>
        <w:t xml:space="preserve"> sentroider, tildeler hvert datapunkt til nærmeste sentroid, oppdaterer sentroider som klyngenes tyngdepunkter og gjentar til konvergens. Implementasjonen benytter scikit-learn (Pedregosa et al., 2011) med </w:t>
      </w:r>
      <w:r>
        <w:rPr>
          <w:rFonts w:ascii="Consolas" w:hAnsi="Consolas" w:cs="Consolas"/>
          <w:sz w:val="20"/>
          <w:shd w:val="clear" w:color="auto" w:fill="F4F4F4"/>
        </w:rPr>
        <w:t>n_init=50</w:t>
      </w:r>
      <w:r>
        <w:rPr>
          <w:rFonts w:ascii="Times New Roman" w:hAnsi="Times New Roman" w:cs="Times New Roman"/>
          <w:sz w:val="24"/>
        </w:rPr>
        <w:t xml:space="preserve"> og </w:t>
      </w:r>
      <w:r>
        <w:rPr>
          <w:rFonts w:ascii="Consolas" w:hAnsi="Consolas" w:cs="Consolas"/>
          <w:sz w:val="20"/>
          <w:shd w:val="clear" w:color="auto" w:fill="F4F4F4"/>
        </w:rPr>
        <w:t>max_iter=300</w:t>
      </w:r>
      <w:r>
        <w:rPr>
          <w:rFonts w:ascii="Times New Roman" w:hAnsi="Times New Roman" w:cs="Times New Roman"/>
          <w:sz w:val="24"/>
        </w:rPr>
        <w:t xml:space="preserve"> for robust initialisering.</w:t>
      </w:r>
    </w:p>
    <w:p>
      <w:pPr>
        <w:spacing w:line="360" w:lineRule="auto"/>
        <w:jc w:val="both"/>
      </w:pPr>
      <w:r>
        <w:rPr>
          <w:rFonts w:ascii="Times New Roman" w:hAnsi="Times New Roman" w:cs="Times New Roman"/>
          <w:b/>
          <w:sz w:val="24"/>
        </w:rPr>
        <w:t>Featurevektor.</w:t>
      </w:r>
      <w:r>
        <w:rPr>
          <w:rFonts w:ascii="Times New Roman" w:hAnsi="Times New Roman" w:cs="Times New Roman"/>
          <w:sz w:val="24"/>
        </w:rPr>
        <w:t xml:space="preserve"> Hver artikkel representeres av en tredimensjonal featurevektor:</w:t>
      </w:r>
    </w:p>
    <w:p>
      <w:pPr>
        <w:spacing w:line="360" w:lineRule="auto"/>
        <w:jc w:val="center"/>
      </w:pPr>
      <m:oMath>
        <m:sSub>
          <m:e>
            <m:r>
              <m:t>𝐱</m:t>
            </m:r>
          </m:e>
          <m:sub>
            <m:r>
              <m:t>i</m:t>
            </m:r>
          </m:sub>
        </m:sSub>
        <m:r>
          <m:t>=[</m:t>
        </m:r>
        <m:r>
          <m:t>z(</m:t>
        </m:r>
        <m:r>
          <m:rPr>
            <m:sty m:val="p"/>
          </m:rPr>
          <m:t>ln</m:t>
        </m:r>
        <m:sSub>
          <m:e>
            <m:r>
              <m:rPr>
                <m:nor/>
              </m:rPr>
              <m:t>CV</m:t>
            </m:r>
          </m:e>
          <m:sub>
            <m:r>
              <m:t>i</m:t>
            </m:r>
          </m:sub>
        </m:sSub>
        <m:r>
          <m:t>),</m:t>
        </m:r>
        <m:r>
          <m:t>z(</m:t>
        </m:r>
        <m:r>
          <m:rPr>
            <m:sty m:val="p"/>
          </m:rPr>
          <m:t>ln</m:t>
        </m:r>
        <m:r>
          <m:t>(</m:t>
        </m:r>
        <m:sSub>
          <m:e>
            <m:r>
              <m:t>v</m:t>
            </m:r>
          </m:e>
          <m:sub>
            <m:r>
              <m:t>i</m:t>
            </m:r>
          </m:sub>
        </m:sSub>
        <m:r>
          <m:t>+1)),</m:t>
        </m:r>
        <m:r>
          <m:t>z(</m:t>
        </m:r>
        <m:r>
          <m:rPr>
            <m:sty m:val="p"/>
          </m:rPr>
          <m:t>ln</m:t>
        </m:r>
        <m:r>
          <m:t>(|ΔT</m:t>
        </m:r>
        <m:sSub>
          <m:e>
            <m:r>
              <m:t>C</m:t>
            </m:r>
          </m:e>
          <m:sub>
            <m:r>
              <m:t>i</m:t>
            </m:r>
          </m:sub>
        </m:sSub>
        <m:r>
          <m:t>|+1))</m:t>
        </m:r>
        <m:r>
          <m:t>]</m:t>
        </m:r>
      </m:oMath>
    </w:p>
    <w:p>
      <w:pPr>
        <w:spacing w:line="360" w:lineRule="auto"/>
        <w:jc w:val="both"/>
      </w:pPr>
      <w:r>
        <w:rPr>
          <w:rFonts w:ascii="Times New Roman" w:hAnsi="Times New Roman" w:cs="Times New Roman"/>
          <w:sz w:val="24"/>
        </w:rPr>
        <w:t xml:space="preserve">der </w:t>
      </w:r>
      <m:oMath>
        <m:r>
          <m:t>z(·)</m:t>
        </m:r>
      </m:oMath>
      <w:r>
        <w:rPr>
          <w:rFonts w:ascii="Times New Roman" w:hAnsi="Times New Roman" w:cs="Times New Roman"/>
          <w:sz w:val="24"/>
        </w:rPr>
        <w:t xml:space="preserve"> 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 </w:t>
      </w:r>
      <m:oMath>
        <m:d>
          <m:dPr>
            <m:begChr m:val="|"/>
            <m:sepChr m:val=""/>
            <m:endChr m:val="|"/>
          </m:dPr>
          <m:e>
            <m:r>
              <m:t>Δ</m:t>
            </m:r>
            <m:r>
              <m:t>T</m:t>
            </m:r>
            <m:sSub>
              <m:e>
                <m:r>
                  <m:t>C</m:t>
                </m:r>
              </m:e>
              <m:sub>
                <m:r>
                  <m:t>i</m:t>
                </m:r>
              </m:sub>
            </m:sSub>
          </m:e>
        </m:d>
      </m:oMath>
      <w:r>
        <w:rPr>
          <w:rFonts w:ascii="Times New Roman" w:hAnsi="Times New Roman" w:cs="Times New Roman"/>
          <w:sz w:val="24"/>
        </w:rPr>
        <w:t xml:space="preserve"> benyttes fordi det er størrelsen på EOQ-avviket som er relevant for klyngingen – ikke retningen. Konstantleddet </w:t>
      </w:r>
      <m:oMath>
        <m:r>
          <m:t>+1</m:t>
        </m:r>
      </m:oMath>
      <w:r>
        <w:rPr>
          <w:rFonts w:ascii="Times New Roman" w:hAnsi="Times New Roman" w:cs="Times New Roman"/>
          <w:sz w:val="24"/>
        </w:rPr>
        <w:t xml:space="preserve"> i logaritmen hindrer </w:t>
      </w:r>
      <m:oMath>
        <m:r>
          <m:rPr>
            <m:sty m:val="p"/>
          </m:rPr>
          <m:t>ln</m:t>
        </m:r>
        <m:r>
          <m:t>(0)</m:t>
        </m:r>
      </m:oMath>
      <w:r>
        <w:rPr>
          <w:rFonts w:ascii="Times New Roman" w:hAnsi="Times New Roman" w:cs="Times New Roman"/>
          <w:sz w:val="24"/>
        </w:rPr>
        <w:t xml:space="preserve"> for artikler med </w:t>
      </w:r>
      <m:oMath>
        <m:r>
          <m:t>ΔTC=0</m:t>
        </m:r>
      </m:oMath>
      <w:r>
        <w:rPr>
          <w:rFonts w:ascii="Times New Roman" w:hAnsi="Times New Roman" w:cs="Times New Roman"/>
          <w:sz w:val="24"/>
        </w:rPr>
        <w:t>.</w:t>
      </w:r>
    </w:p>
    <w:p>
      <w:pPr>
        <w:spacing w:line="360" w:lineRule="auto"/>
        <w:jc w:val="both"/>
      </w:pPr>
      <w:r>
        <w:rPr>
          <w:rFonts w:ascii="Times New Roman" w:hAnsi="Times New Roman" w:cs="Times New Roman"/>
          <w:b/>
          <w:sz w:val="24"/>
        </w:rPr>
        <w:t>Trenings- og testprosedyre.</w:t>
      </w:r>
      <w:r>
        <w:rPr>
          <w:rFonts w:ascii="Times New Roman" w:hAnsi="Times New Roman" w:cs="Times New Roman"/>
          <w:sz w:val="24"/>
        </w:rPr>
        <w:t xml:space="preserve"> Datasettet deles i et treningssett (80 %, random\_state = 42) og et testsett (20 %). StandardScaler tilpasses utelukkende til treningsdataene og transformerer deretter begge sett. KMeans-modellen trenes kun på treningsdataene. Testsettet evaluerer klyngestrukturens generaliserbarhet.</w:t>
      </w:r>
    </w:p>
    <w:p>
      <w:pPr>
        <w:spacing w:line="360" w:lineRule="auto"/>
        <w:jc w:val="both"/>
      </w:pPr>
      <w:r>
        <w:rPr>
          <w:rFonts w:ascii="Times New Roman" w:hAnsi="Times New Roman" w:cs="Times New Roman"/>
          <w:b/>
          <w:sz w:val="24"/>
        </w:rPr>
        <w:t>K-valg.</w:t>
      </w:r>
      <w:r>
        <w:rPr>
          <w:rFonts w:ascii="Times New Roman" w:hAnsi="Times New Roman" w:cs="Times New Roman"/>
          <w:sz w:val="24"/>
        </w:rPr>
        <w:t xml:space="preserve"> Antall klynger </w:t>
      </w:r>
      <m:oMath>
        <m:r>
          <m:t>K</m:t>
        </m:r>
      </m:oMath>
      <w:r>
        <w:rPr>
          <w:rFonts w:ascii="Times New Roman" w:hAnsi="Times New Roman" w:cs="Times New Roman"/>
          <w:sz w:val="24"/>
        </w:rPr>
        <w:t xml:space="preserve"> velges automatisk som den </w:t>
      </w:r>
      <m:oMath>
        <m:r>
          <m:t>K</m:t>
        </m:r>
      </m:oMath>
      <w:r>
        <w:rPr>
          <w:rFonts w:ascii="Times New Roman" w:hAnsi="Times New Roman" w:cs="Times New Roman"/>
          <w:sz w:val="24"/>
        </w:rPr>
        <w:t xml:space="preserve">-verdien i intervallet </w:t>
      </w:r>
      <m:oMath>
        <m:d>
          <m:dPr>
            <m:begChr m:val="["/>
            <m:sepChr m:val=","/>
            <m:endChr m:val="]"/>
          </m:dPr>
          <m:e>
            <m:r>
              <m:t>2</m:t>
            </m:r>
          </m:e>
          <m:e>
            <m:r>
              <m:t>7</m:t>
            </m:r>
          </m:e>
        </m:d>
      </m:oMath>
      <w:r>
        <w:rPr>
          <w:rFonts w:ascii="Times New Roman" w:hAnsi="Times New Roman" w:cs="Times New Roman"/>
          <w:sz w:val="24"/>
        </w:rPr>
        <w:t xml:space="preserve"> som gir høyest gjennomsnittlig silhouette-score på treningsdataene. Silhouette-score </w:t>
      </w:r>
      <m:oMath>
        <m:sSub>
          <m:e>
            <m:r>
              <m:t>s</m:t>
            </m:r>
          </m:e>
          <m:sub>
            <m:r>
              <m:t>i</m:t>
            </m:r>
          </m:sub>
        </m:sSub>
      </m:oMath>
      <w:r>
        <w:rPr>
          <w:rFonts w:ascii="Times New Roman" w:hAnsi="Times New Roman" w:cs="Times New Roman"/>
          <w:sz w:val="24"/>
        </w:rPr>
        <w:t xml:space="preserve"> for punkt </w:t>
      </w:r>
      <m:oMath>
        <m:r>
          <m:t>i</m:t>
        </m:r>
      </m:oMath>
      <w:r>
        <w:rPr>
          <w:rFonts w:ascii="Times New Roman" w:hAnsi="Times New Roman" w:cs="Times New Roman"/>
          <w:sz w:val="24"/>
        </w:rPr>
        <w:t xml:space="preserve"> er definert som (Rousseeuw, 1987):</w:t>
      </w:r>
    </w:p>
    <w:p>
      <w:pPr>
        <w:spacing w:line="360" w:lineRule="auto"/>
        <w:jc w:val="center"/>
      </w:pPr>
      <m:oMath>
        <m:sSub>
          <m:e>
            <m:r>
              <m:t>s</m:t>
            </m:r>
          </m:e>
          <m:sub>
            <m:r>
              <m:t>i</m:t>
            </m:r>
          </m:sub>
        </m:sSub>
        <m:r>
          <m:t>=</m:t>
        </m:r>
        <m:f>
          <m:fPr>
            <m:type m:val="bar"/>
          </m:fPr>
          <m:num>
            <m:sSub>
              <m:e>
                <m:r>
                  <m:t>b</m:t>
                </m:r>
              </m:e>
              <m:sub>
                <m:r>
                  <m:t>i</m:t>
                </m:r>
              </m:sub>
            </m:sSub>
            <m:r>
              <m:t>−</m:t>
            </m:r>
            <m:sSub>
              <m:e>
                <m:r>
                  <m:t>a</m:t>
                </m:r>
              </m:e>
              <m:sub>
                <m:r>
                  <m:t>i</m:t>
                </m:r>
              </m:sub>
            </m:sSub>
          </m:num>
          <m:den>
            <m:r>
              <m:t>max(</m:t>
            </m:r>
            <m:sSub>
              <m:e>
                <m:r>
                  <m:t>a</m:t>
                </m:r>
              </m:e>
              <m:sub>
                <m:r>
                  <m:t>i</m:t>
                </m:r>
              </m:sub>
            </m:sSub>
            <m:r>
              <m:t>,</m:t>
            </m:r>
            <m:sSub>
              <m:e>
                <m:r>
                  <m:t>b</m:t>
                </m:r>
              </m:e>
              <m:sub>
                <m:r>
                  <m:t>i</m:t>
                </m:r>
              </m:sub>
            </m:sSub>
            <m:r>
              <m:t>)</m:t>
            </m:r>
          </m:den>
        </m:f>
      </m:oMath>
    </w:p>
    <w:p>
      <w:pPr>
        <w:spacing w:line="360" w:lineRule="auto"/>
        <w:jc w:val="both"/>
      </w:pPr>
      <w:r>
        <w:rPr>
          <w:rFonts w:ascii="Times New Roman" w:hAnsi="Times New Roman" w:cs="Times New Roman"/>
          <w:sz w:val="24"/>
        </w:rPr>
        <w:t xml:space="preserve">der </w:t>
      </w:r>
      <m:oMath>
        <m:sSub>
          <m:e>
            <m:r>
              <m:t>a</m:t>
            </m:r>
          </m:e>
          <m:sub>
            <m:r>
              <m:t>i</m:t>
            </m:r>
          </m:sub>
        </m:sSub>
      </m:oMath>
      <w:r>
        <w:rPr>
          <w:rFonts w:ascii="Times New Roman" w:hAnsi="Times New Roman" w:cs="Times New Roman"/>
          <w:sz w:val="24"/>
        </w:rPr>
        <w:t xml:space="preserve"> er gjennomsnittlig intra-klyngeavstand og </w:t>
      </w:r>
      <m:oMath>
        <m:sSub>
          <m:e>
            <m:r>
              <m:t>b</m:t>
            </m:r>
          </m:e>
          <m:sub>
            <m:r>
              <m:t>i</m:t>
            </m:r>
          </m:sub>
        </m:sSub>
      </m:oMath>
      <w:r>
        <w:rPr>
          <w:rFonts w:ascii="Times New Roman" w:hAnsi="Times New Roman" w:cs="Times New Roman"/>
          <w:sz w:val="24"/>
        </w:rPr>
        <w:t xml:space="preserve"> er gjennomsnittlig avstand til nærmeste naboklynge. Score nær 1 indikerer tydelig klyngetilhørighet; score nær 0 indikerer overlapp; negativ score indikerer feil klynge. Scorer over 0,3 regnes som akseptable for eksplorativ analyse (Ketkar &amp; Vaidya, 2014). Silhouette beregnes separat for trenings- og testdata; et lavere testresultat enn treningsresultat er normalt, men et vesentlig fall vil indikere overfit.</w:t>
      </w:r>
    </w:p>
    <w:p>
      <w:pPr>
        <w:spacing w:line="360" w:lineRule="auto"/>
        <w:jc w:val="both"/>
      </w:pPr>
      <w:r>
        <w:rPr>
          <w:rFonts w:ascii="Times New Roman" w:hAnsi="Times New Roman" w:cs="Times New Roman"/>
          <w:b/>
          <w:sz w:val="24"/>
        </w:rPr>
        <w:t>K\_OVERFØR-klyngen.</w:t>
      </w:r>
      <w:r>
        <w:rPr>
          <w:rFonts w:ascii="Times New Roman" w:hAnsi="Times New Roman" w:cs="Times New Roman"/>
          <w:sz w:val="24"/>
        </w:rPr>
        <w:t xml:space="preserve"> Etter kjøring identifiseres én klynge som HVFS-overføringsklynge. Identifiseringen er deterministisk: for hver klynge </w:t>
      </w:r>
      <m:oMath>
        <m:r>
          <m:t>k</m:t>
        </m:r>
      </m:oMath>
      <w:r>
        <w:rPr>
          <w:rFonts w:ascii="Times New Roman" w:hAnsi="Times New Roman" w:cs="Times New Roman"/>
          <w:sz w:val="24"/>
        </w:rPr>
        <w:t xml:space="preserve"> beregnes to rangeringer – </w:t>
      </w:r>
      <m:oMath>
        <m:r>
          <m:rPr>
            <m:nor/>
          </m:rPr>
          <m:t>rang</m:t>
        </m:r>
        <m:r>
          <m:t>(</m:t>
        </m:r>
        <m:sSub>
          <m:e>
            <m:acc>
              <m:accPr>
                <m:chr m:val="―"/>
              </m:accPr>
              <m:e>
                <m:r>
                  <m:rPr>
                    <m:nor/>
                  </m:rPr>
                  <m:t>CV</m:t>
                </m:r>
              </m:e>
            </m:acc>
          </m:e>
          <m:sub>
            <m:r>
              <m:t>k</m:t>
            </m:r>
          </m:sub>
        </m:sSub>
        <m:r>
          <m:t>)</m:t>
        </m:r>
      </m:oMath>
      <w:r>
        <w:rPr>
          <w:rFonts w:ascii="Times New Roman" w:hAnsi="Times New Roman" w:cs="Times New Roman"/>
          <w:sz w:val="24"/>
        </w:rPr>
        <w:t xml:space="preserve"> stigende og </w:t>
      </w:r>
      <m:oMath>
        <m:r>
          <m:rPr>
            <m:nor/>
          </m:rPr>
          <m:t>rang</m:t>
        </m:r>
        <m:r>
          <m:t>(</m:t>
        </m:r>
        <m:sSub>
          <m:e>
            <m:acc>
              <m:accPr>
                <m:chr m:val="―"/>
              </m:accPr>
              <m:e>
                <m:r>
                  <m:t>v</m:t>
                </m:r>
              </m:e>
            </m:acc>
          </m:e>
          <m:sub>
            <m:r>
              <m:t>k</m:t>
            </m:r>
          </m:sub>
        </m:sSub>
        <m:r>
          <m:t>)</m:t>
        </m:r>
      </m:oMath>
      <w:r>
        <w:rPr>
          <w:rFonts w:ascii="Times New Roman" w:hAnsi="Times New Roman" w:cs="Times New Roman"/>
          <w:sz w:val="24"/>
        </w:rPr>
        <w:t xml:space="preserve"> synkende – og klyngen med lavest rangsum velges:</w:t>
      </w:r>
    </w:p>
    <w:p>
      <w:pPr>
        <w:spacing w:line="360" w:lineRule="auto"/>
        <w:jc w:val="center"/>
      </w:pPr>
      <m:oMath>
        <m:sSup>
          <m:e>
            <m:r>
              <m:t>k</m:t>
            </m:r>
          </m:e>
          <m:sup>
            <m:r>
              <m:t>*</m:t>
            </m:r>
          </m:sup>
        </m:sSup>
        <m:r>
          <m:t>=</m:t>
        </m:r>
        <m:r>
          <m:rPr>
            <m:sty m:val="p"/>
          </m:rPr>
          <m:t>\arg</m:t>
        </m:r>
        <m:sSub>
          <m:e>
            <m:r>
              <m:t>min</m:t>
            </m:r>
          </m:e>
          <m:sub>
            <m:r>
              <m:t>k</m:t>
            </m:r>
          </m:sub>
        </m:sSub>
        <m:r>
          <m:t>[</m:t>
        </m:r>
        <m:r>
          <m:rPr>
            <m:nor/>
          </m:rPr>
          <m:t>rang</m:t>
        </m:r>
        <m:r>
          <m:t>(</m:t>
        </m:r>
        <m:sSub>
          <m:e>
            <m:acc>
              <m:accPr>
                <m:chr m:val="―"/>
              </m:accPr>
              <m:e>
                <m:r>
                  <m:rPr>
                    <m:nor/>
                  </m:rPr>
                  <m:t>CV</m:t>
                </m:r>
              </m:e>
            </m:acc>
          </m:e>
          <m:sub>
            <m:r>
              <m:t>k</m:t>
            </m:r>
          </m:sub>
        </m:sSub>
        <m:r>
          <m:t>↑)+</m:t>
        </m:r>
        <m:r>
          <m:rPr>
            <m:nor/>
          </m:rPr>
          <m:t>rang</m:t>
        </m:r>
        <m:r>
          <m:t>(</m:t>
        </m:r>
        <m:sSub>
          <m:e>
            <m:acc>
              <m:accPr>
                <m:chr m:val="―"/>
              </m:accPr>
              <m:e>
                <m:r>
                  <m:t>v</m:t>
                </m:r>
              </m:e>
            </m:acc>
          </m:e>
          <m:sub>
            <m:r>
              <m:t>k</m:t>
            </m:r>
          </m:sub>
        </m:sSub>
        <m:r>
          <m:t>↓)]</m:t>
        </m:r>
      </m:oMath>
    </w:p>
    <w:p>
      <w:pPr>
        <w:spacing w:line="360" w:lineRule="auto"/>
        <w:jc w:val="both"/>
      </w:pPr>
      <w:r>
        <w:rPr>
          <w:rFonts w:ascii="Times New Roman" w:hAnsi="Times New Roman" w:cs="Times New Roman"/>
          <w:sz w:val="24"/>
        </w:rPr>
        <w:t xml:space="preserve">K\_OVERFØR er altså klyngen med lavest gjennomsnittlig CV (stabilt forbruksmønster) og høyest gjennomsnittlig artikkelverdi. Implementasjonen benytter </w:t>
      </w:r>
      <w:r>
        <w:rPr>
          <w:rFonts w:ascii="Consolas" w:hAnsi="Consolas" w:cs="Consolas"/>
          <w:sz w:val="20"/>
          <w:shd w:val="clear" w:color="auto" w:fill="F4F4F4"/>
        </w:rPr>
        <w:t>pandas.Series.rank()</w:t>
      </w:r>
      <w:r>
        <w:rPr>
          <w:rFonts w:ascii="Times New Roman" w:hAnsi="Times New Roman" w:cs="Times New Roman"/>
          <w:sz w:val="24"/>
        </w:rPr>
        <w:t xml:space="preserve"> på klyngeprofilens CV- og verdikolonner (se Vedlegg B). Ettersom </w:t>
      </w:r>
      <m:oMath>
        <m:d>
          <m:dPr>
            <m:begChr m:val="|"/>
            <m:sepChr m:val=""/>
            <m:endChr m:val="|"/>
          </m:dPr>
          <m:e>
            <m:r>
              <m:t>Δ</m:t>
            </m:r>
            <m:r>
              <m:t>T</m:t>
            </m:r>
            <m:r>
              <m:t>C</m:t>
            </m:r>
          </m:e>
        </m:d>
      </m:oMath>
      <w:r>
        <w:rPr>
          <w:rFonts w:ascii="Times New Roman" w:hAnsi="Times New Roman" w:cs="Times New Roman"/>
          <w:sz w:val="24"/>
        </w:rPr>
        <w:t xml:space="preserve"> inngår i featurevektoren, påvirker den klyngestrukturen indirekte: artikler med høyt kostnadsavvik tenderer mot samme klynge som artikler med høy verdi og lav CV. Fordi K\_OVERFØR-definisjonen bygger på de samme dimensjonene (verdi og forbruksstabilitet) som ABC/XYZ-klassifiseringen, fungerer klyngetilhørigheten i praksis som et bekreftende støttefilter snarere enn som et uavhengig empirisk signal. Klyngeanalysens merverdi ligger i at den grupperer artikler multivariat uten forhåndsdefinerte terskler, og dermed kan fange profiler som terskelbasert klassifisering alene ikke identifiserer. Denne klyngen inngår som ett av inngangssignalene i regelmotoren beskrevet nedenfor.</w:t>
      </w:r>
    </w:p>
    <w:p>
      <w:pPr>
        <w:pStyle w:val="Overskrift2"/>
      </w:pPr>
      <w:r>
        <w:rPr>
          <w:rFonts w:ascii="Times New Roman" w:hAnsi="Times New Roman"/>
          <w:color w:val="000000"/>
          <w:sz w:val="32"/>
        </w:rPr>
        <w:t>5.5 Regelmotor</w:t>
      </w:r>
    </w:p>
    <w:p>
      <w:pPr>
        <w:spacing w:line="360" w:lineRule="auto"/>
        <w:jc w:val="both"/>
      </w:pPr>
      <w:r>
        <w:rPr>
          <w:rFonts w:ascii="Times New Roman" w:hAnsi="Times New Roman" w:cs="Times New Roman"/>
          <w:sz w:val="24"/>
        </w:rPr>
        <w:t>Regelmotoren kombinerer utfallene fra de fire foregående modellene – ABC-klasse, XYZ-klasse, EOQ-avviksstatus og K-means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p>
      <w:r>
        <w:rPr>
          <w:rFonts w:ascii="Times New Roman" w:hAnsi="Times New Roman"/>
          <w:b/>
          <w:sz w:val="20"/>
        </w:rPr>
        <w:t>Tabell 7</w:t>
      </w:r>
    </w:p>
    <w:p>
      <w:r>
        <w:rPr>
          <w:rFonts w:ascii="Times New Roman" w:hAnsi="Times New Roman"/>
          <w:i/>
          <w:sz w:val="20"/>
        </w:rPr>
        <w:t>Regelmotor: 8 beslutningsregler i prioritert rekkefølge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Regel</w:t>
            </w:r>
          </w:p>
        </w:tc>
        <w:tc>
          <w:tcPr>
            <w:tcW w:type="dxa" w:w="2192"/>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2192"/>
            <w:tcBorders>
              <w:top w:val="single" w:sz="8" w:space="0" w:color="000000"/>
              <w:bottom w:val="single" w:sz="4" w:space="0" w:color="000000"/>
              <w:left w:val="nil"/>
              <w:right w:val="nil"/>
            </w:tcBorders>
          </w:tcPr>
          <w:p>
            <w:r/>
            <w:r>
              <w:rPr>
                <w:rFonts w:ascii="Times New Roman" w:hAnsi="Times New Roman"/>
                <w:b/>
                <w:sz w:val="22"/>
              </w:rPr>
              <w:t>Anbefaling</w:t>
            </w:r>
          </w:p>
        </w:tc>
        <w:tc>
          <w:tcPr>
            <w:tcW w:type="dxa" w:w="2192"/>
            <w:tcBorders>
              <w:top w:val="single" w:sz="8" w:space="0" w:color="000000"/>
              <w:bottom w:val="single" w:sz="4" w:space="0" w:color="000000"/>
              <w:left w:val="nil"/>
              <w:right w:val="nil"/>
            </w:tcBorders>
          </w:tcPr>
          <w:p>
            <w:r/>
            <w:r>
              <w:rPr>
                <w:rFonts w:ascii="Times New Roman" w:hAnsi="Times New Roman"/>
                <w:b/>
                <w:sz w:val="22"/>
              </w:rPr>
              <w:t>Logikk</w:t>
            </w:r>
          </w:p>
        </w:tc>
      </w:tr>
      <w:tr>
        <w:tc>
          <w:tcPr>
            <w:tcW w:type="dxa" w:w="2192"/>
          </w:tcPr>
          <w:p>
            <w:r/>
            <w:r>
              <w:rPr>
                <w:rFonts w:ascii="Times New Roman" w:hAnsi="Times New Roman"/>
                <w:b w:val="0"/>
                <w:sz w:val="22"/>
              </w:rPr>
              <w:t>R1</w:t>
            </w:r>
          </w:p>
        </w:tc>
        <w:tc>
          <w:tcPr>
            <w:tcW w:type="dxa" w:w="2192"/>
          </w:tcPr>
          <w:p>
            <w:r/>
            <w:r>
              <w:rPr>
                <w:rFonts w:ascii="Times New Roman" w:hAnsi="Times New Roman"/>
                <w:b w:val="0"/>
                <w:sz w:val="22"/>
              </w:rPr>
              <w:t>XYZ = Z (uavh. av ABC)</w:t>
            </w:r>
          </w:p>
        </w:tc>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Uforutsigbart forbruk → uegnet for APL</w:t>
            </w:r>
          </w:p>
        </w:tc>
      </w:tr>
      <w:tr>
        <w:tc>
          <w:tcPr>
            <w:tcW w:type="dxa" w:w="2192"/>
          </w:tcPr>
          <w:p>
            <w:r/>
            <w:r>
              <w:rPr>
                <w:rFonts w:ascii="Times New Roman" w:hAnsi="Times New Roman"/>
                <w:b w:val="0"/>
                <w:sz w:val="22"/>
              </w:rPr>
              <w:t>R2</w:t>
            </w:r>
          </w:p>
        </w:tc>
        <w:tc>
          <w:tcPr>
            <w:tcW w:type="dxa" w:w="2192"/>
          </w:tcPr>
          <w:p>
            <w:r/>
            <w:r>
              <w:rPr>
                <w:rFonts w:ascii="Times New Roman" w:hAnsi="Times New Roman"/>
                <w:b w:val="0"/>
                <w:sz w:val="22"/>
              </w:rPr>
              <w:t>ABC = C og XYZ = Y</w:t>
            </w:r>
          </w:p>
        </w:tc>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Lav verdi + moderat variasjon</w:t>
            </w:r>
          </w:p>
        </w:tc>
      </w:tr>
      <w:tr>
        <w:tc>
          <w:tcPr>
            <w:tcW w:type="dxa" w:w="2192"/>
          </w:tcPr>
          <w:p>
            <w:r/>
            <w:r>
              <w:rPr>
                <w:rFonts w:ascii="Times New Roman" w:hAnsi="Times New Roman"/>
                <w:b w:val="0"/>
                <w:sz w:val="22"/>
              </w:rPr>
              <w:t>R3</w:t>
            </w:r>
          </w:p>
        </w:tc>
        <w:tc>
          <w:tcPr>
            <w:tcW w:type="dxa" w:w="2192"/>
          </w:tcPr>
          <w:p>
            <w:r/>
            <w:r>
              <w:rPr>
                <w:rFonts w:ascii="Times New Roman" w:hAnsi="Times New Roman"/>
                <w:b w:val="0"/>
                <w:sz w:val="22"/>
              </w:rPr>
              <w:t>ABC ∈ {A, B} og XYZ = X og EOQ = FOR_MANGE</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Sterkeste signal: høy verdi, stabilt, overbestilt</w:t>
            </w:r>
          </w:p>
        </w:tc>
      </w:tr>
      <w:tr>
        <w:tc>
          <w:tcPr>
            <w:tcW w:type="dxa" w:w="2192"/>
          </w:tcPr>
          <w:p>
            <w:r/>
            <w:r>
              <w:rPr>
                <w:rFonts w:ascii="Times New Roman" w:hAnsi="Times New Roman"/>
                <w:b w:val="0"/>
                <w:sz w:val="22"/>
              </w:rPr>
              <w:t>R4</w:t>
            </w:r>
          </w:p>
        </w:tc>
        <w:tc>
          <w:tcPr>
            <w:tcW w:type="dxa" w:w="2192"/>
          </w:tcPr>
          <w:p>
            <w:r/>
            <w:r>
              <w:rPr>
                <w:rFonts w:ascii="Times New Roman" w:hAnsi="Times New Roman"/>
                <w:b w:val="0"/>
                <w:sz w:val="22"/>
              </w:rPr>
              <w:t>ABC ∈ {A, B} og XYZ = X og K_OVERFØR</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Høy verdi, stabilt, klyngeprofil bekrefter</w:t>
            </w:r>
          </w:p>
        </w:tc>
      </w:tr>
      <w:tr>
        <w:tc>
          <w:tcPr>
            <w:tcW w:type="dxa" w:w="2192"/>
          </w:tcPr>
          <w:p>
            <w:r/>
            <w:r>
              <w:rPr>
                <w:rFonts w:ascii="Times New Roman" w:hAnsi="Times New Roman"/>
                <w:b w:val="0"/>
                <w:sz w:val="22"/>
              </w:rPr>
              <w:t>R5</w:t>
            </w:r>
          </w:p>
        </w:tc>
        <w:tc>
          <w:tcPr>
            <w:tcW w:type="dxa" w:w="2192"/>
          </w:tcPr>
          <w:p>
            <w:r/>
            <w:r>
              <w:rPr>
                <w:rFonts w:ascii="Times New Roman" w:hAnsi="Times New Roman"/>
                <w:b w:val="0"/>
                <w:sz w:val="22"/>
              </w:rPr>
              <w:t>ABC ∈ {A, B} og XYZ = Y og K_OVERFØR</w:t>
            </w:r>
          </w:p>
        </w:tc>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Høy verdi, moderat variasjon, klyngeprofil bekrefter</w:t>
            </w:r>
          </w:p>
        </w:tc>
      </w:tr>
      <w:tr>
        <w:tc>
          <w:tcPr>
            <w:tcW w:type="dxa" w:w="2192"/>
          </w:tcPr>
          <w:p>
            <w:r/>
            <w:r>
              <w:rPr>
                <w:rFonts w:ascii="Times New Roman" w:hAnsi="Times New Roman"/>
                <w:b w:val="0"/>
                <w:sz w:val="22"/>
              </w:rPr>
              <w:t>R6</w:t>
            </w:r>
          </w:p>
        </w:tc>
        <w:tc>
          <w:tcPr>
            <w:tcW w:type="dxa" w:w="2192"/>
          </w:tcPr>
          <w:p>
            <w:r/>
            <w:r>
              <w:rPr>
                <w:rFonts w:ascii="Times New Roman" w:hAnsi="Times New Roman"/>
                <w:b w:val="0"/>
                <w:sz w:val="22"/>
              </w:rPr>
              <w:t>ABC ∈ {A, B} og XYZ = X</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Høy verdi, stabilt, men ikke K_OVERFØR</w:t>
            </w:r>
          </w:p>
        </w:tc>
      </w:tr>
      <w:tr>
        <w:tc>
          <w:tcPr>
            <w:tcW w:type="dxa" w:w="2192"/>
          </w:tcPr>
          <w:p>
            <w:r/>
            <w:r>
              <w:rPr>
                <w:rFonts w:ascii="Times New Roman" w:hAnsi="Times New Roman"/>
                <w:b w:val="0"/>
                <w:sz w:val="22"/>
              </w:rPr>
              <w:t>R7</w:t>
            </w:r>
          </w:p>
        </w:tc>
        <w:tc>
          <w:tcPr>
            <w:tcW w:type="dxa" w:w="2192"/>
          </w:tcPr>
          <w:p>
            <w:r/>
            <w:r>
              <w:rPr>
                <w:rFonts w:ascii="Times New Roman" w:hAnsi="Times New Roman"/>
                <w:b w:val="0"/>
                <w:sz w:val="22"/>
              </w:rPr>
              <w:t>ABC ∈ {A, B} og XYZ = Y</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Høy verdi, moderat variasjon, ikke K_OVERFØR</w:t>
            </w:r>
          </w:p>
        </w:tc>
      </w:tr>
      <w:tr>
        <w:tc>
          <w:tcPr>
            <w:tcW w:type="dxa" w:w="2192"/>
          </w:tcPr>
          <w:p>
            <w:r/>
            <w:r>
              <w:rPr>
                <w:rFonts w:ascii="Times New Roman" w:hAnsi="Times New Roman"/>
                <w:b w:val="0"/>
                <w:sz w:val="22"/>
              </w:rPr>
              <w:t>R8</w:t>
            </w:r>
          </w:p>
        </w:tc>
        <w:tc>
          <w:tcPr>
            <w:tcW w:type="dxa" w:w="2192"/>
          </w:tcPr>
          <w:p>
            <w:r/>
            <w:r>
              <w:rPr>
                <w:rFonts w:ascii="Times New Roman" w:hAnsi="Times New Roman"/>
                <w:b w:val="0"/>
                <w:sz w:val="22"/>
              </w:rPr>
              <w:t>Ellers (inkl. C + X)</w:t>
            </w:r>
          </w:p>
        </w:tc>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Uklart signalmønster eller lav verdi</w:t>
            </w:r>
          </w:p>
        </w:tc>
      </w:tr>
    </w:tbl>
    <w:p>
      <w:pPr>
        <w:spacing w:line="360" w:lineRule="auto"/>
        <w:jc w:val="both"/>
      </w:pPr>
      <w:r>
        <w:rPr>
          <w:rFonts w:ascii="Times New Roman" w:hAnsi="Times New Roman" w:cs="Times New Roman"/>
          <w:sz w:val="24"/>
        </w:rPr>
        <w:t>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planbar etterspørsel for å opprettholde tilfredsstillende servicenivå (Bijvank &amp; Vis, 2012; Fragapane et al., 2019).</w:t>
      </w:r>
    </w:p>
    <w:p>
      <w:pPr>
        <w:spacing w:line="360" w:lineRule="auto"/>
        <w:jc w:val="both"/>
      </w:pPr>
      <w:r>
        <w:rPr>
          <w:rFonts w:ascii="Times New Roman" w:hAnsi="Times New Roman" w:cs="Times New Roman"/>
          <w:sz w:val="24"/>
        </w:rPr>
        <w:t>Reglene 3–5 definerer positivt overføringssignal med to krav: artikkelen må ha høy verdi (A/B) og stabilt forbruk (X eller Y), og i tillegg enten dokumentert overbestilling (R3: FOR\_MANGE\_ORDRER) eller klyngetilhørighet som bekrefter HVFS-egnethet (R4 og R5: K\_OVERFØR). K\_OVERFØR-kravet i R4 og R5 er et bevisst designvalg for å sikre at overføringsanbefalinger for artikler uten EOQ-avvikssignal er forankret i klyngeanalysen – dette gir regelmotoren høyere presisjon på bekostning av recall, og er grunnen til at VURDER-kategorien er den største enkeltgruppen. Regel 6 sender A/B-artikler med XYZ = X, men uten K\_OVERFØR-signal, til manuell vurdering; regel 7 gjør det samme for A/B-artikler med XYZ = Y. Regel 8 fanger opp alle øvrige artikler, inkludert C + X (lav verdi, stabilt forbruk), som sendes til vurdering. Regelmotorens sekvensielle beslutningsflyt er illustrert i Figur 5.</w:t>
      </w:r>
    </w:p>
    <w:p>
      <w:r>
        <w:drawing>
          <wp:inline xmlns:a="http://schemas.openxmlformats.org/drawingml/2006/main" xmlns:pic="http://schemas.openxmlformats.org/drawingml/2006/picture">
            <wp:extent cx="5400000" cy="4225574"/>
            <wp:docPr id="8" name="Picture 8"/>
            <wp:cNvGraphicFramePr>
              <a:graphicFrameLocks noChangeAspect="1"/>
            </wp:cNvGraphicFramePr>
            <a:graphic>
              <a:graphicData uri="http://schemas.openxmlformats.org/drawingml/2006/picture">
                <pic:pic>
                  <pic:nvPicPr>
                    <pic:cNvPr id="0" name="Fig03_Regelmotor.png"/>
                    <pic:cNvPicPr/>
                  </pic:nvPicPr>
                  <pic:blipFill>
                    <a:blip r:embed="rId26"/>
                    <a:stretch>
                      <a:fillRect/>
                    </a:stretch>
                  </pic:blipFill>
                  <pic:spPr>
                    <a:xfrm>
                      <a:off x="0" y="0"/>
                      <a:ext cx="5400000" cy="4225574"/>
                    </a:xfrm>
                    <a:prstGeom prst="rect"/>
                  </pic:spPr>
                </pic:pic>
              </a:graphicData>
            </a:graphic>
          </wp:inline>
        </w:drawing>
      </w:r>
    </w:p>
    <w:p>
      <w:pPr>
        <w:jc w:val="center"/>
      </w:pPr>
      <w:r>
        <w:rPr>
          <w:rFonts w:ascii="Times New Roman" w:hAnsi="Times New Roman"/>
          <w:i/>
          <w:sz w:val="20"/>
        </w:rPr>
        <w:t>Figur 5. Regelmotor: sekvensiell beslutningsflyt for HVFS-anbefaling (R1–R8). Generert med støtte fra Claude.</w:t>
      </w:r>
    </w:p>
    <w:p>
      <w:pPr>
        <w:spacing w:line="360" w:lineRule="auto"/>
        <w:jc w:val="both"/>
      </w:pPr>
      <w:r>
        <w:rPr>
          <w:rFonts w:ascii="Times New Roman" w:hAnsi="Times New Roman" w:cs="Times New Roman"/>
          <w:sz w:val="24"/>
        </w:rPr>
        <w:t>Artikler som ikke fanges opp av noen av de åtte reglene – typisk fordi CV-data eller verdidata mangler – klassifiseres som MANGLER\_DATA.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 Kapittel 6 beskriver den analytiske gjennomføringen av modellene fra kapittel 5 på de 709 artiklene i LGORT 3001.</w:t>
      </w:r>
    </w:p>
    <w:p>
      <w:pPr>
        <w:pStyle w:val="Overskrift1"/>
        <w:pageBreakBefore w:val="true"/>
      </w:pPr>
      <w:r>
        <w:rPr>
          <w:rFonts w:ascii="Times New Roman" w:hAnsi="Times New Roman"/>
          <w:color w:val="000000"/>
          <w:sz w:val="36"/>
        </w:rPr>
        <w:t>Kapittel 6 – Analyse</w:t>
      </w:r>
    </w:p>
    <w:p>
      <w:pPr>
        <w:pStyle w:val="Overskrift2"/>
      </w:pPr>
      <w:r>
        <w:rPr>
          <w:rFonts w:ascii="Times New Roman" w:hAnsi="Times New Roman"/>
          <w:color w:val="000000"/>
          <w:sz w:val="32"/>
        </w:rPr>
        <w:t>6.1 ABC-analyse av 709 artikler</w:t>
      </w:r>
    </w:p>
    <w:p>
      <w:pPr>
        <w:spacing w:line="360" w:lineRule="auto"/>
        <w:jc w:val="both"/>
      </w:pPr>
      <w:r>
        <w:rPr>
          <w:rFonts w:ascii="Times New Roman" w:hAnsi="Times New Roman" w:cs="Times New Roman"/>
          <w:sz w:val="24"/>
        </w:rPr>
        <w:t xml:space="preserve">ABC-analysen ble gjennomført ved å sortere samtlige 709 aktive artikler i synkende rekkefølge etter beregnet årsverdi </w:t>
      </w:r>
      <m:oMath>
        <m:sSub>
          <m:e>
            <m:r>
              <m:t>v</m:t>
            </m:r>
          </m:e>
          <m:sub>
            <m:r>
              <m:t>i</m:t>
            </m:r>
          </m:sub>
        </m:sSub>
        <m:r>
          <m:t>=</m:t>
        </m:r>
        <m:sSub>
          <m:e>
            <m:r>
              <m:t>D</m:t>
            </m:r>
          </m:e>
          <m:sub>
            <m:r>
              <m:t>i</m:t>
            </m:r>
          </m:sub>
        </m:sSub>
        <m:r>
          <m:t>×</m:t>
        </m:r>
        <m:sSub>
          <m:e>
            <m:r>
              <m:rPr>
                <m:nor/>
              </m:rPr>
              <m:t>UNIT\_PRICE</m:t>
            </m:r>
          </m:e>
          <m:sub>
            <m:r>
              <m:t>i</m:t>
            </m:r>
          </m:sub>
        </m:sSub>
      </m:oMath>
      <w:r>
        <w:rPr>
          <w:rFonts w:ascii="Times New Roman" w:hAnsi="Times New Roman" w:cs="Times New Roman"/>
          <w:sz w:val="24"/>
        </w:rPr>
        <w:t xml:space="preserve">, der </w:t>
      </w:r>
      <m:oMath>
        <m:sSub>
          <m:e>
            <m:r>
              <m:t>D</m:t>
            </m:r>
          </m:e>
          <m:sub>
            <m:r>
              <m:t>i</m:t>
            </m:r>
          </m:sub>
        </m:sSub>
      </m:oMath>
      <w:r>
        <w:rPr>
          <w:rFonts w:ascii="Times New Roman" w:hAnsi="Times New Roman" w:cs="Times New Roman"/>
          <w:sz w:val="24"/>
        </w:rPr>
        <w:t xml:space="preserve"> er annualisert forbruk og </w:t>
      </w:r>
      <m:oMath>
        <m:sSub>
          <m:e>
            <m:r>
              <m:rPr>
                <m:nor/>
              </m:rPr>
              <m:t>UNIT\_PRICE</m:t>
            </m:r>
          </m:e>
          <m:sub>
            <m:r>
              <m:t>i</m:t>
            </m:r>
          </m:sub>
        </m:sSub>
      </m:oMath>
      <w:r>
        <w:rPr>
          <w:rFonts w:ascii="Times New Roman" w:hAnsi="Times New Roman" w:cs="Times New Roman"/>
          <w:sz w:val="24"/>
        </w:rPr>
        <w:t xml:space="preserve"> er PEINH-korrigert standardpris fra MBEW (beslutningene D-02 og D-03, avsnitt 4.3). For 505 av artiklene er </w:t>
      </w:r>
      <m:oMath>
        <m:sSub>
          <m:e>
            <m:r>
              <m:t>v</m:t>
            </m:r>
          </m:e>
          <m:sub>
            <m:r>
              <m:t>i</m:t>
            </m:r>
          </m:sub>
        </m:sSub>
      </m:oMath>
      <w:r>
        <w:rPr>
          <w:rFonts w:ascii="Times New Roman" w:hAnsi="Times New Roman" w:cs="Times New Roman"/>
          <w:sz w:val="24"/>
        </w:rPr>
        <w:t xml:space="preserve"> basert direkte på EKPO-innkjøpsdata (ABC\_VALUE\_SOURCE = EKPO); for de resterende 204 er verdien beregnet fra MSEG-forbruk og enhetspris (ABC\_VALUE\_SOURCE = BEREGNET). Etter sortering ble kumulativ verdiandel CUM\_PCT beregnet som løpende sum av </w:t>
      </w:r>
      <m:oMath>
        <m:sSub>
          <m:e>
            <m:r>
              <m:t>v</m:t>
            </m:r>
          </m:e>
          <m:sub>
            <m:r>
              <m:t>i</m:t>
            </m:r>
          </m:sub>
        </m:sSub>
      </m:oMath>
      <w:r>
        <w:rPr>
          <w:rFonts w:ascii="Times New Roman" w:hAnsi="Times New Roman" w:cs="Times New Roman"/>
          <w:sz w:val="24"/>
        </w:rPr>
        <w:t xml:space="preserve"> dividert på totalsum. Den samlede årsverdien for de 709 artiklene er beregnet til i overkant av 34 millioner kroner.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implementert i pandas med vektoriserte operasjoner for å sikre at rangeringen er deterministisk og reproduserbar.</w:t>
      </w:r>
    </w:p>
    <w:p>
      <w:pPr>
        <w:spacing w:line="360" w:lineRule="auto"/>
        <w:jc w:val="both"/>
      </w:pPr>
      <w:r>
        <w:rPr>
          <w:rFonts w:ascii="Times New Roman" w:hAnsi="Times New Roman" w:cs="Times New Roman"/>
          <w:sz w:val="24"/>
        </w:rPr>
        <w:t>Pareto-grensene 80 % og 95 % ble deretter lagt på den kumulative kurven, som vist i Figur 6 nedenfor. Kurvens form – en bratt stigning tidlig etterfulgt av en lang flat hale – bekrefter at verdikonsentrasjonen følger Pareto-mønsteret. Endelig fordeling mellom A-, B- og C-artikler presenteres i Tabell 8 i kapittel 7.</w:t>
      </w:r>
    </w:p>
    <w:p>
      <w:r>
        <w:drawing>
          <wp:inline xmlns:a="http://schemas.openxmlformats.org/drawingml/2006/main" xmlns:pic="http://schemas.openxmlformats.org/drawingml/2006/picture">
            <wp:extent cx="5400000" cy="1795574"/>
            <wp:docPr id="9" name="Picture 9"/>
            <wp:cNvGraphicFramePr>
              <a:graphicFrameLocks noChangeAspect="1"/>
            </wp:cNvGraphicFramePr>
            <a:graphic>
              <a:graphicData uri="http://schemas.openxmlformats.org/drawingml/2006/picture">
                <pic:pic>
                  <pic:nvPicPr>
                    <pic:cNvPr id="0" name="Fig05_ABC_Pareto.png"/>
                    <pic:cNvPicPr/>
                  </pic:nvPicPr>
                  <pic:blipFill>
                    <a:blip r:embed="rId27"/>
                    <a:stretch>
                      <a:fillRect/>
                    </a:stretch>
                  </pic:blipFill>
                  <pic:spPr>
                    <a:xfrm>
                      <a:off x="0" y="0"/>
                      <a:ext cx="5400000" cy="1795574"/>
                    </a:xfrm>
                    <a:prstGeom prst="rect"/>
                  </pic:spPr>
                </pic:pic>
              </a:graphicData>
            </a:graphic>
          </wp:inline>
        </w:drawing>
      </w:r>
    </w:p>
    <w:p>
      <w:pPr>
        <w:jc w:val="center"/>
      </w:pPr>
      <w:r>
        <w:rPr>
          <w:rFonts w:ascii="Times New Roman" w:hAnsi="Times New Roman"/>
          <w:i/>
          <w:sz w:val="20"/>
        </w:rPr>
        <w:t>Figur 6. ABC Pareto-kurve: kumulativ verdiandel for 709 artikler rangert etter årsverdi, med grenser ved 80 % (A/B) og 95 % (B/C). Generert med støtte fra Claude.</w:t>
      </w:r>
    </w:p>
    <w:p>
      <w:pPr>
        <w:pStyle w:val="Overskrift2"/>
      </w:pPr>
      <w:r>
        <w:rPr>
          <w:rFonts w:ascii="Times New Roman" w:hAnsi="Times New Roman"/>
          <w:color w:val="000000"/>
          <w:sz w:val="32"/>
        </w:rPr>
        <w:t>6.2 XYZ-klassifisering</w:t>
      </w:r>
    </w:p>
    <w:p>
      <w:pPr>
        <w:spacing w:line="360" w:lineRule="auto"/>
        <w:jc w:val="both"/>
      </w:pPr>
      <w:r>
        <w:rPr>
          <w:rFonts w:ascii="Times New Roman" w:hAnsi="Times New Roman" w:cs="Times New Roman"/>
          <w:sz w:val="24"/>
        </w:rPr>
        <w:t xml:space="preserve">XYZ-klassifiseringen tok utgangspunkt i månedlig MSEG-forbruk per artikkel over den 24 måneder lange analyseperioden, med bevegelsestypene 201 og 647. For hver artikkel ble variasjonskoeffisienten </w:t>
      </w:r>
      <m:oMath>
        <m:sSub>
          <m:e>
            <m:r>
              <m:rPr>
                <m:nor/>
              </m:rPr>
              <m:t>CV</m:t>
            </m:r>
          </m:e>
          <m:sub>
            <m:r>
              <m:t>i</m:t>
            </m:r>
          </m:sub>
        </m:sSub>
        <m:r>
          <m:t>=</m:t>
        </m:r>
        <m:sSub>
          <m:e>
            <m:r>
              <m:t>σ</m:t>
            </m:r>
          </m:e>
          <m:sub>
            <m:r>
              <m:t>i</m:t>
            </m:r>
          </m:sub>
        </m:sSub>
        <m:r>
          <m:t>/</m:t>
        </m:r>
        <m:sSub>
          <m:e>
            <m:r>
              <m:t>μ</m:t>
            </m:r>
          </m:e>
          <m:sub>
            <m:r>
              <m:t>i</m:t>
            </m:r>
          </m:sub>
        </m:sSub>
      </m:oMath>
      <w:r>
        <w:rPr>
          <w:rFonts w:ascii="Times New Roman" w:hAnsi="Times New Roman" w:cs="Times New Roman"/>
          <w:sz w:val="24"/>
        </w:rPr>
        <w:t xml:space="preserve"> beregnet, der </w:t>
      </w:r>
      <m:oMath>
        <m:sSub>
          <m:e>
            <m:r>
              <m:t>σ</m:t>
            </m:r>
          </m:e>
          <m:sub>
            <m:r>
              <m:t>i</m:t>
            </m:r>
          </m:sub>
        </m:sSub>
      </m:oMath>
      <w:r>
        <w:rPr>
          <w:rFonts w:ascii="Times New Roman" w:hAnsi="Times New Roman" w:cs="Times New Roman"/>
          <w:sz w:val="24"/>
        </w:rPr>
        <w:t xml:space="preserve"> er standardavviket og </w:t>
      </w:r>
      <m:oMath>
        <m:sSub>
          <m:e>
            <m:r>
              <m:t>μ</m:t>
            </m:r>
          </m:e>
          <m:sub>
            <m:r>
              <m:t>i</m:t>
            </m:r>
          </m:sub>
        </m:sSub>
      </m:oMath>
      <w:r>
        <w:rPr>
          <w:rFonts w:ascii="Times New Roman" w:hAnsi="Times New Roman" w:cs="Times New Roman"/>
          <w:sz w:val="24"/>
        </w:rPr>
        <w:t xml:space="preserve"> 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pPr>
        <w:spacing w:line="360" w:lineRule="auto"/>
        <w:jc w:val="both"/>
      </w:pPr>
      <w:r>
        <w:rPr>
          <w:rFonts w:ascii="Times New Roman" w:hAnsi="Times New Roman" w:cs="Times New Roman"/>
          <w:sz w:val="24"/>
        </w:rPr>
        <w:t>Etter beregning ble CV-grensene fra Tabell 6 (kap. 5) anvendt: X (</w:t>
      </w:r>
      <m:oMath>
        <m:r>
          <m:t>CV&lt;0,5</m:t>
        </m:r>
      </m:oMath>
      <w:r>
        <w:rPr>
          <w:rFonts w:ascii="Times New Roman" w:hAnsi="Times New Roman" w:cs="Times New Roman"/>
          <w:sz w:val="24"/>
        </w:rPr>
        <w:t xml:space="preserve">), Y (0,5 ≤ </w:t>
      </w:r>
      <m:oMath>
        <m:r>
          <m:t>CV&lt;1,0</m:t>
        </m:r>
      </m:oMath>
      <w:r>
        <w:rPr>
          <w:rFonts w:ascii="Times New Roman" w:hAnsi="Times New Roman" w:cs="Times New Roman"/>
          <w:sz w:val="24"/>
        </w:rPr>
        <w:t>) og Z (</w:t>
      </w:r>
      <m:oMath>
        <m:r>
          <m:t>CV≥1,0</m:t>
        </m:r>
      </m:oMath>
      <w:r>
        <w:rPr>
          <w:rFonts w:ascii="Times New Roman" w:hAnsi="Times New Roman" w:cs="Times New Roman"/>
          <w:sz w:val="24"/>
        </w:rPr>
        <w:t>). XYZ-analysen ble deretter kryssvalidert mot SAP-feltet ZZXYZ; resultatene presenteres i Tabell 10 i kapittel 7.</w:t>
      </w:r>
    </w:p>
    <w:p>
      <w:pPr>
        <w:spacing w:line="360" w:lineRule="auto"/>
        <w:jc w:val="both"/>
      </w:pPr>
      <w:r>
        <w:rPr>
          <w:rFonts w:ascii="Times New Roman" w:hAnsi="Times New Roman" w:cs="Times New Roman"/>
          <w:sz w:val="24"/>
        </w:rPr>
        <w:t>ABC- og XYZ-klassifiseringene ble kombinert til en ni-felts kryssmatrise, som vist i Figur 7. Matrisen gir et øyeblikksbilde av populasjonens sammensetning langs de to dimensjonene og danner inngangsdataene for regelmotoren i avsnitt 6.5. Fullstendige celleantall er gjengitt i Figur 7; univariate XYZ-fordelinger presenteres i Tabell 9 i kapittel 7.</w:t>
      </w:r>
    </w:p>
    <w:p>
      <w:r>
        <w:drawing>
          <wp:inline xmlns:a="http://schemas.openxmlformats.org/drawingml/2006/main" xmlns:pic="http://schemas.openxmlformats.org/drawingml/2006/picture">
            <wp:extent cx="5400000" cy="4642684"/>
            <wp:docPr id="10" name="Picture 10"/>
            <wp:cNvGraphicFramePr>
              <a:graphicFrameLocks noChangeAspect="1"/>
            </wp:cNvGraphicFramePr>
            <a:graphic>
              <a:graphicData uri="http://schemas.openxmlformats.org/drawingml/2006/picture">
                <pic:pic>
                  <pic:nvPicPr>
                    <pic:cNvPr id="0" name="Fig06_ABC_XYZ_Matrise.png"/>
                    <pic:cNvPicPr/>
                  </pic:nvPicPr>
                  <pic:blipFill>
                    <a:blip r:embed="rId28"/>
                    <a:stretch>
                      <a:fillRect/>
                    </a:stretch>
                  </pic:blipFill>
                  <pic:spPr>
                    <a:xfrm>
                      <a:off x="0" y="0"/>
                      <a:ext cx="5400000" cy="4642684"/>
                    </a:xfrm>
                    <a:prstGeom prst="rect"/>
                  </pic:spPr>
                </pic:pic>
              </a:graphicData>
            </a:graphic>
          </wp:inline>
        </w:drawing>
      </w:r>
    </w:p>
    <w:p>
      <w:pPr>
        <w:jc w:val="center"/>
      </w:pPr>
      <w:r>
        <w:rPr>
          <w:rFonts w:ascii="Times New Roman" w:hAnsi="Times New Roman"/>
          <w:i/>
          <w:sz w:val="20"/>
        </w:rPr>
        <w:t>Figur 7. ABC/XYZ-kryssmatrise: antall artikler per kombinasjon (687 klassifiserte artikler, WERKS 3300 / LGORT 3001). Generert med støtte fra Claude.</w:t>
      </w:r>
    </w:p>
    <w:p>
      <w:pPr>
        <w:spacing w:line="360" w:lineRule="auto"/>
        <w:jc w:val="both"/>
      </w:pPr>
      <w:r>
        <w:rPr>
          <w:rFonts w:ascii="Times New Roman" w:hAnsi="Times New Roman" w:cs="Times New Roman"/>
          <w:sz w:val="24"/>
        </w:rPr>
        <w:t>Matrisen viser at A- og B-artikler i stor grad er konsentrert i X-kolonnen (stabilt forbruk), mens Z-kolonnen er dominert av C-artikler. AZ- og BZ-kategoriene er relativt små. De ni cellene i matrisen danner det primære inngangssignalet for regelmotorens beslutningslogikk i avsnitt 6.5.</w:t>
      </w:r>
    </w:p>
    <w:p>
      <w:pPr>
        <w:pStyle w:val="Overskrift2"/>
      </w:pPr>
      <w:r>
        <w:rPr>
          <w:rFonts w:ascii="Times New Roman" w:hAnsi="Times New Roman"/>
          <w:color w:val="000000"/>
          <w:sz w:val="32"/>
        </w:rPr>
        <w:t>6.3 EOQ-avviksberegning</w:t>
      </w:r>
    </w:p>
    <w:p>
      <w:pPr>
        <w:spacing w:line="360" w:lineRule="auto"/>
        <w:jc w:val="both"/>
      </w:pPr>
      <w:r>
        <w:rPr>
          <w:rFonts w:ascii="Times New Roman" w:hAnsi="Times New Roman" w:cs="Times New Roman"/>
          <w:sz w:val="24"/>
        </w:rPr>
        <w:t xml:space="preserve">EOQ-avviksanalysen ble gjennomført for alle artikler der tilstrekkelig data forelå for beregning av optimal ordrefrekvens </w:t>
      </w:r>
      <m:oMath>
        <m:sSup>
          <m:e>
            <m:r>
              <m:t>f</m:t>
            </m:r>
          </m:e>
          <m:sup>
            <m:r>
              <m:t>*</m:t>
            </m:r>
          </m:sup>
        </m:sSup>
      </m:oMath>
      <w:r>
        <w:rPr>
          <w:rFonts w:ascii="Times New Roman" w:hAnsi="Times New Roman" w:cs="Times New Roman"/>
          <w:sz w:val="24"/>
        </w:rPr>
        <w:t xml:space="preserve">, det vil si artikler med </w:t>
      </w:r>
      <m:oMath>
        <m:sSub>
          <m:e>
            <m:r>
              <m:t>D</m:t>
            </m:r>
          </m:e>
          <m:sub>
            <m:r>
              <m:t>i</m:t>
            </m:r>
          </m:sub>
        </m:sSub>
        <m:r>
          <m:t>&gt;0</m:t>
        </m:r>
      </m:oMath>
      <w:r>
        <w:rPr>
          <w:rFonts w:ascii="Times New Roman" w:hAnsi="Times New Roman" w:cs="Times New Roman"/>
          <w:sz w:val="24"/>
        </w:rPr>
        <w:t xml:space="preserve">, </w:t>
      </w:r>
      <m:oMath>
        <m:sSub>
          <m:e>
            <m:r>
              <m:rPr>
                <m:nor/>
              </m:rPr>
              <m:t>UNIT\_PRICE</m:t>
            </m:r>
          </m:e>
          <m:sub>
            <m:r>
              <m:t>i</m:t>
            </m:r>
          </m:sub>
        </m:sSub>
        <m:r>
          <m:t>&gt;0</m:t>
        </m:r>
      </m:oMath>
      <w:r>
        <w:rPr>
          <w:rFonts w:ascii="Times New Roman" w:hAnsi="Times New Roman" w:cs="Times New Roman"/>
          <w:sz w:val="24"/>
        </w:rPr>
        <w:t xml:space="preserve"> og tilgjengelig LEAD\_TIME. Den optimale frekvensen </w:t>
      </w:r>
      <m:oMath>
        <m:sSup>
          <m:e>
            <m:r>
              <m:t>f</m:t>
            </m:r>
          </m:e>
          <m:sup>
            <m:r>
              <m:t>*</m:t>
            </m:r>
          </m:sup>
        </m:sSup>
        <m:r>
          <m:t>=</m:t>
        </m:r>
        <m:rad>
          <m:radPr>
            <m:degHide m:val="on"/>
          </m:radPr>
          <m:deg/>
          <m:e>
            <m:r>
              <m:t>DH/2S</m:t>
            </m:r>
          </m:e>
        </m:rad>
      </m:oMath>
      <w:r>
        <w:rPr>
          <w:rFonts w:ascii="Times New Roman" w:hAnsi="Times New Roman" w:cs="Times New Roman"/>
          <w:sz w:val="24"/>
        </w:rPr>
        <w:t xml:space="preserve"> ble beregnet med </w:t>
      </w:r>
      <m:oMath>
        <m:r>
          <m:t>S=750</m:t>
        </m:r>
      </m:oMath>
      <w:r>
        <w:rPr>
          <w:rFonts w:ascii="Times New Roman" w:hAnsi="Times New Roman" w:cs="Times New Roman"/>
          <w:sz w:val="24"/>
        </w:rPr>
        <w:t xml:space="preserve"> NOK og </w:t>
      </w:r>
      <m:oMath>
        <m:r>
          <m:t>H=0</m:t>
        </m:r>
        <m:r>
          <m:t>,</m:t>
        </m:r>
        <m:r>
          <m:t>20×</m:t>
        </m:r>
        <m:sSub>
          <m:e>
            <m:r>
              <m:rPr>
                <m:nor/>
              </m:rPr>
              <m:t>UNIT\_PRICE</m:t>
            </m:r>
          </m:e>
          <m:sub>
            <m:r>
              <m:t>i</m:t>
            </m:r>
          </m:sub>
        </m:sSub>
      </m:oMath>
      <w:r>
        <w:rPr>
          <w:rFonts w:ascii="Times New Roman" w:hAnsi="Times New Roman" w:cs="Times New Roman"/>
          <w:sz w:val="24"/>
        </w:rPr>
        <w:t xml:space="preserve"> som modellparametere (se Tabell 6, kap. 5). Faktisk ordrefrekvens </w:t>
      </w:r>
      <m:oMath>
        <m:sSub>
          <m:e>
            <m:r>
              <m:t>f</m:t>
            </m:r>
          </m:e>
          <m:sub>
            <m:r>
              <m:rPr>
                <m:nor/>
              </m:rPr>
              <m:t>obs</m:t>
            </m:r>
          </m:sub>
        </m:sSub>
      </m:oMath>
      <w:r>
        <w:rPr>
          <w:rFonts w:ascii="Times New Roman" w:hAnsi="Times New Roman" w:cs="Times New Roman"/>
          <w:sz w:val="24"/>
        </w:rPr>
        <w:t xml:space="preserve"> ble hentet fra EKBE og annualisert i henhold til beslutning D-08: ACTUAL\_FREQ = ORDER\_COUNT </w:t>
      </w:r>
      <m:oMath>
        <m:r>
          <m:t>×</m:t>
        </m:r>
      </m:oMath>
      <w:r>
        <w:rPr>
          <w:rFonts w:ascii="Times New Roman" w:hAnsi="Times New Roman" w:cs="Times New Roman"/>
          <w:sz w:val="24"/>
        </w:rPr>
        <w:t xml:space="preserve"> (12/24).</w:t>
      </w:r>
    </w:p>
    <w:p>
      <w:pPr>
        <w:spacing w:line="360" w:lineRule="auto"/>
        <w:jc w:val="both"/>
      </w:pPr>
      <w:r>
        <w:rPr>
          <w:rFonts w:ascii="Times New Roman" w:hAnsi="Times New Roman" w:cs="Times New Roman"/>
          <w:sz w:val="24"/>
        </w:rPr>
        <w:t xml:space="preserve">Det relative frekvensavviket </w:t>
      </w:r>
      <m:oMath>
        <m:sSub>
          <m:e>
            <m:r>
              <m:rPr>
                <m:nor/>
              </m:rPr>
              <m:t>FREQ\_AVVIK</m:t>
            </m:r>
          </m:e>
          <m:sub>
            <m:r>
              <m:t>i</m:t>
            </m:r>
          </m:sub>
        </m:sSub>
        <m:r>
          <m:t>=(</m:t>
        </m:r>
        <m:sSub>
          <m:e>
            <m:r>
              <m:t>f</m:t>
            </m:r>
          </m:e>
          <m:sub>
            <m:r>
              <m:rPr>
                <m:nor/>
              </m:rPr>
              <m:t>obs</m:t>
            </m:r>
            <m:r>
              <m:t>,i</m:t>
            </m:r>
          </m:sub>
        </m:sSub>
        <m:r>
          <m:t>−</m:t>
        </m:r>
        <m:sSubSup>
          <m:e>
            <m:r>
              <m:t>f</m:t>
            </m:r>
          </m:e>
          <m:sub>
            <m:r>
              <m:t>i</m:t>
            </m:r>
          </m:sub>
          <m:sup>
            <m:r>
              <m:t>*</m:t>
            </m:r>
          </m:sup>
        </m:sSubSup>
        <m:r>
          <m:t>)/</m:t>
        </m:r>
        <m:sSubSup>
          <m:e>
            <m:r>
              <m:t>f</m:t>
            </m:r>
          </m:e>
          <m:sub>
            <m:r>
              <m:t>i</m:t>
            </m:r>
          </m:sub>
          <m:sup>
            <m:r>
              <m:t>*</m:t>
            </m:r>
          </m:sup>
        </m:sSubSup>
      </m:oMath>
      <w:r>
        <w:rPr>
          <w:rFonts w:ascii="Times New Roman" w:hAnsi="Times New Roman" w:cs="Times New Roman"/>
          <w:sz w:val="24"/>
        </w:rPr>
        <w:t xml:space="preserve"> ble beregnet per artikkel. Fordelingen av dette avviket er illustrert i Figur 8 nedenfor. Terskelen </w:t>
      </w:r>
      <m:oMath>
        <m:sSub>
          <m:e>
            <m:r>
              <m:t>τ</m:t>
            </m:r>
          </m:e>
          <m:sub>
            <m:r>
              <m:t>f</m:t>
            </m:r>
          </m:sub>
        </m:sSub>
        <m:r>
          <m:t>=1</m:t>
        </m:r>
        <m:r>
          <m:t>,</m:t>
        </m:r>
        <m:r>
          <m:t>5</m:t>
        </m:r>
      </m:oMath>
      <w:r>
        <w:rPr>
          <w:rFonts w:ascii="Times New Roman" w:hAnsi="Times New Roman" w:cs="Times New Roman"/>
          <w:sz w:val="24"/>
        </w:rPr>
        <w:t xml:space="preserve"> (dvs. FREQ\_AVVIK &gt; 0,5) ble lagt inn for å skille artikler med vesentlig overbestilling (FOR\_MANGE\_ORDRER) fra artikler innenfor akseptabelt avvik. I tillegg ble differansen i totalkostnad </w:t>
      </w:r>
      <m:oMath>
        <m:r>
          <m:t>ΔT</m:t>
        </m:r>
        <m:sSub>
          <m:e>
            <m:r>
              <m:t>C</m:t>
            </m:r>
          </m:e>
          <m:sub>
            <m:r>
              <m:t>i</m:t>
            </m:r>
          </m:sub>
        </m:sSub>
        <m:r>
          <m:t>=TC(</m:t>
        </m:r>
        <m:sSub>
          <m:e>
            <m:r>
              <m:t>f</m:t>
            </m:r>
          </m:e>
          <m:sub>
            <m:r>
              <m:rPr>
                <m:nor/>
              </m:rPr>
              <m:t>obs</m:t>
            </m:r>
            <m:r>
              <m:t>,i</m:t>
            </m:r>
          </m:sub>
        </m:sSub>
        <m:r>
          <m:t>)−TC(</m:t>
        </m:r>
        <m:sSubSup>
          <m:e>
            <m:r>
              <m:t>f</m:t>
            </m:r>
          </m:e>
          <m:sub>
            <m:r>
              <m:t>i</m:t>
            </m:r>
          </m:sub>
          <m:sup>
            <m:r>
              <m:t>*</m:t>
            </m:r>
          </m:sup>
        </m:sSubSup>
        <m:r>
          <m:t>)</m:t>
        </m:r>
      </m:oMath>
      <w:r>
        <w:rPr>
          <w:rFonts w:ascii="Times New Roman" w:hAnsi="Times New Roman" w:cs="Times New Roman"/>
          <w:sz w:val="24"/>
        </w:rPr>
        <w:t xml:space="preserve"> beregnet per artikkel, og summert til et samlet EOQ-avvikstall for hele populasjonen. Disse resultatene presenteres i sin helhet i Tabell 11 og avsnitt 7.3.</w:t>
      </w:r>
    </w:p>
    <w:p>
      <w:r>
        <w:drawing>
          <wp:inline xmlns:a="http://schemas.openxmlformats.org/drawingml/2006/main" xmlns:pic="http://schemas.openxmlformats.org/drawingml/2006/picture">
            <wp:extent cx="5400000" cy="2238197"/>
            <wp:docPr id="11" name="Picture 11"/>
            <wp:cNvGraphicFramePr>
              <a:graphicFrameLocks noChangeAspect="1"/>
            </wp:cNvGraphicFramePr>
            <a:graphic>
              <a:graphicData uri="http://schemas.openxmlformats.org/drawingml/2006/picture">
                <pic:pic>
                  <pic:nvPicPr>
                    <pic:cNvPr id="0" name="Fig07_EOQ_Avvik.png"/>
                    <pic:cNvPicPr/>
                  </pic:nvPicPr>
                  <pic:blipFill>
                    <a:blip r:embed="rId29"/>
                    <a:stretch>
                      <a:fillRect/>
                    </a:stretch>
                  </pic:blipFill>
                  <pic:spPr>
                    <a:xfrm>
                      <a:off x="0" y="0"/>
                      <a:ext cx="5400000" cy="2238197"/>
                    </a:xfrm>
                    <a:prstGeom prst="rect"/>
                  </pic:spPr>
                </pic:pic>
              </a:graphicData>
            </a:graphic>
          </wp:inline>
        </w:drawing>
      </w:r>
    </w:p>
    <w:p>
      <w:pPr>
        <w:jc w:val="center"/>
      </w:pPr>
      <w:r>
        <w:rPr>
          <w:rFonts w:ascii="Times New Roman" w:hAnsi="Times New Roman"/>
          <w:i/>
          <w:sz w:val="20"/>
        </w:rPr>
        <w:t>Figur 8. EOQ-avvik: relativ frekvensavvik (FREQ_AVVIK) for artikler med tilstrekkelige data, med terskel ved τ_f = 1,5. Generert med støtte fra Claude.</w:t>
      </w:r>
    </w:p>
    <w:p>
      <w:pPr>
        <w:spacing w:line="360" w:lineRule="auto"/>
        <w:jc w:val="both"/>
      </w:pPr>
      <w:r>
        <w:rPr>
          <w:rFonts w:ascii="Times New Roman" w:hAnsi="Times New Roman" w:cs="Times New Roman"/>
          <w:sz w:val="24"/>
        </w:rPr>
        <w:t xml:space="preserve">Figur 8 viser at fordelingen er sterkt høyreskjev: majoriteten av artiklene med EOQ-data har et FREQ\_AVVIK over terskelen på 0,5. Fordeling etter avviksstatus og totale </w:t>
      </w:r>
      <m:oMath>
        <m:r>
          <m:t>ΔTC</m:t>
        </m:r>
      </m:oMath>
      <w:r>
        <w:rPr>
          <w:rFonts w:ascii="Times New Roman" w:hAnsi="Times New Roman" w:cs="Times New Roman"/>
          <w:sz w:val="24"/>
        </w:rPr>
        <w:t>-summer presenteres i Tabell 11 og avsnitt 7.3.</w:t>
      </w:r>
    </w:p>
    <w:p>
      <w:pPr>
        <w:pStyle w:val="Overskrift2"/>
      </w:pPr>
      <w:r>
        <w:rPr>
          <w:rFonts w:ascii="Times New Roman" w:hAnsi="Times New Roman"/>
          <w:color w:val="000000"/>
          <w:sz w:val="32"/>
        </w:rPr>
        <w:t>6.4 K-means klyngeanalyse</w:t>
      </w:r>
    </w:p>
    <w:p>
      <w:pPr>
        <w:spacing w:line="360" w:lineRule="auto"/>
        <w:jc w:val="both"/>
      </w:pPr>
      <w:r>
        <w:rPr>
          <w:rFonts w:ascii="Times New Roman" w:hAnsi="Times New Roman" w:cs="Times New Roman"/>
          <w:b/>
          <w:sz w:val="24"/>
        </w:rPr>
        <w:t>Dataklargjøring og splitting.</w:t>
      </w:r>
      <w:r>
        <w:rPr>
          <w:rFonts w:ascii="Times New Roman" w:hAnsi="Times New Roman" w:cs="Times New Roman"/>
          <w:sz w:val="24"/>
        </w:rPr>
        <w:t xml:space="preserve"> Featurevektoren </w:t>
      </w:r>
      <m:oMath>
        <m:sSub>
          <m:e>
            <m:r>
              <m:t>𝐱</m:t>
            </m:r>
          </m:e>
          <m:sub>
            <m:r>
              <m:t>i</m:t>
            </m:r>
          </m:sub>
        </m:sSub>
        <m:r>
          <m:t>=[z(</m:t>
        </m:r>
        <m:r>
          <m:rPr>
            <m:sty m:val="p"/>
          </m:rPr>
          <m:t>ln</m:t>
        </m:r>
        <m:sSub>
          <m:e>
            <m:r>
              <m:rPr>
                <m:nor/>
              </m:rPr>
              <m:t>CV</m:t>
            </m:r>
          </m:e>
          <m:sub>
            <m:r>
              <m:t>i</m:t>
            </m:r>
          </m:sub>
        </m:sSub>
        <m:r>
          <m:t>),</m:t>
        </m:r>
        <m:r>
          <m:t>z(</m:t>
        </m:r>
        <m:r>
          <m:rPr>
            <m:sty m:val="p"/>
          </m:rPr>
          <m:t>ln</m:t>
        </m:r>
        <m:r>
          <m:t>(</m:t>
        </m:r>
        <m:sSub>
          <m:e>
            <m:r>
              <m:t>v</m:t>
            </m:r>
          </m:e>
          <m:sub>
            <m:r>
              <m:t>i</m:t>
            </m:r>
          </m:sub>
        </m:sSub>
        <m:r>
          <m:t>+1)),</m:t>
        </m:r>
        <m:r>
          <m:t>z(</m:t>
        </m:r>
        <m:r>
          <m:rPr>
            <m:sty m:val="p"/>
          </m:rPr>
          <m:t>ln</m:t>
        </m:r>
        <m:r>
          <m:t>(|ΔT</m:t>
        </m:r>
        <m:sSub>
          <m:e>
            <m:r>
              <m:t>C</m:t>
            </m:r>
          </m:e>
          <m:sub>
            <m:r>
              <m:t>i</m:t>
            </m:r>
          </m:sub>
        </m:sSub>
        <m:r>
          <m:t>|+1))]</m:t>
        </m:r>
      </m:oMath>
      <w:r>
        <w:rPr>
          <w:rFonts w:ascii="Times New Roman" w:hAnsi="Times New Roman" w:cs="Times New Roman"/>
          <w:sz w:val="24"/>
        </w:rPr>
        <w:t xml:space="preserve"> ble konstruert for alle artikler med tilstrekkelig data. Log-transformasjonen ble påført før z-score-standardisering for å håndtere høyreskjevheten i de underliggende distribusjonene, som beskrevet i avsnitt 5.4. Datasettet ble delt i et treningssett (</w:t>
      </w:r>
      <m:oMath>
        <m:r>
          <m:t>n=389</m:t>
        </m:r>
      </m:oMath>
      <w:r>
        <w:rPr>
          <w:rFonts w:ascii="Times New Roman" w:hAnsi="Times New Roman" w:cs="Times New Roman"/>
          <w:sz w:val="24"/>
        </w:rPr>
        <w:t>) og et testsett (</w:t>
      </w:r>
      <m:oMath>
        <m:r>
          <m:t>n=98</m:t>
        </m:r>
      </m:oMath>
      <w:r>
        <w:rPr>
          <w:rFonts w:ascii="Times New Roman" w:hAnsi="Times New Roman" w:cs="Times New Roman"/>
          <w:sz w:val="24"/>
        </w:rPr>
        <w:t xml:space="preserve">) med </w:t>
      </w:r>
      <w:r>
        <w:rPr>
          <w:rFonts w:ascii="Consolas" w:hAnsi="Consolas" w:cs="Consolas"/>
          <w:sz w:val="20"/>
          <w:shd w:val="clear" w:color="auto" w:fill="F4F4F4"/>
        </w:rPr>
        <w:t>random_state=42</w:t>
      </w:r>
      <w:r>
        <w:rPr>
          <w:rFonts w:ascii="Times New Roman" w:hAnsi="Times New Roman" w:cs="Times New Roman"/>
          <w:sz w:val="24"/>
        </w:rPr>
        <w:t>. StandardScaler ble tilpasset utelukkende til treningsdataene og deretter brukt til å transformere begge sett, slik at informasjon fra testsettet ikke lekker inn i skaleringen.</w:t>
      </w:r>
    </w:p>
    <w:p>
      <w:pPr>
        <w:spacing w:line="360" w:lineRule="auto"/>
        <w:jc w:val="both"/>
      </w:pPr>
      <w:r>
        <w:rPr>
          <w:rFonts w:ascii="Times New Roman" w:hAnsi="Times New Roman" w:cs="Times New Roman"/>
          <w:b/>
          <w:sz w:val="24"/>
        </w:rPr>
        <w:t>K-valg via silhouette.</w:t>
      </w:r>
      <w:r>
        <w:rPr>
          <w:rFonts w:ascii="Times New Roman" w:hAnsi="Times New Roman" w:cs="Times New Roman"/>
          <w:sz w:val="24"/>
        </w:rPr>
        <w:t xml:space="preserve"> KMeans-modellen ble trent for </w:t>
      </w:r>
      <m:oMath>
        <m:r>
          <m:t>K=2</m:t>
        </m:r>
      </m:oMath>
      <w:r>
        <w:rPr>
          <w:rFonts w:ascii="Times New Roman" w:hAnsi="Times New Roman" w:cs="Times New Roman"/>
          <w:sz w:val="24"/>
        </w:rPr>
        <w:t>, 3, 4, 5, 6 og 7 på treningsdataene. For hvert K ble gjennomsnittlig silhouette-score beregnet. Figur 9 viser silhouette-profilen over K-søket.</w:t>
      </w:r>
    </w:p>
    <w:p>
      <w:r>
        <w:drawing>
          <wp:inline xmlns:a="http://schemas.openxmlformats.org/drawingml/2006/main" xmlns:pic="http://schemas.openxmlformats.org/drawingml/2006/picture">
            <wp:extent cx="5400000" cy="2147647"/>
            <wp:docPr id="12" name="Picture 12"/>
            <wp:cNvGraphicFramePr>
              <a:graphicFrameLocks noChangeAspect="1"/>
            </wp:cNvGraphicFramePr>
            <a:graphic>
              <a:graphicData uri="http://schemas.openxmlformats.org/drawingml/2006/picture">
                <pic:pic>
                  <pic:nvPicPr>
                    <pic:cNvPr id="0" name="Fig08_Silhouette.png"/>
                    <pic:cNvPicPr/>
                  </pic:nvPicPr>
                  <pic:blipFill>
                    <a:blip r:embed="rId30"/>
                    <a:stretch>
                      <a:fillRect/>
                    </a:stretch>
                  </pic:blipFill>
                  <pic:spPr>
                    <a:xfrm>
                      <a:off x="0" y="0"/>
                      <a:ext cx="5400000" cy="2147647"/>
                    </a:xfrm>
                    <a:prstGeom prst="rect"/>
                  </pic:spPr>
                </pic:pic>
              </a:graphicData>
            </a:graphic>
          </wp:inline>
        </w:drawing>
      </w:r>
    </w:p>
    <w:p>
      <w:pPr>
        <w:jc w:val="center"/>
      </w:pPr>
      <w:r>
        <w:rPr>
          <w:rFonts w:ascii="Times New Roman" w:hAnsi="Times New Roman"/>
          <w:i/>
          <w:sz w:val="20"/>
        </w:rPr>
        <w:t>Figur 9. Silhouette-score for K = 2–7 (treningsdata, n = 389): K = 3 gir høyest score (0,383). Generert med støtte fra Claude.</w:t>
      </w:r>
    </w:p>
    <w:p>
      <w:pPr>
        <w:spacing w:line="360" w:lineRule="auto"/>
        <w:jc w:val="both"/>
      </w:pPr>
      <m:oMath>
        <m:r>
          <m:t>K=3</m:t>
        </m:r>
      </m:oMath>
      <w:r>
        <w:rPr>
          <w:rFonts w:ascii="Times New Roman" w:hAnsi="Times New Roman" w:cs="Times New Roman"/>
          <w:sz w:val="24"/>
        </w:rPr>
        <w:t xml:space="preserve"> ga høyest silhouette-score og ble valgt som det endelige antallet klynger. For </w:t>
      </w:r>
      <m:oMath>
        <m:r>
          <m:t>K=4</m:t>
        </m:r>
      </m:oMath>
      <w:r>
        <w:rPr>
          <w:rFonts w:ascii="Times New Roman" w:hAnsi="Times New Roman" w:cs="Times New Roman"/>
          <w:sz w:val="24"/>
        </w:rPr>
        <w:t xml:space="preserve"> og oppover falt scoren monotont, noe som indikerer at tre klynger representerer den mest naturlige gruppestrukturen i featurerommet. KMeans-modellen ble trent endelig med </w:t>
      </w:r>
      <m:oMath>
        <m:r>
          <m:t>K=3</m:t>
        </m:r>
      </m:oMath>
      <w:r>
        <w:rPr>
          <w:rFonts w:ascii="Times New Roman" w:hAnsi="Times New Roman" w:cs="Times New Roman"/>
          <w:sz w:val="24"/>
        </w:rPr>
        <w:t xml:space="preserve">, </w:t>
      </w:r>
      <w:r>
        <w:rPr>
          <w:rFonts w:ascii="Consolas" w:hAnsi="Consolas" w:cs="Consolas"/>
          <w:sz w:val="20"/>
          <w:shd w:val="clear" w:color="auto" w:fill="F4F4F4"/>
        </w:rPr>
        <w:t>n_init=50</w:t>
      </w:r>
      <w:r>
        <w:rPr>
          <w:rFonts w:ascii="Times New Roman" w:hAnsi="Times New Roman" w:cs="Times New Roman"/>
          <w:sz w:val="24"/>
        </w:rPr>
        <w:t xml:space="preserve"> og </w:t>
      </w:r>
      <w:r>
        <w:rPr>
          <w:rFonts w:ascii="Consolas" w:hAnsi="Consolas" w:cs="Consolas"/>
          <w:sz w:val="20"/>
          <w:shd w:val="clear" w:color="auto" w:fill="F4F4F4"/>
        </w:rPr>
        <w:t>max_iter=300</w:t>
      </w:r>
      <w:r>
        <w:rPr>
          <w:rFonts w:ascii="Times New Roman" w:hAnsi="Times New Roman" w:cs="Times New Roman"/>
          <w:sz w:val="24"/>
        </w:rPr>
        <w:t>. Testdataene (</w:t>
      </w:r>
      <m:oMath>
        <m:r>
          <m:t>n=98</m:t>
        </m:r>
      </m:oMath>
      <w:r>
        <w:rPr>
          <w:rFonts w:ascii="Times New Roman" w:hAnsi="Times New Roman" w:cs="Times New Roman"/>
          <w:sz w:val="24"/>
        </w:rPr>
        <w:t>) ble predikert til nærmeste sentroid for å evaluere generaliserbarhet. Silhouette-scorer for trenings- og testdata presenteres i avsnitt 7.4.</w:t>
      </w:r>
    </w:p>
    <w:p>
      <w:pPr>
        <w:spacing w:line="360" w:lineRule="auto"/>
        <w:jc w:val="both"/>
      </w:pPr>
      <w:r>
        <w:rPr>
          <w:rFonts w:ascii="Times New Roman" w:hAnsi="Times New Roman" w:cs="Times New Roman"/>
          <w:b/>
          <w:sz w:val="24"/>
        </w:rPr>
        <w:t>Klyngeprofiler.</w:t>
      </w:r>
      <w:r>
        <w:rPr>
          <w:rFonts w:ascii="Times New Roman" w:hAnsi="Times New Roman" w:cs="Times New Roman"/>
          <w:sz w:val="24"/>
        </w:rPr>
        <w:t xml:space="preserve"> Etter at KMeans-modellen var trent på treningsdataene, ble samtlige 487 artikler med tilstrekkelig data predikert til én av de tre klyngene. Klyngene ble karakterisert langs de tre featuredimensjonene, og én klynge ble identifisert som K\_OVERFØR basert på lavest gjennomsnittlig CV (stabilt forbruksmønster) og høyest gjennomsnittlig artikkelverdi. Figur 10 visualiserer klyngestrukturen i en todimensjonal projeksjon langs de to mest informative featurene.</w:t>
      </w:r>
    </w:p>
    <w:p>
      <w:r>
        <w:drawing>
          <wp:inline xmlns:a="http://schemas.openxmlformats.org/drawingml/2006/main" xmlns:pic="http://schemas.openxmlformats.org/drawingml/2006/picture">
            <wp:extent cx="5400000" cy="2679344"/>
            <wp:docPr id="13" name="Picture 13"/>
            <wp:cNvGraphicFramePr>
              <a:graphicFrameLocks noChangeAspect="1"/>
            </wp:cNvGraphicFramePr>
            <a:graphic>
              <a:graphicData uri="http://schemas.openxmlformats.org/drawingml/2006/picture">
                <pic:pic>
                  <pic:nvPicPr>
                    <pic:cNvPr id="0" name="Fig09_Kmeans_Klynger.png"/>
                    <pic:cNvPicPr/>
                  </pic:nvPicPr>
                  <pic:blipFill>
                    <a:blip r:embed="rId31"/>
                    <a:stretch>
                      <a:fillRect/>
                    </a:stretch>
                  </pic:blipFill>
                  <pic:spPr>
                    <a:xfrm>
                      <a:off x="0" y="0"/>
                      <a:ext cx="5400000" cy="2679344"/>
                    </a:xfrm>
                    <a:prstGeom prst="rect"/>
                  </pic:spPr>
                </pic:pic>
              </a:graphicData>
            </a:graphic>
          </wp:inline>
        </w:drawing>
      </w:r>
    </w:p>
    <w:p>
      <w:pPr>
        <w:jc w:val="center"/>
      </w:pPr>
      <w:r>
        <w:rPr>
          <w:rFonts w:ascii="Times New Roman" w:hAnsi="Times New Roman"/>
          <w:i/>
          <w:sz w:val="20"/>
        </w:rPr>
        <w:t>Figur 10. K-means klyngeresultat (K = 3): artikler plottet langs z(ln CV) og z(ln verdi), farge etter klynge. K_OVERFØR-klyngen er markert med stjerne (★). Generert med støtte fra Claude.</w:t>
      </w:r>
    </w:p>
    <w:p>
      <w:pPr>
        <w:spacing w:line="360" w:lineRule="auto"/>
        <w:jc w:val="both"/>
      </w:pPr>
      <w:r>
        <w:rPr>
          <w:rFonts w:ascii="Times New Roman" w:hAnsi="Times New Roman" w:cs="Times New Roman"/>
          <w:sz w:val="24"/>
        </w:rPr>
        <w:t>Figur 10 viser at de tre klyngene er rimelig separert i featurerommet, særlig K\_OVERFØR-klyngen (grønn), som skiller seg fra de øvrige ved sin kombinasjon av lav CV og høy verdi. For å tolke innholdet i hver klynge viser Figur 11 gjennomsnittlig standardisert verdi per feature for de tre klyngene.</w:t>
      </w:r>
    </w:p>
    <w:p>
      <w:r>
        <w:drawing>
          <wp:inline xmlns:a="http://schemas.openxmlformats.org/drawingml/2006/main" xmlns:pic="http://schemas.openxmlformats.org/drawingml/2006/picture">
            <wp:extent cx="5400000" cy="2998537"/>
            <wp:docPr id="14" name="Picture 14"/>
            <wp:cNvGraphicFramePr>
              <a:graphicFrameLocks noChangeAspect="1"/>
            </wp:cNvGraphicFramePr>
            <a:graphic>
              <a:graphicData uri="http://schemas.openxmlformats.org/drawingml/2006/picture">
                <pic:pic>
                  <pic:nvPicPr>
                    <pic:cNvPr id="0" name="Fig10_Kmeans_Profil.png"/>
                    <pic:cNvPicPr/>
                  </pic:nvPicPr>
                  <pic:blipFill>
                    <a:blip r:embed="rId32"/>
                    <a:stretch>
                      <a:fillRect/>
                    </a:stretch>
                  </pic:blipFill>
                  <pic:spPr>
                    <a:xfrm>
                      <a:off x="0" y="0"/>
                      <a:ext cx="5400000" cy="2998537"/>
                    </a:xfrm>
                    <a:prstGeom prst="rect"/>
                  </pic:spPr>
                </pic:pic>
              </a:graphicData>
            </a:graphic>
          </wp:inline>
        </w:drawing>
      </w:r>
    </w:p>
    <w:p>
      <w:pPr>
        <w:jc w:val="center"/>
      </w:pPr>
      <w:r>
        <w:rPr>
          <w:rFonts w:ascii="Times New Roman" w:hAnsi="Times New Roman"/>
          <w:i/>
          <w:sz w:val="20"/>
        </w:rPr>
        <w:t>Figur 11. Klyngeprofiler for K-means (K=3): gjennomsnittlig z-score per feature per klynge. K\_OVERFØR-klyngen (grønn) kjennetegnes av lav CV og høy verdi. Generert med støtte fra Claude.</w:t>
      </w:r>
    </w:p>
    <w:p>
      <w:pPr>
        <w:spacing w:line="360" w:lineRule="auto"/>
        <w:jc w:val="both"/>
      </w:pPr>
      <w:r>
        <w:rPr>
          <w:rFonts w:ascii="Times New Roman" w:hAnsi="Times New Roman" w:cs="Times New Roman"/>
          <w:sz w:val="24"/>
        </w:rPr>
        <w:t xml:space="preserve">Figur 11 bekrefter at K\_OVERFØR-klyngen har den laveste CV-verdien og den høyeste verdiprofilen. Fullstendige klyngeprofiler med gjennomsnittsverdier for CV, verdi og </w:t>
      </w:r>
      <m:oMath>
        <m:d>
          <m:dPr>
            <m:begChr m:val="|"/>
            <m:sepChr m:val=""/>
            <m:endChr m:val="|"/>
          </m:dPr>
          <m:e>
            <m:r>
              <m:t>Δ</m:t>
            </m:r>
            <m:r>
              <m:t>T</m:t>
            </m:r>
            <m:r>
              <m:t>C</m:t>
            </m:r>
          </m:e>
        </m:d>
      </m:oMath>
      <w:r>
        <w:rPr>
          <w:rFonts w:ascii="Times New Roman" w:hAnsi="Times New Roman" w:cs="Times New Roman"/>
          <w:sz w:val="24"/>
        </w:rPr>
        <w:t xml:space="preserve"> presenteres i Tabell 12 i kapittel 7.</w:t>
      </w:r>
    </w:p>
    <w:p>
      <w:pPr>
        <w:pStyle w:val="Overskrift2"/>
      </w:pPr>
      <w:r>
        <w:rPr>
          <w:rFonts w:ascii="Times New Roman" w:hAnsi="Times New Roman"/>
          <w:color w:val="000000"/>
          <w:sz w:val="32"/>
        </w:rPr>
        <w:t>6.5 Regelmotor og HVFS-scoring</w:t>
      </w:r>
    </w:p>
    <w:p>
      <w:pPr>
        <w:spacing w:line="360" w:lineRule="auto"/>
        <w:jc w:val="both"/>
      </w:pPr>
      <w:r>
        <w:rPr>
          <w:rFonts w:ascii="Times New Roman" w:hAnsi="Times New Roman" w:cs="Times New Roman"/>
          <w:sz w:val="24"/>
        </w:rPr>
        <w:t>Regelmotoren ble kjørt sekvensielt på samtlige 709 artikler i den prioriterte rekkefølgen beskrevet i Tabell 7 (kap. 5). For hver artikkel ble inngangssignalene ABC-klasse, XYZ-klasse, EOQ-avviksstatus (FOR\_MANGE\_ORDRER) og K-means klyngetilhørighet (K\_OVERFØR) hentet fra de foregående analysemodulene. Den første regelen med treff avgjorde artiklens anbefaling; artikler uten treff på noen regel, typisk grunnet manglende CV- eller verdidata, ble tildelt kategorien MANGLER\_DATA.</w:t>
      </w:r>
    </w:p>
    <w:p>
      <w:pPr>
        <w:spacing w:line="360" w:lineRule="auto"/>
        <w:jc w:val="both"/>
      </w:pPr>
      <w:r>
        <w:rPr>
          <w:rFonts w:ascii="Times New Roman" w:hAnsi="Times New Roman" w:cs="Times New Roman"/>
          <w:sz w:val="24"/>
        </w:rPr>
        <w:t xml:space="preserve">For alle artikler som fikk anbefalingen OVERFØR\_HVFS, ble besparelsesestimatet </w:t>
      </w:r>
      <m:oMath>
        <m:r>
          <m:t>ΔT</m:t>
        </m:r>
        <m:sSub>
          <m:e>
            <m:r>
              <m:t>C</m:t>
            </m:r>
          </m:e>
          <m:sub>
            <m:r>
              <m:t>i</m:t>
            </m:r>
          </m:sub>
        </m:sSub>
        <m:r>
          <m:t>·g</m:t>
        </m:r>
      </m:oMath>
      <w:r>
        <w:rPr>
          <w:rFonts w:ascii="Times New Roman" w:hAnsi="Times New Roman" w:cs="Times New Roman"/>
          <w:sz w:val="24"/>
        </w:rPr>
        <w:t xml:space="preserve"> beregnet for tre scenarier (worst: </w:t>
      </w:r>
      <m:oMath>
        <m:r>
          <m:t>g=50</m:t>
        </m:r>
        <m:r>
          <m:t>%</m:t>
        </m:r>
      </m:oMath>
      <w:r>
        <w:rPr>
          <w:rFonts w:ascii="Times New Roman" w:hAnsi="Times New Roman" w:cs="Times New Roman"/>
          <w:sz w:val="24"/>
        </w:rPr>
        <w:t xml:space="preserve">, base: </w:t>
      </w:r>
      <m:oMath>
        <m:r>
          <m:t>g=75</m:t>
        </m:r>
        <m:r>
          <m:t>%</m:t>
        </m:r>
      </m:oMath>
      <w:r>
        <w:rPr>
          <w:rFonts w:ascii="Times New Roman" w:hAnsi="Times New Roman" w:cs="Times New Roman"/>
          <w:sz w:val="24"/>
        </w:rPr>
        <w:t xml:space="preserve">, best: </w:t>
      </w:r>
      <m:oMath>
        <m:r>
          <m:t>g=100</m:t>
        </m:r>
        <m:r>
          <m:t>%</m:t>
        </m:r>
      </m:oMath>
      <w:r>
        <w:rPr>
          <w:rFonts w:ascii="Times New Roman" w:hAnsi="Times New Roman" w:cs="Times New Roman"/>
          <w:sz w:val="24"/>
        </w:rPr>
        <w:t xml:space="preserve">) i henhold til formelen i avsnitt 5.3.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w:t>
      </w:r>
      <m:oMath>
        <m:r>
          <m:t>ΔT</m:t>
        </m:r>
        <m:sSub>
          <m:e>
            <m:r>
              <m:t>C</m:t>
            </m:r>
          </m:e>
          <m:sub>
            <m:r>
              <m:t>i</m:t>
            </m:r>
          </m:sub>
        </m:sSub>
      </m:oMath>
      <w:r>
        <w:rPr>
          <w:rFonts w:ascii="Times New Roman" w:hAnsi="Times New Roman" w:cs="Times New Roman"/>
          <w:sz w:val="24"/>
        </w:rPr>
        <w:t xml:space="preserve"> modellerer kostnadsavviket fra suboptimal ordrefrekvens – et avvik som adresseres direkte ved sentralisering til HVFS. Totalt inngår 117 artikler i dette grunnlaget.</w:t>
      </w:r>
    </w:p>
    <w:p>
      <w:pPr>
        <w:spacing w:line="360" w:lineRule="auto"/>
        <w:jc w:val="both"/>
      </w:pPr>
      <w:r>
        <w:rPr>
          <w:rFonts w:ascii="Times New Roman" w:hAnsi="Times New Roman" w:cs="Times New Roman"/>
          <w:sz w:val="24"/>
        </w:rPr>
        <w:t xml:space="preserve">I tillegg til de tre scenariene ble det gjennomført en systematisk sensitivitetsanalyse med 27 kombinasjoner av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 for å kartlegge robustheten av besparelsesestimatet overfor usikkerhet i modellantagelsene. Figur 12 viser den endelige fordelingen av regelmotor-anbefalinger og estimert EOQ-besparelse under tre scenarier, mens detaljerte besparelsestall og sensitivitetsintervaller presenteres i avsnitt 7.5–7.6.</w:t>
      </w:r>
    </w:p>
    <w:p>
      <w:r>
        <w:drawing>
          <wp:inline xmlns:a="http://schemas.openxmlformats.org/drawingml/2006/main" xmlns:pic="http://schemas.openxmlformats.org/drawingml/2006/picture">
            <wp:extent cx="5400000" cy="2238197"/>
            <wp:docPr id="15" name="Picture 15"/>
            <wp:cNvGraphicFramePr>
              <a:graphicFrameLocks noChangeAspect="1"/>
            </wp:cNvGraphicFramePr>
            <a:graphic>
              <a:graphicData uri="http://schemas.openxmlformats.org/drawingml/2006/picture">
                <pic:pic>
                  <pic:nvPicPr>
                    <pic:cNvPr id="0" name="Fig11_Regelmotor_Besparelse.png"/>
                    <pic:cNvPicPr/>
                  </pic:nvPicPr>
                  <pic:blipFill>
                    <a:blip r:embed="rId33"/>
                    <a:stretch>
                      <a:fillRect/>
                    </a:stretch>
                  </pic:blipFill>
                  <pic:spPr>
                    <a:xfrm>
                      <a:off x="0" y="0"/>
                      <a:ext cx="5400000" cy="2238197"/>
                    </a:xfrm>
                    <a:prstGeom prst="rect"/>
                  </pic:spPr>
                </pic:pic>
              </a:graphicData>
            </a:graphic>
          </wp:inline>
        </w:drawing>
      </w:r>
    </w:p>
    <w:p>
      <w:pPr>
        <w:jc w:val="center"/>
      </w:pPr>
      <w:r>
        <w:rPr>
          <w:rFonts w:ascii="Times New Roman" w:hAnsi="Times New Roman"/>
          <w:i/>
          <w:sz w:val="20"/>
        </w:rPr>
        <w:t>Figur 12. Regelmotor og besparelsesanalyse: fordeling av HVFS-anbefalinger (venstre) og estimert årlig EOQ-besparelse under tre realiseringsscenarier (høyre). 709 artikler, WERKS 3300 / LGORT 3001. Generert med støtte fra Claude.</w:t>
      </w:r>
    </w:p>
    <w:p>
      <w:pPr>
        <w:spacing w:line="360" w:lineRule="auto"/>
        <w:jc w:val="both"/>
      </w:pPr>
      <w:r>
        <w:rPr>
          <w:rFonts w:ascii="Times New Roman" w:hAnsi="Times New Roman" w:cs="Times New Roman"/>
          <w:sz w:val="24"/>
        </w:rPr>
        <w:t>Figur 12 viser den endelige fordelingen av HVFS-anbefalinger og estimert besparelse. Fullstendige resultat- og besparelsestabeller presenteres i kapittel 7.</w:t>
      </w:r>
    </w:p>
    <w:p>
      <w:pPr>
        <w:pStyle w:val="Overskrift1"/>
        <w:pageBreakBefore w:val="true"/>
      </w:pPr>
      <w:r>
        <w:rPr>
          <w:rFonts w:ascii="Times New Roman" w:hAnsi="Times New Roman"/>
          <w:color w:val="000000"/>
          <w:sz w:val="36"/>
        </w:rPr>
        <w:t>Kapittel 7 – Resultater</w:t>
      </w:r>
    </w:p>
    <w:p>
      <w:pPr>
        <w:pStyle w:val="Overskrift2"/>
      </w:pPr>
      <w:r>
        <w:rPr>
          <w:rFonts w:ascii="Times New Roman" w:hAnsi="Times New Roman"/>
          <w:color w:val="000000"/>
          <w:sz w:val="32"/>
        </w:rPr>
        <w:t>7.1 ABC-resultater</w:t>
      </w:r>
    </w:p>
    <w:p>
      <w:r>
        <w:rPr>
          <w:rFonts w:ascii="Times New Roman" w:hAnsi="Times New Roman"/>
          <w:b/>
          <w:sz w:val="20"/>
        </w:rPr>
        <w:t>Tabell 8</w:t>
      </w:r>
    </w:p>
    <w:p>
      <w:r>
        <w:rPr>
          <w:rFonts w:ascii="Times New Roman" w:hAnsi="Times New Roman"/>
          <w:i/>
          <w:sz w:val="20"/>
        </w:rPr>
        <w:t>ABC-fordeling: antall artikler og verdiandel per klasse (n = 709)</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Klasse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 artikler</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 av populasjon</w:t>
            </w:r>
          </w:p>
        </w:tc>
        <w:tc>
          <w:tcPr>
            <w:tcW w:type="dxa" w:w="2192"/>
            <w:tcBorders>
              <w:top w:val="single" w:sz="8" w:space="0" w:color="000000"/>
              <w:bottom w:val="single" w:sz="4" w:space="0" w:color="000000"/>
              <w:left w:val="nil"/>
              <w:right w:val="nil"/>
            </w:tcBorders>
          </w:tcPr>
          <w:p>
            <w:r/>
            <w:r>
              <w:rPr>
                <w:rFonts w:ascii="Times New Roman" w:hAnsi="Times New Roman"/>
                <w:b/>
                <w:sz w:val="22"/>
              </w:rPr>
              <w:t>Kumulativ verdiandel</w:t>
            </w:r>
          </w:p>
        </w:tc>
      </w:tr>
      <w:tr>
        <w:tc>
          <w:tcPr>
            <w:tcW w:type="dxa" w:w="2192"/>
          </w:tcPr>
          <w:p>
            <w:r/>
            <w:r>
              <w:rPr>
                <w:rFonts w:ascii="Times New Roman" w:hAnsi="Times New Roman"/>
                <w:b w:val="0"/>
                <w:sz w:val="22"/>
              </w:rPr>
              <w:t>A</w:t>
            </w:r>
          </w:p>
        </w:tc>
        <w:tc>
          <w:tcPr>
            <w:tcW w:type="dxa" w:w="2192"/>
          </w:tcPr>
          <w:p>
            <w:r/>
            <w:r>
              <w:rPr>
                <w:rFonts w:ascii="Times New Roman" w:hAnsi="Times New Roman"/>
                <w:b w:val="0"/>
                <w:sz w:val="22"/>
              </w:rPr>
              <w:t>182</w:t>
            </w:r>
          </w:p>
        </w:tc>
        <w:tc>
          <w:tcPr>
            <w:tcW w:type="dxa" w:w="2192"/>
          </w:tcPr>
          <w:p>
            <w:r/>
            <w:r>
              <w:rPr>
                <w:rFonts w:ascii="Times New Roman" w:hAnsi="Times New Roman"/>
                <w:b w:val="0"/>
                <w:sz w:val="22"/>
              </w:rPr>
              <w:t>25,7 %</w:t>
            </w:r>
          </w:p>
        </w:tc>
        <w:tc>
          <w:tcPr>
            <w:tcW w:type="dxa" w:w="2192"/>
          </w:tcPr>
          <w:p>
            <w:r/>
            <w:r>
              <w:rPr>
                <w:rFonts w:ascii="Times New Roman" w:hAnsi="Times New Roman"/>
                <w:b w:val="0"/>
                <w:sz w:val="22"/>
              </w:rPr>
              <w:t>0–80 %</w:t>
            </w:r>
          </w:p>
        </w:tc>
      </w:tr>
      <w:tr>
        <w:tc>
          <w:tcPr>
            <w:tcW w:type="dxa" w:w="2192"/>
          </w:tcPr>
          <w:p>
            <w:r/>
            <w:r>
              <w:rPr>
                <w:rFonts w:ascii="Times New Roman" w:hAnsi="Times New Roman"/>
                <w:b w:val="0"/>
                <w:sz w:val="22"/>
              </w:rPr>
              <w:t>B</w:t>
            </w:r>
          </w:p>
        </w:tc>
        <w:tc>
          <w:tcPr>
            <w:tcW w:type="dxa" w:w="2192"/>
          </w:tcPr>
          <w:p>
            <w:r/>
            <w:r>
              <w:rPr>
                <w:rFonts w:ascii="Times New Roman" w:hAnsi="Times New Roman"/>
                <w:b w:val="0"/>
                <w:sz w:val="22"/>
              </w:rPr>
              <w:t>184</w:t>
            </w:r>
          </w:p>
        </w:tc>
        <w:tc>
          <w:tcPr>
            <w:tcW w:type="dxa" w:w="2192"/>
          </w:tcPr>
          <w:p>
            <w:r/>
            <w:r>
              <w:rPr>
                <w:rFonts w:ascii="Times New Roman" w:hAnsi="Times New Roman"/>
                <w:b w:val="0"/>
                <w:sz w:val="22"/>
              </w:rPr>
              <w:t>26,0 %</w:t>
            </w:r>
          </w:p>
        </w:tc>
        <w:tc>
          <w:tcPr>
            <w:tcW w:type="dxa" w:w="2192"/>
          </w:tcPr>
          <w:p>
            <w:r/>
            <w:r>
              <w:rPr>
                <w:rFonts w:ascii="Times New Roman" w:hAnsi="Times New Roman"/>
                <w:b w:val="0"/>
                <w:sz w:val="22"/>
              </w:rPr>
              <w:t>80–95 %</w:t>
            </w:r>
          </w:p>
        </w:tc>
      </w:tr>
      <w:tr>
        <w:tc>
          <w:tcPr>
            <w:tcW w:type="dxa" w:w="2192"/>
          </w:tcPr>
          <w:p>
            <w:r/>
            <w:r>
              <w:rPr>
                <w:rFonts w:ascii="Times New Roman" w:hAnsi="Times New Roman"/>
                <w:b w:val="0"/>
                <w:sz w:val="22"/>
              </w:rPr>
              <w:t>C</w:t>
            </w:r>
          </w:p>
        </w:tc>
        <w:tc>
          <w:tcPr>
            <w:tcW w:type="dxa" w:w="2192"/>
          </w:tcPr>
          <w:p>
            <w:r/>
            <w:r>
              <w:rPr>
                <w:rFonts w:ascii="Times New Roman" w:hAnsi="Times New Roman"/>
                <w:b w:val="0"/>
                <w:sz w:val="22"/>
              </w:rPr>
              <w:t>338</w:t>
            </w:r>
          </w:p>
        </w:tc>
        <w:tc>
          <w:tcPr>
            <w:tcW w:type="dxa" w:w="2192"/>
          </w:tcPr>
          <w:p>
            <w:r/>
            <w:r>
              <w:rPr>
                <w:rFonts w:ascii="Times New Roman" w:hAnsi="Times New Roman"/>
                <w:b w:val="0"/>
                <w:sz w:val="22"/>
              </w:rPr>
              <w:t>47,7 %</w:t>
            </w:r>
          </w:p>
        </w:tc>
        <w:tc>
          <w:tcPr>
            <w:tcW w:type="dxa" w:w="2192"/>
          </w:tcPr>
          <w:p>
            <w:r/>
            <w:r>
              <w:rPr>
                <w:rFonts w:ascii="Times New Roman" w:hAnsi="Times New Roman"/>
                <w:b w:val="0"/>
                <w:sz w:val="22"/>
              </w:rPr>
              <w:t>95–100 %</w:t>
            </w:r>
          </w:p>
        </w:tc>
      </w:tr>
      <w:tr>
        <w:tc>
          <w:tcPr>
            <w:tcW w:type="dxa" w:w="2192"/>
          </w:tcPr>
          <w:p>
            <w:r/>
            <w:r>
              <w:rPr>
                <w:rFonts w:ascii="Times New Roman" w:hAnsi="Times New Roman"/>
                <w:b w:val="0"/>
                <w:sz w:val="22"/>
              </w:rPr>
              <w:t>Ikke klassifisert</w:t>
            </w:r>
          </w:p>
        </w:tc>
        <w:tc>
          <w:tcPr>
            <w:tcW w:type="dxa" w:w="2192"/>
          </w:tcPr>
          <w:p>
            <w:r/>
            <w:r>
              <w:rPr>
                <w:rFonts w:ascii="Times New Roman" w:hAnsi="Times New Roman"/>
                <w:b w:val="0"/>
                <w:sz w:val="22"/>
              </w:rPr>
              <w:t>5</w:t>
            </w:r>
          </w:p>
        </w:tc>
        <w:tc>
          <w:tcPr>
            <w:tcW w:type="dxa" w:w="2192"/>
          </w:tcPr>
          <w:p>
            <w:r/>
            <w:r>
              <w:rPr>
                <w:rFonts w:ascii="Times New Roman" w:hAnsi="Times New Roman"/>
                <w:b w:val="0"/>
                <w:sz w:val="22"/>
              </w:rPr>
              <w:t>0,7 %</w:t>
            </w:r>
          </w:p>
        </w:tc>
        <w:tc>
          <w:tcPr>
            <w:tcW w:type="dxa" w:w="2192"/>
          </w:tcPr>
          <w:p>
            <w:r/>
            <w:r>
              <w:rPr>
                <w:rFonts w:ascii="Times New Roman" w:hAnsi="Times New Roman"/>
                <w:b w:val="0"/>
                <w:sz w:val="22"/>
              </w:rPr>
              <w:t>Mangler verdidata</w:t>
            </w:r>
          </w:p>
        </w:tc>
      </w:tr>
      <w:tr>
        <w:tc>
          <w:tcPr>
            <w:tcW w:type="dxa" w:w="2192"/>
          </w:tcPr>
          <w:p>
            <w:r/>
            <w:r>
              <w:rPr>
                <w:rFonts w:ascii="Times New Roman" w:hAnsi="Times New Roman"/>
                <w:b/>
                <w:sz w:val="22"/>
              </w:rPr>
              <w:t>Totalt</w:t>
            </w:r>
          </w:p>
        </w:tc>
        <w:tc>
          <w:tcPr>
            <w:tcW w:type="dxa" w:w="2192"/>
          </w:tcPr>
          <w:p>
            <w:r/>
            <w:r>
              <w:rPr>
                <w:rFonts w:ascii="Times New Roman" w:hAnsi="Times New Roman"/>
                <w:b/>
                <w:sz w:val="22"/>
              </w:rPr>
              <w:t>709</w:t>
            </w:r>
          </w:p>
        </w:tc>
        <w:tc>
          <w:tcPr>
            <w:tcW w:type="dxa" w:w="2192"/>
          </w:tcPr>
          <w:p>
            <w:r/>
            <w:r>
              <w:rPr>
                <w:rFonts w:ascii="Times New Roman" w:hAnsi="Times New Roman"/>
                <w:b/>
                <w:sz w:val="22"/>
              </w:rPr>
              <w:t>100 %</w:t>
            </w:r>
          </w:p>
        </w:tc>
        <w:tc>
          <w:tcPr>
            <w:tcW w:type="dxa" w:w="2192"/>
          </w:tcPr>
          <w:p>
            <w:r/>
          </w:p>
        </w:tc>
      </w:tr>
    </w:tbl>
    <w:p>
      <w:pPr>
        <w:spacing w:line="360" w:lineRule="auto"/>
        <w:jc w:val="both"/>
      </w:pPr>
      <w:r>
        <w:rPr>
          <w:rFonts w:ascii="Times New Roman" w:hAnsi="Times New Roman" w:cs="Times New Roman"/>
          <w:sz w:val="24"/>
        </w:rPr>
        <w:t>Fordelingen viser et tydelig Pareto-mønster: A- og B-artiklene (366 artikler, 51,6 %) står for ~95 % av verdibindingen, mens 338 C-artikler (47,7 %) dekker de resterende 5 %. A-klassens andel på 25,7 % er noe høyere enn den kanoniske 20 %-regelen, men konsistent med sykehussortiment der få høyverdige artikler dominerer. Pareto-kurven er presentert som Figur 6 i kapittel 6.</w:t>
      </w:r>
    </w:p>
    <w:p>
      <w:pPr>
        <w:pStyle w:val="Overskrift2"/>
      </w:pPr>
      <w:r>
        <w:rPr>
          <w:rFonts w:ascii="Times New Roman" w:hAnsi="Times New Roman"/>
          <w:color w:val="000000"/>
          <w:sz w:val="32"/>
        </w:rPr>
        <w:t>7.2 XYZ-resultater</w:t>
      </w:r>
    </w:p>
    <w:p>
      <w:r>
        <w:rPr>
          <w:rFonts w:ascii="Times New Roman" w:hAnsi="Times New Roman"/>
          <w:b/>
          <w:sz w:val="20"/>
        </w:rPr>
        <w:t>Tabell 9</w:t>
      </w:r>
    </w:p>
    <w:p>
      <w:r>
        <w:rPr>
          <w:rFonts w:ascii="Times New Roman" w:hAnsi="Times New Roman"/>
          <w:i/>
          <w:sz w:val="20"/>
        </w:rPr>
        <w:t>XYZ-fordeling: antall artikler per klasse (n = 687 klassifiserte)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Klasse</w:t>
            </w:r>
          </w:p>
        </w:tc>
        <w:tc>
          <w:tcPr>
            <w:tcW w:type="dxa" w:w="2192"/>
            <w:tcBorders>
              <w:top w:val="single" w:sz="8" w:space="0" w:color="000000"/>
              <w:bottom w:val="single" w:sz="4" w:space="0" w:color="000000"/>
              <w:left w:val="nil"/>
              <w:right w:val="nil"/>
            </w:tcBorders>
          </w:tcPr>
          <w:p>
            <w:r/>
            <w:r>
              <w:rPr>
                <w:rFonts w:ascii="Times New Roman" w:hAnsi="Times New Roman"/>
                <w:b/>
                <w:sz w:val="22"/>
              </w:rPr>
              <w:t>CV-grense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2192"/>
          </w:tcPr>
          <w:p>
            <w:r/>
            <w:r>
              <w:rPr>
                <w:rFonts w:ascii="Times New Roman" w:hAnsi="Times New Roman"/>
                <w:b w:val="0"/>
                <w:sz w:val="22"/>
              </w:rPr>
              <w:t>X (stabilt)</w:t>
            </w:r>
          </w:p>
        </w:tc>
        <w:tc>
          <w:tcPr>
            <w:tcW w:type="dxa" w:w="2192"/>
          </w:tcPr>
          <w:p>
            <w:r/>
            <w:r>
              <w:rPr>
                <w:rFonts w:ascii="Times New Roman" w:hAnsi="Times New Roman"/>
                <w:b w:val="0"/>
                <w:sz w:val="22"/>
              </w:rPr>
              <w:t>CV &lt; 0,5</w:t>
            </w:r>
          </w:p>
        </w:tc>
        <w:tc>
          <w:tcPr>
            <w:tcW w:type="dxa" w:w="2192"/>
          </w:tcPr>
          <w:p>
            <w:r/>
            <w:r>
              <w:rPr>
                <w:rFonts w:ascii="Times New Roman" w:hAnsi="Times New Roman"/>
                <w:b w:val="0"/>
                <w:sz w:val="22"/>
              </w:rPr>
              <w:t>350</w:t>
            </w:r>
          </w:p>
        </w:tc>
        <w:tc>
          <w:tcPr>
            <w:tcW w:type="dxa" w:w="2192"/>
          </w:tcPr>
          <w:p>
            <w:r/>
            <w:r>
              <w:rPr>
                <w:rFonts w:ascii="Times New Roman" w:hAnsi="Times New Roman"/>
                <w:b w:val="0"/>
                <w:sz w:val="22"/>
              </w:rPr>
              <w:t>50,9 %</w:t>
            </w:r>
          </w:p>
        </w:tc>
      </w:tr>
      <w:tr>
        <w:tc>
          <w:tcPr>
            <w:tcW w:type="dxa" w:w="2192"/>
          </w:tcPr>
          <w:p>
            <w:r/>
            <w:r>
              <w:rPr>
                <w:rFonts w:ascii="Times New Roman" w:hAnsi="Times New Roman"/>
                <w:b w:val="0"/>
                <w:sz w:val="22"/>
              </w:rPr>
              <w:t>Y (moderat)</w:t>
            </w:r>
          </w:p>
        </w:tc>
        <w:tc>
          <w:tcPr>
            <w:tcW w:type="dxa" w:w="2192"/>
          </w:tcPr>
          <w:p>
            <w:r/>
            <w:r>
              <w:rPr>
                <w:rFonts w:ascii="Times New Roman" w:hAnsi="Times New Roman"/>
                <w:b w:val="0"/>
                <w:sz w:val="22"/>
              </w:rPr>
              <w:t>0,5 ≤ CV &lt; 1,0</w:t>
            </w:r>
          </w:p>
        </w:tc>
        <w:tc>
          <w:tcPr>
            <w:tcW w:type="dxa" w:w="2192"/>
          </w:tcPr>
          <w:p>
            <w:r/>
            <w:r>
              <w:rPr>
                <w:rFonts w:ascii="Times New Roman" w:hAnsi="Times New Roman"/>
                <w:b w:val="0"/>
                <w:sz w:val="22"/>
              </w:rPr>
              <w:t>193</w:t>
            </w:r>
          </w:p>
        </w:tc>
        <w:tc>
          <w:tcPr>
            <w:tcW w:type="dxa" w:w="2192"/>
          </w:tcPr>
          <w:p>
            <w:r/>
            <w:r>
              <w:rPr>
                <w:rFonts w:ascii="Times New Roman" w:hAnsi="Times New Roman"/>
                <w:b w:val="0"/>
                <w:sz w:val="22"/>
              </w:rPr>
              <w:t>28,1 %</w:t>
            </w:r>
          </w:p>
        </w:tc>
      </w:tr>
      <w:tr>
        <w:tc>
          <w:tcPr>
            <w:tcW w:type="dxa" w:w="2192"/>
          </w:tcPr>
          <w:p>
            <w:r/>
            <w:r>
              <w:rPr>
                <w:rFonts w:ascii="Times New Roman" w:hAnsi="Times New Roman"/>
                <w:b w:val="0"/>
                <w:sz w:val="22"/>
              </w:rPr>
              <w:t>Z (uregelmessig)</w:t>
            </w:r>
          </w:p>
        </w:tc>
        <w:tc>
          <w:tcPr>
            <w:tcW w:type="dxa" w:w="2192"/>
          </w:tcPr>
          <w:p>
            <w:r/>
            <w:r>
              <w:rPr>
                <w:rFonts w:ascii="Times New Roman" w:hAnsi="Times New Roman"/>
                <w:b w:val="0"/>
                <w:sz w:val="22"/>
              </w:rPr>
              <w:t>CV ≥ 1,0</w:t>
            </w:r>
          </w:p>
        </w:tc>
        <w:tc>
          <w:tcPr>
            <w:tcW w:type="dxa" w:w="2192"/>
          </w:tcPr>
          <w:p>
            <w:r/>
            <w:r>
              <w:rPr>
                <w:rFonts w:ascii="Times New Roman" w:hAnsi="Times New Roman"/>
                <w:b w:val="0"/>
                <w:sz w:val="22"/>
              </w:rPr>
              <w:t>144</w:t>
            </w:r>
          </w:p>
        </w:tc>
        <w:tc>
          <w:tcPr>
            <w:tcW w:type="dxa" w:w="2192"/>
          </w:tcPr>
          <w:p>
            <w:r/>
            <w:r>
              <w:rPr>
                <w:rFonts w:ascii="Times New Roman" w:hAnsi="Times New Roman"/>
                <w:b w:val="0"/>
                <w:sz w:val="22"/>
              </w:rPr>
              <w:t>20,9 %</w:t>
            </w:r>
          </w:p>
        </w:tc>
      </w:tr>
      <w:tr>
        <w:tc>
          <w:tcPr>
            <w:tcW w:type="dxa" w:w="2192"/>
          </w:tcPr>
          <w:p>
            <w:r/>
            <w:r>
              <w:rPr>
                <w:rFonts w:ascii="Times New Roman" w:hAnsi="Times New Roman"/>
                <w:b w:val="0"/>
                <w:sz w:val="22"/>
              </w:rPr>
              <w:t>Ikke klassifisert</w:t>
            </w:r>
          </w:p>
        </w:tc>
        <w:tc>
          <w:tcPr>
            <w:tcW w:type="dxa" w:w="2192"/>
          </w:tcPr>
          <w:p>
            <w:r/>
            <w:r>
              <w:rPr>
                <w:rFonts w:ascii="Times New Roman" w:hAnsi="Times New Roman"/>
                <w:b w:val="0"/>
                <w:sz w:val="22"/>
              </w:rPr>
              <w:t>–</w:t>
            </w:r>
          </w:p>
        </w:tc>
        <w:tc>
          <w:tcPr>
            <w:tcW w:type="dxa" w:w="2192"/>
          </w:tcPr>
          <w:p>
            <w:r/>
            <w:r>
              <w:rPr>
                <w:rFonts w:ascii="Times New Roman" w:hAnsi="Times New Roman"/>
                <w:b w:val="0"/>
                <w:sz w:val="22"/>
              </w:rPr>
              <w:t>22</w:t>
            </w:r>
          </w:p>
        </w:tc>
        <w:tc>
          <w:tcPr>
            <w:tcW w:type="dxa" w:w="2192"/>
          </w:tcPr>
          <w:p>
            <w:r/>
            <w:r>
              <w:rPr>
                <w:rFonts w:ascii="Times New Roman" w:hAnsi="Times New Roman"/>
                <w:b w:val="0"/>
                <w:sz w:val="22"/>
              </w:rPr>
              <w:t>–</w:t>
            </w:r>
          </w:p>
        </w:tc>
      </w:tr>
    </w:tbl>
    <w:p>
      <w:pPr>
        <w:spacing w:line="360" w:lineRule="auto"/>
        <w:jc w:val="both"/>
      </w:pPr>
      <w:r>
        <w:rPr>
          <w:rFonts w:ascii="Times New Roman" w:hAnsi="Times New Roman" w:cs="Times New Roman"/>
          <w:sz w:val="24"/>
        </w:rPr>
        <w:t>350 artikler (50,9 % av klassifiserte) har stabilt forbruksmønster (X), 193 artikler (28,1 %) har moderat variasjon (Y), og 144 artikler (20,9 %) har uregelmessig forbruk (Z). At over halvparten av artiklene faller i X-kategorien tyder på at en vesentlig andel av sortimentet har den forbruksstabiliteten som APL-leveransemodellen forutsetter (Fragapane et al., 2019). De 22 ikke-klassifiserte artiklene mangler tilstrekkelig forbrukshistorikk i MSEG (færre enn tre måneder med registrert forbruk) og er ekskludert fra XYZ-analysen for å unngå misvisende CV-estimater.</w:t>
      </w:r>
    </w:p>
    <w:p>
      <w:pPr>
        <w:spacing w:line="360" w:lineRule="auto"/>
        <w:jc w:val="both"/>
      </w:pPr>
      <w:r>
        <w:rPr>
          <w:rFonts w:ascii="Times New Roman" w:hAnsi="Times New Roman" w:cs="Times New Roman"/>
          <w:sz w:val="24"/>
        </w:rPr>
        <w:t>Sammenligningen med SAP-feltet ZZXYZ viste 33 % samsvar mellom systemregistrert og beregnet klasse (125 av 375 artikler med data i begge kilder). Valideringen er begrenset til de 375 artiklene der ZZXYZ-feltet er utfylt i MDMA; for de øvrige 334 artiklene mangler systemklassifisering. Tabell 10 oppsummerer kryssvalideringen. Det lave samsvaret på 33 % kan forklares av tre faktorer: (1) ZZXYZ oppdateres via MRP-kjøring og kan basere seg på andre CV-terskler enn litteraturens standard (0,5/1,0); (2) beregningsperioden for ZZXYZ er ikke nødvendigvis sammenfallende med denne studiens 24-månedersperiode; og (3) feltet oppdateres kun for artikler med aktiv MRP-kjøring. Divergensen er mest slående for Z-kategorien: SAP klassifiserer kun 7 artikler som Z, mens den beregnede klassifiseringen gir 79 – SAP fanger dermed nesten ingen artikler med uregelmessig forbruk. Dette understreker at SAP-feltets ZZXYZ ikke er systematisk oppdatert og bør erstattes med beregnet CV-klasse som primær XYZ-indikator. ABC/XYZ-kryssmatrisen er presentert som Figur 7 i kapittel 6; fullstendige celleantall er gjengitt der.</w:t>
      </w:r>
    </w:p>
    <w:p>
      <w:r>
        <w:rPr>
          <w:rFonts w:ascii="Times New Roman" w:hAnsi="Times New Roman"/>
          <w:b/>
          <w:sz w:val="20"/>
        </w:rPr>
        <w:t>Tabell 10</w:t>
      </w:r>
    </w:p>
    <w:p>
      <w:r>
        <w:rPr>
          <w:rFonts w:ascii="Times New Roman" w:hAnsi="Times New Roman"/>
          <w:i/>
          <w:sz w:val="20"/>
        </w:rPr>
        <w:t>SAP ZZXYZ-validering: samsvar mellom systemklasse og beregnet CV-klasse (n = 375 artikler med data i begge kilder)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X</w:t>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Y</w:t>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Z</w:t>
            </w:r>
          </w:p>
        </w:tc>
        <w:tc>
          <w:tcPr>
            <w:tcW w:type="dxa" w:w="1754"/>
            <w:tcBorders>
              <w:top w:val="single" w:sz="8" w:space="0" w:color="000000"/>
              <w:bottom w:val="single" w:sz="4" w:space="0" w:color="000000"/>
              <w:left w:val="nil"/>
              <w:right w:val="nil"/>
            </w:tcBorders>
          </w:tcPr>
          <w:p>
            <w:r/>
            <w:r>
              <w:rPr>
                <w:rFonts w:ascii="Times New Roman" w:hAnsi="Times New Roman"/>
                <w:b/>
                <w:sz w:val="22"/>
              </w:rPr>
              <w:t>Sum</w:t>
            </w:r>
          </w:p>
        </w:tc>
      </w:tr>
      <w:tr>
        <w:tc>
          <w:tcPr>
            <w:tcW w:type="dxa" w:w="1754"/>
          </w:tcPr>
          <w:p>
            <w:r/>
            <w:r>
              <w:rPr>
                <w:rFonts w:ascii="Times New Roman" w:hAnsi="Times New Roman"/>
                <w:b w:val="0"/>
                <w:sz w:val="22"/>
              </w:rPr>
              <w:t>SAP X</w:t>
            </w:r>
          </w:p>
        </w:tc>
        <w:tc>
          <w:tcPr>
            <w:tcW w:type="dxa" w:w="1754"/>
          </w:tcPr>
          <w:p>
            <w:r/>
            <w:r>
              <w:rPr>
                <w:rFonts w:ascii="Times New Roman" w:hAnsi="Times New Roman"/>
                <w:b/>
                <w:sz w:val="22"/>
              </w:rPr>
              <w:t>94</w:t>
            </w:r>
          </w:p>
        </w:tc>
        <w:tc>
          <w:tcPr>
            <w:tcW w:type="dxa" w:w="1754"/>
          </w:tcPr>
          <w:p>
            <w:r/>
            <w:r>
              <w:rPr>
                <w:rFonts w:ascii="Times New Roman" w:hAnsi="Times New Roman"/>
                <w:b w:val="0"/>
                <w:sz w:val="22"/>
              </w:rPr>
              <w:t>65</w:t>
            </w:r>
          </w:p>
        </w:tc>
        <w:tc>
          <w:tcPr>
            <w:tcW w:type="dxa" w:w="1754"/>
          </w:tcPr>
          <w:p>
            <w:r/>
            <w:r>
              <w:rPr>
                <w:rFonts w:ascii="Times New Roman" w:hAnsi="Times New Roman"/>
                <w:b w:val="0"/>
                <w:sz w:val="22"/>
              </w:rPr>
              <w:t>59</w:t>
            </w:r>
          </w:p>
        </w:tc>
        <w:tc>
          <w:tcPr>
            <w:tcW w:type="dxa" w:w="1754"/>
          </w:tcPr>
          <w:p>
            <w:r/>
            <w:r>
              <w:rPr>
                <w:rFonts w:ascii="Times New Roman" w:hAnsi="Times New Roman"/>
                <w:b w:val="0"/>
                <w:sz w:val="22"/>
              </w:rPr>
              <w:t>218</w:t>
            </w:r>
          </w:p>
        </w:tc>
      </w:tr>
      <w:tr>
        <w:tc>
          <w:tcPr>
            <w:tcW w:type="dxa" w:w="1754"/>
          </w:tcPr>
          <w:p>
            <w:r/>
            <w:r>
              <w:rPr>
                <w:rFonts w:ascii="Times New Roman" w:hAnsi="Times New Roman"/>
                <w:b w:val="0"/>
                <w:sz w:val="22"/>
              </w:rPr>
              <w:t>SAP Y</w:t>
            </w:r>
          </w:p>
        </w:tc>
        <w:tc>
          <w:tcPr>
            <w:tcW w:type="dxa" w:w="1754"/>
          </w:tcPr>
          <w:p>
            <w:r/>
            <w:r>
              <w:rPr>
                <w:rFonts w:ascii="Times New Roman" w:hAnsi="Times New Roman"/>
                <w:b w:val="0"/>
                <w:sz w:val="22"/>
              </w:rPr>
              <w:t>99</w:t>
            </w:r>
          </w:p>
        </w:tc>
        <w:tc>
          <w:tcPr>
            <w:tcW w:type="dxa" w:w="1754"/>
          </w:tcPr>
          <w:p>
            <w:r/>
            <w:r>
              <w:rPr>
                <w:rFonts w:ascii="Times New Roman" w:hAnsi="Times New Roman"/>
                <w:b/>
                <w:sz w:val="22"/>
              </w:rPr>
              <w:t>31</w:t>
            </w:r>
          </w:p>
        </w:tc>
        <w:tc>
          <w:tcPr>
            <w:tcW w:type="dxa" w:w="1754"/>
          </w:tcPr>
          <w:p>
            <w:r/>
            <w:r>
              <w:rPr>
                <w:rFonts w:ascii="Times New Roman" w:hAnsi="Times New Roman"/>
                <w:b w:val="0"/>
                <w:sz w:val="22"/>
              </w:rPr>
              <w:t>20</w:t>
            </w:r>
          </w:p>
        </w:tc>
        <w:tc>
          <w:tcPr>
            <w:tcW w:type="dxa" w:w="1754"/>
          </w:tcPr>
          <w:p>
            <w:r/>
            <w:r>
              <w:rPr>
                <w:rFonts w:ascii="Times New Roman" w:hAnsi="Times New Roman"/>
                <w:b w:val="0"/>
                <w:sz w:val="22"/>
              </w:rPr>
              <w:t>150</w:t>
            </w:r>
          </w:p>
        </w:tc>
      </w:tr>
      <w:tr>
        <w:tc>
          <w:tcPr>
            <w:tcW w:type="dxa" w:w="1754"/>
          </w:tcPr>
          <w:p>
            <w:r/>
            <w:r>
              <w:rPr>
                <w:rFonts w:ascii="Times New Roman" w:hAnsi="Times New Roman"/>
                <w:b w:val="0"/>
                <w:sz w:val="22"/>
              </w:rPr>
              <w:t>SAP Z</w:t>
            </w:r>
          </w:p>
        </w:tc>
        <w:tc>
          <w:tcPr>
            <w:tcW w:type="dxa" w:w="1754"/>
          </w:tcPr>
          <w:p>
            <w:r/>
            <w:r>
              <w:rPr>
                <w:rFonts w:ascii="Times New Roman" w:hAnsi="Times New Roman"/>
                <w:b w:val="0"/>
                <w:sz w:val="22"/>
              </w:rPr>
              <w:t>6</w:t>
            </w:r>
          </w:p>
        </w:tc>
        <w:tc>
          <w:tcPr>
            <w:tcW w:type="dxa" w:w="1754"/>
          </w:tcPr>
          <w:p>
            <w:r/>
            <w:r>
              <w:rPr>
                <w:rFonts w:ascii="Times New Roman" w:hAnsi="Times New Roman"/>
                <w:b w:val="0"/>
                <w:sz w:val="22"/>
              </w:rPr>
              <w:t>1</w:t>
            </w:r>
          </w:p>
        </w:tc>
        <w:tc>
          <w:tcPr>
            <w:tcW w:type="dxa" w:w="1754"/>
          </w:tcPr>
          <w:p>
            <w:r/>
            <w:r>
              <w:rPr>
                <w:rFonts w:ascii="Times New Roman" w:hAnsi="Times New Roman"/>
                <w:b/>
                <w:sz w:val="22"/>
              </w:rPr>
              <w:t>0</w:t>
            </w:r>
          </w:p>
        </w:tc>
        <w:tc>
          <w:tcPr>
            <w:tcW w:type="dxa" w:w="1754"/>
          </w:tcPr>
          <w:p>
            <w:r/>
            <w:r>
              <w:rPr>
                <w:rFonts w:ascii="Times New Roman" w:hAnsi="Times New Roman"/>
                <w:b w:val="0"/>
                <w:sz w:val="22"/>
              </w:rPr>
              <w:t>7</w:t>
            </w:r>
          </w:p>
        </w:tc>
      </w:tr>
      <w:tr>
        <w:tc>
          <w:tcPr>
            <w:tcW w:type="dxa" w:w="1754"/>
          </w:tcPr>
          <w:p>
            <w:r/>
            <w:r>
              <w:rPr>
                <w:rFonts w:ascii="Times New Roman" w:hAnsi="Times New Roman"/>
                <w:b/>
                <w:sz w:val="22"/>
              </w:rPr>
              <w:t>Totalt samsvar</w:t>
            </w:r>
          </w:p>
        </w:tc>
        <w:tc>
          <w:tcPr>
            <w:tcW w:type="dxa" w:w="1754"/>
          </w:tcPr>
          <w:p>
            <w:r/>
          </w:p>
        </w:tc>
        <w:tc>
          <w:tcPr>
            <w:tcW w:type="dxa" w:w="1754"/>
          </w:tcPr>
          <w:p>
            <w:r/>
          </w:p>
        </w:tc>
        <w:tc>
          <w:tcPr>
            <w:tcW w:type="dxa" w:w="1754"/>
          </w:tcPr>
          <w:p>
            <w:r/>
          </w:p>
        </w:tc>
        <w:tc>
          <w:tcPr>
            <w:tcW w:type="dxa" w:w="1754"/>
          </w:tcPr>
          <w:p>
            <w:r/>
            <w:r>
              <w:rPr>
                <w:rFonts w:ascii="Times New Roman" w:hAnsi="Times New Roman"/>
                <w:b/>
                <w:sz w:val="22"/>
              </w:rPr>
              <w:t>125 / 375 (33 %)</w:t>
            </w:r>
          </w:p>
        </w:tc>
      </w:tr>
    </w:tbl>
    <w:p>
      <w:pPr>
        <w:pStyle w:val="Overskrift2"/>
      </w:pPr>
      <w:r>
        <w:rPr>
          <w:rFonts w:ascii="Times New Roman" w:hAnsi="Times New Roman"/>
          <w:color w:val="000000"/>
          <w:sz w:val="32"/>
        </w:rPr>
        <w:t>7.3 EOQ-avviksresultater</w:t>
      </w:r>
    </w:p>
    <w:p>
      <w:r>
        <w:rPr>
          <w:rFonts w:ascii="Times New Roman" w:hAnsi="Times New Roman"/>
          <w:b/>
          <w:sz w:val="20"/>
        </w:rPr>
        <w:t>Tabell 11</w:t>
      </w:r>
    </w:p>
    <w:p>
      <w:r>
        <w:rPr>
          <w:rFonts w:ascii="Times New Roman" w:hAnsi="Times New Roman"/>
          <w:i/>
          <w:sz w:val="20"/>
        </w:rPr>
        <w:t>EOQ-avviksresultater: fordeling av artikler etter ordrefrekvensavvik (n = 487)</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EOQ-status</w:t>
            </w:r>
          </w:p>
        </w:tc>
        <w:tc>
          <w:tcPr>
            <w:tcW w:type="dxa" w:w="2192"/>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2192"/>
          </w:tcPr>
          <w:p>
            <w:r/>
            <w:r>
              <w:rPr>
                <w:rFonts w:ascii="Times New Roman" w:hAnsi="Times New Roman"/>
                <w:b w:val="0"/>
                <w:sz w:val="22"/>
              </w:rPr>
              <w:t>FOR_MANGE_ORDRER</w:t>
            </w:r>
          </w:p>
        </w:tc>
        <w:tc>
          <w:tcPr>
            <w:tcW w:type="dxa" w:w="2192"/>
          </w:tcPr>
          <w:p>
            <w:r/>
            <w:r>
              <w:rPr>
                <w:rFonts w:ascii="Times New Roman" w:hAnsi="Times New Roman"/>
                <w:b w:val="0"/>
                <w:sz w:val="22"/>
              </w:rPr>
              <w:t>FREQ_AVVIK &gt; 0,5</w:t>
            </w:r>
          </w:p>
        </w:tc>
        <w:tc>
          <w:tcPr>
            <w:tcW w:type="dxa" w:w="2192"/>
          </w:tcPr>
          <w:p>
            <w:r/>
            <w:r>
              <w:rPr>
                <w:rFonts w:ascii="Times New Roman" w:hAnsi="Times New Roman"/>
                <w:b w:val="0"/>
                <w:sz w:val="22"/>
              </w:rPr>
              <w:t>356</w:t>
            </w:r>
          </w:p>
        </w:tc>
        <w:tc>
          <w:tcPr>
            <w:tcW w:type="dxa" w:w="2192"/>
          </w:tcPr>
          <w:p>
            <w:r/>
            <w:r>
              <w:rPr>
                <w:rFonts w:ascii="Times New Roman" w:hAnsi="Times New Roman"/>
                <w:b w:val="0"/>
                <w:sz w:val="22"/>
              </w:rPr>
              <w:t>73,1 %</w:t>
            </w:r>
          </w:p>
        </w:tc>
      </w:tr>
      <w:tr>
        <w:tc>
          <w:tcPr>
            <w:tcW w:type="dxa" w:w="2192"/>
          </w:tcPr>
          <w:p>
            <w:r/>
            <w:r>
              <w:rPr>
                <w:rFonts w:ascii="Times New Roman" w:hAnsi="Times New Roman"/>
                <w:b w:val="0"/>
                <w:sz w:val="22"/>
              </w:rPr>
              <w:t>OK</w:t>
            </w:r>
          </w:p>
        </w:tc>
        <w:tc>
          <w:tcPr>
            <w:tcW w:type="dxa" w:w="2192"/>
          </w:tcPr>
          <w:p>
            <w:r/>
            <w:r>
              <w:rPr>
                <w:rFonts w:ascii="Times New Roman" w:hAnsi="Times New Roman"/>
                <w:b w:val="0"/>
                <w:sz w:val="22"/>
              </w:rPr>
              <w:t>−0,5 ≤ FREQ_AVVIK ≤ 0,5</w:t>
            </w:r>
          </w:p>
        </w:tc>
        <w:tc>
          <w:tcPr>
            <w:tcW w:type="dxa" w:w="2192"/>
          </w:tcPr>
          <w:p>
            <w:r/>
            <w:r>
              <w:rPr>
                <w:rFonts w:ascii="Times New Roman" w:hAnsi="Times New Roman"/>
                <w:b w:val="0"/>
                <w:sz w:val="22"/>
              </w:rPr>
              <w:t>100</w:t>
            </w:r>
          </w:p>
        </w:tc>
        <w:tc>
          <w:tcPr>
            <w:tcW w:type="dxa" w:w="2192"/>
          </w:tcPr>
          <w:p>
            <w:r/>
            <w:r>
              <w:rPr>
                <w:rFonts w:ascii="Times New Roman" w:hAnsi="Times New Roman"/>
                <w:b w:val="0"/>
                <w:sz w:val="22"/>
              </w:rPr>
              <w:t>20,5 %</w:t>
            </w:r>
          </w:p>
        </w:tc>
      </w:tr>
      <w:tr>
        <w:tc>
          <w:tcPr>
            <w:tcW w:type="dxa" w:w="2192"/>
          </w:tcPr>
          <w:p>
            <w:r/>
            <w:r>
              <w:rPr>
                <w:rFonts w:ascii="Times New Roman" w:hAnsi="Times New Roman"/>
                <w:b w:val="0"/>
                <w:sz w:val="22"/>
              </w:rPr>
              <w:t>FOR_FÅ_ORDRER</w:t>
            </w:r>
          </w:p>
        </w:tc>
        <w:tc>
          <w:tcPr>
            <w:tcW w:type="dxa" w:w="2192"/>
          </w:tcPr>
          <w:p>
            <w:r/>
            <w:r>
              <w:rPr>
                <w:rFonts w:ascii="Times New Roman" w:hAnsi="Times New Roman"/>
                <w:b w:val="0"/>
                <w:sz w:val="22"/>
              </w:rPr>
              <w:t>FREQ_AVVIK &lt; −0,5</w:t>
            </w:r>
          </w:p>
        </w:tc>
        <w:tc>
          <w:tcPr>
            <w:tcW w:type="dxa" w:w="2192"/>
          </w:tcPr>
          <w:p>
            <w:r/>
            <w:r>
              <w:rPr>
                <w:rFonts w:ascii="Times New Roman" w:hAnsi="Times New Roman"/>
                <w:b w:val="0"/>
                <w:sz w:val="22"/>
              </w:rPr>
              <w:t>31</w:t>
            </w:r>
          </w:p>
        </w:tc>
        <w:tc>
          <w:tcPr>
            <w:tcW w:type="dxa" w:w="2192"/>
          </w:tcPr>
          <w:p>
            <w:r/>
            <w:r>
              <w:rPr>
                <w:rFonts w:ascii="Times New Roman" w:hAnsi="Times New Roman"/>
                <w:b w:val="0"/>
                <w:sz w:val="22"/>
              </w:rPr>
              <w:t>6,4 %</w:t>
            </w:r>
          </w:p>
        </w:tc>
      </w:tr>
      <w:tr>
        <w:tc>
          <w:tcPr>
            <w:tcW w:type="dxa" w:w="2192"/>
          </w:tcPr>
          <w:p>
            <w:r/>
            <w:r>
              <w:rPr>
                <w:rFonts w:ascii="Times New Roman" w:hAnsi="Times New Roman"/>
                <w:b/>
                <w:sz w:val="22"/>
              </w:rPr>
              <w:t>Totalt analysert</w:t>
            </w:r>
          </w:p>
        </w:tc>
        <w:tc>
          <w:tcPr>
            <w:tcW w:type="dxa" w:w="2192"/>
          </w:tcPr>
          <w:p>
            <w:r/>
          </w:p>
        </w:tc>
        <w:tc>
          <w:tcPr>
            <w:tcW w:type="dxa" w:w="2192"/>
          </w:tcPr>
          <w:p>
            <w:r/>
            <w:r>
              <w:rPr>
                <w:rFonts w:ascii="Times New Roman" w:hAnsi="Times New Roman"/>
                <w:b/>
                <w:sz w:val="22"/>
              </w:rPr>
              <w:t>487</w:t>
            </w:r>
          </w:p>
        </w:tc>
        <w:tc>
          <w:tcPr>
            <w:tcW w:type="dxa" w:w="2192"/>
          </w:tcPr>
          <w:p>
            <w:r/>
            <w:r>
              <w:rPr>
                <w:rFonts w:ascii="Times New Roman" w:hAnsi="Times New Roman"/>
                <w:b/>
                <w:sz w:val="22"/>
              </w:rPr>
              <w:t>100 %</w:t>
            </w:r>
          </w:p>
        </w:tc>
      </w:tr>
      <w:tr>
        <w:tc>
          <w:tcPr>
            <w:tcW w:type="dxa" w:w="2192"/>
          </w:tcPr>
          <w:p>
            <w:r/>
            <w:r>
              <w:rPr>
                <w:rFonts w:ascii="Times New Roman" w:hAnsi="Times New Roman"/>
                <w:b w:val="0"/>
                <w:sz w:val="22"/>
              </w:rPr>
              <w:t>Samlet ΔTC (alle 487)</w:t>
            </w:r>
          </w:p>
        </w:tc>
        <w:tc>
          <w:tcPr>
            <w:tcW w:type="dxa" w:w="2192"/>
          </w:tcPr>
          <w:p>
            <w:r/>
          </w:p>
        </w:tc>
        <w:tc>
          <w:tcPr>
            <w:tcW w:type="dxa" w:w="2192"/>
          </w:tcPr>
          <w:p>
            <w:r/>
            <w:r>
              <w:rPr>
                <w:rFonts w:ascii="Times New Roman" w:hAnsi="Times New Roman"/>
                <w:b/>
                <w:sz w:val="22"/>
              </w:rPr>
              <w:t>kr 2 333 441 / år</w:t>
            </w:r>
          </w:p>
        </w:tc>
        <w:tc>
          <w:tcPr>
            <w:tcW w:type="dxa" w:w="2192"/>
          </w:tcPr>
          <w:p>
            <w:r/>
          </w:p>
        </w:tc>
      </w:tr>
    </w:tbl>
    <w:p>
      <w:pPr>
        <w:spacing w:line="360" w:lineRule="auto"/>
        <w:jc w:val="both"/>
      </w:pPr>
      <w:r>
        <w:rPr>
          <w:rFonts w:ascii="Times New Roman" w:hAnsi="Times New Roman" w:cs="Times New Roman"/>
          <w:sz w:val="24"/>
        </w:rPr>
        <w:t>Av de 487 artiklene med tilstrekkelig data for EOQ-beregning har 356 artikler (73,1 %) en faktisk ordrefrekvens som overskrider EOQ-optimal frekvens med mer enn 50 % (</w:t>
      </w:r>
      <m:oMath>
        <m:sSub>
          <m:e>
            <m:r>
              <m:t>f</m:t>
            </m:r>
          </m:e>
          <m:sub>
            <m:r>
              <m:rPr>
                <m:nor/>
              </m:rPr>
              <m:t>obs</m:t>
            </m:r>
          </m:sub>
        </m:sSub>
        <m:r>
          <m:t>&gt;1</m:t>
        </m:r>
        <m:r>
          <m:t>,</m:t>
        </m:r>
        <m:r>
          <m:t>5·</m:t>
        </m:r>
        <m:sSup>
          <m:e>
            <m:r>
              <m:t>f</m:t>
            </m:r>
          </m:e>
          <m:sup>
            <m:r>
              <m:t>*</m:t>
            </m:r>
          </m:sup>
        </m:sSup>
      </m:oMath>
      <w:r>
        <w:rPr>
          <w:rFonts w:ascii="Times New Roman" w:hAnsi="Times New Roman" w:cs="Times New Roman"/>
          <w:sz w:val="24"/>
        </w:rPr>
        <w:t xml:space="preserve">), og er klassifisert som FOR\_MANGE\_ORDRER. 100 artikler (20,5 %) opererer innenfor akseptabelt avvik (OK), og 31 artikler (6,4 %) bestiller sjeldnere enn EOQ-optimalt (FOR\_FÅ\_ORDRER). Den høye andelen FOR\_MANGE\_ORDRER indikerer at bestillingspraksisen ved LGORT 3001 avviker vesentlig fra EOQ-optimalt nivå – artiklene bestilles i for små kvanta og for ofte i forhold til hva Wilson-modellen tilsier med de gitte parameterne </w:t>
      </w:r>
      <m:oMath>
        <m:r>
          <m:t>S=750</m:t>
        </m:r>
      </m:oMath>
      <w:r>
        <w:rPr>
          <w:rFonts w:ascii="Times New Roman" w:hAnsi="Times New Roman" w:cs="Times New Roman"/>
          <w:sz w:val="24"/>
        </w:rPr>
        <w:t xml:space="preserve">NOK og </w:t>
      </w:r>
      <m:oMath>
        <m:r>
          <m:t>h=20</m:t>
        </m:r>
      </m:oMath>
      <w:r>
        <w:rPr>
          <w:rFonts w:ascii="Times New Roman" w:hAnsi="Times New Roman" w:cs="Times New Roman"/>
          <w:sz w:val="24"/>
        </w:rPr>
        <w:t>.</w:t>
      </w:r>
    </w:p>
    <w:p>
      <w:pPr>
        <w:spacing w:line="360" w:lineRule="auto"/>
        <w:jc w:val="both"/>
      </w:pPr>
      <w:r>
        <w:rPr>
          <w:rFonts w:ascii="Times New Roman" w:hAnsi="Times New Roman" w:cs="Times New Roman"/>
          <w:sz w:val="24"/>
        </w:rPr>
        <w:t xml:space="preserve">Det samlede teoretiske totalkostnadsavviket </w:t>
      </w:r>
      <m:oMath>
        <m:r>
          <m:t>∑ΔT</m:t>
        </m:r>
        <m:sSub>
          <m:e>
            <m:r>
              <m:t>C</m:t>
            </m:r>
          </m:e>
          <m:sub>
            <m:r>
              <m:t>i</m:t>
            </m:r>
          </m:sub>
        </m:sSub>
      </m:oMath>
      <w:r>
        <w:rPr>
          <w:rFonts w:ascii="Times New Roman" w:hAnsi="Times New Roman" w:cs="Times New Roman"/>
          <w:sz w:val="24"/>
        </w:rPr>
        <w:t xml:space="preserve"> for alle 487 artikler er kr 2 333 441 per år. Dette representerer det totale kostnadsoverskuddet som genereres av at faktisk ordrepraksis avviker fra EOQ-optimal; det er ikke direkte det samme som det realiserbare besparelsespotensialet, da kun artikler i OVERFØR\_HVFS-kategorien inngår i besparelsesberegningen (se avsnitt 7.6). Fordelingen av FREQ\_AVVIK er illustrert i Figur 8 i kapittel 6.</w:t>
      </w:r>
    </w:p>
    <w:p>
      <w:pPr>
        <w:pStyle w:val="Overskrift2"/>
      </w:pPr>
      <w:r>
        <w:rPr>
          <w:rFonts w:ascii="Times New Roman" w:hAnsi="Times New Roman"/>
          <w:color w:val="000000"/>
          <w:sz w:val="32"/>
        </w:rPr>
        <w:t>7.4 K-means klyngeresultater</w:t>
      </w:r>
    </w:p>
    <w:p>
      <w:pPr>
        <w:spacing w:line="360" w:lineRule="auto"/>
        <w:jc w:val="both"/>
      </w:pPr>
      <w:r>
        <w:rPr>
          <w:rFonts w:ascii="Times New Roman" w:hAnsi="Times New Roman" w:cs="Times New Roman"/>
          <w:sz w:val="24"/>
        </w:rPr>
        <w:t xml:space="preserve">K-means-analysen med automatisk K-valg via silhouette-score identifiserte </w:t>
      </w:r>
      <m:oMath>
        <m:r>
          <m:t>K=3</m:t>
        </m:r>
      </m:oMath>
      <w:r>
        <w:rPr>
          <w:rFonts w:ascii="Times New Roman" w:hAnsi="Times New Roman" w:cs="Times New Roman"/>
          <w:sz w:val="24"/>
        </w:rPr>
        <w:t xml:space="preserve"> som optimalt antall klynger. Silhouette-score på treningsdataene (</w:t>
      </w:r>
      <m:oMath>
        <m:r>
          <m:t>n=389</m:t>
        </m:r>
      </m:oMath>
      <w:r>
        <w:rPr>
          <w:rFonts w:ascii="Times New Roman" w:hAnsi="Times New Roman" w:cs="Times New Roman"/>
          <w:sz w:val="24"/>
        </w:rPr>
        <w:t>) var 0,383, og på testdataene (</w:t>
      </w:r>
      <m:oMath>
        <m:r>
          <m:t>n=98</m:t>
        </m:r>
      </m:oMath>
      <w:r>
        <w:rPr>
          <w:rFonts w:ascii="Times New Roman" w:hAnsi="Times New Roman" w:cs="Times New Roman"/>
          <w:sz w:val="24"/>
        </w:rPr>
        <w:t>) var 0,368. Differansen mellom trenings- og testresultat er 0,015, noe som ikke indikerer vesentlig overfit. Klyngeprofiler er presentert i Tabell 12.</w:t>
      </w:r>
    </w:p>
    <w:p>
      <w:r>
        <w:rPr>
          <w:rFonts w:ascii="Times New Roman" w:hAnsi="Times New Roman"/>
          <w:b/>
          <w:sz w:val="20"/>
        </w:rPr>
        <w:t>Tabell 12</w:t>
      </w:r>
    </w:p>
    <w:p>
      <w:r>
        <w:rPr>
          <w:rFonts w:ascii="Times New Roman" w:hAnsi="Times New Roman"/>
          <w:i/>
          <w:sz w:val="20"/>
        </w:rPr>
        <w:t>K-means klyngeprofiler: gjennomsnittsverdier per klynge for de tre featurene (K = 3, n = 487)</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461"/>
        <w:gridCol w:w="1461"/>
        <w:gridCol w:w="1461"/>
        <w:gridCol w:w="1461"/>
        <w:gridCol w:w="1461"/>
        <w:gridCol w:w="1461"/>
      </w:tblGrid>
      <w:tr>
        <w:tc>
          <w:tcPr>
            <w:tcW w:type="dxa" w:w="1461"/>
            <w:tcBorders>
              <w:top w:val="single" w:sz="8" w:space="0" w:color="000000"/>
              <w:bottom w:val="single" w:sz="4" w:space="0" w:color="000000"/>
              <w:left w:val="nil"/>
              <w:right w:val="nil"/>
            </w:tcBorders>
          </w:tcPr>
          <w:p>
            <w:r/>
            <w:r>
              <w:rPr>
                <w:rFonts w:ascii="Times New Roman" w:hAnsi="Times New Roman"/>
                <w:b/>
                <w:sz w:val="22"/>
              </w:rPr>
              <w:t>Klynge</w:t>
            </w:r>
          </w:p>
        </w:tc>
        <w:tc>
          <w:tcPr>
            <w:tcW w:type="dxa" w:w="1461"/>
            <w:tcBorders>
              <w:top w:val="single" w:sz="8" w:space="0" w:color="000000"/>
              <w:bottom w:val="single" w:sz="4" w:space="0" w:color="000000"/>
              <w:left w:val="nil"/>
              <w:right w:val="nil"/>
            </w:tcBorders>
          </w:tcPr>
          <w:p>
            <w:r/>
            <w:r>
              <w:rPr>
                <w:rFonts w:ascii="Times New Roman" w:hAnsi="Times New Roman"/>
                <w:b/>
                <w:sz w:val="22"/>
              </w:rPr>
              <w:t>Antall</w:t>
            </w:r>
          </w:p>
        </w:tc>
        <w:tc>
          <w:tcPr>
            <w:tcW w:type="dxa" w:w="1461"/>
            <w:tcBorders>
              <w:top w:val="single" w:sz="8" w:space="0" w:color="000000"/>
              <w:bottom w:val="single" w:sz="4" w:space="0" w:color="000000"/>
              <w:left w:val="nil"/>
              <w:right w:val="nil"/>
            </w:tcBorders>
          </w:tcPr>
          <w:p>
            <w:r/>
            <w:r>
              <w:rPr>
                <w:rFonts w:ascii="Times New Roman" w:hAnsi="Times New Roman"/>
                <w:b/>
                <w:sz w:val="22"/>
              </w:rPr>
              <w:t>CV snitt</w:t>
            </w:r>
          </w:p>
        </w:tc>
        <w:tc>
          <w:tcPr>
            <w:tcW w:type="dxa" w:w="1461"/>
            <w:tcBorders>
              <w:top w:val="single" w:sz="8" w:space="0" w:color="000000"/>
              <w:bottom w:val="single" w:sz="4" w:space="0" w:color="000000"/>
              <w:left w:val="nil"/>
              <w:right w:val="nil"/>
            </w:tcBorders>
          </w:tcPr>
          <w:p>
            <w:r/>
            <w:r>
              <w:rPr>
                <w:rFonts w:ascii="Times New Roman" w:hAnsi="Times New Roman"/>
                <w:b/>
                <w:sz w:val="22"/>
              </w:rPr>
              <w:t>Verdi snitt (kr)</w:t>
            </w:r>
          </w:p>
        </w:tc>
        <w:tc>
          <w:tcPr>
            <w:tcW w:type="dxa" w:w="1461"/>
            <w:tcBorders>
              <w:top w:val="single" w:sz="8" w:space="0" w:color="000000"/>
              <w:bottom w:val="single" w:sz="4" w:space="0" w:color="000000"/>
              <w:left w:val="nil"/>
              <w:right w:val="nil"/>
            </w:tcBorders>
          </w:tcPr>
          <w:p>
            <w:r/>
            <w:r>
              <w:rPr>
                <w:rFonts w:ascii="Times New Roman" w:hAnsi="Times New Roman"/>
                <w:b/>
                <w:sz w:val="22"/>
              </w:rPr>
              <w:t>ΔTC snitt (kr)</w:t>
            </w:r>
          </w:p>
        </w:tc>
        <w:tc>
          <w:tcPr>
            <w:tcW w:type="dxa" w:w="1461"/>
            <w:tcBorders>
              <w:top w:val="single" w:sz="8" w:space="0" w:color="000000"/>
              <w:bottom w:val="single" w:sz="4" w:space="0" w:color="000000"/>
              <w:left w:val="nil"/>
              <w:right w:val="nil"/>
            </w:tcBorders>
          </w:tcPr>
          <w:p>
            <w:r/>
            <w:r>
              <w:rPr>
                <w:rFonts w:ascii="Times New Roman" w:hAnsi="Times New Roman"/>
                <w:b/>
                <w:sz w:val="22"/>
              </w:rPr>
              <w:t>Profil</w:t>
            </w:r>
          </w:p>
        </w:tc>
      </w:tr>
      <w:tr>
        <w:tc>
          <w:tcPr>
            <w:tcW w:type="dxa" w:w="1461"/>
          </w:tcPr>
          <w:p>
            <w:r/>
            <w:r>
              <w:rPr>
                <w:rFonts w:ascii="Times New Roman" w:hAnsi="Times New Roman"/>
                <w:b w:val="0"/>
                <w:sz w:val="22"/>
              </w:rPr>
              <w:t>1</w:t>
            </w:r>
          </w:p>
        </w:tc>
        <w:tc>
          <w:tcPr>
            <w:tcW w:type="dxa" w:w="1461"/>
          </w:tcPr>
          <w:p>
            <w:r/>
            <w:r>
              <w:rPr>
                <w:rFonts w:ascii="Times New Roman" w:hAnsi="Times New Roman"/>
                <w:b w:val="0"/>
                <w:sz w:val="22"/>
              </w:rPr>
              <w:t>31</w:t>
            </w:r>
          </w:p>
        </w:tc>
        <w:tc>
          <w:tcPr>
            <w:tcW w:type="dxa" w:w="1461"/>
          </w:tcPr>
          <w:p>
            <w:r/>
            <w:r>
              <w:rPr>
                <w:rFonts w:ascii="Times New Roman" w:hAnsi="Times New Roman"/>
                <w:b w:val="0"/>
                <w:sz w:val="22"/>
              </w:rPr>
              <w:t>1,05</w:t>
            </w:r>
          </w:p>
        </w:tc>
        <w:tc>
          <w:tcPr>
            <w:tcW w:type="dxa" w:w="1461"/>
          </w:tcPr>
          <w:p>
            <w:r/>
            <w:r>
              <w:rPr>
                <w:rFonts w:ascii="Times New Roman" w:hAnsi="Times New Roman"/>
                <w:b w:val="0"/>
                <w:sz w:val="22"/>
              </w:rPr>
              <w:t>150</w:t>
            </w:r>
          </w:p>
        </w:tc>
        <w:tc>
          <w:tcPr>
            <w:tcW w:type="dxa" w:w="1461"/>
          </w:tcPr>
          <w:p>
            <w:r/>
            <w:r>
              <w:rPr>
                <w:rFonts w:ascii="Times New Roman" w:hAnsi="Times New Roman"/>
                <w:b w:val="0"/>
                <w:sz w:val="22"/>
              </w:rPr>
              <w:t>4 999</w:t>
            </w:r>
          </w:p>
        </w:tc>
        <w:tc>
          <w:tcPr>
            <w:tcW w:type="dxa" w:w="1461"/>
          </w:tcPr>
          <w:p>
            <w:r/>
            <w:r>
              <w:rPr>
                <w:rFonts w:ascii="Times New Roman" w:hAnsi="Times New Roman"/>
                <w:b w:val="0"/>
                <w:sz w:val="22"/>
              </w:rPr>
              <w:t>Lav verdi, høy variasjon</w:t>
            </w:r>
          </w:p>
        </w:tc>
      </w:tr>
      <w:tr>
        <w:tc>
          <w:tcPr>
            <w:tcW w:type="dxa" w:w="1461"/>
          </w:tcPr>
          <w:p>
            <w:r/>
            <w:r>
              <w:rPr>
                <w:rFonts w:ascii="Times New Roman" w:hAnsi="Times New Roman"/>
                <w:b w:val="0"/>
                <w:sz w:val="22"/>
              </w:rPr>
              <w:t>2</w:t>
            </w:r>
          </w:p>
        </w:tc>
        <w:tc>
          <w:tcPr>
            <w:tcW w:type="dxa" w:w="1461"/>
          </w:tcPr>
          <w:p>
            <w:r/>
            <w:r>
              <w:rPr>
                <w:rFonts w:ascii="Times New Roman" w:hAnsi="Times New Roman"/>
                <w:b w:val="0"/>
                <w:sz w:val="22"/>
              </w:rPr>
              <w:t>175</w:t>
            </w:r>
          </w:p>
        </w:tc>
        <w:tc>
          <w:tcPr>
            <w:tcW w:type="dxa" w:w="1461"/>
          </w:tcPr>
          <w:p>
            <w:r/>
            <w:r>
              <w:rPr>
                <w:rFonts w:ascii="Times New Roman" w:hAnsi="Times New Roman"/>
                <w:b w:val="0"/>
                <w:sz w:val="22"/>
              </w:rPr>
              <w:t>1,59</w:t>
            </w:r>
          </w:p>
        </w:tc>
        <w:tc>
          <w:tcPr>
            <w:tcW w:type="dxa" w:w="1461"/>
          </w:tcPr>
          <w:p>
            <w:r/>
            <w:r>
              <w:rPr>
                <w:rFonts w:ascii="Times New Roman" w:hAnsi="Times New Roman"/>
                <w:b w:val="0"/>
                <w:sz w:val="22"/>
              </w:rPr>
              <w:t>79 658</w:t>
            </w:r>
          </w:p>
        </w:tc>
        <w:tc>
          <w:tcPr>
            <w:tcW w:type="dxa" w:w="1461"/>
          </w:tcPr>
          <w:p>
            <w:r/>
            <w:r>
              <w:rPr>
                <w:rFonts w:ascii="Times New Roman" w:hAnsi="Times New Roman"/>
                <w:b w:val="0"/>
                <w:sz w:val="22"/>
              </w:rPr>
              <w:t>1 199</w:t>
            </w:r>
          </w:p>
        </w:tc>
        <w:tc>
          <w:tcPr>
            <w:tcW w:type="dxa" w:w="1461"/>
          </w:tcPr>
          <w:p>
            <w:r/>
            <w:r>
              <w:rPr>
                <w:rFonts w:ascii="Times New Roman" w:hAnsi="Times New Roman"/>
                <w:b w:val="0"/>
                <w:sz w:val="22"/>
              </w:rPr>
              <w:t>Middels verdi, svært variabelt</w:t>
            </w:r>
          </w:p>
        </w:tc>
      </w:tr>
      <w:tr>
        <w:tc>
          <w:tcPr>
            <w:tcW w:type="dxa" w:w="1461"/>
          </w:tcPr>
          <w:p>
            <w:r/>
            <w:r>
              <w:rPr>
                <w:rFonts w:ascii="Times New Roman" w:hAnsi="Times New Roman"/>
                <w:b w:val="0"/>
                <w:sz w:val="22"/>
              </w:rPr>
              <w:t>3 (K_OVERFØR)</w:t>
            </w:r>
          </w:p>
        </w:tc>
        <w:tc>
          <w:tcPr>
            <w:tcW w:type="dxa" w:w="1461"/>
          </w:tcPr>
          <w:p>
            <w:r/>
            <w:r>
              <w:rPr>
                <w:rFonts w:ascii="Times New Roman" w:hAnsi="Times New Roman"/>
                <w:b w:val="0"/>
                <w:sz w:val="22"/>
              </w:rPr>
              <w:t>281</w:t>
            </w:r>
          </w:p>
        </w:tc>
        <w:tc>
          <w:tcPr>
            <w:tcW w:type="dxa" w:w="1461"/>
          </w:tcPr>
          <w:p>
            <w:r/>
            <w:r>
              <w:rPr>
                <w:rFonts w:ascii="Times New Roman" w:hAnsi="Times New Roman"/>
                <w:b w:val="0"/>
                <w:sz w:val="22"/>
              </w:rPr>
              <w:t>0,47</w:t>
            </w:r>
          </w:p>
        </w:tc>
        <w:tc>
          <w:tcPr>
            <w:tcW w:type="dxa" w:w="1461"/>
          </w:tcPr>
          <w:p>
            <w:r/>
            <w:r>
              <w:rPr>
                <w:rFonts w:ascii="Times New Roman" w:hAnsi="Times New Roman"/>
                <w:b w:val="0"/>
                <w:sz w:val="22"/>
              </w:rPr>
              <w:t>167 267</w:t>
            </w:r>
          </w:p>
        </w:tc>
        <w:tc>
          <w:tcPr>
            <w:tcW w:type="dxa" w:w="1461"/>
          </w:tcPr>
          <w:p>
            <w:r/>
            <w:r>
              <w:rPr>
                <w:rFonts w:ascii="Times New Roman" w:hAnsi="Times New Roman"/>
                <w:b w:val="0"/>
                <w:sz w:val="22"/>
              </w:rPr>
              <w:t>7 005</w:t>
            </w:r>
          </w:p>
        </w:tc>
        <w:tc>
          <w:tcPr>
            <w:tcW w:type="dxa" w:w="1461"/>
          </w:tcPr>
          <w:p>
            <w:r/>
            <w:r>
              <w:rPr>
                <w:rFonts w:ascii="Times New Roman" w:hAnsi="Times New Roman"/>
                <w:b w:val="0"/>
                <w:sz w:val="22"/>
              </w:rPr>
              <w:t>Høy verdi, stabilt, høyt avvik</w:t>
            </w:r>
          </w:p>
        </w:tc>
      </w:tr>
    </w:tbl>
    <w:p>
      <w:pPr>
        <w:spacing w:line="360" w:lineRule="auto"/>
        <w:jc w:val="both"/>
      </w:pPr>
      <w:r>
        <w:rPr>
          <w:rFonts w:ascii="Times New Roman" w:hAnsi="Times New Roman" w:cs="Times New Roman"/>
          <w:sz w:val="24"/>
        </w:rPr>
        <w:t>Klynge 1 (31 artikler) representerer en liten gruppe med gjennomsnittlig CV = 1,05 (Z-nivå), lav årsverdi (kr 150) og moderat kostnadsavvik (kr 4 999). Disse artiklene har uregelmessig forbruk og lav verdi – en profil som tilsier lokal lagring. Klynge 2 (175 artikler) har gjennomsnittlig CV = 1,59 (svært variabelt), middels årsverdi (kr 79 658) og lavt kostnadsavvik (kr 1 199). Den høye CV-en gjør disse artiklene uegnet for sentralisering trass i middels verdi.</w:t>
      </w:r>
    </w:p>
    <w:p>
      <w:pPr>
        <w:spacing w:line="360" w:lineRule="auto"/>
        <w:jc w:val="both"/>
      </w:pPr>
      <w:r>
        <w:rPr>
          <w:rFonts w:ascii="Times New Roman" w:hAnsi="Times New Roman" w:cs="Times New Roman"/>
          <w:sz w:val="24"/>
        </w:rPr>
        <w:t xml:space="preserve">K\_OVERFØR-klyngen (klynge 3, 281 artikler) kjennetegnes av gjennomsnittlig CV = 0,47 (under X-grensen på 0,5), gjennomsnittlig årsverdi kr 167 267 og gjennomsnittlig </w:t>
      </w:r>
      <m:oMath>
        <m:d>
          <m:dPr>
            <m:begChr m:val="|"/>
            <m:sepChr m:val=""/>
            <m:endChr m:val="|"/>
          </m:dPr>
          <m:e>
            <m:r>
              <m:t>Δ</m:t>
            </m:r>
            <m:r>
              <m:t>T</m:t>
            </m:r>
            <m:r>
              <m:t>C</m:t>
            </m:r>
          </m:e>
        </m:d>
      </m:oMath>
      <w:r>
        <w:rPr>
          <w:rFonts w:ascii="Times New Roman" w:hAnsi="Times New Roman" w:cs="Times New Roman"/>
          <w:sz w:val="24"/>
        </w:rPr>
        <w:t xml:space="preserve"> 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featurerommet er visualisert i Figur 10 i kapittel 6.</w:t>
      </w:r>
    </w:p>
    <w:p>
      <w:pPr>
        <w:pStyle w:val="Overskrift2"/>
      </w:pPr>
      <w:r>
        <w:rPr>
          <w:rFonts w:ascii="Times New Roman" w:hAnsi="Times New Roman"/>
          <w:color w:val="000000"/>
          <w:sz w:val="32"/>
        </w:rPr>
        <w:t>7.5 Regelmotor og HVFS-anbefalinger</w:t>
      </w:r>
    </w:p>
    <w:p>
      <w:pPr>
        <w:spacing w:line="360" w:lineRule="auto"/>
        <w:jc w:val="both"/>
      </w:pPr>
      <w:r>
        <w:rPr>
          <w:rFonts w:ascii="Times New Roman" w:hAnsi="Times New Roman" w:cs="Times New Roman"/>
          <w:sz w:val="24"/>
        </w:rPr>
        <w:t>Regelmotoren produserte en anbefaling for samtlige 709 artikler. Fordelingen er presentert i Tabell 13.</w:t>
      </w:r>
    </w:p>
    <w:p>
      <w:r>
        <w:rPr>
          <w:rFonts w:ascii="Times New Roman" w:hAnsi="Times New Roman"/>
          <w:b/>
          <w:sz w:val="20"/>
        </w:rPr>
        <w:t>Tabell 13</w:t>
      </w:r>
    </w:p>
    <w:p>
      <w:r>
        <w:rPr>
          <w:rFonts w:ascii="Times New Roman" w:hAnsi="Times New Roman"/>
          <w:i/>
          <w:sz w:val="20"/>
        </w:rPr>
        <w:t>HVFS-anbefalinger fra regelmotor: fordeling per kategori (n = 709, LGORT 3001)</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Kategori</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c>
          <w:tcPr>
            <w:tcW w:type="dxa" w:w="2192"/>
            <w:tcBorders>
              <w:top w:val="single" w:sz="8" w:space="0" w:color="000000"/>
              <w:bottom w:val="single" w:sz="4" w:space="0" w:color="000000"/>
              <w:left w:val="nil"/>
              <w:right w:val="nil"/>
            </w:tcBorders>
          </w:tcPr>
          <w:p>
            <w:r/>
            <w:r>
              <w:rPr>
                <w:rFonts w:ascii="Times New Roman" w:hAnsi="Times New Roman"/>
                <w:b/>
                <w:sz w:val="22"/>
              </w:rPr>
              <w:t>Beskrivelse</w:t>
            </w:r>
          </w:p>
        </w:tc>
      </w:tr>
      <w:tr>
        <w:tc>
          <w:tcPr>
            <w:tcW w:type="dxa" w:w="2192"/>
          </w:tcPr>
          <w:p>
            <w:r/>
            <w:r>
              <w:rPr>
                <w:rFonts w:ascii="Times New Roman" w:hAnsi="Times New Roman"/>
                <w:b w:val="0"/>
                <w:sz w:val="22"/>
              </w:rPr>
              <w:t>OVERFØR_HVFS</w:t>
            </w:r>
          </w:p>
        </w:tc>
        <w:tc>
          <w:tcPr>
            <w:tcW w:type="dxa" w:w="2192"/>
          </w:tcPr>
          <w:p>
            <w:r/>
            <w:r>
              <w:rPr>
                <w:rFonts w:ascii="Times New Roman" w:hAnsi="Times New Roman"/>
                <w:b w:val="0"/>
                <w:sz w:val="22"/>
              </w:rPr>
              <w:t>145</w:t>
            </w:r>
          </w:p>
        </w:tc>
        <w:tc>
          <w:tcPr>
            <w:tcW w:type="dxa" w:w="2192"/>
          </w:tcPr>
          <w:p>
            <w:r/>
            <w:r>
              <w:rPr>
                <w:rFonts w:ascii="Times New Roman" w:hAnsi="Times New Roman"/>
                <w:b w:val="0"/>
                <w:sz w:val="22"/>
              </w:rPr>
              <w:t>20,5 %</w:t>
            </w:r>
          </w:p>
        </w:tc>
        <w:tc>
          <w:tcPr>
            <w:tcW w:type="dxa" w:w="2192"/>
          </w:tcPr>
          <w:p>
            <w:r/>
            <w:r>
              <w:rPr>
                <w:rFonts w:ascii="Times New Roman" w:hAnsi="Times New Roman"/>
                <w:b w:val="0"/>
                <w:sz w:val="22"/>
              </w:rPr>
              <w:t>Anbefales overført til HVFS</w:t>
            </w:r>
          </w:p>
        </w:tc>
      </w:tr>
      <w:tr>
        <w:tc>
          <w:tcPr>
            <w:tcW w:type="dxa" w:w="2192"/>
          </w:tcPr>
          <w:p>
            <w:r/>
            <w:r>
              <w:rPr>
                <w:rFonts w:ascii="Times New Roman" w:hAnsi="Times New Roman"/>
                <w:b w:val="0"/>
                <w:sz w:val="22"/>
              </w:rPr>
              <w:t>BEHOLD_LOKALT</w:t>
            </w:r>
          </w:p>
        </w:tc>
        <w:tc>
          <w:tcPr>
            <w:tcW w:type="dxa" w:w="2192"/>
          </w:tcPr>
          <w:p>
            <w:r/>
            <w:r>
              <w:rPr>
                <w:rFonts w:ascii="Times New Roman" w:hAnsi="Times New Roman"/>
                <w:b w:val="0"/>
                <w:sz w:val="22"/>
              </w:rPr>
              <w:t>257</w:t>
            </w:r>
          </w:p>
        </w:tc>
        <w:tc>
          <w:tcPr>
            <w:tcW w:type="dxa" w:w="2192"/>
          </w:tcPr>
          <w:p>
            <w:r/>
            <w:r>
              <w:rPr>
                <w:rFonts w:ascii="Times New Roman" w:hAnsi="Times New Roman"/>
                <w:b w:val="0"/>
                <w:sz w:val="22"/>
              </w:rPr>
              <w:t>36,2 %</w:t>
            </w:r>
          </w:p>
        </w:tc>
        <w:tc>
          <w:tcPr>
            <w:tcW w:type="dxa" w:w="2192"/>
          </w:tcPr>
          <w:p>
            <w:r/>
            <w:r>
              <w:rPr>
                <w:rFonts w:ascii="Times New Roman" w:hAnsi="Times New Roman"/>
                <w:b w:val="0"/>
                <w:sz w:val="22"/>
              </w:rPr>
              <w:t>Beholdes lokalt (Z-klasse eller CY)</w:t>
            </w:r>
          </w:p>
        </w:tc>
      </w:tr>
      <w:tr>
        <w:tc>
          <w:tcPr>
            <w:tcW w:type="dxa" w:w="2192"/>
          </w:tcPr>
          <w:p>
            <w:r/>
            <w:r>
              <w:rPr>
                <w:rFonts w:ascii="Times New Roman" w:hAnsi="Times New Roman"/>
                <w:b w:val="0"/>
                <w:sz w:val="22"/>
              </w:rPr>
              <w:t>VURDER_NÆRMERE</w:t>
            </w:r>
          </w:p>
        </w:tc>
        <w:tc>
          <w:tcPr>
            <w:tcW w:type="dxa" w:w="2192"/>
          </w:tcPr>
          <w:p>
            <w:r/>
            <w:r>
              <w:rPr>
                <w:rFonts w:ascii="Times New Roman" w:hAnsi="Times New Roman"/>
                <w:b w:val="0"/>
                <w:sz w:val="22"/>
              </w:rPr>
              <w:t>284</w:t>
            </w:r>
          </w:p>
        </w:tc>
        <w:tc>
          <w:tcPr>
            <w:tcW w:type="dxa" w:w="2192"/>
          </w:tcPr>
          <w:p>
            <w:r/>
            <w:r>
              <w:rPr>
                <w:rFonts w:ascii="Times New Roman" w:hAnsi="Times New Roman"/>
                <w:b w:val="0"/>
                <w:sz w:val="22"/>
              </w:rPr>
              <w:t>40,1 %</w:t>
            </w:r>
          </w:p>
        </w:tc>
        <w:tc>
          <w:tcPr>
            <w:tcW w:type="dxa" w:w="2192"/>
          </w:tcPr>
          <w:p>
            <w:r/>
            <w:r>
              <w:rPr>
                <w:rFonts w:ascii="Times New Roman" w:hAnsi="Times New Roman"/>
                <w:b w:val="0"/>
                <w:sz w:val="22"/>
              </w:rPr>
              <w:t>Krever manuell vurdering</w:t>
            </w:r>
          </w:p>
        </w:tc>
      </w:tr>
      <w:tr>
        <w:tc>
          <w:tcPr>
            <w:tcW w:type="dxa" w:w="2192"/>
          </w:tcPr>
          <w:p>
            <w:r/>
            <w:r>
              <w:rPr>
                <w:rFonts w:ascii="Times New Roman" w:hAnsi="Times New Roman"/>
                <w:b w:val="0"/>
                <w:sz w:val="22"/>
              </w:rPr>
              <w:t>MANGLER_DATA</w:t>
            </w:r>
          </w:p>
        </w:tc>
        <w:tc>
          <w:tcPr>
            <w:tcW w:type="dxa" w:w="2192"/>
          </w:tcPr>
          <w:p>
            <w:r/>
            <w:r>
              <w:rPr>
                <w:rFonts w:ascii="Times New Roman" w:hAnsi="Times New Roman"/>
                <w:b w:val="0"/>
                <w:sz w:val="22"/>
              </w:rPr>
              <w:t>23</w:t>
            </w:r>
          </w:p>
        </w:tc>
        <w:tc>
          <w:tcPr>
            <w:tcW w:type="dxa" w:w="2192"/>
          </w:tcPr>
          <w:p>
            <w:r/>
            <w:r>
              <w:rPr>
                <w:rFonts w:ascii="Times New Roman" w:hAnsi="Times New Roman"/>
                <w:b w:val="0"/>
                <w:sz w:val="22"/>
              </w:rPr>
              <w:t>3,2 %</w:t>
            </w:r>
          </w:p>
        </w:tc>
        <w:tc>
          <w:tcPr>
            <w:tcW w:type="dxa" w:w="2192"/>
          </w:tcPr>
          <w:p>
            <w:r/>
            <w:r>
              <w:rPr>
                <w:rFonts w:ascii="Times New Roman" w:hAnsi="Times New Roman"/>
                <w:b w:val="0"/>
                <w:sz w:val="22"/>
              </w:rPr>
              <w:t>Utilstrekkelig data for klassifisering</w:t>
            </w:r>
          </w:p>
        </w:tc>
      </w:tr>
      <w:tr>
        <w:tc>
          <w:tcPr>
            <w:tcW w:type="dxa" w:w="2192"/>
          </w:tcPr>
          <w:p>
            <w:r/>
            <w:r>
              <w:rPr>
                <w:rFonts w:ascii="Times New Roman" w:hAnsi="Times New Roman"/>
                <w:b/>
                <w:sz w:val="22"/>
              </w:rPr>
              <w:t>Totalt</w:t>
            </w:r>
          </w:p>
        </w:tc>
        <w:tc>
          <w:tcPr>
            <w:tcW w:type="dxa" w:w="2192"/>
          </w:tcPr>
          <w:p>
            <w:r/>
            <w:r>
              <w:rPr>
                <w:rFonts w:ascii="Times New Roman" w:hAnsi="Times New Roman"/>
                <w:b/>
                <w:sz w:val="22"/>
              </w:rPr>
              <w:t>709</w:t>
            </w:r>
          </w:p>
        </w:tc>
        <w:tc>
          <w:tcPr>
            <w:tcW w:type="dxa" w:w="2192"/>
          </w:tcPr>
          <w:p>
            <w:r/>
            <w:r>
              <w:rPr>
                <w:rFonts w:ascii="Times New Roman" w:hAnsi="Times New Roman"/>
                <w:b/>
                <w:sz w:val="22"/>
              </w:rPr>
              <w:t>100 %</w:t>
            </w:r>
          </w:p>
        </w:tc>
        <w:tc>
          <w:tcPr>
            <w:tcW w:type="dxa" w:w="2192"/>
          </w:tcPr>
          <w:p>
            <w:r/>
          </w:p>
        </w:tc>
      </w:tr>
    </w:tbl>
    <w:p>
      <w:pPr>
        <w:spacing w:line="360" w:lineRule="auto"/>
        <w:jc w:val="both"/>
      </w:pPr>
      <w:r>
        <w:rPr>
          <w:rFonts w:ascii="Times New Roman" w:hAnsi="Times New Roman" w:cs="Times New Roman"/>
          <w:sz w:val="24"/>
        </w:rPr>
        <w:t>145 artikler (20,5 %) anbefales overført til HVFS. Denne gruppen består av artikler som tilfredsstiller ett eller flere av de positive overføringsskriteriene: R3 fanget 71 artikler (A/B + X + FOR\_MANGE\_ORDRER), R4 fanget 18 artikler (A/B + X + K\_OVERFØR), og R5 fanget 56 artikler (A/B + Y + K\_OVERFØR). Av de 145 overførte artiklene har 117 status FOR\_MANGE\_ORDRER og inngår dermed i besparelsesberegningen i avsnitt 7.6. De resterende 28 artiklene (alle 18 fra R4 og 10 fra R5) inngår ikke i besparelsesgrunnlaget fordi FOR\_MANGE\_ORDRER-flagget ikke er aktivert, men de anbefales overført fordi kombinasjonen av ABC/XYZ-profil og K\_OVERFØR-klyngetilhørighet oppfyller APL-egnethetskriteriet for sentralisering, jf. kap. 5.5.</w:t>
      </w:r>
    </w:p>
    <w:p>
      <w:pPr>
        <w:spacing w:line="360" w:lineRule="auto"/>
        <w:jc w:val="both"/>
      </w:pPr>
      <w:r>
        <w:rPr>
          <w:rFonts w:ascii="Times New Roman" w:hAnsi="Times New Roman" w:cs="Times New Roman"/>
          <w:sz w:val="24"/>
        </w:rPr>
        <w:t>257 artikler (36,2 %) beholdes lokalt, primært grunnet Z-klassifisering (R1: 143 artikler) eller CY-profil (R2: 114 artikler). Z-override (R1) er den enkeltregelen som fanger flest artikler, noe som bekrefter at uforutsigbart forbruksmønster er den vanligste kontraindikasjonen mot sentralisering i dette sortimentet. 284 artikler (40,1 %) sendes til manuell vurdering – artikler der de kvantitative signalene fra ABC, XYZ, EOQ og K-means ikke er tilstrekkelig entydige til å generere en automatisert anbefaling. For å gjøre gjennomgangen håndterbar anbefales en prioritert tilnærming: (a) start med CX-artiklene, som har stabilt forbruk og lav verdi og i mange tilfeller kan overføres med begrenset risiko; (b) gjennomgå deretter A/B-artikler med K\_OVERFØR-signal som ikke fanges av R3–R5; (c) adresser til slutt artiklene med blandede signaler. 23 artikler (3,2 %) mangler tilstrekkelig data for klassifisering – dette omfatter de 22 artiklene uten XYZ-klassifisering pluss én artikkel som mangler verdidata men har XYZ. Fordelingen er visualisert i Figur 12 i kapittel 6.</w:t>
      </w:r>
    </w:p>
    <w:p>
      <w:pPr>
        <w:pStyle w:val="Overskrift2"/>
      </w:pPr>
      <w:r>
        <w:rPr>
          <w:rFonts w:ascii="Times New Roman" w:hAnsi="Times New Roman"/>
          <w:color w:val="000000"/>
          <w:sz w:val="32"/>
        </w:rPr>
        <w:t>7.6 Besparelse og sensitivitet</w:t>
      </w:r>
    </w:p>
    <w:p>
      <w:pPr>
        <w:spacing w:line="360" w:lineRule="auto"/>
        <w:jc w:val="both"/>
      </w:pPr>
      <w:r>
        <w:rPr>
          <w:rFonts w:ascii="Times New Roman" w:hAnsi="Times New Roman" w:cs="Times New Roman"/>
          <w:sz w:val="24"/>
        </w:rPr>
        <w:t xml:space="preserve">Besparelsesestimatet er beregnet for de 117 artiklene som oppfyller begge kriteriene OVERFØR\_HVFS og FOR\_MANGE\_ORDRER. Formelen er </w:t>
      </w: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r>
        <w:rPr>
          <w:rFonts w:ascii="Times New Roman" w:hAnsi="Times New Roman" w:cs="Times New Roman"/>
          <w:sz w:val="24"/>
        </w:rPr>
        <w:t xml:space="preserve">, der </w:t>
      </w:r>
      <m:oMath>
        <m:r>
          <m:t>g</m:t>
        </m:r>
      </m:oMath>
      <w:r>
        <w:rPr>
          <w:rFonts w:ascii="Times New Roman" w:hAnsi="Times New Roman" w:cs="Times New Roman"/>
          <w:sz w:val="24"/>
        </w:rPr>
        <w:t xml:space="preserve"> er antatt realiseringsgrad for den teoretiske EOQ-besparelsen. Tabell 14 viser resultatene for de tre scenariene.</w:t>
      </w:r>
    </w:p>
    <w:p>
      <w:r>
        <w:rPr>
          <w:rFonts w:ascii="Times New Roman" w:hAnsi="Times New Roman"/>
          <w:b/>
          <w:sz w:val="20"/>
        </w:rPr>
        <w:t>Tabell 14</w:t>
      </w:r>
    </w:p>
    <w:p>
      <w:r>
        <w:rPr>
          <w:rFonts w:ascii="Times New Roman" w:hAnsi="Times New Roman"/>
          <w:i/>
          <w:sz w:val="20"/>
        </w:rPr>
        <w:t>Besparelsesestimater for tre scenarier: 117 artikler (OVERFØR_HVFS ∩ FOR_MANGE_ORDRER), S = 750 NOK</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Scenario</w:t>
            </w:r>
          </w:p>
        </w:tc>
        <w:tc>
          <w:tcPr>
            <w:tcW w:type="dxa" w:w="2923"/>
            <w:tcBorders>
              <w:top w:val="single" w:sz="8" w:space="0" w:color="000000"/>
              <w:bottom w:val="single" w:sz="4" w:space="0" w:color="000000"/>
              <w:left w:val="nil"/>
              <w:right w:val="nil"/>
            </w:tcBorders>
          </w:tcPr>
          <w:p>
            <w:r/>
            <w:r>
              <w:rPr>
                <w:rFonts w:ascii="Times New Roman" w:hAnsi="Times New Roman"/>
                <w:b/>
                <w:sz w:val="22"/>
              </w:rPr>
              <w:t>Realiseringsgrad g</w:t>
            </w:r>
          </w:p>
        </w:tc>
        <w:tc>
          <w:tcPr>
            <w:tcW w:type="dxa" w:w="2923"/>
            <w:tcBorders>
              <w:top w:val="single" w:sz="8" w:space="0" w:color="000000"/>
              <w:bottom w:val="single" w:sz="4" w:space="0" w:color="000000"/>
              <w:left w:val="nil"/>
              <w:right w:val="nil"/>
            </w:tcBorders>
          </w:tcPr>
          <w:p>
            <w:r/>
            <w:r>
              <w:rPr>
                <w:rFonts w:ascii="Times New Roman" w:hAnsi="Times New Roman"/>
                <w:b/>
                <w:sz w:val="22"/>
              </w:rPr>
              <w:t>Besparelse B_HVFS (kr/år)</w:t>
            </w:r>
          </w:p>
        </w:tc>
      </w:tr>
      <w:tr>
        <w:tc>
          <w:tcPr>
            <w:tcW w:type="dxa" w:w="2923"/>
          </w:tcPr>
          <w:p>
            <w:r/>
            <w:r>
              <w:rPr>
                <w:rFonts w:ascii="Times New Roman" w:hAnsi="Times New Roman"/>
                <w:b w:val="0"/>
                <w:sz w:val="22"/>
              </w:rPr>
              <w:t>Worst case</w:t>
            </w:r>
          </w:p>
        </w:tc>
        <w:tc>
          <w:tcPr>
            <w:tcW w:type="dxa" w:w="2923"/>
          </w:tcPr>
          <w:p>
            <w:r/>
            <w:r>
              <w:rPr>
                <w:rFonts w:ascii="Times New Roman" w:hAnsi="Times New Roman"/>
                <w:b w:val="0"/>
                <w:sz w:val="22"/>
              </w:rPr>
              <w:t>50 %</w:t>
            </w:r>
          </w:p>
        </w:tc>
        <w:tc>
          <w:tcPr>
            <w:tcW w:type="dxa" w:w="2923"/>
          </w:tcPr>
          <w:p>
            <w:r/>
            <w:r>
              <w:rPr>
                <w:rFonts w:ascii="Times New Roman" w:hAnsi="Times New Roman"/>
                <w:b w:val="0"/>
                <w:sz w:val="22"/>
              </w:rPr>
              <w:t>301 010</w:t>
            </w:r>
          </w:p>
        </w:tc>
      </w:tr>
      <w:tr>
        <w:tc>
          <w:tcPr>
            <w:tcW w:type="dxa" w:w="2923"/>
          </w:tcPr>
          <w:p>
            <w:r/>
            <w:r>
              <w:rPr>
                <w:rFonts w:ascii="Times New Roman" w:hAnsi="Times New Roman"/>
                <w:b/>
                <w:sz w:val="22"/>
              </w:rPr>
              <w:t>Base case</w:t>
            </w:r>
          </w:p>
        </w:tc>
        <w:tc>
          <w:tcPr>
            <w:tcW w:type="dxa" w:w="2923"/>
          </w:tcPr>
          <w:p>
            <w:r/>
            <w:r>
              <w:rPr>
                <w:rFonts w:ascii="Times New Roman" w:hAnsi="Times New Roman"/>
                <w:b/>
                <w:sz w:val="22"/>
              </w:rPr>
              <w:t>75 %</w:t>
            </w:r>
          </w:p>
        </w:tc>
        <w:tc>
          <w:tcPr>
            <w:tcW w:type="dxa" w:w="2923"/>
          </w:tcPr>
          <w:p>
            <w:r/>
            <w:r>
              <w:rPr>
                <w:rFonts w:ascii="Times New Roman" w:hAnsi="Times New Roman"/>
                <w:b/>
                <w:sz w:val="22"/>
              </w:rPr>
              <w:t>451 515</w:t>
            </w:r>
          </w:p>
        </w:tc>
      </w:tr>
      <w:tr>
        <w:tc>
          <w:tcPr>
            <w:tcW w:type="dxa" w:w="2923"/>
          </w:tcPr>
          <w:p>
            <w:r/>
            <w:r>
              <w:rPr>
                <w:rFonts w:ascii="Times New Roman" w:hAnsi="Times New Roman"/>
                <w:b w:val="0"/>
                <w:sz w:val="22"/>
              </w:rPr>
              <w:t>Best case</w:t>
            </w:r>
          </w:p>
        </w:tc>
        <w:tc>
          <w:tcPr>
            <w:tcW w:type="dxa" w:w="2923"/>
          </w:tcPr>
          <w:p>
            <w:r/>
            <w:r>
              <w:rPr>
                <w:rFonts w:ascii="Times New Roman" w:hAnsi="Times New Roman"/>
                <w:b w:val="0"/>
                <w:sz w:val="22"/>
              </w:rPr>
              <w:t>100 %</w:t>
            </w:r>
          </w:p>
        </w:tc>
        <w:tc>
          <w:tcPr>
            <w:tcW w:type="dxa" w:w="2923"/>
          </w:tcPr>
          <w:p>
            <w:r/>
            <w:r>
              <w:rPr>
                <w:rFonts w:ascii="Times New Roman" w:hAnsi="Times New Roman"/>
                <w:b w:val="0"/>
                <w:sz w:val="22"/>
              </w:rPr>
              <w:t>602 020</w:t>
            </w:r>
          </w:p>
        </w:tc>
      </w:tr>
    </w:tbl>
    <w:p>
      <w:pPr>
        <w:spacing w:line="360" w:lineRule="auto"/>
        <w:jc w:val="both"/>
      </w:pPr>
      <w:r>
        <w:rPr>
          <w:rFonts w:ascii="Times New Roman" w:hAnsi="Times New Roman" w:cs="Times New Roman"/>
          <w:sz w:val="24"/>
        </w:rPr>
        <w:t>Base case-besparelsen er kr 451 515 per år (</w:t>
      </w:r>
      <m:oMath>
        <m:r>
          <m:t>g=75</m:t>
        </m:r>
      </m:oMath>
      <w:r>
        <w:rPr>
          <w:rFonts w:ascii="Times New Roman" w:hAnsi="Times New Roman" w:cs="Times New Roman"/>
          <w:sz w:val="24"/>
        </w:rPr>
        <w:t xml:space="preserve">) av et samlet teoretisk </w:t>
      </w:r>
      <m:oMath>
        <m:r>
          <m:t>∑ΔT</m:t>
        </m:r>
        <m:sSub>
          <m:e>
            <m:r>
              <m:t>C</m:t>
            </m:r>
          </m:e>
          <m:sub>
            <m:r>
              <m:t>i</m:t>
            </m:r>
          </m:sub>
        </m:sSub>
      </m:oMath>
      <w:r>
        <w:rPr>
          <w:rFonts w:ascii="Times New Roman" w:hAnsi="Times New Roman" w:cs="Times New Roman"/>
          <w:sz w:val="24"/>
        </w:rPr>
        <w:t xml:space="preserve"> på kr 602 020. Gevinstrealiseringsgraden </w:t>
      </w:r>
      <m:oMath>
        <m:r>
          <m:t>g</m:t>
        </m:r>
      </m:oMath>
      <w:r>
        <w:rPr>
          <w:rFonts w:ascii="Times New Roman" w:hAnsi="Times New Roman" w:cs="Times New Roman"/>
          <w:sz w:val="24"/>
        </w:rPr>
        <w:t xml:space="preserve"> reflekterer at implementeringsfriksjon og SAP-parameterjusteringer gjør det urealistisk å oppnå 100 % av det teoretiske potensialet.</w:t>
      </w:r>
    </w:p>
    <w:p>
      <w:pPr>
        <w:spacing w:line="360" w:lineRule="auto"/>
        <w:jc w:val="both"/>
      </w:pPr>
      <w:r>
        <w:rPr>
          <w:rFonts w:ascii="Times New Roman" w:hAnsi="Times New Roman" w:cs="Times New Roman"/>
          <w:sz w:val="24"/>
        </w:rPr>
        <w:t xml:space="preserve">Sensitivitetsanalysen over 27 scenarier – der S varieres over {500, 750, 1 000} NOK, h over {15 %, 20 %, 25 %} og terskelparameteren </w:t>
      </w:r>
      <m:oMath>
        <m:sSub>
          <m:e>
            <m:r>
              <m:t>τ</m:t>
            </m:r>
          </m:e>
          <m:sub>
            <m:r>
              <m:t>f</m:t>
            </m:r>
          </m:sub>
        </m:sSub>
      </m:oMath>
      <w:r>
        <w:rPr>
          <w:rFonts w:ascii="Times New Roman" w:hAnsi="Times New Roman" w:cs="Times New Roman"/>
          <w:sz w:val="24"/>
        </w:rPr>
        <w:t xml:space="preserve"> over {1,25, 1,50, 2,00} – viser at det samlede </w:t>
      </w:r>
      <m:oMath>
        <m:r>
          <m:t>ΔTC</m:t>
        </m:r>
      </m:oMath>
      <w:r>
        <w:rPr>
          <w:rFonts w:ascii="Times New Roman" w:hAnsi="Times New Roman" w:cs="Times New Roman"/>
          <w:sz w:val="24"/>
        </w:rPr>
        <w:t xml:space="preserve"> for hele populasjonen (487 artikler) varierer mellom kr 1 602 464 og kr 3 068 757 per år avhengig av parametervalg. Besparelsesestimatet </w:t>
      </w:r>
      <m:oMath>
        <m:sSub>
          <m:e>
            <m:r>
              <m:t>B</m:t>
            </m:r>
          </m:e>
          <m:sub>
            <m:r>
              <m:rPr>
                <m:nor/>
              </m:rPr>
              <m:t>HVFS</m:t>
            </m:r>
          </m:sub>
        </m:sSub>
      </m:oMath>
      <w:r>
        <w:rPr>
          <w:rFonts w:ascii="Times New Roman" w:hAnsi="Times New Roman" w:cs="Times New Roman"/>
          <w:sz w:val="24"/>
        </w:rPr>
        <w:t xml:space="preserve"> (</w:t>
      </w:r>
      <m:oMath>
        <m:r>
          <m:t>g=75</m:t>
        </m:r>
      </m:oMath>
      <w:r>
        <w:rPr>
          <w:rFonts w:ascii="Times New Roman" w:hAnsi="Times New Roman" w:cs="Times New Roman"/>
          <w:sz w:val="24"/>
        </w:rPr>
        <w:t xml:space="preserve">) varierer mellom kr 176 374 og kr 763 903 per år over de 27 scenariene, der kandidatsettet (OVERFØR\_HVFS ∩ FOR\_MANGE\_ORDRER) reberegnes for hvert scenario. Den dominerende usikkerhetsfaktoren er ordrekostnad S: en økning fra 500 til 1 000 NOK nær dobler det beregnede kostnadsavviket, da ordrekostnaden inngår lineært i totalkostnadsfunksjonen. Holdesats h har en moderat effekt, mens terskelparameteren </w:t>
      </w:r>
      <m:oMath>
        <m:sSub>
          <m:e>
            <m:r>
              <m:t>τ</m:t>
            </m:r>
          </m:e>
          <m:sub>
            <m:r>
              <m:t>f</m:t>
            </m:r>
          </m:sub>
        </m:sSub>
      </m:oMath>
      <w:r>
        <w:rPr>
          <w:rFonts w:ascii="Times New Roman" w:hAnsi="Times New Roman" w:cs="Times New Roman"/>
          <w:sz w:val="24"/>
        </w:rPr>
        <w:t xml:space="preserve"> primært påvirker antallet artikler som klassifiseres som FOR\_MANGE\_ORDRER – en lavere terskel (1,25) gir flere artikler i overføringsgrunnlaget, men reduserer gjennomsnittlig </w:t>
      </w:r>
      <m:oMath>
        <m:r>
          <m:t>ΔTC</m:t>
        </m:r>
      </m:oMath>
      <w:r>
        <w:rPr>
          <w:rFonts w:ascii="Times New Roman" w:hAnsi="Times New Roman" w:cs="Times New Roman"/>
          <w:sz w:val="24"/>
        </w:rPr>
        <w:t xml:space="preserve"> per artikkel. Resultatene er robuste i den forstand at besparelsesestimatet forblir positivt og vesentlig over alle 27 scenarier.</w:t>
      </w:r>
    </w:p>
    <w:p>
      <w:pPr>
        <w:pStyle w:val="Overskrift1"/>
        <w:pageBreakBefore w:val="true"/>
      </w:pPr>
      <w:r>
        <w:rPr>
          <w:rFonts w:ascii="Times New Roman" w:hAnsi="Times New Roman"/>
          <w:color w:val="000000"/>
          <w:sz w:val="36"/>
        </w:rPr>
        <w:t>Kapittel 8 – Diskusjon</w:t>
      </w:r>
    </w:p>
    <w:p>
      <w:pPr>
        <w:pStyle w:val="Overskrift2"/>
      </w:pPr>
      <w:r>
        <w:rPr>
          <w:rFonts w:ascii="Times New Roman" w:hAnsi="Times New Roman"/>
          <w:color w:val="000000"/>
          <w:sz w:val="32"/>
        </w:rPr>
        <w:t>8.1 Funn opp mot litteraturen</w:t>
      </w:r>
    </w:p>
    <w:p>
      <w:pPr>
        <w:spacing w:line="360" w:lineRule="auto"/>
        <w:jc w:val="both"/>
      </w:pPr>
      <w:r>
        <w:rPr>
          <w:rFonts w:ascii="Times New Roman" w:hAnsi="Times New Roman" w:cs="Times New Roman"/>
          <w:sz w:val="24"/>
        </w:rPr>
        <w:t>A-kategoriens 182 artikler (25,7 % av populasjonen, ~80 % av verdien) samsvarer med Pareto-prinsippet. At A-andelen er noe høyere enn den kanoniske 20 %, er konsistent med Bijvank og Vis (2012), som påpeker at sykehuslagre gjerne har en mer konsentrert verdidistribusjon enn industrilager.</w:t>
      </w:r>
    </w:p>
    <w:p>
      <w:pPr>
        <w:spacing w:line="360" w:lineRule="auto"/>
        <w:jc w:val="both"/>
      </w:pPr>
      <w:r>
        <w:rPr>
          <w:rFonts w:ascii="Times New Roman" w:hAnsi="Times New Roman" w:cs="Times New Roman"/>
          <w:sz w:val="24"/>
        </w:rPr>
        <w:t>Det lave samsvaret (33 %) mellom ZZXYZ og beregnet CV er forventet: van Kampen et al. (2012) understreker at systemregistrerte klassifiseringer raskt mister aktualitet, og Nowotyńska (2013) finner tilsvarende divergens. Funnet gir empirisk støtte til at CV-beregning fra transaksjonsdata er nødvendig for pålitelig klassifisering.</w:t>
      </w:r>
    </w:p>
    <w:p>
      <w:pPr>
        <w:spacing w:line="360" w:lineRule="auto"/>
        <w:jc w:val="both"/>
      </w:pPr>
      <w:r>
        <w:rPr>
          <w:rFonts w:ascii="Times New Roman" w:hAnsi="Times New Roman" w:cs="Times New Roman"/>
          <w:sz w:val="24"/>
        </w:rPr>
        <w:t>Silhouette-scoren (0,383 trening, 0,368 test) er over minstekravet 0,3 for eksplorativ analyse (Ketkar &amp; Vaidya, 2014), men moderat – noe som er typisk for lagerklassifiseringsproblemer der artikler ikke naturlig danner skarpt separerte grupper (Srinivasan &amp; Moon, 1999). Differansen på 0,015 indikerer akseptabel generalisering.</w:t>
      </w:r>
    </w:p>
    <w:p>
      <w:pPr>
        <w:spacing w:line="360" w:lineRule="auto"/>
        <w:jc w:val="both"/>
      </w:pPr>
      <w:r>
        <w:rPr>
          <w:rFonts w:ascii="Times New Roman" w:hAnsi="Times New Roman" w:cs="Times New Roman"/>
          <w:sz w:val="24"/>
        </w:rPr>
        <w:t>Base case-besparelsen (kr 451 515/år) er i tråd med Moons et al. (2019), som rapporterer moderate, men operasjonelt vesentlige gevinster ved optimalisert bestillingspraksis i europeiske sykehus. At 73,1 % av EOQ-analyserte artikler klassifiseres som FOR\_MANGE\_ORDRER er konsistent med Pujawan (2004), som viser at suboptimale partistørrelser er utbredt og kan forplante seg som ordrevariabilitet i forsyningskjeden. Suryaputri et al. (2022) bekrefter at kryssmatrisen ABC/XYZ gir merverdi utover enkeltkriterieanalyse for lagersegmentering, noe som understøtter valget om å kombinere klassifiseringsdimensjonene.</w:t>
      </w:r>
    </w:p>
    <w:p>
      <w:pPr>
        <w:spacing w:line="360" w:lineRule="auto"/>
        <w:jc w:val="both"/>
      </w:pPr>
      <w:r>
        <w:rPr>
          <w:rFonts w:ascii="Times New Roman" w:hAnsi="Times New Roman" w:cs="Times New Roman"/>
          <w:sz w:val="24"/>
        </w:rPr>
        <w:t>Tabell 15 oppsummerer de sentrale funnene fra denne studien sett opp mot forventninger fra litteraturen.</w:t>
      </w:r>
    </w:p>
    <w:p>
      <w:r>
        <w:rPr>
          <w:rFonts w:ascii="Times New Roman" w:hAnsi="Times New Roman"/>
          <w:b/>
          <w:sz w:val="20"/>
        </w:rPr>
        <w:t>Tabell 15</w:t>
      </w:r>
    </w:p>
    <w:p>
      <w:r>
        <w:rPr>
          <w:rFonts w:ascii="Times New Roman" w:hAnsi="Times New Roman"/>
          <w:i/>
          <w:sz w:val="20"/>
        </w:rPr>
        <w:t>Sammenstilling av egne resultater mot funn i eksisterende litteratur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Funn</w:t>
            </w:r>
          </w:p>
        </w:tc>
        <w:tc>
          <w:tcPr>
            <w:tcW w:type="dxa" w:w="1754"/>
            <w:tcBorders>
              <w:top w:val="single" w:sz="8" w:space="0" w:color="000000"/>
              <w:bottom w:val="single" w:sz="4" w:space="0" w:color="000000"/>
              <w:left w:val="nil"/>
              <w:right w:val="nil"/>
            </w:tcBorders>
          </w:tcPr>
          <w:p>
            <w:r/>
            <w:r>
              <w:rPr>
                <w:rFonts w:ascii="Times New Roman" w:hAnsi="Times New Roman"/>
                <w:b/>
                <w:sz w:val="22"/>
              </w:rPr>
              <w:t>Eget resultat</w:t>
            </w:r>
          </w:p>
        </w:tc>
        <w:tc>
          <w:tcPr>
            <w:tcW w:type="dxa" w:w="1754"/>
            <w:tcBorders>
              <w:top w:val="single" w:sz="8" w:space="0" w:color="000000"/>
              <w:bottom w:val="single" w:sz="4" w:space="0" w:color="000000"/>
              <w:left w:val="nil"/>
              <w:right w:val="nil"/>
            </w:tcBorders>
          </w:tcPr>
          <w:p>
            <w:r/>
            <w:r>
              <w:rPr>
                <w:rFonts w:ascii="Times New Roman" w:hAnsi="Times New Roman"/>
                <w:b/>
                <w:sz w:val="22"/>
              </w:rPr>
              <w:t>Litteraturen</w:t>
            </w:r>
          </w:p>
        </w:tc>
        <w:tc>
          <w:tcPr>
            <w:tcW w:type="dxa" w:w="1754"/>
            <w:tcBorders>
              <w:top w:val="single" w:sz="8" w:space="0" w:color="000000"/>
              <w:bottom w:val="single" w:sz="4" w:space="0" w:color="000000"/>
              <w:left w:val="nil"/>
              <w:right w:val="nil"/>
            </w:tcBorders>
          </w:tcPr>
          <w:p>
            <w:r/>
            <w:r>
              <w:rPr>
                <w:rFonts w:ascii="Times New Roman" w:hAnsi="Times New Roman"/>
                <w:b/>
                <w:sz w:val="22"/>
              </w:rPr>
              <w:t>Samsvar</w:t>
            </w:r>
          </w:p>
        </w:tc>
        <w:tc>
          <w:tcPr>
            <w:tcW w:type="dxa" w:w="1754"/>
            <w:tcBorders>
              <w:top w:val="single" w:sz="8" w:space="0" w:color="000000"/>
              <w:bottom w:val="single" w:sz="4" w:space="0" w:color="000000"/>
              <w:left w:val="nil"/>
              <w:right w:val="nil"/>
            </w:tcBorders>
          </w:tcPr>
          <w:p>
            <w:r/>
            <w:r>
              <w:rPr>
                <w:rFonts w:ascii="Times New Roman" w:hAnsi="Times New Roman"/>
                <w:b/>
                <w:sz w:val="22"/>
              </w:rPr>
              <w:t>Referanse</w:t>
            </w:r>
          </w:p>
        </w:tc>
      </w:tr>
      <w:tr>
        <w:tc>
          <w:tcPr>
            <w:tcW w:type="dxa" w:w="1754"/>
          </w:tcPr>
          <w:p>
            <w:r/>
            <w:r>
              <w:rPr>
                <w:rFonts w:ascii="Times New Roman" w:hAnsi="Times New Roman"/>
                <w:b w:val="0"/>
                <w:sz w:val="22"/>
              </w:rPr>
              <w:t>A-klasse andel</w:t>
            </w:r>
          </w:p>
        </w:tc>
        <w:tc>
          <w:tcPr>
            <w:tcW w:type="dxa" w:w="1754"/>
          </w:tcPr>
          <w:p>
            <w:r/>
            <w:r>
              <w:rPr>
                <w:rFonts w:ascii="Times New Roman" w:hAnsi="Times New Roman"/>
                <w:b w:val="0"/>
                <w:sz w:val="22"/>
              </w:rPr>
              <w:t>25,7 % av artikler = 80 % av verdi</w:t>
            </w:r>
          </w:p>
        </w:tc>
        <w:tc>
          <w:tcPr>
            <w:tcW w:type="dxa" w:w="1754"/>
          </w:tcPr>
          <w:p>
            <w:r/>
            <w:r>
              <w:rPr>
                <w:rFonts w:ascii="Times New Roman" w:hAnsi="Times New Roman"/>
                <w:b w:val="0"/>
                <w:sz w:val="22"/>
              </w:rPr>
              <w:t>Typisk 20–25 % etter Pareto</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Gupta et al. (2007)</w:t>
            </w:r>
          </w:p>
        </w:tc>
      </w:tr>
      <w:tr>
        <w:tc>
          <w:tcPr>
            <w:tcW w:type="dxa" w:w="1754"/>
          </w:tcPr>
          <w:p>
            <w:r/>
            <w:r>
              <w:rPr>
                <w:rFonts w:ascii="Times New Roman" w:hAnsi="Times New Roman"/>
                <w:b w:val="0"/>
                <w:sz w:val="22"/>
              </w:rPr>
              <w:t>XYZ-samsvar med SAP ZZXYZ</w:t>
            </w:r>
          </w:p>
        </w:tc>
        <w:tc>
          <w:tcPr>
            <w:tcW w:type="dxa" w:w="1754"/>
          </w:tcPr>
          <w:p>
            <w:r/>
            <w:r>
              <w:rPr>
                <w:rFonts w:ascii="Times New Roman" w:hAnsi="Times New Roman"/>
                <w:b w:val="0"/>
                <w:sz w:val="22"/>
              </w:rPr>
              <w:t>33 % (125/375)</w:t>
            </w:r>
          </w:p>
        </w:tc>
        <w:tc>
          <w:tcPr>
            <w:tcW w:type="dxa" w:w="1754"/>
          </w:tcPr>
          <w:p>
            <w:r/>
            <w:r>
              <w:rPr>
                <w:rFonts w:ascii="Times New Roman" w:hAnsi="Times New Roman"/>
                <w:b w:val="0"/>
                <w:sz w:val="22"/>
              </w:rPr>
              <w:t>Statisk klassifisering divergerer over tid</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van Kampen et al. (2012)</w:t>
            </w:r>
          </w:p>
        </w:tc>
      </w:tr>
      <w:tr>
        <w:tc>
          <w:tcPr>
            <w:tcW w:type="dxa" w:w="1754"/>
          </w:tcPr>
          <w:p>
            <w:r/>
            <w:r>
              <w:rPr>
                <w:rFonts w:ascii="Times New Roman" w:hAnsi="Times New Roman"/>
                <w:b w:val="0"/>
                <w:sz w:val="22"/>
              </w:rPr>
              <w:t>X-artikler andel</w:t>
            </w:r>
          </w:p>
        </w:tc>
        <w:tc>
          <w:tcPr>
            <w:tcW w:type="dxa" w:w="1754"/>
          </w:tcPr>
          <w:p>
            <w:r/>
            <w:r>
              <w:rPr>
                <w:rFonts w:ascii="Times New Roman" w:hAnsi="Times New Roman"/>
                <w:b w:val="0"/>
                <w:sz w:val="22"/>
              </w:rPr>
              <w:t>50,9 % (350 av 687)</w:t>
            </w:r>
          </w:p>
        </w:tc>
        <w:tc>
          <w:tcPr>
            <w:tcW w:type="dxa" w:w="1754"/>
          </w:tcPr>
          <w:p>
            <w:r/>
            <w:r>
              <w:rPr>
                <w:rFonts w:ascii="Times New Roman" w:hAnsi="Times New Roman"/>
                <w:b w:val="0"/>
                <w:sz w:val="22"/>
              </w:rPr>
              <w:t>Stabile artikler utgjør gjerne flertallet</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Nowotyńska (2013)</w:t>
            </w:r>
          </w:p>
        </w:tc>
      </w:tr>
      <w:tr>
        <w:tc>
          <w:tcPr>
            <w:tcW w:type="dxa" w:w="1754"/>
          </w:tcPr>
          <w:p>
            <w:r/>
            <w:r>
              <w:rPr>
                <w:rFonts w:ascii="Times New Roman" w:hAnsi="Times New Roman"/>
                <w:b w:val="0"/>
                <w:sz w:val="22"/>
              </w:rPr>
              <w:t>K-means silhouette</w:t>
            </w:r>
          </w:p>
        </w:tc>
        <w:tc>
          <w:tcPr>
            <w:tcW w:type="dxa" w:w="1754"/>
          </w:tcPr>
          <w:p>
            <w:r/>
            <w:r>
              <w:rPr>
                <w:rFonts w:ascii="Times New Roman" w:hAnsi="Times New Roman"/>
                <w:b w:val="0"/>
                <w:sz w:val="22"/>
              </w:rPr>
              <w:t>0,383 (tren) / 0,368 (test)</w:t>
            </w:r>
          </w:p>
        </w:tc>
        <w:tc>
          <w:tcPr>
            <w:tcW w:type="dxa" w:w="1754"/>
          </w:tcPr>
          <w:p>
            <w:r/>
            <w:r>
              <w:rPr>
                <w:rFonts w:ascii="Times New Roman" w:hAnsi="Times New Roman"/>
                <w:b w:val="0"/>
                <w:sz w:val="22"/>
              </w:rPr>
              <w:t>&gt; 0,3 akseptabelt for eksplorativ analyse</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Ketkar &amp; Vaidya (2014)</w:t>
            </w:r>
          </w:p>
        </w:tc>
      </w:tr>
      <w:tr>
        <w:tc>
          <w:tcPr>
            <w:tcW w:type="dxa" w:w="1754"/>
          </w:tcPr>
          <w:p>
            <w:r/>
            <w:r>
              <w:rPr>
                <w:rFonts w:ascii="Times New Roman" w:hAnsi="Times New Roman"/>
                <w:b w:val="0"/>
                <w:sz w:val="22"/>
              </w:rPr>
              <w:t>Besparelse (base case)</w:t>
            </w:r>
          </w:p>
        </w:tc>
        <w:tc>
          <w:tcPr>
            <w:tcW w:type="dxa" w:w="1754"/>
          </w:tcPr>
          <w:p>
            <w:r/>
            <w:r>
              <w:rPr>
                <w:rFonts w:ascii="Times New Roman" w:hAnsi="Times New Roman"/>
                <w:b w:val="0"/>
                <w:sz w:val="22"/>
              </w:rPr>
              <w:t>kr 451 515/år (g = 75 %)</w:t>
            </w:r>
          </w:p>
        </w:tc>
        <w:tc>
          <w:tcPr>
            <w:tcW w:type="dxa" w:w="1754"/>
          </w:tcPr>
          <w:p>
            <w:r/>
            <w:r>
              <w:rPr>
                <w:rFonts w:ascii="Times New Roman" w:hAnsi="Times New Roman"/>
                <w:b w:val="0"/>
                <w:sz w:val="22"/>
              </w:rPr>
              <w:t>Moderate gevinster ved ordreoptimalisering</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Moons et al. (2019)</w:t>
            </w:r>
          </w:p>
        </w:tc>
      </w:tr>
      <w:tr>
        <w:tc>
          <w:tcPr>
            <w:tcW w:type="dxa" w:w="1754"/>
          </w:tcPr>
          <w:p>
            <w:r/>
            <w:r>
              <w:rPr>
                <w:rFonts w:ascii="Times New Roman" w:hAnsi="Times New Roman"/>
                <w:b w:val="0"/>
                <w:sz w:val="22"/>
              </w:rPr>
              <w:t>FOR_MANGE_ORDRER</w:t>
            </w:r>
          </w:p>
        </w:tc>
        <w:tc>
          <w:tcPr>
            <w:tcW w:type="dxa" w:w="1754"/>
          </w:tcPr>
          <w:p>
            <w:r/>
            <w:r>
              <w:rPr>
                <w:rFonts w:ascii="Times New Roman" w:hAnsi="Times New Roman"/>
                <w:b w:val="0"/>
                <w:sz w:val="22"/>
              </w:rPr>
              <w:t>73,1 % (356/487)</w:t>
            </w:r>
          </w:p>
        </w:tc>
        <w:tc>
          <w:tcPr>
            <w:tcW w:type="dxa" w:w="1754"/>
          </w:tcPr>
          <w:p>
            <w:r/>
            <w:r>
              <w:rPr>
                <w:rFonts w:ascii="Times New Roman" w:hAnsi="Times New Roman"/>
                <w:b w:val="0"/>
                <w:sz w:val="22"/>
              </w:rPr>
              <w:t>Suboptimal bestilling utbredt i sykehus</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Volland et al. (2017)</w:t>
            </w:r>
          </w:p>
        </w:tc>
      </w:tr>
      <w:tr>
        <w:tc>
          <w:tcPr>
            <w:tcW w:type="dxa" w:w="1754"/>
          </w:tcPr>
          <w:p>
            <w:r/>
            <w:r>
              <w:rPr>
                <w:rFonts w:ascii="Times New Roman" w:hAnsi="Times New Roman"/>
                <w:b w:val="0"/>
                <w:sz w:val="22"/>
              </w:rPr>
              <w:t>ABC/XYZ-matrise</w:t>
            </w:r>
          </w:p>
        </w:tc>
        <w:tc>
          <w:tcPr>
            <w:tcW w:type="dxa" w:w="1754"/>
          </w:tcPr>
          <w:p>
            <w:r/>
            <w:r>
              <w:rPr>
                <w:rFonts w:ascii="Times New Roman" w:hAnsi="Times New Roman"/>
                <w:b w:val="0"/>
                <w:sz w:val="22"/>
              </w:rPr>
              <w:t>9-felts kryssklassifisering</w:t>
            </w:r>
          </w:p>
        </w:tc>
        <w:tc>
          <w:tcPr>
            <w:tcW w:type="dxa" w:w="1754"/>
          </w:tcPr>
          <w:p>
            <w:r/>
            <w:r>
              <w:rPr>
                <w:rFonts w:ascii="Times New Roman" w:hAnsi="Times New Roman"/>
                <w:b w:val="0"/>
                <w:sz w:val="22"/>
              </w:rPr>
              <w:t>Gir økt segmenteringsverdi</w:t>
            </w:r>
          </w:p>
        </w:tc>
        <w:tc>
          <w:tcPr>
            <w:tcW w:type="dxa" w:w="1754"/>
          </w:tcPr>
          <w:p>
            <w:r/>
            <w:r>
              <w:rPr>
                <w:rFonts w:ascii="Times New Roman" w:hAnsi="Times New Roman"/>
                <w:b w:val="0"/>
                <w:sz w:val="22"/>
              </w:rPr>
              <w:t>Ja</w:t>
            </w:r>
          </w:p>
        </w:tc>
        <w:tc>
          <w:tcPr>
            <w:tcW w:type="dxa" w:w="1754"/>
          </w:tcPr>
          <w:p>
            <w:r/>
            <w:r>
              <w:rPr>
                <w:rFonts w:ascii="Times New Roman" w:hAnsi="Times New Roman"/>
                <w:b w:val="0"/>
                <w:sz w:val="22"/>
              </w:rPr>
              <w:t>Suryaputri et al. (2022)</w:t>
            </w:r>
          </w:p>
        </w:tc>
      </w:tr>
      <w:tr>
        <w:tc>
          <w:tcPr>
            <w:tcW w:type="dxa" w:w="1754"/>
          </w:tcPr>
          <w:p>
            <w:r/>
            <w:r>
              <w:rPr>
                <w:rFonts w:ascii="Times New Roman" w:hAnsi="Times New Roman"/>
                <w:b w:val="0"/>
                <w:sz w:val="22"/>
              </w:rPr>
              <w:t>K-means merverdi</w:t>
            </w:r>
          </w:p>
        </w:tc>
        <w:tc>
          <w:tcPr>
            <w:tcW w:type="dxa" w:w="1754"/>
          </w:tcPr>
          <w:p>
            <w:r/>
            <w:r>
              <w:rPr>
                <w:rFonts w:ascii="Times New Roman" w:hAnsi="Times New Roman"/>
                <w:b w:val="0"/>
                <w:sz w:val="22"/>
              </w:rPr>
              <w:t>Begrenset – bekrefter ABC/XYZ</w:t>
            </w:r>
          </w:p>
        </w:tc>
        <w:tc>
          <w:tcPr>
            <w:tcW w:type="dxa" w:w="1754"/>
          </w:tcPr>
          <w:p>
            <w:r/>
            <w:r>
              <w:rPr>
                <w:rFonts w:ascii="Times New Roman" w:hAnsi="Times New Roman"/>
                <w:b w:val="0"/>
                <w:sz w:val="22"/>
              </w:rPr>
              <w:t>Klyngeanalyse komplementær, men ofte bekreftende</w:t>
            </w:r>
          </w:p>
        </w:tc>
        <w:tc>
          <w:tcPr>
            <w:tcW w:type="dxa" w:w="1754"/>
          </w:tcPr>
          <w:p>
            <w:r/>
            <w:r>
              <w:rPr>
                <w:rFonts w:ascii="Times New Roman" w:hAnsi="Times New Roman"/>
                <w:b w:val="0"/>
                <w:sz w:val="22"/>
              </w:rPr>
              <w:t>Delvis</w:t>
            </w:r>
          </w:p>
        </w:tc>
        <w:tc>
          <w:tcPr>
            <w:tcW w:type="dxa" w:w="1754"/>
          </w:tcPr>
          <w:p>
            <w:r/>
            <w:r>
              <w:rPr>
                <w:rFonts w:ascii="Times New Roman" w:hAnsi="Times New Roman"/>
                <w:b w:val="0"/>
                <w:sz w:val="22"/>
              </w:rPr>
              <w:t>Srinivasan &amp; Moon (1999)</w:t>
            </w:r>
          </w:p>
        </w:tc>
      </w:tr>
    </w:tbl>
    <w:p>
      <w:pPr>
        <w:pStyle w:val="Overskrift2"/>
      </w:pPr>
      <w:r>
        <w:rPr>
          <w:rFonts w:ascii="Times New Roman" w:hAnsi="Times New Roman"/>
          <w:color w:val="000000"/>
          <w:sz w:val="32"/>
        </w:rPr>
        <w:t>8.2 Metodekritikk</w:t>
      </w:r>
    </w:p>
    <w:p>
      <w:pPr>
        <w:spacing w:line="360" w:lineRule="auto"/>
        <w:jc w:val="both"/>
      </w:pPr>
      <w:r>
        <w:rPr>
          <w:rFonts w:ascii="Times New Roman" w:hAnsi="Times New Roman" w:cs="Times New Roman"/>
          <w:sz w:val="24"/>
        </w:rPr>
        <w:t>SAP S/4HANA-data fra SE16H er operasjonelle systemdata. Transaksjonsdataene (MSEG, EKBE) registreres automatisk ved hvert varemottak, lageruttak og bestilling, og er ikke gjenstand for hukommelsesfeil eller sosial ønskverdighet, noe som gir dem høy reliabilitet sammenlignet med spørreundersøkelsesdata (Saha &amp; Ray, 2019). Stamdata (MARA, MBEW) er imidlertid manuelt vedlikeholdt og kan inneholde feil i prisregistrering eller klassifisering. For de 204 artiklene der ABC-verdien er beregnet fra STPRS (D-03), vil eventuelle prisavvik direkte påvirke klassifiseringen. Analysescriptet er deterministisk og reproduserbart: gitt samme kildedata og samme script vil analysen gi identiske resultater. Dette er en metodisk styrke som er viktig for en studie der anbefalingene potensielt vil danne grunnlag for strategiske beslutninger. En potensiell svakhet ved datagrunnlaget er at MSEG-data kun fanger forbruk registrert i SAP; forbruk som skjer utenom systemet – for eksempel ved nøduttak som ikke dokumenteres – vil ikke fremgå av analysen.</w:t>
      </w:r>
    </w:p>
    <w:p>
      <w:pPr>
        <w:spacing w:line="360" w:lineRule="auto"/>
        <w:jc w:val="both"/>
      </w:pPr>
      <w:r>
        <w:rPr>
          <w:rFonts w:ascii="Times New Roman" w:hAnsi="Times New Roman" w:cs="Times New Roman"/>
          <w:sz w:val="24"/>
        </w:rPr>
        <w:t>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pPr>
        <w:spacing w:line="360" w:lineRule="auto"/>
        <w:jc w:val="both"/>
      </w:pPr>
      <w:r>
        <w:rPr>
          <w:rFonts w:ascii="Times New Roman" w:hAnsi="Times New Roman" w:cs="Times New Roman"/>
          <w:sz w:val="24"/>
        </w:rPr>
        <w:t>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Konkret innebærer dette at vi ikke kan angi modellens presisjon (andel korrekte OVERFØR-anbefalinger) eller recall (andel faktisk egnede artikler som fanges opp). Fraværet skyldes at ingen historisk referanseklassifisering eksisterer ved Helse Bergen – det er nettopp dette gapet studien adresserer. Resultatene bør dermed tolkes som et førstegenerasjons beslutningsunderlag. En planlagt oppfølgingsfase ved Helse Bergen vil innebære faglig gjennomgang av OVERFØR-listen mot innkjøpsfaglig og klinisk kompetanse, noe som vil gi det første empiriske grunnlaget for å kalibrere regelmotoren.</w:t>
      </w:r>
    </w:p>
    <w:p>
      <w:pPr>
        <w:spacing w:line="360" w:lineRule="auto"/>
        <w:jc w:val="both"/>
      </w:pPr>
      <w:r>
        <w:rPr>
          <w:rFonts w:ascii="Times New Roman" w:hAnsi="Times New Roman" w:cs="Times New Roman"/>
          <w:sz w:val="24"/>
        </w:rPr>
        <w:t>EOQ-modellen forutsetter deterministisk og stasjonær etterspørsel (Wilson-formelen). Analysen anvender EOQ på de 350 X-artiklene (</w:t>
      </w:r>
      <m:oMath>
        <m:r>
          <m:t>CV&lt;0,5</m:t>
        </m:r>
      </m:oMath>
      <w:r>
        <w:rPr>
          <w:rFonts w:ascii="Times New Roman" w:hAnsi="Times New Roman" w:cs="Times New Roman"/>
          <w:sz w:val="24"/>
        </w:rPr>
        <w:t xml:space="preserve">), men det er ikke gjennomført en formell stasjonaritets- eller normalitetstest for disse artiklenes etterspørselsserier. For artiklene med størst </w:t>
      </w:r>
      <m:oMath>
        <m:r>
          <m:t>ΔTC</m:t>
        </m:r>
      </m:oMath>
      <w:r>
        <w:rPr>
          <w:rFonts w:ascii="Times New Roman" w:hAnsi="Times New Roman" w:cs="Times New Roman"/>
          <w:sz w:val="24"/>
        </w:rPr>
        <w:t xml:space="preserve"> – som utgjør grunnlaget for besparelsesestimatet – representerer dette en potensiell intern validitetstrussel: dersom etterspørselen er sesongavhengig eller har trend, vil den optimale ordrefrekvensen </w:t>
      </w:r>
      <m:oMath>
        <m:sSup>
          <m:e>
            <m:r>
              <m:t>f</m:t>
            </m:r>
          </m:e>
          <m:sup>
            <m:r>
              <m:t>*</m:t>
            </m:r>
          </m:sup>
        </m:sSup>
      </m:oMath>
      <w:r>
        <w:rPr>
          <w:rFonts w:ascii="Times New Roman" w:hAnsi="Times New Roman" w:cs="Times New Roman"/>
          <w:sz w:val="24"/>
        </w:rPr>
        <w:t xml:space="preserve"> avvike fra Wilson-estimatet. Hautaniemi og Pirttilä (1999) påpeker at EOQ-baserte beregninger er mest pålitelige for artikler med lav variabilitet, noe som understøtter valget om å begrense analysen til X-klassen, men en formell stasjonaritetstest (f.eks. augmented Dickey–Fuller) ville styrket den interne validiteten ytterligere. Et mitigerende argument er at X-artikler per definisjon har </w:t>
      </w:r>
      <m:oMath>
        <m:r>
          <m:t>CV&lt;0,5,</m:t>
        </m:r>
      </m:oMath>
      <w:r>
        <w:rPr>
          <w:rFonts w:ascii="Times New Roman" w:hAnsi="Times New Roman" w:cs="Times New Roman"/>
          <w:sz w:val="24"/>
        </w:rPr>
        <w:t xml:space="preserve"> noe som innebærer at etterspørselsvariansen er lav relativt til gjennomsnittet over den 24-månedersperioden analysen dekker. EOQ-avviksanalysens primære formål er dessuten relativ rangering av artikler etter kostnadsavvik, ikke eksakt kostnadsestimering – en systematisk feil i </w:t>
      </w:r>
      <m:oMath>
        <m:sSup>
          <m:e>
            <m:r>
              <m:t>f</m:t>
            </m:r>
          </m:e>
          <m:sup>
            <m:r>
              <m:t>*</m:t>
            </m:r>
          </m:sup>
        </m:sSup>
      </m:oMath>
      <w:r>
        <w:rPr>
          <w:rFonts w:ascii="Times New Roman" w:hAnsi="Times New Roman" w:cs="Times New Roman"/>
          <w:sz w:val="24"/>
        </w:rPr>
        <w:t xml:space="preserve"> vil dermed i stor grad påvirke alle artikler proporsjonalt og bevare rangeringen.</w:t>
      </w:r>
    </w:p>
    <w:p>
      <w:pPr>
        <w:spacing w:line="360" w:lineRule="auto"/>
        <w:jc w:val="both"/>
      </w:pPr>
      <w:r>
        <w:rPr>
          <w:rFonts w:ascii="Times New Roman" w:hAnsi="Times New Roman" w:cs="Times New Roman"/>
          <w:sz w:val="24"/>
        </w:rPr>
        <w:t xml:space="preserve">Besparelsesestimatet </w:t>
      </w:r>
      <m:oMath>
        <m:sSub>
          <m:e>
            <m:r>
              <m:t>B</m:t>
            </m:r>
          </m:e>
          <m:sub>
            <m:r>
              <m:rPr>
                <m:nor/>
              </m:rPr>
              <m:t>HVFS</m:t>
            </m:r>
          </m:sub>
        </m:sSub>
        <m:r>
          <m:t>=∑ΔT</m:t>
        </m:r>
        <m:sSub>
          <m:e>
            <m:r>
              <m:t>C</m:t>
            </m:r>
          </m:e>
          <m:sub>
            <m:r>
              <m:t>i</m:t>
            </m:r>
          </m:sub>
        </m:sSub>
        <m:r>
          <m:t>·g</m:t>
        </m:r>
      </m:oMath>
      <w:r>
        <w:rPr>
          <w:rFonts w:ascii="Times New Roman" w:hAnsi="Times New Roman" w:cs="Times New Roman"/>
          <w:sz w:val="24"/>
        </w:rPr>
        <w:t xml:space="preserve"> fanger utelukkende transaksjonskostnadsavviket fra suboptimal ordrefrekvens for de 117 artiklene i skjæringspunktet OVERFØR\_HVFS </w:t>
      </w:r>
      <m:oMath>
        <m:r>
          <m:t>∩</m:t>
        </m:r>
      </m:oMath>
      <w:r>
        <w:rPr>
          <w:rFonts w:ascii="Times New Roman" w:hAnsi="Times New Roman" w:cs="Times New Roman"/>
          <w:sz w:val="24"/>
        </w:rPr>
        <w:t xml:space="preserve"> FOR\_MANGE\_ORDRER. Tre kostnadselementer er eksplisitt utenfor modellens rekkevidde: (1) redusert lokal lagerkapitalbinding ved overføring – en positiv gevinst som ikke er kvantifisert, men som Kelle et al. (2012) anslår til 5–15 % av lagerverdien for sentraliserte artikler; (2) transportkostnader fra HVFS til avdeling via APL-modellen, som representerer en motpost og må kartlegges i implementeringsfasen; og (3) engangskostnader for SAP MM-konfigurering, leverandørforhandlinger og prosessomstilling. Estimatet er dermed et konservativt transaksjonskostnadsestimat som ikke omfatter den fulle netto besparelseseffekten av sentralisering.</w:t>
      </w:r>
    </w:p>
    <w:p>
      <w:pPr>
        <w:spacing w:line="360" w:lineRule="auto"/>
        <w:jc w:val="both"/>
      </w:pPr>
      <w:r>
        <w:rPr>
          <w:rFonts w:ascii="Times New Roman" w:hAnsi="Times New Roman" w:cs="Times New Roman"/>
          <w:sz w:val="24"/>
        </w:rPr>
        <w:t>Studien er avgrenset til WERKS 3300, LGORT 3001 ved Helse Bergen. Det er ikke grunnlag for å hevde at de eksakte tallresultatene gjelder for andre WERKS-enheter i Helse Vest. Metoderammeverket – kombinasjonen av ABC, XYZ, EOQ og K-means med en regelmotor – er imidlertid fullt reproduserbart og kan, med tilpassing av parameterinnstillinger, anvendes på tilsvarende SAP-datastrukturer ved andre helseforetak. Fragapane et al. (2019) argumenterer for at datadrevne klassifiseringsmetoder for sykehuslogistikk har generell overføringsverdi så lenge datagrunnlaget er av tilsvarende type og kvalitet. Det er likevel viktig å være nøktern: strukturelle forskjeller mellom helseforetak – ulik sortimentssammensetning, ulike leverandøravtaler og ulike driftsmodeller – vil påvirke resultater og anbefalinger.</w:t>
      </w:r>
    </w:p>
    <w:p>
      <w:pPr>
        <w:pStyle w:val="Overskrift2"/>
      </w:pPr>
      <w:r>
        <w:rPr>
          <w:rFonts w:ascii="Times New Roman" w:hAnsi="Times New Roman"/>
          <w:color w:val="000000"/>
          <w:sz w:val="32"/>
        </w:rPr>
        <w:t>8.3 Praktisk betydning for Helse Bergen</w:t>
      </w:r>
    </w:p>
    <w:p>
      <w:pPr>
        <w:spacing w:line="360" w:lineRule="auto"/>
        <w:jc w:val="both"/>
      </w:pPr>
      <w:r>
        <w:rPr>
          <w:rFonts w:ascii="Times New Roman" w:hAnsi="Times New Roman" w:cs="Times New Roman"/>
          <w:sz w:val="24"/>
        </w:rPr>
        <w:t>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MM-oppsettet: MRP-type bør gjennomgås og justeres, og ordrekvantumsparametere (minimum ordrekvantum, avrundingsverdi) bør kalibreres mot EOQ-optimal frekvens for de aktuelle artiklene. De 117 artiklene som er i skjæringspunktet OVERFØR_HVFS ∩ FOR_MANGE_ORDRER representerer de mest presserende tilfellene, der den nåværende ordrepraksisen avviker vesentlig fra det som er kostnadsoptimalt.</w:t>
      </w:r>
    </w:p>
    <w:p>
      <w:pPr>
        <w:spacing w:line="360" w:lineRule="auto"/>
        <w:jc w:val="both"/>
      </w:pPr>
      <w:r>
        <w:rPr>
          <w:rFonts w:ascii="Times New Roman" w:hAnsi="Times New Roman" w:cs="Times New Roman"/>
          <w:sz w:val="24"/>
        </w:rPr>
        <w:t>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pPr>
        <w:spacing w:line="360" w:lineRule="auto"/>
        <w:jc w:val="both"/>
      </w:pPr>
      <w:r>
        <w:rPr>
          <w:rFonts w:ascii="Times New Roman" w:hAnsi="Times New Roman" w:cs="Times New Roman"/>
          <w:sz w:val="24"/>
        </w:rPr>
        <w:t>Besparelsesestimatet forutsetter at HVFS-overføringen faktisk fører til endret bestillingspraksis og redusert ordrefrekvens. Dette er ikke automatisk: dersom SAP MM-parametere ikke justeres, vil systemet fortsette å generere ordrer med eksisterende frekvens. Gevinstrealisering krever dermed aktiv oppfølging i SAP – noe som igjen understreker at den kvantitative analysen er ett steg i en lengre implementeringsprosess, ikke et selvstendig endepunkt.</w:t>
      </w:r>
    </w:p>
    <w:p>
      <w:pPr>
        <w:spacing w:line="360" w:lineRule="auto"/>
        <w:jc w:val="both"/>
      </w:pPr>
      <w:r>
        <w:rPr>
          <w:rFonts w:ascii="Times New Roman" w:hAnsi="Times New Roman" w:cs="Times New Roman"/>
          <w:sz w:val="24"/>
        </w:rPr>
        <w:t>For LIBRA-prosjektet spesifikt innebærer resultatene at det foreligger et forslag til et kvantitativt, reproduserbart beslutningsgrunnlag som potensielt kan integreres i den regionale utrullingen av sentralisert forsyning. Rammeverket kan brukes som mal for tilsvarende analyser ved de øvrige helseforetakene (Helse Stavanger, Helse Fonna, Helse Førde) etter hvert som de kobles på HVFS via SAP S/4HANA. Dersom LIBRA velger å implementere periodisk reklassifisering – for eksempel årlig – vil analysescriptet kunne kjøres på oppdaterte data uten metodisk tilpasning, noe som gir HVFS et verktøy for kontinuerlig porteføljeoptimalisering.</w:t>
      </w:r>
    </w:p>
    <w:p>
      <w:pPr>
        <w:pStyle w:val="Overskrift2"/>
      </w:pPr>
      <w:r>
        <w:rPr>
          <w:rFonts w:ascii="Times New Roman" w:hAnsi="Times New Roman"/>
          <w:color w:val="000000"/>
          <w:sz w:val="32"/>
        </w:rPr>
        <w:t>8.4 Svakheter og begrensninger</w:t>
      </w:r>
    </w:p>
    <w:p>
      <w:pPr>
        <w:spacing w:line="360" w:lineRule="auto"/>
        <w:jc w:val="both"/>
      </w:pPr>
      <w:r>
        <w:rPr>
          <w:rFonts w:ascii="Times New Roman" w:hAnsi="Times New Roman" w:cs="Times New Roman"/>
          <w:sz w:val="24"/>
        </w:rPr>
        <w:t xml:space="preserve">Realiseringsgraden </w:t>
      </w:r>
      <m:oMath>
        <m:r>
          <m:t>g</m:t>
        </m:r>
      </m:oMath>
      <w:r>
        <w:rPr>
          <w:rFonts w:ascii="Times New Roman" w:hAnsi="Times New Roman" w:cs="Times New Roman"/>
          <w:sz w:val="24"/>
        </w:rPr>
        <w:t xml:space="preserve"> i besparelsesformelen er en scenarioparameter, ikke en empirisk prognose. Verdien </w:t>
      </w:r>
      <m:oMath>
        <m:r>
          <m:t>g=75</m:t>
        </m:r>
        <m:r>
          <m:t>%</m:t>
        </m:r>
      </m:oMath>
      <w:r>
        <w:rPr>
          <w:rFonts w:ascii="Times New Roman" w:hAnsi="Times New Roman" w:cs="Times New Roman"/>
          <w:sz w:val="24"/>
        </w:rPr>
        <w:t xml:space="preserve"> (base case) er en ekspertantagelse uten direkte empirisk belegg fra sykehuslogistikk, og representerer den viktigste enkeltusikkerheten i besparelsesestimatet. Intervallet 50–100 % er valgt for å fange realistisk implementeringsfriksjon: tre-scenarioanalysen gjør usikkerheten eksplisitt og lar beslutningstaker vurdere robustheten. Ettersom estimatet kun fanger transaksjonskostnadsavviket og utelater kapitalbindingsgevinsten – som Kelle et al. (2012) anslår til 5–15 % av lagerverdien – vil den faktiske nettogevinsten sannsynligvis ligge høyere enn base case isolert sett tilsier, selv med moderat gevinstrealisering. Tilsvarende er ordrekostnad </w:t>
      </w:r>
      <m:oMath>
        <m:r>
          <m:t>S=750</m:t>
        </m:r>
      </m:oMath>
      <w:r>
        <w:rPr>
          <w:rFonts w:ascii="Times New Roman" w:hAnsi="Times New Roman" w:cs="Times New Roman"/>
          <w:sz w:val="24"/>
        </w:rPr>
        <w:t xml:space="preserve"> NOK basert på internasjonal litteratur og ikke empirisk estimert for Helse Bergen; en ABC-kalkyle (Activity-Based Costing) av faktisk ordrekostnad ville styrket estimatets presisjon. Den faktiske gevinsten avhenger av gjennomføringskvalitet, leverandørenes kapasitet og Helse Bergens evne til å revidere SAP-parametere. Sensitivitetsanalysen over 27 scenarier synliggjør bredden i usikkerhetsintervallet.</w:t>
      </w:r>
    </w:p>
    <w:p>
      <w:pPr>
        <w:spacing w:line="360" w:lineRule="auto"/>
        <w:jc w:val="both"/>
      </w:pPr>
      <w:r>
        <w:rPr>
          <w:rFonts w:ascii="Times New Roman" w:hAnsi="Times New Roman" w:cs="Times New Roman"/>
          <w:sz w:val="24"/>
        </w:rPr>
        <w:t>Standardverdien for leveringstid på 14 dager (94 % av artiklene) har begrenset direkte effekt på den frekvensbaserte EOQ-analysen, men vil være avgjørende for en fremtidig ROP-analyse. Analyseperioden 2024–2025 kan fortsatt være påvirket av ettervirkninger fra COVID-19-pandemien, noe som kan gi misvisende CV for enkeltartikler.</w:t>
      </w:r>
    </w:p>
    <w:p>
      <w:pPr>
        <w:spacing w:line="360" w:lineRule="auto"/>
        <w:jc w:val="both"/>
      </w:pPr>
      <w:r>
        <w:rPr>
          <w:rFonts w:ascii="Times New Roman" w:hAnsi="Times New Roman" w:cs="Times New Roman"/>
          <w:sz w:val="24"/>
        </w:rPr>
        <w:t xml:space="preserve">K-means er sensitiv overfor valget av K (Srinivasan &amp; Moon, 1999): med </w:t>
      </w:r>
      <m:oMath>
        <m:r>
          <m:t>K=2</m:t>
        </m:r>
      </m:oMath>
      <w:r>
        <w:rPr>
          <w:rFonts w:ascii="Times New Roman" w:hAnsi="Times New Roman" w:cs="Times New Roman"/>
          <w:sz w:val="24"/>
        </w:rPr>
        <w:t xml:space="preserve"> eller </w:t>
      </w:r>
      <m:oMath>
        <m:r>
          <m:t>K=4</m:t>
        </m:r>
      </m:oMath>
      <w:r>
        <w:rPr>
          <w:rFonts w:ascii="Times New Roman" w:hAnsi="Times New Roman" w:cs="Times New Roman"/>
          <w:sz w:val="24"/>
        </w:rPr>
        <w:t xml:space="preserve"> ville klyngestrukturen sett annerledes ut. Z-score-standardiseringen gir de tre featurene lik vekt – en normativ beslutning som påvirker klyngeresultatene. CV-koeffisienten har en kjent svakhet ved lavt forbruksvolum, der enkeltutleveringer kan gi kunstig høy eller lav CV. K-means-klyngens rolle i regelmotoren er begrenset: fordi K\_OVERFØR per definisjon er klyngen med lavest CV og høyest verdi, overlapper den i stor grad med artikler som allerede identifiseres via ABC/XYZ-reglene (R3). K-means fungerer dermed primært som et bekreftende støttefilter snarere enn som et uavhengig empirisk signal – en form for bekreftelsestendens som bør erkjennes. Den primære merverdien av K-means i denne studien er metodisk snarere enn empirisk: klyngeanalysen viser at en datadrevet, terskelfri segmentering konvergerer mot samme artikkelgrupper som den terskelbaserte ABC/XYZ-klassifiseringen, noe som styrker tilliten til at terskelvalgene (80/95 % for ABC, 0,5/1,0 for CV) ikke er vilkårlige for dette datasettet.</w:t>
      </w:r>
    </w:p>
    <w:p>
      <w:pPr>
        <w:spacing w:line="360" w:lineRule="auto"/>
        <w:jc w:val="both"/>
      </w:pPr>
      <w:r>
        <w:rPr>
          <w:rFonts w:ascii="Times New Roman" w:hAnsi="Times New Roman" w:cs="Times New Roman"/>
          <w:sz w:val="24"/>
        </w:rPr>
        <w:t>For 204 artikler uten EKPO-data er ABC-verdien beregnet fra D_ANNUAL × UNIT_PRICE. Av de 199 som har tilstrekkelig data til ABC-klassifisering, havner 98 i A-klassen og 63 i B-klassen. Dersom standardprisen systematisk avviker fra faktisk innkjøpspris, kan ABC-rangeringen for disse artiklene være upresis. Risikoen dempes av at regelmotoren krever flere sammenfallende signaler (ABC + XYZ + EOQ/K-means) for OVERFØR-anbefaling – en isolert ABC-feil vil dermed sjelden alene utløse en feilklassifisering.</w:t>
      </w:r>
    </w:p>
    <w:p>
      <w:pPr>
        <w:spacing w:line="360" w:lineRule="auto"/>
        <w:jc w:val="both"/>
      </w:pPr>
      <w:r>
        <w:rPr>
          <w:rFonts w:ascii="Times New Roman" w:hAnsi="Times New Roman" w:cs="Times New Roman"/>
          <w:sz w:val="24"/>
        </w:rPr>
        <w:t>Modellen inkluderer ikke en eksplisitt kritikalitetsdimensjon som VED (Vital, Essential, Desirable). I sykehuslogistikk er kritikalitet en primær styringsparameter (Gupta et al., 2007; Gurumurthy et al., 2021), og fraværet innebærer at OVERFØR-anbefalingen kan omfatte artikler der leveringssvikt har alvorlige pasientkonsekvenser. Kritikalitetsdata inngår ikke som strukturert variabel i det aktuelle datauttrekket; ved Helse Bergen er VED-vurderingen i praksis basert på klinisk skjønn og foreligger ikke i maskinlesbar form. Regelmotorens R1-regel (Z-override) fungerer som en delvis kompensasjon ved å holde artikler med uregelmessig forbruk lokalt, men dette erstatter ikke en eksplisitt kritikalitetsvurdering. Pilotvalideringen (anbefaling 1, kap. 9.2) bør eksplisitt inkludere en klinisk kritikalitetsvurdering som supplement til de kvantitative signalene.</w:t>
      </w:r>
    </w:p>
    <w:p>
      <w:pPr>
        <w:spacing w:line="360" w:lineRule="auto"/>
        <w:jc w:val="both"/>
      </w:pPr>
      <w:r>
        <w:rPr>
          <w:rFonts w:ascii="Times New Roman" w:hAnsi="Times New Roman" w:cs="Times New Roman"/>
          <w:sz w:val="24"/>
        </w:rPr>
        <w:t>Studien benytter kun K-means som klyngealgoritme. En sammenligning med hierarkisk klynging eller DBSCAN ville styrket tilliten til klyngeresultatene, særlig gitt at silhouette-scoren (0,383) indikerer moderat separasjon.</w:t>
      </w:r>
    </w:p>
    <w:p>
      <w:pPr>
        <w:spacing w:line="360" w:lineRule="auto"/>
        <w:jc w:val="both"/>
      </w:pPr>
      <w:r>
        <w:rPr>
          <w:rFonts w:ascii="Times New Roman" w:hAnsi="Times New Roman" w:cs="Times New Roman"/>
          <w:sz w:val="24"/>
        </w:rPr>
        <w:t>Besparelsesestimatet er beregnet analytisk. En Monte Carlo-simulering av bestillingsfrekvensendringer for de største overføringskandidatene ville gitt et dynamisk estimat som fanger samspillet mellom ordrefrekvens, lagernivå og servicenivå over tid.</w:t>
      </w:r>
    </w:p>
    <w:p>
      <w:pPr>
        <w:pStyle w:val="Overskrift1"/>
        <w:pageBreakBefore w:val="true"/>
      </w:pPr>
      <w:r>
        <w:rPr>
          <w:rFonts w:ascii="Times New Roman" w:hAnsi="Times New Roman"/>
          <w:color w:val="000000"/>
          <w:sz w:val="36"/>
        </w:rPr>
        <w:t>Kapittel 9 – Konklusjon</w:t>
      </w:r>
    </w:p>
    <w:p>
      <w:pPr>
        <w:pStyle w:val="Overskrift2"/>
      </w:pPr>
      <w:r>
        <w:rPr>
          <w:rFonts w:ascii="Times New Roman" w:hAnsi="Times New Roman"/>
          <w:color w:val="000000"/>
          <w:sz w:val="32"/>
        </w:rPr>
        <w:t>9.1 Svar på problemstillingen</w:t>
      </w:r>
    </w:p>
    <w:p>
      <w:pPr>
        <w:spacing w:line="360" w:lineRule="auto"/>
        <w:jc w:val="both"/>
      </w:pPr>
      <w:r>
        <w:rPr>
          <w:rFonts w:ascii="Times New Roman" w:hAnsi="Times New Roman" w:cs="Times New Roman"/>
          <w:sz w:val="24"/>
        </w:rPr>
        <w:t xml:space="preserve">Denne studien tok utgangspunkt i følgende problemstilling: </w:t>
      </w:r>
      <w:r>
        <w:rPr>
          <w:rFonts w:ascii="Times New Roman" w:hAnsi="Times New Roman" w:cs="Times New Roman"/>
          <w:i/>
          <w:sz w:val="24"/>
        </w:rPr>
        <w:t>Hvordan kan multikriterieklassifisering og klyngeanalyse av SAP-transaksjonsdata identifisere hvilke artikler ved Helse Bergens forsyningslager (WERKS 3300, LGORT 3001) som er kandidater for overføring til HVFS, og hva er det estimerte besparelsespotensialet?</w:t>
      </w:r>
    </w:p>
    <w:p>
      <w:pPr>
        <w:spacing w:line="360" w:lineRule="auto"/>
        <w:jc w:val="both"/>
      </w:pPr>
      <w:r>
        <w:rPr>
          <w:rFonts w:ascii="Times New Roman" w:hAnsi="Times New Roman" w:cs="Times New Roman"/>
          <w:sz w:val="24"/>
        </w:rPr>
        <w:t xml:space="preserve">Studien viser at en strukturert kombinasjon av ABC-analyse, XYZ-klassifisering, EOQ-avviksanalyse og K-means klyngeanalyse – sammenstilt i regelmotoren – gir et strukturert beslutningsgrunnlag for å prioritere overføringskandidater direkte fra SAP-transaksjonsdata. Av de 709 aktive artiklene i LGORT 3001 identifiserer regelmotoren </w:t>
      </w:r>
      <w:r>
        <w:rPr>
          <w:rFonts w:ascii="Times New Roman" w:hAnsi="Times New Roman" w:cs="Times New Roman"/>
          <w:b/>
          <w:sz w:val="24"/>
        </w:rPr>
        <w:t>145 artikler</w:t>
      </w:r>
      <w:r>
        <w:rPr>
          <w:rFonts w:ascii="Times New Roman" w:hAnsi="Times New Roman" w:cs="Times New Roman"/>
          <w:sz w:val="24"/>
        </w:rPr>
        <w:t xml:space="preserve"> (20,5 %) som prioriterte overføringskandidater til HVFS. Disse artiklene kjennetegnes ved høy verdi (A- eller B-klasse), stabilt forbruksmønster (X- eller Y-klasse) og dokumentert overbestilling eller klyngetilhørighet som indikerer ineffektiv ordrepraksis. Anbefalingene er ikke eksternt validert mot innkjøpsfaglig skjønn, og bør betraktes som et rangert beslutningsunderlag – ikke som verifiserte beslutningsregler.</w:t>
      </w:r>
    </w:p>
    <w:p>
      <w:pPr>
        <w:spacing w:line="360" w:lineRule="auto"/>
        <w:jc w:val="both"/>
      </w:pPr>
      <w:r>
        <w:rPr>
          <w:rFonts w:ascii="Times New Roman" w:hAnsi="Times New Roman" w:cs="Times New Roman"/>
          <w:sz w:val="24"/>
        </w:rPr>
        <w:t>Besparelsespotensialet er estimert som et scenariobasert intervall, ikke som et enkelt punktestimat, fordi nøkkelparametrene S, h og g ikke er kalibrert mot lokalt observerte kostnader. For de 117 artiklene i skjæringspunktet OVERFØR\_HVFS og FOR\_MANGE\_ORDRER gir base case (</w:t>
      </w:r>
      <m:oMath>
        <m:r>
          <m:t>g=75</m:t>
        </m:r>
      </m:oMath>
      <w:r>
        <w:rPr>
          <w:rFonts w:ascii="Times New Roman" w:hAnsi="Times New Roman" w:cs="Times New Roman"/>
          <w:sz w:val="24"/>
        </w:rPr>
        <w:t xml:space="preserve">) et estimat på </w:t>
      </w:r>
      <w:r>
        <w:rPr>
          <w:rFonts w:ascii="Times New Roman" w:hAnsi="Times New Roman" w:cs="Times New Roman"/>
          <w:b/>
          <w:sz w:val="24"/>
        </w:rPr>
        <w:t>kr 451 515 per år</w:t>
      </w:r>
      <w:r>
        <w:rPr>
          <w:rFonts w:ascii="Times New Roman" w:hAnsi="Times New Roman" w:cs="Times New Roman"/>
          <w:sz w:val="24"/>
        </w:rPr>
        <w:t>, mens pessimistisk scenario (</w:t>
      </w:r>
      <m:oMath>
        <m:r>
          <m:t>g=50</m:t>
        </m:r>
      </m:oMath>
      <w:r>
        <w:rPr>
          <w:rFonts w:ascii="Times New Roman" w:hAnsi="Times New Roman" w:cs="Times New Roman"/>
          <w:sz w:val="24"/>
        </w:rPr>
        <w:t>) gir kr 301 010 og optimistisk scenario (</w:t>
      </w:r>
      <m:oMath>
        <m:r>
          <m:t>g=100</m:t>
        </m:r>
      </m:oMath>
      <w:r>
        <w:rPr>
          <w:rFonts w:ascii="Times New Roman" w:hAnsi="Times New Roman" w:cs="Times New Roman"/>
          <w:sz w:val="24"/>
        </w:rPr>
        <w:t xml:space="preserve">) gir kr 602 020. Sensitivitetsanalysen over 27 parameterkombinasjoner – med variasjon i S, h og </w:t>
      </w:r>
      <m:oMath>
        <m:sSub>
          <m:e>
            <m:r>
              <m:t>τ</m:t>
            </m:r>
          </m:e>
          <m:sub>
            <m:r>
              <m:t>f</m:t>
            </m:r>
          </m:sub>
        </m:sSub>
      </m:oMath>
      <w:r>
        <w:rPr>
          <w:rFonts w:ascii="Times New Roman" w:hAnsi="Times New Roman" w:cs="Times New Roman"/>
          <w:sz w:val="24"/>
        </w:rPr>
        <w:t xml:space="preserve"> – viser at </w:t>
      </w:r>
      <m:oMath>
        <m:sSub>
          <m:e>
            <m:r>
              <m:t>B</m:t>
            </m:r>
          </m:e>
          <m:sub>
            <m:r>
              <m:rPr>
                <m:nor/>
              </m:rPr>
              <m:t>HVFS</m:t>
            </m:r>
          </m:sub>
        </m:sSub>
      </m:oMath>
      <w:r>
        <w:rPr>
          <w:rFonts w:ascii="Times New Roman" w:hAnsi="Times New Roman" w:cs="Times New Roman"/>
          <w:sz w:val="24"/>
        </w:rPr>
        <w:t xml:space="preserve"> (</w:t>
      </w:r>
      <m:oMath>
        <m:r>
          <m:t>g=75</m:t>
        </m:r>
      </m:oMath>
      <w:r>
        <w:rPr>
          <w:rFonts w:ascii="Times New Roman" w:hAnsi="Times New Roman" w:cs="Times New Roman"/>
          <w:sz w:val="24"/>
        </w:rPr>
        <w:t>) varierer mellom kr 176 374 og kr 763 903 per år avhengig av parametervalg. Estimatene forblir positive og vesentlige over alle 27 scenarier, men den brede spennvidden understreker at det faktiske besparelsesnivået avhenger av lokale kostnadsforhold som ikke er empirisk fastslått i denne studien.</w:t>
      </w:r>
    </w:p>
    <w:p>
      <w:pPr>
        <w:spacing w:line="360" w:lineRule="auto"/>
        <w:jc w:val="both"/>
      </w:pPr>
      <w:r>
        <w:rPr>
          <w:rFonts w:ascii="Times New Roman" w:hAnsi="Times New Roman" w:cs="Times New Roman"/>
          <w:sz w:val="24"/>
        </w:rPr>
        <w:t>Studien konkluderer dermed med at SAP-transaksjonsdata – hentet fra 14 tabeller via SE16H og bearbeidet med en reproduserbar Python-analyse – gir et tilstrekkelig informasjonsgrunnlag for datadrevet sentraliseringsvurdering. Metoderammeverket besvarer problemstillingen både kvalitativt (hvilke artikler) og kvantitativt (hva er besparelsespotensialet), og gir et strukturert beslutningsgrunnlag for LIBRA-prosjektets videre gjennomføring. Verktøyets primære verdi er systematisk prioritering og triage av artikkelporteføljen – den endelige overføringsbeslutningen krever innkjøpsfaglig og klinisk validering.</w:t>
      </w:r>
    </w:p>
    <w:p>
      <w:pPr>
        <w:pStyle w:val="Overskrift2"/>
      </w:pPr>
      <w:r>
        <w:rPr>
          <w:rFonts w:ascii="Times New Roman" w:hAnsi="Times New Roman"/>
          <w:color w:val="000000"/>
          <w:sz w:val="32"/>
        </w:rPr>
        <w:t>9.2 Anbefalinger til Helse Bergen</w:t>
      </w:r>
    </w:p>
    <w:p>
      <w:pPr>
        <w:spacing w:line="360" w:lineRule="auto"/>
        <w:jc w:val="both"/>
      </w:pPr>
      <w:r>
        <w:rPr>
          <w:rFonts w:ascii="Times New Roman" w:hAnsi="Times New Roman" w:cs="Times New Roman"/>
          <w:sz w:val="24"/>
        </w:rPr>
        <w:t>Basert på studiens funn rettes følgende fire anbefalinger til Helse Bergen og Helse Vest IKT. Anbefalingene er formulert i prioritert rekkefølge, der anbefaling 1 og 3 er umiddelbare parallelle tiltak, anbefaling 2 er mellomfristig, og anbefaling 4 er en langsiktig evalueringssyklus:</w:t>
      </w:r>
    </w:p>
    <w:p>
      <w:pPr>
        <w:spacing w:line="360" w:lineRule="auto"/>
        <w:jc w:val="both"/>
      </w:pPr>
      <w:r>
        <w:rPr>
          <w:rFonts w:ascii="Times New Roman" w:hAnsi="Times New Roman" w:cs="Times New Roman"/>
          <w:b/>
          <w:sz w:val="24"/>
        </w:rPr>
        <w:t>1. Iverksett pilotoverføring for K_OVERFØR-klyngen og AX/BX-artiklene.</w:t>
      </w:r>
    </w:p>
    <w:p>
      <w:pPr>
        <w:spacing w:line="360" w:lineRule="auto"/>
        <w:jc w:val="both"/>
      </w:pPr>
      <w:r>
        <w:rPr>
          <w:rFonts w:ascii="Times New Roman" w:hAnsi="Times New Roman" w:cs="Times New Roman"/>
          <w:sz w:val="24"/>
        </w:rPr>
        <w:t>De 145 artiklene som er identifisert som prioriterte overføringskandidater bør ikke overføres samlet i én operasjon. En pilotfase bør prioritere artiklene i skjæringspunktet mellom K_OVERFØR-klyngen og AX/BX-kategoriene, da disse har den sterkeste kombinasjonen av analysesignaler og lavest forbruksvariasjon. Pilotvalideringen bør suppleres med en klinisk kritikalitetsvurdering (jf. avsnitt 8.4) for å sikre at ingen artikler med høy pasientrisiko overføres uten tilstrekkelig forsyningssikkerhet. En gradvis overføring gir mulighet til å verifisere at HVFS og NorEngros håndterer artiklene i henhold til APL-leveransemodellen før hele porteføljen flyttes.</w:t>
      </w:r>
    </w:p>
    <w:p>
      <w:pPr>
        <w:spacing w:line="360" w:lineRule="auto"/>
        <w:jc w:val="both"/>
      </w:pPr>
      <w:r>
        <w:rPr>
          <w:rFonts w:ascii="Times New Roman" w:hAnsi="Times New Roman" w:cs="Times New Roman"/>
          <w:b/>
          <w:sz w:val="24"/>
        </w:rPr>
        <w:t>2. Gjennomgå de 284 artiklene i VURDER NÆRMERE manuelt.</w:t>
      </w:r>
    </w:p>
    <w:p>
      <w:pPr>
        <w:spacing w:line="360" w:lineRule="auto"/>
        <w:jc w:val="both"/>
      </w:pPr>
      <w:r>
        <w:rPr>
          <w:rFonts w:ascii="Times New Roman" w:hAnsi="Times New Roman" w:cs="Times New Roman"/>
          <w:sz w:val="24"/>
        </w:rPr>
        <w:t>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pPr>
        <w:spacing w:line="360" w:lineRule="auto"/>
        <w:jc w:val="both"/>
      </w:pPr>
      <w:r>
        <w:rPr>
          <w:rFonts w:ascii="Times New Roman" w:hAnsi="Times New Roman" w:cs="Times New Roman"/>
          <w:b/>
          <w:sz w:val="24"/>
        </w:rPr>
        <w:t>3. Oppdater SAP MM-parametere for overførte artikler.</w:t>
      </w:r>
    </w:p>
    <w:p>
      <w:pPr>
        <w:spacing w:line="360" w:lineRule="auto"/>
        <w:jc w:val="both"/>
      </w:pPr>
      <w:r>
        <w:rPr>
          <w:rFonts w:ascii="Times New Roman" w:hAnsi="Times New Roman" w:cs="Times New Roman"/>
          <w:sz w:val="24"/>
        </w:rPr>
        <w:t>Gevinstrealisering forutsetter at MRP-type og ordrekvantumsparametere justeres i SAP for de artiklene som overføres. Artiklene som er klassifisert som FOR_MANGE_ORDRER bør få oppdaterte ordreintervaller og minimum ordrekvantum i tråd med EOQ-optimale verdier. Uten denne justeringen vil systemet fortsette å generere ordrer med eksisterende frekvens, og besparelsespotensialet vil ikke realiseres. Feltet ZZXYZ bør i tillegg oppdateres med den beregnede CV-klassen som en del av det ordinære SAP MM-vedlikeholdet.</w:t>
      </w:r>
    </w:p>
    <w:p>
      <w:pPr>
        <w:spacing w:line="360" w:lineRule="auto"/>
        <w:jc w:val="both"/>
      </w:pPr>
      <w:r>
        <w:rPr>
          <w:rFonts w:ascii="Times New Roman" w:hAnsi="Times New Roman" w:cs="Times New Roman"/>
          <w:b/>
          <w:sz w:val="24"/>
        </w:rPr>
        <w:t>4. Evaluer gevinstrealisering etter 12 måneder.</w:t>
      </w:r>
    </w:p>
    <w:p>
      <w:pPr>
        <w:spacing w:line="360" w:lineRule="auto"/>
        <w:jc w:val="both"/>
      </w:pPr>
      <w:r>
        <w:rPr>
          <w:rFonts w:ascii="Times New Roman" w:hAnsi="Times New Roman" w:cs="Times New Roman"/>
          <w:sz w:val="24"/>
        </w:rPr>
        <w:t>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p>
      <w:pPr>
        <w:pStyle w:val="Overskrift2"/>
      </w:pPr>
      <w:r>
        <w:rPr>
          <w:rFonts w:ascii="Times New Roman" w:hAnsi="Times New Roman"/>
          <w:color w:val="000000"/>
          <w:sz w:val="32"/>
        </w:rPr>
        <w:t>9.3 Forslag til videre forskning</w:t>
      </w:r>
    </w:p>
    <w:p>
      <w:pPr>
        <w:spacing w:line="360" w:lineRule="auto"/>
        <w:jc w:val="both"/>
      </w:pPr>
      <w:r>
        <w:rPr>
          <w:rFonts w:ascii="Times New Roman" w:hAnsi="Times New Roman" w:cs="Times New Roman"/>
          <w:sz w:val="24"/>
        </w:rPr>
        <w:t xml:space="preserve">Studien åpner for tre retninger innen videre forskning: (1) En </w:t>
      </w:r>
      <w:r>
        <w:rPr>
          <w:rFonts w:ascii="Times New Roman" w:hAnsi="Times New Roman" w:cs="Times New Roman"/>
          <w:b/>
          <w:sz w:val="24"/>
        </w:rPr>
        <w:t>ROP-modul</w:t>
      </w:r>
      <w:r>
        <w:rPr>
          <w:rFonts w:ascii="Times New Roman" w:hAnsi="Times New Roman" w:cs="Times New Roman"/>
          <w:sz w:val="24"/>
        </w:rPr>
        <w:t xml:space="preserve"> som integrerer bestillingspunktberegning vil kreve at EINE-tabellen berikes med faktiske leveringstider, men vil gi anbefalinger om lagernivåer etter overføring. (2) </w:t>
      </w:r>
      <w:r>
        <w:rPr>
          <w:rFonts w:ascii="Times New Roman" w:hAnsi="Times New Roman" w:cs="Times New Roman"/>
          <w:b/>
          <w:sz w:val="24"/>
        </w:rPr>
        <w:t>Leverandørkonsolidering</w:t>
      </w:r>
      <w:r>
        <w:rPr>
          <w:rFonts w:ascii="Times New Roman" w:hAnsi="Times New Roman" w:cs="Times New Roman"/>
          <w:sz w:val="24"/>
        </w:rPr>
        <w:t xml:space="preserve"> via analyse av EKKO/EKPO kan avdekke om HVFS-kandidatene leveres av felles leverandører, noe som kan gi ytterligere besparelser utover ordrefrekvensoptimalisering. (3) </w:t>
      </w:r>
      <w:r>
        <w:rPr>
          <w:rFonts w:ascii="Times New Roman" w:hAnsi="Times New Roman" w:cs="Times New Roman"/>
          <w:b/>
          <w:sz w:val="24"/>
        </w:rPr>
        <w:t>Replikering</w:t>
      </w:r>
      <w:r>
        <w:rPr>
          <w:rFonts w:ascii="Times New Roman" w:hAnsi="Times New Roman" w:cs="Times New Roman"/>
          <w:sz w:val="24"/>
        </w:rPr>
        <w:t xml:space="preserve"> av rammeverket til andre WERKS i Helse Vest (Stavanger, Fonna, Førde) vil styrke den eksterne validiteten og gi grunnlag for differensiert HVFS-sentralisering per foretak.</w:t>
      </w:r>
    </w:p>
    <w:p>
      <w:pPr>
        <w:pStyle w:val="Overskrift1"/>
        <w:pageBreakBefore w:val="true"/>
      </w:pPr>
      <w:r>
        <w:rPr>
          <w:rFonts w:ascii="Times New Roman" w:hAnsi="Times New Roman"/>
          <w:color w:val="000000"/>
          <w:sz w:val="36"/>
        </w:rPr>
        <w:t>Referanseliste</w:t>
      </w:r>
    </w:p>
    <w:p>
      <w:pPr>
        <w:spacing w:line="240" w:lineRule="auto" w:after="120"/>
        <w:ind w:left="720" w:hanging="720"/>
        <w:jc w:val="both"/>
      </w:pPr>
      <w:r>
        <w:rPr>
          <w:rFonts w:ascii="Times New Roman" w:hAnsi="Times New Roman" w:cs="Times New Roman"/>
          <w:sz w:val="24"/>
        </w:rPr>
        <w:t xml:space="preserve">Bijvank, M., &amp; Vis, I. F. A. (2012). Inventory control for point-of-use locations in hospitals. </w:t>
      </w:r>
      <w:r>
        <w:rPr>
          <w:rFonts w:ascii="Times New Roman" w:hAnsi="Times New Roman" w:cs="Times New Roman"/>
          <w:i/>
          <w:sz w:val="24"/>
        </w:rPr>
        <w:t>Journal of the Operational Research Society</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497–510. https://doi.org/10.1057/jors.2011.52</w:t>
      </w:r>
    </w:p>
    <w:p>
      <w:pPr>
        <w:spacing w:line="240" w:lineRule="auto" w:after="120"/>
        <w:ind w:left="720" w:hanging="720"/>
        <w:jc w:val="both"/>
      </w:pPr>
      <w:r>
        <w:rPr>
          <w:rFonts w:ascii="Times New Roman" w:hAnsi="Times New Roman" w:cs="Times New Roman"/>
          <w:sz w:val="24"/>
        </w:rPr>
        <w:t xml:space="preserve">de Vries, J. (2011). The shaping of inventory systems in health services: A stakeholder analysis.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(1), 60–69. https://doi.org/10.1016/j.ijpe.2009.10.029</w:t>
      </w:r>
    </w:p>
    <w:p>
      <w:pPr>
        <w:spacing w:line="240" w:lineRule="auto" w:after="120"/>
        <w:ind w:left="720" w:hanging="720"/>
        <w:jc w:val="both"/>
      </w:pPr>
      <w:r>
        <w:rPr>
          <w:rFonts w:ascii="Times New Roman" w:hAnsi="Times New Roman" w:cs="Times New Roman"/>
          <w:sz w:val="24"/>
        </w:rPr>
        <w:t xml:space="preserve">Fragapane, G. I., Bertnum, A. B., Hvolby, H.-H., &amp; Strandhagen, J. O. (2019). Medical supplies to the point-of-use in hospitals. I </w:t>
      </w:r>
      <w:r>
        <w:rPr>
          <w:rFonts w:ascii="Times New Roman" w:hAnsi="Times New Roman" w:cs="Times New Roman"/>
          <w:i/>
          <w:sz w:val="24"/>
        </w:rPr>
        <w:t>IFIP International Conference on Advances in Production Management Systems (APMS)</w:t>
      </w:r>
      <w:r>
        <w:rPr>
          <w:rFonts w:ascii="Times New Roman" w:hAnsi="Times New Roman" w:cs="Times New Roman"/>
          <w:sz w:val="24"/>
        </w:rPr>
        <w:t xml:space="preserve"> (s. 248–255). Springer. https://doi.org/10.1007/978-3-030-29996-5_29</w:t>
      </w:r>
    </w:p>
    <w:p>
      <w:pPr>
        <w:spacing w:line="240" w:lineRule="auto" w:after="120"/>
        <w:ind w:left="720" w:hanging="720"/>
        <w:jc w:val="both"/>
      </w:pPr>
      <w:r>
        <w:rPr>
          <w:rFonts w:ascii="Times New Roman" w:hAnsi="Times New Roman" w:cs="Times New Roman"/>
          <w:sz w:val="24"/>
        </w:rPr>
        <w:t xml:space="preserve">Gupta, R., Gupta, K. K., Jain, B. R., &amp; Garg, R. K. (2007). ABC and VED analysis in medical stores inventory control. </w:t>
      </w:r>
      <w:r>
        <w:rPr>
          <w:rFonts w:ascii="Times New Roman" w:hAnsi="Times New Roman" w:cs="Times New Roman"/>
          <w:i/>
          <w:sz w:val="24"/>
        </w:rPr>
        <w:t>Medical Journal Armed Forces India</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325–327. https://doi.org/10.1016/S0377-1237(07)80005-2</w:t>
      </w:r>
    </w:p>
    <w:p>
      <w:pPr>
        <w:spacing w:line="240" w:lineRule="auto" w:after="120"/>
        <w:ind w:left="720" w:hanging="720"/>
        <w:jc w:val="both"/>
      </w:pPr>
      <w:r>
        <w:rPr>
          <w:rFonts w:ascii="Times New Roman" w:hAnsi="Times New Roman" w:cs="Times New Roman"/>
          <w:sz w:val="24"/>
        </w:rPr>
        <w:t xml:space="preserve">Gurumurthy, A., Nair, V. K., &amp; Vinodh, S. (2021). Application of a hybrid selective inventory control technique in a hospital: A precursor for inventory reduction through lean thinking. </w:t>
      </w:r>
      <w:r>
        <w:rPr>
          <w:rFonts w:ascii="Times New Roman" w:hAnsi="Times New Roman" w:cs="Times New Roman"/>
          <w:i/>
          <w:sz w:val="24"/>
        </w:rPr>
        <w:t>The TQM Journal</w:t>
      </w:r>
      <w:r>
        <w:rPr>
          <w:rFonts w:ascii="Times New Roman" w:hAnsi="Times New Roman" w:cs="Times New Roman"/>
          <w:sz w:val="24"/>
        </w:rPr>
        <w:t xml:space="preserve">, </w:t>
      </w:r>
      <w:r>
        <w:rPr>
          <w:rFonts w:ascii="Times New Roman" w:hAnsi="Times New Roman" w:cs="Times New Roman"/>
          <w:i/>
          <w:sz w:val="24"/>
        </w:rPr>
        <w:t>33</w:t>
      </w:r>
      <w:r>
        <w:rPr>
          <w:rFonts w:ascii="Times New Roman" w:hAnsi="Times New Roman" w:cs="Times New Roman"/>
          <w:sz w:val="24"/>
        </w:rPr>
        <w:t>(3), 568–595. https://doi.org/10.1108/TQM-06-2020-0123</w:t>
      </w:r>
    </w:p>
    <w:p>
      <w:pPr>
        <w:spacing w:line="240" w:lineRule="auto" w:after="120"/>
        <w:ind w:left="720" w:hanging="720"/>
        <w:jc w:val="both"/>
      </w:pPr>
      <w:r>
        <w:rPr>
          <w:rFonts w:ascii="Times New Roman" w:hAnsi="Times New Roman" w:cs="Times New Roman"/>
          <w:sz w:val="24"/>
        </w:rPr>
        <w:t xml:space="preserve">Hautaniemi, P., &amp; Pirttilä, T. (1999). The choice of replenishment policies in an MRP environment.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59</w:t>
      </w:r>
      <w:r>
        <w:rPr>
          <w:rFonts w:ascii="Times New Roman" w:hAnsi="Times New Roman" w:cs="Times New Roman"/>
          <w:sz w:val="24"/>
        </w:rPr>
        <w:t>(1–3), 85–92. https://doi.org/10.1016/S0925-5273(98)00026-7</w:t>
      </w:r>
    </w:p>
    <w:p>
      <w:pPr>
        <w:spacing w:line="240" w:lineRule="auto" w:after="120"/>
        <w:ind w:left="720" w:hanging="720"/>
        <w:jc w:val="both"/>
      </w:pPr>
      <w:r>
        <w:rPr>
          <w:rFonts w:ascii="Times New Roman" w:hAnsi="Times New Roman" w:cs="Times New Roman"/>
          <w:sz w:val="24"/>
        </w:rPr>
        <w:t xml:space="preserve">Helse Vest RHF. (2024). </w:t>
      </w:r>
      <w:r>
        <w:rPr>
          <w:rFonts w:ascii="Times New Roman" w:hAnsi="Times New Roman" w:cs="Times New Roman"/>
          <w:i/>
          <w:sz w:val="24"/>
        </w:rPr>
        <w:t>Kontraktstildeling: Drift av regionalt forsyningssenter</w:t>
      </w:r>
      <w:r>
        <w:rPr>
          <w:rFonts w:ascii="Times New Roman" w:hAnsi="Times New Roman" w:cs="Times New Roman"/>
          <w:sz w:val="24"/>
        </w:rPr>
        <w:t xml:space="preserve"> [Kunngjøring om inngått kontrakt, kunngjøring 2024-101803]. Doffin – database for offentlige innkjøp. https://doffin.no/notices/2024-101803</w:t>
      </w:r>
    </w:p>
    <w:p>
      <w:pPr>
        <w:spacing w:line="240" w:lineRule="auto" w:after="120"/>
        <w:ind w:left="720" w:hanging="720"/>
        <w:jc w:val="both"/>
      </w:pPr>
      <w:r>
        <w:rPr>
          <w:rFonts w:ascii="Times New Roman" w:hAnsi="Times New Roman" w:cs="Times New Roman"/>
          <w:sz w:val="24"/>
        </w:rPr>
        <w:t xml:space="preserve">Kelle, P., Woosley, J., &amp; Schneider, H. (2012). Pharmaceutical supply chain specifics and inventory solutions for a hospital case. </w:t>
      </w:r>
      <w:r>
        <w:rPr>
          <w:rFonts w:ascii="Times New Roman" w:hAnsi="Times New Roman" w:cs="Times New Roman"/>
          <w:i/>
          <w:sz w:val="24"/>
        </w:rPr>
        <w:t>Operations Research for Health Care</w:t>
      </w:r>
      <w:r>
        <w:rPr>
          <w:rFonts w:ascii="Times New Roman" w:hAnsi="Times New Roman" w:cs="Times New Roman"/>
          <w:sz w:val="24"/>
        </w:rPr>
        <w:t xml:space="preserve">, </w:t>
      </w:r>
      <w:r>
        <w:rPr>
          <w:rFonts w:ascii="Times New Roman" w:hAnsi="Times New Roman" w:cs="Times New Roman"/>
          <w:i/>
          <w:sz w:val="24"/>
        </w:rPr>
        <w:t>1</w:t>
      </w:r>
      <w:r>
        <w:rPr>
          <w:rFonts w:ascii="Times New Roman" w:hAnsi="Times New Roman" w:cs="Times New Roman"/>
          <w:sz w:val="24"/>
        </w:rPr>
        <w:t>(2–3), 54–63. https://doi.org/10.1016/j.orhc.2012.07.001</w:t>
      </w:r>
    </w:p>
    <w:p>
      <w:pPr>
        <w:spacing w:line="240" w:lineRule="auto" w:after="120"/>
        <w:ind w:left="720" w:hanging="720"/>
        <w:jc w:val="both"/>
      </w:pPr>
      <w:r>
        <w:rPr>
          <w:rFonts w:ascii="Times New Roman" w:hAnsi="Times New Roman" w:cs="Times New Roman"/>
          <w:sz w:val="24"/>
        </w:rPr>
        <w:t xml:space="preserve">Keshavarz Ghorabaee, M., Zavadskas, E. K., Olfat, L., &amp; Turskis, Z. (2015). Multi-criteria inventory classification using a new method of evaluation based on distance from average solution (EDAS). </w:t>
      </w:r>
      <w:r>
        <w:rPr>
          <w:rFonts w:ascii="Times New Roman" w:hAnsi="Times New Roman" w:cs="Times New Roman"/>
          <w:i/>
          <w:sz w:val="24"/>
        </w:rPr>
        <w:t>Informatica</w:t>
      </w:r>
      <w:r>
        <w:rPr>
          <w:rFonts w:ascii="Times New Roman" w:hAnsi="Times New Roman" w:cs="Times New Roman"/>
          <w:sz w:val="24"/>
        </w:rPr>
        <w:t xml:space="preserve">, </w:t>
      </w:r>
      <w:r>
        <w:rPr>
          <w:rFonts w:ascii="Times New Roman" w:hAnsi="Times New Roman" w:cs="Times New Roman"/>
          <w:i/>
          <w:sz w:val="24"/>
        </w:rPr>
        <w:t>26</w:t>
      </w:r>
      <w:r>
        <w:rPr>
          <w:rFonts w:ascii="Times New Roman" w:hAnsi="Times New Roman" w:cs="Times New Roman"/>
          <w:sz w:val="24"/>
        </w:rPr>
        <w:t>(3), 435–451. https://doi.org/10.15388/Informatica.2015.57</w:t>
      </w:r>
    </w:p>
    <w:p>
      <w:pPr>
        <w:spacing w:line="240" w:lineRule="auto" w:after="120"/>
        <w:ind w:left="720" w:hanging="720"/>
        <w:jc w:val="both"/>
      </w:pPr>
      <w:r>
        <w:rPr>
          <w:rFonts w:ascii="Times New Roman" w:hAnsi="Times New Roman" w:cs="Times New Roman"/>
          <w:sz w:val="24"/>
        </w:rPr>
        <w:t xml:space="preserve">Ketkar, M., &amp; Vaidya, O. S. (2014). Developing ordering policy based on multiple inventory classification schemes. </w:t>
      </w:r>
      <w:r>
        <w:rPr>
          <w:rFonts w:ascii="Times New Roman" w:hAnsi="Times New Roman" w:cs="Times New Roman"/>
          <w:i/>
          <w:sz w:val="24"/>
        </w:rPr>
        <w:t>Procedia – Social and Behavioral Sciences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 180–188. https://doi.org/10.1016/j.sbspro.2014.04.183</w:t>
      </w:r>
    </w:p>
    <w:p>
      <w:pPr>
        <w:spacing w:line="240" w:lineRule="auto" w:after="120"/>
        <w:ind w:left="720" w:hanging="720"/>
        <w:jc w:val="both"/>
      </w:pPr>
      <w:r>
        <w:rPr>
          <w:rFonts w:ascii="Times New Roman" w:hAnsi="Times New Roman" w:cs="Times New Roman"/>
          <w:sz w:val="24"/>
        </w:rPr>
        <w:t xml:space="preserve">McKinney, W. (2010). Data structures for statistical computing in Python. I S. van der Walt &amp; J. Millman (Red.), </w:t>
      </w:r>
      <w:r>
        <w:rPr>
          <w:rFonts w:ascii="Times New Roman" w:hAnsi="Times New Roman" w:cs="Times New Roman"/>
          <w:i/>
          <w:sz w:val="24"/>
        </w:rPr>
        <w:t>Proceedings of the 9th Python in Science Conference</w:t>
      </w:r>
      <w:r>
        <w:rPr>
          <w:rFonts w:ascii="Times New Roman" w:hAnsi="Times New Roman" w:cs="Times New Roman"/>
          <w:sz w:val="24"/>
        </w:rPr>
        <w:t xml:space="preserve"> (s. 56–61). https://doi.org/10.25080/Majora-92bf1922-00a</w:t>
      </w:r>
    </w:p>
    <w:p>
      <w:pPr>
        <w:spacing w:line="240" w:lineRule="auto" w:after="120"/>
        <w:ind w:left="720" w:hanging="720"/>
        <w:jc w:val="both"/>
      </w:pPr>
      <w:r>
        <w:rPr>
          <w:rFonts w:ascii="Times New Roman" w:hAnsi="Times New Roman" w:cs="Times New Roman"/>
          <w:sz w:val="24"/>
        </w:rPr>
        <w:t xml:space="preserve">Moons, K., Waeyenbergh, G., &amp; Pintelon, L. (2019). Measuring the logistics performance of internal hospital supply chains – A literature study.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82</w:t>
      </w:r>
      <w:r>
        <w:rPr>
          <w:rFonts w:ascii="Times New Roman" w:hAnsi="Times New Roman" w:cs="Times New Roman"/>
          <w:sz w:val="24"/>
        </w:rPr>
        <w:t>, 205–217. https://doi.org/10.1016/j.omega.2018.01.007</w:t>
      </w:r>
    </w:p>
    <w:p>
      <w:pPr>
        <w:spacing w:line="240" w:lineRule="auto" w:after="120"/>
        <w:ind w:left="720" w:hanging="720"/>
        <w:jc w:val="both"/>
      </w:pPr>
      <w:r>
        <w:rPr>
          <w:rFonts w:ascii="Times New Roman" w:hAnsi="Times New Roman" w:cs="Times New Roman"/>
          <w:sz w:val="24"/>
        </w:rPr>
        <w:t xml:space="preserve">Nowotyńska, I. (2013). An application of XYZ analysis in company stock management. </w:t>
      </w:r>
      <w:r>
        <w:rPr>
          <w:rFonts w:ascii="Times New Roman" w:hAnsi="Times New Roman" w:cs="Times New Roman"/>
          <w:i/>
          <w:sz w:val="24"/>
        </w:rPr>
        <w:t>Modern Management Review</w:t>
      </w:r>
      <w:r>
        <w:rPr>
          <w:rFonts w:ascii="Times New Roman" w:hAnsi="Times New Roman" w:cs="Times New Roman"/>
          <w:sz w:val="24"/>
        </w:rPr>
        <w:t xml:space="preserve">, </w:t>
      </w:r>
      <w:r>
        <w:rPr>
          <w:rFonts w:ascii="Times New Roman" w:hAnsi="Times New Roman" w:cs="Times New Roman"/>
          <w:i/>
          <w:sz w:val="24"/>
        </w:rPr>
        <w:t>XVIII</w:t>
      </w:r>
      <w:r>
        <w:rPr>
          <w:rFonts w:ascii="Times New Roman" w:hAnsi="Times New Roman" w:cs="Times New Roman"/>
          <w:sz w:val="24"/>
        </w:rPr>
        <w:t>(20), 77–86.</w:t>
      </w:r>
    </w:p>
    <w:p>
      <w:pPr>
        <w:spacing w:line="240" w:lineRule="auto" w:after="120"/>
        <w:ind w:left="720" w:hanging="720"/>
        <w:jc w:val="both"/>
      </w:pPr>
      <w:r>
        <w:rPr>
          <w:rFonts w:ascii="Times New Roman" w:hAnsi="Times New Roman" w:cs="Times New Roman"/>
          <w:sz w:val="24"/>
        </w:rPr>
        <w:t xml:space="preserve">Partovi, F. Y., &amp; Burton, J. (1993). Using the analytic hierarchy process for ABC analysis.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13</w:t>
      </w:r>
      <w:r>
        <w:rPr>
          <w:rFonts w:ascii="Times New Roman" w:hAnsi="Times New Roman" w:cs="Times New Roman"/>
          <w:sz w:val="24"/>
        </w:rPr>
        <w:t>(9), 29–44. https://doi.org/10.1108/01443579310043619</w:t>
      </w:r>
    </w:p>
    <w:p>
      <w:pPr>
        <w:spacing w:line="240" w:lineRule="auto" w:after="120"/>
        <w:ind w:left="720" w:hanging="720"/>
        <w:jc w:val="both"/>
      </w:pPr>
      <w:r>
        <w:rPr>
          <w:rFonts w:ascii="Times New Roman" w:hAnsi="Times New Roman" w:cs="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i/>
          <w:sz w:val="24"/>
        </w:rPr>
        <w:t>Journal of Machine Learning Research</w:t>
      </w:r>
      <w:r>
        <w:rPr>
          <w:rFonts w:ascii="Times New Roman" w:hAnsi="Times New Roman" w:cs="Times New Roman"/>
          <w:sz w:val="24"/>
        </w:rPr>
        <w:t xml:space="preserve">, </w:t>
      </w:r>
      <w:r>
        <w:rPr>
          <w:rFonts w:ascii="Times New Roman" w:hAnsi="Times New Roman" w:cs="Times New Roman"/>
          <w:i/>
          <w:sz w:val="24"/>
        </w:rPr>
        <w:t>12</w:t>
      </w:r>
      <w:r>
        <w:rPr>
          <w:rFonts w:ascii="Times New Roman" w:hAnsi="Times New Roman" w:cs="Times New Roman"/>
          <w:sz w:val="24"/>
        </w:rPr>
        <w:t>, 2825–2830. https://jmlr.org/papers/v12/pedregosa11a.html</w:t>
      </w:r>
    </w:p>
    <w:p>
      <w:pPr>
        <w:spacing w:line="240" w:lineRule="auto" w:after="120"/>
        <w:ind w:left="720" w:hanging="720"/>
        <w:jc w:val="both"/>
      </w:pPr>
      <w:r>
        <w:rPr>
          <w:rFonts w:ascii="Times New Roman" w:hAnsi="Times New Roman" w:cs="Times New Roman"/>
          <w:sz w:val="24"/>
        </w:rPr>
        <w:t xml:space="preserve">Pujawan, I. N. (2004). The effect of lot sizing rules on order variability. </w:t>
      </w:r>
      <w:r>
        <w:rPr>
          <w:rFonts w:ascii="Times New Roman" w:hAnsi="Times New Roman" w:cs="Times New Roman"/>
          <w:i/>
          <w:sz w:val="24"/>
        </w:rPr>
        <w:t>European Journal of Operational Research</w:t>
      </w:r>
      <w:r>
        <w:rPr>
          <w:rFonts w:ascii="Times New Roman" w:hAnsi="Times New Roman" w:cs="Times New Roman"/>
          <w:sz w:val="24"/>
        </w:rPr>
        <w:t xml:space="preserve">, </w:t>
      </w:r>
      <w:r>
        <w:rPr>
          <w:rFonts w:ascii="Times New Roman" w:hAnsi="Times New Roman" w:cs="Times New Roman"/>
          <w:i/>
          <w:sz w:val="24"/>
        </w:rPr>
        <w:t>159</w:t>
      </w:r>
      <w:r>
        <w:rPr>
          <w:rFonts w:ascii="Times New Roman" w:hAnsi="Times New Roman" w:cs="Times New Roman"/>
          <w:sz w:val="24"/>
        </w:rPr>
        <w:t>(3), 617–635. https://doi.org/10.1016/S0377-2217(03)00419-3</w:t>
      </w:r>
    </w:p>
    <w:p>
      <w:pPr>
        <w:spacing w:line="240" w:lineRule="auto" w:after="120"/>
        <w:ind w:left="720" w:hanging="720"/>
        <w:jc w:val="both"/>
      </w:pPr>
      <w:r>
        <w:rPr>
          <w:rFonts w:ascii="Times New Roman" w:hAnsi="Times New Roman" w:cs="Times New Roman"/>
          <w:sz w:val="24"/>
        </w:rPr>
        <w:t xml:space="preserve">Rekdal, O. B., &amp; Pettersen, B. I. A. (2025). </w:t>
      </w:r>
      <w:r>
        <w:rPr>
          <w:rFonts w:ascii="Times New Roman" w:hAnsi="Times New Roman" w:cs="Times New Roman"/>
          <w:i/>
          <w:sz w:val="24"/>
        </w:rPr>
        <w:t>Vitenskapelig skriving – en praktisk innføring</w:t>
      </w:r>
      <w:r>
        <w:rPr>
          <w:rFonts w:ascii="Times New Roman" w:hAnsi="Times New Roman" w:cs="Times New Roman"/>
          <w:sz w:val="24"/>
        </w:rPr>
        <w:t xml:space="preserve"> [Upublisert undervisningsmateriell]. Høgskolen i Molde.</w:t>
      </w:r>
    </w:p>
    <w:p>
      <w:pPr>
        <w:spacing w:line="240" w:lineRule="auto" w:after="120"/>
        <w:ind w:left="720" w:hanging="720"/>
        <w:jc w:val="both"/>
      </w:pPr>
      <w:r>
        <w:rPr>
          <w:rFonts w:ascii="Times New Roman" w:hAnsi="Times New Roman" w:cs="Times New Roman"/>
          <w:sz w:val="24"/>
        </w:rPr>
        <w:t xml:space="preserve">Rousseeuw, P. J. (1987). Silhouettes: A graphical aid to the interpretation and validation of cluster analysis. </w:t>
      </w:r>
      <w:r>
        <w:rPr>
          <w:rFonts w:ascii="Times New Roman" w:hAnsi="Times New Roman" w:cs="Times New Roman"/>
          <w:i/>
          <w:sz w:val="24"/>
        </w:rPr>
        <w:t>Journal of Computational and Applied Mathematics</w:t>
      </w:r>
      <w:r>
        <w:rPr>
          <w:rFonts w:ascii="Times New Roman" w:hAnsi="Times New Roman" w:cs="Times New Roman"/>
          <w:sz w:val="24"/>
        </w:rPr>
        <w:t xml:space="preserve">, </w:t>
      </w:r>
      <w:r>
        <w:rPr>
          <w:rFonts w:ascii="Times New Roman" w:hAnsi="Times New Roman" w:cs="Times New Roman"/>
          <w:i/>
          <w:sz w:val="24"/>
        </w:rPr>
        <w:t>20</w:t>
      </w:r>
      <w:r>
        <w:rPr>
          <w:rFonts w:ascii="Times New Roman" w:hAnsi="Times New Roman" w:cs="Times New Roman"/>
          <w:sz w:val="24"/>
        </w:rPr>
        <w:t>, 53–65. https://doi.org/10.1016/0377-0427(87)90125-7</w:t>
      </w:r>
    </w:p>
    <w:p>
      <w:pPr>
        <w:spacing w:line="240" w:lineRule="auto" w:after="120"/>
        <w:ind w:left="720" w:hanging="720"/>
        <w:jc w:val="both"/>
      </w:pPr>
      <w:r>
        <w:rPr>
          <w:rFonts w:ascii="Times New Roman" w:hAnsi="Times New Roman" w:cs="Times New Roman"/>
          <w:sz w:val="24"/>
        </w:rPr>
        <w:t xml:space="preserve">Saha, E., &amp; Ray, P. K. (2019). Modelling and analysis of inventory management systems in healthcare: A review and reflections.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137</w:t>
      </w:r>
      <w:r>
        <w:rPr>
          <w:rFonts w:ascii="Times New Roman" w:hAnsi="Times New Roman" w:cs="Times New Roman"/>
          <w:sz w:val="24"/>
        </w:rPr>
        <w:t>, 106051. https://doi.org/10.1016/j.cie.2019.106051</w:t>
      </w:r>
    </w:p>
    <w:p>
      <w:pPr>
        <w:spacing w:line="240" w:lineRule="auto" w:after="120"/>
        <w:ind w:left="720" w:hanging="720"/>
        <w:jc w:val="both"/>
      </w:pPr>
      <w:r>
        <w:rPr>
          <w:rFonts w:ascii="Times New Roman" w:hAnsi="Times New Roman" w:cs="Times New Roman"/>
          <w:sz w:val="24"/>
        </w:rPr>
        <w:t xml:space="preserve">Silaen, B. R., Nasution, M., &amp; Muti'ah, R. (2023). Implementation of the ABC analysis to the inventory management. </w:t>
      </w:r>
      <w:r>
        <w:rPr>
          <w:rFonts w:ascii="Times New Roman" w:hAnsi="Times New Roman" w:cs="Times New Roman"/>
          <w:i/>
          <w:sz w:val="24"/>
        </w:rPr>
        <w:t>International Journal of Science, Technology &amp; Management</w:t>
      </w:r>
      <w:r>
        <w:rPr>
          <w:rFonts w:ascii="Times New Roman" w:hAnsi="Times New Roman" w:cs="Times New Roman"/>
          <w:sz w:val="24"/>
        </w:rPr>
        <w:t xml:space="preserve">, </w:t>
      </w:r>
      <w:r>
        <w:rPr>
          <w:rFonts w:ascii="Times New Roman" w:hAnsi="Times New Roman" w:cs="Times New Roman"/>
          <w:i/>
          <w:sz w:val="24"/>
        </w:rPr>
        <w:t>4</w:t>
      </w:r>
      <w:r>
        <w:rPr>
          <w:rFonts w:ascii="Times New Roman" w:hAnsi="Times New Roman" w:cs="Times New Roman"/>
          <w:sz w:val="24"/>
        </w:rPr>
        <w:t>(4), 815–822. https://doi.org/10.46729/ijstm.v4i4.886</w:t>
      </w:r>
    </w:p>
    <w:p>
      <w:pPr>
        <w:spacing w:line="240" w:lineRule="auto" w:after="120"/>
        <w:ind w:left="720" w:hanging="720"/>
        <w:jc w:val="both"/>
      </w:pPr>
      <w:r>
        <w:rPr>
          <w:rFonts w:ascii="Times New Roman" w:hAnsi="Times New Roman" w:cs="Times New Roman"/>
          <w:sz w:val="24"/>
        </w:rPr>
        <w:t xml:space="preserve">Srinivasan, M., &amp; Moon, Y. B. (1999). A comprehensive clustering algorithm for strategic analysis of supply chain networks.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36</w:t>
      </w:r>
      <w:r>
        <w:rPr>
          <w:rFonts w:ascii="Times New Roman" w:hAnsi="Times New Roman" w:cs="Times New Roman"/>
          <w:sz w:val="24"/>
        </w:rPr>
        <w:t>, 615–633. https://doi.org/10.1016/S0360-8352(99)00155-2</w:t>
      </w:r>
    </w:p>
    <w:p>
      <w:pPr>
        <w:spacing w:line="240" w:lineRule="auto" w:after="120"/>
        <w:ind w:left="720" w:hanging="720"/>
        <w:jc w:val="both"/>
      </w:pPr>
      <w:r>
        <w:rPr>
          <w:rFonts w:ascii="Times New Roman" w:hAnsi="Times New Roman" w:cs="Times New Roman"/>
          <w:sz w:val="24"/>
        </w:rPr>
        <w:t xml:space="preserve">Suryaputri, Z., Gabriel, D. S., &amp; Nurcahyo, R. (2022). Integration of ABC-XYZ analysis in inventory management optimization: A case study in the health industry. I </w:t>
      </w:r>
      <w:r>
        <w:rPr>
          <w:rFonts w:ascii="Times New Roman" w:hAnsi="Times New Roman" w:cs="Times New Roman"/>
          <w:i/>
          <w:sz w:val="24"/>
        </w:rPr>
        <w:t>Proceedings of the International Conference on Industrial Engineering and Operations Management</w:t>
      </w:r>
      <w:r>
        <w:rPr>
          <w:rFonts w:ascii="Times New Roman" w:hAnsi="Times New Roman" w:cs="Times New Roman"/>
          <w:sz w:val="24"/>
        </w:rPr>
        <w:t xml:space="preserve"> (s. 351–360). IEOM Society International.</w:t>
      </w:r>
    </w:p>
    <w:p>
      <w:pPr>
        <w:spacing w:line="240" w:lineRule="auto" w:after="120"/>
        <w:ind w:left="720" w:hanging="720"/>
        <w:jc w:val="both"/>
      </w:pPr>
      <w:r>
        <w:rPr>
          <w:rFonts w:ascii="Times New Roman" w:hAnsi="Times New Roman" w:cs="Times New Roman"/>
          <w:sz w:val="24"/>
        </w:rPr>
        <w:t xml:space="preserve">van Kampen, T. J., Akkerman, R., &amp; van Donk, D. P. (2012). SKU classification: A literature review and conceptual framework.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32</w:t>
      </w:r>
      <w:r>
        <w:rPr>
          <w:rFonts w:ascii="Times New Roman" w:hAnsi="Times New Roman" w:cs="Times New Roman"/>
          <w:sz w:val="24"/>
        </w:rPr>
        <w:t>(7), 850–876. https://doi.org/10.1108/01443571211250112</w:t>
      </w:r>
    </w:p>
    <w:p>
      <w:pPr>
        <w:spacing w:line="240" w:lineRule="auto" w:after="120"/>
        <w:ind w:left="720" w:hanging="720"/>
        <w:jc w:val="both"/>
      </w:pPr>
      <w:r>
        <w:rPr>
          <w:rFonts w:ascii="Times New Roman" w:hAnsi="Times New Roman" w:cs="Times New Roman"/>
          <w:sz w:val="24"/>
        </w:rPr>
        <w:t xml:space="preserve">Volland, J., Fügener, A., Schoenfelder, J., &amp; Brunner, J. O. (2017). Material logistics in hospitals: A literature review.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69</w:t>
      </w:r>
      <w:r>
        <w:rPr>
          <w:rFonts w:ascii="Times New Roman" w:hAnsi="Times New Roman" w:cs="Times New Roman"/>
          <w:sz w:val="24"/>
        </w:rPr>
        <w:t>, 82–101. https://doi.org/10.1016/j.omega.2016.08.004</w:t>
      </w:r>
    </w:p>
    <w:p>
      <w:pPr>
        <w:pStyle w:val="Overskrift1"/>
        <w:pageBreakBefore w:val="true"/>
      </w:pPr>
      <w:r>
        <w:rPr>
          <w:rFonts w:ascii="Times New Roman" w:hAnsi="Times New Roman"/>
          <w:color w:val="000000"/>
          <w:sz w:val="36"/>
        </w:rPr>
        <w:t>Vedlegg</w:t>
      </w:r>
    </w:p>
    <w:p>
      <w:pPr>
        <w:pStyle w:val="Overskrift2"/>
      </w:pPr>
      <w:r>
        <w:rPr>
          <w:rFonts w:ascii="Times New Roman" w:hAnsi="Times New Roman"/>
          <w:color w:val="000000"/>
          <w:sz w:val="32"/>
        </w:rPr>
        <w:t>Vedlegg A – SAP-dataspesifikasjon</w:t>
      </w:r>
    </w:p>
    <w:p>
      <w:pPr>
        <w:spacing w:line="360" w:lineRule="auto"/>
        <w:jc w:val="both"/>
      </w:pPr>
      <w:r>
        <w:rPr>
          <w:rFonts w:ascii="Times New Roman" w:hAnsi="Times New Roman" w:cs="Times New Roman"/>
          <w:sz w:val="24"/>
        </w:rPr>
        <w:t>Se Tabell 4 i avsnitt 4.2 for fullstendig oversikt over de 14 SAP S/4HANA-tabellene. Alle datavalgsbeslutninger (D-01 til D-08) er dokumentert i Tabell 5 i hovedteksten.</w:t>
      </w:r>
    </w:p>
    <w:p>
      <w:pPr>
        <w:pStyle w:val="Overskrift2"/>
      </w:pPr>
      <w:r>
        <w:rPr>
          <w:rFonts w:ascii="Times New Roman" w:hAnsi="Times New Roman"/>
          <w:color w:val="000000"/>
          <w:sz w:val="32"/>
        </w:rPr>
        <w:t>Vedlegg B – Python-analyseverktøy</w:t>
      </w:r>
    </w:p>
    <w:p>
      <w:pPr>
        <w:spacing w:line="360" w:lineRule="auto"/>
        <w:jc w:val="both"/>
      </w:pPr>
      <w:r>
        <w:rPr>
          <w:rFonts w:ascii="Times New Roman" w:hAnsi="Times New Roman" w:cs="Times New Roman"/>
          <w:sz w:val="24"/>
        </w:rPr>
        <w:t>Analyseverktøyet er implementert i Python 3.13 og består av to hovedkomponenter:</w:t>
      </w:r>
    </w:p>
    <w:p>
      <w:pPr>
        <w:spacing w:line="360" w:lineRule="auto"/>
        <w:jc w:val="both"/>
      </w:pPr>
      <w:r>
        <w:rPr>
          <w:rFonts w:ascii="Times New Roman" w:hAnsi="Times New Roman" w:cs="Times New Roman"/>
          <w:b/>
          <w:sz w:val="24"/>
        </w:rPr>
        <w:t>Hovedscript:</w:t>
      </w:r>
      <w:r>
        <w:rPr>
          <w:rFonts w:ascii="Times New Roman" w:hAnsi="Times New Roman" w:cs="Times New Roman"/>
          <w:sz w:val="24"/>
        </w:rPr>
        <w:t xml:space="preserve"> </w:t>
      </w:r>
      <w:r>
        <w:rPr>
          <w:rFonts w:ascii="Consolas" w:hAnsi="Consolas" w:cs="Consolas"/>
          <w:sz w:val="20"/>
          <w:shd w:val="clear" w:color="auto" w:fill="F4F4F4"/>
        </w:rPr>
        <w:t>LOG650_analyse_v2_7.py</w:t>
      </w:r>
      <w:r>
        <w:rPr>
          <w:rFonts w:ascii="Times New Roman" w:hAnsi="Times New Roman" w:cs="Times New Roman"/>
          <w:sz w:val="24"/>
        </w:rPr>
        <w:t xml:space="preserve"> – deterministisk analysepipeline som leser MASTERFILE V1.xlsx og produserer alle klassifiseringer, K-means-modellen, regelmotoranbefalinger og besparelsesestimater. Outputformat: Excel (LOG650_Resultater.xlsx) med separate ark for hvert analysesteg.</w:t>
      </w:r>
    </w:p>
    <w:p>
      <w:pPr>
        <w:spacing w:line="360" w:lineRule="auto"/>
        <w:jc w:val="both"/>
      </w:pPr>
      <w:r>
        <w:rPr>
          <w:rFonts w:ascii="Times New Roman" w:hAnsi="Times New Roman" w:cs="Times New Roman"/>
          <w:b/>
          <w:sz w:val="24"/>
        </w:rPr>
        <w:t>Figurscripts:</w:t>
      </w:r>
      <w:r>
        <w:rPr>
          <w:rFonts w:ascii="Times New Roman" w:hAnsi="Times New Roman" w:cs="Times New Roman"/>
          <w:sz w:val="24"/>
        </w:rPr>
        <w:t xml:space="preserve"> 12 separate Python-scripts (</w:t>
      </w:r>
      <w:r>
        <w:rPr>
          <w:rFonts w:ascii="Consolas" w:hAnsi="Consolas" w:cs="Consolas"/>
          <w:sz w:val="20"/>
          <w:shd w:val="clear" w:color="auto" w:fill="F4F4F4"/>
        </w:rPr>
        <w:t>plot_*.py</w:t>
      </w:r>
      <w:r>
        <w:rPr>
          <w:rFonts w:ascii="Times New Roman" w:hAnsi="Times New Roman" w:cs="Times New Roman"/>
          <w:sz w:val="24"/>
        </w:rPr>
        <w:t>) som genererer figurene Fig00–Fig11 i konsistent stil (serif-font, 300 dpi, felles fargepalett).</w:t>
      </w:r>
    </w:p>
    <w:p>
      <w:pPr>
        <w:spacing w:line="360" w:lineRule="auto"/>
        <w:jc w:val="both"/>
      </w:pPr>
      <w:r>
        <w:rPr>
          <w:rFonts w:ascii="Times New Roman" w:hAnsi="Times New Roman" w:cs="Times New Roman"/>
          <w:b/>
          <w:sz w:val="24"/>
        </w:rPr>
        <w:t>Nøkkelbibliotek:</w:t>
      </w:r>
      <w:r>
        <w:rPr>
          <w:rFonts w:ascii="Times New Roman" w:hAnsi="Times New Roman" w:cs="Times New Roman"/>
          <w:sz w:val="24"/>
        </w:rPr>
        <w:t xml:space="preserve"> pandas 2.2.2 (datastrukturer), numpy 1.26.4 (numeriske beregninger), scikit-learn 1.4.2 (KMeans, StandardScaler, silhouette\_score, train\_test\_split), matplotlib 3.8.4 (visualisering), openpyxl 3.1.2 (Excel-lesing), xlsxwriter 3.2.0 (Excel-skriving).</w:t>
      </w:r>
    </w:p>
    <w:p>
      <w:pPr>
        <w:spacing w:line="360" w:lineRule="auto"/>
        <w:jc w:val="both"/>
      </w:pPr>
      <w:r>
        <w:rPr>
          <w:rFonts w:ascii="Times New Roman" w:hAnsi="Times New Roman" w:cs="Times New Roman"/>
          <w:b/>
          <w:sz w:val="24"/>
        </w:rPr>
        <w:t>Reproduserbarhet:</w:t>
      </w:r>
      <w:r>
        <w:rPr>
          <w:rFonts w:ascii="Times New Roman" w:hAnsi="Times New Roman" w:cs="Times New Roman"/>
          <w:sz w:val="24"/>
        </w:rPr>
        <w:t xml:space="preserve"> Alle scripts bruker </w:t>
      </w:r>
      <w:r>
        <w:rPr>
          <w:rFonts w:ascii="Consolas" w:hAnsi="Consolas" w:cs="Consolas"/>
          <w:sz w:val="20"/>
          <w:shd w:val="clear" w:color="auto" w:fill="F4F4F4"/>
        </w:rPr>
        <w:t>random_state=42</w:t>
      </w:r>
      <w:r>
        <w:rPr>
          <w:rFonts w:ascii="Times New Roman" w:hAnsi="Times New Roman" w:cs="Times New Roman"/>
          <w:sz w:val="24"/>
        </w:rPr>
        <w:t xml:space="preserve"> for deterministisk output. Gjentatt kjøring med samme inputdata gir identiske resultater.</w:t>
      </w:r>
    </w:p>
    <w:p>
      <w:pPr>
        <w:spacing w:line="360" w:lineRule="auto"/>
        <w:jc w:val="both"/>
      </w:pPr>
      <w:r>
        <w:rPr>
          <w:rFonts w:ascii="Times New Roman" w:hAnsi="Times New Roman" w:cs="Times New Roman"/>
          <w:sz w:val="24"/>
        </w:rPr>
        <w:t>Fullstendig kildekode er tilgjengelig i prosjektets GitHub-repository.</w:t>
      </w:r>
    </w:p>
    <w:p>
      <w:pPr>
        <w:pStyle w:val="Overskrift2"/>
      </w:pPr>
      <w:r>
        <w:rPr>
          <w:rFonts w:ascii="Times New Roman" w:hAnsi="Times New Roman"/>
          <w:color w:val="000000"/>
          <w:sz w:val="32"/>
        </w:rPr>
        <w:t>Vedlegg C – Erklæring om bruk av kunstig intelligens</w:t>
      </w:r>
    </w:p>
    <w:p>
      <w:pPr>
        <w:spacing w:line="360" w:lineRule="auto"/>
        <w:jc w:val="both"/>
      </w:pPr>
      <w:r>
        <w:rPr>
          <w:rFonts w:ascii="Times New Roman" w:hAnsi="Times New Roman" w:cs="Times New Roman"/>
          <w:sz w:val="24"/>
        </w:rPr>
        <w:t>I denne rapporten er KI-verktøyet Claude brukt som støtteverktøy i tre deler av arbeidet, i samsvar med Høgskolen i Molde sine retningslinjer for bruk av KI på hjemmeeksamen.</w:t>
      </w:r>
    </w:p>
    <w:p>
      <w:pPr>
        <w:spacing w:line="360" w:lineRule="auto"/>
        <w:jc w:val="both"/>
      </w:pPr>
      <w:r>
        <w:rPr>
          <w:rFonts w:ascii="Times New Roman" w:hAnsi="Times New Roman" w:cs="Times New Roman"/>
          <w:b/>
          <w:sz w:val="24"/>
        </w:rPr>
        <w:t>1. Kode og algoritmer.</w:t>
      </w:r>
      <w:r>
        <w:rPr>
          <w:rFonts w:ascii="Times New Roman" w:hAnsi="Times New Roman" w:cs="Times New Roman"/>
          <w:sz w:val="24"/>
        </w:rPr>
        <w:t xml:space="preserve"> Claude ble brukt til kodestøtte og feilsøking i Python-scriptet (</w:t>
      </w:r>
      <w:r>
        <w:rPr>
          <w:rFonts w:ascii="Consolas" w:hAnsi="Consolas" w:cs="Consolas"/>
          <w:sz w:val="20"/>
          <w:shd w:val="clear" w:color="auto" w:fill="F4F4F4"/>
        </w:rPr>
        <w:t>LOG650_analyse_v2_7.py</w:t>
      </w:r>
      <w:r>
        <w:rPr>
          <w:rFonts w:ascii="Times New Roman" w:hAnsi="Times New Roman" w:cs="Times New Roman"/>
          <w:sz w:val="24"/>
        </w:rPr>
        <w:t xml:space="preserve">) som implementerer ABC-, XYZ-, EOQ- og K-means-analysen. Verktøyet ble brukt til å forstå kodelogikk, feilsøke syntaksfeil og generere foreløpige kodeutdrag som senere ble tilpasset og integrert. All kode er gjennomgått, testet og modifisert av forfatteren for å sikre korrekthet. Den endelige implementasjonen, tolkningen av resultater og presentasjonen av numeriske verdier er forfatterens ansvar. Alle scripts bruker </w:t>
      </w:r>
      <w:r>
        <w:rPr>
          <w:rFonts w:ascii="Consolas" w:hAnsi="Consolas" w:cs="Consolas"/>
          <w:sz w:val="20"/>
          <w:shd w:val="clear" w:color="auto" w:fill="F4F4F4"/>
        </w:rPr>
        <w:t>random_state=42</w:t>
      </w:r>
      <w:r>
        <w:rPr>
          <w:rFonts w:ascii="Times New Roman" w:hAnsi="Times New Roman" w:cs="Times New Roman"/>
          <w:sz w:val="24"/>
        </w:rPr>
        <w:t xml:space="preserve"> for deterministisk og reproduserbar output.</w:t>
      </w:r>
    </w:p>
    <w:p>
      <w:pPr>
        <w:spacing w:line="360" w:lineRule="auto"/>
        <w:jc w:val="both"/>
      </w:pPr>
      <w:r>
        <w:rPr>
          <w:rFonts w:ascii="Times New Roman" w:hAnsi="Times New Roman" w:cs="Times New Roman"/>
          <w:b/>
          <w:sz w:val="24"/>
        </w:rPr>
        <w:t>2. Figurer og tabeller.</w:t>
      </w:r>
      <w:r>
        <w:rPr>
          <w:rFonts w:ascii="Times New Roman" w:hAnsi="Times New Roman" w:cs="Times New Roman"/>
          <w:sz w:val="24"/>
        </w:rPr>
        <w:t xml:space="preserve"> Alle 12 figurer (Fig00–Fig11) er generert med matplotlib-scripts der Claude bidro til utforming av layout, fargepalett og aksetitler. Figurene er basert på analyseresultater produsert av Python-scriptet fra SAP-kildedata – KI-verktøyet har ikke produsert eller modifisert noen dataverdier. Hver figur er merket «Generert med støtte fra Claude» i bildeteksten. Tabeller er formatert med støtte fra Claude, men alle verdier kommer direkte fra analysescriptet.</w:t>
      </w:r>
    </w:p>
    <w:p>
      <w:pPr>
        <w:spacing w:line="360" w:lineRule="auto"/>
        <w:jc w:val="both"/>
      </w:pPr>
      <w:r>
        <w:rPr>
          <w:rFonts w:ascii="Times New Roman" w:hAnsi="Times New Roman" w:cs="Times New Roman"/>
          <w:b/>
          <w:sz w:val="24"/>
        </w:rPr>
        <w:t>3. Tekststrukturering og språklig bearbeiding.</w:t>
      </w:r>
      <w:r>
        <w:rPr>
          <w:rFonts w:ascii="Times New Roman" w:hAnsi="Times New Roman" w:cs="Times New Roman"/>
          <w:sz w:val="24"/>
        </w:rPr>
        <w:t xml:space="preserve"> Claude ble brukt til å strukturere rapportteksten og forbedre språklig klarhet. Verktøyet foreslo disposisjon, avsnittsinndeling og formuleringer som forfatteren vurderte kritisk og reviderte. Alle faglige påstander, argumenter og konklusjoner er forfatterens egne. Claude er ikke brukt som fagkilde og er ikke sitert som belegg for faglige påstander.</w:t>
      </w:r>
    </w:p>
    <w:p>
      <w:pPr>
        <w:spacing w:line="360" w:lineRule="auto"/>
        <w:jc w:val="both"/>
      </w:pPr>
      <w:r>
        <w:rPr>
          <w:rFonts w:ascii="Times New Roman" w:hAnsi="Times New Roman" w:cs="Times New Roman"/>
          <w:b/>
          <w:sz w:val="24"/>
        </w:rPr>
        <w:t>4. Refleksjon over KI-brukens påvirkning.</w:t>
      </w:r>
      <w:r>
        <w:rPr>
          <w:rFonts w:ascii="Times New Roman" w:hAnsi="Times New Roman" w:cs="Times New Roman"/>
          <w:sz w:val="24"/>
        </w:rPr>
        <w:t xml:space="preserve"> Bruken av Claude påvirket arbeidsprosessen på to vesentlige måter. For det første akselererte kodestøtten iterasjonshastigheten i Python-utviklingen, noe som muliggjorde flere eksperimentelle kjøringer og raskere feilsøking enn manuell utvikling alene ville tillatt. For det andre bidro den språklige bearbeidingen til mer konsise formuleringer, men krevde aktiv overvåking for å unngå at faglig presisjon gikk tapt til fordel for språklig eleganse. Den analytiske retningen – valg av metoder, regelutforming og tolkning av resultater – er ikke påvirket av KI-verktøyet.</w:t>
      </w:r>
    </w:p>
    <w:p>
      <w:pPr>
        <w:spacing w:line="360" w:lineRule="auto"/>
        <w:jc w:val="both"/>
      </w:pPr>
      <w:r>
        <w:rPr>
          <w:rFonts w:ascii="Times New Roman" w:hAnsi="Times New Roman" w:cs="Times New Roman"/>
          <w:b/>
          <w:sz w:val="24"/>
        </w:rPr>
        <w:t>Avgrensning.</w:t>
      </w:r>
      <w:r>
        <w:rPr>
          <w:rFonts w:ascii="Times New Roman" w:hAnsi="Times New Roman" w:cs="Times New Roman"/>
          <w:sz w:val="24"/>
        </w:rPr>
        <w:t xml:space="preserve"> Rådata fra SAP ble ikke lagt inn i KI-verktøyet. Alle datatransformasjoner er dokumentert i D-01–D-08 (avsnitt 4.3) og kjørt lokalt i Python. Ingen pasientdata eller personopplysninger er brukt i studien.</w:t>
      </w:r>
    </w:p>
    <w:p>
      <w:pPr>
        <w:spacing w:line="360" w:lineRule="auto"/>
        <w:jc w:val="both"/>
      </w:pPr>
      <w:r>
        <w:rPr>
          <w:rFonts w:ascii="Times New Roman" w:hAnsi="Times New Roman" w:cs="Times New Roman"/>
          <w:b/>
          <w:sz w:val="24"/>
        </w:rPr>
        <w:t>Signatur:</w:t>
      </w:r>
    </w:p>
    <w:p>
      <w:pPr>
        <w:spacing w:line="360" w:lineRule="auto"/>
        <w:jc w:val="both"/>
      </w:pPr>
      <w:r>
        <w:rPr>
          <w:rFonts w:ascii="Times New Roman" w:hAnsi="Times New Roman" w:cs="Times New Roman"/>
          <w:sz w:val="24"/>
        </w:rPr>
        <w:t>Sted og dato: \_\_\_\_\_\_\_\_\_\_\_\_\_\_\_\_\_\_\_\_\_\_\_\_</w:t>
      </w:r>
    </w:p>
    <w:p>
      <w:pPr>
        <w:spacing w:line="360" w:lineRule="auto"/>
        <w:jc w:val="both"/>
      </w:pPr>
      <w:r>
        <w:rPr>
          <w:rFonts w:ascii="Times New Roman" w:hAnsi="Times New Roman" w:cs="Times New Roman"/>
          <w:sz w:val="24"/>
        </w:rPr>
        <w:t>Navn: \_\_\_\_\_\_\_\_\_\_\_\_\_\_\_\_\_\_\_\_\_\_\_\_</w:t>
      </w:r>
    </w:p>
    <w:p>
      <w:pPr>
        <w:spacing w:line="360" w:lineRule="auto"/>
        <w:jc w:val="both"/>
      </w:pPr>
      <w:r>
        <w:rPr>
          <w:rFonts w:ascii="Times New Roman" w:hAnsi="Times New Roman" w:cs="Times New Roman"/>
          <w:sz w:val="24"/>
        </w:rPr>
        <w:t>Studentnummer: \_\_\_\_\_\_\_\_\_\_\_\_\_\_\_\_\_\_\_\_\_\_\_\_</w:t>
      </w:r>
    </w:p>
    <w:p>
      <w:pPr>
        <w:spacing w:line="360" w:lineRule="auto"/>
        <w:jc w:val="both"/>
      </w:pPr>
      <w:r>
        <w:rPr>
          <w:rFonts w:ascii="Times New Roman" w:hAnsi="Times New Roman" w:cs="Times New Roman"/>
          <w:sz w:val="24"/>
        </w:rPr>
        <w:t>Jeg bekrefter at opplysningene ovenfor er korrekte, og at all bruk av kunstig intelligens i dette arbeidet er beskrevet fullstendig og ærlig.</w:t>
      </w:r>
    </w:p>
    <w:sectPr w:rsidR="000F66BC" w:rsidRPr="000F66BC" w:rsidSect="00C90D42">
      <w:footerReference w:type="default" r:id="rId41"/>
      <w:pgSz w:w="11907" w:h="16840"/>
      <w:pgMar w:top="1417" w:right="1417" w:bottom="1417" w:left="1701"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8071" w14:textId="77777777" w:rsidR="003C55BC" w:rsidRDefault="003C55BC">
      <w:r>
        <w:separator/>
      </w:r>
    </w:p>
  </w:endnote>
  <w:endnote w:type="continuationSeparator" w:id="0">
    <w:p w14:paraId="62D59B89" w14:textId="77777777" w:rsidR="003C55BC" w:rsidRDefault="003C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jc w:val="center"/>
      <w:rPr>
        <w:rStyle w:val="Sidetall"/>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p w14:paraId="615642A0" w14:textId="77777777" w:rsidR="00955329" w:rsidRDefault="00955329" w:rsidP="00BE42D3">
    <w:pPr>
      <w:pStyle w:val="Bunntekst"/>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3836" w14:textId="77777777" w:rsidR="003C55BC" w:rsidRDefault="003C55BC">
      <w:r>
        <w:separator/>
      </w:r>
    </w:p>
  </w:footnote>
  <w:footnote w:type="continuationSeparator" w:id="0">
    <w:p w14:paraId="77E4AC6C" w14:textId="77777777" w:rsidR="003C55BC" w:rsidRDefault="003C5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pPr>
      <w:spacing w:line="360" w:lineRule="auto"/>
      <w:jc w:val="both"/>
    </w:pPr>
    <w:rPr>
      <w:rFonts w:cs="Sendnya" w:ascii="Times New Roman" w:hAnsi="Times New Roman"/>
      <w:sz w:val="24"/>
      <w:szCs w:val="24"/>
      <w:lang w:eastAsia="zh-CN" w:bidi="or-IN"/>
    </w:rPr>
  </w:style>
  <w:style w:type="paragraph" w:styleId="Overskrift1">
    <w:name w:val="heading 1"/>
    <w:basedOn w:val="Normal"/>
    <w:next w:val="Normal"/>
    <w:qFormat/>
    <w:rsid w:val="00B33323"/>
    <w:pPr>
      <w:keepNext/>
      <w:spacing w:before="240" w:after="60"/>
      <w:outlineLvl w:val="0"/>
    </w:pPr>
    <w:rPr>
      <w:rFonts w:asciiTheme="minorHAnsi" w:hAnsiTheme="minorHAnsi" w:ascii="Times New Roman" w:hAnsi="Times New Roman"/>
      <w:b/>
      <w:bCs/>
      <w:color w:val="000000"/>
      <w:kern w:val="28"/>
      <w:sz w:val="36"/>
      <w:szCs w:val="28"/>
    </w:rPr>
  </w:style>
  <w:style w:type="paragraph" w:styleId="Overskrift2">
    <w:name w:val="heading 2"/>
    <w:basedOn w:val="Normal"/>
    <w:next w:val="Normal"/>
    <w:link w:val="Overskrift2Tegn"/>
    <w:qFormat/>
    <w:rsid w:val="00B33323"/>
    <w:pPr>
      <w:keepNext/>
      <w:spacing w:before="240" w:after="60"/>
      <w:outlineLvl w:val="1"/>
    </w:pPr>
    <w:rPr>
      <w:rFonts w:asciiTheme="minorHAnsi" w:hAnsiTheme="minorHAnsi" w:cs="Times New Roman" w:ascii="Times New Roman" w:hAnsi="Times New Roman"/>
      <w:b/>
      <w:bCs/>
      <w:iCs/>
      <w:color w:val="000000"/>
      <w:sz w:val="32"/>
      <w:szCs w:val="28"/>
    </w:rPr>
  </w:style>
  <w:style w:type="paragraph" w:styleId="Overskrift3">
    <w:name w:val="heading 3"/>
    <w:basedOn w:val="Normal"/>
    <w:next w:val="Normal"/>
    <w:link w:val="Overskrift3Tegn"/>
    <w:qFormat/>
    <w:rsid w:val="00B33323"/>
    <w:pPr>
      <w:keepNext/>
      <w:spacing w:before="240" w:after="60"/>
      <w:outlineLvl w:val="2"/>
    </w:pPr>
    <w:rPr>
      <w:rFonts w:asciiTheme="minorHAnsi" w:hAnsiTheme="minorHAnsi" w:cs="Times New Roman" w:ascii="Times New Roman" w:hAnsi="Times New Roman"/>
      <w:b/>
      <w:bCs/>
      <w:color w:val="000000"/>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footer" Target="footer3.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2.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0ADFCC-3591-4F93-934F-89209D1D4A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Rune Groedem</cp:lastModifiedBy>
  <cp:revision>17</cp:revision>
  <cp:lastPrinted>2026-02-13T12:13:00Z</cp:lastPrinted>
  <dcterms:created xsi:type="dcterms:W3CDTF">2023-01-12T08:52:00Z</dcterms:created>
  <dcterms:modified xsi:type="dcterms:W3CDTF">2026-02-18T09:05:00Z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