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rapporten er skrevet som avsluttende arbeid i emnet LOG650 Forskningsprosjekt: Logistikk og kunstig intelligens ved Høgskolen i Molde, vårsemesteret 2026.</w:t>
      </w:r>
    </w:p>
    <w:p>
      <w:pPr>
        <w:spacing w:line="360" w:lineRule="auto"/>
      </w:pPr>
      <w:r>
        <w:rPr>
          <w:rFonts w:ascii="Times New Roman" w:hAnsi="Times New Roman"/>
          <w:sz w:val="24"/>
        </w:rPr>
        <w:t xml:space="preserve">Jeg vil rette en stor takk til min veileder, Bård Inge Austigard Pettersen, for faglig engasjement, konstruktive tilbakemeldinger og tydelige forventninger gjennom hele prosessen. Hans evne til å kombinere akademisk presisjon med praktisk relevans har vært avgjørende for arbeidet med oppgaven.</w:t>
      </w:r>
    </w:p>
    <w:p>
      <w:pPr>
        <w:spacing w:line="360" w:lineRule="auto"/>
      </w:pPr>
      <w:r>
        <w:rPr>
          <w:rFonts w:ascii="Times New Roman" w:hAnsi="Times New Roman"/>
          <w:sz w:val="24"/>
        </w:rPr>
        <w:t xml:space="preserve">Takk til Helse Bergen og Helse Vest IKT for tilgang til SAP S/4HANA-data som har gjort analysen mulig. Datagrunnlaget er behandlet i tråd med gjeldende retningslinjer for personvern og informasjonssikkerhet, og studien omfatter ikke personidentifiserbare opplysninger.</w:t>
      </w:r>
    </w:p>
    <w:p>
      <w:pPr>
        <w:spacing w:line="360" w:lineRule="auto"/>
      </w:pPr>
      <w:r>
        <w:rPr>
          <w:rFonts w:ascii="Times New Roman" w:hAnsi="Times New Roman"/>
          <w:sz w:val="24"/>
        </w:rPr>
        <w:t xml:space="preserve">Motivasjonen springer ut av min rolle som SAP MM-konsulent ved Helse Vest IKT, hvor jeg daglig ser at transaksjonsdataene i SAP er underutnyttet som beslutningsgrunnlag. Denne oppgaven er et forsøk på å bygge bro over det gapet.</w:t>
      </w:r>
    </w:p>
    <w:p>
      <w:pPr>
        <w:spacing w:line="360" w:lineRule="auto"/>
      </w:pPr>
      <w:r>
        <w:rPr>
          <w:rFonts w:ascii="Times New Roman" w:hAnsi="Times New Roman"/>
          <w:sz w:val="24"/>
        </w:rPr>
        <w:t xml:space="preserve">Til slutt vil jeg takke min samboer Hilde for støtte og tålmodighet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er kandidater for overføring til Helse Vest Forsyningssenter (HVFS), og estimerer tilhørende besparelsespotensial. Studien er forankret i LIBRA-prosjektet og har som mål å utvikle et datadrevet og reproduserbart beslutningsgrunnlag for sentralisering basert på SAP S/4HANA-data.</w:t>
      </w:r>
    </w:p>
    <w:p>
      <w:pPr>
        <w:pStyle w:val="Normal"/>
        <w:spacing w:line="360" w:lineRule="auto"/>
      </w:pPr>
      <w:r>
        <w:rPr>
          <w:rFonts w:ascii="Times New Roman" w:hAnsi="Times New Roman"/>
          <w:sz w:val="24"/>
        </w:rPr>
        <w:t xml:space="preserve">Analysen omfatter 709 aktive artikler for perioden 2024–2025. Metodetilnærmingen kombinerer ABC- og XYZ-klassifisering, EOQ-avviksanalyse og K-means klyngeanalyse i en regelbasert beslutningsmodell. K-means identifiserer K = 3 klynger med akseptabel klyngestruktur (silhouette-score 0,383 trening / 0,368 test).</w:t>
      </w:r>
    </w:p>
    <w:p>
      <w:pPr>
        <w:pStyle w:val="Normal"/>
        <w:spacing w:line="360" w:lineRule="auto"/>
      </w:pPr>
      <w:r>
        <w:rPr>
          <w:rFonts w:ascii="Times New Roman" w:hAnsi="Times New Roman"/>
          <w:sz w:val="24"/>
        </w:rPr>
        <w:t xml:space="preserve">Resultatene viser at 145 artikler (20,5 %) identifiseres som prioriterte overføringskandidater til HVFS, mens 257 beholdes lokalt, 284 krever manuell vurdering og 23 mangler tilstrekkelig datagrunnlag. Den høye andelen manuell vurdering (40,1 %) reflekterer en bevisst prioritering av presisjon fremfor full automatisering.</w:t>
      </w:r>
    </w:p>
    <w:p>
      <w:pPr>
        <w:pStyle w:val="Normal"/>
        <w:spacing w:line="360" w:lineRule="auto"/>
      </w:pPr>
      <w:r>
        <w:rPr>
          <w:rFonts w:ascii="Times New Roman" w:hAnsi="Times New Roman"/>
          <w:sz w:val="24"/>
        </w:rPr>
        <w:t xml:space="preserve">Det estimerte besparelsespotensialet har et base case på kr 451 515 per år (g = 75 %). Tre-scenarioanalysen gir et intervall fra kr 301 010 (g = 50 %) til kr 602 020 (g = 100 %). Sensitivitetsanalysen over 27 parameterkombinasjoner viser en bredere spennvidde fra kr 176 374 til kr 763 903 per år. Estimatene er scenariobaserte og avhenger av ikke-kalibrerte kostnadsparametere.</w:t>
      </w:r>
    </w:p>
    <w:p>
      <w:pPr>
        <w:pStyle w:val="Normal"/>
        <w:spacing w:line="360" w:lineRule="auto"/>
      </w:pPr>
      <w:r>
        <w:rPr>
          <w:rFonts w:ascii="Times New Roman" w:hAnsi="Times New Roman"/>
          <w:sz w:val="24"/>
        </w:rPr>
        <w:t xml:space="preserve">Studien viser at multikriterieklassifisering kombinert med klyngeanalyse gir et strukturert beslutningsgrunnlag for sentralisering i sykehuslogistikk. Praktisk realisering forutsetter justering av SAP MM-parametere, faglig validering og systematisk gjennomgang av artikler med usikker klassifisering. Analysen avdekker samtidig at SAPs egen XYZ-klassifisering (ZZXYZ) kun samsvarer med beregnet klasse i 33 % av tilfellene — et funn som utfordrer antakelsen om at systemregistrerte klassifiseringer er tilstrekkelig grunnlag for HVFS-beslutninger, og som har umiddelbar operasjonell relevans for LIBRA-prosjektet.</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Innholdsfortegnelse</w:t>
      </w:r>
    </w:p>
    <w:p>
      <w:pPr>
        <w:spacing w:line="360" w:lineRule="auto"/>
      </w:pPr>
      <w:r>
        <w:fldChar w:fldCharType="begin"/>
      </w:r>
      <w:r>
        <w:instrText xml:space="preserve"> TOC \o "1-3" \h \z \u </w:instrText>
      </w:r>
      <w:r>
        <w:fldChar w:fldCharType="separate"/>
      </w:r>
      <w:r>
        <w:rPr>
          <w:rFonts w:ascii="Times New Roman" w:hAnsi="Times New Roman"/>
          <w:color w:val="808080"/>
          <w:sz w:val="20"/>
        </w:rPr>
        <w:t>Oppdater felt: Ctrl+A, F9</w:t>
      </w:r>
      <w: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sz w:val="24"/>
        </w:rPr>
        <w:t>Figur 1. Konseptuelt rammeverk – fra SAP-data til HVFS-anbefaling</w:t>
      </w:r>
    </w:p>
    <w:p>
      <w:pPr>
        <w:spacing w:line="360" w:lineRule="auto"/>
      </w:pPr>
      <w:r>
        <w:rPr>
          <w:rFonts w:ascii="Times New Roman" w:hAnsi="Times New Roman"/>
          <w:sz w:val="24"/>
        </w:rPr>
        <w:t>Figur 2. Lagerstruktur – Helse Vest forsyningskjede (forenklet)</w:t>
      </w:r>
    </w:p>
    <w:p>
      <w:pPr>
        <w:spacing w:line="360" w:lineRule="auto"/>
      </w:pPr>
      <w:r>
        <w:rPr>
          <w:rFonts w:ascii="Times New Roman" w:hAnsi="Times New Roman"/>
          <w:sz w:val="24"/>
        </w:rPr>
        <w:t>Figur 3. Dataoversikt: fordeling av nøkkelvariabler for 709 artikler</w:t>
      </w:r>
    </w:p>
    <w:p>
      <w:pPr>
        <w:spacing w:line="360" w:lineRule="auto"/>
      </w:pPr>
      <w:r>
        <w:rPr>
          <w:rFonts w:ascii="Times New Roman" w:hAnsi="Times New Roman"/>
          <w:sz w:val="24"/>
        </w:rPr>
        <w:t>Figur 4. Analysepipeline: fra SAP-rådata til HVFS-anbefaling</w:t>
      </w:r>
    </w:p>
    <w:p>
      <w:pPr>
        <w:spacing w:line="360" w:lineRule="auto"/>
      </w:pPr>
      <w:r>
        <w:rPr>
          <w:rFonts w:ascii="Times New Roman" w:hAnsi="Times New Roman"/>
          <w:sz w:val="24"/>
        </w:rPr>
        <w:t>Figur 5. Regelmotor: sekvensiell beslutningsflyt for HVFS-anbefaling (R1–R8)</w:t>
      </w:r>
    </w:p>
    <w:p>
      <w:pPr>
        <w:spacing w:line="360" w:lineRule="auto"/>
      </w:pPr>
      <w:r>
        <w:rPr>
          <w:rFonts w:ascii="Times New Roman" w:hAnsi="Times New Roman"/>
          <w:sz w:val="24"/>
        </w:rPr>
        <w:t>Figur 6. ABC Pareto-kurve: kumulativ verdiandel for 709 artikler</w:t>
      </w:r>
    </w:p>
    <w:p>
      <w:pPr>
        <w:spacing w:line="360" w:lineRule="auto"/>
      </w:pPr>
      <w:r>
        <w:rPr>
          <w:rFonts w:ascii="Times New Roman" w:hAnsi="Times New Roman"/>
          <w:sz w:val="24"/>
        </w:rPr>
        <w:t>Figur 7. ABC/XYZ-kryssmatrise: antall artikler per kombinasjon (687 klassifiserte)</w:t>
      </w:r>
    </w:p>
    <w:p>
      <w:pPr>
        <w:spacing w:line="360" w:lineRule="auto"/>
      </w:pPr>
      <w:r>
        <w:rPr>
          <w:rFonts w:ascii="Times New Roman" w:hAnsi="Times New Roman"/>
          <w:sz w:val="24"/>
        </w:rPr>
        <w:t>Figur 8. EOQ-avvik: relativ frekvensavvik med terskel ved τ_f = 1,5</w:t>
      </w:r>
    </w:p>
    <w:p>
      <w:pPr>
        <w:spacing w:line="360" w:lineRule="auto"/>
      </w:pPr>
      <w:r>
        <w:rPr>
          <w:rFonts w:ascii="Times New Roman" w:hAnsi="Times New Roman"/>
          <w:sz w:val="24"/>
        </w:rPr>
        <w:t>Figur 9. Silhouette-score for K = 2–7 (treningsdata, n = 389)</w:t>
      </w:r>
    </w:p>
    <w:p>
      <w:pPr>
        <w:spacing w:line="360" w:lineRule="auto"/>
      </w:pPr>
      <w:r>
        <w:rPr>
          <w:rFonts w:ascii="Times New Roman" w:hAnsi="Times New Roman"/>
          <w:sz w:val="24"/>
        </w:rPr>
        <w:t>Figur 10. K-means klyngeresultat (K = 3): artikler plottet langs z(ln CV) og z(ln verdi), farge etter klynge</w:t>
      </w:r>
    </w:p>
    <w:p>
      <w:pPr>
        <w:spacing w:line="360" w:lineRule="auto"/>
      </w:pPr>
      <w:r>
        <w:rPr>
          <w:rFonts w:ascii="Times New Roman" w:hAnsi="Times New Roman"/>
          <w:sz w:val="24"/>
        </w:rPr>
        <w:t>Figur 11. Klyngeprofiler for K-means (K = 3): gjennomsnittlig z-score per feature</w:t>
      </w:r>
    </w:p>
    <w:p>
      <w:pPr>
        <w:spacing w:line="360" w:lineRule="auto"/>
      </w:pPr>
      <w:r>
        <w:rPr>
          <w:rFonts w:ascii="Times New Roman" w:hAnsi="Times New Roman"/>
          <w:sz w:val="24"/>
        </w:rPr>
        <w:t>Figur 12.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sz w:val="24"/>
        </w:rPr>
        <w:t>Tabell 1. Litteraturoversikt: sentrale kilder med tema og relevans</w:t>
      </w:r>
    </w:p>
    <w:p>
      <w:pPr>
        <w:spacing w:line="360" w:lineRule="auto"/>
      </w:pPr>
      <w:r>
        <w:rPr>
          <w:rFonts w:ascii="Times New Roman" w:hAnsi="Times New Roman"/>
          <w:sz w:val="24"/>
        </w:rPr>
        <w:t>Tabell 2. Sammenligning av analysemetoder brukt i oppgaven</w:t>
      </w:r>
    </w:p>
    <w:p>
      <w:pPr>
        <w:spacing w:line="360" w:lineRule="auto"/>
      </w:pPr>
      <w:r>
        <w:rPr>
          <w:rFonts w:ascii="Times New Roman" w:hAnsi="Times New Roman"/>
          <w:sz w:val="24"/>
        </w:rPr>
        <w:t>Tabell 3. Nøkkeltall for casevirksomheten Helse Bergen, WERKS 3300</w:t>
      </w:r>
    </w:p>
    <w:p>
      <w:pPr>
        <w:spacing w:line="360" w:lineRule="auto"/>
      </w:pPr>
      <w:r>
        <w:rPr>
          <w:rFonts w:ascii="Times New Roman" w:hAnsi="Times New Roman"/>
          <w:sz w:val="24"/>
        </w:rPr>
        <w:t>Tabell 4. Datagrunnlag: 14 SAP S/4HANA-tabeller hentet via SE16H</w:t>
      </w:r>
    </w:p>
    <w:p>
      <w:pPr>
        <w:spacing w:line="360" w:lineRule="auto"/>
      </w:pPr>
      <w:r>
        <w:rPr>
          <w:rFonts w:ascii="Times New Roman" w:hAnsi="Times New Roman"/>
          <w:sz w:val="24"/>
        </w:rPr>
        <w:t>Tabell 5. Datavalgsbeslutninger D-01–D-08 med begrunnelse</w:t>
      </w:r>
    </w:p>
    <w:p>
      <w:pPr>
        <w:spacing w:line="360" w:lineRule="auto"/>
      </w:pPr>
      <w:r>
        <w:rPr>
          <w:rFonts w:ascii="Times New Roman" w:hAnsi="Times New Roman"/>
          <w:sz w:val="24"/>
        </w:rPr>
        <w:t>Tabell 6. Modellparametere: ABC-klassifiseringsgrenser og analyseinnstillinger</w:t>
      </w:r>
    </w:p>
    <w:p>
      <w:pPr>
        <w:spacing w:line="360" w:lineRule="auto"/>
      </w:pPr>
      <w:r>
        <w:rPr>
          <w:rFonts w:ascii="Times New Roman" w:hAnsi="Times New Roman"/>
          <w:sz w:val="24"/>
        </w:rPr>
        <w:t>Tabell 7. Regelmotor: 8 beslutningsregler i prioritert rekkefølge</w:t>
      </w:r>
    </w:p>
    <w:p>
      <w:pPr>
        <w:spacing w:line="360" w:lineRule="auto"/>
      </w:pPr>
      <w:r>
        <w:rPr>
          <w:rFonts w:ascii="Times New Roman" w:hAnsi="Times New Roman"/>
          <w:sz w:val="24"/>
        </w:rPr>
        <w:t>Tabell 8. ABC-fordeling: antall artikler og verdiandel per klasse (n = 709)</w:t>
      </w:r>
    </w:p>
    <w:p>
      <w:pPr>
        <w:spacing w:line="360" w:lineRule="auto"/>
      </w:pPr>
      <w:r>
        <w:rPr>
          <w:rFonts w:ascii="Times New Roman" w:hAnsi="Times New Roman"/>
          <w:sz w:val="24"/>
        </w:rPr>
        <w:t>Tabell 9. XYZ-fordeling: antall artikler per klasse (n = 687)</w:t>
      </w:r>
    </w:p>
    <w:p>
      <w:pPr>
        <w:spacing w:line="360" w:lineRule="auto"/>
      </w:pPr>
      <w:r>
        <w:rPr>
          <w:rFonts w:ascii="Times New Roman" w:hAnsi="Times New Roman"/>
          <w:sz w:val="24"/>
        </w:rPr>
        <w:t>Tabell 10. SAP ZZXYZ-validering: samsvar mellom systemklasse og beregnet CV-klasse</w:t>
      </w:r>
    </w:p>
    <w:p>
      <w:pPr>
        <w:spacing w:line="360" w:lineRule="auto"/>
      </w:pPr>
      <w:r>
        <w:rPr>
          <w:rFonts w:ascii="Times New Roman" w:hAnsi="Times New Roman"/>
          <w:sz w:val="24"/>
        </w:rPr>
        <w:t>Tabell 11. EOQ-avviksresultater: fordeling etter ordrefrekvensavvik (n = 487)</w:t>
      </w:r>
    </w:p>
    <w:p>
      <w:pPr>
        <w:spacing w:line="360" w:lineRule="auto"/>
      </w:pPr>
      <w:r>
        <w:rPr>
          <w:rFonts w:ascii="Times New Roman" w:hAnsi="Times New Roman"/>
          <w:sz w:val="24"/>
        </w:rPr>
        <w:t>Tabell 12. K-means klyngeprofiler: gjennomsnittsverdier per klynge (K = 3)</w:t>
      </w:r>
    </w:p>
    <w:p>
      <w:pPr>
        <w:spacing w:line="360" w:lineRule="auto"/>
      </w:pPr>
      <w:r>
        <w:rPr>
          <w:rFonts w:ascii="Times New Roman" w:hAnsi="Times New Roman"/>
          <w:sz w:val="24"/>
        </w:rPr>
        <w:t>Tabell 13. HVFS-anbefalinger fra regelmotor: fordeling per kategori (n = 709)</w:t>
      </w:r>
    </w:p>
    <w:p>
      <w:pPr>
        <w:spacing w:line="360" w:lineRule="auto"/>
      </w:pPr>
      <w:r>
        <w:rPr>
          <w:rFonts w:ascii="Times New Roman" w:hAnsi="Times New Roman"/>
          <w:sz w:val="24"/>
        </w:rPr>
        <w:t>Tabell 14. Regelmotor R1–R8: antall artikler per regel (n = 709)</w:t>
      </w:r>
    </w:p>
    <w:p>
      <w:pPr>
        <w:spacing w:line="360" w:lineRule="auto"/>
      </w:pPr>
      <w:r>
        <w:rPr>
          <w:rFonts w:ascii="Times New Roman" w:hAnsi="Times New Roman"/>
          <w:sz w:val="24"/>
        </w:rPr>
        <w:t>Tabell 15. Besparelsesestimater for tre scenarier (117 artikler, S = 750 NOK)</w:t>
      </w:r>
    </w:p>
    <w:p>
      <w:pPr>
        <w:spacing w:line="360" w:lineRule="auto"/>
      </w:pPr>
      <w:r>
        <w:rPr>
          <w:rFonts w:ascii="Times New Roman" w:hAnsi="Times New Roman"/>
          <w:sz w:val="24"/>
        </w:rPr>
        <w:t>Tabell 16.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jc w:val="both"/>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materialhåndtering kan utgjøre en betydelig andel – i størrelsesorden 25–30 % –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jc w:val="both"/>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jc w:val="both"/>
      </w:pPr>
      <w:r>
        <w:rPr>
          <w:rFonts w:ascii="Times New Roman" w:hAnsi="Times New Roman" w:cs="Times New Roman"/>
          <w:sz w:val="24"/>
        </w:rPr>
        <w:t xml:space="preserve">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 Faglig plasserer arbeidet seg dermed i skjæringspunktet mellom </w:t>
      </w:r>
      <w:r>
        <w:rPr>
          <w:rFonts w:ascii="Times New Roman" w:hAnsi="Times New Roman" w:cs="Times New Roman"/>
          <w:b/>
          <w:sz w:val="24"/>
        </w:rPr>
        <w:t>lagerstyring</w:t>
      </w:r>
      <w:r>
        <w:rPr>
          <w:rFonts w:ascii="Times New Roman" w:hAnsi="Times New Roman" w:cs="Times New Roman"/>
          <w:sz w:val="24"/>
        </w:rPr>
        <w:t xml:space="preserve"> (klassifisering og lokaliseringsbeslutninger) og </w:t>
      </w:r>
      <w:r>
        <w:rPr>
          <w:rFonts w:ascii="Times New Roman" w:hAnsi="Times New Roman" w:cs="Times New Roman"/>
          <w:b/>
          <w:sz w:val="24"/>
        </w:rPr>
        <w:t>innkjøpsoptimalisering</w:t>
      </w:r>
      <w:r>
        <w:rPr>
          <w:rFonts w:ascii="Times New Roman" w:hAnsi="Times New Roman" w:cs="Times New Roman"/>
          <w:sz w:val="24"/>
        </w:rPr>
        <w:t xml:space="preserve"> (ordrefrekvens og kostnadsavvik mot EOQ).</w:t>
      </w:r>
    </w:p>
    <w:p>
      <w:pPr>
        <w:pStyle w:val="Overskrift2"/>
      </w:pPr>
      <w:r>
        <w:rPr>
          <w:rFonts w:ascii="Times New Roman" w:hAnsi="Times New Roman"/>
          <w:color w:val="000000"/>
          <w:sz w:val="32"/>
        </w:rPr>
        <w:t>1.2 Problemstilling</w:t>
      </w:r>
    </w:p>
    <w:p>
      <w:pPr>
        <w:spacing w:line="360" w:lineRule="auto"/>
        <w:jc w:val="both"/>
      </w:pPr>
      <w:r>
        <w:rPr>
          <w:rFonts w:ascii="Times New Roman" w:hAnsi="Times New Roman" w:cs="Times New Roman"/>
          <w:sz w:val="24"/>
        </w:rPr>
        <w:t>Oppgavens overordnede problemstilling er hvordan datadrevet klassifisering av eksisterende SAP-transaksjonsdata kan understøtte beslutningen om hvilke artikler som bør sentraliseres til HVFS, og hva en slik sentralisering er verdt økonomisk. Denne problemstillingen operasjonaliseres gjennom følgende forskningsspørsmål, som gjør klassifiseringen, identifikasjonen og kvantifiseringen empirisk testbar:</w:t>
      </w:r>
    </w:p>
    <w:p>
      <w:pPr>
        <w:spacing w:line="360" w:lineRule="auto"/>
        <w:ind w:left="567"/>
        <w:jc w:val="both"/>
      </w:pPr>
      <w:r>
        <w:rPr>
          <w:rFonts w:ascii="Times New Roman" w:hAnsi="Times New Roman"/>
          <w:b/>
          <w:sz w:val="24"/>
        </w:rPr>
        <w:t>Hvordan kan multikriterieklassifisering og klyngeanalyse av SAP-transaksjonsdata identifisere hvilke artikler ved Helse Bergens forsyningslager (WERKS 3300, LGORT 3001) som er kandidater for overføring til Helse Vest Forsyningssenter, og hva er det estimerte besparelsespotensialet ved en slik overføring?</w:t>
      </w:r>
    </w:p>
    <w:p>
      <w:pPr>
        <w:spacing w:line="360" w:lineRule="auto"/>
        <w:jc w:val="both"/>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jc w:val="both"/>
      </w:pPr>
      <w:r>
        <w:rPr>
          <w:rFonts w:ascii="Times New Roman" w:hAnsi="Times New Roman" w:cs="Times New Roman"/>
          <w:sz w:val="24"/>
        </w:rPr>
        <w:t>Oppgaven avgrenses på følgende punkter, begrunnet faglig:</w:t>
      </w:r>
    </w:p>
    <w:p>
      <w:pPr>
        <w:spacing w:line="360" w:lineRule="auto"/>
        <w:jc w:val="both"/>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jc w:val="both"/>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jc w:val="both"/>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jc w:val="both"/>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ROP-modulen er identifisert som en naturlig forlengelse, men utelatt da leveringstidsdata kun dekker 6 % av artiklene.</w:t>
      </w:r>
    </w:p>
    <w:p>
      <w:pPr>
        <w:spacing w:line="360" w:lineRule="auto"/>
        <w:jc w:val="both"/>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jc w:val="both"/>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jc w:val="both"/>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(Bijvank &amp; Vis, 2012; Kelle et al.,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jc w:val="both"/>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 av enhetsprisen, i tråd med anbefalinger i lagerstyringslitteraturen (Ketkar &amp; Vaidya, 2014). Satsens innvirkning testes i sensitivitetsanalysen over intervallet {15, 20, 25} %.</w:t>
      </w:r>
    </w:p>
    <w:p>
      <w:pPr>
        <w:spacing w:line="360" w:lineRule="auto"/>
        <w:jc w:val="both"/>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jc w:val="both"/>
      </w:pPr>
      <w:r>
        <w:rPr>
          <w:rFonts w:ascii="Times New Roman" w:hAnsi="Times New Roman" w:cs="Times New Roman"/>
          <w:b/>
          <w:sz w:val="24"/>
        </w:rPr>
        <w:t>Leveringstid (LEAD_TIME = 14 dager).</w:t>
      </w:r>
      <w:r>
        <w:rPr>
          <w:rFonts w:ascii="Times New Roman" w:hAnsi="Times New Roman" w:cs="Times New Roman"/>
          <w:sz w:val="24"/>
        </w:rPr>
        <w:t xml:space="preserve"> For 94 % av artiklene mangler registrert leveringstid i EINA/EINE. En standardverdi på 14 dager er benyttet; parameteren er reservert for en fremtidig ROP-modul.</w:t>
      </w:r>
    </w:p>
    <w:p>
      <w:pPr>
        <w:spacing w:line="360" w:lineRule="auto"/>
        <w:jc w:val="both"/>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jc w:val="both"/>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 (worst/base/best). Dette er et avgrenset transaksjonskostnadsestimat – det inkluderer ikke varekostnader eller endringer i lagernivå.</w:t>
      </w:r>
    </w:p>
    <w:p>
      <w:pPr>
        <w:spacing w:line="360" w:lineRule="auto"/>
        <w:jc w:val="both"/>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jc w:val="both"/>
      </w:pPr>
      <w:r>
        <w:rPr>
          <w:rFonts w:ascii="Times New Roman" w:hAnsi="Times New Roman" w:cs="Times New Roman"/>
          <w:sz w:val="24"/>
        </w:rPr>
        <w:t>Forskning på lagerklassifisering i sykehus har økt i omfang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begrenset forskning som kobler klassifiseringsmetoder direkte til sentralisering av forsyningskjeden – noe denne oppgaven adresserer.</w:t>
      </w:r>
    </w:p>
    <w:p>
      <w:pPr>
        <w:spacing w:line="360" w:lineRule="auto"/>
        <w:jc w:val="both"/>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 studie der ABC kombineres med VED-analyse for å differensiere mellom høyverdiartikler og artikler med kritisk klinisk betydning.</w:t>
      </w:r>
    </w:p>
    <w:p>
      <w:pPr>
        <w:spacing w:line="360" w:lineRule="auto"/>
        <w:jc w:val="both"/>
      </w:pPr>
      <w:r>
        <w:rPr>
          <w:rFonts w:ascii="Times New Roman" w:hAnsi="Times New Roman" w:cs="Times New Roman"/>
          <w:sz w:val="24"/>
        </w:rPr>
        <w:t>XYZ-analyse, basert på variasjonskoeffisienten til etterspørselen, fremstår som det mest naturlige komplementet til ABC. Nowotyńska (2013) og Suryaputri et al. (2022) viser at ABC/XYZ-matrisen gir differensierte styringsanbefalinger for ni varekategorier, med dokumentert merverdi i helseindustrien.</w:t>
      </w:r>
    </w:p>
    <w:p>
      <w:pPr>
        <w:spacing w:line="360" w:lineRule="auto"/>
        <w:jc w:val="both"/>
      </w:pPr>
      <w:r>
        <w:rPr>
          <w:rFonts w:ascii="Times New Roman" w:hAnsi="Times New Roman" w:cs="Times New Roman"/>
          <w:sz w:val="24"/>
        </w:rPr>
        <w:t>Flerkriterietilnærminger som EDAS (Keshavarz Ghorabaee et al., 2015)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er lite dokumentert i sykehuskontekst, og utgjør et utforskende element i oppgavens metoderammeverk.</w:t>
      </w:r>
    </w:p>
    <w:p>
      <w:pPr>
        <w:spacing w:line="360" w:lineRule="auto"/>
        <w:jc w:val="both"/>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jc w:val="both"/>
      </w:pPr>
      <w:r>
        <w:rPr>
          <w:rFonts w:ascii="Times New Roman" w:hAnsi="Times New Roman" w:cs="Times New Roman"/>
          <w:sz w:val="24"/>
        </w:rPr>
        <w:t>Et identifisert gap i litteraturen er den begrensede forekomsten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jc w:val="both"/>
      </w:pPr>
      <w:r>
        <w:rPr>
          <w:rFonts w:ascii="Times New Roman" w:hAnsi="Times New Roman" w:cs="Times New Roman"/>
          <w:sz w:val="24"/>
        </w:rPr>
        <w:t>Tabell 1 gir en samlet oversikt over de sentrale kildene i litteraturgjennomgangen, organisert etter hovedtema og med kopling til denne oppgavens problemstilling.</w:t>
      </w:r>
    </w:p>
    <w:p>
      <w:r>
        <w:rPr>
          <w:rFonts w:ascii="Times New Roman" w:hAnsi="Times New Roman"/>
          <w:b/>
          <w:sz w:val="20"/>
        </w:rPr>
        <w:t>Tabell 1</w:t>
      </w:r>
    </w:p>
    <w:p>
      <w:r>
        <w:rPr>
          <w:rFonts w:ascii="Times New Roman" w:hAnsi="Times New Roman"/>
          <w:i/>
          <w:sz w:val="20"/>
        </w:rPr>
        <w:t>Litteraturoversikt: sentrale kilder med tema og relevans for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b w:val="0"/>
                <w:sz w:val="22"/>
              </w:rPr>
              <w:t>Bijvank &amp; Vis</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Lagerstyring ved brukssted i sykehus</w:t>
            </w:r>
          </w:p>
        </w:tc>
        <w:tc>
          <w:tcPr>
            <w:tcW w:type="dxa" w:w="2192"/>
          </w:tcPr>
          <w:p>
            <w:r/>
            <w:r>
              <w:rPr>
                <w:rFonts w:ascii="Times New Roman" w:hAnsi="Times New Roman"/>
                <w:b w:val="0"/>
                <w:sz w:val="22"/>
              </w:rPr>
              <w:t>Lost-sales-modell, forsyningssikkerhet</w:t>
            </w:r>
          </w:p>
        </w:tc>
      </w:tr>
      <w:tr>
        <w:tc>
          <w:tcPr>
            <w:tcW w:type="dxa" w:w="2192"/>
          </w:tcPr>
          <w:p>
            <w:r/>
            <w:r>
              <w:rPr>
                <w:rFonts w:ascii="Times New Roman" w:hAnsi="Times New Roman"/>
                <w:b w:val="0"/>
                <w:sz w:val="22"/>
              </w:rPr>
              <w:t>de Vries</w:t>
            </w:r>
          </w:p>
        </w:tc>
        <w:tc>
          <w:tcPr>
            <w:tcW w:type="dxa" w:w="2192"/>
          </w:tcPr>
          <w:p>
            <w:r/>
            <w:r>
              <w:rPr>
                <w:rFonts w:ascii="Times New Roman" w:hAnsi="Times New Roman"/>
                <w:b w:val="0"/>
                <w:sz w:val="22"/>
              </w:rPr>
              <w:t>2011</w:t>
            </w:r>
          </w:p>
        </w:tc>
        <w:tc>
          <w:tcPr>
            <w:tcW w:type="dxa" w:w="2192"/>
          </w:tcPr>
          <w:p>
            <w:r/>
            <w:r>
              <w:rPr>
                <w:rFonts w:ascii="Times New Roman" w:hAnsi="Times New Roman"/>
                <w:b w:val="0"/>
                <w:sz w:val="22"/>
              </w:rPr>
              <w:t>Interessentanalyse, lageromstilling i helse</w:t>
            </w:r>
          </w:p>
        </w:tc>
        <w:tc>
          <w:tcPr>
            <w:tcW w:type="dxa" w:w="2192"/>
          </w:tcPr>
          <w:p>
            <w:r/>
            <w:r>
              <w:rPr>
                <w:rFonts w:ascii="Times New Roman" w:hAnsi="Times New Roman"/>
                <w:b w:val="0"/>
                <w:sz w:val="22"/>
              </w:rPr>
              <w:t>Organisatoriske barrierer ved sentralisering</w:t>
            </w:r>
          </w:p>
        </w:tc>
      </w:tr>
      <w:tr>
        <w:tc>
          <w:tcPr>
            <w:tcW w:type="dxa" w:w="2192"/>
          </w:tcPr>
          <w:p>
            <w:r/>
            <w:r>
              <w:rPr>
                <w:rFonts w:ascii="Times New Roman" w:hAnsi="Times New Roman"/>
                <w:b w:val="0"/>
                <w:sz w:val="22"/>
              </w:rPr>
              <w:t>Fragapane et al.</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Forsyning til brukssted (APL)</w:t>
            </w:r>
          </w:p>
        </w:tc>
        <w:tc>
          <w:tcPr>
            <w:tcW w:type="dxa" w:w="2192"/>
          </w:tcPr>
          <w:p>
            <w:r/>
            <w:r>
              <w:rPr>
                <w:rFonts w:ascii="Times New Roman" w:hAnsi="Times New Roman"/>
                <w:b w:val="0"/>
                <w:sz w:val="22"/>
              </w:rPr>
              <w:t>APL-leveransemodell, sentraliseringskrav</w:t>
            </w:r>
          </w:p>
        </w:tc>
      </w:tr>
      <w:tr>
        <w:tc>
          <w:tcPr>
            <w:tcW w:type="dxa" w:w="2192"/>
          </w:tcPr>
          <w:p>
            <w:r/>
            <w:r>
              <w:rPr>
                <w:rFonts w:ascii="Times New Roman" w:hAnsi="Times New Roman"/>
                <w:b w:val="0"/>
                <w:sz w:val="22"/>
              </w:rPr>
              <w:t>Gupta et al.</w:t>
            </w:r>
          </w:p>
        </w:tc>
        <w:tc>
          <w:tcPr>
            <w:tcW w:type="dxa" w:w="2192"/>
          </w:tcPr>
          <w:p>
            <w:r/>
            <w:r>
              <w:rPr>
                <w:rFonts w:ascii="Times New Roman" w:hAnsi="Times New Roman"/>
                <w:b w:val="0"/>
                <w:sz w:val="22"/>
              </w:rPr>
              <w:t>2007</w:t>
            </w:r>
          </w:p>
        </w:tc>
        <w:tc>
          <w:tcPr>
            <w:tcW w:type="dxa" w:w="2192"/>
          </w:tcPr>
          <w:p>
            <w:r/>
            <w:r>
              <w:rPr>
                <w:rFonts w:ascii="Times New Roman" w:hAnsi="Times New Roman"/>
                <w:b w:val="0"/>
                <w:sz w:val="22"/>
              </w:rPr>
              <w:t>ABC- og VED-analyse, militærmedisinsk</w:t>
            </w:r>
          </w:p>
        </w:tc>
        <w:tc>
          <w:tcPr>
            <w:tcW w:type="dxa" w:w="2192"/>
          </w:tcPr>
          <w:p>
            <w:r/>
            <w:r>
              <w:rPr>
                <w:rFonts w:ascii="Times New Roman" w:hAnsi="Times New Roman"/>
                <w:b w:val="0"/>
                <w:sz w:val="22"/>
              </w:rPr>
              <w:t>ABC i sykehuskontekst med SAP-data</w:t>
            </w:r>
          </w:p>
        </w:tc>
      </w:tr>
      <w:tr>
        <w:tc>
          <w:tcPr>
            <w:tcW w:type="dxa" w:w="2192"/>
          </w:tcPr>
          <w:p>
            <w:r/>
            <w:r>
              <w:rPr>
                <w:rFonts w:ascii="Times New Roman" w:hAnsi="Times New Roman"/>
                <w:b w:val="0"/>
                <w:sz w:val="22"/>
              </w:rPr>
              <w:t>Gurumurthy et al.</w:t>
            </w:r>
          </w:p>
        </w:tc>
        <w:tc>
          <w:tcPr>
            <w:tcW w:type="dxa" w:w="2192"/>
          </w:tcPr>
          <w:p>
            <w:r/>
            <w:r>
              <w:rPr>
                <w:rFonts w:ascii="Times New Roman" w:hAnsi="Times New Roman"/>
                <w:b w:val="0"/>
                <w:sz w:val="22"/>
              </w:rPr>
              <w:t>2021</w:t>
            </w:r>
          </w:p>
        </w:tc>
        <w:tc>
          <w:tcPr>
            <w:tcW w:type="dxa" w:w="2192"/>
          </w:tcPr>
          <w:p>
            <w:r/>
            <w:r>
              <w:rPr>
                <w:rFonts w:ascii="Times New Roman" w:hAnsi="Times New Roman"/>
                <w:b w:val="0"/>
                <w:sz w:val="22"/>
              </w:rPr>
              <w:t>Hybrid lagerklassifisering, lean i sykehus</w:t>
            </w:r>
          </w:p>
        </w:tc>
        <w:tc>
          <w:tcPr>
            <w:tcW w:type="dxa" w:w="2192"/>
          </w:tcPr>
          <w:p>
            <w:r/>
            <w:r>
              <w:rPr>
                <w:rFonts w:ascii="Times New Roman" w:hAnsi="Times New Roman"/>
                <w:b w:val="0"/>
                <w:sz w:val="22"/>
              </w:rPr>
              <w:t>K-means i sykehuslogistikk</w:t>
            </w:r>
          </w:p>
        </w:tc>
      </w:tr>
      <w:tr>
        <w:tc>
          <w:tcPr>
            <w:tcW w:type="dxa" w:w="2192"/>
          </w:tcPr>
          <w:p>
            <w:r/>
            <w:r>
              <w:rPr>
                <w:rFonts w:ascii="Times New Roman" w:hAnsi="Times New Roman"/>
                <w:b w:val="0"/>
                <w:sz w:val="22"/>
              </w:rPr>
              <w:t>Hautaniemi &amp; Pirttilä</w:t>
            </w:r>
          </w:p>
        </w:tc>
        <w:tc>
          <w:tcPr>
            <w:tcW w:type="dxa" w:w="2192"/>
          </w:tcPr>
          <w:p>
            <w:r/>
            <w:r>
              <w:rPr>
                <w:rFonts w:ascii="Times New Roman" w:hAnsi="Times New Roman"/>
                <w:b w:val="0"/>
                <w:sz w:val="22"/>
              </w:rPr>
              <w:t>1999</w:t>
            </w:r>
          </w:p>
        </w:tc>
        <w:tc>
          <w:tcPr>
            <w:tcW w:type="dxa" w:w="2192"/>
          </w:tcPr>
          <w:p>
            <w:r/>
            <w:r>
              <w:rPr>
                <w:rFonts w:ascii="Times New Roman" w:hAnsi="Times New Roman"/>
                <w:b w:val="0"/>
                <w:sz w:val="22"/>
              </w:rPr>
              <w:t>Påfyllingspolicyer i MRP-miljø</w:t>
            </w:r>
          </w:p>
        </w:tc>
        <w:tc>
          <w:tcPr>
            <w:tcW w:type="dxa" w:w="2192"/>
          </w:tcPr>
          <w:p>
            <w:r/>
            <w:r>
              <w:rPr>
                <w:rFonts w:ascii="Times New Roman" w:hAnsi="Times New Roman"/>
                <w:b w:val="0"/>
                <w:sz w:val="22"/>
              </w:rPr>
              <w:t>EOQ-forutsetninger, lot sizing</w:t>
            </w:r>
          </w:p>
        </w:tc>
      </w:tr>
      <w:tr>
        <w:tc>
          <w:tcPr>
            <w:tcW w:type="dxa" w:w="2192"/>
          </w:tcPr>
          <w:p>
            <w:r/>
            <w:r>
              <w:rPr>
                <w:rFonts w:ascii="Times New Roman" w:hAnsi="Times New Roman"/>
                <w:b w:val="0"/>
                <w:sz w:val="22"/>
              </w:rPr>
              <w:t>Kelle et al.</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Farmasøytisk forsyningskjede, sykehus</w:t>
            </w:r>
          </w:p>
        </w:tc>
        <w:tc>
          <w:tcPr>
            <w:tcW w:type="dxa" w:w="2192"/>
          </w:tcPr>
          <w:p>
            <w:r/>
            <w:r>
              <w:rPr>
                <w:rFonts w:ascii="Times New Roman" w:hAnsi="Times New Roman"/>
                <w:b w:val="0"/>
                <w:sz w:val="22"/>
              </w:rPr>
              <w:t>Ordrekostnad S, sykehusinnkjøp</w:t>
            </w:r>
          </w:p>
        </w:tc>
      </w:tr>
      <w:tr>
        <w:tc>
          <w:tcPr>
            <w:tcW w:type="dxa" w:w="2192"/>
          </w:tcPr>
          <w:p>
            <w:r/>
            <w:r>
              <w:rPr>
                <w:rFonts w:ascii="Times New Roman" w:hAnsi="Times New Roman"/>
                <w:b w:val="0"/>
                <w:sz w:val="22"/>
              </w:rPr>
              <w:t>Keshavarz Ghorabaee et al.</w:t>
            </w:r>
          </w:p>
        </w:tc>
        <w:tc>
          <w:tcPr>
            <w:tcW w:type="dxa" w:w="2192"/>
          </w:tcPr>
          <w:p>
            <w:r/>
            <w:r>
              <w:rPr>
                <w:rFonts w:ascii="Times New Roman" w:hAnsi="Times New Roman"/>
                <w:b w:val="0"/>
                <w:sz w:val="22"/>
              </w:rPr>
              <w:t>2015</w:t>
            </w:r>
          </w:p>
        </w:tc>
        <w:tc>
          <w:tcPr>
            <w:tcW w:type="dxa" w:w="2192"/>
          </w:tcPr>
          <w:p>
            <w:r/>
            <w:r>
              <w:rPr>
                <w:rFonts w:ascii="Times New Roman" w:hAnsi="Times New Roman"/>
                <w:b w:val="0"/>
                <w:sz w:val="22"/>
              </w:rPr>
              <w:t>EDAS flerkriterieklassifisering</w:t>
            </w:r>
          </w:p>
        </w:tc>
        <w:tc>
          <w:tcPr>
            <w:tcW w:type="dxa" w:w="2192"/>
          </w:tcPr>
          <w:p>
            <w:r/>
            <w:r>
              <w:rPr>
                <w:rFonts w:ascii="Times New Roman" w:hAnsi="Times New Roman"/>
                <w:b w:val="0"/>
                <w:sz w:val="22"/>
              </w:rPr>
              <w:t>Alternativ til ABC, avstandsmetode</w:t>
            </w:r>
          </w:p>
        </w:tc>
      </w:tr>
      <w:tr>
        <w:tc>
          <w:tcPr>
            <w:tcW w:type="dxa" w:w="2192"/>
          </w:tcPr>
          <w:p>
            <w:r/>
            <w:r>
              <w:rPr>
                <w:rFonts w:ascii="Times New Roman" w:hAnsi="Times New Roman"/>
                <w:b w:val="0"/>
                <w:sz w:val="22"/>
              </w:rPr>
              <w:t>Ketkar &amp; Vaidya</w:t>
            </w:r>
          </w:p>
        </w:tc>
        <w:tc>
          <w:tcPr>
            <w:tcW w:type="dxa" w:w="2192"/>
          </w:tcPr>
          <w:p>
            <w:r/>
            <w:r>
              <w:rPr>
                <w:rFonts w:ascii="Times New Roman" w:hAnsi="Times New Roman"/>
                <w:b w:val="0"/>
                <w:sz w:val="22"/>
              </w:rPr>
              <w:t>2014</w:t>
            </w:r>
          </w:p>
        </w:tc>
        <w:tc>
          <w:tcPr>
            <w:tcW w:type="dxa" w:w="2192"/>
          </w:tcPr>
          <w:p>
            <w:r/>
            <w:r>
              <w:rPr>
                <w:rFonts w:ascii="Times New Roman" w:hAnsi="Times New Roman"/>
                <w:b w:val="0"/>
                <w:sz w:val="22"/>
              </w:rPr>
              <w:t>Bestillingspolicy, flerklassifisering</w:t>
            </w:r>
          </w:p>
        </w:tc>
        <w:tc>
          <w:tcPr>
            <w:tcW w:type="dxa" w:w="2192"/>
          </w:tcPr>
          <w:p>
            <w:r/>
            <w:r>
              <w:rPr>
                <w:rFonts w:ascii="Times New Roman" w:hAnsi="Times New Roman"/>
                <w:b w:val="0"/>
                <w:sz w:val="22"/>
              </w:rPr>
              <w:t>Holdesats h = 20 %, ABC/XYZ-kombinasjon</w:t>
            </w:r>
          </w:p>
        </w:tc>
      </w:tr>
      <w:tr>
        <w:tc>
          <w:tcPr>
            <w:tcW w:type="dxa" w:w="2192"/>
          </w:tcPr>
          <w:p>
            <w:r/>
            <w:r>
              <w:rPr>
                <w:rFonts w:ascii="Times New Roman" w:hAnsi="Times New Roman"/>
                <w:b w:val="0"/>
                <w:sz w:val="22"/>
              </w:rPr>
              <w:t>Moons et al.</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Ytelsesmåling, intern sykehusforsyning</w:t>
            </w:r>
          </w:p>
        </w:tc>
        <w:tc>
          <w:tcPr>
            <w:tcW w:type="dxa" w:w="2192"/>
          </w:tcPr>
          <w:p>
            <w:r/>
            <w:r>
              <w:rPr>
                <w:rFonts w:ascii="Times New Roman" w:hAnsi="Times New Roman"/>
                <w:b w:val="0"/>
                <w:sz w:val="22"/>
              </w:rPr>
              <w:t>Flerkriteriebaserte ytelsesmål</w:t>
            </w:r>
          </w:p>
        </w:tc>
      </w:tr>
      <w:tr>
        <w:tc>
          <w:tcPr>
            <w:tcW w:type="dxa" w:w="2192"/>
          </w:tcPr>
          <w:p>
            <w:r/>
            <w:r>
              <w:rPr>
                <w:rFonts w:ascii="Times New Roman" w:hAnsi="Times New Roman"/>
                <w:b w:val="0"/>
                <w:sz w:val="22"/>
              </w:rPr>
              <w:t>Nowotyńska</w:t>
            </w:r>
          </w:p>
        </w:tc>
        <w:tc>
          <w:tcPr>
            <w:tcW w:type="dxa" w:w="2192"/>
          </w:tcPr>
          <w:p>
            <w:r/>
            <w:r>
              <w:rPr>
                <w:rFonts w:ascii="Times New Roman" w:hAnsi="Times New Roman"/>
                <w:b w:val="0"/>
                <w:sz w:val="22"/>
              </w:rPr>
              <w:t>2013</w:t>
            </w:r>
          </w:p>
        </w:tc>
        <w:tc>
          <w:tcPr>
            <w:tcW w:type="dxa" w:w="2192"/>
          </w:tcPr>
          <w:p>
            <w:r/>
            <w:r>
              <w:rPr>
                <w:rFonts w:ascii="Times New Roman" w:hAnsi="Times New Roman"/>
                <w:b w:val="0"/>
                <w:sz w:val="22"/>
              </w:rPr>
              <w:t>XYZ-analyse, lagerstyring</w:t>
            </w:r>
          </w:p>
        </w:tc>
        <w:tc>
          <w:tcPr>
            <w:tcW w:type="dxa" w:w="2192"/>
          </w:tcPr>
          <w:p>
            <w:r/>
            <w:r>
              <w:rPr>
                <w:rFonts w:ascii="Times New Roman" w:hAnsi="Times New Roman"/>
                <w:b w:val="0"/>
                <w:sz w:val="22"/>
              </w:rPr>
              <w:t>CV-grenser X/Y/Z, metodegrunnlag</w:t>
            </w:r>
          </w:p>
        </w:tc>
      </w:tr>
      <w:tr>
        <w:tc>
          <w:tcPr>
            <w:tcW w:type="dxa" w:w="2192"/>
          </w:tcPr>
          <w:p>
            <w:r/>
            <w:r>
              <w:rPr>
                <w:rFonts w:ascii="Times New Roman" w:hAnsi="Times New Roman"/>
                <w:b w:val="0"/>
                <w:sz w:val="22"/>
              </w:rPr>
              <w:t>Pujawan</w:t>
            </w:r>
          </w:p>
        </w:tc>
        <w:tc>
          <w:tcPr>
            <w:tcW w:type="dxa" w:w="2192"/>
          </w:tcPr>
          <w:p>
            <w:r/>
            <w:r>
              <w:rPr>
                <w:rFonts w:ascii="Times New Roman" w:hAnsi="Times New Roman"/>
                <w:b w:val="0"/>
                <w:sz w:val="22"/>
              </w:rPr>
              <w:t>2004</w:t>
            </w:r>
          </w:p>
        </w:tc>
        <w:tc>
          <w:tcPr>
            <w:tcW w:type="dxa" w:w="2192"/>
          </w:tcPr>
          <w:p>
            <w:r/>
            <w:r>
              <w:rPr>
                <w:rFonts w:ascii="Times New Roman" w:hAnsi="Times New Roman"/>
                <w:b w:val="0"/>
                <w:sz w:val="22"/>
              </w:rPr>
              <w:t>Lot sizing, ordrevariabilitet</w:t>
            </w:r>
          </w:p>
        </w:tc>
        <w:tc>
          <w:tcPr>
            <w:tcW w:type="dxa" w:w="2192"/>
          </w:tcPr>
          <w:p>
            <w:r/>
            <w:r>
              <w:rPr>
                <w:rFonts w:ascii="Times New Roman" w:hAnsi="Times New Roman"/>
                <w:b w:val="0"/>
                <w:sz w:val="22"/>
              </w:rPr>
              <w:t>Bullwhip-effekt, EOQ-relevans</w:t>
            </w:r>
          </w:p>
        </w:tc>
      </w:tr>
      <w:tr>
        <w:tc>
          <w:tcPr>
            <w:tcW w:type="dxa" w:w="2192"/>
          </w:tcPr>
          <w:p>
            <w:r/>
            <w:r>
              <w:rPr>
                <w:rFonts w:ascii="Times New Roman" w:hAnsi="Times New Roman"/>
                <w:b w:val="0"/>
                <w:sz w:val="22"/>
              </w:rPr>
              <w:t>Saha &amp; Ray</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Lagermodeller i helsesektoren (review, 137 art.)</w:t>
            </w:r>
          </w:p>
        </w:tc>
        <w:tc>
          <w:tcPr>
            <w:tcW w:type="dxa" w:w="2192"/>
          </w:tcPr>
          <w:p>
            <w:r/>
            <w:r>
              <w:rPr>
                <w:rFonts w:ascii="Times New Roman" w:hAnsi="Times New Roman"/>
                <w:b w:val="0"/>
                <w:sz w:val="22"/>
              </w:rPr>
              <w:t>Gap: empiriske SAP-casestudier mangler</w:t>
            </w:r>
          </w:p>
        </w:tc>
      </w:tr>
      <w:tr>
        <w:tc>
          <w:tcPr>
            <w:tcW w:type="dxa" w:w="2192"/>
          </w:tcPr>
          <w:p>
            <w:r/>
            <w:r>
              <w:rPr>
                <w:rFonts w:ascii="Times New Roman" w:hAnsi="Times New Roman"/>
                <w:b w:val="0"/>
                <w:sz w:val="22"/>
              </w:rPr>
              <w:t>Silaen et al.</w:t>
            </w:r>
          </w:p>
        </w:tc>
        <w:tc>
          <w:tcPr>
            <w:tcW w:type="dxa" w:w="2192"/>
          </w:tcPr>
          <w:p>
            <w:r/>
            <w:r>
              <w:rPr>
                <w:rFonts w:ascii="Times New Roman" w:hAnsi="Times New Roman"/>
                <w:b w:val="0"/>
                <w:sz w:val="22"/>
              </w:rPr>
              <w:t>2023</w:t>
            </w:r>
          </w:p>
        </w:tc>
        <w:tc>
          <w:tcPr>
            <w:tcW w:type="dxa" w:w="2192"/>
          </w:tcPr>
          <w:p>
            <w:r/>
            <w:r>
              <w:rPr>
                <w:rFonts w:ascii="Times New Roman" w:hAnsi="Times New Roman"/>
                <w:b w:val="0"/>
                <w:sz w:val="22"/>
              </w:rPr>
              <w:t>ABC-analyse, implementering</w:t>
            </w:r>
          </w:p>
        </w:tc>
        <w:tc>
          <w:tcPr>
            <w:tcW w:type="dxa" w:w="2192"/>
          </w:tcPr>
          <w:p>
            <w:r/>
            <w:r>
              <w:rPr>
                <w:rFonts w:ascii="Times New Roman" w:hAnsi="Times New Roman"/>
                <w:b w:val="0"/>
                <w:sz w:val="22"/>
              </w:rPr>
              <w:t>ABC-grenser 80/95 %, Pareto-prinsippet</w:t>
            </w:r>
          </w:p>
        </w:tc>
      </w:tr>
      <w:tr>
        <w:tc>
          <w:tcPr>
            <w:tcW w:type="dxa" w:w="2192"/>
          </w:tcPr>
          <w:p>
            <w:r/>
            <w:r>
              <w:rPr>
                <w:rFonts w:ascii="Times New Roman" w:hAnsi="Times New Roman"/>
                <w:b w:val="0"/>
                <w:sz w:val="22"/>
              </w:rPr>
              <w:t>Srinivasan &amp; Moon</w:t>
            </w:r>
          </w:p>
        </w:tc>
        <w:tc>
          <w:tcPr>
            <w:tcW w:type="dxa" w:w="2192"/>
          </w:tcPr>
          <w:p>
            <w:r/>
            <w:r>
              <w:rPr>
                <w:rFonts w:ascii="Times New Roman" w:hAnsi="Times New Roman"/>
                <w:b w:val="0"/>
                <w:sz w:val="22"/>
              </w:rPr>
              <w:t>1999</w:t>
            </w:r>
          </w:p>
        </w:tc>
        <w:tc>
          <w:tcPr>
            <w:tcW w:type="dxa" w:w="2192"/>
          </w:tcPr>
          <w:p>
            <w:r/>
            <w:r>
              <w:rPr>
                <w:rFonts w:ascii="Times New Roman" w:hAnsi="Times New Roman"/>
                <w:b w:val="0"/>
                <w:sz w:val="22"/>
              </w:rPr>
              <w:t>Klyngeanalyse, forsyningskjedenettverk</w:t>
            </w:r>
          </w:p>
        </w:tc>
        <w:tc>
          <w:tcPr>
            <w:tcW w:type="dxa" w:w="2192"/>
          </w:tcPr>
          <w:p>
            <w:r/>
            <w:r>
              <w:rPr>
                <w:rFonts w:ascii="Times New Roman" w:hAnsi="Times New Roman"/>
                <w:b w:val="0"/>
                <w:sz w:val="22"/>
              </w:rPr>
              <w:t>K-means i SCM, nær-optimale løsninger</w:t>
            </w:r>
          </w:p>
        </w:tc>
      </w:tr>
      <w:tr>
        <w:tc>
          <w:tcPr>
            <w:tcW w:type="dxa" w:w="2192"/>
          </w:tcPr>
          <w:p>
            <w:r/>
            <w:r>
              <w:rPr>
                <w:rFonts w:ascii="Times New Roman" w:hAnsi="Times New Roman"/>
                <w:b w:val="0"/>
                <w:sz w:val="22"/>
              </w:rPr>
              <w:t>Suryaputri et al.</w:t>
            </w:r>
          </w:p>
        </w:tc>
        <w:tc>
          <w:tcPr>
            <w:tcW w:type="dxa" w:w="2192"/>
          </w:tcPr>
          <w:p>
            <w:r/>
            <w:r>
              <w:rPr>
                <w:rFonts w:ascii="Times New Roman" w:hAnsi="Times New Roman"/>
                <w:b w:val="0"/>
                <w:sz w:val="22"/>
              </w:rPr>
              <w:t>2022</w:t>
            </w:r>
          </w:p>
        </w:tc>
        <w:tc>
          <w:tcPr>
            <w:tcW w:type="dxa" w:w="2192"/>
          </w:tcPr>
          <w:p>
            <w:r/>
            <w:r>
              <w:rPr>
                <w:rFonts w:ascii="Times New Roman" w:hAnsi="Times New Roman"/>
                <w:b w:val="0"/>
                <w:sz w:val="22"/>
              </w:rPr>
              <w:t>ABC-XYZ-integrasjon, helseindustri</w:t>
            </w:r>
          </w:p>
        </w:tc>
        <w:tc>
          <w:tcPr>
            <w:tcW w:type="dxa" w:w="2192"/>
          </w:tcPr>
          <w:p>
            <w:r/>
            <w:r>
              <w:rPr>
                <w:rFonts w:ascii="Times New Roman" w:hAnsi="Times New Roman"/>
                <w:b w:val="0"/>
                <w:sz w:val="22"/>
              </w:rPr>
              <w:t>ABC/XYZ-matrise, bestillingspolicy</w:t>
            </w:r>
          </w:p>
        </w:tc>
      </w:tr>
      <w:tr>
        <w:tc>
          <w:tcPr>
            <w:tcW w:type="dxa" w:w="2192"/>
          </w:tcPr>
          <w:p>
            <w:r/>
            <w:r>
              <w:rPr>
                <w:rFonts w:ascii="Times New Roman" w:hAnsi="Times New Roman"/>
                <w:b w:val="0"/>
                <w:sz w:val="22"/>
              </w:rPr>
              <w:t>van Kampen et al.</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SKU-klassifiseringsrammeverk</w:t>
            </w:r>
          </w:p>
        </w:tc>
        <w:tc>
          <w:tcPr>
            <w:tcW w:type="dxa" w:w="2192"/>
          </w:tcPr>
          <w:p>
            <w:r/>
            <w:r>
              <w:rPr>
                <w:rFonts w:ascii="Times New Roman" w:hAnsi="Times New Roman"/>
                <w:b w:val="0"/>
                <w:sz w:val="22"/>
              </w:rPr>
              <w:t>Tre hoveddimensjoner, posisjonering</w:t>
            </w:r>
          </w:p>
        </w:tc>
      </w:tr>
      <w:tr>
        <w:tc>
          <w:tcPr>
            <w:tcW w:type="dxa" w:w="2192"/>
          </w:tcPr>
          <w:p>
            <w:r/>
            <w:r>
              <w:rPr>
                <w:rFonts w:ascii="Times New Roman" w:hAnsi="Times New Roman"/>
                <w:b w:val="0"/>
                <w:sz w:val="22"/>
              </w:rPr>
              <w:t>Volland et al.</w:t>
            </w:r>
          </w:p>
        </w:tc>
        <w:tc>
          <w:tcPr>
            <w:tcW w:type="dxa" w:w="2192"/>
          </w:tcPr>
          <w:p>
            <w:r/>
            <w:r>
              <w:rPr>
                <w:rFonts w:ascii="Times New Roman" w:hAnsi="Times New Roman"/>
                <w:b w:val="0"/>
                <w:sz w:val="22"/>
              </w:rPr>
              <w:t>2017</w:t>
            </w:r>
          </w:p>
        </w:tc>
        <w:tc>
          <w:tcPr>
            <w:tcW w:type="dxa" w:w="2192"/>
          </w:tcPr>
          <w:p>
            <w:r/>
            <w:r>
              <w:rPr>
                <w:rFonts w:ascii="Times New Roman" w:hAnsi="Times New Roman"/>
                <w:b w:val="0"/>
                <w:sz w:val="22"/>
              </w:rPr>
              <w:t>Materiallogistikk i sykehus (review, 145 pub.)</w:t>
            </w:r>
          </w:p>
        </w:tc>
        <w:tc>
          <w:tcPr>
            <w:tcW w:type="dxa" w:w="2192"/>
          </w:tcPr>
          <w:p>
            <w:r/>
            <w:r>
              <w:rPr>
                <w:rFonts w:ascii="Times New Roman" w:hAnsi="Times New Roman"/>
                <w:b w:val="0"/>
                <w:sz w:val="22"/>
              </w:rPr>
              <w:t>Lagerstyring dominerer, 30–40 % av drift</w:t>
            </w:r>
          </w:p>
        </w:tc>
      </w:tr>
    </w:tbl>
    <w:p>
      <w:pPr>
        <w:pStyle w:val="Overskrift2"/>
      </w:pPr>
      <w:r>
        <w:rPr>
          <w:rFonts w:ascii="Times New Roman" w:hAnsi="Times New Roman"/>
          <w:color w:val="000000"/>
          <w:sz w:val="32"/>
        </w:rPr>
        <w:t>2.2 ABC-analyse</w:t>
      </w:r>
    </w:p>
    <w:p>
      <w:pPr>
        <w:spacing w:line="360" w:lineRule="auto"/>
        <w:jc w:val="both"/>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jc w:val="both"/>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jc w:val="both"/>
      </w:pPr>
      <w:r>
        <w:rPr>
          <w:rFonts w:ascii="Times New Roman" w:hAnsi="Times New Roman" w:cs="Times New Roman"/>
          <w:sz w:val="24"/>
        </w:rPr>
        <w:t>XYZ-klassifisering kategoriserer artikler etter etterspørselens forutsigbarhet, målt ved variasjonskoeffisienten (CV). Klassifiseringsgrensene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jc w:val="both"/>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jc w:val="both"/>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jc w:val="both"/>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jc w:val="both"/>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(Rousseeuw, 1987), der verdier over 0,3 regnes som akseptable for eksplorativ analyse (Ketkar &amp; Vaidya, 2014). Log-transformasjon og z-score-standardisering sikrer at variabler med ulik skala bidrar likeverdig til distanseberegningene; den tekniske spesifikasjonen er gitt i kapittel 5.</w:t>
      </w:r>
    </w:p>
    <w:p>
      <w:pPr>
        <w:spacing w:line="360" w:lineRule="auto"/>
        <w:jc w:val="both"/>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jc w:val="both"/>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w:t>
      </w:r>
    </w:p>
    <w:p>
      <w:pPr>
        <w:spacing w:line="360" w:lineRule="auto"/>
        <w:jc w:val="both"/>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jc w:val="both"/>
      </w:pPr>
      <w:r>
        <w:rPr>
          <w:rFonts w:ascii="Times New Roman" w:hAnsi="Times New Roman" w:cs="Times New Roman"/>
          <w:sz w:val="24"/>
        </w:rPr>
        <w:t>Tabell 2 oppsummerer styrker, svakheter og forutsetninger for de fire analysemetodene som benyttes i denne oppgaven.</w:t>
      </w:r>
    </w:p>
    <w:p>
      <w:r>
        <w:rPr>
          <w:rFonts w:ascii="Times New Roman" w:hAnsi="Times New Roman"/>
          <w:b/>
          <w:sz w:val="20"/>
        </w:rPr>
        <w:t>Tabell 2</w:t>
      </w:r>
    </w:p>
    <w:p>
      <w:r>
        <w:rPr>
          <w:rFonts w:ascii="Times New Roman" w:hAnsi="Times New Roman"/>
          <w:i/>
          <w:sz w:val="20"/>
        </w:rPr>
        <w:t>Sammenligning av analysemetoder brukt i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b w:val="0"/>
                <w:sz w:val="22"/>
              </w:rPr>
              <w:t>ABC-analyse</w:t>
            </w:r>
          </w:p>
        </w:tc>
        <w:tc>
          <w:tcPr>
            <w:tcW w:type="dxa" w:w="1754"/>
          </w:tcPr>
          <w:p>
            <w:r/>
            <w:r>
              <w:rPr>
                <w:rFonts w:ascii="Times New Roman" w:hAnsi="Times New Roman"/>
                <w:b w:val="0"/>
                <w:sz w:val="22"/>
              </w:rPr>
              <w:t>Enkel, transparent, bred støtte i litteraturen</w:t>
            </w:r>
          </w:p>
        </w:tc>
        <w:tc>
          <w:tcPr>
            <w:tcW w:type="dxa" w:w="1754"/>
          </w:tcPr>
          <w:p>
            <w:r/>
            <w:r>
              <w:rPr>
                <w:rFonts w:ascii="Times New Roman" w:hAnsi="Times New Roman"/>
                <w:b w:val="0"/>
                <w:sz w:val="22"/>
              </w:rPr>
              <w:t>Ignorerer etterspørselsvariabilitet og kritikalitet</w:t>
            </w:r>
          </w:p>
        </w:tc>
        <w:tc>
          <w:tcPr>
            <w:tcW w:type="dxa" w:w="1754"/>
          </w:tcPr>
          <w:p>
            <w:r/>
            <w:r>
              <w:rPr>
                <w:rFonts w:ascii="Times New Roman" w:hAnsi="Times New Roman"/>
                <w:b w:val="0"/>
                <w:sz w:val="22"/>
              </w:rPr>
              <w:t>Kjent årsverdi per artikkel</w:t>
            </w:r>
          </w:p>
        </w:tc>
        <w:tc>
          <w:tcPr>
            <w:tcW w:type="dxa" w:w="1754"/>
          </w:tcPr>
          <w:p>
            <w:r/>
            <w:r>
              <w:rPr>
                <w:rFonts w:ascii="Times New Roman" w:hAnsi="Times New Roman"/>
                <w:b w:val="0"/>
                <w:sz w:val="22"/>
              </w:rPr>
              <w:t>Silaen et al. (2023)</w:t>
            </w:r>
          </w:p>
        </w:tc>
      </w:tr>
      <w:tr>
        <w:tc>
          <w:tcPr>
            <w:tcW w:type="dxa" w:w="1754"/>
          </w:tcPr>
          <w:p>
            <w:r/>
            <w:r>
              <w:rPr>
                <w:rFonts w:ascii="Times New Roman" w:hAnsi="Times New Roman"/>
                <w:b w:val="0"/>
                <w:sz w:val="22"/>
              </w:rPr>
              <w:t>XYZ-klassifisering</w:t>
            </w:r>
          </w:p>
        </w:tc>
        <w:tc>
          <w:tcPr>
            <w:tcW w:type="dxa" w:w="1754"/>
          </w:tcPr>
          <w:p>
            <w:r/>
            <w:r>
              <w:rPr>
                <w:rFonts w:ascii="Times New Roman" w:hAnsi="Times New Roman"/>
                <w:b w:val="0"/>
                <w:sz w:val="22"/>
              </w:rPr>
              <w:t>Fanger variabilitet i etterspørsel over tid</w:t>
            </w:r>
          </w:p>
        </w:tc>
        <w:tc>
          <w:tcPr>
            <w:tcW w:type="dxa" w:w="1754"/>
          </w:tcPr>
          <w:p>
            <w:r/>
            <w:r>
              <w:rPr>
                <w:rFonts w:ascii="Times New Roman" w:hAnsi="Times New Roman"/>
                <w:b w:val="0"/>
                <w:sz w:val="22"/>
              </w:rPr>
              <w:t>Krever tilstrekkelig transaksjonshistorikk</w:t>
            </w:r>
          </w:p>
        </w:tc>
        <w:tc>
          <w:tcPr>
            <w:tcW w:type="dxa" w:w="1754"/>
          </w:tcPr>
          <w:p>
            <w:r/>
            <w:r>
              <w:rPr>
                <w:rFonts w:ascii="Times New Roman" w:hAnsi="Times New Roman"/>
                <w:b w:val="0"/>
                <w:sz w:val="22"/>
              </w:rPr>
              <w:t>Månedlige forbruksdata tilgjengelig</w:t>
            </w:r>
          </w:p>
        </w:tc>
        <w:tc>
          <w:tcPr>
            <w:tcW w:type="dxa" w:w="1754"/>
          </w:tcPr>
          <w:p>
            <w:r/>
            <w:r>
              <w:rPr>
                <w:rFonts w:ascii="Times New Roman" w:hAnsi="Times New Roman"/>
                <w:b w:val="0"/>
                <w:sz w:val="22"/>
              </w:rPr>
              <w:t>Nowotyńska (2013)</w:t>
            </w:r>
          </w:p>
        </w:tc>
      </w:tr>
      <w:tr>
        <w:tc>
          <w:tcPr>
            <w:tcW w:type="dxa" w:w="1754"/>
          </w:tcPr>
          <w:p>
            <w:r/>
            <w:r>
              <w:rPr>
                <w:rFonts w:ascii="Times New Roman" w:hAnsi="Times New Roman"/>
                <w:b w:val="0"/>
                <w:sz w:val="22"/>
              </w:rPr>
              <w:t>EOQ (Wilson)</w:t>
            </w:r>
          </w:p>
        </w:tc>
        <w:tc>
          <w:tcPr>
            <w:tcW w:type="dxa" w:w="1754"/>
          </w:tcPr>
          <w:p>
            <w:r/>
            <w:r>
              <w:rPr>
                <w:rFonts w:ascii="Times New Roman" w:hAnsi="Times New Roman"/>
                <w:b w:val="0"/>
                <w:sz w:val="22"/>
              </w:rPr>
              <w:t>Analytisk optimal ordrekvantum, kvantifiserbart avvik</w:t>
            </w:r>
          </w:p>
        </w:tc>
        <w:tc>
          <w:tcPr>
            <w:tcW w:type="dxa" w:w="1754"/>
          </w:tcPr>
          <w:p>
            <w:r/>
            <w:r>
              <w:rPr>
                <w:rFonts w:ascii="Times New Roman" w:hAnsi="Times New Roman"/>
                <w:b w:val="0"/>
                <w:sz w:val="22"/>
              </w:rPr>
              <w:t>Sensitiv for S og H; antar konstant etterspørsel</w:t>
            </w:r>
          </w:p>
        </w:tc>
        <w:tc>
          <w:tcPr>
            <w:tcW w:type="dxa" w:w="1754"/>
          </w:tcPr>
          <w:p>
            <w:r/>
            <w:r>
              <w:rPr>
                <w:rFonts w:ascii="Times New Roman" w:hAnsi="Times New Roman"/>
                <w:b w:val="0"/>
                <w:sz w:val="22"/>
              </w:rPr>
              <w:t>Kjent S og H; kontinuerlig etterspørsel</w:t>
            </w:r>
          </w:p>
        </w:tc>
        <w:tc>
          <w:tcPr>
            <w:tcW w:type="dxa" w:w="1754"/>
          </w:tcPr>
          <w:p>
            <w:r/>
            <w:r>
              <w:rPr>
                <w:rFonts w:ascii="Times New Roman" w:hAnsi="Times New Roman"/>
                <w:b w:val="0"/>
                <w:sz w:val="22"/>
              </w:rPr>
              <w:t>Hautaniemi &amp; Pirttilä (1999)</w:t>
            </w:r>
          </w:p>
        </w:tc>
      </w:tr>
      <w:tr>
        <w:tc>
          <w:tcPr>
            <w:tcW w:type="dxa" w:w="1754"/>
          </w:tcPr>
          <w:p>
            <w:r/>
            <w:r>
              <w:rPr>
                <w:rFonts w:ascii="Times New Roman" w:hAnsi="Times New Roman"/>
                <w:b w:val="0"/>
                <w:sz w:val="22"/>
              </w:rPr>
              <w:t>K-means klyngeanalyse</w:t>
            </w:r>
          </w:p>
        </w:tc>
        <w:tc>
          <w:tcPr>
            <w:tcW w:type="dxa" w:w="1754"/>
          </w:tcPr>
          <w:p>
            <w:r/>
            <w:r>
              <w:rPr>
                <w:rFonts w:ascii="Times New Roman" w:hAnsi="Times New Roman"/>
                <w:b w:val="0"/>
                <w:sz w:val="22"/>
              </w:rPr>
              <w:t>Avdekker skjulte mønstre uten forhåndsbestemte grenser</w:t>
            </w:r>
          </w:p>
        </w:tc>
        <w:tc>
          <w:tcPr>
            <w:tcW w:type="dxa" w:w="1754"/>
          </w:tcPr>
          <w:p>
            <w:r/>
            <w:r>
              <w:rPr>
                <w:rFonts w:ascii="Times New Roman" w:hAnsi="Times New Roman"/>
                <w:b w:val="0"/>
                <w:sz w:val="22"/>
              </w:rPr>
              <w:t>Sensitiv for K-valg og initialisering</w:t>
            </w:r>
          </w:p>
        </w:tc>
        <w:tc>
          <w:tcPr>
            <w:tcW w:type="dxa" w:w="1754"/>
          </w:tcPr>
          <w:p>
            <w:r/>
            <w:r>
              <w:rPr>
                <w:rFonts w:ascii="Times New Roman" w:hAnsi="Times New Roman"/>
                <w:b w:val="0"/>
                <w:sz w:val="22"/>
              </w:rPr>
              <w:t>Normaliserte features; euklidsk avstand</w:t>
            </w:r>
          </w:p>
        </w:tc>
        <w:tc>
          <w:tcPr>
            <w:tcW w:type="dxa" w:w="1754"/>
          </w:tcPr>
          <w:p>
            <w:r/>
            <w:r>
              <w:rPr>
                <w:rFonts w:ascii="Times New Roman" w:hAnsi="Times New Roman"/>
                <w:b w:val="0"/>
                <w:sz w:val="22"/>
              </w:rPr>
              <w:t>Srinivasan &amp; Moon (1999)</w:t>
            </w:r>
          </w:p>
        </w:tc>
      </w:tr>
    </w:tbl>
    <w:p>
      <w:pPr>
        <w:pStyle w:val="Overskrift2"/>
      </w:pPr>
      <w:r>
        <w:rPr>
          <w:rFonts w:ascii="Times New Roman" w:hAnsi="Times New Roman"/>
          <w:color w:val="000000"/>
          <w:sz w:val="32"/>
        </w:rPr>
        <w:t>2.7 Konseptuelt rammeverk</w:t>
      </w:r>
    </w:p>
    <w:p>
      <w:pPr>
        <w:spacing w:line="360" w:lineRule="auto"/>
        <w:jc w:val="both"/>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1. Konseptuelt rammeverk – fra SAP-data til HVFS-anbefaling. Generert med støtte fra Claude.</w:t>
      </w:r>
    </w:p>
    <w:p>
      <w:pPr>
        <w:spacing w:line="360" w:lineRule="auto"/>
        <w:jc w:val="both"/>
      </w:pPr>
      <w:r>
        <w:rPr>
          <w:rFonts w:ascii="Times New Roman" w:hAnsi="Times New Roman" w:cs="Times New Roman"/>
          <w:sz w:val="24"/>
        </w:rPr>
        <w:t>Den detaljerte matematiske formuleringen av alle modellkomponenter – parameterdefinisjonene, formlene og grenseverdiene – presenteres i kapittel 5. Rammeverket anvendes på en konkret sykehuskontekst som beskrives i neste kapittel.</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jc w:val="both"/>
      </w:pPr>
      <w:r>
        <w:rPr>
          <w:rFonts w:ascii="Times New Roman" w:hAnsi="Times New Roman" w:cs="Times New Roman"/>
          <w:sz w:val="24"/>
        </w:rPr>
        <w:t xml:space="preserve">Helse Bergen HF er det største helseforetaket i Helse Vest RHF og drifter Haukeland Universitetssykehus med ansvar for spesialisthelsetjenester til et opptaksområde på nær en halv million innbyggere. Helse Vest koordinerer fire helseforetak (Bergen, Stavanger, Fonna, Førde), og en regionalt harmonisert tilnærming til materialforvaltning har fått økt prioritet for å oppnå stordriftsfordeler. Forsyningsstrukturen organiserer seg langs to nivåer: et </w:t>
      </w:r>
      <w:r>
        <w:rPr>
          <w:rFonts w:ascii="Times New Roman" w:hAnsi="Times New Roman" w:cs="Times New Roman"/>
          <w:b/>
          <w:sz w:val="24"/>
        </w:rPr>
        <w:t>regionalt sentrallager</w:t>
      </w:r>
      <w:r>
        <w:rPr>
          <w:rFonts w:ascii="Times New Roman" w:hAnsi="Times New Roman" w:cs="Times New Roman"/>
          <w:sz w:val="24"/>
        </w:rPr>
        <w:t xml:space="preserve"> (HVFS) og </w:t>
      </w:r>
      <w:r>
        <w:rPr>
          <w:rFonts w:ascii="Times New Roman" w:hAnsi="Times New Roman" w:cs="Times New Roman"/>
          <w:b/>
          <w:sz w:val="24"/>
        </w:rPr>
        <w:t>lokale forsyningslagre / lokallagre</w:t>
      </w:r>
      <w:r>
        <w:rPr>
          <w:rFonts w:ascii="Times New Roman" w:hAnsi="Times New Roman" w:cs="Times New Roman"/>
          <w:sz w:val="24"/>
        </w:rPr>
        <w:t xml:space="preserve"> ved hvert helseforetak. Denne oppgaven analyserer Helse Bergens lokallager ved WERKS 3300 og kandidater for sentralisering opp til HVFS.</w:t>
      </w:r>
    </w:p>
    <w:p>
      <w:pPr>
        <w:spacing w:line="360" w:lineRule="auto"/>
        <w:jc w:val="both"/>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p>
      <w:r>
        <w:rPr>
          <w:rFonts w:ascii="Times New Roman" w:hAnsi="Times New Roman"/>
          <w:b/>
          <w:sz w:val="20"/>
        </w:rPr>
        <w:t>Tabell 3</w:t>
      </w:r>
    </w:p>
    <w:p>
      <w:r>
        <w:rPr>
          <w:rFonts w:ascii="Times New Roman" w:hAnsi="Times New Roman"/>
          <w:i/>
          <w:sz w:val="20"/>
        </w:rPr>
        <w:t>Nøkkeltall for casevirksomheten Helse Bergen, WERKS 3300</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b w:val="0"/>
                <w:sz w:val="22"/>
              </w:rPr>
              <w:t>Helseforetak</w:t>
            </w:r>
          </w:p>
        </w:tc>
        <w:tc>
          <w:tcPr>
            <w:tcW w:type="dxa" w:w="2923"/>
          </w:tcPr>
          <w:p>
            <w:r/>
            <w:r>
              <w:rPr>
                <w:rFonts w:ascii="Times New Roman" w:hAnsi="Times New Roman"/>
                <w:b w:val="0"/>
                <w:sz w:val="22"/>
              </w:rPr>
              <w:t>Helse Bergen HF</w:t>
            </w:r>
          </w:p>
        </w:tc>
        <w:tc>
          <w:tcPr>
            <w:tcW w:type="dxa" w:w="2923"/>
          </w:tcPr>
          <w:p>
            <w:r/>
            <w:r>
              <w:rPr>
                <w:rFonts w:ascii="Times New Roman" w:hAnsi="Times New Roman"/>
                <w:b w:val="0"/>
                <w:sz w:val="22"/>
              </w:rPr>
              <w:t>Helse Vest RHF</w:t>
            </w:r>
          </w:p>
        </w:tc>
      </w:tr>
      <w:tr>
        <w:tc>
          <w:tcPr>
            <w:tcW w:type="dxa" w:w="2923"/>
          </w:tcPr>
          <w:p>
            <w:r/>
            <w:r>
              <w:rPr>
                <w:rFonts w:ascii="Times New Roman" w:hAnsi="Times New Roman"/>
                <w:b w:val="0"/>
                <w:sz w:val="22"/>
              </w:rPr>
              <w:t>SAP-anlegg (WERKS)</w:t>
            </w:r>
          </w:p>
        </w:tc>
        <w:tc>
          <w:tcPr>
            <w:tcW w:type="dxa" w:w="2923"/>
          </w:tcPr>
          <w:p>
            <w:r/>
            <w:r>
              <w:rPr>
                <w:rFonts w:ascii="Times New Roman" w:hAnsi="Times New Roman"/>
                <w:b w:val="0"/>
                <w:sz w:val="22"/>
              </w:rPr>
              <w:t>3300</w:t>
            </w:r>
          </w:p>
        </w:tc>
        <w:tc>
          <w:tcPr>
            <w:tcW w:type="dxa" w:w="2923"/>
          </w:tcPr>
          <w:p>
            <w:r/>
            <w:r>
              <w:rPr>
                <w:rFonts w:ascii="Times New Roman" w:hAnsi="Times New Roman"/>
                <w:b w:val="0"/>
                <w:sz w:val="22"/>
              </w:rPr>
              <w:t>SAP S/4HANA</w:t>
            </w:r>
          </w:p>
        </w:tc>
      </w:tr>
      <w:tr>
        <w:tc>
          <w:tcPr>
            <w:tcW w:type="dxa" w:w="2923"/>
          </w:tcPr>
          <w:p>
            <w:r/>
            <w:r>
              <w:rPr>
                <w:rFonts w:ascii="Times New Roman" w:hAnsi="Times New Roman"/>
                <w:b w:val="0"/>
                <w:sz w:val="22"/>
              </w:rPr>
              <w:t>Lagersted (LGORT)</w:t>
            </w:r>
          </w:p>
        </w:tc>
        <w:tc>
          <w:tcPr>
            <w:tcW w:type="dxa" w:w="2923"/>
          </w:tcPr>
          <w:p>
            <w:r/>
            <w:r>
              <w:rPr>
                <w:rFonts w:ascii="Times New Roman" w:hAnsi="Times New Roman"/>
                <w:b w:val="0"/>
                <w:sz w:val="22"/>
              </w:rPr>
              <w:t>3001</w:t>
            </w:r>
          </w:p>
        </w:tc>
        <w:tc>
          <w:tcPr>
            <w:tcW w:type="dxa" w:w="2923"/>
          </w:tcPr>
          <w:p>
            <w:r/>
            <w:r>
              <w:rPr>
                <w:rFonts w:ascii="Times New Roman" w:hAnsi="Times New Roman"/>
                <w:b w:val="0"/>
                <w:sz w:val="22"/>
              </w:rPr>
              <w:t>SAP S/4HANA</w:t>
            </w:r>
          </w:p>
        </w:tc>
      </w:tr>
      <w:tr>
        <w:tc>
          <w:tcPr>
            <w:tcW w:type="dxa" w:w="2923"/>
          </w:tcPr>
          <w:p>
            <w:r/>
            <w:r>
              <w:rPr>
                <w:rFonts w:ascii="Times New Roman" w:hAnsi="Times New Roman"/>
                <w:b w:val="0"/>
                <w:sz w:val="22"/>
              </w:rPr>
              <w:t>Antall aktive artikler</w:t>
            </w:r>
          </w:p>
        </w:tc>
        <w:tc>
          <w:tcPr>
            <w:tcW w:type="dxa" w:w="2923"/>
          </w:tcPr>
          <w:p>
            <w:r/>
            <w:r>
              <w:rPr>
                <w:rFonts w:ascii="Times New Roman" w:hAnsi="Times New Roman"/>
                <w:b w:val="0"/>
                <w:sz w:val="22"/>
              </w:rPr>
              <w:t>709</w:t>
            </w:r>
          </w:p>
        </w:tc>
        <w:tc>
          <w:tcPr>
            <w:tcW w:type="dxa" w:w="2923"/>
          </w:tcPr>
          <w:p>
            <w:r/>
            <w:r>
              <w:rPr>
                <w:rFonts w:ascii="Times New Roman" w:hAnsi="Times New Roman"/>
                <w:b w:val="0"/>
                <w:sz w:val="22"/>
              </w:rPr>
              <w:t>MASTERFILE_V1.xlsx (D-01)</w:t>
            </w:r>
          </w:p>
        </w:tc>
      </w:tr>
      <w:tr>
        <w:tc>
          <w:tcPr>
            <w:tcW w:type="dxa" w:w="2923"/>
          </w:tcPr>
          <w:p>
            <w:r/>
            <w:r>
              <w:rPr>
                <w:rFonts w:ascii="Times New Roman" w:hAnsi="Times New Roman"/>
                <w:b w:val="0"/>
                <w:sz w:val="22"/>
              </w:rPr>
              <w:t>Analyseperiode</w:t>
            </w:r>
          </w:p>
        </w:tc>
        <w:tc>
          <w:tcPr>
            <w:tcW w:type="dxa" w:w="2923"/>
          </w:tcPr>
          <w:p>
            <w:r/>
            <w:r>
              <w:rPr>
                <w:rFonts w:ascii="Times New Roman" w:hAnsi="Times New Roman"/>
                <w:b w:val="0"/>
                <w:sz w:val="22"/>
              </w:rPr>
              <w:t>Januar 2024 – desember 2025 (24 mnd)</w:t>
            </w:r>
          </w:p>
        </w:tc>
        <w:tc>
          <w:tcPr>
            <w:tcW w:type="dxa" w:w="2923"/>
          </w:tcPr>
          <w:p>
            <w:r/>
            <w:r>
              <w:rPr>
                <w:rFonts w:ascii="Times New Roman" w:hAnsi="Times New Roman"/>
                <w:b w:val="0"/>
                <w:sz w:val="22"/>
              </w:rPr>
              <w:t>SAP SE16H</w:t>
            </w:r>
          </w:p>
        </w:tc>
      </w:tr>
      <w:tr>
        <w:tc>
          <w:tcPr>
            <w:tcW w:type="dxa" w:w="2923"/>
          </w:tcPr>
          <w:p>
            <w:r/>
            <w:r>
              <w:rPr>
                <w:rFonts w:ascii="Times New Roman" w:hAnsi="Times New Roman"/>
                <w:b w:val="0"/>
                <w:sz w:val="22"/>
              </w:rPr>
              <w:t>Antall SAP-kildetabeller</w:t>
            </w:r>
          </w:p>
        </w:tc>
        <w:tc>
          <w:tcPr>
            <w:tcW w:type="dxa" w:w="2923"/>
          </w:tcPr>
          <w:p>
            <w:r/>
            <w:r>
              <w:rPr>
                <w:rFonts w:ascii="Times New Roman" w:hAnsi="Times New Roman"/>
                <w:b w:val="0"/>
                <w:sz w:val="22"/>
              </w:rPr>
              <w:t>14</w:t>
            </w:r>
          </w:p>
        </w:tc>
        <w:tc>
          <w:tcPr>
            <w:tcW w:type="dxa" w:w="2923"/>
          </w:tcPr>
          <w:p>
            <w:r/>
            <w:r>
              <w:rPr>
                <w:rFonts w:ascii="Times New Roman" w:hAnsi="Times New Roman"/>
                <w:b w:val="0"/>
                <w:sz w:val="22"/>
              </w:rPr>
              <w:t>Dataspesifikasjon (Vedlegg A)</w:t>
            </w:r>
          </w:p>
        </w:tc>
      </w:tr>
      <w:tr>
        <w:tc>
          <w:tcPr>
            <w:tcW w:type="dxa" w:w="2923"/>
          </w:tcPr>
          <w:p>
            <w:r/>
            <w:r>
              <w:rPr>
                <w:rFonts w:ascii="Times New Roman" w:hAnsi="Times New Roman"/>
                <w:b w:val="0"/>
                <w:sz w:val="22"/>
              </w:rPr>
              <w:t>ERP-system</w:t>
            </w:r>
          </w:p>
        </w:tc>
        <w:tc>
          <w:tcPr>
            <w:tcW w:type="dxa" w:w="2923"/>
          </w:tcPr>
          <w:p>
            <w:r/>
            <w:r>
              <w:rPr>
                <w:rFonts w:ascii="Times New Roman" w:hAnsi="Times New Roman"/>
                <w:b w:val="0"/>
                <w:sz w:val="22"/>
              </w:rPr>
              <w:t>SAP S/4HANA (LIBRA-prosjektet)</w:t>
            </w:r>
          </w:p>
        </w:tc>
        <w:tc>
          <w:tcPr>
            <w:tcW w:type="dxa" w:w="2923"/>
          </w:tcPr>
          <w:p>
            <w:r/>
            <w:r>
              <w:rPr>
                <w:rFonts w:ascii="Times New Roman" w:hAnsi="Times New Roman"/>
                <w:b w:val="0"/>
                <w:sz w:val="22"/>
              </w:rPr>
              <w:t>Helse Vest IKT</w:t>
            </w:r>
          </w:p>
        </w:tc>
      </w:tr>
      <w:tr>
        <w:tc>
          <w:tcPr>
            <w:tcW w:type="dxa" w:w="2923"/>
          </w:tcPr>
          <w:p>
            <w:r/>
            <w:r>
              <w:rPr>
                <w:rFonts w:ascii="Times New Roman" w:hAnsi="Times New Roman"/>
                <w:b w:val="0"/>
                <w:sz w:val="22"/>
              </w:rPr>
              <w:t>Regionalt sentrallager</w:t>
            </w:r>
          </w:p>
        </w:tc>
        <w:tc>
          <w:tcPr>
            <w:tcW w:type="dxa" w:w="2923"/>
          </w:tcPr>
          <w:p>
            <w:r/>
            <w:r>
              <w:rPr>
                <w:rFonts w:ascii="Times New Roman" w:hAnsi="Times New Roman"/>
                <w:b w:val="0"/>
                <w:sz w:val="22"/>
              </w:rPr>
              <w:t>HVFS (Helse Vest Forsyningssenter)</w:t>
            </w:r>
          </w:p>
        </w:tc>
        <w:tc>
          <w:tcPr>
            <w:tcW w:type="dxa" w:w="2923"/>
          </w:tcPr>
          <w:p>
            <w:r/>
            <w:r>
              <w:rPr>
                <w:rFonts w:ascii="Times New Roman" w:hAnsi="Times New Roman"/>
                <w:b w:val="0"/>
                <w:sz w:val="22"/>
              </w:rPr>
              <w:t>Intern, Helse Vest</w:t>
            </w:r>
          </w:p>
        </w:tc>
      </w:tr>
      <w:tr>
        <w:tc>
          <w:tcPr>
            <w:tcW w:type="dxa" w:w="2923"/>
          </w:tcPr>
          <w:p>
            <w:r/>
            <w:r>
              <w:rPr>
                <w:rFonts w:ascii="Times New Roman" w:hAnsi="Times New Roman"/>
                <w:b w:val="0"/>
                <w:sz w:val="22"/>
              </w:rPr>
              <w:t>APL-operatør</w:t>
            </w:r>
          </w:p>
        </w:tc>
        <w:tc>
          <w:tcPr>
            <w:tcW w:type="dxa" w:w="2923"/>
          </w:tcPr>
          <w:p>
            <w:r/>
            <w:r>
              <w:rPr>
                <w:rFonts w:ascii="Times New Roman" w:hAnsi="Times New Roman"/>
                <w:b w:val="0"/>
                <w:sz w:val="22"/>
              </w:rPr>
              <w:t>NorEngros</w:t>
            </w:r>
          </w:p>
        </w:tc>
        <w:tc>
          <w:tcPr>
            <w:tcW w:type="dxa" w:w="2923"/>
          </w:tcPr>
          <w:p>
            <w:r/>
            <w:r>
              <w:rPr>
                <w:rFonts w:ascii="Times New Roman" w:hAnsi="Times New Roman"/>
                <w:b w:val="0"/>
                <w:sz w:val="22"/>
              </w:rPr>
              <w:t>Intern, Helse Vest</w:t>
            </w:r>
          </w:p>
        </w:tc>
      </w:tr>
      <w:tr>
        <w:tc>
          <w:tcPr>
            <w:tcW w:type="dxa" w:w="2923"/>
          </w:tcPr>
          <w:p>
            <w:r/>
            <w:r>
              <w:rPr>
                <w:rFonts w:ascii="Times New Roman" w:hAnsi="Times New Roman"/>
                <w:b w:val="0"/>
                <w:sz w:val="22"/>
              </w:rPr>
              <w:t>Innkjøpsgruppe</w:t>
            </w:r>
          </w:p>
        </w:tc>
        <w:tc>
          <w:tcPr>
            <w:tcW w:type="dxa" w:w="2923"/>
          </w:tcPr>
          <w:p>
            <w:r/>
            <w:r>
              <w:rPr>
                <w:rFonts w:ascii="Times New Roman" w:hAnsi="Times New Roman"/>
                <w:b w:val="0"/>
                <w:sz w:val="22"/>
              </w:rPr>
              <w:t>300 / 3000</w:t>
            </w:r>
          </w:p>
        </w:tc>
        <w:tc>
          <w:tcPr>
            <w:tcW w:type="dxa" w:w="2923"/>
          </w:tcPr>
          <w:p>
            <w:r/>
            <w:r>
              <w:rPr>
                <w:rFonts w:ascii="Times New Roman" w:hAnsi="Times New Roman"/>
                <w:b w:val="0"/>
                <w:sz w:val="22"/>
              </w:rPr>
              <w:t>SAP MM</w:t>
            </w:r>
          </w:p>
        </w:tc>
      </w:tr>
      <w:tr>
        <w:tc>
          <w:tcPr>
            <w:tcW w:type="dxa" w:w="2923"/>
          </w:tcPr>
          <w:p>
            <w:r/>
            <w:r>
              <w:rPr>
                <w:rFonts w:ascii="Times New Roman" w:hAnsi="Times New Roman"/>
                <w:b w:val="0"/>
                <w:sz w:val="22"/>
              </w:rPr>
              <w:t>Bestillingstype</w:t>
            </w:r>
          </w:p>
        </w:tc>
        <w:tc>
          <w:tcPr>
            <w:tcW w:type="dxa" w:w="2923"/>
          </w:tcPr>
          <w:p>
            <w:r/>
            <w:r>
              <w:rPr>
                <w:rFonts w:ascii="Times New Roman" w:hAnsi="Times New Roman"/>
                <w:b w:val="0"/>
                <w:sz w:val="22"/>
              </w:rPr>
              <w:t>ZNB (lokal bestillingstype)</w:t>
            </w:r>
          </w:p>
        </w:tc>
        <w:tc>
          <w:tcPr>
            <w:tcW w:type="dxa" w:w="2923"/>
          </w:tcPr>
          <w:p>
            <w:r/>
            <w:r>
              <w:rPr>
                <w:rFonts w:ascii="Times New Roman" w:hAnsi="Times New Roman"/>
                <w:b w:val="0"/>
                <w:sz w:val="22"/>
              </w:rPr>
              <w:t>SAP MM</w:t>
            </w:r>
          </w:p>
        </w:tc>
      </w:tr>
    </w:tbl>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Figur 2. Lagerstruktur – Helse Vest forsyningskjede (forenklet). Generert med støtte fra Claude.</w:t>
      </w:r>
    </w:p>
    <w:p>
      <w:pPr>
        <w:pStyle w:val="Overskrift2"/>
      </w:pPr>
      <w:r>
        <w:rPr>
          <w:rFonts w:ascii="Times New Roman" w:hAnsi="Times New Roman"/>
          <w:color w:val="000000"/>
          <w:sz w:val="32"/>
        </w:rPr>
        <w:t>3.2 HVFS og LIBRA-prosjektet</w:t>
      </w:r>
    </w:p>
    <w:p>
      <w:pPr>
        <w:spacing w:line="360" w:lineRule="auto"/>
        <w:jc w:val="both"/>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jc w:val="both"/>
      </w:pPr>
      <w:r>
        <w:rPr>
          <w:rFonts w:ascii="Times New Roman" w:hAnsi="Times New Roman" w:cs="Times New Roman"/>
          <w:sz w:val="24"/>
        </w:rPr>
        <w:t>Et sentralt element i HVFS-konseptet er avdelingspakkede leveranser (APL) – ferdigpakkede leveranser direkte til avdeling uten mellomlagring. APL forutsetter stabil og forutsigbar etterspørsel, noe som gjør forbruksmønsterets stabilitet (XYZ-dimensjonen) til et relevant klassifiseringskriterium for HVFS-egnethet. APL-modellen er planlagt implementert frem mot 2029.</w:t>
      </w:r>
    </w:p>
    <w:p>
      <w:pPr>
        <w:spacing w:line="360" w:lineRule="auto"/>
        <w:jc w:val="both"/>
      </w:pPr>
      <w:r>
        <w:rPr>
          <w:rFonts w:ascii="Times New Roman" w:hAnsi="Times New Roman" w:cs="Times New Roman"/>
          <w:sz w:val="24"/>
        </w:rPr>
        <w:t>LIBRA-prosjektet er Helse Vest IKTs regionale program for implementering og harmonisering av SAP S/4HANA på tvers av alle helseforetak i Helse Vest. LIBRA legger det tekniske grunnlaget for at data fra ulike foretak kan sammenlignes og analyseres på tvers – en forutsetning for at HVFS-klassifisering skal ha overføringsverdi fra Helse Bergen til de øvrige foretakene. Fragapane et al. (2019) understreker at sentraliserte leveringsmodeller som APL krever et systematisk klassifiseringsgrunnlag for å skille mellom artikler som egner seg for sentralisering og artikler som bør forbli lokalt tilgjengelig.</w:t>
      </w:r>
    </w:p>
    <w:p>
      <w:pPr>
        <w:pStyle w:val="Overskrift2"/>
      </w:pPr>
      <w:r>
        <w:rPr>
          <w:rFonts w:ascii="Times New Roman" w:hAnsi="Times New Roman"/>
          <w:color w:val="000000"/>
          <w:sz w:val="32"/>
        </w:rPr>
        <w:t>3.3 Problemkontekst og datagrunnlag</w:t>
      </w:r>
    </w:p>
    <w:p>
      <w:pPr>
        <w:spacing w:line="360" w:lineRule="auto"/>
        <w:jc w:val="both"/>
      </w:pPr>
      <w:r>
        <w:rPr>
          <w:rFonts w:ascii="Times New Roman" w:hAnsi="Times New Roman" w:cs="Times New Roman"/>
          <w:sz w:val="24"/>
        </w:rPr>
        <w:t>Helse Bergens forsyningslager mangler i dag et systematisk, datadrevet grunnlag for å avgjøre hvilke av lagerets artikler som er aktuelle for overføring til HVFS. Beslutningene om sortimentstilhørighet treffes i stor grad basert på erfaring og skjønn, uten en strukturert analyse av verdi, forbruksmønster eller kostnadseffektiviteten ved nåværende bestillingspraksis.</w:t>
      </w:r>
    </w:p>
    <w:p>
      <w:pPr>
        <w:spacing w:line="360" w:lineRule="auto"/>
        <w:jc w:val="both"/>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jc w:val="both"/>
      </w:pPr>
      <w:r>
        <w:rPr>
          <w:rFonts w:ascii="Times New Roman" w:hAnsi="Times New Roman" w:cs="Times New Roman"/>
          <w:sz w:val="24"/>
        </w:rPr>
        <w:t>Datagrunnlaget for analysen er hentet fra 14 SAP-tabeller via transaksjonen SE16H i SAP S/4HANA ved Helse Bergen, for perioden 2024–2025 (se Tabell 4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jc w:val="both"/>
      </w:pPr>
      <w:r>
        <w:rPr>
          <w:rFonts w:ascii="Times New Roman" w:hAnsi="Times New Roman" w:cs="Times New Roman"/>
          <w:sz w:val="24"/>
        </w:rPr>
        <w:t>Datapipelinen fra råuttrekk til analyseresultat er illustrert i Figur 4 (avsnitt 4.3).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 Datagrunnlaget og problemkonteksten som er beskrevet i dette kapittelet danner utgangspunktet for de metodiske valgene som presenteres i neste kapittel.</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jc w:val="both"/>
      </w:pPr>
      <w:r>
        <w:rPr>
          <w:rFonts w:ascii="Times New Roman" w:hAnsi="Times New Roman" w:cs="Times New Roman"/>
          <w:sz w:val="24"/>
        </w:rPr>
        <w:t>Denne studien er utformet som en kvantitativ casestudie med deskriptiv, eksplorativ og normativ komponent. Det deskriptive elementet omfatter ABC/XYZ-klassifisering av eksisterende forbruksmønstre; det eksplorative omfatter K-means klyngeanalyse for mønstergjenkjenning; og det normative omfatter regelmotoren og besparelsesformelen som genererer handlingsanbefalinger. Casestudiedesignet egner seg fordi problemstillingen er avgrenset til én operativ kontekst – Helse Bergens forsyningslager WERKS 3300, LGORT 3001 – og fordi målet er å generere handlingsrettede anbefalinger basert på de operasjonelle dataene som faktisk eksisterer i dette systemet.</w:t>
      </w:r>
    </w:p>
    <w:p>
      <w:pPr>
        <w:spacing w:line="360" w:lineRule="auto"/>
        <w:jc w:val="both"/>
      </w:pPr>
      <w:r>
        <w:rPr>
          <w:rFonts w:ascii="Times New Roman" w:hAnsi="Times New Roman" w:cs="Times New Roman"/>
          <w:sz w:val="24"/>
        </w:rPr>
        <w:t>Studien er rent kvantitativ – det benyttes ingen spørreundersøkelser, intervjuer eller deltakerobservasjon. Alle analyser er basert på operasjonelle ERP-data fra SAP S/4HANA, som er automatisk registrert og i vesentlig grad fri fra selvrapporteringsfeil, men som kan inneholde registreringsfeil og uregistrerte uttakstyper (Saha &amp; Ray, 2019; jf. diskusjon i avsnitt 8.2). Datauttrekket ble gjennomført av forfatteren i januar 2026, med lesetilgang gjennom rollen som SAP MM-konsulent ved Helse Vest IKT. Analyseenheten er den individuelle lagerartikkelen (SKU), og populasjonen er de 709 aktive artiklene i LGORT 3001 per analyseperioden 2024–2025.</w:t>
      </w:r>
    </w:p>
    <w:p>
      <w:pPr>
        <w:spacing w:line="360" w:lineRule="auto"/>
        <w:jc w:val="both"/>
      </w:pPr>
      <w:r>
        <w:rPr>
          <w:rFonts w:ascii="Times New Roman" w:hAnsi="Times New Roman" w:cs="Times New Roman"/>
          <w:sz w:val="24"/>
        </w:rPr>
        <w:t>Studien er deskriptiv-analytisk: den klassifiserer eksisterende artikler og kombinerer resultatene i en regelbasert beslutningsmodell (van Kampen et al., 2012). Generaliserbarhet er begrenset til sammenlignbare sykehuslagre med SAP-infrastruktur; studien gir et reproduserbart metoderammeverk som kan tilpasses andre WERKS-enheter innenfor Helse Vest.</w:t>
      </w:r>
    </w:p>
    <w:p>
      <w:pPr>
        <w:spacing w:line="360" w:lineRule="auto"/>
        <w:jc w:val="both"/>
      </w:pPr>
      <w:r>
        <w:rPr>
          <w:rFonts w:ascii="Times New Roman" w:hAnsi="Times New Roman" w:cs="Times New Roman"/>
          <w:sz w:val="24"/>
        </w:rPr>
        <w:t>De fem analytiske teknikkene som anvendes har ulik metodisk natur, og det er ikke hensiktsmessig å presse dem inn i én felles modellmal. ABC-analyse og XYZ-klassifisering er deskriptive klassifiseringsregler som henholdsvis fanger verdi- og stabilitetsdimensjonen. EOQ (Wilson) er en klassisk optimeringsmodell som beregner optimal ordrefrekvens og det resulterende kostnadsavviket. K-means klyngeanalyse er en form for uovervåket maskinlæring som gir multivariat segmentering uten forhåndsdefinerte terskler. Regelmotoren er regelbasert beslutningslogikk som sekvensielt aggregerer de øvrige signalene til én anbefaling per artikkel.</w:t>
      </w:r>
    </w:p>
    <w:p>
      <w:pPr>
        <w:spacing w:line="360" w:lineRule="auto"/>
        <w:jc w:val="both"/>
      </w:pPr>
      <w:r>
        <w:rPr>
          <w:rFonts w:ascii="Times New Roman" w:hAnsi="Times New Roman" w:cs="Times New Roman"/>
          <w:sz w:val="24"/>
        </w:rPr>
        <w:t>Arbeidet følger en faseinndelt prosjektlogikk fra problemavklaring via litteratur og modellering, til analyse, validering og rapportering – hvor hvert steg bygger på utfallet av det foregående.</w:t>
      </w:r>
    </w:p>
    <w:p>
      <w:pPr>
        <w:pStyle w:val="Overskrift2"/>
      </w:pPr>
      <w:r>
        <w:rPr>
          <w:rFonts w:ascii="Times New Roman" w:hAnsi="Times New Roman"/>
          <w:color w:val="000000"/>
          <w:sz w:val="32"/>
        </w:rPr>
        <w:t>4.2 Datainnsamling</w:t>
      </w:r>
    </w:p>
    <w:p>
      <w:pPr>
        <w:spacing w:line="360" w:lineRule="auto"/>
        <w:jc w:val="both"/>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p>
      <w:r>
        <w:rPr>
          <w:rFonts w:ascii="Times New Roman" w:hAnsi="Times New Roman"/>
          <w:b/>
          <w:sz w:val="20"/>
        </w:rPr>
        <w:t>Tabell 4</w:t>
      </w:r>
    </w:p>
    <w:p>
      <w:r>
        <w:rPr>
          <w:rFonts w:ascii="Times New Roman" w:hAnsi="Times New Roman"/>
          <w:i/>
          <w:sz w:val="20"/>
        </w:rPr>
        <w:t>Datagrunnlag: 14 SAP S/4HANA-tabeller hentet via SE16H, analyseperiode 2024–2025, WERKS 3300 /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b w:val="0"/>
                <w:sz w:val="22"/>
              </w:rPr>
              <w:t>1</w:t>
            </w:r>
          </w:p>
        </w:tc>
        <w:tc>
          <w:tcPr>
            <w:tcW w:type="dxa" w:w="2192"/>
          </w:tcPr>
          <w:p>
            <w:r/>
            <w:r>
              <w:rPr>
                <w:rFonts w:ascii="Times New Roman" w:hAnsi="Times New Roman"/>
                <w:b w:val="0"/>
                <w:sz w:val="22"/>
              </w:rPr>
              <w:t>MARD</w:t>
            </w:r>
          </w:p>
        </w:tc>
        <w:tc>
          <w:tcPr>
            <w:tcW w:type="dxa" w:w="2192"/>
          </w:tcPr>
          <w:p>
            <w:r/>
            <w:r>
              <w:rPr>
                <w:rFonts w:ascii="Times New Roman" w:hAnsi="Times New Roman"/>
                <w:b w:val="0"/>
                <w:sz w:val="22"/>
              </w:rPr>
              <w:t>Lagerdata per lagersted (beholdning)</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2</w:t>
            </w:r>
          </w:p>
        </w:tc>
        <w:tc>
          <w:tcPr>
            <w:tcW w:type="dxa" w:w="2192"/>
          </w:tcPr>
          <w:p>
            <w:r/>
            <w:r>
              <w:rPr>
                <w:rFonts w:ascii="Times New Roman" w:hAnsi="Times New Roman"/>
                <w:b w:val="0"/>
                <w:sz w:val="22"/>
              </w:rPr>
              <w:t>MDMA</w:t>
            </w:r>
          </w:p>
        </w:tc>
        <w:tc>
          <w:tcPr>
            <w:tcW w:type="dxa" w:w="2192"/>
          </w:tcPr>
          <w:p>
            <w:r/>
            <w:r>
              <w:rPr>
                <w:rFonts w:ascii="Times New Roman" w:hAnsi="Times New Roman"/>
                <w:b w:val="0"/>
                <w:sz w:val="22"/>
              </w:rPr>
              <w:t>MRP-data, ABC/XYZ-indikator (ZZABC, ZZXYZ)</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3</w:t>
            </w:r>
          </w:p>
        </w:tc>
        <w:tc>
          <w:tcPr>
            <w:tcW w:type="dxa" w:w="2192"/>
          </w:tcPr>
          <w:p>
            <w:r/>
            <w:r>
              <w:rPr>
                <w:rFonts w:ascii="Times New Roman" w:hAnsi="Times New Roman"/>
                <w:b w:val="0"/>
                <w:sz w:val="22"/>
              </w:rPr>
              <w:t>MARA</w:t>
            </w:r>
          </w:p>
        </w:tc>
        <w:tc>
          <w:tcPr>
            <w:tcW w:type="dxa" w:w="2192"/>
          </w:tcPr>
          <w:p>
            <w:r/>
            <w:r>
              <w:rPr>
                <w:rFonts w:ascii="Times New Roman" w:hAnsi="Times New Roman"/>
                <w:b w:val="0"/>
                <w:sz w:val="22"/>
              </w:rPr>
              <w:t>Artikkelstamdata (MTART, MATKL, MEINS)</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4</w:t>
            </w:r>
          </w:p>
        </w:tc>
        <w:tc>
          <w:tcPr>
            <w:tcW w:type="dxa" w:w="2192"/>
          </w:tcPr>
          <w:p>
            <w:r/>
            <w:r>
              <w:rPr>
                <w:rFonts w:ascii="Times New Roman" w:hAnsi="Times New Roman"/>
                <w:b w:val="0"/>
                <w:sz w:val="22"/>
              </w:rPr>
              <w:t>MAKT</w:t>
            </w:r>
          </w:p>
        </w:tc>
        <w:tc>
          <w:tcPr>
            <w:tcW w:type="dxa" w:w="2192"/>
          </w:tcPr>
          <w:p>
            <w:r/>
            <w:r>
              <w:rPr>
                <w:rFonts w:ascii="Times New Roman" w:hAnsi="Times New Roman"/>
                <w:b w:val="0"/>
                <w:sz w:val="22"/>
              </w:rPr>
              <w:t>Artikkeltekst (MAKTX)</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5</w:t>
            </w:r>
          </w:p>
        </w:tc>
        <w:tc>
          <w:tcPr>
            <w:tcW w:type="dxa" w:w="2192"/>
          </w:tcPr>
          <w:p>
            <w:r/>
            <w:r>
              <w:rPr>
                <w:rFonts w:ascii="Times New Roman" w:hAnsi="Times New Roman"/>
                <w:b w:val="0"/>
                <w:sz w:val="22"/>
              </w:rPr>
              <w:t>MARC</w:t>
            </w:r>
          </w:p>
        </w:tc>
        <w:tc>
          <w:tcPr>
            <w:tcW w:type="dxa" w:w="2192"/>
          </w:tcPr>
          <w:p>
            <w:r/>
            <w:r>
              <w:rPr>
                <w:rFonts w:ascii="Times New Roman" w:hAnsi="Times New Roman"/>
                <w:b w:val="0"/>
                <w:sz w:val="22"/>
              </w:rPr>
              <w:t>Anleggsdata per materiale (MARC_ABC)</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6</w:t>
            </w:r>
          </w:p>
        </w:tc>
        <w:tc>
          <w:tcPr>
            <w:tcW w:type="dxa" w:w="2192"/>
          </w:tcPr>
          <w:p>
            <w:r/>
            <w:r>
              <w:rPr>
                <w:rFonts w:ascii="Times New Roman" w:hAnsi="Times New Roman"/>
                <w:b w:val="0"/>
                <w:sz w:val="22"/>
              </w:rPr>
              <w:t>MBEW</w:t>
            </w:r>
          </w:p>
        </w:tc>
        <w:tc>
          <w:tcPr>
            <w:tcW w:type="dxa" w:w="2192"/>
          </w:tcPr>
          <w:p>
            <w:r/>
            <w:r>
              <w:rPr>
                <w:rFonts w:ascii="Times New Roman" w:hAnsi="Times New Roman"/>
                <w:b w:val="0"/>
                <w:sz w:val="22"/>
              </w:rPr>
              <w:t>Verdsettingsdata (STPRS, PEINH)</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7</w:t>
            </w:r>
          </w:p>
        </w:tc>
        <w:tc>
          <w:tcPr>
            <w:tcW w:type="dxa" w:w="2192"/>
          </w:tcPr>
          <w:p>
            <w:r/>
            <w:r>
              <w:rPr>
                <w:rFonts w:ascii="Times New Roman" w:hAnsi="Times New Roman"/>
                <w:b w:val="0"/>
                <w:sz w:val="22"/>
              </w:rPr>
              <w:t>MSEG</w:t>
            </w:r>
          </w:p>
        </w:tc>
        <w:tc>
          <w:tcPr>
            <w:tcW w:type="dxa" w:w="2192"/>
          </w:tcPr>
          <w:p>
            <w:r/>
            <w:r>
              <w:rPr>
                <w:rFonts w:ascii="Times New Roman" w:hAnsi="Times New Roman"/>
                <w:b w:val="0"/>
                <w:sz w:val="22"/>
              </w:rPr>
              <w:t>Varebevegelser, forbruk (BWART 201, 647)</w:t>
            </w:r>
          </w:p>
        </w:tc>
        <w:tc>
          <w:tcPr>
            <w:tcW w:type="dxa" w:w="2192"/>
          </w:tcPr>
          <w:p>
            <w:r/>
            <w:r>
              <w:rPr>
                <w:rFonts w:ascii="Times New Roman" w:hAnsi="Times New Roman"/>
                <w:b w:val="0"/>
                <w:sz w:val="22"/>
              </w:rPr>
              <w:t>Forbruksdata</w:t>
            </w:r>
          </w:p>
        </w:tc>
      </w:tr>
      <w:tr>
        <w:tc>
          <w:tcPr>
            <w:tcW w:type="dxa" w:w="2192"/>
          </w:tcPr>
          <w:p>
            <w:r/>
            <w:r>
              <w:rPr>
                <w:rFonts w:ascii="Times New Roman" w:hAnsi="Times New Roman"/>
                <w:b w:val="0"/>
                <w:sz w:val="22"/>
              </w:rPr>
              <w:t>8</w:t>
            </w:r>
          </w:p>
        </w:tc>
        <w:tc>
          <w:tcPr>
            <w:tcW w:type="dxa" w:w="2192"/>
          </w:tcPr>
          <w:p>
            <w:r/>
            <w:r>
              <w:rPr>
                <w:rFonts w:ascii="Times New Roman" w:hAnsi="Times New Roman"/>
                <w:b w:val="0"/>
                <w:sz w:val="22"/>
              </w:rPr>
              <w:t>EKKO</w:t>
            </w:r>
          </w:p>
        </w:tc>
        <w:tc>
          <w:tcPr>
            <w:tcW w:type="dxa" w:w="2192"/>
          </w:tcPr>
          <w:p>
            <w:r/>
            <w:r>
              <w:rPr>
                <w:rFonts w:ascii="Times New Roman" w:hAnsi="Times New Roman"/>
                <w:b w:val="0"/>
                <w:sz w:val="22"/>
              </w:rPr>
              <w:t>Innkjøpsordrehoder (bestillingstype ZNB)</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9</w:t>
            </w:r>
          </w:p>
        </w:tc>
        <w:tc>
          <w:tcPr>
            <w:tcW w:type="dxa" w:w="2192"/>
          </w:tcPr>
          <w:p>
            <w:r/>
            <w:r>
              <w:rPr>
                <w:rFonts w:ascii="Times New Roman" w:hAnsi="Times New Roman"/>
                <w:b w:val="0"/>
                <w:sz w:val="22"/>
              </w:rPr>
              <w:t>EKPO</w:t>
            </w:r>
          </w:p>
        </w:tc>
        <w:tc>
          <w:tcPr>
            <w:tcW w:type="dxa" w:w="2192"/>
          </w:tcPr>
          <w:p>
            <w:r/>
            <w:r>
              <w:rPr>
                <w:rFonts w:ascii="Times New Roman" w:hAnsi="Times New Roman"/>
                <w:b w:val="0"/>
                <w:sz w:val="22"/>
              </w:rPr>
              <w:t>Innkjøpsordreposisjoner (NETWR)</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10</w:t>
            </w:r>
          </w:p>
        </w:tc>
        <w:tc>
          <w:tcPr>
            <w:tcW w:type="dxa" w:w="2192"/>
          </w:tcPr>
          <w:p>
            <w:r/>
            <w:r>
              <w:rPr>
                <w:rFonts w:ascii="Times New Roman" w:hAnsi="Times New Roman"/>
                <w:b w:val="0"/>
                <w:sz w:val="22"/>
              </w:rPr>
              <w:t>EKBE</w:t>
            </w:r>
          </w:p>
        </w:tc>
        <w:tc>
          <w:tcPr>
            <w:tcW w:type="dxa" w:w="2192"/>
          </w:tcPr>
          <w:p>
            <w:r/>
            <w:r>
              <w:rPr>
                <w:rFonts w:ascii="Times New Roman" w:hAnsi="Times New Roman"/>
                <w:b w:val="0"/>
                <w:sz w:val="22"/>
              </w:rPr>
              <w:t>Innkjøpsordrehistorikk/varemottak</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11</w:t>
            </w:r>
          </w:p>
        </w:tc>
        <w:tc>
          <w:tcPr>
            <w:tcW w:type="dxa" w:w="2192"/>
          </w:tcPr>
          <w:p>
            <w:r/>
            <w:r>
              <w:rPr>
                <w:rFonts w:ascii="Times New Roman" w:hAnsi="Times New Roman"/>
                <w:b w:val="0"/>
                <w:sz w:val="22"/>
              </w:rPr>
              <w:t>EINA</w:t>
            </w:r>
          </w:p>
        </w:tc>
        <w:tc>
          <w:tcPr>
            <w:tcW w:type="dxa" w:w="2192"/>
          </w:tcPr>
          <w:p>
            <w:r/>
            <w:r>
              <w:rPr>
                <w:rFonts w:ascii="Times New Roman" w:hAnsi="Times New Roman"/>
                <w:b w:val="0"/>
                <w:sz w:val="22"/>
              </w:rPr>
              <w:t>Innkjøpsinforecord – generell del</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12</w:t>
            </w:r>
          </w:p>
        </w:tc>
        <w:tc>
          <w:tcPr>
            <w:tcW w:type="dxa" w:w="2192"/>
          </w:tcPr>
          <w:p>
            <w:r/>
            <w:r>
              <w:rPr>
                <w:rFonts w:ascii="Times New Roman" w:hAnsi="Times New Roman"/>
                <w:b w:val="0"/>
                <w:sz w:val="22"/>
              </w:rPr>
              <w:t>EINE</w:t>
            </w:r>
          </w:p>
        </w:tc>
        <w:tc>
          <w:tcPr>
            <w:tcW w:type="dxa" w:w="2192"/>
          </w:tcPr>
          <w:p>
            <w:r/>
            <w:r>
              <w:rPr>
                <w:rFonts w:ascii="Times New Roman" w:hAnsi="Times New Roman"/>
                <w:b w:val="0"/>
                <w:sz w:val="22"/>
              </w:rPr>
              <w:t>Innkjøpsinforecord – organisasjonsdel (WETAG)</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13</w:t>
            </w:r>
          </w:p>
        </w:tc>
        <w:tc>
          <w:tcPr>
            <w:tcW w:type="dxa" w:w="2192"/>
          </w:tcPr>
          <w:p>
            <w:r/>
            <w:r>
              <w:rPr>
                <w:rFonts w:ascii="Times New Roman" w:hAnsi="Times New Roman"/>
                <w:b w:val="0"/>
                <w:sz w:val="22"/>
              </w:rPr>
              <w:t>T023T</w:t>
            </w:r>
          </w:p>
        </w:tc>
        <w:tc>
          <w:tcPr>
            <w:tcW w:type="dxa" w:w="2192"/>
          </w:tcPr>
          <w:p>
            <w:r/>
            <w:r>
              <w:rPr>
                <w:rFonts w:ascii="Times New Roman" w:hAnsi="Times New Roman"/>
                <w:b w:val="0"/>
                <w:sz w:val="22"/>
              </w:rPr>
              <w:t>Varegruppenavn (WGBEZ)</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14</w:t>
            </w:r>
          </w:p>
        </w:tc>
        <w:tc>
          <w:tcPr>
            <w:tcW w:type="dxa" w:w="2192"/>
          </w:tcPr>
          <w:p>
            <w:r/>
            <w:r>
              <w:rPr>
                <w:rFonts w:ascii="Times New Roman" w:hAnsi="Times New Roman"/>
                <w:b w:val="0"/>
                <w:sz w:val="22"/>
              </w:rPr>
              <w:t>T024</w:t>
            </w:r>
          </w:p>
        </w:tc>
        <w:tc>
          <w:tcPr>
            <w:tcW w:type="dxa" w:w="2192"/>
          </w:tcPr>
          <w:p>
            <w:r/>
            <w:r>
              <w:rPr>
                <w:rFonts w:ascii="Times New Roman" w:hAnsi="Times New Roman"/>
                <w:b w:val="0"/>
                <w:sz w:val="22"/>
              </w:rPr>
              <w:t>Innkjøpsgrupper (EKGRP)</w:t>
            </w:r>
          </w:p>
        </w:tc>
        <w:tc>
          <w:tcPr>
            <w:tcW w:type="dxa" w:w="2192"/>
          </w:tcPr>
          <w:p>
            <w:r/>
            <w:r>
              <w:rPr>
                <w:rFonts w:ascii="Times New Roman" w:hAnsi="Times New Roman"/>
                <w:b w:val="0"/>
                <w:sz w:val="22"/>
              </w:rPr>
              <w:t>Supplerende</w:t>
            </w:r>
          </w:p>
        </w:tc>
      </w:tr>
    </w:tbl>
    <w:p>
      <w:pPr>
        <w:spacing w:line="360" w:lineRule="auto"/>
        <w:jc w:val="both"/>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3 gir en samlet oversikt over fordelingen av nøkkelvariabler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Figur 3. Dataoversikt: fordeling av nøkkelvariabler for 709 artikler ved WERKS 3300, LGORT 3001. Generert med støtte fra Claude.</w:t>
      </w:r>
    </w:p>
    <w:p>
      <w:pPr>
        <w:pStyle w:val="Overskrift2"/>
      </w:pPr>
      <w:r>
        <w:rPr>
          <w:rFonts w:ascii="Times New Roman" w:hAnsi="Times New Roman"/>
          <w:color w:val="000000"/>
          <w:sz w:val="32"/>
        </w:rPr>
        <w:t>4.3 Dataforbehandling</w:t>
      </w:r>
    </w:p>
    <w:p>
      <w:pPr>
        <w:spacing w:line="360" w:lineRule="auto"/>
        <w:jc w:val="both"/>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p>
      <w:r>
        <w:rPr>
          <w:rFonts w:ascii="Times New Roman" w:hAnsi="Times New Roman"/>
          <w:b/>
          <w:sz w:val="20"/>
        </w:rPr>
        <w:t>Tabell 5</w:t>
      </w:r>
    </w:p>
    <w:p>
      <w:r>
        <w:rPr>
          <w:rFonts w:ascii="Times New Roman" w:hAnsi="Times New Roman"/>
          <w:i/>
          <w:sz w:val="20"/>
        </w:rPr>
        <w:t>Datavalgsbeslutninger D-01–D-08 med begrunnelse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b w:val="0"/>
                <w:sz w:val="22"/>
              </w:rPr>
              <w:t>D-01</w:t>
            </w:r>
          </w:p>
        </w:tc>
        <w:tc>
          <w:tcPr>
            <w:tcW w:type="dxa" w:w="2192"/>
          </w:tcPr>
          <w:p>
            <w:r/>
            <w:r>
              <w:rPr>
                <w:rFonts w:ascii="Times New Roman" w:hAnsi="Times New Roman"/>
                <w:b w:val="0"/>
                <w:sz w:val="22"/>
              </w:rPr>
              <w:t>Populasjonsavgrensning</w:t>
            </w:r>
          </w:p>
        </w:tc>
        <w:tc>
          <w:tcPr>
            <w:tcW w:type="dxa" w:w="2192"/>
          </w:tcPr>
          <w:p>
            <w:r/>
            <w:r>
              <w:rPr>
                <w:rFonts w:ascii="Times New Roman" w:hAnsi="Times New Roman"/>
                <w:b w:val="0"/>
                <w:sz w:val="22"/>
              </w:rPr>
              <w:t>1 006 → 709 artikler</w:t>
            </w:r>
          </w:p>
        </w:tc>
        <w:tc>
          <w:tcPr>
            <w:tcW w:type="dxa" w:w="2192"/>
          </w:tcPr>
          <w:p>
            <w:r/>
            <w:r>
              <w:rPr>
                <w:rFonts w:ascii="Times New Roman" w:hAnsi="Times New Roman"/>
                <w:b w:val="0"/>
                <w:sz w:val="22"/>
              </w:rPr>
              <w:t>Ekskluderer 297 inaktive (D_ANNUAL = 0 og TOTAL_STOCK = 0)</w:t>
            </w:r>
          </w:p>
        </w:tc>
      </w:tr>
      <w:tr>
        <w:tc>
          <w:tcPr>
            <w:tcW w:type="dxa" w:w="2192"/>
          </w:tcPr>
          <w:p>
            <w:r/>
            <w:r>
              <w:rPr>
                <w:rFonts w:ascii="Times New Roman" w:hAnsi="Times New Roman"/>
                <w:b w:val="0"/>
                <w:sz w:val="22"/>
              </w:rPr>
              <w:t>D-02</w:t>
            </w:r>
          </w:p>
        </w:tc>
        <w:tc>
          <w:tcPr>
            <w:tcW w:type="dxa" w:w="2192"/>
          </w:tcPr>
          <w:p>
            <w:r/>
            <w:r>
              <w:rPr>
                <w:rFonts w:ascii="Times New Roman" w:hAnsi="Times New Roman"/>
                <w:b w:val="0"/>
                <w:sz w:val="22"/>
              </w:rPr>
              <w:t>PEINH-korrigering</w:t>
            </w:r>
          </w:p>
        </w:tc>
        <w:tc>
          <w:tcPr>
            <w:tcW w:type="dxa" w:w="2192"/>
          </w:tcPr>
          <w:p>
            <w:r/>
            <w:r>
              <w:rPr>
                <w:rFonts w:ascii="Times New Roman" w:hAnsi="Times New Roman"/>
                <w:b w:val="0"/>
                <w:sz w:val="22"/>
              </w:rPr>
              <w:t>UNIT_PRICE = STPRS ÷ PEINH</w:t>
            </w:r>
          </w:p>
        </w:tc>
        <w:tc>
          <w:tcPr>
            <w:tcW w:type="dxa" w:w="2192"/>
          </w:tcPr>
          <w:p>
            <w:r/>
            <w:r>
              <w:rPr>
                <w:rFonts w:ascii="Times New Roman" w:hAnsi="Times New Roman"/>
                <w:b w:val="0"/>
                <w:sz w:val="22"/>
              </w:rPr>
              <w:t>Korrigerer for prisenhet ≠ 1</w:t>
            </w:r>
          </w:p>
        </w:tc>
      </w:tr>
      <w:tr>
        <w:tc>
          <w:tcPr>
            <w:tcW w:type="dxa" w:w="2192"/>
          </w:tcPr>
          <w:p>
            <w:r/>
            <w:r>
              <w:rPr>
                <w:rFonts w:ascii="Times New Roman" w:hAnsi="Times New Roman"/>
                <w:b w:val="0"/>
                <w:sz w:val="22"/>
              </w:rPr>
              <w:t>D-03</w:t>
            </w:r>
          </w:p>
        </w:tc>
        <w:tc>
          <w:tcPr>
            <w:tcW w:type="dxa" w:w="2192"/>
          </w:tcPr>
          <w:p>
            <w:r/>
            <w:r>
              <w:rPr>
                <w:rFonts w:ascii="Times New Roman" w:hAnsi="Times New Roman"/>
                <w:b w:val="0"/>
                <w:sz w:val="22"/>
              </w:rPr>
              <w:t>Beregnet ABC-verdi</w:t>
            </w:r>
          </w:p>
        </w:tc>
        <w:tc>
          <w:tcPr>
            <w:tcW w:type="dxa" w:w="2192"/>
          </w:tcPr>
          <w:p>
            <w:r/>
            <w:r>
              <w:rPr>
                <w:rFonts w:ascii="Times New Roman" w:hAnsi="Times New Roman"/>
                <w:b w:val="0"/>
                <w:sz w:val="22"/>
              </w:rPr>
              <w:t>204 artikler uten EKPO</w:t>
            </w:r>
          </w:p>
        </w:tc>
        <w:tc>
          <w:tcPr>
            <w:tcW w:type="dxa" w:w="2192"/>
          </w:tcPr>
          <w:p>
            <w:r/>
            <w:r>
              <w:rPr>
                <w:rFonts w:ascii="Times New Roman" w:hAnsi="Times New Roman"/>
                <w:b w:val="0"/>
                <w:sz w:val="22"/>
              </w:rPr>
              <w:t>ABC_VALUE = D_ANNUAL × UNIT_PRICE som standardverdi</w:t>
            </w:r>
          </w:p>
        </w:tc>
      </w:tr>
      <w:tr>
        <w:tc>
          <w:tcPr>
            <w:tcW w:type="dxa" w:w="2192"/>
          </w:tcPr>
          <w:p>
            <w:r/>
            <w:r>
              <w:rPr>
                <w:rFonts w:ascii="Times New Roman" w:hAnsi="Times New Roman"/>
                <w:b w:val="0"/>
                <w:sz w:val="22"/>
              </w:rPr>
              <w:t>D-04</w:t>
            </w:r>
          </w:p>
        </w:tc>
        <w:tc>
          <w:tcPr>
            <w:tcW w:type="dxa" w:w="2192"/>
          </w:tcPr>
          <w:p>
            <w:r/>
            <w:r>
              <w:rPr>
                <w:rFonts w:ascii="Times New Roman" w:hAnsi="Times New Roman"/>
                <w:b w:val="0"/>
                <w:sz w:val="22"/>
              </w:rPr>
              <w:t>CV-basert XYZ</w:t>
            </w:r>
          </w:p>
        </w:tc>
        <w:tc>
          <w:tcPr>
            <w:tcW w:type="dxa" w:w="2192"/>
          </w:tcPr>
          <w:p>
            <w:r/>
            <w:r>
              <w:rPr>
                <w:rFonts w:ascii="Times New Roman" w:hAnsi="Times New Roman"/>
                <w:b w:val="0"/>
                <w:sz w:val="22"/>
              </w:rPr>
              <w:t>Erstatter ZZXYZ</w:t>
            </w:r>
          </w:p>
        </w:tc>
        <w:tc>
          <w:tcPr>
            <w:tcW w:type="dxa" w:w="2192"/>
          </w:tcPr>
          <w:p>
            <w:r/>
            <w:r>
              <w:rPr>
                <w:rFonts w:ascii="Times New Roman" w:hAnsi="Times New Roman"/>
                <w:b w:val="0"/>
                <w:sz w:val="22"/>
              </w:rPr>
              <w:t>33 % samsvar → beregnet CV foretrukket</w:t>
            </w:r>
          </w:p>
        </w:tc>
      </w:tr>
      <w:tr>
        <w:tc>
          <w:tcPr>
            <w:tcW w:type="dxa" w:w="2192"/>
          </w:tcPr>
          <w:p>
            <w:r/>
            <w:r>
              <w:rPr>
                <w:rFonts w:ascii="Times New Roman" w:hAnsi="Times New Roman"/>
                <w:b w:val="0"/>
                <w:sz w:val="22"/>
              </w:rPr>
              <w:t>D-05</w:t>
            </w:r>
          </w:p>
        </w:tc>
        <w:tc>
          <w:tcPr>
            <w:tcW w:type="dxa" w:w="2192"/>
          </w:tcPr>
          <w:p>
            <w:r/>
            <w:r>
              <w:rPr>
                <w:rFonts w:ascii="Times New Roman" w:hAnsi="Times New Roman"/>
                <w:b w:val="0"/>
                <w:sz w:val="22"/>
              </w:rPr>
              <w:t>Leveringstid standardverdi</w:t>
            </w:r>
          </w:p>
        </w:tc>
        <w:tc>
          <w:tcPr>
            <w:tcW w:type="dxa" w:w="2192"/>
          </w:tcPr>
          <w:p>
            <w:r/>
            <w:r>
              <w:rPr>
                <w:rFonts w:ascii="Times New Roman" w:hAnsi="Times New Roman"/>
                <w:b w:val="0"/>
                <w:sz w:val="22"/>
              </w:rPr>
              <w:t>14 dager for 94 %</w:t>
            </w:r>
          </w:p>
        </w:tc>
        <w:tc>
          <w:tcPr>
            <w:tcW w:type="dxa" w:w="2192"/>
          </w:tcPr>
          <w:p>
            <w:r/>
            <w:r>
              <w:rPr>
                <w:rFonts w:ascii="Times New Roman" w:hAnsi="Times New Roman"/>
                <w:b w:val="0"/>
                <w:sz w:val="22"/>
              </w:rPr>
              <w:t>EINE WETAG dekker kun 6 %</w:t>
            </w:r>
          </w:p>
        </w:tc>
      </w:tr>
      <w:tr>
        <w:tc>
          <w:tcPr>
            <w:tcW w:type="dxa" w:w="2192"/>
          </w:tcPr>
          <w:p>
            <w:r/>
            <w:r>
              <w:rPr>
                <w:rFonts w:ascii="Times New Roman" w:hAnsi="Times New Roman"/>
                <w:b w:val="0"/>
                <w:sz w:val="22"/>
              </w:rPr>
              <w:t>D-06</w:t>
            </w:r>
          </w:p>
        </w:tc>
        <w:tc>
          <w:tcPr>
            <w:tcW w:type="dxa" w:w="2192"/>
          </w:tcPr>
          <w:p>
            <w:r/>
            <w:r>
              <w:rPr>
                <w:rFonts w:ascii="Times New Roman" w:hAnsi="Times New Roman"/>
                <w:b w:val="0"/>
                <w:sz w:val="22"/>
              </w:rPr>
              <w:t>MSEG_STATUS blank → AKTIV</w:t>
            </w:r>
          </w:p>
        </w:tc>
        <w:tc>
          <w:tcPr>
            <w:tcW w:type="dxa" w:w="2192"/>
          </w:tcPr>
          <w:p>
            <w:r/>
            <w:r>
              <w:rPr>
                <w:rFonts w:ascii="Times New Roman" w:hAnsi="Times New Roman"/>
                <w:b w:val="0"/>
                <w:sz w:val="22"/>
              </w:rPr>
              <w:t>Fyller manglende verdier</w:t>
            </w:r>
          </w:p>
        </w:tc>
        <w:tc>
          <w:tcPr>
            <w:tcW w:type="dxa" w:w="2192"/>
          </w:tcPr>
          <w:p>
            <w:r/>
            <w:r>
              <w:rPr>
                <w:rFonts w:ascii="Times New Roman" w:hAnsi="Times New Roman"/>
                <w:b w:val="0"/>
                <w:sz w:val="22"/>
              </w:rPr>
              <w:t>Antar normal driftsstatus</w:t>
            </w:r>
          </w:p>
        </w:tc>
      </w:tr>
      <w:tr>
        <w:tc>
          <w:tcPr>
            <w:tcW w:type="dxa" w:w="2192"/>
          </w:tcPr>
          <w:p>
            <w:r/>
            <w:r>
              <w:rPr>
                <w:rFonts w:ascii="Times New Roman" w:hAnsi="Times New Roman"/>
                <w:b w:val="0"/>
                <w:sz w:val="22"/>
              </w:rPr>
              <w:t>D-07</w:t>
            </w:r>
          </w:p>
        </w:tc>
        <w:tc>
          <w:tcPr>
            <w:tcW w:type="dxa" w:w="2192"/>
          </w:tcPr>
          <w:p>
            <w:r/>
            <w:r>
              <w:rPr>
                <w:rFonts w:ascii="Times New Roman" w:hAnsi="Times New Roman"/>
                <w:b w:val="0"/>
                <w:sz w:val="22"/>
              </w:rPr>
              <w:t>ABC_VALUE_SOURCE</w:t>
            </w:r>
          </w:p>
        </w:tc>
        <w:tc>
          <w:tcPr>
            <w:tcW w:type="dxa" w:w="2192"/>
          </w:tcPr>
          <w:p>
            <w:r/>
            <w:r>
              <w:rPr>
                <w:rFonts w:ascii="Times New Roman" w:hAnsi="Times New Roman"/>
                <w:b w:val="0"/>
                <w:sz w:val="22"/>
              </w:rPr>
              <w:t>EKPO-verdi prioriteres</w:t>
            </w:r>
          </w:p>
        </w:tc>
        <w:tc>
          <w:tcPr>
            <w:tcW w:type="dxa" w:w="2192"/>
          </w:tcPr>
          <w:p>
            <w:r/>
            <w:r>
              <w:rPr>
                <w:rFonts w:ascii="Times New Roman" w:hAnsi="Times New Roman"/>
                <w:b w:val="0"/>
                <w:sz w:val="22"/>
              </w:rPr>
              <w:t>TOTAL_NETWR &gt; 0 kreves for EKPO-kilde</w:t>
            </w:r>
          </w:p>
        </w:tc>
      </w:tr>
      <w:tr>
        <w:tc>
          <w:tcPr>
            <w:tcW w:type="dxa" w:w="2192"/>
          </w:tcPr>
          <w:p>
            <w:r/>
            <w:r>
              <w:rPr>
                <w:rFonts w:ascii="Times New Roman" w:hAnsi="Times New Roman"/>
                <w:b w:val="0"/>
                <w:sz w:val="22"/>
              </w:rPr>
              <w:t>D-08</w:t>
            </w:r>
          </w:p>
        </w:tc>
        <w:tc>
          <w:tcPr>
            <w:tcW w:type="dxa" w:w="2192"/>
          </w:tcPr>
          <w:p>
            <w:r/>
            <w:r>
              <w:rPr>
                <w:rFonts w:ascii="Times New Roman" w:hAnsi="Times New Roman"/>
                <w:b w:val="0"/>
                <w:sz w:val="22"/>
              </w:rPr>
              <w:t>Annualisering av ordrefrekvens</w:t>
            </w:r>
          </w:p>
        </w:tc>
        <w:tc>
          <w:tcPr>
            <w:tcW w:type="dxa" w:w="2192"/>
          </w:tcPr>
          <w:p>
            <w:r/>
            <w:r>
              <w:rPr>
                <w:rFonts w:ascii="Times New Roman" w:hAnsi="Times New Roman"/>
                <w:b w:val="0"/>
                <w:sz w:val="22"/>
              </w:rPr>
              <w:t>ACTUAL_FREQ = ORDER_COUNT × 12/24</w:t>
            </w:r>
          </w:p>
        </w:tc>
        <w:tc>
          <w:tcPr>
            <w:tcW w:type="dxa" w:w="2192"/>
          </w:tcPr>
          <w:p>
            <w:r/>
            <w:r>
              <w:rPr>
                <w:rFonts w:ascii="Times New Roman" w:hAnsi="Times New Roman"/>
                <w:b w:val="0"/>
                <w:sz w:val="22"/>
              </w:rPr>
              <w:t>24 mnd data → årsbasis</w:t>
            </w:r>
          </w:p>
        </w:tc>
      </w:tr>
    </w:tbl>
    <w:p>
      <w:pPr>
        <w:spacing w:line="360" w:lineRule="auto"/>
        <w:jc w:val="both"/>
      </w:pPr>
      <w:r>
        <w:rPr>
          <w:rFonts w:ascii="Times New Roman" w:hAnsi="Times New Roman" w:cs="Times New Roman"/>
          <w:sz w:val="24"/>
        </w:rPr>
        <w:t xml:space="preserve">Figur 4 nedenfor illustrerer den samlede analyseprosessen som en sekvens i fem steg: (1) </w:t>
      </w:r>
      <w:r>
        <w:rPr>
          <w:rFonts w:ascii="Times New Roman" w:hAnsi="Times New Roman" w:cs="Times New Roman"/>
          <w:b/>
          <w:sz w:val="24"/>
        </w:rPr>
        <w:t>data</w:t>
      </w:r>
      <w:r>
        <w:rPr>
          <w:rFonts w:ascii="Times New Roman" w:hAnsi="Times New Roman" w:cs="Times New Roman"/>
          <w:sz w:val="24"/>
        </w:rPr>
        <w:t xml:space="preserve"> – SAP-uttrekk via SE16H, (2) </w:t>
      </w:r>
      <w:r>
        <w:rPr>
          <w:rFonts w:ascii="Times New Roman" w:hAnsi="Times New Roman" w:cs="Times New Roman"/>
          <w:b/>
          <w:sz w:val="24"/>
        </w:rPr>
        <w:t>forutsetninger og datavalg</w:t>
      </w:r>
      <w:r>
        <w:rPr>
          <w:rFonts w:ascii="Times New Roman" w:hAnsi="Times New Roman" w:cs="Times New Roman"/>
          <w:sz w:val="24"/>
        </w:rPr>
        <w:t xml:space="preserve"> – populasjonsavgrensning, PEINH-korrigering og åtte dokumenterte beslutninger (D-01–D-08), (3) </w:t>
      </w:r>
      <w:r>
        <w:rPr>
          <w:rFonts w:ascii="Times New Roman" w:hAnsi="Times New Roman" w:cs="Times New Roman"/>
          <w:b/>
          <w:sz w:val="24"/>
        </w:rPr>
        <w:t>løsning og modellkjøring</w:t>
      </w:r>
      <w:r>
        <w:rPr>
          <w:rFonts w:ascii="Times New Roman" w:hAnsi="Times New Roman" w:cs="Times New Roman"/>
          <w:sz w:val="24"/>
        </w:rPr>
        <w:t xml:space="preserve"> – ABC, XYZ, EOQ og K-means kjørt på det forbehandlede datasettet, (4) </w:t>
      </w:r>
      <w:r>
        <w:rPr>
          <w:rFonts w:ascii="Times New Roman" w:hAnsi="Times New Roman" w:cs="Times New Roman"/>
          <w:b/>
          <w:sz w:val="24"/>
        </w:rPr>
        <w:t>kontroll og validering</w:t>
      </w:r>
      <w:r>
        <w:rPr>
          <w:rFonts w:ascii="Times New Roman" w:hAnsi="Times New Roman" w:cs="Times New Roman"/>
          <w:sz w:val="24"/>
        </w:rPr>
        <w:t xml:space="preserve"> – kryssvalidering mot ZZXYZ, silhouette på trenings- og testsett, samt sensitivitetsanalyse, og (5) </w:t>
      </w:r>
      <w:r>
        <w:rPr>
          <w:rFonts w:ascii="Times New Roman" w:hAnsi="Times New Roman" w:cs="Times New Roman"/>
          <w:b/>
          <w:sz w:val="24"/>
        </w:rPr>
        <w:t>anvendelse og anbefaling</w:t>
      </w:r>
      <w:r>
        <w:rPr>
          <w:rFonts w:ascii="Times New Roman" w:hAnsi="Times New Roman" w:cs="Times New Roman"/>
          <w:sz w:val="24"/>
        </w:rPr>
        <w:t xml:space="preserve"> – regelmotorens utfall per artikkel og besparelsesestimat.</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4. Analysepipeline i fem steg: data → forutsetninger/datavalg → løsning/modellkjøring → kontroll/validering → anvendelse/anbefaling. Generert med støtte fra Claude.</w:t>
      </w:r>
    </w:p>
    <w:p>
      <w:pPr>
        <w:pStyle w:val="Overskrift2"/>
      </w:pPr>
      <w:r>
        <w:rPr>
          <w:rFonts w:ascii="Times New Roman" w:hAnsi="Times New Roman"/>
          <w:color w:val="000000"/>
          <w:sz w:val="32"/>
        </w:rPr>
        <w:t>4.4 Etiske betraktninger og begrensninger</w:t>
      </w:r>
    </w:p>
    <w:p>
      <w:pPr>
        <w:spacing w:line="360" w:lineRule="auto"/>
        <w:jc w:val="both"/>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jc w:val="both"/>
      </w:pPr>
      <w:r>
        <w:rPr>
          <w:rFonts w:ascii="Times New Roman" w:hAnsi="Times New Roman" w:cs="Times New Roman"/>
          <w:sz w:val="24"/>
        </w:rPr>
        <w:t>Parametervalgene S og h er begrunnet i avsnitt 1.4 og testes i sensitivitetsanalysen (kap. 7.6). Det understrekes at verktøyet produserer et rangert beslutningsunderlag, ikke autoriserte beslutninger: en feilklassifisering – for eksempel at en klinisk kritisk artikkel anbefales overført – kan ha konsekvenser for forsyningssikkerheten. Nettopp derfor anbefales en begrenset pilotfase med faglig og klinisk gjennomgang før implementering (se kap. 9.2).</w:t>
      </w:r>
    </w:p>
    <w:p>
      <w:pPr>
        <w:spacing w:line="360" w:lineRule="auto"/>
        <w:jc w:val="both"/>
      </w:pPr>
      <w:r>
        <w:rPr>
          <w:rFonts w:ascii="Times New Roman" w:hAnsi="Times New Roman" w:cs="Times New Roman"/>
          <w:sz w:val="24"/>
        </w:rPr>
        <w:t>En viktig etisk og operasjonell begrensning er at analysen ikke inneholder en eksplisitt kritikalitetsdimensjon (VED: Vital, Essential, Desirable). I sykehuslogistikk er kritikalitet en primær styringsparameter (Gupta et al., 2007; Gurumurthy et al., 2021): en artikkel kan være både høyverdig og stabilt etterspurt, men samtidig kritisk for pasientsikkerheten dersom leveransen forsinkes. Hjertestartpatroner, akuttmedisinsk forbruksmateriell og anestesitilbehør er typiske eksempler der stabilt forbruk ikke må forveksles med at artikkelen er trygg å sentralisere via en APL-modell med lengre leveransekjede. Kritikalitetsdata inngår ikke som strukturert variabel i SAP-uttrekket i denne studien; ved Helse Bergen foreligger VED-vurderingen i praksis som klinisk skjønn og er ikke maskinlesbar. Regelmotorens R1-regel (Z-override) fanger deler av dette ved å holde artikler med uregelmessig forbruk lokalt, men erstatter ikke en formell kritikalitetsvurdering. Pilotvalideringen i anbefaling 1 (kap. 9.2) skal derfor inkludere en klinisk kritikalitetsgjennomgang som supplement til de kvantitative signalene, før noen artikkel faktisk overføres.</w:t>
      </w:r>
    </w:p>
    <w:p>
      <w:pPr>
        <w:spacing w:line="360" w:lineRule="auto"/>
        <w:jc w:val="both"/>
      </w:pPr>
      <w:r>
        <w:rPr>
          <w:rFonts w:ascii="Times New Roman" w:hAnsi="Times New Roman" w:cs="Times New Roman"/>
          <w:sz w:val="24"/>
        </w:rPr>
        <w:t>Standardverdien for leveringstid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kunstig intelligens</w:t>
      </w:r>
    </w:p>
    <w:p>
      <w:pPr>
        <w:spacing w:line="360" w:lineRule="auto"/>
        <w:jc w:val="both"/>
      </w:pPr>
      <w:r>
        <w:rPr>
          <w:rFonts w:ascii="Times New Roman" w:hAnsi="Times New Roman" w:cs="Times New Roman"/>
          <w:sz w:val="24"/>
        </w:rPr>
        <w:t>Kunstig intelligens i form av store språkmodeller ble benyttet som faglig støtteverktøy gjennom hele prosjektperioden, i tråd med Høgskolen i Moldes retningslinjer for bruk av KI ved hjemmeeksamen. Claude ble anvendt til kodestøtte, generering av datavisualiseringer og språklig bearbeiding av rapportteksten. KI-verktøyet er ikke brukt som fagkilde og er ikke sitert som belegg for faglige påstander. All KI-generert kode og tekst er kritisk gjennomgått og revidert av forfatteren; en refleksjon over KI-brukens påvirkning på arbeidsprosessen er gitt i Vedlegg C.</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jc w:val="both"/>
      </w:pPr>
      <w:r>
        <w:rPr>
          <w:rFonts w:ascii="Times New Roman" w:hAnsi="Times New Roman" w:cs="Times New Roman"/>
          <w:sz w:val="24"/>
        </w:rPr>
        <w:t xml:space="preserve">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 Modellformen er en </w:t>
      </w:r>
      <w:r>
        <w:rPr>
          <w:rFonts w:ascii="Times New Roman" w:hAnsi="Times New Roman" w:cs="Times New Roman"/>
          <w:b/>
          <w:sz w:val="24"/>
        </w:rPr>
        <w:t>klassifiseringsregel</w:t>
      </w:r>
      <w:r>
        <w:rPr>
          <w:rFonts w:ascii="Times New Roman" w:hAnsi="Times New Roman" w:cs="Times New Roman"/>
          <w:sz w:val="24"/>
        </w:rPr>
        <w:t>: én årsverdi per artikkel, to kumulative terskelverdier (80 % og 95 %), og ett beslutningskriterium som tilordner hver artikkel til klasse A, B eller C.</w:t>
      </w:r>
    </w:p>
    <w:p>
      <w:pPr>
        <w:spacing w:line="360" w:lineRule="auto"/>
        <w:jc w:val="both"/>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jc w:val="both"/>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w:t>
      </w:r>
      <m:oMath>
        <m:sSub>
          <m:e>
            <m:r>
              <m:rPr>
                <m:nor/>
              </m:rPr>
              <m:t>UNIT\_PRICE</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jc w:val="both"/>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jc w:val="both"/>
      </w:pPr>
      <w:r>
        <w:rPr>
          <w:rFonts w:ascii="Times New Roman" w:hAnsi="Times New Roman" w:cs="Times New Roman"/>
          <w:sz w:val="24"/>
        </w:rPr>
        <w:t>Klassifiseringsgrensene er satt i henhold til standard ABC-litteratur (Silaen et al., 2023):</w:t>
      </w:r>
    </w:p>
    <w:p>
      <w:r>
        <w:rPr>
          <w:rFonts w:ascii="Times New Roman" w:hAnsi="Times New Roman"/>
          <w:b/>
          <w:sz w:val="20"/>
        </w:rPr>
        <w:t>Tabell 6</w:t>
      </w:r>
    </w:p>
    <w:p>
      <w:r>
        <w:rPr>
          <w:rFonts w:ascii="Times New Roman" w:hAnsi="Times New Roman"/>
          <w:i/>
          <w:sz w:val="20"/>
        </w:rPr>
        <w:t>Modellparametere: ABC-klassifiseringsgrenser og øvrige analyseinnstillinger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b w:val="0"/>
                <w:sz w:val="22"/>
              </w:rPr>
              <w:t>ABC A-grense</w:t>
            </w:r>
          </w:p>
        </w:tc>
        <w:tc>
          <w:tcPr>
            <w:tcW w:type="dxa" w:w="2923"/>
          </w:tcPr>
          <w:p>
            <w:r/>
            <w:r>
              <w:rPr>
                <w:rFonts w:ascii="Times New Roman" w:hAnsi="Times New Roman"/>
                <w:b w:val="0"/>
                <w:sz w:val="22"/>
              </w:rPr>
              <w:t>80 % kumulativ verdi</w:t>
            </w:r>
          </w:p>
        </w:tc>
        <w:tc>
          <w:tcPr>
            <w:tcW w:type="dxa" w:w="2923"/>
          </w:tcPr>
          <w:p>
            <w:r/>
            <w:r>
              <w:rPr>
                <w:rFonts w:ascii="Times New Roman" w:hAnsi="Times New Roman"/>
                <w:b w:val="0"/>
                <w:sz w:val="22"/>
              </w:rPr>
              <w:t>Silaen et al. (2023)</w:t>
            </w:r>
          </w:p>
        </w:tc>
      </w:tr>
      <w:tr>
        <w:tc>
          <w:tcPr>
            <w:tcW w:type="dxa" w:w="2923"/>
          </w:tcPr>
          <w:p>
            <w:r/>
            <w:r>
              <w:rPr>
                <w:rFonts w:ascii="Times New Roman" w:hAnsi="Times New Roman"/>
                <w:b w:val="0"/>
                <w:sz w:val="22"/>
              </w:rPr>
              <w:t>ABC B-grense</w:t>
            </w:r>
          </w:p>
        </w:tc>
        <w:tc>
          <w:tcPr>
            <w:tcW w:type="dxa" w:w="2923"/>
          </w:tcPr>
          <w:p>
            <w:r/>
            <w:r>
              <w:rPr>
                <w:rFonts w:ascii="Times New Roman" w:hAnsi="Times New Roman"/>
                <w:b w:val="0"/>
                <w:sz w:val="22"/>
              </w:rPr>
              <w:t>95 % kumulativ verdi</w:t>
            </w:r>
          </w:p>
        </w:tc>
        <w:tc>
          <w:tcPr>
            <w:tcW w:type="dxa" w:w="2923"/>
          </w:tcPr>
          <w:p>
            <w:r/>
            <w:r>
              <w:rPr>
                <w:rFonts w:ascii="Times New Roman" w:hAnsi="Times New Roman"/>
                <w:b w:val="0"/>
                <w:sz w:val="22"/>
              </w:rPr>
              <w:t>Silaen et al. (2023)</w:t>
            </w:r>
          </w:p>
        </w:tc>
      </w:tr>
      <w:tr>
        <w:tc>
          <w:tcPr>
            <w:tcW w:type="dxa" w:w="2923"/>
          </w:tcPr>
          <w:p>
            <w:r/>
            <w:r>
              <w:rPr>
                <w:rFonts w:ascii="Times New Roman" w:hAnsi="Times New Roman"/>
                <w:b w:val="0"/>
                <w:sz w:val="22"/>
              </w:rPr>
              <w:t>XYZ X-grense</w:t>
            </w:r>
          </w:p>
        </w:tc>
        <w:tc>
          <w:tcPr>
            <w:tcW w:type="dxa" w:w="2923"/>
          </w:tcPr>
          <w:p>
            <w:r/>
            <w:r>
              <w:rPr>
                <w:rFonts w:ascii="Times New Roman" w:hAnsi="Times New Roman"/>
                <w:b w:val="0"/>
                <w:sz w:val="22"/>
              </w:rPr>
              <w:t>CV &lt; 0,5</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XYZ Y-grense</w:t>
            </w:r>
          </w:p>
        </w:tc>
        <w:tc>
          <w:tcPr>
            <w:tcW w:type="dxa" w:w="2923"/>
          </w:tcPr>
          <w:p>
            <w:r/>
            <w:r>
              <w:rPr>
                <w:rFonts w:ascii="Times New Roman" w:hAnsi="Times New Roman"/>
                <w:b w:val="0"/>
                <w:sz w:val="22"/>
              </w:rPr>
              <w:t>0,5 ≤ CV &lt; 1,0</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XYZ Z-grense</w:t>
            </w:r>
          </w:p>
        </w:tc>
        <w:tc>
          <w:tcPr>
            <w:tcW w:type="dxa" w:w="2923"/>
          </w:tcPr>
          <w:p>
            <w:r/>
            <w:r>
              <w:rPr>
                <w:rFonts w:ascii="Times New Roman" w:hAnsi="Times New Roman"/>
                <w:b w:val="0"/>
                <w:sz w:val="22"/>
              </w:rPr>
              <w:t>CV ≥ 1,0</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Ordrekostnad S</w:t>
            </w:r>
          </w:p>
        </w:tc>
        <w:tc>
          <w:tcPr>
            <w:tcW w:type="dxa" w:w="2923"/>
          </w:tcPr>
          <w:p>
            <w:r/>
            <w:r>
              <w:rPr>
                <w:rFonts w:ascii="Times New Roman" w:hAnsi="Times New Roman"/>
                <w:b w:val="0"/>
                <w:sz w:val="22"/>
              </w:rPr>
              <w:t>750 NOK</w:t>
            </w:r>
          </w:p>
        </w:tc>
        <w:tc>
          <w:tcPr>
            <w:tcW w:type="dxa" w:w="2923"/>
          </w:tcPr>
          <w:p>
            <w:r/>
            <w:r>
              <w:rPr>
                <w:rFonts w:ascii="Times New Roman" w:hAnsi="Times New Roman"/>
                <w:b w:val="0"/>
                <w:sz w:val="22"/>
              </w:rPr>
              <w:t>Bijvank &amp; Vis (2012); Kelle et al. (2012)</w:t>
            </w:r>
          </w:p>
        </w:tc>
      </w:tr>
      <w:tr>
        <w:tc>
          <w:tcPr>
            <w:tcW w:type="dxa" w:w="2923"/>
          </w:tcPr>
          <w:p>
            <w:r/>
            <w:r>
              <w:rPr>
                <w:rFonts w:ascii="Times New Roman" w:hAnsi="Times New Roman"/>
                <w:b w:val="0"/>
                <w:sz w:val="22"/>
              </w:rPr>
              <w:t>Holdesats h</w:t>
            </w:r>
          </w:p>
        </w:tc>
        <w:tc>
          <w:tcPr>
            <w:tcW w:type="dxa" w:w="2923"/>
          </w:tcPr>
          <w:p>
            <w:r/>
            <w:r>
              <w:rPr>
                <w:rFonts w:ascii="Times New Roman" w:hAnsi="Times New Roman"/>
                <w:b w:val="0"/>
                <w:sz w:val="22"/>
              </w:rPr>
              <w:t>20 % av UNIT_PRICE</w:t>
            </w:r>
          </w:p>
        </w:tc>
        <w:tc>
          <w:tcPr>
            <w:tcW w:type="dxa" w:w="2923"/>
          </w:tcPr>
          <w:p>
            <w:r/>
            <w:r>
              <w:rPr>
                <w:rFonts w:ascii="Times New Roman" w:hAnsi="Times New Roman"/>
                <w:b w:val="0"/>
                <w:sz w:val="22"/>
              </w:rPr>
              <w:t>Ketkar &amp; Vaidya (2014)</w:t>
            </w:r>
          </w:p>
        </w:tc>
      </w:tr>
      <w:tr>
        <w:tc>
          <w:tcPr>
            <w:tcW w:type="dxa" w:w="2923"/>
          </w:tcPr>
          <w:p>
            <w:r/>
            <w:r>
              <w:rPr>
                <w:rFonts w:ascii="Times New Roman" w:hAnsi="Times New Roman"/>
                <w:b w:val="0"/>
                <w:sz w:val="22"/>
              </w:rPr>
              <w:t>Leveringstid standardverdi</w:t>
            </w:r>
          </w:p>
        </w:tc>
        <w:tc>
          <w:tcPr>
            <w:tcW w:type="dxa" w:w="2923"/>
          </w:tcPr>
          <w:p>
            <w:r/>
            <w:r>
              <w:rPr>
                <w:rFonts w:ascii="Times New Roman" w:hAnsi="Times New Roman"/>
                <w:b w:val="0"/>
                <w:sz w:val="22"/>
              </w:rPr>
              <w:t>14 dager</w:t>
            </w:r>
          </w:p>
        </w:tc>
        <w:tc>
          <w:tcPr>
            <w:tcW w:type="dxa" w:w="2923"/>
          </w:tcPr>
          <w:p>
            <w:r/>
            <w:r>
              <w:rPr>
                <w:rFonts w:ascii="Times New Roman" w:hAnsi="Times New Roman"/>
                <w:b w:val="0"/>
                <w:sz w:val="22"/>
              </w:rPr>
              <w:t>Bransjepraksis (D-05)</w:t>
            </w:r>
          </w:p>
        </w:tc>
      </w:tr>
      <w:tr>
        <w:tc>
          <w:tcPr>
            <w:tcW w:type="dxa" w:w="2923"/>
          </w:tcPr>
          <w:p>
            <w:r/>
            <w:r>
              <w:rPr>
                <w:rFonts w:ascii="Times New Roman" w:hAnsi="Times New Roman"/>
                <w:b w:val="0"/>
                <w:sz w:val="22"/>
              </w:rPr>
              <w:t>EOQ-terskel τ_f</w:t>
            </w:r>
          </w:p>
        </w:tc>
        <w:tc>
          <w:tcPr>
            <w:tcW w:type="dxa" w:w="2923"/>
          </w:tcPr>
          <w:p>
            <w:r/>
            <w:r>
              <w:rPr>
                <w:rFonts w:ascii="Times New Roman" w:hAnsi="Times New Roman"/>
                <w:b w:val="0"/>
                <w:sz w:val="22"/>
              </w:rPr>
              <w:t>1,5 (</w:t>
            </w:r>
            <m:oMath>
              <m:sSub>
                <m:e>
                  <m:r>
                    <m:t>f</m:t>
                  </m:r>
                </m:e>
                <m:sub>
                  <m:r>
                    <m:rPr>
                      <m:nor/>
                    </m:rPr>
                    <m:t>obs</m:t>
                  </m:r>
                  <m:r>
                    <m:t>,i</m:t>
                  </m:r>
                </m:sub>
              </m:sSub>
              <m:r>
                <m:t>&gt;1</m:t>
              </m:r>
              <m:r>
                <m:t>,</m:t>
              </m:r>
              <m:r>
                <m:t>5·</m:t>
              </m:r>
              <m:sSubSup>
                <m:e>
                  <m:r>
                    <m:t>f</m:t>
                  </m:r>
                </m:e>
                <m:sub>
                  <m:r>
                    <m:t>i</m:t>
                  </m:r>
                </m:sub>
                <m:sup>
                  <m:r>
                    <m:t>*</m:t>
                  </m:r>
                </m:sup>
              </m:sSubSup>
            </m:oMath>
            <w:r>
              <w:rPr>
                <w:rFonts w:ascii="Times New Roman" w:hAnsi="Times New Roman"/>
                <w:b w:val="0"/>
                <w:sz w:val="22"/>
              </w:rPr>
              <w:t>, dvs. FREQ_AVVIK &gt; 0,5)</w:t>
            </w:r>
          </w:p>
        </w:tc>
        <w:tc>
          <w:tcPr>
            <w:tcW w:type="dxa" w:w="2923"/>
          </w:tcPr>
          <w:p>
            <w:r/>
            <w:r>
              <w:rPr>
                <w:rFonts w:ascii="Times New Roman" w:hAnsi="Times New Roman"/>
                <w:b w:val="0"/>
                <w:sz w:val="22"/>
              </w:rPr>
              <w:t>Operasjonelt vesentlig avvik</w:t>
            </w:r>
          </w:p>
        </w:tc>
      </w:tr>
      <w:tr>
        <w:tc>
          <w:tcPr>
            <w:tcW w:type="dxa" w:w="2923"/>
          </w:tcPr>
          <w:p>
            <w:r/>
            <w:r>
              <w:rPr>
                <w:rFonts w:ascii="Times New Roman" w:hAnsi="Times New Roman"/>
                <w:b w:val="0"/>
                <w:sz w:val="22"/>
              </w:rPr>
              <w:t>K-means K-søk</w:t>
            </w:r>
          </w:p>
        </w:tc>
        <w:tc>
          <w:tcPr>
            <w:tcW w:type="dxa" w:w="2923"/>
          </w:tcPr>
          <w:p>
            <w:r/>
            <w:r>
              <w:rPr>
                <w:rFonts w:ascii="Times New Roman" w:hAnsi="Times New Roman"/>
                <w:b w:val="0"/>
                <w:sz w:val="22"/>
              </w:rPr>
              <w:t>K ∈ {2, 3, 4, 5, 6, 7}</w:t>
            </w:r>
          </w:p>
        </w:tc>
        <w:tc>
          <w:tcPr>
            <w:tcW w:type="dxa" w:w="2923"/>
          </w:tcPr>
          <w:p>
            <w:r/>
            <w:r>
              <w:rPr>
                <w:rFonts w:ascii="Times New Roman" w:hAnsi="Times New Roman"/>
                <w:b w:val="0"/>
                <w:sz w:val="22"/>
              </w:rPr>
              <w:t>Silhouette-optimering</w:t>
            </w:r>
          </w:p>
        </w:tc>
      </w:tr>
      <w:tr>
        <w:tc>
          <w:tcPr>
            <w:tcW w:type="dxa" w:w="2923"/>
          </w:tcPr>
          <w:p>
            <w:r/>
            <w:r>
              <w:rPr>
                <w:rFonts w:ascii="Times New Roman" w:hAnsi="Times New Roman"/>
                <w:b w:val="0"/>
                <w:sz w:val="22"/>
              </w:rPr>
              <w:t>K-means n_init</w:t>
            </w:r>
          </w:p>
        </w:tc>
        <w:tc>
          <w:tcPr>
            <w:tcW w:type="dxa" w:w="2923"/>
          </w:tcPr>
          <w:p>
            <w:r/>
            <w:r>
              <w:rPr>
                <w:rFonts w:ascii="Times New Roman" w:hAnsi="Times New Roman"/>
                <w:b w:val="0"/>
                <w:sz w:val="22"/>
              </w:rPr>
              <w:t>50</w:t>
            </w:r>
          </w:p>
        </w:tc>
        <w:tc>
          <w:tcPr>
            <w:tcW w:type="dxa" w:w="2923"/>
          </w:tcPr>
          <w:p>
            <w:r/>
            <w:r>
              <w:rPr>
                <w:rFonts w:ascii="Times New Roman" w:hAnsi="Times New Roman"/>
                <w:b w:val="0"/>
                <w:sz w:val="22"/>
              </w:rPr>
              <w:t>Robust initialisering</w:t>
            </w:r>
          </w:p>
        </w:tc>
      </w:tr>
      <w:tr>
        <w:tc>
          <w:tcPr>
            <w:tcW w:type="dxa" w:w="2923"/>
          </w:tcPr>
          <w:p>
            <w:r/>
            <w:r>
              <w:rPr>
                <w:rFonts w:ascii="Times New Roman" w:hAnsi="Times New Roman"/>
                <w:b w:val="0"/>
                <w:sz w:val="22"/>
              </w:rPr>
              <w:t>Random state</w:t>
            </w:r>
          </w:p>
        </w:tc>
        <w:tc>
          <w:tcPr>
            <w:tcW w:type="dxa" w:w="2923"/>
          </w:tcPr>
          <w:p>
            <w:r/>
            <w:r>
              <w:rPr>
                <w:rFonts w:ascii="Times New Roman" w:hAnsi="Times New Roman"/>
                <w:b w:val="0"/>
                <w:sz w:val="22"/>
              </w:rPr>
              <w:t>42</w:t>
            </w:r>
          </w:p>
        </w:tc>
        <w:tc>
          <w:tcPr>
            <w:tcW w:type="dxa" w:w="2923"/>
          </w:tcPr>
          <w:p>
            <w:r/>
            <w:r>
              <w:rPr>
                <w:rFonts w:ascii="Times New Roman" w:hAnsi="Times New Roman"/>
                <w:b w:val="0"/>
                <w:sz w:val="22"/>
              </w:rPr>
              <w:t>Reproduserbarhet</w:t>
            </w:r>
          </w:p>
        </w:tc>
      </w:tr>
      <w:tr>
        <w:tc>
          <w:tcPr>
            <w:tcW w:type="dxa" w:w="2923"/>
          </w:tcPr>
          <w:p>
            <w:r/>
            <w:r>
              <w:rPr>
                <w:rFonts w:ascii="Times New Roman" w:hAnsi="Times New Roman"/>
                <w:b w:val="0"/>
                <w:sz w:val="22"/>
              </w:rPr>
              <w:t>Train/test split</w:t>
            </w:r>
          </w:p>
        </w:tc>
        <w:tc>
          <w:tcPr>
            <w:tcW w:type="dxa" w:w="2923"/>
          </w:tcPr>
          <w:p>
            <w:r/>
            <w:r>
              <w:rPr>
                <w:rFonts w:ascii="Times New Roman" w:hAnsi="Times New Roman"/>
                <w:b w:val="0"/>
                <w:sz w:val="22"/>
              </w:rPr>
              <w:t>80/20</w:t>
            </w:r>
          </w:p>
        </w:tc>
        <w:tc>
          <w:tcPr>
            <w:tcW w:type="dxa" w:w="2923"/>
          </w:tcPr>
          <w:p>
            <w:r/>
            <w:r>
              <w:rPr>
                <w:rFonts w:ascii="Times New Roman" w:hAnsi="Times New Roman"/>
                <w:b w:val="0"/>
                <w:sz w:val="22"/>
              </w:rPr>
              <w:t>Standard validering</w:t>
            </w:r>
          </w:p>
        </w:tc>
      </w:tr>
    </w:tbl>
    <w:p>
      <w:pPr>
        <w:spacing w:line="360" w:lineRule="auto"/>
        <w:jc w:val="both"/>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jc w:val="both"/>
      </w:pPr>
      <w:r>
        <w:rPr>
          <w:rFonts w:ascii="Times New Roman" w:hAnsi="Times New Roman" w:cs="Times New Roman"/>
          <w:sz w:val="24"/>
        </w:rPr>
        <w:t xml:space="preserve">XYZ-klassifisering beskriver stabilitet i forbruksmønsteret over tid, og komplementerer ABC-analysen ved å skille artikler med forutsigbar etterspørsel fra artikler med uregelmessig forbruk (Nowotyńska, 2013). Modellformen er en </w:t>
      </w:r>
      <w:r>
        <w:rPr>
          <w:rFonts w:ascii="Times New Roman" w:hAnsi="Times New Roman" w:cs="Times New Roman"/>
          <w:b/>
          <w:sz w:val="24"/>
        </w:rPr>
        <w:t>klassifiseringsregel</w:t>
      </w:r>
      <w:r>
        <w:rPr>
          <w:rFonts w:ascii="Times New Roman" w:hAnsi="Times New Roman" w:cs="Times New Roman"/>
          <w:sz w:val="24"/>
        </w:rPr>
        <w:t xml:space="preserve"> med ett beregnet inngangsmål (CV) og to terskelverdier (0,5 og 1,0), som tilordner hver artikkel til klasse X, Y eller Z.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jc w:val="both"/>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jc w:val="both"/>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jc w:val="both"/>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jc w:val="both"/>
      </w:pPr>
      <w:r>
        <w:rPr>
          <w:rFonts w:ascii="Times New Roman" w:hAnsi="Times New Roman" w:cs="Times New Roman"/>
          <w:sz w:val="24"/>
        </w:rPr>
        <w:t xml:space="preserve">EOQ er den eneste komponenten i rammeverket med en klassisk </w:t>
      </w:r>
      <w:r>
        <w:rPr>
          <w:rFonts w:ascii="Times New Roman" w:hAnsi="Times New Roman" w:cs="Times New Roman"/>
          <w:b/>
          <w:sz w:val="24"/>
        </w:rPr>
        <w:t>optimeringsmodell</w:t>
      </w:r>
      <w:r>
        <w:rPr>
          <w:rFonts w:ascii="Times New Roman" w:hAnsi="Times New Roman" w:cs="Times New Roman"/>
          <w:sz w:val="24"/>
        </w:rPr>
        <w:t xml:space="preserve">: parametrene er </w:t>
      </w:r>
      <m:oMath>
        <m:r>
          <m:t>D</m:t>
        </m:r>
      </m:oMath>
      <w:r>
        <w:rPr>
          <w:rFonts w:ascii="Times New Roman" w:hAnsi="Times New Roman" w:cs="Times New Roman"/>
          <w:sz w:val="24"/>
        </w:rPr>
        <w:t xml:space="preserve"> (årsforbruk), </w:t>
      </w:r>
      <m:oMath>
        <m:r>
          <m:t>S</m:t>
        </m:r>
      </m:oMath>
      <w:r>
        <w:rPr>
          <w:rFonts w:ascii="Times New Roman" w:hAnsi="Times New Roman" w:cs="Times New Roman"/>
          <w:sz w:val="24"/>
        </w:rPr>
        <w:t xml:space="preserve"> (ordrekostnad) og </w:t>
      </w:r>
      <m:oMath>
        <m:r>
          <m:t>H</m:t>
        </m:r>
      </m:oMath>
      <w:r>
        <w:rPr>
          <w:rFonts w:ascii="Times New Roman" w:hAnsi="Times New Roman" w:cs="Times New Roman"/>
          <w:sz w:val="24"/>
        </w:rPr>
        <w:t xml:space="preserve"> (holdekostnad per enhet); beslutningsvariabelen er ordrefrekvens </w:t>
      </w:r>
      <m:oMath>
        <m:r>
          <m:t>f</m:t>
        </m:r>
      </m:oMath>
      <w:r>
        <w:rPr>
          <w:rFonts w:ascii="Times New Roman" w:hAnsi="Times New Roman" w:cs="Times New Roman"/>
          <w:sz w:val="24"/>
        </w:rPr>
        <w:t xml:space="preserve"> (eller ekvivalent ordrekvantum </w:t>
      </w:r>
      <m:oMath>
        <m:r>
          <m:t>Q</m:t>
        </m:r>
      </m:oMath>
      <w:r>
        <w:rPr>
          <w:rFonts w:ascii="Times New Roman" w:hAnsi="Times New Roman" w:cs="Times New Roman"/>
          <w:sz w:val="24"/>
        </w:rPr>
        <w:t xml:space="preserve">); målfunksjonen er total årlig kostnad </w:t>
      </w:r>
      <m:oMath>
        <m:r>
          <m:t>TC(f)=fS+DH/(2f)</m:t>
        </m:r>
      </m:oMath>
      <w:r>
        <w:rPr>
          <w:rFonts w:ascii="Times New Roman" w:hAnsi="Times New Roman" w:cs="Times New Roman"/>
          <w:sz w:val="24"/>
        </w:rPr>
        <w:t>; og forutsetningene er konstant og kjent etterspørsel, øyeblikkelig leveranse, ingen kvantumsrabatter og lineær holdekostnad.</w:t>
      </w:r>
    </w:p>
    <w:p>
      <w:pPr>
        <w:spacing w:line="360" w:lineRule="auto"/>
        <w:jc w:val="both"/>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jc w:val="both"/>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jc w:val="both"/>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jc w:val="both"/>
      </w:pPr>
      <w:r>
        <w:rPr>
          <w:rFonts w:ascii="Times New Roman" w:hAnsi="Times New Roman" w:cs="Times New Roman"/>
          <w:sz w:val="24"/>
        </w:rPr>
        <w:t xml:space="preserve">En artikkel klassifiseres som FOR\_MANGE\_ORDRER dersom </w:t>
      </w:r>
      <m:oMath>
        <m:sSub>
          <m:e>
            <m:r>
              <m:t>f</m:t>
            </m:r>
          </m:e>
          <m:sub>
            <m:r>
              <m:rPr>
                <m:nor/>
              </m:rPr>
              <m:t>obs</m:t>
            </m:r>
            <m:r>
              <m:t>,i</m:t>
            </m:r>
          </m:sub>
        </m:sSub>
        <m:r>
          <m:t>&gt;</m:t>
        </m:r>
        <m:sSub>
          <m:e>
            <m:r>
              <m:t>τ</m:t>
            </m:r>
          </m:e>
          <m:sub>
            <m:r>
              <m:t>f</m:t>
            </m:r>
          </m:sub>
        </m:sSub>
        <m:r>
          <m:t>·</m:t>
        </m:r>
        <m:sSubSup>
          <m:e>
            <m:r>
              <m:t>f</m:t>
            </m:r>
          </m:e>
          <m:sub>
            <m:r>
              <m:t>i</m:t>
            </m:r>
          </m:sub>
          <m:sup>
            <m:r>
              <m:t>*</m:t>
            </m:r>
          </m:sup>
        </m:sSubSup>
      </m:oMath>
      <w:r>
        <w:rPr>
          <w:rFonts w:ascii="Times New Roman" w:hAnsi="Times New Roman" w:cs="Times New Roman"/>
          <w:sz w:val="24"/>
        </w:rPr>
        <w:t xml:space="preserve">, der </w:t>
      </w:r>
      <m:oMath>
        <m:sSub>
          <m:e>
            <m:r>
              <m:t>τ</m:t>
            </m:r>
          </m:e>
          <m:sub>
            <m:r>
              <m:t>f</m:t>
            </m:r>
          </m:sub>
        </m:sSub>
        <m:r>
          <m:t>=1</m:t>
        </m:r>
        <m:r>
          <m:t>,</m:t>
        </m:r>
        <m:r>
          <m:t>5</m:t>
        </m:r>
      </m:oMath>
      <w:r>
        <w:rPr>
          <w:rFonts w:ascii="Times New Roman" w:hAnsi="Times New Roman" w:cs="Times New Roman"/>
          <w:sz w:val="24"/>
        </w:rPr>
        <w:t xml:space="preserve">. Dette tilsvarer FREQ\_AVVIK </w:t>
      </w:r>
      <m:oMath>
        <m:r>
          <m:t>&gt;0</m:t>
        </m:r>
        <m:r>
          <m:t>,</m:t>
        </m:r>
        <m:r>
          <m:t>5</m:t>
        </m:r>
      </m:oMath>
      <w:r>
        <w:rPr>
          <w:rFonts w:ascii="Times New Roman" w:hAnsi="Times New Roman" w:cs="Times New Roman"/>
          <w:sz w:val="24"/>
        </w:rPr>
        <w:t xml:space="preserve">, det vil si at faktisk ordrefrekvens er mer enn 50 % høyere enn EOQ-optimal frekvens. Symmetrisk klassifiseres artikler med FREQ\_AVVIK </w:t>
      </w:r>
      <m:oMath>
        <m:d>
          <m:dPr>
            <m:begChr m:val="&lt;"/>
            <m:sepChr m:val="−"/>
            <m:endChr m:val=""/>
          </m:dPr>
          <m:e/>
          <m:e>
            <m:r>
              <m:t>0</m:t>
            </m:r>
            <m:r>
              <m:t>,</m:t>
            </m:r>
            <m:r>
              <m:t>5</m:t>
            </m:r>
          </m:e>
        </m:d>
      </m:oMath>
      <w:r>
        <w:rPr>
          <w:rFonts w:ascii="Times New Roman" w:hAnsi="Times New Roman" w:cs="Times New Roman"/>
          <w:sz w:val="24"/>
        </w:rPr>
        <w:t xml:space="preserve"> som FOR\_FÅ\_ORDRER, mens artikler i intervallet </w:t>
      </w:r>
      <m:oMath>
        <m:d>
          <m:dPr>
            <m:begChr m:val="["/>
            <m:sepChr m:val="−"/>
            <m:endChr m:val="]"/>
          </m:dPr>
          <m:e/>
          <m:e>
            <m:r>
              <m:t>0</m:t>
            </m:r>
            <m:r>
              <m:t>,</m:t>
            </m:r>
            <m:r>
              <m:t>5</m:t>
            </m:r>
            <m:r>
              <m:t>;</m:t>
            </m:r>
            <m:r>
              <m:t>0</m:t>
            </m:r>
            <m:r>
              <m:t>,</m:t>
            </m:r>
            <m:r>
              <m:t>5</m:t>
            </m:r>
          </m:e>
        </m:d>
      </m:oMath>
      <w:r>
        <w:rPr>
          <w:rFonts w:ascii="Times New Roman" w:hAnsi="Times New Roman" w:cs="Times New Roman"/>
          <w:sz w:val="24"/>
        </w:rPr>
        <w:t xml:space="preserve"> klassifiseres som OK.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jc w:val="both"/>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jc w:val="both"/>
      </w:pPr>
      <w:r>
        <w:rPr>
          <w:rFonts w:ascii="Times New Roman" w:hAnsi="Times New Roman" w:cs="Times New Roman"/>
          <w:sz w:val="24"/>
        </w:rPr>
        <w:t xml:space="preserve">Parametervalgene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 xml:space="preserve"> er begrunnet i avsnitt 1.4. Sensitivitetsanalysen i kapittel 7.6 tester robustheten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w:t>
      </w:r>
    </w:p>
    <w:p>
      <w:pPr>
        <w:spacing w:line="360" w:lineRule="auto"/>
        <w:jc w:val="both"/>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jc w:val="both"/>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xml:space="preserve">, mens </w:t>
      </w:r>
      <m:oMath>
        <m:r>
          <m:t>g</m:t>
        </m:r>
      </m:oMath>
      <w:r>
        <w:rPr>
          <w:rFonts w:ascii="Times New Roman" w:hAnsi="Times New Roman" w:cs="Times New Roman"/>
          <w:sz w:val="24"/>
        </w:rPr>
        <w:t xml:space="preserve"> varieres separat gjennom tre scenarier (worst/base/best).</w:t>
      </w:r>
    </w:p>
    <w:p>
      <w:pPr>
        <w:pStyle w:val="Overskrift2"/>
      </w:pPr>
      <w:r>
        <w:rPr>
          <w:rFonts w:ascii="Times New Roman" w:hAnsi="Times New Roman"/>
          <w:color w:val="000000"/>
          <w:sz w:val="32"/>
        </w:rPr>
        <w:t>5.4 K-means klyngemodellen</w:t>
      </w:r>
    </w:p>
    <w:p>
      <w:pPr>
        <w:spacing w:line="360" w:lineRule="auto"/>
        <w:jc w:val="both"/>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w:t>
      </w:r>
      <w:r>
        <w:rPr>
          <w:rFonts w:ascii="Consolas" w:hAnsi="Consolas" w:cs="Consolas"/>
          <w:sz w:val="20"/>
          <w:shd w:val="clear" w:color="auto" w:fill="F4F4F4"/>
        </w:rPr>
        <w:t>n_init=50</w:t>
      </w:r>
      <w:r>
        <w:rPr>
          <w:rFonts w:ascii="Times New Roman" w:hAnsi="Times New Roman" w:cs="Times New Roman"/>
          <w:sz w:val="24"/>
        </w:rPr>
        <w:t xml:space="preserve"> og </w:t>
      </w:r>
      <w:r>
        <w:rPr>
          <w:rFonts w:ascii="Consolas" w:hAnsi="Consolas" w:cs="Consolas"/>
          <w:sz w:val="20"/>
          <w:shd w:val="clear" w:color="auto" w:fill="F4F4F4"/>
        </w:rPr>
        <w:t>max_iter=300</w:t>
      </w:r>
      <w:r>
        <w:rPr>
          <w:rFonts w:ascii="Times New Roman" w:hAnsi="Times New Roman" w:cs="Times New Roman"/>
          <w:sz w:val="24"/>
        </w:rPr>
        <w:t xml:space="preserve"> for robust initialisering.</w:t>
      </w:r>
    </w:p>
    <w:p>
      <w:pPr>
        <w:spacing w:line="360" w:lineRule="auto"/>
        <w:jc w:val="both"/>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jc w:val="both"/>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jc w:val="both"/>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tilpasses utelukkende til treningsdataene og transformerer deretter begge sett. KMeans-modellen trenes kun på treningsdataene. Testsettet evaluerer klyngestrukturens generaliserbarhet.</w:t>
      </w:r>
    </w:p>
    <w:p>
      <w:pPr>
        <w:spacing w:line="360" w:lineRule="auto"/>
        <w:jc w:val="both"/>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 (Rousseeuw, 1987):</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jc w:val="both"/>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Scorer over 0,3 regnes som akseptable for eksplorativ analyse (Ketkar &amp; Vaidya, 2014). Silhouette beregnes separat for trenings- og testdata; et lavere testresultat enn treningsresultat er normalt, men et vesentlig fall vil indikere overtilpasning (</w:t>
      </w:r>
      <w:r>
        <w:rPr>
          <w:rFonts w:ascii="Times New Roman" w:hAnsi="Times New Roman" w:cs="Times New Roman"/>
          <w:i/>
          <w:sz w:val="24"/>
        </w:rPr>
        <w:t>overfit</w:t>
      </w:r>
      <w:r>
        <w:rPr>
          <w:rFonts w:ascii="Times New Roman" w:hAnsi="Times New Roman" w:cs="Times New Roman"/>
          <w:sz w:val="24"/>
        </w:rPr>
        <w:t>).</w:t>
      </w:r>
    </w:p>
    <w:p>
      <w:pPr>
        <w:spacing w:line="360" w:lineRule="auto"/>
        <w:jc w:val="both"/>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Identifiseringen er deterministisk: for hver klynge </w:t>
      </w:r>
      <m:oMath>
        <m:r>
          <m:t>k</m:t>
        </m:r>
      </m:oMath>
      <w:r>
        <w:rPr>
          <w:rFonts w:ascii="Times New Roman" w:hAnsi="Times New Roman" w:cs="Times New Roman"/>
          <w:sz w:val="24"/>
        </w:rPr>
        <w:t xml:space="preserve"> beregnes to rangeringer – </w:t>
      </w:r>
      <m:oMath>
        <m:r>
          <m:rPr>
            <m:nor/>
          </m:rPr>
          <m:t>rang</m:t>
        </m:r>
        <m:r>
          <m:t>(</m:t>
        </m:r>
        <m:sSub>
          <m:e>
            <m:acc>
              <m:accPr>
                <m:chr m:val="―"/>
              </m:accPr>
              <m:e>
                <m:r>
                  <m:rPr>
                    <m:nor/>
                  </m:rPr>
                  <m:t>CV</m:t>
                </m:r>
              </m:e>
            </m:acc>
          </m:e>
          <m:sub>
            <m:r>
              <m:t>k</m:t>
            </m:r>
          </m:sub>
        </m:sSub>
        <m:r>
          <m:t>)</m:t>
        </m:r>
      </m:oMath>
      <w:r>
        <w:rPr>
          <w:rFonts w:ascii="Times New Roman" w:hAnsi="Times New Roman" w:cs="Times New Roman"/>
          <w:sz w:val="24"/>
        </w:rPr>
        <w:t xml:space="preserve"> stigende og </w:t>
      </w:r>
      <m:oMath>
        <m:r>
          <m:rPr>
            <m:nor/>
          </m:rPr>
          <m:t>rang</m:t>
        </m:r>
        <m:r>
          <m:t>(</m:t>
        </m:r>
        <m:sSub>
          <m:e>
            <m:acc>
              <m:accPr>
                <m:chr m:val="―"/>
              </m:accPr>
              <m:e>
                <m:r>
                  <m:t>v</m:t>
                </m:r>
              </m:e>
            </m:acc>
          </m:e>
          <m:sub>
            <m:r>
              <m:t>k</m:t>
            </m:r>
          </m:sub>
        </m:sSub>
        <m:r>
          <m:t>)</m:t>
        </m:r>
      </m:oMath>
      <w:r>
        <w:rPr>
          <w:rFonts w:ascii="Times New Roman" w:hAnsi="Times New Roman" w:cs="Times New Roman"/>
          <w:sz w:val="24"/>
        </w:rPr>
        <w:t xml:space="preserve"> synkende – og klyngen med lavest rangsum velges:</w:t>
      </w:r>
    </w:p>
    <w:p>
      <w:pPr>
        <w:spacing w:line="360" w:lineRule="auto"/>
        <w:jc w:val="center"/>
      </w:pPr>
      <m:oMath>
        <m:sSup>
          <m:e>
            <m:r>
              <m:t>k</m:t>
            </m:r>
          </m:e>
          <m:sup>
            <m:r>
              <m:t>*</m:t>
            </m:r>
          </m:sup>
        </m:sSup>
        <m:r>
          <m:t>=</m:t>
        </m:r>
        <m:r>
          <m:rPr>
            <m:sty m:val="p"/>
          </m:rPr>
          <m:t>\arg</m:t>
        </m:r>
        <m:sSub>
          <m:e>
            <m:r>
              <m:t>min</m:t>
            </m:r>
          </m:e>
          <m:sub>
            <m:r>
              <m:t>k</m:t>
            </m:r>
          </m:sub>
        </m:sSub>
        <m:r>
          <m:t>[</m:t>
        </m:r>
        <m:r>
          <m:rPr>
            <m:nor/>
          </m:rPr>
          <m:t>rang</m:t>
        </m:r>
        <m:r>
          <m:t>(</m:t>
        </m:r>
        <m:sSub>
          <m:e>
            <m:acc>
              <m:accPr>
                <m:chr m:val="―"/>
              </m:accPr>
              <m:e>
                <m:r>
                  <m:rPr>
                    <m:nor/>
                  </m:rPr>
                  <m:t>CV</m:t>
                </m:r>
              </m:e>
            </m:acc>
          </m:e>
          <m:sub>
            <m:r>
              <m:t>k</m:t>
            </m:r>
          </m:sub>
        </m:sSub>
        <m:r>
          <m:t>↑)+</m:t>
        </m:r>
        <m:r>
          <m:rPr>
            <m:nor/>
          </m:rPr>
          <m:t>rang</m:t>
        </m:r>
        <m:r>
          <m:t>(</m:t>
        </m:r>
        <m:sSub>
          <m:e>
            <m:acc>
              <m:accPr>
                <m:chr m:val="―"/>
              </m:accPr>
              <m:e>
                <m:r>
                  <m:t>v</m:t>
                </m:r>
              </m:e>
            </m:acc>
          </m:e>
          <m:sub>
            <m:r>
              <m:t>k</m:t>
            </m:r>
          </m:sub>
        </m:sSub>
        <m:r>
          <m:t>↓)]</m:t>
        </m:r>
      </m:oMath>
    </w:p>
    <w:p>
      <w:pPr>
        <w:spacing w:line="360" w:lineRule="auto"/>
        <w:jc w:val="both"/>
      </w:pPr>
      <w:r>
        <w:rPr>
          <w:rFonts w:ascii="Times New Roman" w:hAnsi="Times New Roman" w:cs="Times New Roman"/>
          <w:sz w:val="24"/>
        </w:rPr>
        <w:t xml:space="preserve">K\_OVERFØR er altså klyngen med lavest gjennomsnittlig CV (stabilt forbruksmønster) og høyest gjennomsnittlig artikkelverdi. Implementasjonen benytter </w:t>
      </w:r>
      <w:r>
        <w:rPr>
          <w:rFonts w:ascii="Consolas" w:hAnsi="Consolas" w:cs="Consolas"/>
          <w:sz w:val="20"/>
          <w:shd w:val="clear" w:color="auto" w:fill="F4F4F4"/>
        </w:rPr>
        <w:t>pandas.Series.rank()</w:t>
      </w:r>
      <w:r>
        <w:rPr>
          <w:rFonts w:ascii="Times New Roman" w:hAnsi="Times New Roman" w:cs="Times New Roman"/>
          <w:sz w:val="24"/>
        </w:rPr>
        <w:t xml:space="preserve"> på klyngeprofilens CV- og verdikolonner (se Vedlegg B). Ettersom </w:t>
      </w:r>
      <m:oMath>
        <m:d>
          <m:dPr>
            <m:begChr m:val="|"/>
            <m:sepChr m:val=""/>
            <m:endChr m:val="|"/>
          </m:dPr>
          <m:e>
            <m:r>
              <m:t>Δ</m:t>
            </m:r>
            <m:r>
              <m:t>T</m:t>
            </m:r>
            <m:r>
              <m:t>C</m:t>
            </m:r>
          </m:e>
        </m:d>
      </m:oMath>
      <w:r>
        <w:rPr>
          <w:rFonts w:ascii="Times New Roman" w:hAnsi="Times New Roman" w:cs="Times New Roman"/>
          <w:sz w:val="24"/>
        </w:rPr>
        <w:t xml:space="preserve"> inngår i featurevektoren, påvirker den klyngestrukturen indirekte: artikler med høyt kostnadsavvik tenderer mot samme klynge som artikler med høy verdi og lav CV.</w:t>
      </w:r>
    </w:p>
    <w:p>
      <w:pPr>
        <w:spacing w:line="360" w:lineRule="auto"/>
        <w:jc w:val="both"/>
      </w:pPr>
      <w:r>
        <w:rPr>
          <w:rFonts w:ascii="Times New Roman" w:hAnsi="Times New Roman" w:cs="Times New Roman"/>
          <w:b/>
          <w:sz w:val="24"/>
        </w:rPr>
        <w:t>Designvalg.</w:t>
      </w:r>
      <w:r>
        <w:rPr>
          <w:rFonts w:ascii="Times New Roman" w:hAnsi="Times New Roman" w:cs="Times New Roman"/>
          <w:sz w:val="24"/>
        </w:rPr>
        <w:t xml:space="preserve"> K-means er valgt som </w:t>
      </w:r>
      <w:r>
        <w:rPr>
          <w:rFonts w:ascii="Times New Roman" w:hAnsi="Times New Roman" w:cs="Times New Roman"/>
          <w:b/>
          <w:sz w:val="24"/>
        </w:rPr>
        <w:t>uovervåket maskinlæring</w:t>
      </w:r>
      <w:r>
        <w:rPr>
          <w:rFonts w:ascii="Times New Roman" w:hAnsi="Times New Roman" w:cs="Times New Roman"/>
          <w:sz w:val="24"/>
        </w:rPr>
        <w:t xml:space="preserve"> fordi datasettet ikke inneholder merkede fasitklasser for HVFS-egnethet – en veiledet algoritme ville derfor ikke ha noe å trenes mot. Metoden er inkludert i rammeverket av to begrunnede årsaker. For det første gir den </w:t>
      </w:r>
      <w:r>
        <w:rPr>
          <w:rFonts w:ascii="Times New Roman" w:hAnsi="Times New Roman" w:cs="Times New Roman"/>
          <w:i/>
          <w:sz w:val="24"/>
        </w:rPr>
        <w:t>frihet fra forhåndsdefinerte terskelverdier</w:t>
      </w:r>
      <w:r>
        <w:rPr>
          <w:rFonts w:ascii="Times New Roman" w:hAnsi="Times New Roman" w:cs="Times New Roman"/>
          <w:sz w:val="24"/>
        </w:rPr>
        <w:t xml:space="preserve">: ABC-grensene (80/95 %) og XYZ-grensene (0,5 og 1,0) er litteraturbaserte valg, mens K-means lar dataene selv avgjøre gruppestrukturen multivariat. For det andre bidrar metoden til </w:t>
      </w:r>
      <w:r>
        <w:rPr>
          <w:rFonts w:ascii="Times New Roman" w:hAnsi="Times New Roman" w:cs="Times New Roman"/>
          <w:i/>
          <w:sz w:val="24"/>
        </w:rPr>
        <w:t>metodisk triangulering</w:t>
      </w:r>
      <w:r>
        <w:rPr>
          <w:rFonts w:ascii="Times New Roman" w:hAnsi="Times New Roman" w:cs="Times New Roman"/>
          <w:sz w:val="24"/>
        </w:rPr>
        <w:t xml:space="preserve"> – at tre analytiske tilnærminger med ulike antagelser konvergerer mot samme artikkelgruppe utgjør et validitetsargument, ikke en redundans. At K\_OVERFØR-klyngen bygger på de samme underliggende dimensjonene (verdi og forbruksstabilitet) som ABC/XYZ-klassifiseringen er dermed forventet og ettersøkt; sammenfallet bekrefter at de litteraturbaserte tersklene er rimelige for dette datasettet.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jc w:val="both"/>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p>
      <w:r>
        <w:rPr>
          <w:rFonts w:ascii="Times New Roman" w:hAnsi="Times New Roman"/>
          <w:b/>
          <w:sz w:val="20"/>
        </w:rPr>
        <w:t>Tabell 7</w:t>
      </w:r>
    </w:p>
    <w:p>
      <w:r>
        <w:rPr>
          <w:rFonts w:ascii="Times New Roman" w:hAnsi="Times New Roman"/>
          <w:i/>
          <w:sz w:val="20"/>
        </w:rPr>
        <w:t>Regelmotor: 8 beslutningsregler i prioritert rekkefølge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b w:val="0"/>
                <w:sz w:val="22"/>
              </w:rPr>
              <w:t>R1</w:t>
            </w:r>
          </w:p>
        </w:tc>
        <w:tc>
          <w:tcPr>
            <w:tcW w:type="dxa" w:w="2192"/>
          </w:tcPr>
          <w:p>
            <w:r/>
            <w:r>
              <w:rPr>
                <w:rFonts w:ascii="Times New Roman" w:hAnsi="Times New Roman"/>
                <w:b w:val="0"/>
                <w:sz w:val="22"/>
              </w:rPr>
              <w:t>XYZ = Z (uavh. av ABC)</w:t>
            </w:r>
          </w:p>
        </w:tc>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Uforutsigbart forbruk → uegnet for APL</w:t>
            </w:r>
          </w:p>
        </w:tc>
      </w:tr>
      <w:tr>
        <w:tc>
          <w:tcPr>
            <w:tcW w:type="dxa" w:w="2192"/>
          </w:tcPr>
          <w:p>
            <w:r/>
            <w:r>
              <w:rPr>
                <w:rFonts w:ascii="Times New Roman" w:hAnsi="Times New Roman"/>
                <w:b w:val="0"/>
                <w:sz w:val="22"/>
              </w:rPr>
              <w:t>R2</w:t>
            </w:r>
          </w:p>
        </w:tc>
        <w:tc>
          <w:tcPr>
            <w:tcW w:type="dxa" w:w="2192"/>
          </w:tcPr>
          <w:p>
            <w:r/>
            <w:r>
              <w:rPr>
                <w:rFonts w:ascii="Times New Roman" w:hAnsi="Times New Roman"/>
                <w:b w:val="0"/>
                <w:sz w:val="22"/>
              </w:rPr>
              <w:t>ABC = C og XYZ = Y</w:t>
            </w:r>
          </w:p>
        </w:tc>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Lav verdi + moderat variasjon</w:t>
            </w:r>
          </w:p>
        </w:tc>
      </w:tr>
      <w:tr>
        <w:tc>
          <w:tcPr>
            <w:tcW w:type="dxa" w:w="2192"/>
          </w:tcPr>
          <w:p>
            <w:r/>
            <w:r>
              <w:rPr>
                <w:rFonts w:ascii="Times New Roman" w:hAnsi="Times New Roman"/>
                <w:b w:val="0"/>
                <w:sz w:val="22"/>
              </w:rPr>
              <w:t>R3</w:t>
            </w:r>
          </w:p>
        </w:tc>
        <w:tc>
          <w:tcPr>
            <w:tcW w:type="dxa" w:w="2192"/>
          </w:tcPr>
          <w:p>
            <w:r/>
            <w:r>
              <w:rPr>
                <w:rFonts w:ascii="Times New Roman" w:hAnsi="Times New Roman"/>
                <w:b w:val="0"/>
                <w:sz w:val="22"/>
              </w:rPr>
              <w:t>ABC ∈ {A, B} og XYZ = X og EOQ = FOR_MANGE</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Sterkeste signal: høy verdi, stabilt, overbestilt</w:t>
            </w:r>
          </w:p>
        </w:tc>
      </w:tr>
      <w:tr>
        <w:tc>
          <w:tcPr>
            <w:tcW w:type="dxa" w:w="2192"/>
          </w:tcPr>
          <w:p>
            <w:r/>
            <w:r>
              <w:rPr>
                <w:rFonts w:ascii="Times New Roman" w:hAnsi="Times New Roman"/>
                <w:b w:val="0"/>
                <w:sz w:val="22"/>
              </w:rPr>
              <w:t>R4</w:t>
            </w:r>
          </w:p>
        </w:tc>
        <w:tc>
          <w:tcPr>
            <w:tcW w:type="dxa" w:w="2192"/>
          </w:tcPr>
          <w:p>
            <w:r/>
            <w:r>
              <w:rPr>
                <w:rFonts w:ascii="Times New Roman" w:hAnsi="Times New Roman"/>
                <w:b w:val="0"/>
                <w:sz w:val="22"/>
              </w:rPr>
              <w:t>ABC ∈ {A, B} og XYZ = X og K_OVERFØR</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Høy verdi, stabilt, klyngeprofil bekrefter</w:t>
            </w:r>
          </w:p>
        </w:tc>
      </w:tr>
      <w:tr>
        <w:tc>
          <w:tcPr>
            <w:tcW w:type="dxa" w:w="2192"/>
          </w:tcPr>
          <w:p>
            <w:r/>
            <w:r>
              <w:rPr>
                <w:rFonts w:ascii="Times New Roman" w:hAnsi="Times New Roman"/>
                <w:b w:val="0"/>
                <w:sz w:val="22"/>
              </w:rPr>
              <w:t>R5</w:t>
            </w:r>
          </w:p>
        </w:tc>
        <w:tc>
          <w:tcPr>
            <w:tcW w:type="dxa" w:w="2192"/>
          </w:tcPr>
          <w:p>
            <w:r/>
            <w:r>
              <w:rPr>
                <w:rFonts w:ascii="Times New Roman" w:hAnsi="Times New Roman"/>
                <w:b w:val="0"/>
                <w:sz w:val="22"/>
              </w:rPr>
              <w:t>ABC ∈ {A, B} og XYZ = Y og K_OVERFØR</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Høy verdi, moderat variasjon, klyngeprofil bekrefter</w:t>
            </w:r>
          </w:p>
        </w:tc>
      </w:tr>
      <w:tr>
        <w:tc>
          <w:tcPr>
            <w:tcW w:type="dxa" w:w="2192"/>
          </w:tcPr>
          <w:p>
            <w:r/>
            <w:r>
              <w:rPr>
                <w:rFonts w:ascii="Times New Roman" w:hAnsi="Times New Roman"/>
                <w:b w:val="0"/>
                <w:sz w:val="22"/>
              </w:rPr>
              <w:t>R6</w:t>
            </w:r>
          </w:p>
        </w:tc>
        <w:tc>
          <w:tcPr>
            <w:tcW w:type="dxa" w:w="2192"/>
          </w:tcPr>
          <w:p>
            <w:r/>
            <w:r>
              <w:rPr>
                <w:rFonts w:ascii="Times New Roman" w:hAnsi="Times New Roman"/>
                <w:b w:val="0"/>
                <w:sz w:val="22"/>
              </w:rPr>
              <w:t>ABC ∈ {A, B} og XYZ = X</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Høy verdi, stabilt, men ikke K_OVERFØR</w:t>
            </w:r>
          </w:p>
        </w:tc>
      </w:tr>
      <w:tr>
        <w:tc>
          <w:tcPr>
            <w:tcW w:type="dxa" w:w="2192"/>
          </w:tcPr>
          <w:p>
            <w:r/>
            <w:r>
              <w:rPr>
                <w:rFonts w:ascii="Times New Roman" w:hAnsi="Times New Roman"/>
                <w:b w:val="0"/>
                <w:sz w:val="22"/>
              </w:rPr>
              <w:t>R7</w:t>
            </w:r>
          </w:p>
        </w:tc>
        <w:tc>
          <w:tcPr>
            <w:tcW w:type="dxa" w:w="2192"/>
          </w:tcPr>
          <w:p>
            <w:r/>
            <w:r>
              <w:rPr>
                <w:rFonts w:ascii="Times New Roman" w:hAnsi="Times New Roman"/>
                <w:b w:val="0"/>
                <w:sz w:val="22"/>
              </w:rPr>
              <w:t>ABC ∈ {A, B} og XYZ = Y</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Høy verdi, moderat variasjon, ikke K_OVERFØR</w:t>
            </w:r>
          </w:p>
        </w:tc>
      </w:tr>
      <w:tr>
        <w:tc>
          <w:tcPr>
            <w:tcW w:type="dxa" w:w="2192"/>
          </w:tcPr>
          <w:p>
            <w:r/>
            <w:r>
              <w:rPr>
                <w:rFonts w:ascii="Times New Roman" w:hAnsi="Times New Roman"/>
                <w:b w:val="0"/>
                <w:sz w:val="22"/>
              </w:rPr>
              <w:t>R8</w:t>
            </w:r>
          </w:p>
        </w:tc>
        <w:tc>
          <w:tcPr>
            <w:tcW w:type="dxa" w:w="2192"/>
          </w:tcPr>
          <w:p>
            <w:r/>
            <w:r>
              <w:rPr>
                <w:rFonts w:ascii="Times New Roman" w:hAnsi="Times New Roman"/>
                <w:b w:val="0"/>
                <w:sz w:val="22"/>
              </w:rPr>
              <w:t>Ellers (inkl. C + X)</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Uklart signalmønster eller lav verdi</w:t>
            </w:r>
          </w:p>
        </w:tc>
      </w:tr>
    </w:tbl>
    <w:p>
      <w:pPr>
        <w:spacing w:line="360" w:lineRule="auto"/>
        <w:jc w:val="both"/>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jc w:val="both"/>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Regelmotorens sekvensielle beslutningsflyt er illustrert i Figur 5.</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Figur 5. Regelmotor: sekvensiell beslutningsflyt for HVFS-anbefaling (R1–R8). Generert med støtte fra Claude.</w:t>
      </w:r>
    </w:p>
    <w:p>
      <w:pPr>
        <w:spacing w:line="360" w:lineRule="auto"/>
        <w:jc w:val="both"/>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 Kapittel 6 beskriver den analytiske gjennomføringen av modellene fra kapittel 5 på de 709 artiklene i LGORT 3001.</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jc w:val="both"/>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w:t>
      </w:r>
      <m:oMath>
        <m:sSub>
          <m:e>
            <m:r>
              <m:rPr>
                <m:nor/>
              </m:rPr>
              <m:t>UNIT\_PRICE</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jc w:val="both"/>
      </w:pPr>
      <w:r>
        <w:rPr>
          <w:rFonts w:ascii="Times New Roman" w:hAnsi="Times New Roman" w:cs="Times New Roman"/>
          <w:sz w:val="24"/>
        </w:rPr>
        <w:t>Pareto-grensene 80 % og 95 % ble deretter lagt på den kumulative kurven, som vist i Figur 6 nedenfor. Kurvens form – en bratt stigning tidlig etterfulgt av en lang flat hale – bekrefter at verdikonsentrasjonen følger Pareto-mønsteret.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Figur 6. ABC Pareto-kurve: kumulativ verdiandel for 709 artikler rangert etter årsverdi, med grenser ved 80 % (A/B) og 95 % (B/C). Generert med støtte fra Claude.</w:t>
      </w:r>
    </w:p>
    <w:p>
      <w:pPr>
        <w:pStyle w:val="Overskrift2"/>
      </w:pPr>
      <w:r>
        <w:rPr>
          <w:rFonts w:ascii="Times New Roman" w:hAnsi="Times New Roman"/>
          <w:color w:val="000000"/>
          <w:sz w:val="32"/>
        </w:rPr>
        <w:t>6.2 XYZ-klassifisering</w:t>
      </w:r>
    </w:p>
    <w:p>
      <w:pPr>
        <w:spacing w:line="360" w:lineRule="auto"/>
        <w:jc w:val="both"/>
      </w:pPr>
      <w:r>
        <w:rPr>
          <w:rFonts w:ascii="Times New Roman" w:hAnsi="Times New Roman" w:cs="Times New Roman"/>
          <w:sz w:val="24"/>
        </w:rPr>
        <w:t xml:space="preserve">XYZ-klassifiseringen tok utgangspunkt i månedlig MSEG-forbruk per artikkel over den 24 måneder lange analyseperioden, med bevegelsestypene 201 og 647. For hver artikkel ble variasjonskoeffisienten </w:t>
      </w:r>
      <m:oMath>
        <m:sSub>
          <m:e>
            <m:r>
              <m:rPr>
                <m:nor/>
              </m:rPr>
              <m:t>CV</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jc w:val="both"/>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resultatene presenteres i Tabell 10 i kapittel 7.</w:t>
      </w:r>
    </w:p>
    <w:p>
      <w:pPr>
        <w:spacing w:line="360" w:lineRule="auto"/>
        <w:jc w:val="both"/>
      </w:pPr>
      <w:r>
        <w:rPr>
          <w:rFonts w:ascii="Times New Roman" w:hAnsi="Times New Roman" w:cs="Times New Roman"/>
          <w:sz w:val="24"/>
        </w:rPr>
        <w:t>ABC- og XYZ-klassifiseringene ble kombinert til en ni-felts kryssmatrise, som vist i Figur 7. Matrisen gir et øyeblikksbilde av populasjonens sammensetning langs de to dimensjonene og danner inngangsdataene for regelmotoren i avsnitt 6.5. Fullstendige celleantall er gjengitt i Figur 7; univariate XYZ-fordelinger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Figur 7. ABC/XYZ-kryssmatrise: antall artikler per kombinasjon (687 klassifiserte artikler, WERKS 3300 / LGORT 3001). Generert med støtte fra Claude.</w:t>
      </w:r>
    </w:p>
    <w:p>
      <w:pPr>
        <w:spacing w:line="360" w:lineRule="auto"/>
        <w:jc w:val="both"/>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jc w:val="both"/>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jc w:val="both"/>
      </w:pPr>
      <w:r>
        <w:rPr>
          <w:rFonts w:ascii="Times New Roman" w:hAnsi="Times New Roman" w:cs="Times New Roman"/>
          <w:sz w:val="24"/>
        </w:rPr>
        <w:t xml:space="preserve">Det relative frekvensavviket </w:t>
      </w:r>
      <m:oMath>
        <m:sSub>
          <m:e>
            <m:r>
              <m:rPr>
                <m:nor/>
              </m:rPr>
              <m:t>FREQ\_AVVIK</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8 nedenfor. Terskelen </w:t>
      </w:r>
      <m:oMath>
        <m:sSub>
          <m:e>
            <m:r>
              <m:t>τ</m:t>
            </m:r>
          </m:e>
          <m:sub>
            <m:r>
              <m:t>f</m:t>
            </m:r>
          </m:sub>
        </m:sSub>
        <m:r>
          <m:t>=1</m:t>
        </m:r>
        <m:r>
          <m:t>,</m:t>
        </m:r>
        <m:r>
          <m:t>5</m:t>
        </m:r>
      </m:oMath>
      <w:r>
        <w:rPr>
          <w:rFonts w:ascii="Times New Roman" w:hAnsi="Times New Roman" w:cs="Times New Roman"/>
          <w:sz w:val="24"/>
        </w:rPr>
        <w:t xml:space="preserve"> (dvs. FREQ\_AVVIK &gt; 0,5)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8. EOQ-avvik: relativ frekvensavvik (FREQ_AVVIK) for artikler med tilstrekkelige data, med terskel ved τ_f = 1,5. Generert med støtte fra Claude.</w:t>
      </w:r>
    </w:p>
    <w:p>
      <w:pPr>
        <w:spacing w:line="360" w:lineRule="auto"/>
        <w:jc w:val="both"/>
      </w:pPr>
      <w:r>
        <w:rPr>
          <w:rFonts w:ascii="Times New Roman" w:hAnsi="Times New Roman" w:cs="Times New Roman"/>
          <w:sz w:val="24"/>
        </w:rPr>
        <w:t xml:space="preserve">Figur 8 viser at fordelingen er sterkt høyreskjev: majoriteten av artiklene med EOQ-data har et FREQ\_AVVIK over terskelen på 0,5. Fordeling etter avviksstatus og totale </w:t>
      </w:r>
      <m:oMath>
        <m:r>
          <m:t>ΔTC</m:t>
        </m:r>
      </m:oMath>
      <w:r>
        <w:rPr>
          <w:rFonts w:ascii="Times New Roman" w:hAnsi="Times New Roman" w:cs="Times New Roman"/>
          <w:sz w:val="24"/>
        </w:rPr>
        <w:t>-summer presenteres i Tabell 11 og avsnitt 7.3.</w:t>
      </w:r>
    </w:p>
    <w:p>
      <w:pPr>
        <w:pStyle w:val="Overskrift2"/>
      </w:pPr>
      <w:r>
        <w:rPr>
          <w:rFonts w:ascii="Times New Roman" w:hAnsi="Times New Roman"/>
          <w:color w:val="000000"/>
          <w:sz w:val="32"/>
        </w:rPr>
        <w:t>6.4 K-means klyngeanalyse</w:t>
      </w:r>
    </w:p>
    <w:p>
      <w:pPr>
        <w:spacing w:line="360" w:lineRule="auto"/>
        <w:jc w:val="both"/>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n=389</m:t>
        </m:r>
      </m:oMath>
      <w:r>
        <w:rPr>
          <w:rFonts w:ascii="Times New Roman" w:hAnsi="Times New Roman" w:cs="Times New Roman"/>
          <w:sz w:val="24"/>
        </w:rPr>
        <w:t>) og et testsett (</w:t>
      </w:r>
      <m:oMath>
        <m:r>
          <m:t>n=98</m:t>
        </m:r>
      </m:oMath>
      <w:r>
        <w:rPr>
          <w:rFonts w:ascii="Times New Roman" w:hAnsi="Times New Roman" w:cs="Times New Roman"/>
          <w:sz w:val="24"/>
        </w:rPr>
        <w:t xml:space="preserve">) med </w:t>
      </w:r>
      <w:r>
        <w:rPr>
          <w:rFonts w:ascii="Consolas" w:hAnsi="Consolas" w:cs="Consolas"/>
          <w:sz w:val="20"/>
          <w:shd w:val="clear" w:color="auto" w:fill="F4F4F4"/>
        </w:rPr>
        <w:t>random_state=42</w:t>
      </w:r>
      <w:r>
        <w:rPr>
          <w:rFonts w:ascii="Times New Roman" w:hAnsi="Times New Roman" w:cs="Times New Roman"/>
          <w:sz w:val="24"/>
        </w:rPr>
        <w:t>. StandardScaler ble tilpasset utelukkende til treningsdataene og deretter brukt til å transformere begge sett, slik at informasjon fra testsettet ikke lekker inn i skaleringen.</w:t>
      </w:r>
    </w:p>
    <w:p>
      <w:pPr>
        <w:spacing w:line="360" w:lineRule="auto"/>
        <w:jc w:val="both"/>
      </w:pPr>
      <w:r>
        <w:rPr>
          <w:rFonts w:ascii="Times New Roman" w:hAnsi="Times New Roman" w:cs="Times New Roman"/>
          <w:b/>
          <w:sz w:val="24"/>
        </w:rPr>
        <w:t>K-valg via silhouette.</w:t>
      </w:r>
      <w:r>
        <w:rPr>
          <w:rFonts w:ascii="Times New Roman" w:hAnsi="Times New Roman" w:cs="Times New Roman"/>
          <w:sz w:val="24"/>
        </w:rPr>
        <w:t xml:space="preserve"> KMeans-modellen ble trent for </w:t>
      </w:r>
      <m:oMath>
        <m:r>
          <m:t>K=2</m:t>
        </m:r>
      </m:oMath>
      <w:r>
        <w:rPr>
          <w:rFonts w:ascii="Times New Roman" w:hAnsi="Times New Roman" w:cs="Times New Roman"/>
          <w:sz w:val="24"/>
        </w:rPr>
        <w:t>, 3, 4, 5, 6 og 7 på treningsdataene. For hvert K ble gjennomsnittlig silhouette-score beregnet. Figur 9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Figur 9. Silhouette-score for K = 2–7 (treningsdata, n = 389): K = 3 gir høyest score (0,383). Generert med støtte fra Claude.</w:t>
      </w:r>
    </w:p>
    <w:p>
      <w:pPr>
        <w:spacing w:line="360" w:lineRule="auto"/>
        <w:jc w:val="both"/>
      </w:pPr>
      <m:oMath>
        <m:r>
          <m:t>K=3</m:t>
        </m:r>
      </m:oMath>
      <w:r>
        <w:rPr>
          <w:rFonts w:ascii="Times New Roman" w:hAnsi="Times New Roman" w:cs="Times New Roman"/>
          <w:sz w:val="24"/>
        </w:rPr>
        <w:t xml:space="preserve"> ga høyest silhouette-score og ble valgt som det endelige antallet klynger. For </w:t>
      </w:r>
      <m:oMath>
        <m:r>
          <m:t>K=4</m:t>
        </m:r>
      </m:oMath>
      <w:r>
        <w:rPr>
          <w:rFonts w:ascii="Times New Roman" w:hAnsi="Times New Roman" w:cs="Times New Roman"/>
          <w:sz w:val="24"/>
        </w:rPr>
        <w:t xml:space="preserve"> og oppover falt scoren monotont, noe som indikerer at tre klynger representerer den mest naturlige gruppestrukturen i featurerommet. KMeans-modellen ble trent endelig med </w:t>
      </w:r>
      <m:oMath>
        <m:r>
          <m:t>K=3</m:t>
        </m:r>
      </m:oMath>
      <w:r>
        <w:rPr>
          <w:rFonts w:ascii="Times New Roman" w:hAnsi="Times New Roman" w:cs="Times New Roman"/>
          <w:sz w:val="24"/>
        </w:rPr>
        <w:t xml:space="preserve">, </w:t>
      </w:r>
      <w:r>
        <w:rPr>
          <w:rFonts w:ascii="Consolas" w:hAnsi="Consolas" w:cs="Consolas"/>
          <w:sz w:val="20"/>
          <w:shd w:val="clear" w:color="auto" w:fill="F4F4F4"/>
        </w:rPr>
        <w:t>n_init=50</w:t>
      </w:r>
      <w:r>
        <w:rPr>
          <w:rFonts w:ascii="Times New Roman" w:hAnsi="Times New Roman" w:cs="Times New Roman"/>
          <w:sz w:val="24"/>
        </w:rPr>
        <w:t xml:space="preserve"> og </w:t>
      </w:r>
      <w:r>
        <w:rPr>
          <w:rFonts w:ascii="Consolas" w:hAnsi="Consolas" w:cs="Consolas"/>
          <w:sz w:val="20"/>
          <w:shd w:val="clear" w:color="auto" w:fill="F4F4F4"/>
        </w:rPr>
        <w:t>max_iter=300</w:t>
      </w:r>
      <w:r>
        <w:rPr>
          <w:rFonts w:ascii="Times New Roman" w:hAnsi="Times New Roman" w:cs="Times New Roman"/>
          <w:sz w:val="24"/>
        </w:rPr>
        <w:t>. Testdataene (</w:t>
      </w:r>
      <m:oMath>
        <m:r>
          <m:t>n=98</m:t>
        </m:r>
      </m:oMath>
      <w:r>
        <w:rPr>
          <w:rFonts w:ascii="Times New Roman" w:hAnsi="Times New Roman" w:cs="Times New Roman"/>
          <w:sz w:val="24"/>
        </w:rPr>
        <w:t>) ble predikert til nærmeste sentroid for å evaluere generaliserbarhet. Silhouette-scorer for trenings- og testdata presenteres i avsnitt 7.4.</w:t>
      </w:r>
    </w:p>
    <w:p>
      <w:pPr>
        <w:spacing w:line="360" w:lineRule="auto"/>
        <w:jc w:val="both"/>
      </w:pPr>
      <w:r>
        <w:rPr>
          <w:rFonts w:ascii="Times New Roman" w:hAnsi="Times New Roman" w:cs="Times New Roman"/>
          <w:b/>
          <w:sz w:val="24"/>
        </w:rPr>
        <w:t>Klyngeprofiler.</w:t>
      </w:r>
      <w:r>
        <w:rPr>
          <w:rFonts w:ascii="Times New Roman" w:hAnsi="Times New Roman" w:cs="Times New Roman"/>
          <w:sz w:val="24"/>
        </w:rPr>
        <w:t xml:space="preserve"> Etter at KMeans-modellen var trent på treningsdataene, ble samtlige 487 artikler med tilstrekkelig data predikert til én av de tre klyngene. Klyngene ble karakterisert langs de tre featuredimensjonene, og én klynge ble identifisert som K\_OVERFØR basert på lavest gjennomsnittlig CV (stabilt forbruksmønster) og høyest gjennomsnittlig artikkelverdi. Figur 10 visualiserer klyngestrukturen i en todimensjonal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Figur 10. K-means klyngeresultat (K = 3): artikler plottet langs z(ln CV) og z(ln verdi), farge etter klynge. K_OVERFØR-klyngen er markert med stjerne (★). Generert med støtte fra Claude.</w:t>
      </w:r>
    </w:p>
    <w:p>
      <w:pPr>
        <w:spacing w:line="360" w:lineRule="auto"/>
        <w:jc w:val="both"/>
      </w:pPr>
      <w:r>
        <w:rPr>
          <w:rFonts w:ascii="Times New Roman" w:hAnsi="Times New Roman" w:cs="Times New Roman"/>
          <w:sz w:val="24"/>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Figur 11. Klyngeprofiler for K-means (K=3): gjennomsnittlig z-score per feature per klynge. K\_OVERFØR-klyngen (grønn) kjennetegnes av lav CV og høy verdi. Generert med støtte fra Claude.</w:t>
      </w:r>
    </w:p>
    <w:p>
      <w:pPr>
        <w:spacing w:line="360" w:lineRule="auto"/>
        <w:jc w:val="both"/>
      </w:pPr>
      <w:r>
        <w:rPr>
          <w:rFonts w:ascii="Times New Roman" w:hAnsi="Times New Roman" w:cs="Times New Roman"/>
          <w:sz w:val="24"/>
        </w:rPr>
        <w:t xml:space="preserve">Figur 11 bekrefter at K\_OVERFØR-klyngen har den laveste CV-verdien og den høyeste verdiprofilen.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jc w:val="both"/>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jc w:val="both"/>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jc w:val="both"/>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12. Regelmotor og besparelsesanalyse: fordeling av HVFS-anbefalinger (venstre) og estimert årlig EOQ-besparelse under tre realiseringsscenarier (høyre). 709 artikler, WERKS 3300 / LGORT 3001. Generert med støtte fra Claude.</w:t>
      </w:r>
    </w:p>
    <w:p>
      <w:pPr>
        <w:spacing w:line="360" w:lineRule="auto"/>
        <w:jc w:val="both"/>
      </w:pPr>
      <w:r>
        <w:rPr>
          <w:rFonts w:ascii="Times New Roman" w:hAnsi="Times New Roman" w:cs="Times New Roman"/>
          <w:sz w:val="24"/>
        </w:rPr>
        <w:t>Figur 12 viser den endelige fordelingen av HVFS-anbefalinger og estimert besparelse.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p>
      <w:r>
        <w:rPr>
          <w:rFonts w:ascii="Times New Roman" w:hAnsi="Times New Roman"/>
          <w:b/>
          <w:sz w:val="20"/>
        </w:rPr>
        <w:t>Tabell 8</w:t>
      </w:r>
    </w:p>
    <w:p>
      <w:r>
        <w:rPr>
          <w:rFonts w:ascii="Times New Roman" w:hAnsi="Times New Roman"/>
          <w:i/>
          <w:sz w:val="20"/>
        </w:rPr>
        <w:t>ABC-fordeling: antall artikler og verdiandel per klasse (n = 709)</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b w:val="0"/>
                <w:sz w:val="22"/>
              </w:rPr>
              <w:t>A</w:t>
            </w:r>
          </w:p>
        </w:tc>
        <w:tc>
          <w:tcPr>
            <w:tcW w:type="dxa" w:w="2192"/>
          </w:tcPr>
          <w:p>
            <w:r/>
            <w:r>
              <w:rPr>
                <w:rFonts w:ascii="Times New Roman" w:hAnsi="Times New Roman"/>
                <w:b w:val="0"/>
                <w:sz w:val="22"/>
              </w:rPr>
              <w:t>182</w:t>
            </w:r>
          </w:p>
        </w:tc>
        <w:tc>
          <w:tcPr>
            <w:tcW w:type="dxa" w:w="2192"/>
          </w:tcPr>
          <w:p>
            <w:r/>
            <w:r>
              <w:rPr>
                <w:rFonts w:ascii="Times New Roman" w:hAnsi="Times New Roman"/>
                <w:b w:val="0"/>
                <w:sz w:val="22"/>
              </w:rPr>
              <w:t>25,7 %</w:t>
            </w:r>
          </w:p>
        </w:tc>
        <w:tc>
          <w:tcPr>
            <w:tcW w:type="dxa" w:w="2192"/>
          </w:tcPr>
          <w:p>
            <w:r/>
            <w:r>
              <w:rPr>
                <w:rFonts w:ascii="Times New Roman" w:hAnsi="Times New Roman"/>
                <w:b w:val="0"/>
                <w:sz w:val="22"/>
              </w:rPr>
              <w:t>0–80 %</w:t>
            </w:r>
          </w:p>
        </w:tc>
      </w:tr>
      <w:tr>
        <w:tc>
          <w:tcPr>
            <w:tcW w:type="dxa" w:w="2192"/>
          </w:tcPr>
          <w:p>
            <w:r/>
            <w:r>
              <w:rPr>
                <w:rFonts w:ascii="Times New Roman" w:hAnsi="Times New Roman"/>
                <w:b w:val="0"/>
                <w:sz w:val="22"/>
              </w:rPr>
              <w:t>B</w:t>
            </w:r>
          </w:p>
        </w:tc>
        <w:tc>
          <w:tcPr>
            <w:tcW w:type="dxa" w:w="2192"/>
          </w:tcPr>
          <w:p>
            <w:r/>
            <w:r>
              <w:rPr>
                <w:rFonts w:ascii="Times New Roman" w:hAnsi="Times New Roman"/>
                <w:b w:val="0"/>
                <w:sz w:val="22"/>
              </w:rPr>
              <w:t>184</w:t>
            </w:r>
          </w:p>
        </w:tc>
        <w:tc>
          <w:tcPr>
            <w:tcW w:type="dxa" w:w="2192"/>
          </w:tcPr>
          <w:p>
            <w:r/>
            <w:r>
              <w:rPr>
                <w:rFonts w:ascii="Times New Roman" w:hAnsi="Times New Roman"/>
                <w:b w:val="0"/>
                <w:sz w:val="22"/>
              </w:rPr>
              <w:t>26,0 %</w:t>
            </w:r>
          </w:p>
        </w:tc>
        <w:tc>
          <w:tcPr>
            <w:tcW w:type="dxa" w:w="2192"/>
          </w:tcPr>
          <w:p>
            <w:r/>
            <w:r>
              <w:rPr>
                <w:rFonts w:ascii="Times New Roman" w:hAnsi="Times New Roman"/>
                <w:b w:val="0"/>
                <w:sz w:val="22"/>
              </w:rPr>
              <w:t>80–95 %</w:t>
            </w:r>
          </w:p>
        </w:tc>
      </w:tr>
      <w:tr>
        <w:tc>
          <w:tcPr>
            <w:tcW w:type="dxa" w:w="2192"/>
          </w:tcPr>
          <w:p>
            <w:r/>
            <w:r>
              <w:rPr>
                <w:rFonts w:ascii="Times New Roman" w:hAnsi="Times New Roman"/>
                <w:b w:val="0"/>
                <w:sz w:val="22"/>
              </w:rPr>
              <w:t>C</w:t>
            </w:r>
          </w:p>
        </w:tc>
        <w:tc>
          <w:tcPr>
            <w:tcW w:type="dxa" w:w="2192"/>
          </w:tcPr>
          <w:p>
            <w:r/>
            <w:r>
              <w:rPr>
                <w:rFonts w:ascii="Times New Roman" w:hAnsi="Times New Roman"/>
                <w:b w:val="0"/>
                <w:sz w:val="22"/>
              </w:rPr>
              <w:t>338</w:t>
            </w:r>
          </w:p>
        </w:tc>
        <w:tc>
          <w:tcPr>
            <w:tcW w:type="dxa" w:w="2192"/>
          </w:tcPr>
          <w:p>
            <w:r/>
            <w:r>
              <w:rPr>
                <w:rFonts w:ascii="Times New Roman" w:hAnsi="Times New Roman"/>
                <w:b w:val="0"/>
                <w:sz w:val="22"/>
              </w:rPr>
              <w:t>47,7 %</w:t>
            </w:r>
          </w:p>
        </w:tc>
        <w:tc>
          <w:tcPr>
            <w:tcW w:type="dxa" w:w="2192"/>
          </w:tcPr>
          <w:p>
            <w:r/>
            <w:r>
              <w:rPr>
                <w:rFonts w:ascii="Times New Roman" w:hAnsi="Times New Roman"/>
                <w:b w:val="0"/>
                <w:sz w:val="22"/>
              </w:rPr>
              <w:t>95–100 %</w:t>
            </w:r>
          </w:p>
        </w:tc>
      </w:tr>
      <w:tr>
        <w:tc>
          <w:tcPr>
            <w:tcW w:type="dxa" w:w="2192"/>
          </w:tcPr>
          <w:p>
            <w:r/>
            <w:r>
              <w:rPr>
                <w:rFonts w:ascii="Times New Roman" w:hAnsi="Times New Roman"/>
                <w:b w:val="0"/>
                <w:sz w:val="22"/>
              </w:rPr>
              <w:t>Ikke klassifisert</w:t>
            </w:r>
          </w:p>
        </w:tc>
        <w:tc>
          <w:tcPr>
            <w:tcW w:type="dxa" w:w="2192"/>
          </w:tcPr>
          <w:p>
            <w:r/>
            <w:r>
              <w:rPr>
                <w:rFonts w:ascii="Times New Roman" w:hAnsi="Times New Roman"/>
                <w:b w:val="0"/>
                <w:sz w:val="22"/>
              </w:rPr>
              <w:t>5</w:t>
            </w:r>
          </w:p>
        </w:tc>
        <w:tc>
          <w:tcPr>
            <w:tcW w:type="dxa" w:w="2192"/>
          </w:tcPr>
          <w:p>
            <w:r/>
            <w:r>
              <w:rPr>
                <w:rFonts w:ascii="Times New Roman" w:hAnsi="Times New Roman"/>
                <w:b w:val="0"/>
                <w:sz w:val="22"/>
              </w:rPr>
              <w:t>0,7 %</w:t>
            </w:r>
          </w:p>
        </w:tc>
        <w:tc>
          <w:tcPr>
            <w:tcW w:type="dxa" w:w="2192"/>
          </w:tcPr>
          <w:p>
            <w:r/>
            <w:r>
              <w:rPr>
                <w:rFonts w:ascii="Times New Roman" w:hAnsi="Times New Roman"/>
                <w:b w:val="0"/>
                <w:sz w:val="22"/>
              </w:rPr>
              <w:t>Mangler verdidata</w:t>
            </w:r>
          </w:p>
        </w:tc>
      </w:tr>
      <w:tr>
        <w:tc>
          <w:tcPr>
            <w:tcW w:type="dxa" w:w="2192"/>
          </w:tcPr>
          <w:p>
            <w:r/>
            <w:r>
              <w:rPr>
                <w:rFonts w:ascii="Times New Roman" w:hAnsi="Times New Roman"/>
                <w:b/>
                <w:sz w:val="22"/>
              </w:rPr>
              <w:t>Totalt</w:t>
            </w:r>
          </w:p>
        </w:tc>
        <w:tc>
          <w:tcPr>
            <w:tcW w:type="dxa" w:w="2192"/>
          </w:tcPr>
          <w:p>
            <w:r/>
            <w:r>
              <w:rPr>
                <w:rFonts w:ascii="Times New Roman" w:hAnsi="Times New Roman"/>
                <w:b/>
                <w:sz w:val="22"/>
              </w:rPr>
              <w:t>709</w:t>
            </w:r>
          </w:p>
        </w:tc>
        <w:tc>
          <w:tcPr>
            <w:tcW w:type="dxa" w:w="2192"/>
          </w:tcPr>
          <w:p>
            <w:r/>
            <w:r>
              <w:rPr>
                <w:rFonts w:ascii="Times New Roman" w:hAnsi="Times New Roman"/>
                <w:b/>
                <w:sz w:val="22"/>
              </w:rPr>
              <w:t>100 %</w:t>
            </w:r>
          </w:p>
        </w:tc>
        <w:tc>
          <w:tcPr>
            <w:tcW w:type="dxa" w:w="2192"/>
          </w:tcPr>
          <w:p>
            <w:r/>
          </w:p>
        </w:tc>
      </w:tr>
    </w:tbl>
    <w:p>
      <w:pPr>
        <w:spacing w:line="360" w:lineRule="auto"/>
        <w:jc w:val="both"/>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pPr>
        <w:pStyle w:val="Overskrift2"/>
      </w:pPr>
      <w:r>
        <w:rPr>
          <w:rFonts w:ascii="Times New Roman" w:hAnsi="Times New Roman"/>
          <w:color w:val="000000"/>
          <w:sz w:val="32"/>
        </w:rPr>
        <w:t>7.2 XYZ-resultater</w:t>
      </w:r>
    </w:p>
    <w:p>
      <w:r>
        <w:rPr>
          <w:rFonts w:ascii="Times New Roman" w:hAnsi="Times New Roman"/>
          <w:b/>
          <w:sz w:val="20"/>
        </w:rPr>
        <w:t>Tabell 9</w:t>
      </w:r>
    </w:p>
    <w:p>
      <w:r>
        <w:rPr>
          <w:rFonts w:ascii="Times New Roman" w:hAnsi="Times New Roman"/>
          <w:i/>
          <w:sz w:val="20"/>
        </w:rPr>
        <w:t>XYZ-fordeling: antall artikler per klasse (n = 687 klassifiserte)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b w:val="0"/>
                <w:sz w:val="22"/>
              </w:rPr>
              <w:t>X (stabilt)</w:t>
            </w:r>
          </w:p>
        </w:tc>
        <w:tc>
          <w:tcPr>
            <w:tcW w:type="dxa" w:w="2192"/>
          </w:tcPr>
          <w:p>
            <w:r/>
            <w:r>
              <w:rPr>
                <w:rFonts w:ascii="Times New Roman" w:hAnsi="Times New Roman"/>
                <w:b w:val="0"/>
                <w:sz w:val="22"/>
              </w:rPr>
              <w:t>CV &lt; 0,5</w:t>
            </w:r>
          </w:p>
        </w:tc>
        <w:tc>
          <w:tcPr>
            <w:tcW w:type="dxa" w:w="2192"/>
          </w:tcPr>
          <w:p>
            <w:r/>
            <w:r>
              <w:rPr>
                <w:rFonts w:ascii="Times New Roman" w:hAnsi="Times New Roman"/>
                <w:b w:val="0"/>
                <w:sz w:val="22"/>
              </w:rPr>
              <w:t>350</w:t>
            </w:r>
          </w:p>
        </w:tc>
        <w:tc>
          <w:tcPr>
            <w:tcW w:type="dxa" w:w="2192"/>
          </w:tcPr>
          <w:p>
            <w:r/>
            <w:r>
              <w:rPr>
                <w:rFonts w:ascii="Times New Roman" w:hAnsi="Times New Roman"/>
                <w:b w:val="0"/>
                <w:sz w:val="22"/>
              </w:rPr>
              <w:t>50,9 %</w:t>
            </w:r>
          </w:p>
        </w:tc>
      </w:tr>
      <w:tr>
        <w:tc>
          <w:tcPr>
            <w:tcW w:type="dxa" w:w="2192"/>
          </w:tcPr>
          <w:p>
            <w:r/>
            <w:r>
              <w:rPr>
                <w:rFonts w:ascii="Times New Roman" w:hAnsi="Times New Roman"/>
                <w:b w:val="0"/>
                <w:sz w:val="22"/>
              </w:rPr>
              <w:t>Y (moderat)</w:t>
            </w:r>
          </w:p>
        </w:tc>
        <w:tc>
          <w:tcPr>
            <w:tcW w:type="dxa" w:w="2192"/>
          </w:tcPr>
          <w:p>
            <w:r/>
            <w:r>
              <w:rPr>
                <w:rFonts w:ascii="Times New Roman" w:hAnsi="Times New Roman"/>
                <w:b w:val="0"/>
                <w:sz w:val="22"/>
              </w:rPr>
              <w:t>0,5 ≤ CV &lt; 1,0</w:t>
            </w:r>
          </w:p>
        </w:tc>
        <w:tc>
          <w:tcPr>
            <w:tcW w:type="dxa" w:w="2192"/>
          </w:tcPr>
          <w:p>
            <w:r/>
            <w:r>
              <w:rPr>
                <w:rFonts w:ascii="Times New Roman" w:hAnsi="Times New Roman"/>
                <w:b w:val="0"/>
                <w:sz w:val="22"/>
              </w:rPr>
              <w:t>193</w:t>
            </w:r>
          </w:p>
        </w:tc>
        <w:tc>
          <w:tcPr>
            <w:tcW w:type="dxa" w:w="2192"/>
          </w:tcPr>
          <w:p>
            <w:r/>
            <w:r>
              <w:rPr>
                <w:rFonts w:ascii="Times New Roman" w:hAnsi="Times New Roman"/>
                <w:b w:val="0"/>
                <w:sz w:val="22"/>
              </w:rPr>
              <w:t>28,1 %</w:t>
            </w:r>
          </w:p>
        </w:tc>
      </w:tr>
      <w:tr>
        <w:tc>
          <w:tcPr>
            <w:tcW w:type="dxa" w:w="2192"/>
          </w:tcPr>
          <w:p>
            <w:r/>
            <w:r>
              <w:rPr>
                <w:rFonts w:ascii="Times New Roman" w:hAnsi="Times New Roman"/>
                <w:b w:val="0"/>
                <w:sz w:val="22"/>
              </w:rPr>
              <w:t>Z (uregelmessig)</w:t>
            </w:r>
          </w:p>
        </w:tc>
        <w:tc>
          <w:tcPr>
            <w:tcW w:type="dxa" w:w="2192"/>
          </w:tcPr>
          <w:p>
            <w:r/>
            <w:r>
              <w:rPr>
                <w:rFonts w:ascii="Times New Roman" w:hAnsi="Times New Roman"/>
                <w:b w:val="0"/>
                <w:sz w:val="22"/>
              </w:rPr>
              <w:t>CV ≥ 1,0</w:t>
            </w:r>
          </w:p>
        </w:tc>
        <w:tc>
          <w:tcPr>
            <w:tcW w:type="dxa" w:w="2192"/>
          </w:tcPr>
          <w:p>
            <w:r/>
            <w:r>
              <w:rPr>
                <w:rFonts w:ascii="Times New Roman" w:hAnsi="Times New Roman"/>
                <w:b w:val="0"/>
                <w:sz w:val="22"/>
              </w:rPr>
              <w:t>144</w:t>
            </w:r>
          </w:p>
        </w:tc>
        <w:tc>
          <w:tcPr>
            <w:tcW w:type="dxa" w:w="2192"/>
          </w:tcPr>
          <w:p>
            <w:r/>
            <w:r>
              <w:rPr>
                <w:rFonts w:ascii="Times New Roman" w:hAnsi="Times New Roman"/>
                <w:b w:val="0"/>
                <w:sz w:val="22"/>
              </w:rPr>
              <w:t>20,9 %</w:t>
            </w:r>
          </w:p>
        </w:tc>
      </w:tr>
      <w:tr>
        <w:tc>
          <w:tcPr>
            <w:tcW w:type="dxa" w:w="2192"/>
          </w:tcPr>
          <w:p>
            <w:r/>
            <w:r>
              <w:rPr>
                <w:rFonts w:ascii="Times New Roman" w:hAnsi="Times New Roman"/>
                <w:b w:val="0"/>
                <w:sz w:val="22"/>
              </w:rPr>
              <w:t>Ikke klassifisert</w:t>
            </w:r>
          </w:p>
        </w:tc>
        <w:tc>
          <w:tcPr>
            <w:tcW w:type="dxa" w:w="2192"/>
          </w:tcPr>
          <w:p>
            <w:r/>
            <w:r>
              <w:rPr>
                <w:rFonts w:ascii="Times New Roman" w:hAnsi="Times New Roman"/>
                <w:b w:val="0"/>
                <w:sz w:val="22"/>
              </w:rPr>
              <w:t>–</w:t>
            </w:r>
          </w:p>
        </w:tc>
        <w:tc>
          <w:tcPr>
            <w:tcW w:type="dxa" w:w="2192"/>
          </w:tcPr>
          <w:p>
            <w:r/>
            <w:r>
              <w:rPr>
                <w:rFonts w:ascii="Times New Roman" w:hAnsi="Times New Roman"/>
                <w:b w:val="0"/>
                <w:sz w:val="22"/>
              </w:rPr>
              <w:t>22</w:t>
            </w:r>
          </w:p>
        </w:tc>
        <w:tc>
          <w:tcPr>
            <w:tcW w:type="dxa" w:w="2192"/>
          </w:tcPr>
          <w:p>
            <w:r/>
            <w:r>
              <w:rPr>
                <w:rFonts w:ascii="Times New Roman" w:hAnsi="Times New Roman"/>
                <w:b w:val="0"/>
                <w:sz w:val="22"/>
              </w:rPr>
              <w:t>–</w:t>
            </w:r>
          </w:p>
        </w:tc>
      </w:tr>
    </w:tbl>
    <w:p>
      <w:pPr>
        <w:spacing w:line="360" w:lineRule="auto"/>
        <w:jc w:val="both"/>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tyder på at en vesentlig andel av sortimentet har den forbruksstabiliteten som APL-leveransemodellen forutsetter (Fragapane et al., 2019). De 22 ikke-klassifiserte artiklene mangler tilstrekkelig forbrukshistorikk i MSEG (færre enn tre måneder med registrert forbruk) og er ekskludert fra XYZ-analysen for å unngå misvisende CV-estimater.</w:t>
      </w:r>
    </w:p>
    <w:p>
      <w:pPr>
        <w:spacing w:line="360" w:lineRule="auto"/>
        <w:jc w:val="both"/>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kan forklares av tre faktorer: (1) ZZXYZ oppdateres via MRP-kjøring og kan basere seg på andre CV-terskler enn litteraturens standard (0,5/1,0); (2) beregningsperioden for ZZXYZ er ikke nødvendigvis sammenfallende med denne studiens 24-månedersperiode; og (3) feltet oppdateres kun for artikler med aktiv MRP-kjøring. Divergensen er mest slående for Z-kategorien: SAP klassifiserer kun 7 artikler som Z, mens den beregnede klassifiseringen gir 79 – SAP fanger dermed nesten ingen artikler med uregelmessig forbruk. Dette understreker at SAP-feltets ZZXYZ ikke er systematisk oppdatert og bør erstattes med beregnet CV-klasse som primær XYZ-indikator. ABC/XYZ-kryssmatrisen er presentert som Figur 7 i kapittel 6; fullstendige celleantall er gjengitt der.</w:t>
      </w:r>
    </w:p>
    <w:p>
      <w:r>
        <w:rPr>
          <w:rFonts w:ascii="Times New Roman" w:hAnsi="Times New Roman"/>
          <w:b/>
          <w:sz w:val="20"/>
        </w:rPr>
        <w:t>Tabell 10</w:t>
      </w:r>
    </w:p>
    <w:p>
      <w:r>
        <w:rPr>
          <w:rFonts w:ascii="Times New Roman" w:hAnsi="Times New Roman"/>
          <w:i/>
          <w:sz w:val="20"/>
        </w:rPr>
        <w:t>SAP ZZXYZ-validering: samsvar mellom systemklasse og beregnet CV-klasse (n = 375 artikler med data i begge kilder)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b w:val="0"/>
                <w:sz w:val="22"/>
              </w:rPr>
              <w:t>SAP X</w:t>
            </w:r>
          </w:p>
        </w:tc>
        <w:tc>
          <w:tcPr>
            <w:tcW w:type="dxa" w:w="1754"/>
          </w:tcPr>
          <w:p>
            <w:r/>
            <w:r>
              <w:rPr>
                <w:rFonts w:ascii="Times New Roman" w:hAnsi="Times New Roman"/>
                <w:b/>
                <w:sz w:val="22"/>
              </w:rPr>
              <w:t>94</w:t>
            </w:r>
          </w:p>
        </w:tc>
        <w:tc>
          <w:tcPr>
            <w:tcW w:type="dxa" w:w="1754"/>
          </w:tcPr>
          <w:p>
            <w:r/>
            <w:r>
              <w:rPr>
                <w:rFonts w:ascii="Times New Roman" w:hAnsi="Times New Roman"/>
                <w:b w:val="0"/>
                <w:sz w:val="22"/>
              </w:rPr>
              <w:t>65</w:t>
            </w:r>
          </w:p>
        </w:tc>
        <w:tc>
          <w:tcPr>
            <w:tcW w:type="dxa" w:w="1754"/>
          </w:tcPr>
          <w:p>
            <w:r/>
            <w:r>
              <w:rPr>
                <w:rFonts w:ascii="Times New Roman" w:hAnsi="Times New Roman"/>
                <w:b w:val="0"/>
                <w:sz w:val="22"/>
              </w:rPr>
              <w:t>59</w:t>
            </w:r>
          </w:p>
        </w:tc>
        <w:tc>
          <w:tcPr>
            <w:tcW w:type="dxa" w:w="1754"/>
          </w:tcPr>
          <w:p>
            <w:r/>
            <w:r>
              <w:rPr>
                <w:rFonts w:ascii="Times New Roman" w:hAnsi="Times New Roman"/>
                <w:b w:val="0"/>
                <w:sz w:val="22"/>
              </w:rPr>
              <w:t>218</w:t>
            </w:r>
          </w:p>
        </w:tc>
      </w:tr>
      <w:tr>
        <w:tc>
          <w:tcPr>
            <w:tcW w:type="dxa" w:w="1754"/>
          </w:tcPr>
          <w:p>
            <w:r/>
            <w:r>
              <w:rPr>
                <w:rFonts w:ascii="Times New Roman" w:hAnsi="Times New Roman"/>
                <w:b w:val="0"/>
                <w:sz w:val="22"/>
              </w:rPr>
              <w:t>SAP Y</w:t>
            </w:r>
          </w:p>
        </w:tc>
        <w:tc>
          <w:tcPr>
            <w:tcW w:type="dxa" w:w="1754"/>
          </w:tcPr>
          <w:p>
            <w:r/>
            <w:r>
              <w:rPr>
                <w:rFonts w:ascii="Times New Roman" w:hAnsi="Times New Roman"/>
                <w:b w:val="0"/>
                <w:sz w:val="22"/>
              </w:rPr>
              <w:t>99</w:t>
            </w:r>
          </w:p>
        </w:tc>
        <w:tc>
          <w:tcPr>
            <w:tcW w:type="dxa" w:w="1754"/>
          </w:tcPr>
          <w:p>
            <w:r/>
            <w:r>
              <w:rPr>
                <w:rFonts w:ascii="Times New Roman" w:hAnsi="Times New Roman"/>
                <w:b/>
                <w:sz w:val="22"/>
              </w:rPr>
              <w:t>31</w:t>
            </w:r>
          </w:p>
        </w:tc>
        <w:tc>
          <w:tcPr>
            <w:tcW w:type="dxa" w:w="1754"/>
          </w:tcPr>
          <w:p>
            <w:r/>
            <w:r>
              <w:rPr>
                <w:rFonts w:ascii="Times New Roman" w:hAnsi="Times New Roman"/>
                <w:b w:val="0"/>
                <w:sz w:val="22"/>
              </w:rPr>
              <w:t>20</w:t>
            </w:r>
          </w:p>
        </w:tc>
        <w:tc>
          <w:tcPr>
            <w:tcW w:type="dxa" w:w="1754"/>
          </w:tcPr>
          <w:p>
            <w:r/>
            <w:r>
              <w:rPr>
                <w:rFonts w:ascii="Times New Roman" w:hAnsi="Times New Roman"/>
                <w:b w:val="0"/>
                <w:sz w:val="22"/>
              </w:rPr>
              <w:t>150</w:t>
            </w:r>
          </w:p>
        </w:tc>
      </w:tr>
      <w:tr>
        <w:tc>
          <w:tcPr>
            <w:tcW w:type="dxa" w:w="1754"/>
          </w:tcPr>
          <w:p>
            <w:r/>
            <w:r>
              <w:rPr>
                <w:rFonts w:ascii="Times New Roman" w:hAnsi="Times New Roman"/>
                <w:b w:val="0"/>
                <w:sz w:val="22"/>
              </w:rPr>
              <w:t>SAP Z</w:t>
            </w:r>
          </w:p>
        </w:tc>
        <w:tc>
          <w:tcPr>
            <w:tcW w:type="dxa" w:w="1754"/>
          </w:tcPr>
          <w:p>
            <w:r/>
            <w:r>
              <w:rPr>
                <w:rFonts w:ascii="Times New Roman" w:hAnsi="Times New Roman"/>
                <w:b w:val="0"/>
                <w:sz w:val="22"/>
              </w:rPr>
              <w:t>6</w:t>
            </w:r>
          </w:p>
        </w:tc>
        <w:tc>
          <w:tcPr>
            <w:tcW w:type="dxa" w:w="1754"/>
          </w:tcPr>
          <w:p>
            <w:r/>
            <w:r>
              <w:rPr>
                <w:rFonts w:ascii="Times New Roman" w:hAnsi="Times New Roman"/>
                <w:b w:val="0"/>
                <w:sz w:val="22"/>
              </w:rPr>
              <w:t>1</w:t>
            </w:r>
          </w:p>
        </w:tc>
        <w:tc>
          <w:tcPr>
            <w:tcW w:type="dxa" w:w="1754"/>
          </w:tcPr>
          <w:p>
            <w:r/>
            <w:r>
              <w:rPr>
                <w:rFonts w:ascii="Times New Roman" w:hAnsi="Times New Roman"/>
                <w:b/>
                <w:sz w:val="22"/>
              </w:rPr>
              <w:t>0</w:t>
            </w:r>
          </w:p>
        </w:tc>
        <w:tc>
          <w:tcPr>
            <w:tcW w:type="dxa" w:w="1754"/>
          </w:tcPr>
          <w:p>
            <w:r/>
            <w:r>
              <w:rPr>
                <w:rFonts w:ascii="Times New Roman" w:hAnsi="Times New Roman"/>
                <w:b w:val="0"/>
                <w:sz w:val="22"/>
              </w:rPr>
              <w:t>7</w:t>
            </w:r>
          </w:p>
        </w:tc>
      </w:tr>
      <w:tr>
        <w:tc>
          <w:tcPr>
            <w:tcW w:type="dxa" w:w="1754"/>
          </w:tcPr>
          <w:p>
            <w:r/>
            <w:r>
              <w:rPr>
                <w:rFonts w:ascii="Times New Roman" w:hAnsi="Times New Roman"/>
                <w:b/>
                <w:sz w:val="22"/>
              </w:rPr>
              <w:t>Totalt samsvar</w:t>
            </w:r>
          </w:p>
        </w:tc>
        <w:tc>
          <w:tcPr>
            <w:tcW w:type="dxa" w:w="1754"/>
          </w:tcPr>
          <w:p>
            <w:r/>
          </w:p>
        </w:tc>
        <w:tc>
          <w:tcPr>
            <w:tcW w:type="dxa" w:w="1754"/>
          </w:tcPr>
          <w:p>
            <w:r/>
          </w:p>
        </w:tc>
        <w:tc>
          <w:tcPr>
            <w:tcW w:type="dxa" w:w="1754"/>
          </w:tcPr>
          <w:p>
            <w:r/>
          </w:p>
        </w:tc>
        <w:tc>
          <w:tcPr>
            <w:tcW w:type="dxa" w:w="1754"/>
          </w:tcPr>
          <w:p>
            <w:r/>
            <w:r>
              <w:rPr>
                <w:rFonts w:ascii="Times New Roman" w:hAnsi="Times New Roman"/>
                <w:b/>
                <w:sz w:val="22"/>
              </w:rPr>
              <w:t>125 / 375 (33 %)</w:t>
            </w:r>
          </w:p>
        </w:tc>
      </w:tr>
    </w:tbl>
    <w:p>
      <w:pPr>
        <w:pStyle w:val="Overskrift2"/>
      </w:pPr>
      <w:r>
        <w:rPr>
          <w:rFonts w:ascii="Times New Roman" w:hAnsi="Times New Roman"/>
          <w:color w:val="000000"/>
          <w:sz w:val="32"/>
        </w:rPr>
        <w:t>7.3 EOQ-avviksresultater</w:t>
      </w:r>
    </w:p>
    <w:p>
      <w:r>
        <w:rPr>
          <w:rFonts w:ascii="Times New Roman" w:hAnsi="Times New Roman"/>
          <w:b/>
          <w:sz w:val="20"/>
        </w:rPr>
        <w:t>Tabell 11</w:t>
      </w:r>
    </w:p>
    <w:p>
      <w:r>
        <w:rPr>
          <w:rFonts w:ascii="Times New Roman" w:hAnsi="Times New Roman"/>
          <w:i/>
          <w:sz w:val="20"/>
        </w:rPr>
        <w:t>EOQ-avviksresultater: fordeling av artikler etter ordrefrekvensavvik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b w:val="0"/>
                <w:sz w:val="22"/>
              </w:rPr>
              <w:t>FOR_MANGE_ORDRER</w:t>
            </w:r>
          </w:p>
        </w:tc>
        <w:tc>
          <w:tcPr>
            <w:tcW w:type="dxa" w:w="2192"/>
          </w:tcPr>
          <w:p>
            <w:r/>
            <w:r>
              <w:rPr>
                <w:rFonts w:ascii="Times New Roman" w:hAnsi="Times New Roman"/>
                <w:b w:val="0"/>
                <w:sz w:val="22"/>
              </w:rPr>
              <w:t>FREQ_AVVIK &gt; 0,5</w:t>
            </w:r>
          </w:p>
        </w:tc>
        <w:tc>
          <w:tcPr>
            <w:tcW w:type="dxa" w:w="2192"/>
          </w:tcPr>
          <w:p>
            <w:r/>
            <w:r>
              <w:rPr>
                <w:rFonts w:ascii="Times New Roman" w:hAnsi="Times New Roman"/>
                <w:b w:val="0"/>
                <w:sz w:val="22"/>
              </w:rPr>
              <w:t>356</w:t>
            </w:r>
          </w:p>
        </w:tc>
        <w:tc>
          <w:tcPr>
            <w:tcW w:type="dxa" w:w="2192"/>
          </w:tcPr>
          <w:p>
            <w:r/>
            <w:r>
              <w:rPr>
                <w:rFonts w:ascii="Times New Roman" w:hAnsi="Times New Roman"/>
                <w:b w:val="0"/>
                <w:sz w:val="22"/>
              </w:rPr>
              <w:t>73,1 %</w:t>
            </w:r>
          </w:p>
        </w:tc>
      </w:tr>
      <w:tr>
        <w:tc>
          <w:tcPr>
            <w:tcW w:type="dxa" w:w="2192"/>
          </w:tcPr>
          <w:p>
            <w:r/>
            <w:r>
              <w:rPr>
                <w:rFonts w:ascii="Times New Roman" w:hAnsi="Times New Roman"/>
                <w:b w:val="0"/>
                <w:sz w:val="22"/>
              </w:rPr>
              <w:t>OK</w:t>
            </w:r>
          </w:p>
        </w:tc>
        <w:tc>
          <w:tcPr>
            <w:tcW w:type="dxa" w:w="2192"/>
          </w:tcPr>
          <w:p>
            <w:r/>
            <w:r>
              <w:rPr>
                <w:rFonts w:ascii="Times New Roman" w:hAnsi="Times New Roman"/>
                <w:b w:val="0"/>
                <w:sz w:val="22"/>
              </w:rPr>
              <w:t>−0,5 ≤ FREQ_AVVIK ≤ 0,5</w:t>
            </w:r>
          </w:p>
        </w:tc>
        <w:tc>
          <w:tcPr>
            <w:tcW w:type="dxa" w:w="2192"/>
          </w:tcPr>
          <w:p>
            <w:r/>
            <w:r>
              <w:rPr>
                <w:rFonts w:ascii="Times New Roman" w:hAnsi="Times New Roman"/>
                <w:b w:val="0"/>
                <w:sz w:val="22"/>
              </w:rPr>
              <w:t>100</w:t>
            </w:r>
          </w:p>
        </w:tc>
        <w:tc>
          <w:tcPr>
            <w:tcW w:type="dxa" w:w="2192"/>
          </w:tcPr>
          <w:p>
            <w:r/>
            <w:r>
              <w:rPr>
                <w:rFonts w:ascii="Times New Roman" w:hAnsi="Times New Roman"/>
                <w:b w:val="0"/>
                <w:sz w:val="22"/>
              </w:rPr>
              <w:t>20,5 %</w:t>
            </w:r>
          </w:p>
        </w:tc>
      </w:tr>
      <w:tr>
        <w:tc>
          <w:tcPr>
            <w:tcW w:type="dxa" w:w="2192"/>
          </w:tcPr>
          <w:p>
            <w:r/>
            <w:r>
              <w:rPr>
                <w:rFonts w:ascii="Times New Roman" w:hAnsi="Times New Roman"/>
                <w:b w:val="0"/>
                <w:sz w:val="22"/>
              </w:rPr>
              <w:t>FOR_FÅ_ORDRER</w:t>
            </w:r>
          </w:p>
        </w:tc>
        <w:tc>
          <w:tcPr>
            <w:tcW w:type="dxa" w:w="2192"/>
          </w:tcPr>
          <w:p>
            <w:r/>
            <w:r>
              <w:rPr>
                <w:rFonts w:ascii="Times New Roman" w:hAnsi="Times New Roman"/>
                <w:b w:val="0"/>
                <w:sz w:val="22"/>
              </w:rPr>
              <w:t>FREQ_AVVIK &lt; −0,5</w:t>
            </w:r>
          </w:p>
        </w:tc>
        <w:tc>
          <w:tcPr>
            <w:tcW w:type="dxa" w:w="2192"/>
          </w:tcPr>
          <w:p>
            <w:r/>
            <w:r>
              <w:rPr>
                <w:rFonts w:ascii="Times New Roman" w:hAnsi="Times New Roman"/>
                <w:b w:val="0"/>
                <w:sz w:val="22"/>
              </w:rPr>
              <w:t>31</w:t>
            </w:r>
          </w:p>
        </w:tc>
        <w:tc>
          <w:tcPr>
            <w:tcW w:type="dxa" w:w="2192"/>
          </w:tcPr>
          <w:p>
            <w:r/>
            <w:r>
              <w:rPr>
                <w:rFonts w:ascii="Times New Roman" w:hAnsi="Times New Roman"/>
                <w:b w:val="0"/>
                <w:sz w:val="22"/>
              </w:rPr>
              <w:t>6,4 %</w:t>
            </w:r>
          </w:p>
        </w:tc>
      </w:tr>
      <w:tr>
        <w:tc>
          <w:tcPr>
            <w:tcW w:type="dxa" w:w="2192"/>
          </w:tcPr>
          <w:p>
            <w:r/>
            <w:r>
              <w:rPr>
                <w:rFonts w:ascii="Times New Roman" w:hAnsi="Times New Roman"/>
                <w:b/>
                <w:sz w:val="22"/>
              </w:rPr>
              <w:t>Totalt analysert</w:t>
            </w:r>
          </w:p>
        </w:tc>
        <w:tc>
          <w:tcPr>
            <w:tcW w:type="dxa" w:w="2192"/>
          </w:tcPr>
          <w:p>
            <w:r/>
          </w:p>
        </w:tc>
        <w:tc>
          <w:tcPr>
            <w:tcW w:type="dxa" w:w="2192"/>
          </w:tcPr>
          <w:p>
            <w:r/>
            <w:r>
              <w:rPr>
                <w:rFonts w:ascii="Times New Roman" w:hAnsi="Times New Roman"/>
                <w:b/>
                <w:sz w:val="22"/>
              </w:rPr>
              <w:t>487</w:t>
            </w:r>
          </w:p>
        </w:tc>
        <w:tc>
          <w:tcPr>
            <w:tcW w:type="dxa" w:w="2192"/>
          </w:tcPr>
          <w:p>
            <w:r/>
            <w:r>
              <w:rPr>
                <w:rFonts w:ascii="Times New Roman" w:hAnsi="Times New Roman"/>
                <w:b/>
                <w:sz w:val="22"/>
              </w:rPr>
              <w:t>100 %</w:t>
            </w:r>
          </w:p>
        </w:tc>
      </w:tr>
      <w:tr>
        <w:tc>
          <w:tcPr>
            <w:tcW w:type="dxa" w:w="2192"/>
          </w:tcPr>
          <w:p>
            <w:r/>
            <w:r>
              <w:rPr>
                <w:rFonts w:ascii="Times New Roman" w:hAnsi="Times New Roman"/>
                <w:b w:val="0"/>
                <w:sz w:val="22"/>
              </w:rPr>
              <w:t>Samlet ΔTC (alle 487)</w:t>
            </w:r>
          </w:p>
        </w:tc>
        <w:tc>
          <w:tcPr>
            <w:tcW w:type="dxa" w:w="2192"/>
          </w:tcPr>
          <w:p>
            <w:r/>
          </w:p>
        </w:tc>
        <w:tc>
          <w:tcPr>
            <w:tcW w:type="dxa" w:w="2192"/>
          </w:tcPr>
          <w:p>
            <w:r/>
            <w:r>
              <w:rPr>
                <w:rFonts w:ascii="Times New Roman" w:hAnsi="Times New Roman"/>
                <w:b/>
                <w:sz w:val="22"/>
              </w:rPr>
              <w:t>kr 2 333 441 / år</w:t>
            </w:r>
          </w:p>
        </w:tc>
        <w:tc>
          <w:tcPr>
            <w:tcW w:type="dxa" w:w="2192"/>
          </w:tcPr>
          <w:p>
            <w:r/>
          </w:p>
        </w:tc>
      </w:tr>
    </w:tbl>
    <w:p>
      <w:pPr>
        <w:spacing w:line="360" w:lineRule="auto"/>
        <w:jc w:val="both"/>
      </w:pPr>
      <w:r>
        <w:rPr>
          <w:rFonts w:ascii="Times New Roman" w:hAnsi="Times New Roman" w:cs="Times New Roman"/>
          <w:sz w:val="24"/>
        </w:rPr>
        <w:t>Av de 487 artiklene med tilstrekkelig data for EOQ-beregning har 356 artikler (73,1 %) en faktisk ordrefrekvens som overskrider EOQ-optimal frekvens med mer enn 50 % (</w:t>
      </w:r>
      <m:oMath>
        <m:sSub>
          <m:e>
            <m:r>
              <m:t>f</m:t>
            </m:r>
          </m:e>
          <m:sub>
            <m:r>
              <m:rPr>
                <m:nor/>
              </m:rPr>
              <m:t>obs</m:t>
            </m:r>
          </m:sub>
        </m:sSub>
        <m:r>
          <m:t>&gt;1</m:t>
        </m:r>
        <m:r>
          <m:t>,</m:t>
        </m:r>
        <m:r>
          <m:t>5·</m:t>
        </m:r>
        <m:sSup>
          <m:e>
            <m:r>
              <m:t>f</m:t>
            </m:r>
          </m:e>
          <m:sup>
            <m:r>
              <m:t>*</m:t>
            </m:r>
          </m:sup>
        </m:sSup>
      </m:oMath>
      <w:r>
        <w:rPr>
          <w:rFonts w:ascii="Times New Roman" w:hAnsi="Times New Roman" w:cs="Times New Roman"/>
          <w:sz w:val="24"/>
        </w:rPr>
        <w:t xml:space="preserve">), og er klassifisert som FOR\_MANGE\_ORDRER. 100 artikler (20,5 %) opererer innenfor akseptabelt avvik (OK), og 31 artikler (6,4 %) bestiller sjeldnere enn EOQ-optimalt (FOR\_FÅ\_ORDRER). Den høye andelen FOR\_MANGE\_ORDRER indikerer at bestillingspraksisen ved LGORT 3001 avviker vesentlig fra EOQ-optimalt nivå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jc w:val="both"/>
      </w:pPr>
      <w:r>
        <w:rPr>
          <w:rFonts w:ascii="Times New Roman" w:hAnsi="Times New Roman" w:cs="Times New Roman"/>
          <w:sz w:val="24"/>
        </w:rPr>
        <w:t xml:space="preserve">Det samlede teoretiske totalkostnadsavviket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realiserbare besparelsespotensialet, da kun artikler i OVERFØR\_HVFS-kategorien inngår i besparelsesberegningen (se avsnitt 7.6). Fordelingen av FREQ\_AVVIK er illustrert i Figur 8 i kapittel 6.</w:t>
      </w:r>
    </w:p>
    <w:p>
      <w:pPr>
        <w:pStyle w:val="Overskrift2"/>
      </w:pPr>
      <w:r>
        <w:rPr>
          <w:rFonts w:ascii="Times New Roman" w:hAnsi="Times New Roman"/>
          <w:color w:val="000000"/>
          <w:sz w:val="32"/>
        </w:rPr>
        <w:t>7.4 K-means klyngeresultater</w:t>
      </w:r>
    </w:p>
    <w:p>
      <w:pPr>
        <w:spacing w:line="360" w:lineRule="auto"/>
        <w:jc w:val="both"/>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n=389</m:t>
        </m:r>
      </m:oMath>
      <w:r>
        <w:rPr>
          <w:rFonts w:ascii="Times New Roman" w:hAnsi="Times New Roman" w:cs="Times New Roman"/>
          <w:sz w:val="24"/>
        </w:rPr>
        <w:t>) var 0,383, og på testdataene (</w:t>
      </w:r>
      <m:oMath>
        <m:r>
          <m:t>n=98</m:t>
        </m:r>
      </m:oMath>
      <w:r>
        <w:rPr>
          <w:rFonts w:ascii="Times New Roman" w:hAnsi="Times New Roman" w:cs="Times New Roman"/>
          <w:sz w:val="24"/>
        </w:rPr>
        <w:t>) var 0,368. Differansen mellom trenings- og testresultat er 0,015, noe som ikke indikerer vesentlig overtilpasning. Klyngeprofiler er presentert i Tabell 12.</w:t>
      </w:r>
    </w:p>
    <w:p>
      <w:r>
        <w:rPr>
          <w:rFonts w:ascii="Times New Roman" w:hAnsi="Times New Roman"/>
          <w:b/>
          <w:sz w:val="20"/>
        </w:rPr>
        <w:t>Tabell 12</w:t>
      </w:r>
    </w:p>
    <w:p>
      <w:r>
        <w:rPr>
          <w:rFonts w:ascii="Times New Roman" w:hAnsi="Times New Roman"/>
          <w:i/>
          <w:sz w:val="20"/>
        </w:rPr>
        <w:t>K-means klyngeprofiler: gjennomsnittsverdier per klynge for de tre featurene (K = 3,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b w:val="0"/>
                <w:sz w:val="22"/>
              </w:rPr>
              <w:t>1</w:t>
            </w:r>
          </w:p>
        </w:tc>
        <w:tc>
          <w:tcPr>
            <w:tcW w:type="dxa" w:w="1461"/>
          </w:tcPr>
          <w:p>
            <w:r/>
            <w:r>
              <w:rPr>
                <w:rFonts w:ascii="Times New Roman" w:hAnsi="Times New Roman"/>
                <w:b w:val="0"/>
                <w:sz w:val="22"/>
              </w:rPr>
              <w:t>31</w:t>
            </w:r>
          </w:p>
        </w:tc>
        <w:tc>
          <w:tcPr>
            <w:tcW w:type="dxa" w:w="1461"/>
          </w:tcPr>
          <w:p>
            <w:r/>
            <w:r>
              <w:rPr>
                <w:rFonts w:ascii="Times New Roman" w:hAnsi="Times New Roman"/>
                <w:b w:val="0"/>
                <w:sz w:val="22"/>
              </w:rPr>
              <w:t>1,05</w:t>
            </w:r>
          </w:p>
        </w:tc>
        <w:tc>
          <w:tcPr>
            <w:tcW w:type="dxa" w:w="1461"/>
          </w:tcPr>
          <w:p>
            <w:r/>
            <w:r>
              <w:rPr>
                <w:rFonts w:ascii="Times New Roman" w:hAnsi="Times New Roman"/>
                <w:b w:val="0"/>
                <w:sz w:val="22"/>
              </w:rPr>
              <w:t>150</w:t>
            </w:r>
          </w:p>
        </w:tc>
        <w:tc>
          <w:tcPr>
            <w:tcW w:type="dxa" w:w="1461"/>
          </w:tcPr>
          <w:p>
            <w:r/>
            <w:r>
              <w:rPr>
                <w:rFonts w:ascii="Times New Roman" w:hAnsi="Times New Roman"/>
                <w:b w:val="0"/>
                <w:sz w:val="22"/>
              </w:rPr>
              <w:t>4 999</w:t>
            </w:r>
          </w:p>
        </w:tc>
        <w:tc>
          <w:tcPr>
            <w:tcW w:type="dxa" w:w="1461"/>
          </w:tcPr>
          <w:p>
            <w:r/>
            <w:r>
              <w:rPr>
                <w:rFonts w:ascii="Times New Roman" w:hAnsi="Times New Roman"/>
                <w:b w:val="0"/>
                <w:sz w:val="22"/>
              </w:rPr>
              <w:t>Lav verdi, høy variasjon</w:t>
            </w:r>
          </w:p>
        </w:tc>
      </w:tr>
      <w:tr>
        <w:tc>
          <w:tcPr>
            <w:tcW w:type="dxa" w:w="1461"/>
          </w:tcPr>
          <w:p>
            <w:r/>
            <w:r>
              <w:rPr>
                <w:rFonts w:ascii="Times New Roman" w:hAnsi="Times New Roman"/>
                <w:b w:val="0"/>
                <w:sz w:val="22"/>
              </w:rPr>
              <w:t>2</w:t>
            </w:r>
          </w:p>
        </w:tc>
        <w:tc>
          <w:tcPr>
            <w:tcW w:type="dxa" w:w="1461"/>
          </w:tcPr>
          <w:p>
            <w:r/>
            <w:r>
              <w:rPr>
                <w:rFonts w:ascii="Times New Roman" w:hAnsi="Times New Roman"/>
                <w:b w:val="0"/>
                <w:sz w:val="22"/>
              </w:rPr>
              <w:t>175</w:t>
            </w:r>
          </w:p>
        </w:tc>
        <w:tc>
          <w:tcPr>
            <w:tcW w:type="dxa" w:w="1461"/>
          </w:tcPr>
          <w:p>
            <w:r/>
            <w:r>
              <w:rPr>
                <w:rFonts w:ascii="Times New Roman" w:hAnsi="Times New Roman"/>
                <w:b w:val="0"/>
                <w:sz w:val="22"/>
              </w:rPr>
              <w:t>1,59</w:t>
            </w:r>
          </w:p>
        </w:tc>
        <w:tc>
          <w:tcPr>
            <w:tcW w:type="dxa" w:w="1461"/>
          </w:tcPr>
          <w:p>
            <w:r/>
            <w:r>
              <w:rPr>
                <w:rFonts w:ascii="Times New Roman" w:hAnsi="Times New Roman"/>
                <w:b w:val="0"/>
                <w:sz w:val="22"/>
              </w:rPr>
              <w:t>79 658</w:t>
            </w:r>
          </w:p>
        </w:tc>
        <w:tc>
          <w:tcPr>
            <w:tcW w:type="dxa" w:w="1461"/>
          </w:tcPr>
          <w:p>
            <w:r/>
            <w:r>
              <w:rPr>
                <w:rFonts w:ascii="Times New Roman" w:hAnsi="Times New Roman"/>
                <w:b w:val="0"/>
                <w:sz w:val="22"/>
              </w:rPr>
              <w:t>1 199</w:t>
            </w:r>
          </w:p>
        </w:tc>
        <w:tc>
          <w:tcPr>
            <w:tcW w:type="dxa" w:w="1461"/>
          </w:tcPr>
          <w:p>
            <w:r/>
            <w:r>
              <w:rPr>
                <w:rFonts w:ascii="Times New Roman" w:hAnsi="Times New Roman"/>
                <w:b w:val="0"/>
                <w:sz w:val="22"/>
              </w:rPr>
              <w:t>Middels verdi, svært variabelt</w:t>
            </w:r>
          </w:p>
        </w:tc>
      </w:tr>
      <w:tr>
        <w:tc>
          <w:tcPr>
            <w:tcW w:type="dxa" w:w="1461"/>
          </w:tcPr>
          <w:p>
            <w:r/>
            <w:r>
              <w:rPr>
                <w:rFonts w:ascii="Times New Roman" w:hAnsi="Times New Roman"/>
                <w:b w:val="0"/>
                <w:sz w:val="22"/>
              </w:rPr>
              <w:t>3 (K_OVERFØR)</w:t>
            </w:r>
          </w:p>
        </w:tc>
        <w:tc>
          <w:tcPr>
            <w:tcW w:type="dxa" w:w="1461"/>
          </w:tcPr>
          <w:p>
            <w:r/>
            <w:r>
              <w:rPr>
                <w:rFonts w:ascii="Times New Roman" w:hAnsi="Times New Roman"/>
                <w:b w:val="0"/>
                <w:sz w:val="22"/>
              </w:rPr>
              <w:t>281</w:t>
            </w:r>
          </w:p>
        </w:tc>
        <w:tc>
          <w:tcPr>
            <w:tcW w:type="dxa" w:w="1461"/>
          </w:tcPr>
          <w:p>
            <w:r/>
            <w:r>
              <w:rPr>
                <w:rFonts w:ascii="Times New Roman" w:hAnsi="Times New Roman"/>
                <w:b w:val="0"/>
                <w:sz w:val="22"/>
              </w:rPr>
              <w:t>0,47</w:t>
            </w:r>
          </w:p>
        </w:tc>
        <w:tc>
          <w:tcPr>
            <w:tcW w:type="dxa" w:w="1461"/>
          </w:tcPr>
          <w:p>
            <w:r/>
            <w:r>
              <w:rPr>
                <w:rFonts w:ascii="Times New Roman" w:hAnsi="Times New Roman"/>
                <w:b w:val="0"/>
                <w:sz w:val="22"/>
              </w:rPr>
              <w:t>167 267</w:t>
            </w:r>
          </w:p>
        </w:tc>
        <w:tc>
          <w:tcPr>
            <w:tcW w:type="dxa" w:w="1461"/>
          </w:tcPr>
          <w:p>
            <w:r/>
            <w:r>
              <w:rPr>
                <w:rFonts w:ascii="Times New Roman" w:hAnsi="Times New Roman"/>
                <w:b w:val="0"/>
                <w:sz w:val="22"/>
              </w:rPr>
              <w:t>7 005</w:t>
            </w:r>
          </w:p>
        </w:tc>
        <w:tc>
          <w:tcPr>
            <w:tcW w:type="dxa" w:w="1461"/>
          </w:tcPr>
          <w:p>
            <w:r/>
            <w:r>
              <w:rPr>
                <w:rFonts w:ascii="Times New Roman" w:hAnsi="Times New Roman"/>
                <w:b w:val="0"/>
                <w:sz w:val="22"/>
              </w:rPr>
              <w:t>Høy verdi, stabilt, høyt avvik</w:t>
            </w:r>
          </w:p>
        </w:tc>
      </w:tr>
    </w:tbl>
    <w:p>
      <w:pPr>
        <w:spacing w:line="360" w:lineRule="auto"/>
        <w:jc w:val="both"/>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jc w:val="both"/>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pPr>
        <w:pStyle w:val="Overskrift2"/>
      </w:pPr>
      <w:r>
        <w:rPr>
          <w:rFonts w:ascii="Times New Roman" w:hAnsi="Times New Roman"/>
          <w:color w:val="000000"/>
          <w:sz w:val="32"/>
        </w:rPr>
        <w:t>7.5 Regelmotor og HVFS-anbefalinger</w:t>
      </w:r>
    </w:p>
    <w:p>
      <w:pPr>
        <w:spacing w:line="360" w:lineRule="auto"/>
        <w:jc w:val="both"/>
      </w:pPr>
      <w:r>
        <w:rPr>
          <w:rFonts w:ascii="Times New Roman" w:hAnsi="Times New Roman" w:cs="Times New Roman"/>
          <w:sz w:val="24"/>
        </w:rPr>
        <w:t>Regelmotoren produserte en anbefaling for samtlige 709 artikler. Fordelingen per anbefalingskategori er presentert i Tabell 13, og fordelingen per regel R1–R8 i Tabell 14.</w:t>
      </w:r>
    </w:p>
    <w:p>
      <w:r>
        <w:rPr>
          <w:rFonts w:ascii="Times New Roman" w:hAnsi="Times New Roman"/>
          <w:b/>
          <w:sz w:val="20"/>
        </w:rPr>
        <w:t>Tabell 13</w:t>
      </w:r>
    </w:p>
    <w:p>
      <w:r>
        <w:rPr>
          <w:rFonts w:ascii="Times New Roman" w:hAnsi="Times New Roman"/>
          <w:i/>
          <w:sz w:val="20"/>
        </w:rPr>
        <w:t>HVFS-anbefalinger fra regelmotor: fordeling per kategori (n = 709,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145</w:t>
            </w:r>
          </w:p>
        </w:tc>
        <w:tc>
          <w:tcPr>
            <w:tcW w:type="dxa" w:w="2192"/>
          </w:tcPr>
          <w:p>
            <w:r/>
            <w:r>
              <w:rPr>
                <w:rFonts w:ascii="Times New Roman" w:hAnsi="Times New Roman"/>
                <w:b w:val="0"/>
                <w:sz w:val="22"/>
              </w:rPr>
              <w:t>20,5 %</w:t>
            </w:r>
          </w:p>
        </w:tc>
        <w:tc>
          <w:tcPr>
            <w:tcW w:type="dxa" w:w="2192"/>
          </w:tcPr>
          <w:p>
            <w:r/>
            <w:r>
              <w:rPr>
                <w:rFonts w:ascii="Times New Roman" w:hAnsi="Times New Roman"/>
                <w:b w:val="0"/>
                <w:sz w:val="22"/>
              </w:rPr>
              <w:t>Anbefales overført til HVFS</w:t>
            </w:r>
          </w:p>
        </w:tc>
      </w:tr>
      <w:tr>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257</w:t>
            </w:r>
          </w:p>
        </w:tc>
        <w:tc>
          <w:tcPr>
            <w:tcW w:type="dxa" w:w="2192"/>
          </w:tcPr>
          <w:p>
            <w:r/>
            <w:r>
              <w:rPr>
                <w:rFonts w:ascii="Times New Roman" w:hAnsi="Times New Roman"/>
                <w:b w:val="0"/>
                <w:sz w:val="22"/>
              </w:rPr>
              <w:t>36,2 %</w:t>
            </w:r>
          </w:p>
        </w:tc>
        <w:tc>
          <w:tcPr>
            <w:tcW w:type="dxa" w:w="2192"/>
          </w:tcPr>
          <w:p>
            <w:r/>
            <w:r>
              <w:rPr>
                <w:rFonts w:ascii="Times New Roman" w:hAnsi="Times New Roman"/>
                <w:b w:val="0"/>
                <w:sz w:val="22"/>
              </w:rPr>
              <w:t>Beholdes lokalt (Z-klasse eller CY)</w:t>
            </w:r>
          </w:p>
        </w:tc>
      </w:tr>
      <w:tr>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284</w:t>
            </w:r>
          </w:p>
        </w:tc>
        <w:tc>
          <w:tcPr>
            <w:tcW w:type="dxa" w:w="2192"/>
          </w:tcPr>
          <w:p>
            <w:r/>
            <w:r>
              <w:rPr>
                <w:rFonts w:ascii="Times New Roman" w:hAnsi="Times New Roman"/>
                <w:b w:val="0"/>
                <w:sz w:val="22"/>
              </w:rPr>
              <w:t>40,1 %</w:t>
            </w:r>
          </w:p>
        </w:tc>
        <w:tc>
          <w:tcPr>
            <w:tcW w:type="dxa" w:w="2192"/>
          </w:tcPr>
          <w:p>
            <w:r/>
            <w:r>
              <w:rPr>
                <w:rFonts w:ascii="Times New Roman" w:hAnsi="Times New Roman"/>
                <w:b w:val="0"/>
                <w:sz w:val="22"/>
              </w:rPr>
              <w:t>Krever manuell vurdering</w:t>
            </w:r>
          </w:p>
        </w:tc>
      </w:tr>
      <w:tr>
        <w:tc>
          <w:tcPr>
            <w:tcW w:type="dxa" w:w="2192"/>
          </w:tcPr>
          <w:p>
            <w:r/>
            <w:r>
              <w:rPr>
                <w:rFonts w:ascii="Times New Roman" w:hAnsi="Times New Roman"/>
                <w:b w:val="0"/>
                <w:sz w:val="22"/>
              </w:rPr>
              <w:t>MANGLER_DATA</w:t>
            </w:r>
          </w:p>
        </w:tc>
        <w:tc>
          <w:tcPr>
            <w:tcW w:type="dxa" w:w="2192"/>
          </w:tcPr>
          <w:p>
            <w:r/>
            <w:r>
              <w:rPr>
                <w:rFonts w:ascii="Times New Roman" w:hAnsi="Times New Roman"/>
                <w:b w:val="0"/>
                <w:sz w:val="22"/>
              </w:rPr>
              <w:t>23</w:t>
            </w:r>
          </w:p>
        </w:tc>
        <w:tc>
          <w:tcPr>
            <w:tcW w:type="dxa" w:w="2192"/>
          </w:tcPr>
          <w:p>
            <w:r/>
            <w:r>
              <w:rPr>
                <w:rFonts w:ascii="Times New Roman" w:hAnsi="Times New Roman"/>
                <w:b w:val="0"/>
                <w:sz w:val="22"/>
              </w:rPr>
              <w:t>3,2 %</w:t>
            </w:r>
          </w:p>
        </w:tc>
        <w:tc>
          <w:tcPr>
            <w:tcW w:type="dxa" w:w="2192"/>
          </w:tcPr>
          <w:p>
            <w:r/>
            <w:r>
              <w:rPr>
                <w:rFonts w:ascii="Times New Roman" w:hAnsi="Times New Roman"/>
                <w:b w:val="0"/>
                <w:sz w:val="22"/>
              </w:rPr>
              <w:t>Utilstrekkelig data for klassifisering</w:t>
            </w:r>
          </w:p>
        </w:tc>
      </w:tr>
      <w:tr>
        <w:tc>
          <w:tcPr>
            <w:tcW w:type="dxa" w:w="2192"/>
          </w:tcPr>
          <w:p>
            <w:r/>
            <w:r>
              <w:rPr>
                <w:rFonts w:ascii="Times New Roman" w:hAnsi="Times New Roman"/>
                <w:b/>
                <w:sz w:val="22"/>
              </w:rPr>
              <w:t>Totalt</w:t>
            </w:r>
          </w:p>
        </w:tc>
        <w:tc>
          <w:tcPr>
            <w:tcW w:type="dxa" w:w="2192"/>
          </w:tcPr>
          <w:p>
            <w:r/>
            <w:r>
              <w:rPr>
                <w:rFonts w:ascii="Times New Roman" w:hAnsi="Times New Roman"/>
                <w:b/>
                <w:sz w:val="22"/>
              </w:rPr>
              <w:t>709</w:t>
            </w:r>
          </w:p>
        </w:tc>
        <w:tc>
          <w:tcPr>
            <w:tcW w:type="dxa" w:w="2192"/>
          </w:tcPr>
          <w:p>
            <w:r/>
            <w:r>
              <w:rPr>
                <w:rFonts w:ascii="Times New Roman" w:hAnsi="Times New Roman"/>
                <w:b/>
                <w:sz w:val="22"/>
              </w:rPr>
              <w:t>100 %</w:t>
            </w:r>
          </w:p>
        </w:tc>
        <w:tc>
          <w:tcPr>
            <w:tcW w:type="dxa" w:w="2192"/>
          </w:tcPr>
          <w:p>
            <w:r/>
          </w:p>
        </w:tc>
      </w:tr>
    </w:tbl>
    <w:p>
      <w:r>
        <w:rPr>
          <w:rFonts w:ascii="Times New Roman" w:hAnsi="Times New Roman"/>
          <w:b/>
          <w:sz w:val="20"/>
        </w:rPr>
        <w:t>Tabell 14</w:t>
      </w:r>
    </w:p>
    <w:p>
      <w:r>
        <w:rPr>
          <w:rFonts w:ascii="Times New Roman" w:hAnsi="Times New Roman"/>
          <w:i/>
          <w:sz w:val="20"/>
        </w:rPr>
        <w:t>Regelmotor R1–R8: antall artikler per regel (n = 709)</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Regel</w:t>
            </w:r>
          </w:p>
        </w:tc>
        <w:tc>
          <w:tcPr>
            <w:tcW w:type="dxa" w:w="1754"/>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1754"/>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1754"/>
            <w:tcBorders>
              <w:top w:val="single" w:sz="8" w:space="0" w:color="000000"/>
              <w:bottom w:val="single" w:sz="4" w:space="0" w:color="000000"/>
              <w:left w:val="nil"/>
              <w:right w:val="nil"/>
            </w:tcBorders>
          </w:tcPr>
          <w:p>
            <w:r/>
            <w:r>
              <w:rPr>
                <w:rFonts w:ascii="Times New Roman" w:hAnsi="Times New Roman"/>
                <w:b/>
                <w:sz w:val="22"/>
              </w:rPr>
              <w:t>Antall</w:t>
            </w:r>
          </w:p>
        </w:tc>
        <w:tc>
          <w:tcPr>
            <w:tcW w:type="dxa" w:w="1754"/>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1754"/>
          </w:tcPr>
          <w:p>
            <w:r/>
            <w:r>
              <w:rPr>
                <w:rFonts w:ascii="Times New Roman" w:hAnsi="Times New Roman"/>
                <w:b w:val="0"/>
                <w:sz w:val="22"/>
              </w:rPr>
              <w:t>R1</w:t>
            </w:r>
          </w:p>
        </w:tc>
        <w:tc>
          <w:tcPr>
            <w:tcW w:type="dxa" w:w="1754"/>
          </w:tcPr>
          <w:p>
            <w:r/>
            <w:r>
              <w:rPr>
                <w:rFonts w:ascii="Times New Roman" w:hAnsi="Times New Roman"/>
                <w:b w:val="0"/>
                <w:sz w:val="22"/>
              </w:rPr>
              <w:t>XYZ = Z</w:t>
            </w:r>
          </w:p>
        </w:tc>
        <w:tc>
          <w:tcPr>
            <w:tcW w:type="dxa" w:w="1754"/>
          </w:tcPr>
          <w:p>
            <w:r/>
            <w:r>
              <w:rPr>
                <w:rFonts w:ascii="Times New Roman" w:hAnsi="Times New Roman"/>
                <w:b w:val="0"/>
                <w:sz w:val="22"/>
              </w:rPr>
              <w:t>BEHOLD_LOKALT</w:t>
            </w:r>
          </w:p>
        </w:tc>
        <w:tc>
          <w:tcPr>
            <w:tcW w:type="dxa" w:w="1754"/>
          </w:tcPr>
          <w:p>
            <w:r/>
            <w:r>
              <w:rPr>
                <w:rFonts w:ascii="Times New Roman" w:hAnsi="Times New Roman"/>
                <w:b w:val="0"/>
                <w:sz w:val="22"/>
              </w:rPr>
              <w:t>143</w:t>
            </w:r>
          </w:p>
        </w:tc>
        <w:tc>
          <w:tcPr>
            <w:tcW w:type="dxa" w:w="1754"/>
          </w:tcPr>
          <w:p>
            <w:r/>
            <w:r>
              <w:rPr>
                <w:rFonts w:ascii="Times New Roman" w:hAnsi="Times New Roman"/>
                <w:b w:val="0"/>
                <w:sz w:val="22"/>
              </w:rPr>
              <w:t>20,2 %</w:t>
            </w:r>
          </w:p>
        </w:tc>
      </w:tr>
      <w:tr>
        <w:tc>
          <w:tcPr>
            <w:tcW w:type="dxa" w:w="1754"/>
          </w:tcPr>
          <w:p>
            <w:r/>
            <w:r>
              <w:rPr>
                <w:rFonts w:ascii="Times New Roman" w:hAnsi="Times New Roman"/>
                <w:b w:val="0"/>
                <w:sz w:val="22"/>
              </w:rPr>
              <w:t>R2</w:t>
            </w:r>
          </w:p>
        </w:tc>
        <w:tc>
          <w:tcPr>
            <w:tcW w:type="dxa" w:w="1754"/>
          </w:tcPr>
          <w:p>
            <w:r/>
            <w:r>
              <w:rPr>
                <w:rFonts w:ascii="Times New Roman" w:hAnsi="Times New Roman"/>
                <w:b w:val="0"/>
                <w:sz w:val="22"/>
              </w:rPr>
              <w:t>ABC = C og XYZ = Y</w:t>
            </w:r>
          </w:p>
        </w:tc>
        <w:tc>
          <w:tcPr>
            <w:tcW w:type="dxa" w:w="1754"/>
          </w:tcPr>
          <w:p>
            <w:r/>
            <w:r>
              <w:rPr>
                <w:rFonts w:ascii="Times New Roman" w:hAnsi="Times New Roman"/>
                <w:b w:val="0"/>
                <w:sz w:val="22"/>
              </w:rPr>
              <w:t>BEHOLD_LOKALT</w:t>
            </w:r>
          </w:p>
        </w:tc>
        <w:tc>
          <w:tcPr>
            <w:tcW w:type="dxa" w:w="1754"/>
          </w:tcPr>
          <w:p>
            <w:r/>
            <w:r>
              <w:rPr>
                <w:rFonts w:ascii="Times New Roman" w:hAnsi="Times New Roman"/>
                <w:b w:val="0"/>
                <w:sz w:val="22"/>
              </w:rPr>
              <w:t>114</w:t>
            </w:r>
          </w:p>
        </w:tc>
        <w:tc>
          <w:tcPr>
            <w:tcW w:type="dxa" w:w="1754"/>
          </w:tcPr>
          <w:p>
            <w:r/>
            <w:r>
              <w:rPr>
                <w:rFonts w:ascii="Times New Roman" w:hAnsi="Times New Roman"/>
                <w:b w:val="0"/>
                <w:sz w:val="22"/>
              </w:rPr>
              <w:t>16,1 %</w:t>
            </w:r>
          </w:p>
        </w:tc>
      </w:tr>
      <w:tr>
        <w:tc>
          <w:tcPr>
            <w:tcW w:type="dxa" w:w="1754"/>
          </w:tcPr>
          <w:p>
            <w:r/>
            <w:r>
              <w:rPr>
                <w:rFonts w:ascii="Times New Roman" w:hAnsi="Times New Roman"/>
                <w:b w:val="0"/>
                <w:sz w:val="22"/>
              </w:rPr>
              <w:t>R3</w:t>
            </w:r>
          </w:p>
        </w:tc>
        <w:tc>
          <w:tcPr>
            <w:tcW w:type="dxa" w:w="1754"/>
          </w:tcPr>
          <w:p>
            <w:r/>
            <w:r>
              <w:rPr>
                <w:rFonts w:ascii="Times New Roman" w:hAnsi="Times New Roman"/>
                <w:b w:val="0"/>
                <w:sz w:val="22"/>
              </w:rPr>
              <w:t>A/B + X + FOR_MANGE_ORDRER</w:t>
            </w:r>
          </w:p>
        </w:tc>
        <w:tc>
          <w:tcPr>
            <w:tcW w:type="dxa" w:w="1754"/>
          </w:tcPr>
          <w:p>
            <w:r/>
            <w:r>
              <w:rPr>
                <w:rFonts w:ascii="Times New Roman" w:hAnsi="Times New Roman"/>
                <w:b w:val="0"/>
                <w:sz w:val="22"/>
              </w:rPr>
              <w:t>OVERFØR_HVFS</w:t>
            </w:r>
          </w:p>
        </w:tc>
        <w:tc>
          <w:tcPr>
            <w:tcW w:type="dxa" w:w="1754"/>
          </w:tcPr>
          <w:p>
            <w:r/>
            <w:r>
              <w:rPr>
                <w:rFonts w:ascii="Times New Roman" w:hAnsi="Times New Roman"/>
                <w:b w:val="0"/>
                <w:sz w:val="22"/>
              </w:rPr>
              <w:t>71</w:t>
            </w:r>
          </w:p>
        </w:tc>
        <w:tc>
          <w:tcPr>
            <w:tcW w:type="dxa" w:w="1754"/>
          </w:tcPr>
          <w:p>
            <w:r/>
            <w:r>
              <w:rPr>
                <w:rFonts w:ascii="Times New Roman" w:hAnsi="Times New Roman"/>
                <w:b w:val="0"/>
                <w:sz w:val="22"/>
              </w:rPr>
              <w:t>10,0 %</w:t>
            </w:r>
          </w:p>
        </w:tc>
      </w:tr>
      <w:tr>
        <w:tc>
          <w:tcPr>
            <w:tcW w:type="dxa" w:w="1754"/>
          </w:tcPr>
          <w:p>
            <w:r/>
            <w:r>
              <w:rPr>
                <w:rFonts w:ascii="Times New Roman" w:hAnsi="Times New Roman"/>
                <w:b w:val="0"/>
                <w:sz w:val="22"/>
              </w:rPr>
              <w:t>R4</w:t>
            </w:r>
          </w:p>
        </w:tc>
        <w:tc>
          <w:tcPr>
            <w:tcW w:type="dxa" w:w="1754"/>
          </w:tcPr>
          <w:p>
            <w:r/>
            <w:r>
              <w:rPr>
                <w:rFonts w:ascii="Times New Roman" w:hAnsi="Times New Roman"/>
                <w:b w:val="0"/>
                <w:sz w:val="22"/>
              </w:rPr>
              <w:t>A/B + X + K_OVERFØR</w:t>
            </w:r>
          </w:p>
        </w:tc>
        <w:tc>
          <w:tcPr>
            <w:tcW w:type="dxa" w:w="1754"/>
          </w:tcPr>
          <w:p>
            <w:r/>
            <w:r>
              <w:rPr>
                <w:rFonts w:ascii="Times New Roman" w:hAnsi="Times New Roman"/>
                <w:b w:val="0"/>
                <w:sz w:val="22"/>
              </w:rPr>
              <w:t>OVERFØR_HVFS</w:t>
            </w:r>
          </w:p>
        </w:tc>
        <w:tc>
          <w:tcPr>
            <w:tcW w:type="dxa" w:w="1754"/>
          </w:tcPr>
          <w:p>
            <w:r/>
            <w:r>
              <w:rPr>
                <w:rFonts w:ascii="Times New Roman" w:hAnsi="Times New Roman"/>
                <w:b w:val="0"/>
                <w:sz w:val="22"/>
              </w:rPr>
              <w:t>18</w:t>
            </w:r>
          </w:p>
        </w:tc>
        <w:tc>
          <w:tcPr>
            <w:tcW w:type="dxa" w:w="1754"/>
          </w:tcPr>
          <w:p>
            <w:r/>
            <w:r>
              <w:rPr>
                <w:rFonts w:ascii="Times New Roman" w:hAnsi="Times New Roman"/>
                <w:b w:val="0"/>
                <w:sz w:val="22"/>
              </w:rPr>
              <w:t>2,5 %</w:t>
            </w:r>
          </w:p>
        </w:tc>
      </w:tr>
      <w:tr>
        <w:tc>
          <w:tcPr>
            <w:tcW w:type="dxa" w:w="1754"/>
          </w:tcPr>
          <w:p>
            <w:r/>
            <w:r>
              <w:rPr>
                <w:rFonts w:ascii="Times New Roman" w:hAnsi="Times New Roman"/>
                <w:b w:val="0"/>
                <w:sz w:val="22"/>
              </w:rPr>
              <w:t>R5</w:t>
            </w:r>
          </w:p>
        </w:tc>
        <w:tc>
          <w:tcPr>
            <w:tcW w:type="dxa" w:w="1754"/>
          </w:tcPr>
          <w:p>
            <w:r/>
            <w:r>
              <w:rPr>
                <w:rFonts w:ascii="Times New Roman" w:hAnsi="Times New Roman"/>
                <w:b w:val="0"/>
                <w:sz w:val="22"/>
              </w:rPr>
              <w:t>A/B + Y + K_OVERFØR</w:t>
            </w:r>
          </w:p>
        </w:tc>
        <w:tc>
          <w:tcPr>
            <w:tcW w:type="dxa" w:w="1754"/>
          </w:tcPr>
          <w:p>
            <w:r/>
            <w:r>
              <w:rPr>
                <w:rFonts w:ascii="Times New Roman" w:hAnsi="Times New Roman"/>
                <w:b w:val="0"/>
                <w:sz w:val="22"/>
              </w:rPr>
              <w:t>OVERFØR_HVFS</w:t>
            </w:r>
          </w:p>
        </w:tc>
        <w:tc>
          <w:tcPr>
            <w:tcW w:type="dxa" w:w="1754"/>
          </w:tcPr>
          <w:p>
            <w:r/>
            <w:r>
              <w:rPr>
                <w:rFonts w:ascii="Times New Roman" w:hAnsi="Times New Roman"/>
                <w:b w:val="0"/>
                <w:sz w:val="22"/>
              </w:rPr>
              <w:t>56</w:t>
            </w:r>
          </w:p>
        </w:tc>
        <w:tc>
          <w:tcPr>
            <w:tcW w:type="dxa" w:w="1754"/>
          </w:tcPr>
          <w:p>
            <w:r/>
            <w:r>
              <w:rPr>
                <w:rFonts w:ascii="Times New Roman" w:hAnsi="Times New Roman"/>
                <w:b w:val="0"/>
                <w:sz w:val="22"/>
              </w:rPr>
              <w:t>7,9 %</w:t>
            </w:r>
          </w:p>
        </w:tc>
      </w:tr>
      <w:tr>
        <w:tc>
          <w:tcPr>
            <w:tcW w:type="dxa" w:w="1754"/>
          </w:tcPr>
          <w:p>
            <w:r/>
            <w:r>
              <w:rPr>
                <w:rFonts w:ascii="Times New Roman" w:hAnsi="Times New Roman"/>
                <w:b w:val="0"/>
                <w:sz w:val="22"/>
              </w:rPr>
              <w:t>R6</w:t>
            </w:r>
          </w:p>
        </w:tc>
        <w:tc>
          <w:tcPr>
            <w:tcW w:type="dxa" w:w="1754"/>
          </w:tcPr>
          <w:p>
            <w:r/>
            <w:r>
              <w:rPr>
                <w:rFonts w:ascii="Times New Roman" w:hAnsi="Times New Roman"/>
                <w:b w:val="0"/>
                <w:sz w:val="22"/>
              </w:rPr>
              <w:t>A/B + X (uten K_OVERFØR)</w:t>
            </w:r>
          </w:p>
        </w:tc>
        <w:tc>
          <w:tcPr>
            <w:tcW w:type="dxa" w:w="1754"/>
          </w:tcPr>
          <w:p>
            <w:r/>
            <w:r>
              <w:rPr>
                <w:rFonts w:ascii="Times New Roman" w:hAnsi="Times New Roman"/>
                <w:b w:val="0"/>
                <w:sz w:val="22"/>
              </w:rPr>
              <w:t>VURDER_NÆRMERE</w:t>
            </w:r>
          </w:p>
        </w:tc>
        <w:tc>
          <w:tcPr>
            <w:tcW w:type="dxa" w:w="1754"/>
          </w:tcPr>
          <w:p>
            <w:r/>
            <w:r>
              <w:rPr>
                <w:rFonts w:ascii="Times New Roman" w:hAnsi="Times New Roman"/>
                <w:b w:val="0"/>
                <w:sz w:val="22"/>
              </w:rPr>
              <w:t>160</w:t>
            </w:r>
          </w:p>
        </w:tc>
        <w:tc>
          <w:tcPr>
            <w:tcW w:type="dxa" w:w="1754"/>
          </w:tcPr>
          <w:p>
            <w:r/>
            <w:r>
              <w:rPr>
                <w:rFonts w:ascii="Times New Roman" w:hAnsi="Times New Roman"/>
                <w:b w:val="0"/>
                <w:sz w:val="22"/>
              </w:rPr>
              <w:t>22,6 %</w:t>
            </w:r>
          </w:p>
        </w:tc>
      </w:tr>
      <w:tr>
        <w:tc>
          <w:tcPr>
            <w:tcW w:type="dxa" w:w="1754"/>
          </w:tcPr>
          <w:p>
            <w:r/>
            <w:r>
              <w:rPr>
                <w:rFonts w:ascii="Times New Roman" w:hAnsi="Times New Roman"/>
                <w:b w:val="0"/>
                <w:sz w:val="22"/>
              </w:rPr>
              <w:t>R7</w:t>
            </w:r>
          </w:p>
        </w:tc>
        <w:tc>
          <w:tcPr>
            <w:tcW w:type="dxa" w:w="1754"/>
          </w:tcPr>
          <w:p>
            <w:r/>
            <w:r>
              <w:rPr>
                <w:rFonts w:ascii="Times New Roman" w:hAnsi="Times New Roman"/>
                <w:b w:val="0"/>
                <w:sz w:val="22"/>
              </w:rPr>
              <w:t>A/B + Y (uten K_OVERFØR)</w:t>
            </w:r>
          </w:p>
        </w:tc>
        <w:tc>
          <w:tcPr>
            <w:tcW w:type="dxa" w:w="1754"/>
          </w:tcPr>
          <w:p>
            <w:r/>
            <w:r>
              <w:rPr>
                <w:rFonts w:ascii="Times New Roman" w:hAnsi="Times New Roman"/>
                <w:b w:val="0"/>
                <w:sz w:val="22"/>
              </w:rPr>
              <w:t>VURDER_NÆRMERE</w:t>
            </w:r>
          </w:p>
        </w:tc>
        <w:tc>
          <w:tcPr>
            <w:tcW w:type="dxa" w:w="1754"/>
          </w:tcPr>
          <w:p>
            <w:r/>
            <w:r>
              <w:rPr>
                <w:rFonts w:ascii="Times New Roman" w:hAnsi="Times New Roman"/>
                <w:b w:val="0"/>
                <w:sz w:val="22"/>
              </w:rPr>
              <w:t>23</w:t>
            </w:r>
          </w:p>
        </w:tc>
        <w:tc>
          <w:tcPr>
            <w:tcW w:type="dxa" w:w="1754"/>
          </w:tcPr>
          <w:p>
            <w:r/>
            <w:r>
              <w:rPr>
                <w:rFonts w:ascii="Times New Roman" w:hAnsi="Times New Roman"/>
                <w:b w:val="0"/>
                <w:sz w:val="22"/>
              </w:rPr>
              <w:t>3,2 %</w:t>
            </w:r>
          </w:p>
        </w:tc>
      </w:tr>
      <w:tr>
        <w:tc>
          <w:tcPr>
            <w:tcW w:type="dxa" w:w="1754"/>
          </w:tcPr>
          <w:p>
            <w:r/>
            <w:r>
              <w:rPr>
                <w:rFonts w:ascii="Times New Roman" w:hAnsi="Times New Roman"/>
                <w:b w:val="0"/>
                <w:sz w:val="22"/>
              </w:rPr>
              <w:t>R8</w:t>
            </w:r>
          </w:p>
        </w:tc>
        <w:tc>
          <w:tcPr>
            <w:tcW w:type="dxa" w:w="1754"/>
          </w:tcPr>
          <w:p>
            <w:r/>
            <w:r>
              <w:rPr>
                <w:rFonts w:ascii="Times New Roman" w:hAnsi="Times New Roman"/>
                <w:b w:val="0"/>
                <w:sz w:val="22"/>
              </w:rPr>
              <w:t>Øvrige (inkl. C + X)</w:t>
            </w:r>
          </w:p>
        </w:tc>
        <w:tc>
          <w:tcPr>
            <w:tcW w:type="dxa" w:w="1754"/>
          </w:tcPr>
          <w:p>
            <w:r/>
            <w:r>
              <w:rPr>
                <w:rFonts w:ascii="Times New Roman" w:hAnsi="Times New Roman"/>
                <w:b w:val="0"/>
                <w:sz w:val="22"/>
              </w:rPr>
              <w:t>VURDER_NÆRMERE</w:t>
            </w:r>
          </w:p>
        </w:tc>
        <w:tc>
          <w:tcPr>
            <w:tcW w:type="dxa" w:w="1754"/>
          </w:tcPr>
          <w:p>
            <w:r/>
            <w:r>
              <w:rPr>
                <w:rFonts w:ascii="Times New Roman" w:hAnsi="Times New Roman"/>
                <w:b w:val="0"/>
                <w:sz w:val="22"/>
              </w:rPr>
              <w:t>101</w:t>
            </w:r>
          </w:p>
        </w:tc>
        <w:tc>
          <w:tcPr>
            <w:tcW w:type="dxa" w:w="1754"/>
          </w:tcPr>
          <w:p>
            <w:r/>
            <w:r>
              <w:rPr>
                <w:rFonts w:ascii="Times New Roman" w:hAnsi="Times New Roman"/>
                <w:b w:val="0"/>
                <w:sz w:val="22"/>
              </w:rPr>
              <w:t>14,2 %</w:t>
            </w:r>
          </w:p>
        </w:tc>
      </w:tr>
      <w:tr>
        <w:tc>
          <w:tcPr>
            <w:tcW w:type="dxa" w:w="1754"/>
          </w:tcPr>
          <w:p>
            <w:r/>
            <w:r>
              <w:rPr>
                <w:rFonts w:ascii="Times New Roman" w:hAnsi="Times New Roman"/>
                <w:b w:val="0"/>
                <w:sz w:val="22"/>
              </w:rPr>
              <w:t>–</w:t>
            </w:r>
          </w:p>
        </w:tc>
        <w:tc>
          <w:tcPr>
            <w:tcW w:type="dxa" w:w="1754"/>
          </w:tcPr>
          <w:p>
            <w:r/>
            <w:r>
              <w:rPr>
                <w:rFonts w:ascii="Times New Roman" w:hAnsi="Times New Roman"/>
                <w:b w:val="0"/>
                <w:sz w:val="22"/>
              </w:rPr>
              <w:t>Manglende ABC/XYZ-data</w:t>
            </w:r>
          </w:p>
        </w:tc>
        <w:tc>
          <w:tcPr>
            <w:tcW w:type="dxa" w:w="1754"/>
          </w:tcPr>
          <w:p>
            <w:r/>
            <w:r>
              <w:rPr>
                <w:rFonts w:ascii="Times New Roman" w:hAnsi="Times New Roman"/>
                <w:b w:val="0"/>
                <w:sz w:val="22"/>
              </w:rPr>
              <w:t>MANGLER_DATA</w:t>
            </w:r>
          </w:p>
        </w:tc>
        <w:tc>
          <w:tcPr>
            <w:tcW w:type="dxa" w:w="1754"/>
          </w:tcPr>
          <w:p>
            <w:r/>
            <w:r>
              <w:rPr>
                <w:rFonts w:ascii="Times New Roman" w:hAnsi="Times New Roman"/>
                <w:b w:val="0"/>
                <w:sz w:val="22"/>
              </w:rPr>
              <w:t>23</w:t>
            </w:r>
          </w:p>
        </w:tc>
        <w:tc>
          <w:tcPr>
            <w:tcW w:type="dxa" w:w="1754"/>
          </w:tcPr>
          <w:p>
            <w:r/>
            <w:r>
              <w:rPr>
                <w:rFonts w:ascii="Times New Roman" w:hAnsi="Times New Roman"/>
                <w:b w:val="0"/>
                <w:sz w:val="22"/>
              </w:rPr>
              <w:t>3,2 %</w:t>
            </w:r>
          </w:p>
        </w:tc>
      </w:tr>
      <w:tr>
        <w:tc>
          <w:tcPr>
            <w:tcW w:type="dxa" w:w="1754"/>
          </w:tcPr>
          <w:p>
            <w:r/>
            <w:r>
              <w:rPr>
                <w:rFonts w:ascii="Times New Roman" w:hAnsi="Times New Roman"/>
                <w:b/>
                <w:sz w:val="22"/>
              </w:rPr>
              <w:t>Totalt</w:t>
            </w:r>
          </w:p>
        </w:tc>
        <w:tc>
          <w:tcPr>
            <w:tcW w:type="dxa" w:w="1754"/>
          </w:tcPr>
          <w:p>
            <w:r/>
          </w:p>
        </w:tc>
        <w:tc>
          <w:tcPr>
            <w:tcW w:type="dxa" w:w="1754"/>
          </w:tcPr>
          <w:p>
            <w:r/>
          </w:p>
        </w:tc>
        <w:tc>
          <w:tcPr>
            <w:tcW w:type="dxa" w:w="1754"/>
          </w:tcPr>
          <w:p>
            <w:r/>
            <w:r>
              <w:rPr>
                <w:rFonts w:ascii="Times New Roman" w:hAnsi="Times New Roman"/>
                <w:b/>
                <w:sz w:val="22"/>
              </w:rPr>
              <w:t>709</w:t>
            </w:r>
          </w:p>
        </w:tc>
        <w:tc>
          <w:tcPr>
            <w:tcW w:type="dxa" w:w="1754"/>
          </w:tcPr>
          <w:p>
            <w:r/>
            <w:r>
              <w:rPr>
                <w:rFonts w:ascii="Times New Roman" w:hAnsi="Times New Roman"/>
                <w:b/>
                <w:sz w:val="22"/>
              </w:rPr>
              <w:t>100 %</w:t>
            </w:r>
          </w:p>
        </w:tc>
      </w:tr>
    </w:tbl>
    <w:p>
      <w:pPr>
        <w:spacing w:line="360" w:lineRule="auto"/>
        <w:jc w:val="both"/>
      </w:pPr>
      <w:r>
        <w:rPr>
          <w:rFonts w:ascii="Times New Roman" w:hAnsi="Times New Roman" w:cs="Times New Roman"/>
          <w:sz w:val="24"/>
        </w:rPr>
        <w:t>145 artikler (20,5 %) anbefales overført til HVFS: R3 fanger 71, R4 fanger 18 og R5 fanger 56. Av disse har 117 status FOR\_MANGE\_ORDRER og inngår i besparelsesberegningen i avsnitt 7.6. De resterende 28 artiklene (18 fra R4 og 10 fra R5) inngår ikke i besparelsesgrunnlaget fordi FOR\_MANGE\_ORDRER-flagget ikke er aktivert, men anbefales overført fordi kombinasjonen av ABC/XYZ-profil og K\_OVERFØR-klyngetilhørighet oppfyller APL-egnethetskriteriet, jf. kap. 5.5.</w:t>
      </w:r>
    </w:p>
    <w:p>
      <w:pPr>
        <w:spacing w:line="360" w:lineRule="auto"/>
        <w:jc w:val="both"/>
      </w:pPr>
      <w:r>
        <w:rPr>
          <w:rFonts w:ascii="Times New Roman" w:hAnsi="Times New Roman" w:cs="Times New Roman"/>
          <w:sz w:val="24"/>
        </w:rPr>
        <w:t>257 artikler (36,2 %) beholdes lokalt, primært grunnet Z-klassifisering (R1: 143) eller CY-profil (R2: 114). Z-override (R1) er den enkeltregelen som fanger flest artikler i overføringskategorien – uforutsigbart forbruksmønster er dermed den vanligste kontraindikasjonen mot sentralisering i dette sortimentet. 284 artikler (40,1 %) sendes til manuell vurdering: R6 dominerer med 160 A/B-artikler som har stabilt forbruk men verken FOR\_MANGE\_ORDRER eller K\_OVERFØR-signal, R8 fanger 101 artikler med blandede eller lavverdi-signaler, og R7 fanger 23 A/B-Y-artikler uten klyngesignal. For å gjøre gjennomgangen håndterbar anbefales en prioritert tilnærming: (a) start med R8-artiklene som omfatter CX-profil (stabilt forbruk, lav verdi) – disse kan i mange tilfeller overføres med begrenset risiko; (b) gjennomgå deretter R6-gruppen (A/B + X uten K\_OVERFØR); (c) adresser til slutt R7 og øvrige blandede signaler. 23 artikler (3,2 %) mangler tilstrekkelig data for klassifisering. Fordelingen er visualisert i Figur 12 i kapittel 6.</w:t>
      </w:r>
    </w:p>
    <w:p>
      <w:pPr>
        <w:pStyle w:val="Overskrift2"/>
      </w:pPr>
      <w:r>
        <w:rPr>
          <w:rFonts w:ascii="Times New Roman" w:hAnsi="Times New Roman"/>
          <w:color w:val="000000"/>
          <w:sz w:val="32"/>
        </w:rPr>
        <w:t>7.6 Besparelse og sensitivitet</w:t>
      </w:r>
    </w:p>
    <w:p>
      <w:pPr>
        <w:spacing w:line="360" w:lineRule="auto"/>
        <w:jc w:val="both"/>
      </w:pPr>
      <w:r>
        <w:rPr>
          <w:rFonts w:ascii="Times New Roman" w:hAnsi="Times New Roman" w:cs="Times New Roman"/>
          <w:sz w:val="24"/>
        </w:rPr>
        <w:t xml:space="preserve">Besparelsesestimatet er beregnet for de 117 artiklene som oppfyller begge kriteriene OVERFØR\_HVFS og FOR\_MANGE\_ORDRER. Formelen er </w:t>
      </w: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15 viser resultatene for de tre scenariene.</w:t>
      </w:r>
    </w:p>
    <w:p>
      <w:r>
        <w:rPr>
          <w:rFonts w:ascii="Times New Roman" w:hAnsi="Times New Roman"/>
          <w:b/>
          <w:sz w:val="20"/>
        </w:rPr>
        <w:t>Tabell 15</w:t>
      </w:r>
    </w:p>
    <w:p>
      <w:r>
        <w:rPr>
          <w:rFonts w:ascii="Times New Roman" w:hAnsi="Times New Roman"/>
          <w:i/>
          <w:sz w:val="20"/>
        </w:rPr>
        <w:t>Besparelsesestimater for tre scenarier: 117 artikler (OVERFØR_HVFS ∩ FOR_MANGE_ORDRER), S = 750 NOK</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b w:val="0"/>
                <w:sz w:val="22"/>
              </w:rPr>
              <w:t>Worst case</w:t>
            </w:r>
          </w:p>
        </w:tc>
        <w:tc>
          <w:tcPr>
            <w:tcW w:type="dxa" w:w="2923"/>
          </w:tcPr>
          <w:p>
            <w:r/>
            <w:r>
              <w:rPr>
                <w:rFonts w:ascii="Times New Roman" w:hAnsi="Times New Roman"/>
                <w:b w:val="0"/>
                <w:sz w:val="22"/>
              </w:rPr>
              <w:t>50 %</w:t>
            </w:r>
          </w:p>
        </w:tc>
        <w:tc>
          <w:tcPr>
            <w:tcW w:type="dxa" w:w="2923"/>
          </w:tcPr>
          <w:p>
            <w:r/>
            <w:r>
              <w:rPr>
                <w:rFonts w:ascii="Times New Roman" w:hAnsi="Times New Roman"/>
                <w:b w:val="0"/>
                <w:sz w:val="22"/>
              </w:rPr>
              <w:t>301 010</w:t>
            </w:r>
          </w:p>
        </w:tc>
      </w:tr>
      <w:tr>
        <w:tc>
          <w:tcPr>
            <w:tcW w:type="dxa" w:w="2923"/>
          </w:tcPr>
          <w:p>
            <w:r/>
            <w:r>
              <w:rPr>
                <w:rFonts w:ascii="Times New Roman" w:hAnsi="Times New Roman"/>
                <w:b/>
                <w:sz w:val="22"/>
              </w:rPr>
              <w:t>Base case</w:t>
            </w:r>
          </w:p>
        </w:tc>
        <w:tc>
          <w:tcPr>
            <w:tcW w:type="dxa" w:w="2923"/>
          </w:tcPr>
          <w:p>
            <w:r/>
            <w:r>
              <w:rPr>
                <w:rFonts w:ascii="Times New Roman" w:hAnsi="Times New Roman"/>
                <w:b/>
                <w:sz w:val="22"/>
              </w:rPr>
              <w:t>75 %</w:t>
            </w:r>
          </w:p>
        </w:tc>
        <w:tc>
          <w:tcPr>
            <w:tcW w:type="dxa" w:w="2923"/>
          </w:tcPr>
          <w:p>
            <w:r/>
            <w:r>
              <w:rPr>
                <w:rFonts w:ascii="Times New Roman" w:hAnsi="Times New Roman"/>
                <w:b/>
                <w:sz w:val="22"/>
              </w:rPr>
              <w:t>451 515</w:t>
            </w:r>
          </w:p>
        </w:tc>
      </w:tr>
      <w:tr>
        <w:tc>
          <w:tcPr>
            <w:tcW w:type="dxa" w:w="2923"/>
          </w:tcPr>
          <w:p>
            <w:r/>
            <w:r>
              <w:rPr>
                <w:rFonts w:ascii="Times New Roman" w:hAnsi="Times New Roman"/>
                <w:b w:val="0"/>
                <w:sz w:val="22"/>
              </w:rPr>
              <w:t>Best case</w:t>
            </w:r>
          </w:p>
        </w:tc>
        <w:tc>
          <w:tcPr>
            <w:tcW w:type="dxa" w:w="2923"/>
          </w:tcPr>
          <w:p>
            <w:r/>
            <w:r>
              <w:rPr>
                <w:rFonts w:ascii="Times New Roman" w:hAnsi="Times New Roman"/>
                <w:b w:val="0"/>
                <w:sz w:val="22"/>
              </w:rPr>
              <w:t>100 %</w:t>
            </w:r>
          </w:p>
        </w:tc>
        <w:tc>
          <w:tcPr>
            <w:tcW w:type="dxa" w:w="2923"/>
          </w:tcPr>
          <w:p>
            <w:r/>
            <w:r>
              <w:rPr>
                <w:rFonts w:ascii="Times New Roman" w:hAnsi="Times New Roman"/>
                <w:b w:val="0"/>
                <w:sz w:val="22"/>
              </w:rPr>
              <w:t>602 020</w:t>
            </w:r>
          </w:p>
        </w:tc>
      </w:tr>
    </w:tbl>
    <w:p>
      <w:pPr>
        <w:spacing w:line="360" w:lineRule="auto"/>
        <w:jc w:val="both"/>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jc w:val="both"/>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jc w:val="both"/>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jc w:val="both"/>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jc w:val="both"/>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jc w:val="both"/>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 At 73,1 % av EOQ-analyserte artikler klassifiseres som FOR\_MANGE\_ORDRER er konsistent med Pujawan (2004), som viser at suboptimale partistørrelser er utbredt og kan forplante seg som ordrevariabilitet i forsyningskjeden. Suryaputri et al. (2022) bekrefter at kryssmatrisen ABC/XYZ gir merverdi utover enkeltkriterieanalyse for lagersegmentering, noe som understøtter valget om å kombinere klassifiseringsdimensjonene.</w:t>
      </w:r>
    </w:p>
    <w:p>
      <w:pPr>
        <w:spacing w:line="360" w:lineRule="auto"/>
        <w:jc w:val="both"/>
      </w:pPr>
      <w:r>
        <w:rPr>
          <w:rFonts w:ascii="Times New Roman" w:hAnsi="Times New Roman" w:cs="Times New Roman"/>
          <w:sz w:val="24"/>
        </w:rPr>
        <w:t>Tabell 16 oppsummerer de sentrale funnene fra denne studien sett opp mot forventninger fra litteraturen.</w:t>
      </w:r>
    </w:p>
    <w:p>
      <w:r>
        <w:rPr>
          <w:rFonts w:ascii="Times New Roman" w:hAnsi="Times New Roman"/>
          <w:b/>
          <w:sz w:val="20"/>
        </w:rPr>
        <w:t>Tabell 16</w:t>
      </w:r>
    </w:p>
    <w:p>
      <w:r>
        <w:rPr>
          <w:rFonts w:ascii="Times New Roman" w:hAnsi="Times New Roman"/>
          <w:i/>
          <w:sz w:val="20"/>
        </w:rPr>
        <w:t>Sammenstilling av egne resultater mot funn i eksisterende litteratur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b w:val="0"/>
                <w:sz w:val="22"/>
              </w:rPr>
              <w:t>A-klasse andel</w:t>
            </w:r>
          </w:p>
        </w:tc>
        <w:tc>
          <w:tcPr>
            <w:tcW w:type="dxa" w:w="1754"/>
          </w:tcPr>
          <w:p>
            <w:r/>
            <w:r>
              <w:rPr>
                <w:rFonts w:ascii="Times New Roman" w:hAnsi="Times New Roman"/>
                <w:b w:val="0"/>
                <w:sz w:val="22"/>
              </w:rPr>
              <w:t>25,7 % av artikler = 80 % av verdi</w:t>
            </w:r>
          </w:p>
        </w:tc>
        <w:tc>
          <w:tcPr>
            <w:tcW w:type="dxa" w:w="1754"/>
          </w:tcPr>
          <w:p>
            <w:r/>
            <w:r>
              <w:rPr>
                <w:rFonts w:ascii="Times New Roman" w:hAnsi="Times New Roman"/>
                <w:b w:val="0"/>
                <w:sz w:val="22"/>
              </w:rPr>
              <w:t>Typisk 20–25 % etter Pareto</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Gupta et al. (2007)</w:t>
            </w:r>
          </w:p>
        </w:tc>
      </w:tr>
      <w:tr>
        <w:tc>
          <w:tcPr>
            <w:tcW w:type="dxa" w:w="1754"/>
          </w:tcPr>
          <w:p>
            <w:r/>
            <w:r>
              <w:rPr>
                <w:rFonts w:ascii="Times New Roman" w:hAnsi="Times New Roman"/>
                <w:b w:val="0"/>
                <w:sz w:val="22"/>
              </w:rPr>
              <w:t>XYZ-samsvar med SAP ZZXYZ</w:t>
            </w:r>
          </w:p>
        </w:tc>
        <w:tc>
          <w:tcPr>
            <w:tcW w:type="dxa" w:w="1754"/>
          </w:tcPr>
          <w:p>
            <w:r/>
            <w:r>
              <w:rPr>
                <w:rFonts w:ascii="Times New Roman" w:hAnsi="Times New Roman"/>
                <w:b w:val="0"/>
                <w:sz w:val="22"/>
              </w:rPr>
              <w:t>33 % (125/375)</w:t>
            </w:r>
          </w:p>
        </w:tc>
        <w:tc>
          <w:tcPr>
            <w:tcW w:type="dxa" w:w="1754"/>
          </w:tcPr>
          <w:p>
            <w:r/>
            <w:r>
              <w:rPr>
                <w:rFonts w:ascii="Times New Roman" w:hAnsi="Times New Roman"/>
                <w:b w:val="0"/>
                <w:sz w:val="22"/>
              </w:rPr>
              <w:t>Statisk klassifisering divergerer over tid</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van Kampen et al. (2012)</w:t>
            </w:r>
          </w:p>
        </w:tc>
      </w:tr>
      <w:tr>
        <w:tc>
          <w:tcPr>
            <w:tcW w:type="dxa" w:w="1754"/>
          </w:tcPr>
          <w:p>
            <w:r/>
            <w:r>
              <w:rPr>
                <w:rFonts w:ascii="Times New Roman" w:hAnsi="Times New Roman"/>
                <w:b w:val="0"/>
                <w:sz w:val="22"/>
              </w:rPr>
              <w:t>X-artikler andel</w:t>
            </w:r>
          </w:p>
        </w:tc>
        <w:tc>
          <w:tcPr>
            <w:tcW w:type="dxa" w:w="1754"/>
          </w:tcPr>
          <w:p>
            <w:r/>
            <w:r>
              <w:rPr>
                <w:rFonts w:ascii="Times New Roman" w:hAnsi="Times New Roman"/>
                <w:b w:val="0"/>
                <w:sz w:val="22"/>
              </w:rPr>
              <w:t>50,9 % (350 av 687)</w:t>
            </w:r>
          </w:p>
        </w:tc>
        <w:tc>
          <w:tcPr>
            <w:tcW w:type="dxa" w:w="1754"/>
          </w:tcPr>
          <w:p>
            <w:r/>
            <w:r>
              <w:rPr>
                <w:rFonts w:ascii="Times New Roman" w:hAnsi="Times New Roman"/>
                <w:b w:val="0"/>
                <w:sz w:val="22"/>
              </w:rPr>
              <w:t>Stabile artikler utgjør gjerne flertallet</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Nowotyńska (2013)</w:t>
            </w:r>
          </w:p>
        </w:tc>
      </w:tr>
      <w:tr>
        <w:tc>
          <w:tcPr>
            <w:tcW w:type="dxa" w:w="1754"/>
          </w:tcPr>
          <w:p>
            <w:r/>
            <w:r>
              <w:rPr>
                <w:rFonts w:ascii="Times New Roman" w:hAnsi="Times New Roman"/>
                <w:b w:val="0"/>
                <w:sz w:val="22"/>
              </w:rPr>
              <w:t>K-means silhouette</w:t>
            </w:r>
          </w:p>
        </w:tc>
        <w:tc>
          <w:tcPr>
            <w:tcW w:type="dxa" w:w="1754"/>
          </w:tcPr>
          <w:p>
            <w:r/>
            <w:r>
              <w:rPr>
                <w:rFonts w:ascii="Times New Roman" w:hAnsi="Times New Roman"/>
                <w:b w:val="0"/>
                <w:sz w:val="22"/>
              </w:rPr>
              <w:t>0,383 (tren) / 0,368 (test)</w:t>
            </w:r>
          </w:p>
        </w:tc>
        <w:tc>
          <w:tcPr>
            <w:tcW w:type="dxa" w:w="1754"/>
          </w:tcPr>
          <w:p>
            <w:r/>
            <w:r>
              <w:rPr>
                <w:rFonts w:ascii="Times New Roman" w:hAnsi="Times New Roman"/>
                <w:b w:val="0"/>
                <w:sz w:val="22"/>
              </w:rPr>
              <w:t>&gt; 0,3 akseptabelt for eksplorativ analyse</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Ketkar &amp; Vaidya (2014)</w:t>
            </w:r>
          </w:p>
        </w:tc>
      </w:tr>
      <w:tr>
        <w:tc>
          <w:tcPr>
            <w:tcW w:type="dxa" w:w="1754"/>
          </w:tcPr>
          <w:p>
            <w:r/>
            <w:r>
              <w:rPr>
                <w:rFonts w:ascii="Times New Roman" w:hAnsi="Times New Roman"/>
                <w:b w:val="0"/>
                <w:sz w:val="22"/>
              </w:rPr>
              <w:t>Besparelse (base case)</w:t>
            </w:r>
          </w:p>
        </w:tc>
        <w:tc>
          <w:tcPr>
            <w:tcW w:type="dxa" w:w="1754"/>
          </w:tcPr>
          <w:p>
            <w:r/>
            <w:r>
              <w:rPr>
                <w:rFonts w:ascii="Times New Roman" w:hAnsi="Times New Roman"/>
                <w:b w:val="0"/>
                <w:sz w:val="22"/>
              </w:rPr>
              <w:t>kr 451 515/år (g = 75 %)</w:t>
            </w:r>
          </w:p>
        </w:tc>
        <w:tc>
          <w:tcPr>
            <w:tcW w:type="dxa" w:w="1754"/>
          </w:tcPr>
          <w:p>
            <w:r/>
            <w:r>
              <w:rPr>
                <w:rFonts w:ascii="Times New Roman" w:hAnsi="Times New Roman"/>
                <w:b w:val="0"/>
                <w:sz w:val="22"/>
              </w:rPr>
              <w:t>Moderate gevinster ved ordreoptimalisering</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Moons et al. (2019)</w:t>
            </w:r>
          </w:p>
        </w:tc>
      </w:tr>
      <w:tr>
        <w:tc>
          <w:tcPr>
            <w:tcW w:type="dxa" w:w="1754"/>
          </w:tcPr>
          <w:p>
            <w:r/>
            <w:r>
              <w:rPr>
                <w:rFonts w:ascii="Times New Roman" w:hAnsi="Times New Roman"/>
                <w:b w:val="0"/>
                <w:sz w:val="22"/>
              </w:rPr>
              <w:t>FOR_MANGE_ORDRER</w:t>
            </w:r>
          </w:p>
        </w:tc>
        <w:tc>
          <w:tcPr>
            <w:tcW w:type="dxa" w:w="1754"/>
          </w:tcPr>
          <w:p>
            <w:r/>
            <w:r>
              <w:rPr>
                <w:rFonts w:ascii="Times New Roman" w:hAnsi="Times New Roman"/>
                <w:b w:val="0"/>
                <w:sz w:val="22"/>
              </w:rPr>
              <w:t>73,1 % (356/487)</w:t>
            </w:r>
          </w:p>
        </w:tc>
        <w:tc>
          <w:tcPr>
            <w:tcW w:type="dxa" w:w="1754"/>
          </w:tcPr>
          <w:p>
            <w:r/>
            <w:r>
              <w:rPr>
                <w:rFonts w:ascii="Times New Roman" w:hAnsi="Times New Roman"/>
                <w:b w:val="0"/>
                <w:sz w:val="22"/>
              </w:rPr>
              <w:t>Suboptimal bestilling utbredt i sykehus</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Volland et al. (2017)</w:t>
            </w:r>
          </w:p>
        </w:tc>
      </w:tr>
      <w:tr>
        <w:tc>
          <w:tcPr>
            <w:tcW w:type="dxa" w:w="1754"/>
          </w:tcPr>
          <w:p>
            <w:r/>
            <w:r>
              <w:rPr>
                <w:rFonts w:ascii="Times New Roman" w:hAnsi="Times New Roman"/>
                <w:b w:val="0"/>
                <w:sz w:val="22"/>
              </w:rPr>
              <w:t>ABC/XYZ-matrise</w:t>
            </w:r>
          </w:p>
        </w:tc>
        <w:tc>
          <w:tcPr>
            <w:tcW w:type="dxa" w:w="1754"/>
          </w:tcPr>
          <w:p>
            <w:r/>
            <w:r>
              <w:rPr>
                <w:rFonts w:ascii="Times New Roman" w:hAnsi="Times New Roman"/>
                <w:b w:val="0"/>
                <w:sz w:val="22"/>
              </w:rPr>
              <w:t>9-felts kryssklassifisering</w:t>
            </w:r>
          </w:p>
        </w:tc>
        <w:tc>
          <w:tcPr>
            <w:tcW w:type="dxa" w:w="1754"/>
          </w:tcPr>
          <w:p>
            <w:r/>
            <w:r>
              <w:rPr>
                <w:rFonts w:ascii="Times New Roman" w:hAnsi="Times New Roman"/>
                <w:b w:val="0"/>
                <w:sz w:val="22"/>
              </w:rPr>
              <w:t>Gir økt segmenteringsverdi</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Suryaputri et al. (2022)</w:t>
            </w:r>
          </w:p>
        </w:tc>
      </w:tr>
      <w:tr>
        <w:tc>
          <w:tcPr>
            <w:tcW w:type="dxa" w:w="1754"/>
          </w:tcPr>
          <w:p>
            <w:r/>
            <w:r>
              <w:rPr>
                <w:rFonts w:ascii="Times New Roman" w:hAnsi="Times New Roman"/>
                <w:b w:val="0"/>
                <w:sz w:val="22"/>
              </w:rPr>
              <w:t>K-means merverdi</w:t>
            </w:r>
          </w:p>
        </w:tc>
        <w:tc>
          <w:tcPr>
            <w:tcW w:type="dxa" w:w="1754"/>
          </w:tcPr>
          <w:p>
            <w:r/>
            <w:r>
              <w:rPr>
                <w:rFonts w:ascii="Times New Roman" w:hAnsi="Times New Roman"/>
                <w:b w:val="0"/>
                <w:sz w:val="22"/>
              </w:rPr>
              <w:t>Begrenset – bekrefter ABC/XYZ</w:t>
            </w:r>
          </w:p>
        </w:tc>
        <w:tc>
          <w:tcPr>
            <w:tcW w:type="dxa" w:w="1754"/>
          </w:tcPr>
          <w:p>
            <w:r/>
            <w:r>
              <w:rPr>
                <w:rFonts w:ascii="Times New Roman" w:hAnsi="Times New Roman"/>
                <w:b w:val="0"/>
                <w:sz w:val="22"/>
              </w:rPr>
              <w:t>Klyngeanalyse komplementær, men ofte bekreftende</w:t>
            </w:r>
          </w:p>
        </w:tc>
        <w:tc>
          <w:tcPr>
            <w:tcW w:type="dxa" w:w="1754"/>
          </w:tcPr>
          <w:p>
            <w:r/>
            <w:r>
              <w:rPr>
                <w:rFonts w:ascii="Times New Roman" w:hAnsi="Times New Roman"/>
                <w:b w:val="0"/>
                <w:sz w:val="22"/>
              </w:rPr>
              <w:t>Delvis</w:t>
            </w:r>
          </w:p>
        </w:tc>
        <w:tc>
          <w:tcPr>
            <w:tcW w:type="dxa" w:w="1754"/>
          </w:tcPr>
          <w:p>
            <w:r/>
            <w:r>
              <w:rPr>
                <w:rFonts w:ascii="Times New Roman" w:hAnsi="Times New Roman"/>
                <w:b w:val="0"/>
                <w:sz w:val="22"/>
              </w:rPr>
              <w:t>Srinivasan &amp; Moon (1999)</w:t>
            </w:r>
          </w:p>
        </w:tc>
      </w:tr>
    </w:tbl>
    <w:p>
      <w:pPr>
        <w:pStyle w:val="Overskrift2"/>
      </w:pPr>
      <w:r>
        <w:rPr>
          <w:rFonts w:ascii="Times New Roman" w:hAnsi="Times New Roman"/>
          <w:color w:val="000000"/>
          <w:sz w:val="32"/>
        </w:rPr>
        <w:t>8.2 Metodekritikk</w:t>
      </w:r>
    </w:p>
    <w:p>
      <w:pPr>
        <w:spacing w:line="360" w:lineRule="auto"/>
        <w:jc w:val="both"/>
      </w:pPr>
      <w:r>
        <w:rPr>
          <w:rFonts w:ascii="Times New Roman" w:hAnsi="Times New Roman" w:cs="Times New Roman"/>
          <w:sz w:val="24"/>
        </w:rPr>
        <w:t>SAP S/4HANA-data fra SE16H er operasjonelle systemdata. Transaksjonsdataene (MSEG, EKBE) registreres automatisk ved hvert varemottak, lageruttak og bestilling, og er ikke gjenstand for hukommelsesfeil eller sosial ønskverdighet, noe som gir dem høy reliabilitet sammenlignet med spørreundersøkelsesdata (Saha &amp; Ray, 2019). Stamdata (MARA, MBEW) er imidlertid manuelt vedlikeholdt og kan inneholde feil i prisregistrering eller klassifisering. For de 204 artiklene der ABC-verdien er beregnet fra STPRS (D-03), vil eventuelle prisavvik direkte påvirke klassifiseringen.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jc w:val="both"/>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jc w:val="both"/>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Konkret innebærer dette at vi ikke kan angi modellens presisjon (andel korrekte OVERFØR-anbefalinger) eller recall (andel faktisk egnede artikler som fanges opp). Fraværet skyldes at ingen historisk referanseklassifisering eksisterer ved Helse Bergen – det er nettopp dette gapet studien adresserer. Resultatene bør dermed tolkes som et førstegenerasjons beslutningsunderlag. En planlagt oppfølgingsfase ved Helse Bergen vil innebære faglig gjennomgang av OVERFØR-listen mot innkjøpsfaglig og klinisk kompetanse, noe som vil gi det første empiriske grunnlaget for å kalibrere regelmotoren.</w:t>
      </w:r>
    </w:p>
    <w:p>
      <w:pPr>
        <w:spacing w:line="360" w:lineRule="auto"/>
        <w:jc w:val="both"/>
      </w:pPr>
      <w:r>
        <w:rPr>
          <w:rFonts w:ascii="Times New Roman" w:hAnsi="Times New Roman" w:cs="Times New Roman"/>
          <w:sz w:val="24"/>
        </w:rPr>
        <w:t>EOQ-modellen forutsetter deterministisk og stasjonær etterspørsel (Wilson-formelen). Analysen anvender EOQ på de 350 X-artiklene (</w:t>
      </w:r>
      <m:oMath>
        <m:r>
          <m:t>CV&lt;0,5</m:t>
        </m:r>
      </m:oMath>
      <w:r>
        <w:rPr>
          <w:rFonts w:ascii="Times New Roman" w:hAnsi="Times New Roman" w:cs="Times New Roman"/>
          <w:sz w:val="24"/>
        </w:rPr>
        <w:t xml:space="preserve">), men det er ikke gjennomført en formell stasjonaritets- eller normalitetstest for disse artiklenes etterspørselsserier. For artiklene med størst </w:t>
      </w:r>
      <m:oMath>
        <m:r>
          <m:t>ΔTC</m:t>
        </m:r>
      </m:oMath>
      <w:r>
        <w:rPr>
          <w:rFonts w:ascii="Times New Roman" w:hAnsi="Times New Roman" w:cs="Times New Roman"/>
          <w:sz w:val="24"/>
        </w:rPr>
        <w:t xml:space="preserve"> – som utgjør grunnlaget for besparelsesestimatet – representerer dette en potensiell intern validitetstrussel: dersom etterspørselen er sesongavhengig eller har trend, vil den optimale ordrefrekvensen </w:t>
      </w:r>
      <m:oMath>
        <m:sSup>
          <m:e>
            <m:r>
              <m:t>f</m:t>
            </m:r>
          </m:e>
          <m:sup>
            <m:r>
              <m:t>*</m:t>
            </m:r>
          </m:sup>
        </m:sSup>
      </m:oMath>
      <w:r>
        <w:rPr>
          <w:rFonts w:ascii="Times New Roman" w:hAnsi="Times New Roman" w:cs="Times New Roman"/>
          <w:sz w:val="24"/>
        </w:rPr>
        <w:t xml:space="preserve"> avvike fra Wilson-estimatet. Hautaniemi og 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 Et mitigerende argument er at X-artikler per definisjon har </w:t>
      </w:r>
      <m:oMath>
        <m:r>
          <m:t>CV&lt;0,5,</m:t>
        </m:r>
      </m:oMath>
      <w:r>
        <w:rPr>
          <w:rFonts w:ascii="Times New Roman" w:hAnsi="Times New Roman" w:cs="Times New Roman"/>
          <w:sz w:val="24"/>
        </w:rPr>
        <w:t xml:space="preserve"> noe som innebærer at etterspørselsvariansen er lav relativt til gjennomsnittet over den 24-månedersperioden analysen dekker. EOQ-avviksanalysens primære formål er dessuten </w:t>
      </w:r>
      <w:r>
        <w:rPr>
          <w:rFonts w:ascii="Times New Roman" w:hAnsi="Times New Roman" w:cs="Times New Roman"/>
          <w:i/>
          <w:sz w:val="24"/>
        </w:rPr>
        <w:t>relativ rangering</w:t>
      </w:r>
      <w:r>
        <w:rPr>
          <w:rFonts w:ascii="Times New Roman" w:hAnsi="Times New Roman" w:cs="Times New Roman"/>
          <w:sz w:val="24"/>
        </w:rPr>
        <w:t xml:space="preserve"> av artikler etter kostnadsavvik, ikke eksakt kostnadsestimering. En eventuell ikke-stasjonaritet – f.eks. sesongvariasjon eller svak trend – vil typisk skalere </w:t>
      </w:r>
      <m:oMath>
        <m:sSup>
          <m:e>
            <m:r>
              <m:t>f</m:t>
            </m:r>
          </m:e>
          <m:sup>
            <m:r>
              <m:t>*</m:t>
            </m:r>
          </m:sup>
        </m:sSup>
      </m:oMath>
      <w:r>
        <w:rPr>
          <w:rFonts w:ascii="Times New Roman" w:hAnsi="Times New Roman" w:cs="Times New Roman"/>
          <w:sz w:val="24"/>
        </w:rPr>
        <w:t xml:space="preserve"> og dermed </w:t>
      </w:r>
      <m:oMath>
        <m:r>
          <m:t>ΔT</m:t>
        </m:r>
        <m:sSub>
          <m:e>
            <m:r>
              <m:t>C</m:t>
            </m:r>
          </m:e>
          <m:sub>
            <m:r>
              <m:t>i</m:t>
            </m:r>
          </m:sub>
        </m:sSub>
      </m:oMath>
      <w:r>
        <w:rPr>
          <w:rFonts w:ascii="Times New Roman" w:hAnsi="Times New Roman" w:cs="Times New Roman"/>
          <w:sz w:val="24"/>
        </w:rPr>
        <w:t xml:space="preserve"> proporsjonalt på tvers av sammenlignbare X-artikler, slik at rangordenen mellom artiklene bevares selv om absoluttverdiene endres. Konsekvensen for overføringsbeslutningen – som bygger på rangeringen, ikke på eksakt beløp per artikkel – er derfor liten. En formell stasjonaritetstest (f.eks. augmented Dickey–Fuller) i en oppfølgingsstudie vil likevel styrke den interne validiteten ytterligere.</w:t>
      </w:r>
    </w:p>
    <w:p>
      <w:pPr>
        <w:spacing w:line="360" w:lineRule="auto"/>
        <w:jc w:val="both"/>
      </w:pPr>
      <w:r>
        <w:rPr>
          <w:rFonts w:ascii="Times New Roman" w:hAnsi="Times New Roman" w:cs="Times New Roman"/>
          <w:sz w:val="24"/>
        </w:rPr>
        <w:t xml:space="preserve">Besparelsesestimatet </w:t>
      </w:r>
      <m:oMath>
        <m:sSub>
          <m:e>
            <m:r>
              <m:t>B</m:t>
            </m:r>
          </m:e>
          <m:sub>
            <m:r>
              <m:rPr>
                <m:nor/>
              </m:rPr>
              <m:t>HVFS</m:t>
            </m:r>
          </m:sub>
        </m:sSub>
        <m:r>
          <m:t>=∑ΔT</m:t>
        </m:r>
        <m:sSub>
          <m:e>
            <m:r>
              <m:t>C</m:t>
            </m:r>
          </m:e>
          <m:sub>
            <m:r>
              <m:t>i</m:t>
            </m:r>
          </m:sub>
        </m:sSub>
        <m:r>
          <m:t>·g</m:t>
        </m:r>
      </m:oMath>
      <w:r>
        <w:rPr>
          <w:rFonts w:ascii="Times New Roman" w:hAnsi="Times New Roman" w:cs="Times New Roman"/>
          <w:sz w:val="24"/>
        </w:rPr>
        <w:t xml:space="preserve"> fanger utelukkende transaksjonskostnadsavviket fra suboptimal ordrefrekvens for de 117 artiklene i skjæringspunktet OVERFØR\_HVFS </w:t>
      </w:r>
      <m:oMath>
        <m:r>
          <m:t>∩</m:t>
        </m:r>
      </m:oMath>
      <w:r>
        <w:rPr>
          <w:rFonts w:ascii="Times New Roman" w:hAnsi="Times New Roman" w:cs="Times New Roman"/>
          <w:sz w:val="24"/>
        </w:rPr>
        <w:t xml:space="preserve"> FOR\_MANGE\_ORDRER. Tre kostnadselementer er eksplisitt utenfor modellens rekkevidde: (1) redusert lokal lagerkapitalbinding ved overføring – en positiv gevinst som ikke er kvantifisert, men som Kelle et al. (2012) anslår til 5–15 % av lagerverdien for sentraliserte artikler; (2) transportkostnader fra HVFS til avdeling via APL-modellen, som representerer en motpost og må kartlegges i implementeringsfasen; og (3) engangskostnader for SAP MM-konfigurering, leverandørforhandlinger og prosessomstilling. Estimatet er dermed et konservativt transaksjonskostnadsestimat som ikke omfatter den fulle netto besparelseseffekten av sentralisering.</w:t>
      </w:r>
    </w:p>
    <w:p>
      <w:pPr>
        <w:spacing w:line="360" w:lineRule="auto"/>
        <w:jc w:val="both"/>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regelmotor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nøktern: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jc w:val="both"/>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jc w:val="both"/>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jc w:val="both"/>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jc w:val="both"/>
      </w:pPr>
      <w:r>
        <w:rPr>
          <w:rFonts w:ascii="Times New Roman" w:hAnsi="Times New Roman" w:cs="Times New Roman"/>
          <w:sz w:val="24"/>
        </w:rPr>
        <w:t>For LIBRA-prosjektet spesifikt innebærer resultatene at det foreligger et forslag til et kvantitativt, reproduserbart beslutningsgrunnlag som potensielt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pStyle w:val="Overskrift2"/>
      </w:pPr>
      <w:r>
        <w:rPr>
          <w:rFonts w:ascii="Times New Roman" w:hAnsi="Times New Roman"/>
          <w:color w:val="000000"/>
          <w:sz w:val="32"/>
        </w:rPr>
        <w:t>8.4 Svakheter og begrensninger</w:t>
      </w:r>
    </w:p>
    <w:p>
      <w:pPr>
        <w:spacing w:line="360" w:lineRule="auto"/>
        <w:jc w:val="both"/>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en scenarioparameter, ikke en empirisk prognose. Verdien </w:t>
      </w:r>
      <m:oMath>
        <m:r>
          <m:t>g=75</m:t>
        </m:r>
        <m:r>
          <m:t>%</m:t>
        </m:r>
      </m:oMath>
      <w:r>
        <w:rPr>
          <w:rFonts w:ascii="Times New Roman" w:hAnsi="Times New Roman" w:cs="Times New Roman"/>
          <w:sz w:val="24"/>
        </w:rPr>
        <w:t xml:space="preserve"> (base case) er en ekspertantagelse uten direkte empirisk belegg fra sykehuslogistikk, og representerer den viktigste enkeltusikkerheten i besparelsesestimatet. Intervallet 50–100 % er valgt for å fange realistisk implementeringsfriksjon: tre-scenarioanalysen gjør usikkerheten eksplisitt og lar beslutningstaker vurdere robustheten. Ettersom estimatet kun fanger transaksjonskostnadsavviket og utelater kapitalbindingsgevinsten – som Kelle et al. (2012) anslår til 5–15 % av lagerverdien – vil den faktiske nettogevinsten sannsynligvis ligge høyere enn base case isolert sett tilsier, selv med moderat gevinstrealisering. Tilsvarende er ordrekostnad </w:t>
      </w:r>
      <m:oMath>
        <m:r>
          <m:t>S=750</m:t>
        </m:r>
      </m:oMath>
      <w:r>
        <w:rPr>
          <w:rFonts w:ascii="Times New Roman" w:hAnsi="Times New Roman" w:cs="Times New Roman"/>
          <w:sz w:val="24"/>
        </w:rPr>
        <w:t xml:space="preserve"> NOK basert på internasjonal litteratur og ikke empirisk estimert for Helse Bergen; en ABC-kalkyle (Activity-Based Costing) av faktisk ordrekostnad ville styrket estimatets presisjon. Den faktiske gevinsten avhenger av gjennomføringskvalitet, leverandørenes kapasitet og Helse Bergens evne til å revidere SAP-parametere. Sensitivitetsanalysen over 27 scenarier synliggjør bredden i usikkerhetsintervallet.</w:t>
      </w:r>
    </w:p>
    <w:p>
      <w:pPr>
        <w:spacing w:line="360" w:lineRule="auto"/>
        <w:jc w:val="both"/>
      </w:pPr>
      <w:r>
        <w:rPr>
          <w:rFonts w:ascii="Times New Roman" w:hAnsi="Times New Roman" w:cs="Times New Roman"/>
          <w:sz w:val="24"/>
        </w:rPr>
        <w:t>Standardverdien for leveringstid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jc w:val="both"/>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 K-means overlapper i stor grad med artikler som identifiseres via ABC/XYZ-reglene (R3) – et utfall som er både forventet og ettersøkt gitt designvalget redegjort for i avsnitt 5.4. Metodens merverdi ligger i metodisk triangulering: at en datadrevet, terskelfri segmentering konvergerer mot samme artikkelgrupper som den terskelbaserte ABC/XYZ-klassifiseringen, utgjør et validitetsargument som styrker tilliten til at terskelvalgene (80/95 % for ABC, 0,5/1,0 for CV) ikke er vilkårlige for dette datasettet. Begrensningen er at K-means dermed bidrar med relativt lite uavhengig informasjonsinnhold utover denne valideringen; en fremtidig analyse som utvider featurevektoren med kritikalitet (VED) eller leveringstid vil kunne gi klyngeanalysen en mer selvstendig rolle.</w:t>
      </w:r>
    </w:p>
    <w:p>
      <w:pPr>
        <w:spacing w:line="360" w:lineRule="auto"/>
        <w:jc w:val="both"/>
      </w:pPr>
      <w:r>
        <w:rPr>
          <w:rFonts w:ascii="Times New Roman" w:hAnsi="Times New Roman" w:cs="Times New Roman"/>
          <w:sz w:val="24"/>
        </w:rPr>
        <w:t>For 204 artikler uten EKPO-data er ABC-verdien beregnet fra D_ANNUAL × UNIT_PRICE. Av de 199 som har tilstrekkelig data til ABC-klassifisering, havner 98 i A-klassen og 63 i B-klassen. Dersom standardprisen systematisk avviker fra faktisk innkjøpspris, kan ABC-rangeringen for disse artiklene være upresis. Risikoen dempes av at regelmotoren krever flere sammenfallende signaler (ABC + XYZ + EOQ/K-means) for OVERFØR-anbefaling – en isolert ABC-feil vil dermed sjelden alene utløse en feilklassifisering.</w:t>
      </w:r>
    </w:p>
    <w:p>
      <w:pPr>
        <w:spacing w:line="360" w:lineRule="auto"/>
        <w:jc w:val="both"/>
      </w:pPr>
      <w:r>
        <w:rPr>
          <w:rFonts w:ascii="Times New Roman" w:hAnsi="Times New Roman" w:cs="Times New Roman"/>
          <w:sz w:val="24"/>
        </w:rPr>
        <w:t>Modellen inkluderer ikke en eksplisitt kritikalitetsdimensjon som VED (Vital, Essential, Desirable). I sykehuslogistikk er kritikalitet en primær styringsparameter (Gupta et al., 2007; Gurumurthy et al., 2021), og fraværet innebærer at OVERFØR-anbefalingen kan omfatte artikler der leveringssvikt har alvorlige pasientkonsekvenser. Kritikalitetsdata inngår ikke som strukturert variabel i det aktuelle datauttrekket; ved Helse Bergen er VED-vurderingen i praksis basert på klinisk skjønn og foreligger ikke i maskinlesbar form. Regelmotorens R1-regel (Z-override) fungerer som en delvis kompensasjon ved å holde artikler med uregelmessig forbruk lokalt, men dette erstatter ikke en eksplisitt kritikalitetsvurdering. Pilotvalideringen (anbefaling 1, kap. 9.2) bør eksplisitt inkludere en klinisk kritikalitetsvurdering som supplement til de kvantitative signalene.</w:t>
      </w:r>
    </w:p>
    <w:p>
      <w:pPr>
        <w:spacing w:line="360" w:lineRule="auto"/>
        <w:jc w:val="both"/>
      </w:pPr>
      <w:r>
        <w:rPr>
          <w:rFonts w:ascii="Times New Roman" w:hAnsi="Times New Roman" w:cs="Times New Roman"/>
          <w:sz w:val="24"/>
        </w:rPr>
        <w:t>Studien benytter kun K-means som klyngealgoritme. En sammenligning med hierarkisk klynging eller DBSCAN ville styrket tilliten til klyngeresultatene, særlig gitt at silhouette-scoren (0,383) indikerer moderat separasjon.</w:t>
      </w:r>
    </w:p>
    <w:p>
      <w:pPr>
        <w:spacing w:line="360" w:lineRule="auto"/>
        <w:jc w:val="both"/>
      </w:pPr>
      <w:r>
        <w:rPr>
          <w:rFonts w:ascii="Times New Roman" w:hAnsi="Times New Roman" w:cs="Times New Roman"/>
          <w:sz w:val="24"/>
        </w:rPr>
        <w:t>Besparelsesestimatet er beregnet analytisk. En Monte Carlo-simulering av bestillingsfrekvensendringer for de største overføringskandidatene ville gitt et dynamisk estimat som fanger samspillet mellom ordrefrekvens, lagernivå og servicenivå over tid.</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jc w:val="both"/>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er kandidater for overføring til HVFS, og hva er det estimerte besparelsespotensialet?</w:t>
      </w:r>
    </w:p>
    <w:p>
      <w:pPr>
        <w:spacing w:line="360" w:lineRule="auto"/>
        <w:jc w:val="both"/>
      </w:pPr>
      <w:r>
        <w:rPr>
          <w:rFonts w:ascii="Times New Roman" w:hAnsi="Times New Roman" w:cs="Times New Roman"/>
          <w:sz w:val="24"/>
        </w:rPr>
        <w:t xml:space="preserve">Studien viser at en strukturert kombinasjon av ABC-analyse, XYZ-klassifisering, EOQ-avviksanalyse og K-means klyngeanalyse – sammenstilt i regelmotoren – gir et strukturert beslutningsgrunnlag for å prioritere overføringskandidater direkte fra SAP-transaksjonsdata. Av de 709 aktive artiklene i LGORT 3001 identifiserer regelmotoren </w:t>
      </w:r>
      <w:r>
        <w:rPr>
          <w:rFonts w:ascii="Times New Roman" w:hAnsi="Times New Roman" w:cs="Times New Roman"/>
          <w:b/>
          <w:sz w:val="24"/>
        </w:rPr>
        <w:t>145 artikler</w:t>
      </w:r>
      <w:r>
        <w:rPr>
          <w:rFonts w:ascii="Times New Roman" w:hAnsi="Times New Roman" w:cs="Times New Roman"/>
          <w:sz w:val="24"/>
        </w:rPr>
        <w:t xml:space="preserve"> (20,5 %) som prioriterte overføringskandidater til HVFS. Disse artiklene kjennetegnes ved høy verdi (A- eller B-klasse), stabilt forbruksmønster (X- eller Y-klasse) og dokumentert overbestilling eller klyngetilhørighet som indikerer ineffektiv ordrepraksis. Anbefalingene er ikke eksternt validert mot innkjøpsfaglig skjønn, og bør betraktes som et rangert beslutningsunderlag – ikke som verifiserte beslutningsregler.</w:t>
      </w:r>
    </w:p>
    <w:p>
      <w:pPr>
        <w:spacing w:line="360" w:lineRule="auto"/>
        <w:jc w:val="both"/>
      </w:pPr>
      <w:r>
        <w:rPr>
          <w:rFonts w:ascii="Times New Roman" w:hAnsi="Times New Roman" w:cs="Times New Roman"/>
          <w:sz w:val="24"/>
        </w:rPr>
        <w:t>Besparelsespotensialet er estimert som et scenariobasert intervall, ikke som et enkelt punktestimat, fordi nøkkelparametrene S, h og g ikke er kalibrert mot lokalt observerte kostnader. For de 117 artiklene i skjæringspunktet OVERFØR\_HVFS og FOR\_MANGE\_ORDRER gir base case (</w:t>
      </w:r>
      <m:oMath>
        <m:r>
          <m:t>g=75</m:t>
        </m:r>
      </m:oMath>
      <w:r>
        <w:rPr>
          <w:rFonts w:ascii="Times New Roman" w:hAnsi="Times New Roman" w:cs="Times New Roman"/>
          <w:sz w:val="24"/>
        </w:rPr>
        <w:t xml:space="preserve">) et estimat på </w:t>
      </w:r>
      <w:r>
        <w:rPr>
          <w:rFonts w:ascii="Times New Roman" w:hAnsi="Times New Roman" w:cs="Times New Roman"/>
          <w:b/>
          <w:sz w:val="24"/>
        </w:rPr>
        <w:t>kr 451 515 per år</w:t>
      </w:r>
      <w:r>
        <w:rPr>
          <w:rFonts w:ascii="Times New Roman" w:hAnsi="Times New Roman" w:cs="Times New Roman"/>
          <w:sz w:val="24"/>
        </w:rPr>
        <w:t>, mens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Sensitivitetsanalysen over 27 parameterkombinasjoner – med variasjon i S, h og </w:t>
      </w:r>
      <m:oMath>
        <m:sSub>
          <m:e>
            <m:r>
              <m:t>τ</m:t>
            </m:r>
          </m:e>
          <m:sub>
            <m:r>
              <m:t>f</m:t>
            </m:r>
          </m:sub>
        </m:sSub>
      </m:oMath>
      <w:r>
        <w:rPr>
          <w:rFonts w:ascii="Times New Roman" w:hAnsi="Times New Roman" w:cs="Times New Roman"/>
          <w:sz w:val="24"/>
        </w:rPr>
        <w:t xml:space="preserve"> – viser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Estimatene forblir positive og vesentlige over alle 27 scenarier, men den brede spennvidden understreker at det faktiske besparelsesnivået avhenger av lokale kostnadsforhold som ikke er empirisk fastslått i denne studien.</w:t>
      </w:r>
    </w:p>
    <w:p>
      <w:pPr>
        <w:spacing w:line="360" w:lineRule="auto"/>
        <w:jc w:val="both"/>
      </w:pPr>
      <w:r>
        <w:rPr>
          <w:rFonts w:ascii="Times New Roman" w:hAnsi="Times New Roman" w:cs="Times New Roman"/>
          <w:sz w:val="24"/>
        </w:rPr>
        <w:t>Et selvstendig empirisk funn i studien er at SAPs egen XYZ-klassifisering (ZZXYZ) kun samsvarer med beregnet CV-klasse i 33 % av tilfellene (125 av 375 artikler med data i begge kilder), og at SAP kategoriserer bare 7 artikler som Z mot 79 beregnede Z-artikler. Dette tyder på at ZZXYZ-feltet er systematisk utdatert og ikke kan brukes som uavhengig beslutningsgrunnlag for HVFS-valg uten rekalkulering fra transaksjonsdata – en konstatering med direkte operasjonell relevans for LIBRA.</w:t>
      </w:r>
    </w:p>
    <w:p>
      <w:pPr>
        <w:spacing w:line="360" w:lineRule="auto"/>
        <w:jc w:val="both"/>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forutsatt at klassifiseringer beregnes fra rådata snarere enn hentes fra SAPs egne felt. Metoderammeverket besvarer problemstillingen både kvalitativt (hvilke artikler) og kvantitativt (hva er besparelsespotensialet), og gir et strukturert beslutningsgrunnlag for LIBRA-prosjektets videre gjennomføring. Verktøyets primære verdi er systematisk prioritering og triage av artikkelporteføljen – den endelige overføringsbeslutningen krever innkjøpsfaglig og klinisk validering.</w:t>
      </w:r>
    </w:p>
    <w:p>
      <w:pPr>
        <w:pStyle w:val="Overskrift2"/>
      </w:pPr>
      <w:r>
        <w:rPr>
          <w:rFonts w:ascii="Times New Roman" w:hAnsi="Times New Roman"/>
          <w:color w:val="000000"/>
          <w:sz w:val="32"/>
        </w:rPr>
        <w:t>9.2 Anbefalinger til Helse Bergen</w:t>
      </w:r>
    </w:p>
    <w:p>
      <w:pPr>
        <w:spacing w:line="360" w:lineRule="auto"/>
        <w:jc w:val="both"/>
      </w:pPr>
      <w:r>
        <w:rPr>
          <w:rFonts w:ascii="Times New Roman" w:hAnsi="Times New Roman" w:cs="Times New Roman"/>
          <w:sz w:val="24"/>
        </w:rPr>
        <w:t>Basert på studiens funn rettes følgende fire anbefalinger til Helse Bergen og Helse Vest IKT. Anbefalingene er formulert i prioritert rekkefølge, der anbefaling 1 og 3 er umiddelbare parallelle tiltak, anbefaling 2 er mellomfristig, og anbefaling 4 er en langsiktig evalueringssyklus:</w:t>
      </w:r>
    </w:p>
    <w:p>
      <w:pPr>
        <w:spacing w:line="360" w:lineRule="auto"/>
        <w:jc w:val="both"/>
      </w:pPr>
      <w:r>
        <w:rPr>
          <w:rFonts w:ascii="Times New Roman" w:hAnsi="Times New Roman" w:cs="Times New Roman"/>
          <w:b/>
          <w:sz w:val="24"/>
        </w:rPr>
        <w:t>1. Gjennomfør klinisk kritikalitetsvurdering før pilotoverføring.</w:t>
      </w:r>
    </w:p>
    <w:p>
      <w:pPr>
        <w:spacing w:line="360" w:lineRule="auto"/>
        <w:jc w:val="both"/>
      </w:pPr>
      <w:r>
        <w:rPr>
          <w:rFonts w:ascii="Times New Roman" w:hAnsi="Times New Roman" w:cs="Times New Roman"/>
          <w:sz w:val="24"/>
        </w:rPr>
        <w:t>Før noen artikkel faktisk overføres, må de 145 kandidatene underkastes en formell kritikalitetsgjennomgang (VED-vurdering) i samarbeid med kliniske miljøer. Kvantitative signaler (ABC + XYZ + EOQ + K-means) er nødvendige, men ikke tilstrekkelige: en artikkel kan være stabilt etterspurt og høyverdig, men samtidig kritisk for pasientsikkerhet ved leveransesvikt (jf. avsnitt 4.4 og 8.4). Pilotfasen bør deretter prioritere artiklene i skjæringspunktet mellom K_OVERFØR-klyngen og AX/BX-kategoriene som er VED-klassifisert som "Desirable" eller "Essential" – ikke "Vital". Overføringen gjennomføres gradvis, slik at HVFS og NorEngros kan verifisere APL-leveransemodellen før hele porteføljen flyttes.</w:t>
      </w:r>
    </w:p>
    <w:p>
      <w:pPr>
        <w:spacing w:line="360" w:lineRule="auto"/>
        <w:jc w:val="both"/>
      </w:pPr>
      <w:r>
        <w:rPr>
          <w:rFonts w:ascii="Times New Roman" w:hAnsi="Times New Roman" w:cs="Times New Roman"/>
          <w:b/>
          <w:sz w:val="24"/>
        </w:rPr>
        <w:t>2. Gjennomgå de 284 artiklene i VURDER NÆRMERE manuelt.</w:t>
      </w:r>
    </w:p>
    <w:p>
      <w:pPr>
        <w:spacing w:line="360" w:lineRule="auto"/>
        <w:jc w:val="both"/>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jc w:val="both"/>
      </w:pPr>
      <w:r>
        <w:rPr>
          <w:rFonts w:ascii="Times New Roman" w:hAnsi="Times New Roman" w:cs="Times New Roman"/>
          <w:b/>
          <w:sz w:val="24"/>
        </w:rPr>
        <w:t>3. Oppdater SAP MM-parametere for overførte artikler.</w:t>
      </w:r>
    </w:p>
    <w:p>
      <w:pPr>
        <w:spacing w:line="360" w:lineRule="auto"/>
        <w:jc w:val="both"/>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jc w:val="both"/>
      </w:pPr>
      <w:r>
        <w:rPr>
          <w:rFonts w:ascii="Times New Roman" w:hAnsi="Times New Roman" w:cs="Times New Roman"/>
          <w:b/>
          <w:sz w:val="24"/>
        </w:rPr>
        <w:t>4. Evaluer gevinstrealisering etter 12 måneder.</w:t>
      </w:r>
    </w:p>
    <w:p>
      <w:pPr>
        <w:spacing w:line="360" w:lineRule="auto"/>
        <w:jc w:val="both"/>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jc w:val="both"/>
      </w:pPr>
      <w:r>
        <w:rPr>
          <w:rFonts w:ascii="Times New Roman" w:hAnsi="Times New Roman" w:cs="Times New Roman"/>
          <w:sz w:val="24"/>
        </w:rPr>
        <w:t xml:space="preserve">Studien åpner for fire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 (4) </w:t>
      </w:r>
      <w:r>
        <w:rPr>
          <w:rFonts w:ascii="Times New Roman" w:hAnsi="Times New Roman" w:cs="Times New Roman"/>
          <w:b/>
          <w:sz w:val="24"/>
        </w:rPr>
        <w:t>Utvidet metoderepertoar innen innkjøpsoptimalisering</w:t>
      </w:r>
      <w:r>
        <w:rPr>
          <w:rFonts w:ascii="Times New Roman" w:hAnsi="Times New Roman" w:cs="Times New Roman"/>
          <w:sz w:val="24"/>
        </w:rPr>
        <w:t xml:space="preserve"> – flerkriterieteknikker som AHP/TOPSIS for leverandørvurdering, kombinatoriske auksjoner for porteføljeanskaffelser, og veiledet maskinlæring (når det foreligger merkede beslutningsdata fra pilotfasen) – er relevante videreføringer som faller utenfor denne oppgavens scope, men som kan gi ytterligere beslutningsgrunnlag for innkjøpsstrategien rundt HVFS.</w:t>
      </w:r>
    </w:p>
    <w:p>
      <w:pPr>
        <w:pStyle w:val="Overskrift1"/>
        <w:pageBreakBefore w:val="true"/>
      </w:pPr>
      <w:r>
        <w:rPr>
          <w:rFonts w:ascii="Times New Roman" w:hAnsi="Times New Roman"/>
          <w:color w:val="000000"/>
          <w:sz w:val="36"/>
        </w:rPr>
        <w:t>Referanseliste</w:t>
      </w:r>
    </w:p>
    <w:p>
      <w:pPr>
        <w:spacing w:line="240" w:lineRule="auto" w:after="120"/>
        <w:ind w:left="720" w:hanging="720"/>
        <w:jc w:val="both"/>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240" w:lineRule="auto" w:after="120"/>
        <w:ind w:left="720" w:hanging="720"/>
        <w:jc w:val="both"/>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240" w:lineRule="auto" w:after="120"/>
        <w:ind w:left="720" w:hanging="720"/>
        <w:jc w:val="both"/>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240" w:lineRule="auto" w:after="120"/>
        <w:ind w:left="720" w:hanging="720"/>
        <w:jc w:val="both"/>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240" w:lineRule="auto" w:after="120"/>
        <w:ind w:left="720" w:hanging="720"/>
        <w:jc w:val="both"/>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240" w:lineRule="auto" w:after="120"/>
        <w:ind w:left="720" w:hanging="720"/>
        <w:jc w:val="both"/>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240" w:lineRule="auto" w:after="120"/>
        <w:ind w:left="720" w:hanging="720"/>
        <w:jc w:val="both"/>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240" w:lineRule="auto" w:after="120"/>
        <w:ind w:left="720" w:hanging="720"/>
        <w:jc w:val="both"/>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240" w:lineRule="auto" w:after="120"/>
        <w:ind w:left="720" w:hanging="720"/>
        <w:jc w:val="both"/>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240" w:lineRule="auto" w:after="120"/>
        <w:ind w:left="720" w:hanging="720"/>
        <w:jc w:val="both"/>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240" w:lineRule="auto" w:after="120"/>
        <w:ind w:left="720" w:hanging="720"/>
        <w:jc w:val="both"/>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240" w:lineRule="auto" w:after="120"/>
        <w:ind w:left="720" w:hanging="720"/>
        <w:jc w:val="both"/>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240" w:lineRule="auto" w:after="120"/>
        <w:ind w:left="720" w:hanging="720"/>
        <w:jc w:val="both"/>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240" w:lineRule="auto" w:after="120"/>
        <w:ind w:left="720" w:hanging="720"/>
        <w:jc w:val="both"/>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 https://jmlr.org/papers/v12/pedregosa11a.html</w:t>
      </w:r>
    </w:p>
    <w:p>
      <w:pPr>
        <w:spacing w:line="240" w:lineRule="auto" w:after="120"/>
        <w:ind w:left="720" w:hanging="720"/>
        <w:jc w:val="both"/>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240" w:lineRule="auto" w:after="120"/>
        <w:ind w:left="720" w:hanging="720"/>
        <w:jc w:val="both"/>
      </w:pPr>
      <w:r>
        <w:rPr>
          <w:rFonts w:ascii="Times New Roman" w:hAnsi="Times New Roman" w:cs="Times New Roman"/>
          <w:sz w:val="24"/>
        </w:rPr>
        <w:t xml:space="preserve">Rousseeuw, P. J. (1987). Silhouettes: A graphical aid to the interpretation and validation of cluster analysis. </w:t>
      </w:r>
      <w:r>
        <w:rPr>
          <w:rFonts w:ascii="Times New Roman" w:hAnsi="Times New Roman" w:cs="Times New Roman"/>
          <w:i/>
          <w:sz w:val="24"/>
        </w:rPr>
        <w:t>Journal of Computational and Applied Mathematics</w:t>
      </w:r>
      <w:r>
        <w:rPr>
          <w:rFonts w:ascii="Times New Roman" w:hAnsi="Times New Roman" w:cs="Times New Roman"/>
          <w:sz w:val="24"/>
        </w:rPr>
        <w:t xml:space="preserve">, </w:t>
      </w:r>
      <w:r>
        <w:rPr>
          <w:rFonts w:ascii="Times New Roman" w:hAnsi="Times New Roman" w:cs="Times New Roman"/>
          <w:i/>
          <w:sz w:val="24"/>
        </w:rPr>
        <w:t>20</w:t>
      </w:r>
      <w:r>
        <w:rPr>
          <w:rFonts w:ascii="Times New Roman" w:hAnsi="Times New Roman" w:cs="Times New Roman"/>
          <w:sz w:val="24"/>
        </w:rPr>
        <w:t>, 53–65. https://doi.org/10.1016/0377-0427(87)90125-7</w:t>
      </w:r>
    </w:p>
    <w:p>
      <w:pPr>
        <w:spacing w:line="240" w:lineRule="auto" w:after="120"/>
        <w:ind w:left="720" w:hanging="720"/>
        <w:jc w:val="both"/>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240" w:lineRule="auto" w:after="120"/>
        <w:ind w:left="720" w:hanging="720"/>
        <w:jc w:val="both"/>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240" w:lineRule="auto" w:after="120"/>
        <w:ind w:left="720" w:hanging="720"/>
        <w:jc w:val="both"/>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240" w:lineRule="auto" w:after="120"/>
        <w:ind w:left="720" w:hanging="720"/>
        <w:jc w:val="both"/>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240" w:lineRule="auto" w:after="120"/>
        <w:ind w:left="720" w:hanging="720"/>
        <w:jc w:val="both"/>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240" w:lineRule="auto" w:after="120"/>
        <w:ind w:left="720" w:hanging="720"/>
        <w:jc w:val="both"/>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jc w:val="both"/>
      </w:pPr>
      <w:r>
        <w:rPr>
          <w:rFonts w:ascii="Times New Roman" w:hAnsi="Times New Roman" w:cs="Times New Roman"/>
          <w:sz w:val="24"/>
        </w:rPr>
        <w:t>Se Tabell 4 i avsnitt 4.2 for fullstendig oversikt over de 14 SAP S/4HANA-tabellene. Alle datavalgsbeslutninger (D-01 til D-08) er dokumentert i Tabell 5 i hovedteksten.</w:t>
      </w:r>
    </w:p>
    <w:p>
      <w:pPr>
        <w:pStyle w:val="Overskrift2"/>
      </w:pPr>
      <w:r>
        <w:rPr>
          <w:rFonts w:ascii="Times New Roman" w:hAnsi="Times New Roman"/>
          <w:color w:val="000000"/>
          <w:sz w:val="32"/>
        </w:rPr>
        <w:t>Vedlegg B – Python-analyseverktøy</w:t>
      </w:r>
    </w:p>
    <w:p>
      <w:pPr>
        <w:spacing w:line="360" w:lineRule="auto"/>
        <w:jc w:val="both"/>
      </w:pPr>
      <w:r>
        <w:rPr>
          <w:rFonts w:ascii="Times New Roman" w:hAnsi="Times New Roman" w:cs="Times New Roman"/>
          <w:sz w:val="24"/>
        </w:rPr>
        <w:t>Analyseverktøyet er implementert i Python 3.13 og består av to hovedkomponenter:</w:t>
      </w:r>
    </w:p>
    <w:p>
      <w:pPr>
        <w:spacing w:line="360" w:lineRule="auto"/>
        <w:jc w:val="both"/>
      </w:pPr>
      <w:r>
        <w:rPr>
          <w:rFonts w:ascii="Times New Roman" w:hAnsi="Times New Roman" w:cs="Times New Roman"/>
          <w:b/>
          <w:sz w:val="24"/>
        </w:rPr>
        <w:t>Hovedscript:</w:t>
      </w:r>
      <w:r>
        <w:rPr>
          <w:rFonts w:ascii="Times New Roman" w:hAnsi="Times New Roman" w:cs="Times New Roman"/>
          <w:sz w:val="24"/>
        </w:rPr>
        <w:t xml:space="preserve"> </w:t>
      </w:r>
      <w:r>
        <w:rPr>
          <w:rFonts w:ascii="Consolas" w:hAnsi="Consolas" w:cs="Consolas"/>
          <w:sz w:val="20"/>
          <w:shd w:val="clear" w:color="auto" w:fill="F4F4F4"/>
        </w:rPr>
        <w:t>LOG650_analyse_v2_7.py</w:t>
      </w:r>
      <w:r>
        <w:rPr>
          <w:rFonts w:ascii="Times New Roman" w:hAnsi="Times New Roman" w:cs="Times New Roman"/>
          <w:sz w:val="24"/>
        </w:rPr>
        <w:t xml:space="preserve"> – deterministisk analysepipeline som leser MASTERFILE V1.xlsx og produserer alle klassifiseringer, K-means-modellen, regelmotoranbefalinger og besparelsesestimater. Outputformat: Excel (LOG650_Resultater.xlsx) med separate ark for hvert analysesteg.</w:t>
      </w:r>
    </w:p>
    <w:p>
      <w:pPr>
        <w:spacing w:line="360" w:lineRule="auto"/>
        <w:jc w:val="both"/>
      </w:pPr>
      <w:r>
        <w:rPr>
          <w:rFonts w:ascii="Times New Roman" w:hAnsi="Times New Roman" w:cs="Times New Roman"/>
          <w:b/>
          <w:sz w:val="24"/>
        </w:rPr>
        <w:t>Figurscripts:</w:t>
      </w:r>
      <w:r>
        <w:rPr>
          <w:rFonts w:ascii="Times New Roman" w:hAnsi="Times New Roman" w:cs="Times New Roman"/>
          <w:sz w:val="24"/>
        </w:rPr>
        <w:t xml:space="preserve"> 12 separate Python-scripts (</w:t>
      </w:r>
      <w:r>
        <w:rPr>
          <w:rFonts w:ascii="Consolas" w:hAnsi="Consolas" w:cs="Consolas"/>
          <w:sz w:val="20"/>
          <w:shd w:val="clear" w:color="auto" w:fill="F4F4F4"/>
        </w:rPr>
        <w:t>plot_*.py</w:t>
      </w:r>
      <w:r>
        <w:rPr>
          <w:rFonts w:ascii="Times New Roman" w:hAnsi="Times New Roman" w:cs="Times New Roman"/>
          <w:sz w:val="24"/>
        </w:rPr>
        <w:t>) som genererer figurene Fig00–Fig11 i konsistent stil (serif-font, 300 dpi, felles fargepalett).</w:t>
      </w:r>
    </w:p>
    <w:p>
      <w:pPr>
        <w:spacing w:line="360" w:lineRule="auto"/>
        <w:jc w:val="both"/>
      </w:pPr>
      <w:r>
        <w:rPr>
          <w:rFonts w:ascii="Times New Roman" w:hAnsi="Times New Roman" w:cs="Times New Roman"/>
          <w:b/>
          <w:sz w:val="24"/>
        </w:rPr>
        <w:t>Nøkkelbibliotek:</w:t>
      </w:r>
      <w:r>
        <w:rPr>
          <w:rFonts w:ascii="Times New Roman" w:hAnsi="Times New Roman" w:cs="Times New Roman"/>
          <w:sz w:val="24"/>
        </w:rPr>
        <w:t xml:space="preserve"> pandas 2.2.2 (datastrukturer), numpy 1.26.4 (numeriske beregninger), scikit-learn 1.4.2 (KMeans, StandardScaler, silhouette\_score, train\_test\_split), matplotlib 3.8.4 (visualisering), openpyxl 3.1.2 (Excel-lesing), xlsxwriter 3.2.0 (Excel-skriving).</w:t>
      </w:r>
    </w:p>
    <w:p>
      <w:pPr>
        <w:spacing w:line="360" w:lineRule="auto"/>
        <w:jc w:val="both"/>
      </w:pPr>
      <w:r>
        <w:rPr>
          <w:rFonts w:ascii="Times New Roman" w:hAnsi="Times New Roman" w:cs="Times New Roman"/>
          <w:b/>
          <w:sz w:val="24"/>
        </w:rPr>
        <w:t>Reproduserbarhet:</w:t>
      </w:r>
      <w:r>
        <w:rPr>
          <w:rFonts w:ascii="Times New Roman" w:hAnsi="Times New Roman" w:cs="Times New Roman"/>
          <w:sz w:val="24"/>
        </w:rPr>
        <w:t xml:space="preserve"> Alle scripts bruker </w:t>
      </w:r>
      <w:r>
        <w:rPr>
          <w:rFonts w:ascii="Consolas" w:hAnsi="Consolas" w:cs="Consolas"/>
          <w:sz w:val="20"/>
          <w:shd w:val="clear" w:color="auto" w:fill="F4F4F4"/>
        </w:rPr>
        <w:t>random_state=42</w:t>
      </w:r>
      <w:r>
        <w:rPr>
          <w:rFonts w:ascii="Times New Roman" w:hAnsi="Times New Roman" w:cs="Times New Roman"/>
          <w:sz w:val="24"/>
        </w:rPr>
        <w:t xml:space="preserve"> for deterministisk output. Gjentatt kjøring med samme inputdata gir identiske resultater.</w:t>
      </w:r>
    </w:p>
    <w:p>
      <w:pPr>
        <w:spacing w:line="360" w:lineRule="auto"/>
        <w:jc w:val="both"/>
      </w:pPr>
      <w:r>
        <w:rPr>
          <w:rFonts w:ascii="Times New Roman" w:hAnsi="Times New Roman" w:cs="Times New Roman"/>
          <w:sz w:val="24"/>
        </w:rPr>
        <w:t>Fullstendig kildekode er tilgjengelig i prosjektets GitHub-repository.</w:t>
      </w:r>
    </w:p>
    <w:p>
      <w:pPr>
        <w:pStyle w:val="Overskrift2"/>
      </w:pPr>
      <w:r>
        <w:rPr>
          <w:rFonts w:ascii="Times New Roman" w:hAnsi="Times New Roman"/>
          <w:color w:val="000000"/>
          <w:sz w:val="32"/>
        </w:rPr>
        <w:t>Vedlegg C – Erklæring om bruk av kunstig intelligens</w:t>
      </w:r>
    </w:p>
    <w:p>
      <w:pPr>
        <w:spacing w:line="360" w:lineRule="auto"/>
        <w:jc w:val="both"/>
      </w:pPr>
      <w:r>
        <w:rPr>
          <w:rFonts w:ascii="Times New Roman" w:hAnsi="Times New Roman" w:cs="Times New Roman"/>
          <w:sz w:val="24"/>
        </w:rPr>
        <w:t>I denne rapporten er KI-verktøyet Claude brukt som støtteverktøy i tre deler av arbeidet, i samsvar med Høgskolen i Molde sine retningslinjer for bruk av KI på hjemmeeksamen.</w:t>
      </w:r>
    </w:p>
    <w:p>
      <w:pPr>
        <w:spacing w:line="360" w:lineRule="auto"/>
        <w:jc w:val="both"/>
      </w:pPr>
      <w:r>
        <w:rPr>
          <w:rFonts w:ascii="Times New Roman" w:hAnsi="Times New Roman" w:cs="Times New Roman"/>
          <w:b/>
          <w:sz w:val="24"/>
        </w:rPr>
        <w:t>1. Kode og algoritmer.</w:t>
      </w:r>
      <w:r>
        <w:rPr>
          <w:rFonts w:ascii="Times New Roman" w:hAnsi="Times New Roman" w:cs="Times New Roman"/>
          <w:sz w:val="24"/>
        </w:rPr>
        <w:t xml:space="preserve"> Claude ble brukt til kodestøtte og feilsøking i Python-scriptet (</w:t>
      </w:r>
      <w:r>
        <w:rPr>
          <w:rFonts w:ascii="Consolas" w:hAnsi="Consolas" w:cs="Consolas"/>
          <w:sz w:val="20"/>
          <w:shd w:val="clear" w:color="auto" w:fill="F4F4F4"/>
        </w:rPr>
        <w:t>LOG650_analyse_v2_7.py</w:t>
      </w:r>
      <w:r>
        <w:rPr>
          <w:rFonts w:ascii="Times New Roman" w:hAnsi="Times New Roman" w:cs="Times New Roman"/>
          <w:sz w:val="24"/>
        </w:rPr>
        <w:t xml:space="preserve">)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w:t>
      </w:r>
      <w:r>
        <w:rPr>
          <w:rFonts w:ascii="Consolas" w:hAnsi="Consolas" w:cs="Consolas"/>
          <w:sz w:val="20"/>
          <w:shd w:val="clear" w:color="auto" w:fill="F4F4F4"/>
        </w:rPr>
        <w:t>random_state=42</w:t>
      </w:r>
      <w:r>
        <w:rPr>
          <w:rFonts w:ascii="Times New Roman" w:hAnsi="Times New Roman" w:cs="Times New Roman"/>
          <w:sz w:val="24"/>
        </w:rPr>
        <w:t xml:space="preserve"> for deterministisk og reproduserbar output.</w:t>
      </w:r>
    </w:p>
    <w:p>
      <w:pPr>
        <w:spacing w:line="360" w:lineRule="auto"/>
        <w:jc w:val="both"/>
      </w:pPr>
      <w:r>
        <w:rPr>
          <w:rFonts w:ascii="Times New Roman" w:hAnsi="Times New Roman" w:cs="Times New Roman"/>
          <w:b/>
          <w:sz w:val="24"/>
        </w:rPr>
        <w:t>2. Figurer og tabeller.</w:t>
      </w:r>
      <w:r>
        <w:rPr>
          <w:rFonts w:ascii="Times New Roman" w:hAnsi="Times New Roman" w:cs="Times New Roman"/>
          <w:sz w:val="24"/>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i bildeteksten. Tabeller er formatert med støtte fra Claude, men alle verdier kommer direkte fra analysescriptet.</w:t>
      </w:r>
    </w:p>
    <w:p>
      <w:pPr>
        <w:spacing w:line="360" w:lineRule="auto"/>
        <w:jc w:val="both"/>
      </w:pPr>
      <w:r>
        <w:rPr>
          <w:rFonts w:ascii="Times New Roman" w:hAnsi="Times New Roman" w:cs="Times New Roman"/>
          <w:b/>
          <w:sz w:val="24"/>
        </w:rPr>
        <w:t>3. Tekststrukturering og språklig bearbeiding.</w:t>
      </w:r>
      <w:r>
        <w:rPr>
          <w:rFonts w:ascii="Times New Roman" w:hAnsi="Times New Roman" w:cs="Times New Roman"/>
          <w:sz w:val="24"/>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pPr>
        <w:spacing w:line="360" w:lineRule="auto"/>
        <w:jc w:val="both"/>
      </w:pPr>
      <w:r>
        <w:rPr>
          <w:rFonts w:ascii="Times New Roman" w:hAnsi="Times New Roman" w:cs="Times New Roman"/>
          <w:b/>
          <w:sz w:val="24"/>
        </w:rPr>
        <w:t>4. Refleksjon over KI-brukens påvirkning.</w:t>
      </w:r>
      <w:r>
        <w:rPr>
          <w:rFonts w:ascii="Times New Roman" w:hAnsi="Times New Roman" w:cs="Times New Roman"/>
          <w:sz w:val="24"/>
        </w:rPr>
        <w:t xml:space="preserve"> Bruken av Claude påvirket arbeidsprosessen på to vesentlige måter. For det første akselererte kodestøtten iterasjonshastigheten i Python-utviklingen, noe som muliggjorde flere eksperimentelle kjøringer og raskere feilsøking enn manuell utvikling alene ville tillatt. For det andre bidro den språklige bearbeidingen til mer konsise formuleringer, men krevde aktiv overvåking for å unngå at faglig presisjon gikk tapt til fordel for språklig eleganse. Den analytiske retningen – valg av metoder, regelutforming og tolkning av resultater – er ikke påvirket av KI-verktøyet.</w:t>
      </w:r>
    </w:p>
    <w:p>
      <w:pPr>
        <w:spacing w:line="360" w:lineRule="auto"/>
        <w:jc w:val="both"/>
      </w:pPr>
      <w:r>
        <w:rPr>
          <w:rFonts w:ascii="Times New Roman" w:hAnsi="Times New Roman" w:cs="Times New Roman"/>
          <w:b/>
          <w:sz w:val="24"/>
        </w:rPr>
        <w:t>Avgrensning.</w:t>
      </w:r>
      <w:r>
        <w:rPr>
          <w:rFonts w:ascii="Times New Roman" w:hAnsi="Times New Roman" w:cs="Times New Roman"/>
          <w:sz w:val="24"/>
        </w:rPr>
        <w:t xml:space="preserve"> Rådata fra SAP ble ikke lagt inn i KI-verktøyet. Alle datatransformasjoner er dokumentert i D-01–D-08 (avsnitt 4.3) og kjørt lokalt i Python. Ingen pasientdata eller personopplysninger er brukt i studien.</w:t>
      </w:r>
    </w:p>
    <w:p>
      <w:pPr>
        <w:spacing w:line="360" w:lineRule="auto"/>
        <w:jc w:val="both"/>
      </w:pPr>
      <w:r>
        <w:rPr>
          <w:rFonts w:ascii="Times New Roman" w:hAnsi="Times New Roman" w:cs="Times New Roman"/>
          <w:b/>
          <w:sz w:val="24"/>
        </w:rPr>
        <w:t>Signatur:</w:t>
      </w:r>
    </w:p>
    <w:p>
      <w:pPr>
        <w:spacing w:line="360" w:lineRule="auto"/>
        <w:jc w:val="both"/>
      </w:pPr>
      <w:r>
        <w:rPr>
          <w:rFonts w:ascii="Times New Roman" w:hAnsi="Times New Roman" w:cs="Times New Roman"/>
          <w:sz w:val="24"/>
        </w:rPr>
        <w:t>Sted og dato: \_\_\_\_\_\_\_\_\_\_\_\_\_\_\_\_\_\_\_\_\_\_\_\_</w:t>
      </w:r>
    </w:p>
    <w:p>
      <w:pPr>
        <w:spacing w:line="360" w:lineRule="auto"/>
        <w:jc w:val="both"/>
      </w:pPr>
      <w:r>
        <w:rPr>
          <w:rFonts w:ascii="Times New Roman" w:hAnsi="Times New Roman" w:cs="Times New Roman"/>
          <w:sz w:val="24"/>
        </w:rPr>
        <w:t>Navn: \_\_\_\_\_\_\_\_\_\_\_\_\_\_\_\_\_\_\_\_\_\_\_\_</w:t>
      </w:r>
    </w:p>
    <w:p>
      <w:pPr>
        <w:spacing w:line="360" w:lineRule="auto"/>
        <w:jc w:val="both"/>
      </w:pPr>
      <w:r>
        <w:rPr>
          <w:rFonts w:ascii="Times New Roman" w:hAnsi="Times New Roman" w:cs="Times New Roman"/>
          <w:sz w:val="24"/>
        </w:rPr>
        <w:t>Studentnummer: \_\_\_\_\_\_\_\_\_\_\_\_\_\_\_\_\_\_\_\_\_\_\_\_</w:t>
      </w:r>
    </w:p>
    <w:p>
      <w:pPr>
        <w:spacing w:line="360" w:lineRule="auto"/>
        <w:jc w:val="both"/>
      </w:pPr>
      <w:r>
        <w:rPr>
          <w:rFonts w:ascii="Times New Roman" w:hAnsi="Times New Roman" w:cs="Times New Roman"/>
          <w:sz w:val="24"/>
        </w:rPr>
        <w:t>Jeg bekrefter at opplysningene ovenfor er korrekte, og at all bruk av kunstig intelligens i dette arbeidet er beskrevet fullstendig og ærlig.</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jc w:val="both"/>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