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tre kategorier: OVERFØR_HVFS, BEHOLD_LOKALT eller VURDER_NÆRMERE.</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anbefaler overføring av 145 artikler (20,5 % av populasjonen), mens 257 artikler beholdes lokalt og 284 sendes til manuell vurdering. Det estimerte besparelsespotensialet er kr 451 515 per år i base case (realiseringsgrad g = 75 % av teoretisk totalkostnavvik \sum \Delta TC_i), med et pessimistisk scenario på kr 301 010 og et optimistisk på kr 602 020.</w:t>
      </w:r>
    </w:p>
    <w:p>
      <w:pPr>
        <w:pStyle w:val="Normal"/>
        <w:spacing w:line="360" w:lineRule="auto"/>
      </w:pPr>
      <w:r>
        <w:rPr>
          <w:rFonts w:ascii="Times New Roman" w:hAnsi="Times New Roman"/>
          <w:sz w:val="24"/>
        </w:rPr>
        <w:t xml:space="preserve">Studien konkluderer med at multikriterieklassifisering og klyngeanalyse av SAP-transaksjonsdata gir et operasjonelt anvendbart grunnlag for å identifisere HVFS-overføringskandidater ved Helse Bergen. Sentralisering anbefales, men forutsetter aktiv justering av SAP MM-parametere og en strukturert manuell gjennomgang av VURDER NÆRMERE-gruppen for å realisere det estimerte besparelsespotensialet.</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0. Konseptuelt rammeverk – fra SAP-data til HVFS-anbefaling</w:t>
      </w:r>
    </w:p>
    <w:p>
      <w:pPr>
        <w:spacing w:line="360" w:lineRule="auto"/>
      </w:pPr>
      <w:r>
        <w:rPr>
          <w:rFonts w:ascii="Times New Roman" w:hAnsi="Times New Roman" w:cs="Times New Roman"/>
          <w:sz w:val="24"/>
        </w:rPr>
        <w:t>Figur 1. Lagerstruktur – Helse Vest forsyningskjede (forenklet)</w:t>
      </w:r>
    </w:p>
    <w:p>
      <w:pPr>
        <w:spacing w:line="360" w:lineRule="auto"/>
      </w:pPr>
      <w:r>
        <w:rPr>
          <w:rFonts w:ascii="Times New Roman" w:hAnsi="Times New Roman" w:cs="Times New Roman"/>
          <w:sz w:val="24"/>
        </w:rPr>
        <w:t>Figur 2. Analysepipeline: fra SAP-rådata til HVFS-anbefaling</w:t>
      </w:r>
    </w:p>
    <w:p>
      <w:pPr>
        <w:spacing w:line="360" w:lineRule="auto"/>
      </w:pPr>
      <w:r>
        <w:rPr>
          <w:rFonts w:ascii="Times New Roman" w:hAnsi="Times New Roman" w:cs="Times New Roman"/>
          <w:sz w:val="24"/>
        </w:rPr>
        <w:t>Figur 3. Regelmotor: sekvensiell beslutningsflyt for HVFS-anbefaling (R1–R8)</w:t>
      </w:r>
    </w:p>
    <w:p>
      <w:pPr>
        <w:spacing w:line="360" w:lineRule="auto"/>
      </w:pPr>
      <w:r>
        <w:rPr>
          <w:rFonts w:ascii="Times New Roman" w:hAnsi="Times New Roman" w:cs="Times New Roman"/>
          <w:sz w:val="24"/>
        </w:rPr>
        <w:t>Figur 4. Dataoversikt: fordeling av nøkkelvariablar for 709 artiklar</w:t>
      </w:r>
    </w:p>
    <w:p>
      <w:pPr>
        <w:spacing w:line="360" w:lineRule="auto"/>
      </w:pPr>
      <w:r>
        <w:rPr>
          <w:rFonts w:ascii="Times New Roman" w:hAnsi="Times New Roman" w:cs="Times New Roman"/>
          <w:sz w:val="24"/>
        </w:rPr>
        <w:t>Figur 5. ABC Pareto-kurve: kumulativ verdiandel for 709 artikler</w:t>
      </w:r>
    </w:p>
    <w:p>
      <w:pPr>
        <w:spacing w:line="360" w:lineRule="auto"/>
      </w:pPr>
      <w:r>
        <w:rPr>
          <w:rFonts w:ascii="Times New Roman" w:hAnsi="Times New Roman" w:cs="Times New Roman"/>
          <w:sz w:val="24"/>
        </w:rPr>
        <w:t>Figur 6. ABC/XYZ-kryssmatrise: antall artikler per kombinasjon</w:t>
      </w:r>
    </w:p>
    <w:p>
      <w:pPr>
        <w:spacing w:line="360" w:lineRule="auto"/>
      </w:pPr>
      <w:r>
        <w:rPr>
          <w:rFonts w:ascii="Times New Roman" w:hAnsi="Times New Roman" w:cs="Times New Roman"/>
          <w:sz w:val="24"/>
        </w:rPr>
        <w:t>Figur 7. EOQ-avvik: relativ frekvensavvik med terskel ved τ_f = 1,5</w:t>
      </w:r>
    </w:p>
    <w:p>
      <w:pPr>
        <w:spacing w:line="360" w:lineRule="auto"/>
      </w:pPr>
      <w:r>
        <w:rPr>
          <w:rFonts w:ascii="Times New Roman" w:hAnsi="Times New Roman" w:cs="Times New Roman"/>
          <w:sz w:val="24"/>
        </w:rPr>
        <w:t>Figur 8. Silhouette-score for K = 2–7 (treningsdata, n = 389)</w:t>
      </w:r>
    </w:p>
    <w:p>
      <w:pPr>
        <w:spacing w:line="360" w:lineRule="auto"/>
      </w:pPr>
      <w:r>
        <w:rPr>
          <w:rFonts w:ascii="Times New Roman" w:hAnsi="Times New Roman" w:cs="Times New Roman"/>
          <w:sz w:val="24"/>
        </w:rPr>
        <w:t>Figur 9. K-means klyngeresultat (K = 3): forbruksstabilitet vs verdi og kostnadsavvik</w:t>
      </w:r>
    </w:p>
    <w:p>
      <w:pPr>
        <w:spacing w:line="360" w:lineRule="auto"/>
      </w:pPr>
      <w:r>
        <w:rPr>
          <w:rFonts w:ascii="Times New Roman" w:hAnsi="Times New Roman" w:cs="Times New Roman"/>
          <w:sz w:val="24"/>
        </w:rPr>
        <w:t>Figur 10. Klyngeprofiler for K-means (K = 3): gjennomsnittlig z-score per feature</w:t>
      </w:r>
    </w:p>
    <w:p>
      <w:pPr>
        <w:spacing w:line="360" w:lineRule="auto"/>
      </w:pPr>
      <w:r>
        <w:rPr>
          <w:rFonts w:ascii="Times New Roman" w:hAnsi="Times New Roman" w:cs="Times New Roman"/>
          <w:sz w:val="24"/>
        </w:rPr>
        <w:t>Figur 11.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3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Innkjøpsordrerhoder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5 gir en samlet oversikt over fordelingen av nøkkelvariablar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5.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3.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kapitalkostand,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tre konkrete formål: (1) kodestøtte og feilsøking i Python-scriptet for ABC-, XYZ-, EOQ- og K-means-analysen; (2) generering av alle datavisualiseringer — Pareto-kurve, kryssmatrise, EOQ-avviksplott, silhouette-profil, scatterplott og regelmotor-fordeling — på grunnlag av analyseresultater produsert av scriptet; og (3) strukturering og språklig bearbeiding av rapportteksten. Alle figurer generert med støtte fra Claude er merket «Generert med støtte fra Claude (Anthropic, 2026)» i bildeteksten.</w:t>
      </w:r>
    </w:p>
    <w:p>
      <w:pPr>
        <w:spacing w:line="360" w:lineRule="auto"/>
      </w:pPr>
      <w:r>
        <w:rPr>
          <w:rFonts w:ascii="Times New Roman" w:hAnsi="Times New Roman" w:cs="Times New Roman"/>
          <w:sz w:val="24"/>
        </w:rPr>
        <w:t>Claude ble ikke brukt som fagkilde og er ikke sitert som belegg for faglige påstander. Alle numeriske resultater, tabellverdier og analytiske konklusjoner er produsert av Python-scriptet fra SAP-kildedata og er uavhengige av KI-verktøyet. Rådata fra SAP ble ikke modifisert i noen fase av arbeidet; alle transformasjoner er dokumentert i D-01–D-08 (avsnitt 4.3) og implementert deterministisk i scriptet.</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basert på en kombinasjon av lav CV (stabilt forbruk), høy artikkelverdi og høyt positivt </w:t>
      </w:r>
      <m:oMath>
        <m:r>
          <m:t>ΔTC</m:t>
        </m:r>
      </m:oMath>
      <w:r>
        <w:rPr>
          <w:rFonts w:ascii="Times New Roman" w:hAnsi="Times New Roman" w:cs="Times New Roman"/>
          <w:sz w:val="24"/>
        </w:rPr>
        <w:t xml:space="preserve"> (mange unødvendige ordrer).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stabilt, men ikkje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Høy verdi, moderat variasjon, ikkje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TIL_VURDERING</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4.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celleanntall er gjengitt i Figur 7; univariate XYZ-fordelingar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7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For 222 av de 487 artiklene med EOQ-data mangler innkjøpshistorikk i EKBE for analyseperioden, noe som innebærer at faktisk ordrefrekvens er null; disse artiklene inngår i «OK»-kategorien da det ikke kan påvises overbestilling.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kombinasjonen av lav CV (stabilt forbruksmønster), relativt høy artikkelverdi og høyt positivt </w:t>
      </w:r>
      <m:oMath>
        <m:d>
          <m:dPr>
            <m:begChr m:val="|"/>
            <m:sepChr m:val=""/>
            <m:endChr m:val="|"/>
          </m:dPr>
          <m:e>
            <m:r>
              <m:t>Δ</m:t>
            </m:r>
            <m:r>
              <m:t>T</m:t>
            </m:r>
            <m:r>
              <m:t>C</m:t>
            </m:r>
          </m:e>
        </m:d>
      </m:oMath>
      <w:r>
        <w:rPr>
          <w:rFonts w:ascii="Times New Roman" w:hAnsi="Times New Roman" w:cs="Times New Roman"/>
          <w:sz w:val="24"/>
        </w:rPr>
        <w:t xml:space="preserve"> (mange unødvendige ordrer). Figur 9 visualiserer klyngestrukturen i et to-dimensjonalt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144 artikler, R2 (CY) fanget 113, R3 (A/B + X + FOR\_MANGE) fanget 91, R4 (A/B + X + K\_OVERFØR) fanget 26, R5 (A/B + Y + K\_OVERFØR) fanget 28,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realisable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operasjonelt anvendbart grunnlag for å identifisere overføringskandidater direkte fra SAP-transaksjonsdata. Av de 709 aktive artiklene i LGORT 3001 anbefaler regelmotoren at </w:t>
      </w:r>
      <w:r>
        <w:rPr>
          <w:rFonts w:ascii="Times New Roman" w:hAnsi="Times New Roman" w:cs="Times New Roman"/>
          <w:b/>
          <w:sz w:val="24"/>
        </w:rPr>
        <w:t>145 artikler</w:t>
      </w:r>
      <w:r>
        <w:rPr>
          <w:rFonts w:ascii="Times New Roman" w:hAnsi="Times New Roman" w:cs="Times New Roman"/>
          <w:sz w:val="24"/>
        </w:rPr>
        <w:t xml:space="preserve"> (20,5 %) overføres til HVFS. Disse artiklene kjennetegnes ved høy verdi (A- eller B-klasse), stabilt forbruksmønster (X- eller Y-klasse) og dokumentert overbestilling eller klyngetilhørighet som indikerer ineffektiv ordrepraksis.</w:t>
      </w:r>
    </w:p>
    <w:p>
      <w:pPr>
        <w:spacing w:line="360" w:lineRule="auto"/>
      </w:pPr>
      <w:r>
        <w:rPr>
          <w:rFonts w:ascii="Times New Roman" w:hAnsi="Times New Roman" w:cs="Times New Roman"/>
          <w:sz w:val="24"/>
        </w:rPr>
        <w:t xml:space="preserve">Det estimerte besparelsespotensialet for base case er </w:t>
      </w:r>
      <w:r>
        <w:rPr>
          <w:rFonts w:ascii="Times New Roman" w:hAnsi="Times New Roman" w:cs="Times New Roman"/>
          <w:b/>
          <w:sz w:val="24"/>
        </w:rPr>
        <w:t>kr 451 515 per år</w:t>
      </w:r>
      <w:r>
        <w:rPr>
          <w:rFonts w:ascii="Times New Roman" w:hAnsi="Times New Roman" w:cs="Times New Roman"/>
          <w:sz w:val="24"/>
        </w:rPr>
        <w:t xml:space="preserve"> (realiseringsgrad </w:t>
      </w:r>
      <m:oMath>
        <m:r>
          <m:t>g=75</m:t>
        </m:r>
      </m:oMath>
      <w:r>
        <w:rPr>
          <w:rFonts w:ascii="Times New Roman" w:hAnsi="Times New Roman" w:cs="Times New Roman"/>
          <w:sz w:val="24"/>
        </w:rPr>
        <w:t xml:space="preserve"> av teoretisk </w:t>
      </w:r>
      <m:oMath>
        <m:r>
          <m:t>∑ΔT</m:t>
        </m:r>
        <m:sSub>
          <m:e>
            <m:r>
              <m:t>C</m:t>
            </m:r>
          </m:e>
          <m:sub>
            <m:r>
              <m:t>i</m:t>
            </m:r>
          </m:sub>
        </m:sSub>
      </m:oMath>
      <w:r>
        <w:rPr>
          <w:rFonts w:ascii="Times New Roman" w:hAnsi="Times New Roman" w:cs="Times New Roman"/>
          <w:sz w:val="24"/>
        </w:rPr>
        <w:t>).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Disse estimatene er forankret i 117 artikler som oppfyller begge kriteriene OVERFØR\_HVFS og FOR\_MANGE\_ORDRER, og der det samlede teoretiske totalkostnavviket er kr 602 020 per år. Sensitivitetsanalysen over 27 parameterkombinasjoner — med variasjon i S, h og </w:t>
      </w:r>
      <m:oMath>
        <m:sSub>
          <m:e>
            <m:r>
              <m:t>τ</m:t>
            </m:r>
          </m:e>
          <m:sub>
            <m:r>
              <m:t>f</m:t>
            </m:r>
          </m:sub>
        </m:sSub>
      </m:oMath>
      <w:r>
        <w:rPr>
          <w:rFonts w:ascii="Times New Roman" w:hAnsi="Times New Roman" w:cs="Times New Roman"/>
          <w:sz w:val="24"/>
        </w:rPr>
        <w:t xml:space="preserve"> — viser at det samlede </w:t>
      </w:r>
      <m:oMath>
        <m:r>
          <m:t>ΔTC</m:t>
        </m:r>
      </m:oMath>
      <w:r>
        <w:rPr>
          <w:rFonts w:ascii="Times New Roman" w:hAnsi="Times New Roman" w:cs="Times New Roman"/>
          <w:sz w:val="24"/>
        </w:rPr>
        <w:t xml:space="preserve"> for hele populasjonen (487 artikler) varierer mellom kr 1 602 464 og kr 3 068 757 per år, og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Dette synliggjør at besparelsesestimatet er moderat sensitivt overfor forutsetningene om ordrekostnad og holdesats, men forblir positivt og vesentlig over alle 27 scenarier.</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kan danne grunnlag for konkrete beslutninger i LIBRA-prosjektets videre gjennomføring.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anbefalt overført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