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fire kategorier: OVERFØR_HVFS, BEHOLD_LOKALT, VURDER_NÆRMERE eller MANGLER_DATA.</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identifiserer 145 artikler (20,5 %) som prioriterte overføringskandidater til HVFS, mens 257 artikler beholdes lokalt, 284 sendes til manuell vurdering og 23 artikler (3,2 %) mangler tilstrekkelig data for klassifisering. At 40,1 % av artiklene havner i manuell vurdering, reflekterer at modellen prioriterer presisjon over recall — hovedverdien er systematisk triage av artikkelporteføljen, ikke full beslutningsautomatisering. Det estimerte besparelsespotensialet varierer fra kr 301 010 (pessimistisk, g = 50 %) til kr 602 020 (optimistisk, g = 100 %) per år, med et base case-estimat på kr 451 515 (g = 75 %). Parametrene S, h og g er ikke kalibrert mot lokalt observerte kostnader, og estimatene bør betraktes som scenariobaserte intervaller.</w:t>
      </w:r>
    </w:p>
    <w:p>
      <w:pPr>
        <w:pStyle w:val="Normal"/>
        <w:spacing w:line="360" w:lineRule="auto"/>
      </w:pPr>
      <w:r>
        <w:rPr>
          <w:rFonts w:ascii="Times New Roman" w:hAnsi="Times New Roman"/>
          <w:sz w:val="24"/>
        </w:rPr>
        <w:t xml:space="preserve">Studien konkluderer med at multikriterieklassifisering og klyngeanalyse av SAP-transaksjonsdata gir et strukturert beslutningsgrunnlag for å prioritere HVFS-overføringskandidater ved Helse Bergen. Realisering forutsetter aktiv justering av SAP MM-parametere, innkjøpsfaglig validering av overføringslisten, og en strukturert manuell gjennomgang av VURDER NÆRMERE-gruppen.</w:t>
      </w:r>
    </w:p>
    <w:p>
      <w:pPr>
        <w:pStyle w:val="Normal"/>
        <w:spacing w:line="360" w:lineRule="auto"/>
      </w:pPr>
      <w:r>
        <w:rPr>
          <w:rFonts w:ascii="Times New Roman" w:hAnsi="Times New Roman"/>
          <w:sz w:val="24"/>
        </w:rPr>
        <w:t xml:space="preserve"># Abstract</w:t>
      </w:r>
    </w:p>
    <w:p>
      <w:pPr>
        <w:pStyle w:val="Normal"/>
        <w:spacing w:line="360" w:lineRule="auto"/>
      </w:pPr>
      <w:r>
        <w:rPr>
          <w:rFonts w:ascii="Times New Roman" w:hAnsi="Times New Roman"/>
          <w:sz w:val="24"/>
        </w:rPr>
        <w:t xml:space="preserve">This study analyses which medical consumable articles at Helse Bergen's supply warehouse (WERKS 3300, LGORT 3001) should be transferred to the regional supply centre Helse Vest Forsyningssenter (HVFS), and estimates the associated cost savings. The context is the LIBRA project — Helse Vest's regional implementation of SAP S/4HANA — which enables centralised supply through a department-packed delivery model (APL).</w:t>
      </w:r>
    </w:p>
    <w:p>
      <w:pPr>
        <w:pStyle w:val="Normal"/>
        <w:spacing w:line="360" w:lineRule="auto"/>
      </w:pPr>
      <w:r>
        <w:rPr>
          <w:rFonts w:ascii="Times New Roman" w:hAnsi="Times New Roman"/>
          <w:sz w:val="24"/>
        </w:rPr>
        <w:t xml:space="preserve">The dataset comprises 709 active articles extracted from 14 SAP S/4HANA tables for the period 2024–2025. The analysis combines four methods in an integrated pipeline: ABC classification based on the Pareto principle, XYZ classification based on the coefficient of variation (CV), EOQ deviation analysis with parameters S = NOK 750 and h = 20 % of unit price, and K-means cluster analysis with automatic K selection via silhouette score. Results are synthesised through a rule engine with eight decision rules that classify each article into one of four categories: TRANSFER, KEEP LOCAL, REVIEW, or INSUFFICIENT DATA.</w:t>
      </w:r>
    </w:p>
    <w:p>
      <w:pPr>
        <w:pStyle w:val="Normal"/>
        <w:spacing w:line="360" w:lineRule="auto"/>
      </w:pPr>
      <w:r>
        <w:rPr>
          <w:rFonts w:ascii="Times New Roman" w:hAnsi="Times New Roman"/>
          <w:sz w:val="24"/>
        </w:rPr>
        <w:t xml:space="preserve">The ABC analysis assigns 182 articles (25.7 %) to category A, accounting for approximately 80 % of total value. K-means identifies K = 3 clusters with silhouette scores of 0.383 (training) and 0.368 (test), confirming acceptable cluster structure. The rule engine identifies 145 articles (20.5 %) as prioritised transfer candidates, while 257 are retained locally, 284 require manual review, and 23 lack sufficient data. The estimated annual savings potential ranges from NOK 301 010 (pessimistic, g = 50 %) to NOK 602 020 (optimistic, g = 100 %), with a base case estimate of NOK 451 515 (g = 75 %). As cost parameters are not calibrated against locally observed costs, these estimates should be interpreted as scenario-based intervals.</w:t>
      </w:r>
    </w:p>
    <w:p>
      <w:pPr>
        <w:pStyle w:val="Normal"/>
        <w:spacing w:line="360" w:lineRule="auto"/>
      </w:pPr>
      <w:r>
        <w:rPr>
          <w:rFonts w:ascii="Times New Roman" w:hAnsi="Times New Roman"/>
          <w:sz w:val="24"/>
        </w:rPr>
        <w:t xml:space="preserve">The study concludes that multi-criteria classification combined with cluster analysis of SAP transaction data provides a structured decision basis for prioritising HVFS transfer candidates. The tool's primary value is systematic triage of the article portfolio; final transfer decisions require procurement and clinical validation, active adjustment of SAP MM parameters, and structured expert review of the REVIEW group.</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Analysepipeline: fra SAP-rådata til HVFS-anbefaling</w:t>
      </w:r>
    </w:p>
    <w:p>
      <w:pPr>
        <w:spacing w:line="360" w:lineRule="auto"/>
      </w:pPr>
      <w:r>
        <w:rPr>
          <w:rFonts w:ascii="Times New Roman" w:hAnsi="Times New Roman" w:cs="Times New Roman"/>
          <w:sz w:val="24"/>
        </w:rPr>
        <w:t>Figur 4. Regelmotor: sekvensiell beslutningsflyt for HVFS-anbefaling (R1–R8)</w:t>
      </w:r>
    </w:p>
    <w:p>
      <w:pPr>
        <w:spacing w:line="360" w:lineRule="auto"/>
      </w:pPr>
      <w:r>
        <w:rPr>
          <w:rFonts w:ascii="Times New Roman" w:hAnsi="Times New Roman" w:cs="Times New Roman"/>
          <w:sz w:val="24"/>
        </w:rPr>
        <w:t>Figur 5. Dataoversikt: fordeling av nøkkelvariabler for 709 artikler</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5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5.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analyseklart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3.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kapitalkostnad,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kodestøtte, generering av datavisualiseringer og språklig bearbeiding av rapportteksten. KI-verktøyet er ikke brukt som fagkilde og er ikke sitert som belegg for faglige påstander. Detaljert beskrivelse av bruken finnes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150 %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4.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Artikler under terskelen («OK») opererer nær EOQ-optimalt nivå. EOQ-analysen omfatter 487 artikler med </w:t>
      </w:r>
      <m:oMath>
        <m:sSub>
          <m:e>
            <m:r>
              <m:t>D</m:t>
            </m:r>
          </m:e>
          <m:sub>
            <m:r>
              <m:t>i</m:t>
            </m:r>
          </m:sub>
        </m:sSub>
        <m:r>
          <m:t>&gt;0</m:t>
        </m:r>
      </m:oMath>
      <w:r>
        <w:rPr>
          <w:rFonts w:ascii="Times New Roman" w:hAnsi="Times New Roman" w:cs="Times New Roman"/>
          <w:sz w:val="24"/>
        </w:rPr>
        <w:t xml:space="preserve">, gyldig enhetspris og tilgjengelig ordrehistorikk i EKBE; de øvrige 199 artiklene med årlig forbruk men uten registrert ordrehistorikk i EKBE er ekskludert fra EOQ-beregningen fordi faktisk ordrefrekvens ikke kan fastsettes. Av de 487 artiklene klassifiseres 356 (73,1 %) som FOR\_MANGE\_ORDRER, 100 som OK og 31 som FOR\_FÅ\_ORDRER.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143 artikler, R2 (CY) fanget 114, R3 (A/B + X + FOR\_MANGE) fanget 71, R4 (A/B + X + K\_OVERFØR) fanget 18, R5 (A/B + Y + K\_OVERFØR) fanget 56,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Den geopolitiske situasjonen i Midtøsten i første kvartal 2026 understreker den praktiske relevansen av et slikt verktøy. Usikkerhet knyttet til Hormuzstredet, omdirigering av skipstrafikk via Afrika og cyberangrep mot leverandører som Stryker og Intuitive har økt risikoen for lengre ledetider og forstyrrelser i forsyningskjeden for medisinsk utstyr. Selv om HVFS per mars 2026 har om lag tre måneders dekning på normalforbruk og det ikke foreligger noen akutt forsyningskrise, illustrerer situasjonen behovet for proaktiv klassifisering som raskt kan identifisere hvilke artikler som bør prioriteres ved behov for økt sikkerhetslager. Periodisk reklassifisering med oppdaterte transaksjonsdata vil fange opp endringer i forbruksmønster og ledetider som oppstår som følge av slike ytre forstyrrelser.</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Varegruppebeskrivelse</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artikler, 21 kolonner</w:t>
            </w:r>
          </w:p>
        </w:tc>
      </w:tr>
    </w:tbl>
    <w:p>
      <w:pPr>
        <w:spacing w:line="360" w:lineRule="auto"/>
      </w:pPr>
      <w:r>
        <w:rPr>
          <w:rFonts w:ascii="Times New Roman" w:hAnsi="Times New Roman" w:cs="Times New Roman"/>
          <w:sz w:val="24"/>
        </w:rPr>
        <w:t>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