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Dataoversikt: fordeling av nøkkelvariabler for 709 artikler</w:t>
      </w:r>
    </w:p>
    <w:p>
      <w:pPr>
        <w:spacing w:line="360" w:lineRule="auto"/>
      </w:pPr>
      <w:r>
        <w:rPr>
          <w:rFonts w:ascii="Times New Roman" w:hAnsi="Times New Roman" w:cs="Times New Roman"/>
          <w:sz w:val="24"/>
        </w:rPr>
        <w:t>Figur 4. Analysepipeline: fra SAP-rådata til HVFS-anbefaling</w:t>
      </w:r>
    </w:p>
    <w:p>
      <w:pPr>
        <w:spacing w:line="360" w:lineRule="auto"/>
      </w:pPr>
      <w:r>
        <w:rPr>
          <w:rFonts w:ascii="Times New Roman" w:hAnsi="Times New Roman" w:cs="Times New Roman"/>
          <w:sz w:val="24"/>
        </w:rPr>
        <w:t>Figur 5. Regelmotor: sekvensiell beslutningsflyt for HVFS-anbefaling (R1–R8)</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Tabell 1.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Tabell 2.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Tabell 3.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Bergens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4.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ikke gjenstand for selvrapporteringsfeil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Tabell 4.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Tabell 5.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standardverdi</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 standardverdi</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pPr>
        <w:spacing w:line="360" w:lineRule="auto"/>
      </w:pPr>
      <w:r>
        <w:rPr>
          <w:rFonts w:ascii="Times New Roman" w:hAnsi="Times New Roman" w:cs="Times New Roman"/>
          <w:sz w:val="24"/>
        </w:rPr>
        <w:t>Datapipelinen fra rådata til analyseklart datasett er illustrert i Figur 4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Parametervalgene S og h er begrunnet i avsnitt 1.4 og testes i sensitivitetsanalysen (kap. 7.6).</w:t>
      </w:r>
    </w:p>
    <w:p>
      <w:pPr>
        <w:spacing w:line="360" w:lineRule="auto"/>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Tabell 6.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standardverdi</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($f_{text{obs}} &gt; 1{,}5 cdot f^*$, dvs. FREQ_AVVIK &gt; 0,5)</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w:t>
      </w:r>
      <m:oMath>
        <m:sSub>
          <m:e>
            <m:r>
              <m:t>f</m:t>
            </m:r>
          </m:e>
          <m:sub>
            <m:r>
              <m:rPr>
                <m:nor/>
              </m:rPr>
              <m:t>obs</m:t>
            </m:r>
          </m:sub>
        </m:sSub>
        <m:r>
          <m:t>&gt;</m:t>
        </m:r>
        <m:sSub>
          <m:e>
            <m:r>
              <m:t>τ</m:t>
            </m:r>
          </m:e>
          <m:sub>
            <m:r>
              <m:t>f</m:t>
            </m:r>
          </m:sub>
        </m:sSub>
        <m:r>
          <m:t>·</m:t>
        </m:r>
        <m:sSup>
          <m:e>
            <m:r>
              <m:t>f</m:t>
            </m:r>
          </m:e>
          <m:sup>
            <m:r>
              <m:t>*</m:t>
            </m:r>
          </m:sup>
        </m:s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KMeans-modellen fittes kun på treningsdataene. Testsettet evaluerer klyngestrukturens generaliserbarhet.</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Tabell 7.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`n_init=50` og `max_iter=300`.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Tabell 8.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Tabell 9.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Tabell 10.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94</w:t>
            </w:r>
          </w:p>
        </w:tc>
        <w:tc>
          <w:tcPr>
            <w:tcW w:type="dxa" w:w="1754"/>
          </w:tcPr>
          <w:p>
            <w:r/>
            <w:r>
              <w:rPr>
                <w:rFonts w:ascii="Times New Roman" w:hAnsi="Times New Roman"/>
                <w:sz w:val="22"/>
              </w:rPr>
              <w:t>65</w:t>
            </w:r>
          </w:p>
        </w:tc>
        <w:tc>
          <w:tcPr>
            <w:tcW w:type="dxa" w:w="1754"/>
          </w:tcPr>
          <w:p>
            <w:r/>
            <w:r>
              <w:rPr>
                <w:rFonts w:ascii="Times New Roman" w:hAnsi="Times New Roman"/>
                <w:sz w:val="22"/>
              </w:rPr>
              <w:t>59</w:t>
            </w:r>
          </w:p>
        </w:tc>
        <w:tc>
          <w:tcPr>
            <w:tcW w:type="dxa" w:w="1754"/>
          </w:tcPr>
          <w:p>
            <w:r/>
            <w:r>
              <w:rPr>
                <w:rFonts w:ascii="Times New Roman" w:hAnsi="Times New Roman"/>
                <w:sz w:val="22"/>
              </w:rPr>
              <w:t>218</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99</w:t>
            </w:r>
          </w:p>
        </w:tc>
        <w:tc>
          <w:tcPr>
            <w:tcW w:type="dxa" w:w="1754"/>
          </w:tcPr>
          <w:p>
            <w:r/>
            <w:r>
              <w:rPr>
                <w:rFonts w:ascii="Times New Roman" w:hAnsi="Times New Roman"/>
                <w:sz w:val="22"/>
              </w:rPr>
              <w:t>31</w:t>
            </w:r>
          </w:p>
        </w:tc>
        <w:tc>
          <w:tcPr>
            <w:tcW w:type="dxa" w:w="1754"/>
          </w:tcPr>
          <w:p>
            <w:r/>
            <w:r>
              <w:rPr>
                <w:rFonts w:ascii="Times New Roman" w:hAnsi="Times New Roman"/>
                <w:sz w:val="22"/>
              </w:rPr>
              <w:t>20</w:t>
            </w:r>
          </w:p>
        </w:tc>
        <w:tc>
          <w:tcPr>
            <w:tcW w:type="dxa" w:w="1754"/>
          </w:tcPr>
          <w:p>
            <w:r/>
            <w:r>
              <w:rPr>
                <w:rFonts w:ascii="Times New Roman" w:hAnsi="Times New Roman"/>
                <w:sz w:val="22"/>
              </w:rPr>
              <w:t>150</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6</w:t>
            </w:r>
          </w:p>
        </w:tc>
        <w:tc>
          <w:tcPr>
            <w:tcW w:type="dxa" w:w="1754"/>
          </w:tcPr>
          <w:p>
            <w:r/>
            <w:r>
              <w:rPr>
                <w:rFonts w:ascii="Times New Roman" w:hAnsi="Times New Roman"/>
                <w:sz w:val="22"/>
              </w:rPr>
              <w:t>1</w:t>
            </w:r>
          </w:p>
        </w:tc>
        <w:tc>
          <w:tcPr>
            <w:tcW w:type="dxa" w:w="1754"/>
          </w:tcPr>
          <w:p>
            <w:r/>
            <w:r>
              <w:rPr>
                <w:rFonts w:ascii="Times New Roman" w:hAnsi="Times New Roman"/>
                <w:sz w:val="22"/>
              </w:rPr>
              <w:t>0</w:t>
            </w:r>
          </w:p>
        </w:tc>
        <w:tc>
          <w:tcPr>
            <w:tcW w:type="dxa" w:w="1754"/>
          </w:tcPr>
          <w:p>
            <w:r/>
            <w:r>
              <w:rPr>
                <w:rFonts w:ascii="Times New Roman" w:hAnsi="Times New Roman"/>
                <w:sz w:val="22"/>
              </w:rPr>
              <w:t>7</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Tabell 11.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0,5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0,5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Tabell 12.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Tabell 13.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For å gjøre gjennomgangen håndterbar anbefales en prioritert tilnærming: (a) start med CX-artiklene, som har stabilt forbruk og lav verdi og i mange tilfeller kan overføres med begrenset risiko; (b) gjennomgå deretter A/B-artikler med K\_OVERFØR-signal som ikke fanges av R3–R5; (c) adresser til slutt artiklene med blandede signaler.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Tabell 14.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Tabell 15.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spacing w:line="360" w:lineRule="auto"/>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Pilotvalideringen (anbefaling 1, kap. 9.2) bør eksplisitt inkludere en klinisk kritikalitetsvurdering som supplement til de kvantitative signalene.</w:t>
      </w:r>
    </w:p>
    <w:p>
      <w:pPr>
        <w:spacing w:line="360" w:lineRule="auto"/>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[Upublisert undervisningsmateriell]. Høgskolen i Molde.</w:t>
      </w:r>
    </w:p>
    <w:p>
      <w:pPr>
        <w:spacing w:line="360" w:lineRule="auto"/>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