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7" w:right="1417" w:bottom="1417" w:left="1701"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imes New Roman" w:hAnsi="Times New Roman"/>
          <w:sz w:val="24"/>
        </w:rPr>
        <w:t>Fra lokalt forsyningslager til regional sentralforsyning:</w:t>
        <w:br/>
        <w:t>Multikriterieklassifisering og klyngeanalyse for identifisering av overføringskandidater ved Helse Bergen</w:t>
      </w:r>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imes New Roman" w:hAnsi="Times New Roman"/>
          <w:sz w:val="24"/>
        </w:rPr>
        <w:t>Thomas Ekrem Jensen</w:t>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Pr>
          <w:rFonts w:ascii="Times New Roman" w:hAnsi="Times New Roman"/>
          <w:sz w:val="24"/>
        </w:rPr>
        <w:t>Stavanger, Mai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Pr>
          <w:rFonts w:ascii="Times New Roman" w:hAnsi="Times New Roman"/>
          <w:sz w:val="24"/>
        </w:rPr>
        <w:t>Studiepoeng: 15</w:t>
      </w:r>
    </w:p>
    <w:p w14:paraId="61564257" w14:textId="77777777" w:rsidR="00587456" w:rsidRDefault="00587456" w:rsidP="00587456">
      <w:pPr>
        <w:rPr>
          <w:rFonts w:ascii="Trebuchet MS" w:hAnsi="Trebuchet MS" w:cs="Times New Roman"/>
          <w:b/>
        </w:rPr>
      </w:pPr>
      <w:r>
        <w:rPr>
          <w:rFonts w:ascii="Times New Roman" w:hAnsi="Times New Roman"/>
          <w:sz w:val="24"/>
        </w:rP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imes New Roman" w:hAnsi="Times New Roman"/>
          <w:sz w:val="24"/>
        </w:rP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7" w:right="1417" w:bottom="1417" w:left="1701" w:header="720" w:footer="403" w:gutter="0"/>
          <w:cols w:space="720"/>
          <w:titlePg/>
        </w:sectPr>
      </w:pPr>
    </w:p>
    <w:p w14:paraId="61564269" w14:textId="77777777" w:rsidR="00DC012B" w:rsidRDefault="00DC012B" w:rsidP="00223851">
      <w:pPr>
        <w:rPr>
          <w:rFonts w:ascii="Trebuchet MS" w:hAnsi="Trebuchet MS" w:cs="Arial"/>
        </w:rPr>
      </w:pP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7" w:right="1417" w:bottom="1417" w:left="1701" w:header="720" w:footer="403" w:gutter="0"/>
          <w:cols w:space="720"/>
          <w:formProt w:val="0"/>
          <w:titlePg/>
        </w:sectPr>
      </w:pPr>
    </w:p>
    <w:p>
      <w:pPr>
        <w:pStyle w:val="Heading1"/>
        <w:pageBreakBefore w:val="true"/>
      </w:pPr>
      <w:r>
        <w:t>Forord</w:t>
      </w:r>
    </w:p>
    <w:p>
      <w:pPr>
        <w:spacing w:line="360" w:lineRule="auto"/>
      </w:pPr>
      <w:r>
        <w:rPr>
          <w:rFonts w:ascii="Times New Roman" w:hAnsi="Times New Roman"/>
          <w:sz w:val="24"/>
        </w:rPr>
        <w:t xml:space="preserve">Denne bacheloroppgaven er skrevet som avsluttende arbeid i studiet LOG650 Forskningsprosjekt: Logistikk og kunstig intelligens ved Høgskolen i Molde, vårsemesteret 2026.</w:t>
      </w:r>
    </w:p>
    <w:p>
      <w:pPr>
        <w:spacing w:line="360" w:lineRule="auto"/>
      </w:pPr>
      <w:r>
        <w:rPr>
          <w:rFonts w:ascii="Times New Roman" w:hAnsi="Times New Roman"/>
          <w:sz w:val="24"/>
        </w:rPr>
        <w:t xml:space="preserve">Jeg vil rette en hjertelig takk til min veileder, Bård Inge Austigard Pettersen, for faglig engasjement, konstruktive tilbakemeldinger og tydelige forventninger gjennom hele prosessen. Hans kombinasjon av akademisk presisjon og praktisk forankring har vært uvurderlig for å løfte oppgaven fra en teknisk analyse til et faglig gjennomarbeidet forskningsprosjekt.</w:t>
      </w:r>
    </w:p>
    <w:p>
      <w:pPr>
        <w:spacing w:line="360" w:lineRule="auto"/>
      </w:pPr>
      <w:r>
        <w:rPr>
          <w:rFonts w:ascii="Times New Roman" w:hAnsi="Times New Roman"/>
          <w:sz w:val="24"/>
        </w:rPr>
        <w:t xml:space="preserve">Takk til Helse Bergen ved innkjøps- og logistikkavdelingen for tilgang til transaksjonsdata fra SAP S/4HANA. Uten tillatelse til å hente ut data fra forsyningslagerets 14 kildetabeller via SE16H hadde den kvantitative analysen ikke vært gjennomførbar. Datagrunnlaget er behandlet i henhold til gjeldende retningslinjer for personvern og informasjonssikkerhet, og ingen pasientdata er benyttet i studien.</w:t>
      </w:r>
    </w:p>
    <w:p>
      <w:pPr>
        <w:spacing w:line="360" w:lineRule="auto"/>
      </w:pPr>
      <w:r>
        <w:rPr>
          <w:rFonts w:ascii="Times New Roman" w:hAnsi="Times New Roman"/>
          <w:sz w:val="24"/>
        </w:rPr>
        <w:t xml:space="preserve">Motivasjonen for å skrive om dette temaet springer ut av min daglige jobb som SAP MM-konsulent ved Helse Vest IKT, der jeg arbeider med materialstyring og logistikk i SAP S/4HANA som del av LIBRA-prosjektet – Helse Vest sin regionale SAP-implementering. Gjennom dette arbeidet ser jeg at det finnes et reelt gap mellom de datamengdene som allerede eksisterer i systemet og den innsikten som faktisk utnyttes til å ta operasjonelle og strategiske beslutninger. Denne oppgaven er et forsøk på å bygge bro over det gapet, og å demonstrere at transaksjonsdataene i SAP – riktig bearbeidet – kan gi et robust grunnlag for å identifisere overføringskandidater til Helse Vest Forsyningssenter.</w:t>
      </w:r>
    </w:p>
    <w:p>
      <w:pPr>
        <w:spacing w:line="360" w:lineRule="auto"/>
      </w:pPr>
      <w:r>
        <w:rPr>
          <w:rFonts w:ascii="Times New Roman" w:hAnsi="Times New Roman"/>
          <w:sz w:val="24"/>
        </w:rPr>
        <w:t xml:space="preserve">Jeg vil også takke min samboer Hilde for tålmodighet og støtte gjennom et krevende semester med fulltidsjobb ved siden av studiene.</w:t>
      </w:r>
    </w:p>
    <w:p>
      <w:pPr>
        <w:spacing w:line="360" w:lineRule="auto"/>
      </w:pPr>
      <w:r>
        <w:rPr>
          <w:rFonts w:ascii="Times New Roman" w:hAnsi="Times New Roman"/>
          <w:sz w:val="24"/>
        </w:rPr>
        <w:t xml:space="preserve">Stavanger, mai 2026</w:t>
      </w:r>
    </w:p>
    <w:p>
      <w:pPr>
        <w:spacing w:line="360" w:lineRule="auto"/>
      </w:pPr>
      <w:r>
        <w:rPr>
          <w:rFonts w:ascii="Times New Roman" w:hAnsi="Times New Roman"/>
          <w:sz w:val="24"/>
        </w:rPr>
        <w:t xml:space="preserve">Thomas Ekrem Jensen</w:t>
      </w: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pPr>
        <w:pStyle w:val="Normal"/>
        <w:spacing w:line="360" w:lineRule="auto"/>
      </w:pPr>
      <w:r>
        <w:rPr>
          <w:rFonts w:ascii="Times New Roman" w:hAnsi="Times New Roman"/>
          <w:sz w:val="24"/>
        </w:rPr>
        <w:t xml:space="preserve">Denne studien analyserer hvilke artikler ved Helse Bergens forsyningslager (WERKS 3300, LGORT 3001) som bør overføres til Helse Vest Forsyningssenter (HVFS), og estimerer det tilknyttede besparelsespotensialet. Bakgrunnen er LIBRA-prosjektet, Helse Vests regionale implementering av SAP S/4HANA, som legger til rette for sentralisert forsyning via en avdelingspakket leveransemodell (APL). Formålet er å utvikle et datadrevet og reproduserbart rammeverk for sentraliseringsvurdering basert på operasjonelle SAP-transaksjonsdata.</w:t>
      </w:r>
    </w:p>
    <w:p>
      <w:pPr>
        <w:pStyle w:val="Normal"/>
        <w:spacing w:line="360" w:lineRule="auto"/>
      </w:pPr>
      <w:r>
        <w:rPr>
          <w:rFonts w:ascii="Times New Roman" w:hAnsi="Times New Roman"/>
          <w:sz w:val="24"/>
        </w:rPr>
        <w:t xml:space="preserve">Datagrunnlaget består av 709 aktive artikler hentet fra 14 tabeller i SAP S/4HANA via transaksjonen SE16H, for perioden 2024–2025. Av totalt 1 006 unike artikkelnumre i LGORT 3001 ble 297 artikler ekskludert fordi de ikke hadde registrert forbruk og ikke hadde lagerbeholdning i analyseperioden — operasjonelt inaktive artikler etter aktivitetskriteriet i D-01. Dataforbehandlingen er dokumentert gjennom åtte eksplisitte datavalgsbeslutninger (D-01 til D-08) og gjennomføres med et deterministisk Python-script for full reproduserbarhet.</w:t>
      </w:r>
    </w:p>
    <w:p>
      <w:pPr>
        <w:pStyle w:val="Normal"/>
        <w:spacing w:line="360" w:lineRule="auto"/>
      </w:pPr>
      <w:r>
        <w:rPr>
          <w:rFonts w:ascii="Times New Roman" w:hAnsi="Times New Roman"/>
          <w:sz w:val="24"/>
        </w:rPr>
        <w:t xml:space="preserve">Analysen kombinerer fire metoder i en integrert rørledning: ABC-klassifisering basert på Pareto-prinsippet, XYZ-klassifisering basert på variasjonskoeffisient (CV), EOQ-avviksanalyse med parametere S = 750 kr og h = 20 % av enhetspris, og K-means klyngeanalyse med automatisk K-valg via silhouette-score. Resultatene sammenstilles i en regelmotor med åtte beslutningsregler som klassifiserer hver artikkel i én av tre kategorier: OVERFØR_HVFS, BEHOLD_LOKALT eller TIL_VURDERING.</w:t>
      </w:r>
    </w:p>
    <w:p>
      <w:pPr>
        <w:pStyle w:val="Normal"/>
        <w:spacing w:line="360" w:lineRule="auto"/>
      </w:pPr>
      <w:r>
        <w:rPr>
          <w:rFonts w:ascii="Times New Roman" w:hAnsi="Times New Roman"/>
          <w:sz w:val="24"/>
        </w:rPr>
        <w:t xml:space="preserve">ABC-analysen viser at 182 artikler (25,7 %) tilhører A-kategorien og bærer om lag 80 % av den totale verdibindingen; 184 tilhører B og 338 tilhører C — de resterende 5 artiklene kunne ikke ABC-klassifiseres grunnet manglende verdidata. XYZ-analysen klassifiserer 350 artikler som X (stabilt forbruk, CV &lt; 0,5), 193 som Y og 144 som Z; 22 artikler ble ikke XYZ-klassifisert grunnet utilstrekkelig forbrukshistorikk. K-means-analysen identifiserer K = 3 distinkte klynger med silhouette-score 0,383 på treningsdata og 0,368 på testdata, noe som bekrefter en akseptabel klyngestruktur. Regelmotoren anbefaler overføring av 145 artikler (20,5 % av populasjonen), mens 257 artikler beholdes lokalt og 284 sendes til manuell vurdering. Det estimerte besparelsespotensialet er kr 451 515 per år i base case (realiseringsgrad g = 75 % av teoretisk totalkostnavvik \sum \Delta TC_i), med et pessimistisk scenario på kr 301 010 og et optimistisk på kr 602 020.</w:t>
      </w:r>
    </w:p>
    <w:p>
      <w:pPr>
        <w:pStyle w:val="Normal"/>
        <w:spacing w:line="360" w:lineRule="auto"/>
      </w:pPr>
      <w:r>
        <w:rPr>
          <w:rFonts w:ascii="Times New Roman" w:hAnsi="Times New Roman"/>
          <w:sz w:val="24"/>
        </w:rPr>
        <w:t xml:space="preserve">Studien konkluderer med at multikriterieklassifisering og klyngeanalyse av SAP-transaksjonsdata gir et operasjonelt anvendbart grunnlag for å identifisere HVFS-overføringskandidater ved Helse Bergen. Sentralisering anbefales, men forutsetter aktiv justering av SAP MM-parametere og en strukturert manuell gjennomgang av TIL VURDERING-gruppen for å realisere det estimerte besparelsespotensialet.</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pPr>
        <w:pStyle w:val="Normal"/>
        <w:spacing w:line="360" w:lineRule="auto"/>
      </w:pPr>
      <w:r>
        <w:rPr>
          <w:rFonts w:ascii="Times New Roman" w:hAnsi="Times New Roman"/>
          <w:sz w:val="24"/>
        </w:rPr>
        <w:t xml:space="preserve">(Sammendrag på norsk — sjå avsnittet over.)</w:t>
      </w:r>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pgSz w:w="11907" w:h="16840"/>
          <w:pgMar w:top="1417" w:right="1417" w:bottom="1417" w:left="1701" w:header="720" w:footer="403" w:gutter="0"/>
          <w:cols w:space="720"/>
          <w:formProt w:val="0"/>
          <w:titlePg/>
        </w:sectPr>
      </w:pPr>
    </w:p>
    <w:p w14:paraId="61564282" w14:textId="77777777" w:rsidR="00B33323" w:rsidRDefault="00B33323">
      <w:pPr>
        <w:pStyle w:val="INNH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64F99FC" w14:textId="168D5DCF" w:rsidR="00666373" w:rsidRDefault="00B33323">
      <w:pPr>
        <w:pStyle w:val="INNH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kobling"/>
          </w:rPr>
          <w:t>1.0</w:t>
        </w:r>
        <w:r w:rsidR="00666373">
          <w:rPr>
            <w:rFonts w:asciiTheme="minorHAnsi" w:eastAsiaTheme="minorEastAsia" w:hAnsiTheme="minorHAnsi" w:cstheme="minorBidi"/>
            <w:b w:val="0"/>
            <w:kern w:val="2"/>
            <w:lang w:val="en-GB" w:eastAsia="en-GB" w:bidi="ar-SA"/>
            <w14:ligatures w14:val="standardContextual"/>
          </w:rPr>
          <w:tab/>
        </w:r>
        <w:r w:rsidR="00666373" w:rsidRPr="009217D2">
          <w:rPr>
            <w:rStyle w:val="Hyperkobling"/>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666373">
          <w:rPr>
            <w:webHidden/>
          </w:rPr>
          <w:t>1</w:t>
        </w:r>
        <w:r w:rsidR="00666373">
          <w:rPr>
            <w:webHidden/>
          </w:rPr>
          <w:fldChar w:fldCharType="end"/>
        </w:r>
      </w:hyperlink>
    </w:p>
    <w:p w14:paraId="06D31265" w14:textId="6CFF9B84"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4" w:history="1">
        <w:r w:rsidRPr="009217D2">
          <w:rPr>
            <w:rStyle w:val="Hyperkobling"/>
            <w:noProof/>
          </w:rPr>
          <w:t>1.1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Pr>
            <w:noProof/>
            <w:webHidden/>
          </w:rPr>
          <w:t>2</w:t>
        </w:r>
        <w:r>
          <w:rPr>
            <w:noProof/>
            <w:webHidden/>
          </w:rPr>
          <w:fldChar w:fldCharType="end"/>
        </w:r>
      </w:hyperlink>
    </w:p>
    <w:p w14:paraId="6A7568DB" w14:textId="42B9EC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5" w:history="1">
        <w:r w:rsidRPr="009217D2">
          <w:rPr>
            <w:rStyle w:val="Hyperkobling"/>
            <w:noProof/>
          </w:rPr>
          <w:t>1.2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Pr>
            <w:noProof/>
            <w:webHidden/>
          </w:rPr>
          <w:t>2</w:t>
        </w:r>
        <w:r>
          <w:rPr>
            <w:noProof/>
            <w:webHidden/>
          </w:rPr>
          <w:fldChar w:fldCharType="end"/>
        </w:r>
      </w:hyperlink>
    </w:p>
    <w:p w14:paraId="3544944B" w14:textId="61AF78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6" w:history="1">
        <w:r w:rsidRPr="009217D2">
          <w:rPr>
            <w:rStyle w:val="Hyperkobling"/>
            <w:noProof/>
          </w:rPr>
          <w:t>1.3</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Pr>
            <w:noProof/>
            <w:webHidden/>
          </w:rPr>
          <w:t>2</w:t>
        </w:r>
        <w:r>
          <w:rPr>
            <w:noProof/>
            <w:webHidden/>
          </w:rPr>
          <w:fldChar w:fldCharType="end"/>
        </w:r>
      </w:hyperlink>
    </w:p>
    <w:p w14:paraId="22F9C8F4" w14:textId="6F06EAD6"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7" w:history="1">
        <w:r w:rsidRPr="009217D2">
          <w:rPr>
            <w:rStyle w:val="Hyperkobling"/>
            <w:noProof/>
          </w:rPr>
          <w:t>1.4</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Pr>
            <w:noProof/>
            <w:webHidden/>
          </w:rPr>
          <w:t>3</w:t>
        </w:r>
        <w:r>
          <w:rPr>
            <w:noProof/>
            <w:webHidden/>
          </w:rPr>
          <w:fldChar w:fldCharType="end"/>
        </w:r>
      </w:hyperlink>
    </w:p>
    <w:p w14:paraId="639F0BF6" w14:textId="03F06E9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8" w:history="1">
        <w:r w:rsidRPr="009217D2">
          <w:rPr>
            <w:rStyle w:val="Hyperkobling"/>
          </w:rPr>
          <w:t>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Pr>
            <w:webHidden/>
          </w:rPr>
          <w:t>3</w:t>
        </w:r>
        <w:r>
          <w:rPr>
            <w:webHidden/>
          </w:rPr>
          <w:fldChar w:fldCharType="end"/>
        </w:r>
      </w:hyperlink>
    </w:p>
    <w:p w14:paraId="679AB59B" w14:textId="588D0AD2"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9" w:history="1">
        <w:r w:rsidRPr="009217D2">
          <w:rPr>
            <w:rStyle w:val="Hyperkobling"/>
          </w:rPr>
          <w:t>3.0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Pr>
            <w:webHidden/>
          </w:rPr>
          <w:t>3</w:t>
        </w:r>
        <w:r>
          <w:rPr>
            <w:webHidden/>
          </w:rPr>
          <w:fldChar w:fldCharType="end"/>
        </w:r>
      </w:hyperlink>
    </w:p>
    <w:p w14:paraId="3535E1F6" w14:textId="2B4869BB"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0" w:history="1">
        <w:r w:rsidRPr="009217D2">
          <w:rPr>
            <w:rStyle w:val="Hyperkobling"/>
          </w:rPr>
          <w:t>4.0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Pr>
            <w:webHidden/>
          </w:rPr>
          <w:t>4</w:t>
        </w:r>
        <w:r>
          <w:rPr>
            <w:webHidden/>
          </w:rPr>
          <w:fldChar w:fldCharType="end"/>
        </w:r>
      </w:hyperlink>
    </w:p>
    <w:p w14:paraId="6F2A6E5C" w14:textId="50CDC500"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1" w:history="1">
        <w:r w:rsidRPr="009217D2">
          <w:rPr>
            <w:rStyle w:val="Hyperkobling"/>
          </w:rPr>
          <w:t>5.0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Pr>
            <w:webHidden/>
          </w:rPr>
          <w:t>4</w:t>
        </w:r>
        <w:r>
          <w:rPr>
            <w:webHidden/>
          </w:rPr>
          <w:fldChar w:fldCharType="end"/>
        </w:r>
      </w:hyperlink>
    </w:p>
    <w:p w14:paraId="49D8B103" w14:textId="2EA405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2" w:history="1">
        <w:r w:rsidRPr="009217D2">
          <w:rPr>
            <w:rStyle w:val="Hyperkobling"/>
            <w:noProof/>
          </w:rPr>
          <w:t>5.1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Pr>
            <w:noProof/>
            <w:webHidden/>
          </w:rPr>
          <w:t>4</w:t>
        </w:r>
        <w:r>
          <w:rPr>
            <w:noProof/>
            <w:webHidden/>
          </w:rPr>
          <w:fldChar w:fldCharType="end"/>
        </w:r>
      </w:hyperlink>
    </w:p>
    <w:p w14:paraId="190BA805" w14:textId="15939FD9"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3" w:history="1">
        <w:r w:rsidRPr="009217D2">
          <w:rPr>
            <w:rStyle w:val="Hyperkobling"/>
            <w:noProof/>
          </w:rPr>
          <w:t>5.2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Pr>
            <w:noProof/>
            <w:webHidden/>
          </w:rPr>
          <w:t>5</w:t>
        </w:r>
        <w:r>
          <w:rPr>
            <w:noProof/>
            <w:webHidden/>
          </w:rPr>
          <w:fldChar w:fldCharType="end"/>
        </w:r>
      </w:hyperlink>
    </w:p>
    <w:p w14:paraId="6F3978D1" w14:textId="40826777"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4" w:history="1">
        <w:r w:rsidRPr="009217D2">
          <w:rPr>
            <w:rStyle w:val="Hyperkobling"/>
          </w:rPr>
          <w:t>6.0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Pr>
            <w:webHidden/>
          </w:rPr>
          <w:t>6</w:t>
        </w:r>
        <w:r>
          <w:rPr>
            <w:webHidden/>
          </w:rPr>
          <w:fldChar w:fldCharType="end"/>
        </w:r>
      </w:hyperlink>
    </w:p>
    <w:p w14:paraId="0ADCE230" w14:textId="47526515"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5" w:history="1">
        <w:r w:rsidRPr="009217D2">
          <w:rPr>
            <w:rStyle w:val="Hyperkobling"/>
          </w:rPr>
          <w:t>7.0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Pr>
            <w:webHidden/>
          </w:rPr>
          <w:t>6</w:t>
        </w:r>
        <w:r>
          <w:rPr>
            <w:webHidden/>
          </w:rPr>
          <w:fldChar w:fldCharType="end"/>
        </w:r>
      </w:hyperlink>
    </w:p>
    <w:p w14:paraId="56DE1371" w14:textId="0101C6A3"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6" w:history="1">
        <w:r w:rsidRPr="009217D2">
          <w:rPr>
            <w:rStyle w:val="Hyperkobling"/>
          </w:rPr>
          <w:t>8.0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Pr>
            <w:webHidden/>
          </w:rPr>
          <w:t>6</w:t>
        </w:r>
        <w:r>
          <w:rPr>
            <w:webHidden/>
          </w:rPr>
          <w:fldChar w:fldCharType="end"/>
        </w:r>
      </w:hyperlink>
    </w:p>
    <w:p w14:paraId="209CC53F" w14:textId="4F0D416E"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7" w:history="1">
        <w:r w:rsidRPr="009217D2">
          <w:rPr>
            <w:rStyle w:val="Hyperkobling"/>
          </w:rPr>
          <w:t>9.0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Pr>
            <w:webHidden/>
          </w:rPr>
          <w:t>7</w:t>
        </w:r>
        <w:r>
          <w:rPr>
            <w:webHidden/>
          </w:rPr>
          <w:fldChar w:fldCharType="end"/>
        </w:r>
      </w:hyperlink>
    </w:p>
    <w:p w14:paraId="3947CAA5" w14:textId="2812FCF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8" w:history="1">
        <w:r w:rsidRPr="009217D2">
          <w:rPr>
            <w:rStyle w:val="Hyperkobling"/>
          </w:rPr>
          <w:t>10.0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Pr>
            <w:webHidden/>
          </w:rPr>
          <w:t>8</w:t>
        </w:r>
        <w:r>
          <w:rPr>
            <w:webHidden/>
          </w:rPr>
          <w:fldChar w:fldCharType="end"/>
        </w:r>
      </w:hyperlink>
    </w:p>
    <w:p w14:paraId="1235DDBB" w14:textId="3B72D3D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9" w:history="1">
        <w:r w:rsidRPr="009217D2">
          <w:rPr>
            <w:rStyle w:val="Hyperkobling"/>
          </w:rPr>
          <w:t>11.0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Pr>
            <w:webHidden/>
          </w:rPr>
          <w:t>8</w:t>
        </w:r>
        <w:r>
          <w:rPr>
            <w:webHidden/>
          </w:rPr>
          <w:fldChar w:fldCharType="end"/>
        </w:r>
      </w:hyperlink>
    </w:p>
    <w:p w14:paraId="378814D8" w14:textId="67CE832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20" w:history="1">
        <w:r w:rsidRPr="009217D2">
          <w:rPr>
            <w:rStyle w:val="Hyperkobling"/>
          </w:rPr>
          <w:t>12.0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Pr>
            <w:webHidden/>
          </w:rPr>
          <w:t>8</w:t>
        </w:r>
        <w:r>
          <w:rPr>
            <w:webHidden/>
          </w:rPr>
          <w:fldChar w:fldCharType="end"/>
        </w:r>
      </w:hyperlink>
    </w:p>
    <w:p w14:paraId="61564286" w14:textId="7A946800" w:rsidR="00BE42D3" w:rsidRDefault="00B33323" w:rsidP="003A4872">
      <w:pPr>
        <w:sectPr w:rsidR="00BE42D3" w:rsidSect="00C90D42">
          <w:pgSz w:w="11907" w:h="16840"/>
          <w:pgMar w:top="1417" w:right="1417" w:bottom="1417" w:left="1701" w:header="720" w:footer="403" w:gutter="0"/>
          <w:cols w:space="720"/>
          <w:formProt w:val="0"/>
          <w:titlePg/>
        </w:sectPr>
      </w:pPr>
      <w:r>
        <w:rPr>
          <w:rFonts w:ascii="Arial" w:hAnsi="Arial" w:cs="Arial"/>
          <w:b/>
          <w:noProof/>
          <w:sz w:val="28"/>
          <w:szCs w:val="28"/>
        </w:rPr>
        <w:fldChar w:fldCharType="end"/>
      </w:r>
    </w:p>
    <w:p>
      <w:pPr>
        <w:pStyle w:val="Overskrift1"/>
        <w:pageBreakBefore w:val="true"/>
      </w:pPr>
      <w:r>
        <w:rPr>
          <w:rFonts w:ascii="Times New Roman" w:hAnsi="Times New Roman"/>
          <w:color w:val="000000"/>
          <w:sz w:val="36"/>
        </w:rPr>
        <w:t>Kapittel 1 – Innledning</w:t>
      </w:r>
    </w:p>
    <w:p>
      <w:pPr>
        <w:pStyle w:val="Overskrift2"/>
      </w:pPr>
      <w:r>
        <w:rPr>
          <w:rFonts w:ascii="Times New Roman" w:hAnsi="Times New Roman"/>
          <w:color w:val="000000"/>
          <w:sz w:val="32"/>
        </w:rPr>
        <w:t>1.1 Bakgrunn og aktualisering</w:t>
      </w:r>
    </w:p>
    <w:p>
      <w:pPr>
        <w:spacing w:line="360" w:lineRule="auto"/>
      </w:pPr>
      <w:r>
        <w:rPr>
          <w:rFonts w:ascii="Times New Roman" w:hAnsi="Times New Roman" w:cs="Times New Roman"/>
          <w:sz w:val="24"/>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prosent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spacing w:line="360" w:lineRule="auto"/>
      </w:pPr>
      <w:r>
        <w:rPr>
          <w:rFonts w:ascii="Times New Roman" w:hAnsi="Times New Roman" w:cs="Times New Roman"/>
          <w:sz w:val="24"/>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spacing w:line="360" w:lineRule="auto"/>
      </w:pPr>
      <w:r>
        <w:rPr>
          <w:rFonts w:ascii="Times New Roman" w:hAnsi="Times New Roman" w:cs="Times New Roman"/>
          <w:sz w:val="24"/>
        </w:rPr>
        <w:t>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p>
      <w:pPr>
        <w:pStyle w:val="Overskrift2"/>
      </w:pPr>
      <w:r>
        <w:rPr>
          <w:rFonts w:ascii="Times New Roman" w:hAnsi="Times New Roman"/>
          <w:color w:val="000000"/>
          <w:sz w:val="32"/>
        </w:rPr>
        <w:t>1.2 Problemstilling</w:t>
      </w:r>
    </w:p>
    <w:p>
      <w:pPr>
        <w:spacing w:line="360" w:lineRule="auto"/>
      </w:pPr>
      <w:r>
        <w:rPr>
          <w:rFonts w:ascii="Times New Roman" w:hAnsi="Times New Roman" w:cs="Times New Roman"/>
          <w:sz w:val="24"/>
        </w:rPr>
        <w:t>Oppgaven besvarer følgende forskningsspørsmål:</w:t>
      </w:r>
    </w:p>
    <w:p>
      <w:pPr>
        <w:spacing w:line="360" w:lineRule="auto"/>
        <w:ind w:left="567"/>
      </w:pPr>
      <w:r>
        <w:rPr>
          <w:rFonts w:ascii="Times New Roman" w:hAnsi="Times New Roman"/>
          <w:b/>
          <w:sz w:val="24"/>
        </w:rPr>
        <w:t>Hvordan kan multikriterieklassifisering og klyngeanalyse av SAP-transaksjonsdata identifisere hvilke artikler ved Helse Bergens forsyningslager (WERKS 3300, LGORT 3001) som bør overføres til Helse Vest Forsyningssenter, og hva er det estimerte besparelsespotensialet ved en slik overføring?</w:t>
      </w:r>
    </w:p>
    <w:p>
      <w:pPr>
        <w:spacing w:line="360" w:lineRule="auto"/>
      </w:pPr>
      <w:r>
        <w:rPr>
          <w:rFonts w:ascii="Times New Roman" w:hAnsi="Times New Roman" w:cs="Times New Roman"/>
          <w:sz w:val="24"/>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pPr>
        <w:pStyle w:val="Overskrift2"/>
      </w:pPr>
      <w:r>
        <w:rPr>
          <w:rFonts w:ascii="Times New Roman" w:hAnsi="Times New Roman"/>
          <w:color w:val="000000"/>
          <w:sz w:val="32"/>
        </w:rPr>
        <w:t>1.3 Avgrensninger</w:t>
      </w:r>
    </w:p>
    <w:p>
      <w:pPr>
        <w:spacing w:line="360" w:lineRule="auto"/>
      </w:pPr>
      <w:r>
        <w:rPr>
          <w:rFonts w:ascii="Times New Roman" w:hAnsi="Times New Roman" w:cs="Times New Roman"/>
          <w:sz w:val="24"/>
        </w:rPr>
        <w:t>Oppgaven avgrenses på følgende punkter, begrunnet faglig:</w:t>
      </w:r>
    </w:p>
    <w:p>
      <w:pPr>
        <w:spacing w:line="360" w:lineRule="auto"/>
      </w:pPr>
      <w:r>
        <w:rPr>
          <w:rFonts w:ascii="Times New Roman" w:hAnsi="Times New Roman" w:cs="Times New Roman"/>
          <w:sz w:val="24"/>
        </w:rPr>
      </w:r>
      <w:r>
        <w:rPr>
          <w:rFonts w:ascii="Times New Roman" w:hAnsi="Times New Roman" w:cs="Times New Roman"/>
          <w:b/>
          <w:sz w:val="24"/>
        </w:rPr>
        <w:t>Lagersted.</w:t>
      </w:r>
      <w:r>
        <w:rPr>
          <w:rFonts w:ascii="Times New Roman" w:hAnsi="Times New Roman" w:cs="Times New Roman"/>
          <w:sz w:val="24"/>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spacing w:line="360" w:lineRule="auto"/>
      </w:pPr>
      <w:r>
        <w:rPr>
          <w:rFonts w:ascii="Times New Roman" w:hAnsi="Times New Roman" w:cs="Times New Roman"/>
          <w:sz w:val="24"/>
        </w:rPr>
      </w:r>
      <w:r>
        <w:rPr>
          <w:rFonts w:ascii="Times New Roman" w:hAnsi="Times New Roman" w:cs="Times New Roman"/>
          <w:b/>
          <w:sz w:val="24"/>
        </w:rPr>
        <w:t>Artikkelstatus.</w:t>
      </w:r>
      <w:r>
        <w:rPr>
          <w:rFonts w:ascii="Times New Roman" w:hAnsi="Times New Roman" w:cs="Times New Roman"/>
          <w:sz w:val="24"/>
        </w:rPr>
        <w:t xml:space="preserve"> Kun artikler med aktiv status inngår i analysen, definert som artikler med registrert årsforbruk (D_ANNUAL &gt; 0)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spacing w:line="360" w:lineRule="auto"/>
      </w:pPr>
      <w:r>
        <w:rPr>
          <w:rFonts w:ascii="Times New Roman" w:hAnsi="Times New Roman" w:cs="Times New Roman"/>
          <w:sz w:val="24"/>
        </w:rPr>
      </w:r>
      <w:r>
        <w:rPr>
          <w:rFonts w:ascii="Times New Roman" w:hAnsi="Times New Roman" w:cs="Times New Roman"/>
          <w:b/>
          <w:sz w:val="24"/>
        </w:rPr>
        <w:t>Analyseperiode.</w:t>
      </w:r>
      <w:r>
        <w:rPr>
          <w:rFonts w:ascii="Times New Roman" w:hAnsi="Times New Roman" w:cs="Times New Roman"/>
          <w:sz w:val="24"/>
        </w:rPr>
        <w:t xml:space="preserve"> Datagrunnlaget er begrenset til 24 måneder (2024–2025). En lengre periode ville økt robustheten i XYZ-klassifiseringen, men data utover denne perioden var ikke tilgjengelig med tilstrekkelig kvalitet fra SAP.</w:t>
      </w:r>
    </w:p>
    <w:p>
      <w:pPr>
        <w:spacing w:line="360" w:lineRule="auto"/>
      </w:pPr>
      <w:r>
        <w:rPr>
          <w:rFonts w:ascii="Times New Roman" w:hAnsi="Times New Roman" w:cs="Times New Roman"/>
          <w:sz w:val="24"/>
        </w:rPr>
      </w:r>
      <w:r>
        <w:rPr>
          <w:rFonts w:ascii="Times New Roman" w:hAnsi="Times New Roman" w:cs="Times New Roman"/>
          <w:b/>
          <w:sz w:val="24"/>
        </w:rPr>
        <w:t>Metodevalg.</w:t>
      </w:r>
      <w:r>
        <w:rPr>
          <w:rFonts w:ascii="Times New Roman" w:hAnsi="Times New Roman" w:cs="Times New Roman"/>
          <w:sz w:val="24"/>
        </w:rPr>
        <w:t xml:space="preserve"> Oppgaven anvender veletablerte kvantitative metoder og gjør ikke krav på å utvikle nye modeller. ROP-modulen (reorder point) er identifisert som en naturlig forlengelse, men er utelatt da leveringstidsdata fra EINA/EINE kun dekker 6 prosent av artiklene — et utilstrekkelig grunnlag for robust ROP-beregning.</w:t>
      </w:r>
    </w:p>
    <w:p>
      <w:pPr>
        <w:spacing w:line="360" w:lineRule="auto"/>
      </w:pPr>
      <w:r>
        <w:rPr>
          <w:rFonts w:ascii="Times New Roman" w:hAnsi="Times New Roman" w:cs="Times New Roman"/>
          <w:sz w:val="24"/>
        </w:rPr>
      </w:r>
      <w:r>
        <w:rPr>
          <w:rFonts w:ascii="Times New Roman" w:hAnsi="Times New Roman" w:cs="Times New Roman"/>
          <w:b/>
          <w:sz w:val="24"/>
        </w:rPr>
        <w:t>Generaliserbarhet.</w:t>
      </w:r>
      <w:r>
        <w:rPr>
          <w:rFonts w:ascii="Times New Roman" w:hAnsi="Times New Roman" w:cs="Times New Roman"/>
          <w:sz w:val="24"/>
        </w:rPr>
        <w:t xml:space="preserve"> Funnene er gyldige for WERKS 3300 og de konkrete SAP-parameterne som er benyttet. Overføring av metodikken til andre helseforetak i Helse Vest er mulig, men krever ny datakjøring per foretak.</w:t>
      </w:r>
    </w:p>
    <w:p>
      <w:pPr>
        <w:pStyle w:val="Overskrift2"/>
      </w:pPr>
      <w:r>
        <w:rPr>
          <w:rFonts w:ascii="Times New Roman" w:hAnsi="Times New Roman"/>
          <w:color w:val="000000"/>
          <w:sz w:val="32"/>
        </w:rPr>
        <w:t>1.4 Antagelser</w:t>
      </w:r>
    </w:p>
    <w:p>
      <w:pPr>
        <w:spacing w:line="360" w:lineRule="auto"/>
      </w:pPr>
      <w:r>
        <w:rPr>
          <w:rFonts w:ascii="Times New Roman" w:hAnsi="Times New Roman" w:cs="Times New Roman"/>
          <w:sz w:val="24"/>
        </w:rPr>
        <w:t>Analysen hviler på følgende eksplisitte antagelser som ikke er empirisk estimert, men begrunnet ut fra bransjepraksis og tilgjengelig litteratur:</w:t>
      </w:r>
    </w:p>
    <w:p>
      <w:pPr>
        <w:spacing w:line="360" w:lineRule="auto"/>
      </w:pPr>
      <w:r>
        <w:rPr>
          <w:rFonts w:ascii="Times New Roman" w:hAnsi="Times New Roman" w:cs="Times New Roman"/>
          <w:sz w:val="24"/>
        </w:rPr>
      </w:r>
      <w:r>
        <w:rPr>
          <w:rFonts w:ascii="Times New Roman" w:hAnsi="Times New Roman" w:cs="Times New Roman"/>
          <w:b/>
          <w:sz w:val="24"/>
        </w:rPr>
        <w:t>Ordrekostnad (S = 750 NOK).</w:t>
      </w:r>
      <w:r>
        <w:rPr>
          <w:rFonts w:ascii="Times New Roman" w:hAnsi="Times New Roman" w:cs="Times New Roman"/>
          <w:sz w:val="24"/>
        </w:rPr>
        <w:t xml:space="preserve"> Kostnaden per bestillingstransaksjon er satt til 750 kroner, basert på estimater fra tilsvarende sykehuslogistikkstudier (Kelle et al., 2012; Bijvank &amp; Vis, 2012). Dette er en antagelse som dekker direkte administrative kostnader knyttet til å opprette, godkjenne og følge opp en innkjøpsordre i SAP. Sensitivitetsanalysen varierer S over intervallet {500, 750, 1 000} NOK for å belyse effekten av denne forutsetningen.</w:t>
      </w:r>
    </w:p>
    <w:p>
      <w:pPr>
        <w:spacing w:line="360" w:lineRule="auto"/>
      </w:pPr>
      <w:r>
        <w:rPr>
          <w:rFonts w:ascii="Times New Roman" w:hAnsi="Times New Roman" w:cs="Times New Roman"/>
          <w:sz w:val="24"/>
        </w:rPr>
      </w:r>
      <w:r>
        <w:rPr>
          <w:rFonts w:ascii="Times New Roman" w:hAnsi="Times New Roman" w:cs="Times New Roman"/>
          <w:b/>
          <w:sz w:val="24"/>
        </w:rPr>
        <w:t>Holdekostnadssats (h = 20 %).</w:t>
      </w:r>
      <w:r>
        <w:rPr>
          <w:rFonts w:ascii="Times New Roman" w:hAnsi="Times New Roman" w:cs="Times New Roman"/>
          <w:sz w:val="24"/>
        </w:rPr>
        <w:t xml:space="preserve"> Den årlige holdekostnaden er satt til 20 prosent av enhetsprisen, i tråd med anbefalinger i lagerstyringslitteraturen (Ketkar &amp; Vaidya, 2014). Satsens innvirkning testes i sensitivitetsanalysen over intervallet {15, 20, 25} prosent.</w:t>
      </w:r>
    </w:p>
    <w:p>
      <w:pPr>
        <w:spacing w:line="360" w:lineRule="auto"/>
      </w:pPr>
      <w:r>
        <w:rPr>
          <w:rFonts w:ascii="Times New Roman" w:hAnsi="Times New Roman" w:cs="Times New Roman"/>
          <w:sz w:val="24"/>
        </w:rPr>
      </w:r>
      <w:r>
        <w:rPr>
          <w:rFonts w:ascii="Times New Roman" w:hAnsi="Times New Roman" w:cs="Times New Roman"/>
          <w:b/>
          <w:sz w:val="24"/>
        </w:rPr>
        <w:t>Analyseperiode og annualisering.</w:t>
      </w:r>
      <w:r>
        <w:rPr>
          <w:rFonts w:ascii="Times New Roman" w:hAnsi="Times New Roman" w:cs="Times New Roman"/>
          <w:sz w:val="24"/>
        </w:rPr>
        <w:t xml:space="preserve"> Innkjøpsdata (EKBE) dekker 24 måneder. Ordrefrekvens er annualisert ved å multiplisere observert ordreantall med faktoren 12/24.</w:t>
      </w:r>
    </w:p>
    <w:p>
      <w:pPr>
        <w:spacing w:line="360" w:lineRule="auto"/>
      </w:pPr>
      <w:r>
        <w:rPr>
          <w:rFonts w:ascii="Times New Roman" w:hAnsi="Times New Roman" w:cs="Times New Roman"/>
          <w:sz w:val="24"/>
        </w:rPr>
      </w:r>
      <w:r>
        <w:rPr>
          <w:rFonts w:ascii="Times New Roman" w:hAnsi="Times New Roman" w:cs="Times New Roman"/>
          <w:b/>
          <w:sz w:val="24"/>
        </w:rPr>
        <w:t>Leveringstid (LEAD_TIME = 14 dager).</w:t>
      </w:r>
      <w:r>
        <w:rPr>
          <w:rFonts w:ascii="Times New Roman" w:hAnsi="Times New Roman" w:cs="Times New Roman"/>
          <w:sz w:val="24"/>
        </w:rPr>
        <w:t xml:space="preserve"> For 94 prosent av artiklene mangler registrert leveringstid i SAP-tabellene EINA/EINE. En fallback-verdi på 14 dager er benyttet. Denne parameteren påvirker ikke EOQ- eller besparelsesberegningene direkte, men er reservert for en fremtidig ROP-modul.</w:t>
      </w:r>
    </w:p>
    <w:p>
      <w:pPr>
        <w:spacing w:line="360" w:lineRule="auto"/>
      </w:pPr>
      <w:r>
        <w:rPr>
          <w:rFonts w:ascii="Times New Roman" w:hAnsi="Times New Roman" w:cs="Times New Roman"/>
          <w:sz w:val="24"/>
        </w:rPr>
      </w:r>
      <w:r>
        <w:rPr>
          <w:rFonts w:ascii="Times New Roman" w:hAnsi="Times New Roman" w:cs="Times New Roman"/>
          <w:b/>
          <w:sz w:val="24"/>
        </w:rPr>
        <w:t>Besparelsesformel.</w:t>
      </w:r>
      <w:r>
        <w:rPr>
          <w:rFonts w:ascii="Times New Roman" w:hAnsi="Times New Roman" w:cs="Times New Roman"/>
          <w:sz w:val="24"/>
        </w:rPr>
        <w:t xml:space="preserve"> Besparelsesestimatet er basert på Wilson EOQ-modellen:</w:t>
      </w:r>
    </w:p>
    <w:p>
      <w:pPr>
        <w:jc w:val="center"/>
      </w:pPr>
      <w:r>
        <w:rPr>
          <w:rFonts w:ascii="Cambria Math" w:hAnsi="Cambria Math"/>
          <w:i/>
          <w:sz w:val="22"/>
        </w:rPr>
        <w:t>B_{\text{HVFS}} = \sum_{i \in \text{OVERFØR}} \Delta TC_i \times g</w:t>
      </w:r>
    </w:p>
    <w:p>
      <w:pPr>
        <w:spacing w:line="360" w:lineRule="auto"/>
      </w:pPr>
      <w:r>
        <w:rPr>
          <w:rFonts w:ascii="Times New Roman" w:hAnsi="Times New Roman" w:cs="Times New Roman"/>
          <w:sz w:val="24"/>
        </w:rPr>
        <w:t>der $\Delta TC_i = TC_{\text{actual},i} - TC_{\text{optimal},i}$ er kostnadsavviket mellom faktisk og optimal ordrefrekvens for artikkel $i$, og $g$ er en gevinstrealiseringsgrad på 50/75/100 prosent (worst/base/best). Dette er et avgrenset transaksjonskostnadsestimat — det inkluderer ikke varekostnader eller endringer i lagernivå.</w:t>
      </w:r>
    </w:p>
    <w:p>
      <w:pPr>
        <w:spacing w:line="360" w:lineRule="auto"/>
      </w:pPr>
      <w:r>
        <w:rPr>
          <w:rFonts w:ascii="Times New Roman" w:hAnsi="Times New Roman" w:cs="Times New Roman"/>
          <w:sz w:val="24"/>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objektivt. Kapittel 8 diskuterer funn opp mot litteratur, metodekritikk og praktisk betydning. Kapittel 9 konkluderer og gir anbefalinger til Helse Bergen.</w:t>
      </w:r>
    </w:p>
    <w:p>
      <w:pPr>
        <w:pStyle w:val="Overskrift1"/>
        <w:pageBreakBefore w:val="true"/>
      </w:pPr>
      <w:r>
        <w:rPr>
          <w:rFonts w:ascii="Times New Roman" w:hAnsi="Times New Roman"/>
          <w:color w:val="000000"/>
          <w:sz w:val="36"/>
        </w:rPr>
        <w:t>Kapittel 2 – Litteratur og teori</w:t>
      </w:r>
    </w:p>
    <w:p>
      <w:pPr>
        <w:pStyle w:val="Overskrift2"/>
      </w:pPr>
      <w:r>
        <w:rPr>
          <w:rFonts w:ascii="Times New Roman" w:hAnsi="Times New Roman"/>
          <w:color w:val="000000"/>
          <w:sz w:val="32"/>
        </w:rPr>
        <w:t>2.1 Litteraturgjennomgang</w:t>
      </w:r>
    </w:p>
    <w:p>
      <w:pPr>
        <w:spacing w:line="360" w:lineRule="auto"/>
      </w:pPr>
      <w:r>
        <w:rPr>
          <w:rFonts w:ascii="Times New Roman" w:hAnsi="Times New Roman" w:cs="Times New Roman"/>
          <w:sz w:val="24"/>
        </w:rPr>
        <w:t>Forskning på lagerklassifisering i sykehus har vokst markant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påfallende lite forskning som kobler klassifiseringsmetoder direkte til sentralisering av forsyningskjeden — noe denne oppgaven adresserer.</w:t>
      </w:r>
    </w:p>
    <w:p>
      <w:pPr>
        <w:spacing w:line="360" w:lineRule="auto"/>
      </w:pPr>
      <w:r>
        <w:rPr>
          <w:rFonts w:ascii="Times New Roman" w:hAnsi="Times New Roman" w:cs="Times New Roman"/>
          <w:sz w:val="24"/>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militærmedisinskstudie der ABC kombineres med VED-analyse (Vital, Essential, Desirable) for å differensiere mellom høyverdiartikler og artikler med kritisk klinisk betydning. Kombinasjonsmetodikken gir grunnlag for et mer nyansert klassifiseringssystem, men VED krever klinisk skjønn og er vanskelig å operasjonalisere på tvers av store sortiment uten strukturerte data.</w:t>
      </w:r>
    </w:p>
    <w:p>
      <w:pPr>
        <w:spacing w:line="360" w:lineRule="auto"/>
      </w:pPr>
      <w:r>
        <w:rPr>
          <w:rFonts w:ascii="Times New Roman" w:hAnsi="Times New Roman" w:cs="Times New Roman"/>
          <w:sz w:val="24"/>
        </w:rPr>
        <w:t>XYZ-analyse, basert på variasjonskoeffisienten til etterspørselen, fremstår i litteraturen som det mest naturlige komplementet til ABC. Nowotyńska (2013) demonstrerer at XYZ-klassifisering kan gjennomføres systematisk med CV-beregning på historiske forbruksdata, og at kombinasjonsmatrisen ABC/XYZ gir differensierte styringsanbefalinger for ni ulike varekategorier. Suryaputri et al. (2022) bekrefter dette i en casestudie fra helseindustrien, der kombinasjonsanalysen muliggjør mer presis bestillingspolicy per varekategori. Ketkar og Vaidya (2014) utvider perspektivet ytterligere ved å inkludere opptil fire klassifiseringssystemer i én MCDM-modell, men denne kompleksiteten stiller krav til parametervalg og ekspertvurderinger som vanskelig lar seg standardisere.</w:t>
      </w:r>
    </w:p>
    <w:p>
      <w:pPr>
        <w:spacing w:line="360" w:lineRule="auto"/>
      </w:pPr>
      <w:r>
        <w:rPr>
          <w:rFonts w:ascii="Times New Roman" w:hAnsi="Times New Roman" w:cs="Times New Roman"/>
          <w:sz w:val="24"/>
        </w:rPr>
        <w:t>Flerkriterietilnærminger har fått økt oppmerksomhet. Keshavarz Ghorabaee et al. (2015) presenterer EDAS-metoden (Evaluation based on Distance from Average Solution) som en alternativ tilnærming til tradisjonell ABC, og argumenterer for at avstandsbaserte rangeringsmetoder er mer robuste overfor ekstremverdier enn kumulative prosentandeler. Partovi og Burton (1993) foreslo allerede på 1990-tallet å bruke AHP (Analytic Hierarchy Process) for å vekte klassifiseringskriterier etter organisasjonens prioriteringer. Begge tilnærminger er faglig interessante, men krever subjektiv vekting — noe som utgjør en svakhet i kvantitative, datadrevne analyser. Denne oppgaven velger å holde seg til objektivt beregnbare kriterier (verdi, CV, EOQ-avvik) for å sikre etterprøvbarhet.</w:t>
      </w:r>
    </w:p>
    <w:p>
      <w:pPr>
        <w:spacing w:line="360" w:lineRule="auto"/>
      </w:pPr>
      <w:r>
        <w:rPr>
          <w:rFonts w:ascii="Times New Roman" w:hAnsi="Times New Roman" w:cs="Times New Roman"/>
          <w:sz w:val="24"/>
        </w:rPr>
        <w:t>Bruk av klyngeanalyse for lagerklassifisering er dokumentert i litteraturen som et alternativ som fanger opp sammensatte mønstre uten å kreve forhåndsdefinerte terskelverdier. Srinivasan og Moon (1999) introduserte hierarkisk klynging som verktøy for strategisk analyse av forsyningskjedenettverk, og viste at klyngebaserte beslutninger gir løsninger nær optimale med langt lavere beregningsmessig kompleksitet enn helhetlige optimeringer. K-means som spesifikk algoritme er godt etablert i lagerstyringsapplikasjoner, men kombinasjonen med regelbaserte beslutningssystemer — slik denne oppgaven gjennomfører — er lite dokumentert i sykehuskontekst, og utgjør oppgavens metodiske bidrag.</w:t>
      </w:r>
    </w:p>
    <w:p>
      <w:pPr>
        <w:spacing w:line="360" w:lineRule="auto"/>
      </w:pPr>
      <w:r>
        <w:rPr>
          <w:rFonts w:ascii="Times New Roman" w:hAnsi="Times New Roman" w:cs="Times New Roman"/>
          <w:sz w:val="24"/>
        </w:rPr>
        <w:t>van Kampen et al. (2012) gir det mest omfattende rammeverket for SKU-klassifisering som akademisk felt, og identifiserer tre hoveddimensjoner: hvilke karakteristikker som benyttes (verdi, variabilitet, kritikalitet, ledetid), hvilken klassifiseringsteknikk som velges (ABC, clustering, MCDM), og hvordan klassene operasjonaliseres i styringssystemer. Rammeverket er særlig nyttig som posisjoneringsverktøy: denne oppgaven opererer i krysningspunktet mellom alle tre dimensjoner, og er metodisk motivert av at ingen enkelt teknikk alene håndterer den beslutningssituasjonen Helse Bergen står i.</w:t>
      </w:r>
    </w:p>
    <w:p>
      <w:pPr>
        <w:spacing w:line="360" w:lineRule="auto"/>
      </w:pPr>
      <w:r>
        <w:rPr>
          <w:rFonts w:ascii="Times New Roman" w:hAnsi="Times New Roman" w:cs="Times New Roman"/>
          <w:sz w:val="24"/>
        </w:rPr>
        <w:t>Det sentrale gapet i litteraturen er fraværet av kvantitative casestudier som kombinerer ABC, XYZ, EOQ-avviksanalyse og klyngeanalyse i en samlet analysemodell koblet mot faktiske SAP-transaksjonsdata, med besparelsesestimat som eksplisitt output. Bijvank og Vis (2012) påpeker at sykehuslogistikk kjennetegnes av begrenset kapasitet, korte ledetidskrav og høy servicekritikalitet — faktorer som gjør standard industrimodeller utilstrekkelige. Moons et al. (2019) understreker behovet for flerkriteriebaserte ytelsesmål fremfor enkelt-dimensjonale kostnadsmål. Saha og Ray (2019) konkluderer i sin gjennomgang av 137 artikler at det er behov for empiriske studier som kobler kvantitative klassifiseringsmodeller til konkrete beslutninger i reelle sykehussystemer. Denne oppgaven søker å fylle nettopp dette gapet.</w:t>
      </w:r>
    </w:p>
    <w:p>
      <w:pPr>
        <w:spacing w:line="360" w:lineRule="auto"/>
      </w:pPr>
      <w:r>
        <w:rPr>
          <w:rFonts w:ascii="Times New Roman" w:hAnsi="Times New Roman" w:cs="Times New Roman"/>
          <w:sz w:val="24"/>
        </w:rPr>
        <w:t>Tabell 1 gir en samlet oversikt over de sentrale kildene i litteraturgjennomgangen, organisert etter hovedtema og med kopling til denne oppgavens problemstilling.</w:t>
      </w:r>
    </w:p>
    <w:p>
      <w:r>
        <w:rPr>
          <w:rFonts w:ascii="Times New Roman" w:hAnsi="Times New Roman"/>
          <w:i/>
          <w:sz w:val="20"/>
        </w:rPr>
        <w:t>Tabell 1. Litteraturoversikt: sentrale kilder med tema og relevans for oppgaven.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Forfatter(e)</w:t>
            </w:r>
          </w:p>
        </w:tc>
        <w:tc>
          <w:tcPr>
            <w:tcW w:type="dxa" w:w="2192"/>
            <w:shd w:fill="D9E2F3" w:val="clear"/>
          </w:tcPr>
          <w:p>
            <w:r/>
            <w:r>
              <w:rPr>
                <w:rFonts w:ascii="Times New Roman" w:hAnsi="Times New Roman"/>
                <w:b/>
                <w:sz w:val="20"/>
              </w:rPr>
              <w:t>År</w:t>
            </w:r>
          </w:p>
        </w:tc>
        <w:tc>
          <w:tcPr>
            <w:tcW w:type="dxa" w:w="2192"/>
            <w:shd w:fill="D9E2F3" w:val="clear"/>
          </w:tcPr>
          <w:p>
            <w:r/>
            <w:r>
              <w:rPr>
                <w:rFonts w:ascii="Times New Roman" w:hAnsi="Times New Roman"/>
                <w:b/>
                <w:sz w:val="20"/>
              </w:rPr>
              <w:t>Hovedtema</w:t>
            </w:r>
          </w:p>
        </w:tc>
        <w:tc>
          <w:tcPr>
            <w:tcW w:type="dxa" w:w="2192"/>
            <w:shd w:fill="D9E2F3" w:val="clear"/>
          </w:tcPr>
          <w:p>
            <w:r/>
            <w:r>
              <w:rPr>
                <w:rFonts w:ascii="Times New Roman" w:hAnsi="Times New Roman"/>
                <w:b/>
                <w:sz w:val="20"/>
              </w:rPr>
              <w:t>Relevans for oppgaven</w:t>
            </w:r>
          </w:p>
        </w:tc>
      </w:tr>
      <w:tr>
        <w:tc>
          <w:tcPr>
            <w:tcW w:type="dxa" w:w="2192"/>
          </w:tcPr>
          <w:p>
            <w:r/>
            <w:r>
              <w:rPr>
                <w:rFonts w:ascii="Times New Roman" w:hAnsi="Times New Roman"/>
                <w:sz w:val="20"/>
              </w:rPr>
              <w:t>Bijvank &amp; Vis</w:t>
            </w:r>
          </w:p>
        </w:tc>
        <w:tc>
          <w:tcPr>
            <w:tcW w:type="dxa" w:w="2192"/>
          </w:tcPr>
          <w:p>
            <w:r/>
            <w:r>
              <w:rPr>
                <w:rFonts w:ascii="Times New Roman" w:hAnsi="Times New Roman"/>
                <w:sz w:val="20"/>
              </w:rPr>
              <w:t>2012</w:t>
            </w:r>
          </w:p>
        </w:tc>
        <w:tc>
          <w:tcPr>
            <w:tcW w:type="dxa" w:w="2192"/>
          </w:tcPr>
          <w:p>
            <w:r/>
            <w:r>
              <w:rPr>
                <w:rFonts w:ascii="Times New Roman" w:hAnsi="Times New Roman"/>
                <w:sz w:val="20"/>
              </w:rPr>
              <w:t>Lagerstyring ved brukssted i sykehus</w:t>
            </w:r>
          </w:p>
        </w:tc>
        <w:tc>
          <w:tcPr>
            <w:tcW w:type="dxa" w:w="2192"/>
          </w:tcPr>
          <w:p>
            <w:r/>
            <w:r>
              <w:rPr>
                <w:rFonts w:ascii="Times New Roman" w:hAnsi="Times New Roman"/>
                <w:sz w:val="20"/>
              </w:rPr>
              <w:t>Lost-sales-modell, forsyningssikkerhet</w:t>
            </w:r>
          </w:p>
        </w:tc>
      </w:tr>
      <w:tr>
        <w:tc>
          <w:tcPr>
            <w:tcW w:type="dxa" w:w="2192"/>
          </w:tcPr>
          <w:p>
            <w:r/>
            <w:r>
              <w:rPr>
                <w:rFonts w:ascii="Times New Roman" w:hAnsi="Times New Roman"/>
                <w:sz w:val="20"/>
              </w:rPr>
              <w:t>de Vries</w:t>
            </w:r>
          </w:p>
        </w:tc>
        <w:tc>
          <w:tcPr>
            <w:tcW w:type="dxa" w:w="2192"/>
          </w:tcPr>
          <w:p>
            <w:r/>
            <w:r>
              <w:rPr>
                <w:rFonts w:ascii="Times New Roman" w:hAnsi="Times New Roman"/>
                <w:sz w:val="20"/>
              </w:rPr>
              <w:t>2011</w:t>
            </w:r>
          </w:p>
        </w:tc>
        <w:tc>
          <w:tcPr>
            <w:tcW w:type="dxa" w:w="2192"/>
          </w:tcPr>
          <w:p>
            <w:r/>
            <w:r>
              <w:rPr>
                <w:rFonts w:ascii="Times New Roman" w:hAnsi="Times New Roman"/>
                <w:sz w:val="20"/>
              </w:rPr>
              <w:t>Interessentanalyse, lageromstilling i helse</w:t>
            </w:r>
          </w:p>
        </w:tc>
        <w:tc>
          <w:tcPr>
            <w:tcW w:type="dxa" w:w="2192"/>
          </w:tcPr>
          <w:p>
            <w:r/>
            <w:r>
              <w:rPr>
                <w:rFonts w:ascii="Times New Roman" w:hAnsi="Times New Roman"/>
                <w:sz w:val="20"/>
              </w:rPr>
              <w:t>Organisatoriske barrierer ved sentralisering</w:t>
            </w:r>
          </w:p>
        </w:tc>
      </w:tr>
      <w:tr>
        <w:tc>
          <w:tcPr>
            <w:tcW w:type="dxa" w:w="2192"/>
          </w:tcPr>
          <w:p>
            <w:r/>
            <w:r>
              <w:rPr>
                <w:rFonts w:ascii="Times New Roman" w:hAnsi="Times New Roman"/>
                <w:sz w:val="20"/>
              </w:rPr>
              <w:t>Fragapane et al.</w:t>
            </w:r>
          </w:p>
        </w:tc>
        <w:tc>
          <w:tcPr>
            <w:tcW w:type="dxa" w:w="2192"/>
          </w:tcPr>
          <w:p>
            <w:r/>
            <w:r>
              <w:rPr>
                <w:rFonts w:ascii="Times New Roman" w:hAnsi="Times New Roman"/>
                <w:sz w:val="20"/>
              </w:rPr>
              <w:t>2019</w:t>
            </w:r>
          </w:p>
        </w:tc>
        <w:tc>
          <w:tcPr>
            <w:tcW w:type="dxa" w:w="2192"/>
          </w:tcPr>
          <w:p>
            <w:r/>
            <w:r>
              <w:rPr>
                <w:rFonts w:ascii="Times New Roman" w:hAnsi="Times New Roman"/>
                <w:sz w:val="20"/>
              </w:rPr>
              <w:t>Forsyning til brukssted (APL)</w:t>
            </w:r>
          </w:p>
        </w:tc>
        <w:tc>
          <w:tcPr>
            <w:tcW w:type="dxa" w:w="2192"/>
          </w:tcPr>
          <w:p>
            <w:r/>
            <w:r>
              <w:rPr>
                <w:rFonts w:ascii="Times New Roman" w:hAnsi="Times New Roman"/>
                <w:sz w:val="20"/>
              </w:rPr>
              <w:t>APL-leveransemodell, sentraliseringskrav</w:t>
            </w:r>
          </w:p>
        </w:tc>
      </w:tr>
      <w:tr>
        <w:tc>
          <w:tcPr>
            <w:tcW w:type="dxa" w:w="2192"/>
          </w:tcPr>
          <w:p>
            <w:r/>
            <w:r>
              <w:rPr>
                <w:rFonts w:ascii="Times New Roman" w:hAnsi="Times New Roman"/>
                <w:sz w:val="20"/>
              </w:rPr>
              <w:t>Gupta et al.</w:t>
            </w:r>
          </w:p>
        </w:tc>
        <w:tc>
          <w:tcPr>
            <w:tcW w:type="dxa" w:w="2192"/>
          </w:tcPr>
          <w:p>
            <w:r/>
            <w:r>
              <w:rPr>
                <w:rFonts w:ascii="Times New Roman" w:hAnsi="Times New Roman"/>
                <w:sz w:val="20"/>
              </w:rPr>
              <w:t>2007</w:t>
            </w:r>
          </w:p>
        </w:tc>
        <w:tc>
          <w:tcPr>
            <w:tcW w:type="dxa" w:w="2192"/>
          </w:tcPr>
          <w:p>
            <w:r/>
            <w:r>
              <w:rPr>
                <w:rFonts w:ascii="Times New Roman" w:hAnsi="Times New Roman"/>
                <w:sz w:val="20"/>
              </w:rPr>
              <w:t>ABC- og VED-analyse, militærmedisinsk</w:t>
            </w:r>
          </w:p>
        </w:tc>
        <w:tc>
          <w:tcPr>
            <w:tcW w:type="dxa" w:w="2192"/>
          </w:tcPr>
          <w:p>
            <w:r/>
            <w:r>
              <w:rPr>
                <w:rFonts w:ascii="Times New Roman" w:hAnsi="Times New Roman"/>
                <w:sz w:val="20"/>
              </w:rPr>
              <w:t>ABC i sykehuskontekst med SAP-data</w:t>
            </w:r>
          </w:p>
        </w:tc>
      </w:tr>
      <w:tr>
        <w:tc>
          <w:tcPr>
            <w:tcW w:type="dxa" w:w="2192"/>
          </w:tcPr>
          <w:p>
            <w:r/>
            <w:r>
              <w:rPr>
                <w:rFonts w:ascii="Times New Roman" w:hAnsi="Times New Roman"/>
                <w:sz w:val="20"/>
              </w:rPr>
              <w:t>Gurumurthy et al.</w:t>
            </w:r>
          </w:p>
        </w:tc>
        <w:tc>
          <w:tcPr>
            <w:tcW w:type="dxa" w:w="2192"/>
          </w:tcPr>
          <w:p>
            <w:r/>
            <w:r>
              <w:rPr>
                <w:rFonts w:ascii="Times New Roman" w:hAnsi="Times New Roman"/>
                <w:sz w:val="20"/>
              </w:rPr>
              <w:t>2021</w:t>
            </w:r>
          </w:p>
        </w:tc>
        <w:tc>
          <w:tcPr>
            <w:tcW w:type="dxa" w:w="2192"/>
          </w:tcPr>
          <w:p>
            <w:r/>
            <w:r>
              <w:rPr>
                <w:rFonts w:ascii="Times New Roman" w:hAnsi="Times New Roman"/>
                <w:sz w:val="20"/>
              </w:rPr>
              <w:t>Hybrid lagerklassifisering, lean i sykehus</w:t>
            </w:r>
          </w:p>
        </w:tc>
        <w:tc>
          <w:tcPr>
            <w:tcW w:type="dxa" w:w="2192"/>
          </w:tcPr>
          <w:p>
            <w:r/>
            <w:r>
              <w:rPr>
                <w:rFonts w:ascii="Times New Roman" w:hAnsi="Times New Roman"/>
                <w:sz w:val="20"/>
              </w:rPr>
              <w:t>K-means i sykehuslogistikk</w:t>
            </w:r>
          </w:p>
        </w:tc>
      </w:tr>
      <w:tr>
        <w:tc>
          <w:tcPr>
            <w:tcW w:type="dxa" w:w="2192"/>
          </w:tcPr>
          <w:p>
            <w:r/>
            <w:r>
              <w:rPr>
                <w:rFonts w:ascii="Times New Roman" w:hAnsi="Times New Roman"/>
                <w:sz w:val="20"/>
              </w:rPr>
              <w:t>Hautaniemi &amp; Pirttilä</w:t>
            </w:r>
          </w:p>
        </w:tc>
        <w:tc>
          <w:tcPr>
            <w:tcW w:type="dxa" w:w="2192"/>
          </w:tcPr>
          <w:p>
            <w:r/>
            <w:r>
              <w:rPr>
                <w:rFonts w:ascii="Times New Roman" w:hAnsi="Times New Roman"/>
                <w:sz w:val="20"/>
              </w:rPr>
              <w:t>1999</w:t>
            </w:r>
          </w:p>
        </w:tc>
        <w:tc>
          <w:tcPr>
            <w:tcW w:type="dxa" w:w="2192"/>
          </w:tcPr>
          <w:p>
            <w:r/>
            <w:r>
              <w:rPr>
                <w:rFonts w:ascii="Times New Roman" w:hAnsi="Times New Roman"/>
                <w:sz w:val="20"/>
              </w:rPr>
              <w:t>Påfyllingspolicyer i MRP-miljø</w:t>
            </w:r>
          </w:p>
        </w:tc>
        <w:tc>
          <w:tcPr>
            <w:tcW w:type="dxa" w:w="2192"/>
          </w:tcPr>
          <w:p>
            <w:r/>
            <w:r>
              <w:rPr>
                <w:rFonts w:ascii="Times New Roman" w:hAnsi="Times New Roman"/>
                <w:sz w:val="20"/>
              </w:rPr>
              <w:t>EOQ-forutsetninger, lot sizing</w:t>
            </w:r>
          </w:p>
        </w:tc>
      </w:tr>
      <w:tr>
        <w:tc>
          <w:tcPr>
            <w:tcW w:type="dxa" w:w="2192"/>
          </w:tcPr>
          <w:p>
            <w:r/>
            <w:r>
              <w:rPr>
                <w:rFonts w:ascii="Times New Roman" w:hAnsi="Times New Roman"/>
                <w:sz w:val="20"/>
              </w:rPr>
              <w:t>Kelle et al.</w:t>
            </w:r>
          </w:p>
        </w:tc>
        <w:tc>
          <w:tcPr>
            <w:tcW w:type="dxa" w:w="2192"/>
          </w:tcPr>
          <w:p>
            <w:r/>
            <w:r>
              <w:rPr>
                <w:rFonts w:ascii="Times New Roman" w:hAnsi="Times New Roman"/>
                <w:sz w:val="20"/>
              </w:rPr>
              <w:t>2012</w:t>
            </w:r>
          </w:p>
        </w:tc>
        <w:tc>
          <w:tcPr>
            <w:tcW w:type="dxa" w:w="2192"/>
          </w:tcPr>
          <w:p>
            <w:r/>
            <w:r>
              <w:rPr>
                <w:rFonts w:ascii="Times New Roman" w:hAnsi="Times New Roman"/>
                <w:sz w:val="20"/>
              </w:rPr>
              <w:t>Farmasøytisk forsyningskjede, sykehus</w:t>
            </w:r>
          </w:p>
        </w:tc>
        <w:tc>
          <w:tcPr>
            <w:tcW w:type="dxa" w:w="2192"/>
          </w:tcPr>
          <w:p>
            <w:r/>
            <w:r>
              <w:rPr>
                <w:rFonts w:ascii="Times New Roman" w:hAnsi="Times New Roman"/>
                <w:sz w:val="20"/>
              </w:rPr>
              <w:t>Ordrekostnad S, sykehusinnkjøp</w:t>
            </w:r>
          </w:p>
        </w:tc>
      </w:tr>
      <w:tr>
        <w:tc>
          <w:tcPr>
            <w:tcW w:type="dxa" w:w="2192"/>
          </w:tcPr>
          <w:p>
            <w:r/>
            <w:r>
              <w:rPr>
                <w:rFonts w:ascii="Times New Roman" w:hAnsi="Times New Roman"/>
                <w:sz w:val="20"/>
              </w:rPr>
              <w:t>Keshavarz Ghorabaee et al.</w:t>
            </w:r>
          </w:p>
        </w:tc>
        <w:tc>
          <w:tcPr>
            <w:tcW w:type="dxa" w:w="2192"/>
          </w:tcPr>
          <w:p>
            <w:r/>
            <w:r>
              <w:rPr>
                <w:rFonts w:ascii="Times New Roman" w:hAnsi="Times New Roman"/>
                <w:sz w:val="20"/>
              </w:rPr>
              <w:t>2015</w:t>
            </w:r>
          </w:p>
        </w:tc>
        <w:tc>
          <w:tcPr>
            <w:tcW w:type="dxa" w:w="2192"/>
          </w:tcPr>
          <w:p>
            <w:r/>
            <w:r>
              <w:rPr>
                <w:rFonts w:ascii="Times New Roman" w:hAnsi="Times New Roman"/>
                <w:sz w:val="20"/>
              </w:rPr>
              <w:t>EDAS flerkriterieklassifisering</w:t>
            </w:r>
          </w:p>
        </w:tc>
        <w:tc>
          <w:tcPr>
            <w:tcW w:type="dxa" w:w="2192"/>
          </w:tcPr>
          <w:p>
            <w:r/>
            <w:r>
              <w:rPr>
                <w:rFonts w:ascii="Times New Roman" w:hAnsi="Times New Roman"/>
                <w:sz w:val="20"/>
              </w:rPr>
              <w:t>Alternativ til ABC, avstandsmetode</w:t>
            </w:r>
          </w:p>
        </w:tc>
      </w:tr>
      <w:tr>
        <w:tc>
          <w:tcPr>
            <w:tcW w:type="dxa" w:w="2192"/>
          </w:tcPr>
          <w:p>
            <w:r/>
            <w:r>
              <w:rPr>
                <w:rFonts w:ascii="Times New Roman" w:hAnsi="Times New Roman"/>
                <w:sz w:val="20"/>
              </w:rPr>
              <w:t>Ketkar &amp; Vaidya</w:t>
            </w:r>
          </w:p>
        </w:tc>
        <w:tc>
          <w:tcPr>
            <w:tcW w:type="dxa" w:w="2192"/>
          </w:tcPr>
          <w:p>
            <w:r/>
            <w:r>
              <w:rPr>
                <w:rFonts w:ascii="Times New Roman" w:hAnsi="Times New Roman"/>
                <w:sz w:val="20"/>
              </w:rPr>
              <w:t>2014</w:t>
            </w:r>
          </w:p>
        </w:tc>
        <w:tc>
          <w:tcPr>
            <w:tcW w:type="dxa" w:w="2192"/>
          </w:tcPr>
          <w:p>
            <w:r/>
            <w:r>
              <w:rPr>
                <w:rFonts w:ascii="Times New Roman" w:hAnsi="Times New Roman"/>
                <w:sz w:val="20"/>
              </w:rPr>
              <w:t>Bestillingspolicy, flerklassifisering</w:t>
            </w:r>
          </w:p>
        </w:tc>
        <w:tc>
          <w:tcPr>
            <w:tcW w:type="dxa" w:w="2192"/>
          </w:tcPr>
          <w:p>
            <w:r/>
            <w:r>
              <w:rPr>
                <w:rFonts w:ascii="Times New Roman" w:hAnsi="Times New Roman"/>
                <w:sz w:val="20"/>
              </w:rPr>
              <w:t>Holdesats h = 20 %, ABC/XYZ-kombinasjon</w:t>
            </w:r>
          </w:p>
        </w:tc>
      </w:tr>
      <w:tr>
        <w:tc>
          <w:tcPr>
            <w:tcW w:type="dxa" w:w="2192"/>
          </w:tcPr>
          <w:p>
            <w:r/>
            <w:r>
              <w:rPr>
                <w:rFonts w:ascii="Times New Roman" w:hAnsi="Times New Roman"/>
                <w:sz w:val="20"/>
              </w:rPr>
              <w:t>Kumar &amp; Kumar</w:t>
            </w:r>
          </w:p>
        </w:tc>
        <w:tc>
          <w:tcPr>
            <w:tcW w:type="dxa" w:w="2192"/>
          </w:tcPr>
          <w:p>
            <w:r/>
            <w:r>
              <w:rPr>
                <w:rFonts w:ascii="Times New Roman" w:hAnsi="Times New Roman"/>
                <w:sz w:val="20"/>
              </w:rPr>
              <w:t>2015</w:t>
            </w:r>
          </w:p>
        </w:tc>
        <w:tc>
          <w:tcPr>
            <w:tcW w:type="dxa" w:w="2192"/>
          </w:tcPr>
          <w:p>
            <w:r/>
            <w:r>
              <w:rPr>
                <w:rFonts w:ascii="Times New Roman" w:hAnsi="Times New Roman"/>
                <w:sz w:val="20"/>
              </w:rPr>
              <w:t>Sykehuslager, ISM-analyse</w:t>
            </w:r>
          </w:p>
        </w:tc>
        <w:tc>
          <w:tcPr>
            <w:tcW w:type="dxa" w:w="2192"/>
          </w:tcPr>
          <w:p>
            <w:r/>
            <w:r>
              <w:rPr>
                <w:rFonts w:ascii="Times New Roman" w:hAnsi="Times New Roman"/>
                <w:sz w:val="20"/>
              </w:rPr>
              <w:t>Drivende faktorer i sykehuslogistikk</w:t>
            </w:r>
          </w:p>
        </w:tc>
      </w:tr>
      <w:tr>
        <w:tc>
          <w:tcPr>
            <w:tcW w:type="dxa" w:w="2192"/>
          </w:tcPr>
          <w:p>
            <w:r/>
            <w:r>
              <w:rPr>
                <w:rFonts w:ascii="Times New Roman" w:hAnsi="Times New Roman"/>
                <w:sz w:val="20"/>
              </w:rPr>
              <w:t>McKinney</w:t>
            </w:r>
          </w:p>
        </w:tc>
        <w:tc>
          <w:tcPr>
            <w:tcW w:type="dxa" w:w="2192"/>
          </w:tcPr>
          <w:p>
            <w:r/>
            <w:r>
              <w:rPr>
                <w:rFonts w:ascii="Times New Roman" w:hAnsi="Times New Roman"/>
                <w:sz w:val="20"/>
              </w:rPr>
              <w:t>2010</w:t>
            </w:r>
          </w:p>
        </w:tc>
        <w:tc>
          <w:tcPr>
            <w:tcW w:type="dxa" w:w="2192"/>
          </w:tcPr>
          <w:p>
            <w:r/>
            <w:r>
              <w:rPr>
                <w:rFonts w:ascii="Times New Roman" w:hAnsi="Times New Roman"/>
                <w:sz w:val="20"/>
              </w:rPr>
              <w:t>pandas – datastrukturer i Python</w:t>
            </w:r>
          </w:p>
        </w:tc>
        <w:tc>
          <w:tcPr>
            <w:tcW w:type="dxa" w:w="2192"/>
          </w:tcPr>
          <w:p>
            <w:r/>
            <w:r>
              <w:rPr>
                <w:rFonts w:ascii="Times New Roman" w:hAnsi="Times New Roman"/>
                <w:sz w:val="20"/>
              </w:rPr>
              <w:t>Verktøy for dataforbehandling</w:t>
            </w:r>
          </w:p>
        </w:tc>
      </w:tr>
      <w:tr>
        <w:tc>
          <w:tcPr>
            <w:tcW w:type="dxa" w:w="2192"/>
          </w:tcPr>
          <w:p>
            <w:r/>
            <w:r>
              <w:rPr>
                <w:rFonts w:ascii="Times New Roman" w:hAnsi="Times New Roman"/>
                <w:sz w:val="20"/>
              </w:rPr>
              <w:t>Moons et al.</w:t>
            </w:r>
          </w:p>
        </w:tc>
        <w:tc>
          <w:tcPr>
            <w:tcW w:type="dxa" w:w="2192"/>
          </w:tcPr>
          <w:p>
            <w:r/>
            <w:r>
              <w:rPr>
                <w:rFonts w:ascii="Times New Roman" w:hAnsi="Times New Roman"/>
                <w:sz w:val="20"/>
              </w:rPr>
              <w:t>2019</w:t>
            </w:r>
          </w:p>
        </w:tc>
        <w:tc>
          <w:tcPr>
            <w:tcW w:type="dxa" w:w="2192"/>
          </w:tcPr>
          <w:p>
            <w:r/>
            <w:r>
              <w:rPr>
                <w:rFonts w:ascii="Times New Roman" w:hAnsi="Times New Roman"/>
                <w:sz w:val="20"/>
              </w:rPr>
              <w:t>Ytelsesmåling, intern sykehusforsyning</w:t>
            </w:r>
          </w:p>
        </w:tc>
        <w:tc>
          <w:tcPr>
            <w:tcW w:type="dxa" w:w="2192"/>
          </w:tcPr>
          <w:p>
            <w:r/>
            <w:r>
              <w:rPr>
                <w:rFonts w:ascii="Times New Roman" w:hAnsi="Times New Roman"/>
                <w:sz w:val="20"/>
              </w:rPr>
              <w:t>Flerkriteriebaserte ytelsesmål</w:t>
            </w:r>
          </w:p>
        </w:tc>
      </w:tr>
      <w:tr>
        <w:tc>
          <w:tcPr>
            <w:tcW w:type="dxa" w:w="2192"/>
          </w:tcPr>
          <w:p>
            <w:r/>
            <w:r>
              <w:rPr>
                <w:rFonts w:ascii="Times New Roman" w:hAnsi="Times New Roman"/>
                <w:sz w:val="20"/>
              </w:rPr>
              <w:t>Nowotyńska</w:t>
            </w:r>
          </w:p>
        </w:tc>
        <w:tc>
          <w:tcPr>
            <w:tcW w:type="dxa" w:w="2192"/>
          </w:tcPr>
          <w:p>
            <w:r/>
            <w:r>
              <w:rPr>
                <w:rFonts w:ascii="Times New Roman" w:hAnsi="Times New Roman"/>
                <w:sz w:val="20"/>
              </w:rPr>
              <w:t>2013</w:t>
            </w:r>
          </w:p>
        </w:tc>
        <w:tc>
          <w:tcPr>
            <w:tcW w:type="dxa" w:w="2192"/>
          </w:tcPr>
          <w:p>
            <w:r/>
            <w:r>
              <w:rPr>
                <w:rFonts w:ascii="Times New Roman" w:hAnsi="Times New Roman"/>
                <w:sz w:val="20"/>
              </w:rPr>
              <w:t>XYZ-analyse, lagerstyring</w:t>
            </w:r>
          </w:p>
        </w:tc>
        <w:tc>
          <w:tcPr>
            <w:tcW w:type="dxa" w:w="2192"/>
          </w:tcPr>
          <w:p>
            <w:r/>
            <w:r>
              <w:rPr>
                <w:rFonts w:ascii="Times New Roman" w:hAnsi="Times New Roman"/>
                <w:sz w:val="20"/>
              </w:rPr>
              <w:t>CV-grenser X/Y/Z, metodegrunnlag</w:t>
            </w:r>
          </w:p>
        </w:tc>
      </w:tr>
      <w:tr>
        <w:tc>
          <w:tcPr>
            <w:tcW w:type="dxa" w:w="2192"/>
          </w:tcPr>
          <w:p>
            <w:r/>
            <w:r>
              <w:rPr>
                <w:rFonts w:ascii="Times New Roman" w:hAnsi="Times New Roman"/>
                <w:sz w:val="20"/>
              </w:rPr>
              <w:t>Partovi &amp; Burton</w:t>
            </w:r>
          </w:p>
        </w:tc>
        <w:tc>
          <w:tcPr>
            <w:tcW w:type="dxa" w:w="2192"/>
          </w:tcPr>
          <w:p>
            <w:r/>
            <w:r>
              <w:rPr>
                <w:rFonts w:ascii="Times New Roman" w:hAnsi="Times New Roman"/>
                <w:sz w:val="20"/>
              </w:rPr>
              <w:t>1993</w:t>
            </w:r>
          </w:p>
        </w:tc>
        <w:tc>
          <w:tcPr>
            <w:tcW w:type="dxa" w:w="2192"/>
          </w:tcPr>
          <w:p>
            <w:r/>
            <w:r>
              <w:rPr>
                <w:rFonts w:ascii="Times New Roman" w:hAnsi="Times New Roman"/>
                <w:sz w:val="20"/>
              </w:rPr>
              <w:t>AHP for ABC-analyse</w:t>
            </w:r>
          </w:p>
        </w:tc>
        <w:tc>
          <w:tcPr>
            <w:tcW w:type="dxa" w:w="2192"/>
          </w:tcPr>
          <w:p>
            <w:r/>
            <w:r>
              <w:rPr>
                <w:rFonts w:ascii="Times New Roman" w:hAnsi="Times New Roman"/>
                <w:sz w:val="20"/>
              </w:rPr>
              <w:t>Subjektiv vekting vs. objektive kriterier</w:t>
            </w:r>
          </w:p>
        </w:tc>
      </w:tr>
      <w:tr>
        <w:tc>
          <w:tcPr>
            <w:tcW w:type="dxa" w:w="2192"/>
          </w:tcPr>
          <w:p>
            <w:r/>
            <w:r>
              <w:rPr>
                <w:rFonts w:ascii="Times New Roman" w:hAnsi="Times New Roman"/>
                <w:sz w:val="20"/>
              </w:rPr>
              <w:t>Pedregosa et al.</w:t>
            </w:r>
          </w:p>
        </w:tc>
        <w:tc>
          <w:tcPr>
            <w:tcW w:type="dxa" w:w="2192"/>
          </w:tcPr>
          <w:p>
            <w:r/>
            <w:r>
              <w:rPr>
                <w:rFonts w:ascii="Times New Roman" w:hAnsi="Times New Roman"/>
                <w:sz w:val="20"/>
              </w:rPr>
              <w:t>2011</w:t>
            </w:r>
          </w:p>
        </w:tc>
        <w:tc>
          <w:tcPr>
            <w:tcW w:type="dxa" w:w="2192"/>
          </w:tcPr>
          <w:p>
            <w:r/>
            <w:r>
              <w:rPr>
                <w:rFonts w:ascii="Times New Roman" w:hAnsi="Times New Roman"/>
                <w:sz w:val="20"/>
              </w:rPr>
              <w:t>scikit-learn – maskinlæring i Python</w:t>
            </w:r>
          </w:p>
        </w:tc>
        <w:tc>
          <w:tcPr>
            <w:tcW w:type="dxa" w:w="2192"/>
          </w:tcPr>
          <w:p>
            <w:r/>
            <w:r>
              <w:rPr>
                <w:rFonts w:ascii="Times New Roman" w:hAnsi="Times New Roman"/>
                <w:sz w:val="20"/>
              </w:rPr>
              <w:t>Verktøy for K-means og validering</w:t>
            </w:r>
          </w:p>
        </w:tc>
      </w:tr>
      <w:tr>
        <w:tc>
          <w:tcPr>
            <w:tcW w:type="dxa" w:w="2192"/>
          </w:tcPr>
          <w:p>
            <w:r/>
            <w:r>
              <w:rPr>
                <w:rFonts w:ascii="Times New Roman" w:hAnsi="Times New Roman"/>
                <w:sz w:val="20"/>
              </w:rPr>
              <w:t>Pujawan</w:t>
            </w:r>
          </w:p>
        </w:tc>
        <w:tc>
          <w:tcPr>
            <w:tcW w:type="dxa" w:w="2192"/>
          </w:tcPr>
          <w:p>
            <w:r/>
            <w:r>
              <w:rPr>
                <w:rFonts w:ascii="Times New Roman" w:hAnsi="Times New Roman"/>
                <w:sz w:val="20"/>
              </w:rPr>
              <w:t>2004</w:t>
            </w:r>
          </w:p>
        </w:tc>
        <w:tc>
          <w:tcPr>
            <w:tcW w:type="dxa" w:w="2192"/>
          </w:tcPr>
          <w:p>
            <w:r/>
            <w:r>
              <w:rPr>
                <w:rFonts w:ascii="Times New Roman" w:hAnsi="Times New Roman"/>
                <w:sz w:val="20"/>
              </w:rPr>
              <w:t>Lot sizing, ordrevariabilitet</w:t>
            </w:r>
          </w:p>
        </w:tc>
        <w:tc>
          <w:tcPr>
            <w:tcW w:type="dxa" w:w="2192"/>
          </w:tcPr>
          <w:p>
            <w:r/>
            <w:r>
              <w:rPr>
                <w:rFonts w:ascii="Times New Roman" w:hAnsi="Times New Roman"/>
                <w:sz w:val="20"/>
              </w:rPr>
              <w:t>Bullwhip-effekt, EOQ-relevans</w:t>
            </w:r>
          </w:p>
        </w:tc>
      </w:tr>
      <w:tr>
        <w:tc>
          <w:tcPr>
            <w:tcW w:type="dxa" w:w="2192"/>
          </w:tcPr>
          <w:p>
            <w:r/>
            <w:r>
              <w:rPr>
                <w:rFonts w:ascii="Times New Roman" w:hAnsi="Times New Roman"/>
                <w:sz w:val="20"/>
              </w:rPr>
              <w:t>Saha &amp; Ray</w:t>
            </w:r>
          </w:p>
        </w:tc>
        <w:tc>
          <w:tcPr>
            <w:tcW w:type="dxa" w:w="2192"/>
          </w:tcPr>
          <w:p>
            <w:r/>
            <w:r>
              <w:rPr>
                <w:rFonts w:ascii="Times New Roman" w:hAnsi="Times New Roman"/>
                <w:sz w:val="20"/>
              </w:rPr>
              <w:t>2019</w:t>
            </w:r>
          </w:p>
        </w:tc>
        <w:tc>
          <w:tcPr>
            <w:tcW w:type="dxa" w:w="2192"/>
          </w:tcPr>
          <w:p>
            <w:r/>
            <w:r>
              <w:rPr>
                <w:rFonts w:ascii="Times New Roman" w:hAnsi="Times New Roman"/>
                <w:sz w:val="20"/>
              </w:rPr>
              <w:t>Lagermodeller i helsesektoren (review, 137 art.)</w:t>
            </w:r>
          </w:p>
        </w:tc>
        <w:tc>
          <w:tcPr>
            <w:tcW w:type="dxa" w:w="2192"/>
          </w:tcPr>
          <w:p>
            <w:r/>
            <w:r>
              <w:rPr>
                <w:rFonts w:ascii="Times New Roman" w:hAnsi="Times New Roman"/>
                <w:sz w:val="20"/>
              </w:rPr>
              <w:t>Gap: empiriske SAP-casestudier mangler</w:t>
            </w:r>
          </w:p>
        </w:tc>
      </w:tr>
      <w:tr>
        <w:tc>
          <w:tcPr>
            <w:tcW w:type="dxa" w:w="2192"/>
          </w:tcPr>
          <w:p>
            <w:r/>
            <w:r>
              <w:rPr>
                <w:rFonts w:ascii="Times New Roman" w:hAnsi="Times New Roman"/>
                <w:sz w:val="20"/>
              </w:rPr>
              <w:t>Silaen et al.</w:t>
            </w:r>
          </w:p>
        </w:tc>
        <w:tc>
          <w:tcPr>
            <w:tcW w:type="dxa" w:w="2192"/>
          </w:tcPr>
          <w:p>
            <w:r/>
            <w:r>
              <w:rPr>
                <w:rFonts w:ascii="Times New Roman" w:hAnsi="Times New Roman"/>
                <w:sz w:val="20"/>
              </w:rPr>
              <w:t>2023</w:t>
            </w:r>
          </w:p>
        </w:tc>
        <w:tc>
          <w:tcPr>
            <w:tcW w:type="dxa" w:w="2192"/>
          </w:tcPr>
          <w:p>
            <w:r/>
            <w:r>
              <w:rPr>
                <w:rFonts w:ascii="Times New Roman" w:hAnsi="Times New Roman"/>
                <w:sz w:val="20"/>
              </w:rPr>
              <w:t>ABC-analyse, implementering</w:t>
            </w:r>
          </w:p>
        </w:tc>
        <w:tc>
          <w:tcPr>
            <w:tcW w:type="dxa" w:w="2192"/>
          </w:tcPr>
          <w:p>
            <w:r/>
            <w:r>
              <w:rPr>
                <w:rFonts w:ascii="Times New Roman" w:hAnsi="Times New Roman"/>
                <w:sz w:val="20"/>
              </w:rPr>
              <w:t>ABC-grenser 80/95 %, Pareto-prinsippet</w:t>
            </w:r>
          </w:p>
        </w:tc>
      </w:tr>
      <w:tr>
        <w:tc>
          <w:tcPr>
            <w:tcW w:type="dxa" w:w="2192"/>
          </w:tcPr>
          <w:p>
            <w:r/>
            <w:r>
              <w:rPr>
                <w:rFonts w:ascii="Times New Roman" w:hAnsi="Times New Roman"/>
                <w:sz w:val="20"/>
              </w:rPr>
              <w:t>Sirisawat et al.</w:t>
            </w:r>
          </w:p>
        </w:tc>
        <w:tc>
          <w:tcPr>
            <w:tcW w:type="dxa" w:w="2192"/>
          </w:tcPr>
          <w:p>
            <w:r/>
            <w:r>
              <w:rPr>
                <w:rFonts w:ascii="Times New Roman" w:hAnsi="Times New Roman"/>
                <w:sz w:val="20"/>
              </w:rPr>
              <w:t>2019</w:t>
            </w:r>
          </w:p>
        </w:tc>
        <w:tc>
          <w:tcPr>
            <w:tcW w:type="dxa" w:w="2192"/>
          </w:tcPr>
          <w:p>
            <w:r/>
            <w:r>
              <w:rPr>
                <w:rFonts w:ascii="Times New Roman" w:hAnsi="Times New Roman"/>
                <w:sz w:val="20"/>
              </w:rPr>
              <w:t>Ytelsesindikatorer, universitetssykehus</w:t>
            </w:r>
          </w:p>
        </w:tc>
        <w:tc>
          <w:tcPr>
            <w:tcW w:type="dxa" w:w="2192"/>
          </w:tcPr>
          <w:p>
            <w:r/>
            <w:r>
              <w:rPr>
                <w:rFonts w:ascii="Times New Roman" w:hAnsi="Times New Roman"/>
                <w:sz w:val="20"/>
              </w:rPr>
              <w:t>KPI-er for sykehuslagerstyring</w:t>
            </w:r>
          </w:p>
        </w:tc>
      </w:tr>
      <w:tr>
        <w:tc>
          <w:tcPr>
            <w:tcW w:type="dxa" w:w="2192"/>
          </w:tcPr>
          <w:p>
            <w:r/>
            <w:r>
              <w:rPr>
                <w:rFonts w:ascii="Times New Roman" w:hAnsi="Times New Roman"/>
                <w:sz w:val="20"/>
              </w:rPr>
              <w:t>Srinivasan &amp; Moon</w:t>
            </w:r>
          </w:p>
        </w:tc>
        <w:tc>
          <w:tcPr>
            <w:tcW w:type="dxa" w:w="2192"/>
          </w:tcPr>
          <w:p>
            <w:r/>
            <w:r>
              <w:rPr>
                <w:rFonts w:ascii="Times New Roman" w:hAnsi="Times New Roman"/>
                <w:sz w:val="20"/>
              </w:rPr>
              <w:t>1999</w:t>
            </w:r>
          </w:p>
        </w:tc>
        <w:tc>
          <w:tcPr>
            <w:tcW w:type="dxa" w:w="2192"/>
          </w:tcPr>
          <w:p>
            <w:r/>
            <w:r>
              <w:rPr>
                <w:rFonts w:ascii="Times New Roman" w:hAnsi="Times New Roman"/>
                <w:sz w:val="20"/>
              </w:rPr>
              <w:t>Klyngeanalyse, forsyningskjedenettverk</w:t>
            </w:r>
          </w:p>
        </w:tc>
        <w:tc>
          <w:tcPr>
            <w:tcW w:type="dxa" w:w="2192"/>
          </w:tcPr>
          <w:p>
            <w:r/>
            <w:r>
              <w:rPr>
                <w:rFonts w:ascii="Times New Roman" w:hAnsi="Times New Roman"/>
                <w:sz w:val="20"/>
              </w:rPr>
              <w:t>K-means i SCM, nær-optimale løsninger</w:t>
            </w:r>
          </w:p>
        </w:tc>
      </w:tr>
      <w:tr>
        <w:tc>
          <w:tcPr>
            <w:tcW w:type="dxa" w:w="2192"/>
          </w:tcPr>
          <w:p>
            <w:r/>
            <w:r>
              <w:rPr>
                <w:rFonts w:ascii="Times New Roman" w:hAnsi="Times New Roman"/>
                <w:sz w:val="20"/>
              </w:rPr>
              <w:t>Suryaputri et al.</w:t>
            </w:r>
          </w:p>
        </w:tc>
        <w:tc>
          <w:tcPr>
            <w:tcW w:type="dxa" w:w="2192"/>
          </w:tcPr>
          <w:p>
            <w:r/>
            <w:r>
              <w:rPr>
                <w:rFonts w:ascii="Times New Roman" w:hAnsi="Times New Roman"/>
                <w:sz w:val="20"/>
              </w:rPr>
              <w:t>2022</w:t>
            </w:r>
          </w:p>
        </w:tc>
        <w:tc>
          <w:tcPr>
            <w:tcW w:type="dxa" w:w="2192"/>
          </w:tcPr>
          <w:p>
            <w:r/>
            <w:r>
              <w:rPr>
                <w:rFonts w:ascii="Times New Roman" w:hAnsi="Times New Roman"/>
                <w:sz w:val="20"/>
              </w:rPr>
              <w:t>ABC-XYZ-integrasjon, helseindustri</w:t>
            </w:r>
          </w:p>
        </w:tc>
        <w:tc>
          <w:tcPr>
            <w:tcW w:type="dxa" w:w="2192"/>
          </w:tcPr>
          <w:p>
            <w:r/>
            <w:r>
              <w:rPr>
                <w:rFonts w:ascii="Times New Roman" w:hAnsi="Times New Roman"/>
                <w:sz w:val="20"/>
              </w:rPr>
              <w:t>ABC/XYZ-matrise, bestillingspolicy</w:t>
            </w:r>
          </w:p>
        </w:tc>
      </w:tr>
      <w:tr>
        <w:tc>
          <w:tcPr>
            <w:tcW w:type="dxa" w:w="2192"/>
          </w:tcPr>
          <w:p>
            <w:r/>
            <w:r>
              <w:rPr>
                <w:rFonts w:ascii="Times New Roman" w:hAnsi="Times New Roman"/>
                <w:sz w:val="20"/>
              </w:rPr>
              <w:t>van Kampen et al.</w:t>
            </w:r>
          </w:p>
        </w:tc>
        <w:tc>
          <w:tcPr>
            <w:tcW w:type="dxa" w:w="2192"/>
          </w:tcPr>
          <w:p>
            <w:r/>
            <w:r>
              <w:rPr>
                <w:rFonts w:ascii="Times New Roman" w:hAnsi="Times New Roman"/>
                <w:sz w:val="20"/>
              </w:rPr>
              <w:t>2012</w:t>
            </w:r>
          </w:p>
        </w:tc>
        <w:tc>
          <w:tcPr>
            <w:tcW w:type="dxa" w:w="2192"/>
          </w:tcPr>
          <w:p>
            <w:r/>
            <w:r>
              <w:rPr>
                <w:rFonts w:ascii="Times New Roman" w:hAnsi="Times New Roman"/>
                <w:sz w:val="20"/>
              </w:rPr>
              <w:t>SKU-klassifiseringsrammeverk</w:t>
            </w:r>
          </w:p>
        </w:tc>
        <w:tc>
          <w:tcPr>
            <w:tcW w:type="dxa" w:w="2192"/>
          </w:tcPr>
          <w:p>
            <w:r/>
            <w:r>
              <w:rPr>
                <w:rFonts w:ascii="Times New Roman" w:hAnsi="Times New Roman"/>
                <w:sz w:val="20"/>
              </w:rPr>
              <w:t>Tre hoveddimensjoner, posisjonering</w:t>
            </w:r>
          </w:p>
        </w:tc>
      </w:tr>
      <w:tr>
        <w:tc>
          <w:tcPr>
            <w:tcW w:type="dxa" w:w="2192"/>
          </w:tcPr>
          <w:p>
            <w:r/>
            <w:r>
              <w:rPr>
                <w:rFonts w:ascii="Times New Roman" w:hAnsi="Times New Roman"/>
                <w:sz w:val="20"/>
              </w:rPr>
              <w:t>Volland et al.</w:t>
            </w:r>
          </w:p>
        </w:tc>
        <w:tc>
          <w:tcPr>
            <w:tcW w:type="dxa" w:w="2192"/>
          </w:tcPr>
          <w:p>
            <w:r/>
            <w:r>
              <w:rPr>
                <w:rFonts w:ascii="Times New Roman" w:hAnsi="Times New Roman"/>
                <w:sz w:val="20"/>
              </w:rPr>
              <w:t>2017</w:t>
            </w:r>
          </w:p>
        </w:tc>
        <w:tc>
          <w:tcPr>
            <w:tcW w:type="dxa" w:w="2192"/>
          </w:tcPr>
          <w:p>
            <w:r/>
            <w:r>
              <w:rPr>
                <w:rFonts w:ascii="Times New Roman" w:hAnsi="Times New Roman"/>
                <w:sz w:val="20"/>
              </w:rPr>
              <w:t>Materiallogistikk i sykehus (review, 145 pub.)</w:t>
            </w:r>
          </w:p>
        </w:tc>
        <w:tc>
          <w:tcPr>
            <w:tcW w:type="dxa" w:w="2192"/>
          </w:tcPr>
          <w:p>
            <w:r/>
            <w:r>
              <w:rPr>
                <w:rFonts w:ascii="Times New Roman" w:hAnsi="Times New Roman"/>
                <w:sz w:val="20"/>
              </w:rPr>
              <w:t>Lagerstyring dominerer, 30–40 % av drift</w:t>
            </w:r>
          </w:p>
        </w:tc>
      </w:tr>
    </w:tbl>
    <w:p>
      <w:pPr>
        <w:pStyle w:val="Overskrift2"/>
      </w:pPr>
      <w:r>
        <w:rPr>
          <w:rFonts w:ascii="Times New Roman" w:hAnsi="Times New Roman"/>
          <w:color w:val="000000"/>
          <w:sz w:val="32"/>
        </w:rPr>
        <w:t>2.2 ABC-analyse</w:t>
      </w:r>
    </w:p>
    <w:p>
      <w:pPr>
        <w:spacing w:line="360" w:lineRule="auto"/>
      </w:pPr>
      <w:r>
        <w:rPr>
          <w:rFonts w:ascii="Times New Roman" w:hAnsi="Times New Roman" w:cs="Times New Roman"/>
          <w:sz w:val="24"/>
        </w:rPr>
        <w:t>ABC-analyse er en klassifiseringsmetode basert på Pareto-prinsippet, som fastslår at en liten andel artikler typisk står for en stor andel av total forbruksverdi. Metoden deler lagerbeholdningen i tre kategorier etter kumulativ verdiandel: A-artikler utgjør de artiklene som til sammen representerer de første 80 prosentene av total innkjøpsverdi; B-artikler de neste 15 prosentene (80–95 prosent kumulativt); og C-artikler de resterende 5 prosentene av verdi, som typisk utgjør den største andelen av artikkeltallet (Silaen et al., 2023). Grenseverdiene 80/15/5 prosent er konvensjonelle og benyttes konsekvent i denne oppgaven.</w:t>
      </w:r>
    </w:p>
    <w:p>
      <w:pPr>
        <w:spacing w:line="360" w:lineRule="auto"/>
      </w:pPr>
      <w:r>
        <w:rPr>
          <w:rFonts w:ascii="Times New Roman" w:hAnsi="Times New Roman" w:cs="Times New Roman"/>
          <w:sz w:val="24"/>
        </w:rPr>
        <w:t>Den formelle beregningen tar utgangspunkt i total innkjøpsverdi per artikkel over analyseperioden, sortert synkende. Kumulativ verdiandel beregnes som:</w:t>
      </w:r>
    </w:p>
    <w:p>
      <w:pPr>
        <w:jc w:val="center"/>
      </w:pPr>
      <w:r>
        <w:rPr>
          <w:rFonts w:ascii="Cambria Math" w:hAnsi="Cambria Math"/>
          <w:i/>
          <w:sz w:val="22"/>
        </w:rPr>
        <w:t>\text{CUM\_PCT}_i = \frac{\sum_{j=1}^{i} V_j}{\sum_{j=1}^{N} V_j} \times 100</w:t>
      </w:r>
    </w:p>
    <w:p>
      <w:pPr>
        <w:spacing w:line="360" w:lineRule="auto"/>
      </w:pPr>
      <w:r>
        <w:rPr>
          <w:rFonts w:ascii="Times New Roman" w:hAnsi="Times New Roman" w:cs="Times New Roman"/>
          <w:sz w:val="24"/>
        </w:rPr>
        <w:t>der $V_j$ er innkjøpsverdien for artikkel $j$ rangert etter synkende verdi, og $N$ er totalt antall artikler. Artikkel $i$ tilordnes klasse A dersom $\text{CUM\_PCT}_i \leq 80$, klasse B dersom $80 &lt; \text{CUM\_PCT}_i \leq 95$, og klasse C ellers. I denne oppgaven benyttes innkjøpsverdi fra SAP-tabell EKPO (feltet NETWR) som primærgrunnlag, supplert med beregnet verdi ($D_{\text{annual}} \times \text{UNIT\_PRICE}$) for artikler uten innkjøpshistorikk i analyseperioden.</w:t>
      </w:r>
    </w:p>
    <w:p>
      <w:pPr>
        <w:spacing w:line="360" w:lineRule="auto"/>
      </w:pPr>
      <w:r>
        <w:rPr>
          <w:rFonts w:ascii="Times New Roman" w:hAnsi="Times New Roman" w:cs="Times New Roman"/>
          <w:sz w:val="24"/>
        </w:rPr>
        <w:t>Styrken ved ABC-analyse er metodens enkelhet, transparens og direkte kopling til lagerkapitalbinding. Metoden identifiserer raskt hvilke artikler som krever tett oppfølging og prioritert styring. Svakheten er at verdidimensjonen alene ikke fanger opp kritikalitet for forsyningssikkerhet eller variabilitet i etterspørsel — to faktorer som er særlig relevante i sykehuskontekst. En A-artikkel kan ha svært uregelmessig forbruksmønster og kreve annen styringslogikk enn en A-artikkel med stabilt forbruk. Partovi og Burton (1993) påpeker allerede tidlig at ABC-analyse bør suppleres med kriterier for klinisk viktighet og ledetidsfølsomhet. I denne oppgaven adresseres dette ved å kombinere ABC med XYZ-klassifisering og EOQ-avviksanalyse.</w:t>
      </w:r>
    </w:p>
    <w:p>
      <w:pPr>
        <w:pStyle w:val="Overskrift2"/>
      </w:pPr>
      <w:r>
        <w:rPr>
          <w:rFonts w:ascii="Times New Roman" w:hAnsi="Times New Roman"/>
          <w:color w:val="000000"/>
          <w:sz w:val="32"/>
        </w:rPr>
        <w:t>2.3 XYZ-klassifisering</w:t>
      </w:r>
    </w:p>
    <w:p>
      <w:pPr>
        <w:spacing w:line="360" w:lineRule="auto"/>
      </w:pPr>
      <w:r>
        <w:rPr>
          <w:rFonts w:ascii="Times New Roman" w:hAnsi="Times New Roman" w:cs="Times New Roman"/>
          <w:sz w:val="24"/>
        </w:rPr>
        <w:t>XYZ-klassifisering kategoriserer artikler etter etterspørselens forutsigbarhet, målt ved variasjonskoeffisienten (CV). CV er definert som forholdet mellom standardavviket og gjennomsnittet av månedlig forbruk over analyseperioden:</w:t>
      </w:r>
    </w:p>
    <w:p>
      <w:pPr>
        <w:jc w:val="center"/>
      </w:pPr>
      <w:r>
        <w:rPr>
          <w:rFonts w:ascii="Cambria Math" w:hAnsi="Cambria Math"/>
          <w:i/>
          <w:sz w:val="22"/>
        </w:rPr>
        <w:t>CV_i = \frac{\sigma_i}{\mu_i}</w:t>
      </w:r>
    </w:p>
    <w:p>
      <w:pPr>
        <w:spacing w:line="360" w:lineRule="auto"/>
      </w:pPr>
      <w:r>
        <w:rPr>
          <w:rFonts w:ascii="Times New Roman" w:hAnsi="Times New Roman" w:cs="Times New Roman"/>
          <w:sz w:val="24"/>
        </w:rPr>
        <w:t>der $\sigma_i$ er standardavviket og $\mu_i$ er gjennomsnittet av artikkel $i$'s månedlige forbruk. Klassifikasjonsgensene følger Nowotyńska (2013): X-artikler har $CV &lt; 0{,}5$ og karakteriseres av stabilt, forutsigbart forbruk; Y-artikler har $0{,}5 \leq CV &lt; 1{,}0$ og viser moderate svingninger; Z-artikler har $CV \geq 1{,}0$ og kjennetegnes av uregelmessig eller sesongpreget etterspørsel.</w:t>
      </w:r>
    </w:p>
    <w:p>
      <w:pPr>
        <w:spacing w:line="360" w:lineRule="auto"/>
      </w:pPr>
      <w:r>
        <w:rPr>
          <w:rFonts w:ascii="Times New Roman" w:hAnsi="Times New Roman" w:cs="Times New Roman"/>
          <w:sz w:val="24"/>
        </w:rPr>
        <w:t>XYZ-analyse er metodisk komplementær til ABC fordi den tilføyer en tidsseriedimensjon til verdianalysen. En artikkel med høy innkjøpsverdi (A-klasse) og stabilt forbruk (X-klasse) er en svært god kandidat for sentralisert styring gjennom et regionalt lager, fordi etterspørselen er lett å planlegge og aggregert volum kan utnyttes for innkjøpsstordriftsfordeler. En AZ-artikkel krever derimot lokal beredskapslagring uavhengig av verdi, fordi forsyningssikkerhet ikke kan garanteres gjennom sentraliserte leveranser med standard ledetid. Suryaputri et al. (2022) viser i sin casestudie fra helseindustrien at ABC/XYZ-matrisen med ni kategorier gir substansielt bedre differensiering av bestillingspolicy sammenlignet med enkelt-kriterieanalyse.</w:t>
      </w:r>
    </w:p>
    <w:p>
      <w:pPr>
        <w:spacing w:line="360" w:lineRule="auto"/>
      </w:pPr>
      <w:r>
        <w:rPr>
          <w:rFonts w:ascii="Times New Roman" w:hAnsi="Times New Roman" w:cs="Times New Roman"/>
          <w:sz w:val="24"/>
        </w:rPr>
        <w:t>En sentral utfordring i denne oppgaven er forholdet mellom beregnet XYZ fra forbruksdata (MSEG) og SAP-systemets lagrede XYZ-verdi (MDMA.ZZXYZ). SAP-feltet ZZXYZ oppdateres ikke nødvendigvis løpende og kan basere seg på andre terskelverdier enn de som er standard i litteraturen. Oppgavens analyse behandler dette som et empirisk valideringsspørsmål og rapporterer samsvarsprosenten eksplisitt som et datakvalitetsfunn.</w:t>
      </w:r>
    </w:p>
    <w:p>
      <w:pPr>
        <w:pStyle w:val="Overskrift2"/>
      </w:pPr>
      <w:r>
        <w:rPr>
          <w:rFonts w:ascii="Times New Roman" w:hAnsi="Times New Roman"/>
          <w:color w:val="000000"/>
          <w:sz w:val="32"/>
        </w:rPr>
        <w:t>2.4 Economic Order Quantity (EOQ)</w:t>
      </w:r>
    </w:p>
    <w:p>
      <w:pPr>
        <w:spacing w:line="360" w:lineRule="auto"/>
      </w:pPr>
      <w:r>
        <w:rPr>
          <w:rFonts w:ascii="Times New Roman" w:hAnsi="Times New Roman" w:cs="Times New Roman"/>
          <w:sz w:val="24"/>
        </w:rPr>
        <w:t>Economic Order Quantity (EOQ), også kjent som Wilson-modellen, er en klassisk lagerstyringsmodell som beregner den optimale bestillingsmengden som minimerer summen av årlige ordrekostnader og holdekostnader. Modellen er formulert som en minimering av totalkostnadsfunksjonen:</w:t>
      </w:r>
    </w:p>
    <w:p>
      <w:pPr>
        <w:jc w:val="center"/>
      </w:pPr>
      <w:r>
        <w:rPr>
          <w:rFonts w:ascii="Cambria Math" w:hAnsi="Cambria Math"/>
          <w:i/>
          <w:sz w:val="22"/>
        </w:rPr>
        <w:t>TC(Q) = \frac{D}{Q} \cdot S + \frac{Q}{2} \cdot H</w:t>
      </w:r>
    </w:p>
    <w:p>
      <w:pPr>
        <w:spacing w:line="360" w:lineRule="auto"/>
      </w:pPr>
      <w:r>
        <w:rPr>
          <w:rFonts w:ascii="Times New Roman" w:hAnsi="Times New Roman" w:cs="Times New Roman"/>
          <w:sz w:val="24"/>
        </w:rPr>
        <w:t>der $D$ er årlig etterspørsel i enheter, $Q$ er bestillingsmengden, $S$ er kostnad per ordre (kroner per bestillingstransaksjon), og $H$ er holdekostnad per enhet per år (kroner). Minimering av $TC(Q)$ med hensyn til $Q$ gir den optimale bestillingsmengden:</w:t>
      </w:r>
    </w:p>
    <w:p>
      <w:pPr>
        <w:jc w:val="center"/>
      </w:pPr>
      <w:r>
        <w:rPr>
          <w:rFonts w:ascii="Cambria Math" w:hAnsi="Cambria Math"/>
          <w:i/>
          <w:sz w:val="22"/>
        </w:rPr>
        <w:t>Q^* = \sqrt{\frac{2DS}{H}}</w:t>
      </w:r>
    </w:p>
    <w:p>
      <w:pPr>
        <w:spacing w:line="360" w:lineRule="auto"/>
      </w:pPr>
      <w:r>
        <w:rPr>
          <w:rFonts w:ascii="Times New Roman" w:hAnsi="Times New Roman" w:cs="Times New Roman"/>
          <w:sz w:val="24"/>
        </w:rPr>
        <w:t>Den tilhørende optimale bestillingsfrekvensen er $f^</w:t>
      </w:r>
      <w:r>
        <w:rPr>
          <w:rFonts w:ascii="Times New Roman" w:hAnsi="Times New Roman" w:cs="Times New Roman"/>
          <w:i/>
          <w:sz w:val="24"/>
        </w:rPr>
        <w:t xml:space="preserve"> = D / Q^</w:t>
      </w:r>
      <w:r>
        <w:rPr>
          <w:rFonts w:ascii="Times New Roman" w:hAnsi="Times New Roman" w:cs="Times New Roman"/>
          <w:sz w:val="24"/>
        </w:rPr>
        <w:t>$ ordrer per år. Enhver avvik fra $f^</w:t>
      </w:r>
      <w:r>
        <w:rPr>
          <w:rFonts w:ascii="Times New Roman" w:hAnsi="Times New Roman" w:cs="Times New Roman"/>
          <w:i/>
          <w:sz w:val="24"/>
        </w:rPr>
        <w:t>$ — enten mot for hyppige eller for sjeldne bestillinger — medfører unødvendige kostnader. I denne oppgaven benyttes EOQ primært for å identifisere artikler der faktisk bestillingsfrekvens avviker vesentlig fra $f^</w:t>
      </w:r>
      <w:r>
        <w:rPr>
          <w:rFonts w:ascii="Times New Roman" w:hAnsi="Times New Roman" w:cs="Times New Roman"/>
          <w:sz w:val="24"/>
        </w:rPr>
        <w:t>$, og der kostnadsavviket er kvantifiserbart (Ketkar &amp; Vaidya, 2014).</w:t>
      </w:r>
    </w:p>
    <w:p>
      <w:pPr>
        <w:spacing w:line="360" w:lineRule="auto"/>
      </w:pPr>
      <w:r>
        <w:rPr>
          <w:rFonts w:ascii="Times New Roman" w:hAnsi="Times New Roman" w:cs="Times New Roman"/>
          <w:sz w:val="24"/>
        </w:rPr>
        <w:t>Modellen hviler på en rekke forutsetninger: konstant og kjent etterspørsel, øyeblikkelig leveranse (ingen ledetid), ingen kvantumsrabatter og lineær holdekostnad. I praksis brytes samtlige av disse forutsetningene i varierende grad. Hautaniemi og Pirttilä (1999) diskuterer dette i en MRP-kontekst og påpeker at EOQ i mange tilfeller overstiger faktisk etterspørsel per periode, noe som genererer suboptimale partistørrelser. Pujawan (2004) viser at unøyaktige lot-sizing-regler kan forplante seg som ordrevariabilitet oppover i forsyningskjeden — det såkalte bullwhip-fenomenet. I sykehuskontekst begrenses disse problemene noe av det faktum at medisinsk forbruksmateriell har relativt stabile etterspørselsmønstre for store volumartikler, men problemstillingen er like fullt relevant for Z-klassifiserte artikler.</w:t>
      </w:r>
    </w:p>
    <w:p>
      <w:pPr>
        <w:spacing w:line="360" w:lineRule="auto"/>
      </w:pPr>
      <w:r>
        <w:rPr>
          <w:rFonts w:ascii="Times New Roman" w:hAnsi="Times New Roman" w:cs="Times New Roman"/>
          <w:sz w:val="24"/>
        </w:rPr>
        <w:t>I denne oppgaven er parameterne satt til $S = 750$ NOK og $H = p \times 20\,\%$, der $p$ er enhetsprisen fra MBEW. Sensitivitetsanalysen varierer $S \in \{500, 750, 1\,000\}$ NOK og holdekostnadssatsen $\in \{15\,\%, 20\,\%, 25\,\%\}$ for å kartlegge robustheten i besparelsesestimatene.</w:t>
      </w:r>
    </w:p>
    <w:p>
      <w:pPr>
        <w:spacing w:line="360" w:lineRule="auto"/>
      </w:pPr>
      <w:r>
        <w:rPr>
          <w:rFonts w:ascii="Times New Roman" w:hAnsi="Times New Roman" w:cs="Times New Roman"/>
          <w:sz w:val="24"/>
        </w:rPr>
        <w:t>Totalkostnaden ved en gitt ordrefrekvens $f$ er:</w:t>
      </w:r>
    </w:p>
    <w:p>
      <w:pPr>
        <w:jc w:val="center"/>
      </w:pPr>
      <w:r>
        <w:rPr>
          <w:rFonts w:ascii="Cambria Math" w:hAnsi="Cambria Math"/>
          <w:i/>
          <w:sz w:val="22"/>
        </w:rPr>
        <w:t>TC(f) = f \cdot S + \frac{D}{2f} \cdot H</w:t>
      </w:r>
    </w:p>
    <w:p>
      <w:pPr>
        <w:spacing w:line="360" w:lineRule="auto"/>
      </w:pPr>
      <w:r>
        <w:rPr>
          <w:rFonts w:ascii="Times New Roman" w:hAnsi="Times New Roman" w:cs="Times New Roman"/>
          <w:sz w:val="24"/>
        </w:rPr>
        <w:t>Optimal frekvens minimerer $TC(f)$:</w:t>
      </w:r>
    </w:p>
    <w:p>
      <w:pPr>
        <w:jc w:val="center"/>
      </w:pPr>
      <w:r>
        <w:rPr>
          <w:rFonts w:ascii="Cambria Math" w:hAnsi="Cambria Math"/>
          <w:i/>
          <w:sz w:val="22"/>
        </w:rPr>
        <w:t>f^* = \sqrt{\frac{DH}{2S}}</w:t>
      </w:r>
    </w:p>
    <w:p>
      <w:pPr>
        <w:spacing w:line="360" w:lineRule="auto"/>
      </w:pPr>
      <w:r>
        <w:rPr>
          <w:rFonts w:ascii="Times New Roman" w:hAnsi="Times New Roman" w:cs="Times New Roman"/>
          <w:sz w:val="24"/>
        </w:rPr>
        <w:t>og EOQ fremkommer som $Q^</w:t>
      </w:r>
      <w:r>
        <w:rPr>
          <w:rFonts w:ascii="Times New Roman" w:hAnsi="Times New Roman" w:cs="Times New Roman"/>
          <w:i/>
          <w:sz w:val="24"/>
        </w:rPr>
        <w:t xml:space="preserve"> = D / f^</w:t>
      </w:r>
      <w:r>
        <w:rPr>
          <w:rFonts w:ascii="Times New Roman" w:hAnsi="Times New Roman" w:cs="Times New Roman"/>
          <w:sz w:val="24"/>
        </w:rPr>
        <w:t>$. Kostnadsavviket for en artikkel med observert frekvens $f_{\text{obs}}$ er:</w:t>
      </w:r>
    </w:p>
    <w:p>
      <w:pPr>
        <w:jc w:val="center"/>
      </w:pPr>
      <w:r>
        <w:rPr>
          <w:rFonts w:ascii="Cambria Math" w:hAnsi="Cambria Math"/>
          <w:i/>
          <w:sz w:val="22"/>
        </w:rPr>
        <w:t>\Delta TC_i = TC(f_{\text{obs},i}) - TC(f^*_i)</w:t>
      </w:r>
    </w:p>
    <w:p>
      <w:pPr>
        <w:spacing w:line="360" w:lineRule="auto"/>
      </w:pPr>
      <w:r>
        <w:rPr>
          <w:rFonts w:ascii="Times New Roman" w:hAnsi="Times New Roman" w:cs="Times New Roman"/>
          <w:sz w:val="24"/>
        </w:rPr>
        <w:t>Samlet besparelse ved HVFS-overføring er:</w:t>
      </w:r>
    </w:p>
    <w:p>
      <w:pPr>
        <w:jc w:val="center"/>
      </w:pPr>
      <w:r>
        <w:rPr>
          <w:rFonts w:ascii="Cambria Math" w:hAnsi="Cambria Math"/>
          <w:i/>
          <w:sz w:val="22"/>
        </w:rPr>
        <w:t>B_{\text{HVFS}} = \sum_{i \in \text{OVERFØR}} \Delta TC_i \cdot g</w:t>
      </w:r>
    </w:p>
    <w:p>
      <w:pPr>
        <w:spacing w:line="360" w:lineRule="auto"/>
      </w:pPr>
      <w:r>
        <w:rPr>
          <w:rFonts w:ascii="Times New Roman" w:hAnsi="Times New Roman" w:cs="Times New Roman"/>
          <w:sz w:val="24"/>
        </w:rPr>
        <w:t>der $g$ er en gevinstrealiseringsgrad som reflekterer at ikke alle teoretiske besparelser lar seg realisere fullt ut i praksis. Den detaljerte modellformuleringen er beskrevet i kapittel 5.</w:t>
      </w:r>
    </w:p>
    <w:p>
      <w:pPr>
        <w:pStyle w:val="Overskrift2"/>
      </w:pPr>
      <w:r>
        <w:rPr>
          <w:rFonts w:ascii="Times New Roman" w:hAnsi="Times New Roman"/>
          <w:color w:val="000000"/>
          <w:sz w:val="32"/>
        </w:rPr>
        <w:t>2.5 K-means klyngeanalyse</w:t>
      </w:r>
    </w:p>
    <w:p>
      <w:pPr>
        <w:spacing w:line="360" w:lineRule="auto"/>
      </w:pPr>
      <w:r>
        <w:rPr>
          <w:rFonts w:ascii="Times New Roman" w:hAnsi="Times New Roman" w:cs="Times New Roman"/>
          <w:sz w:val="24"/>
        </w:rPr>
        <w:t>K-means er en partisjoneringsalgoritme som deler et datasett inn i $K$ klynger ved å minimere summen av kvadrerte euklidske avstander fra hvert datapunkt til tilhørende klyngesenter (sentroid). Algoritmen itererer over to steg: (1) tilordne hvert punkt til nærmeste sentroid, og (2) oppdatere sentroides som gjennomsnittet av tilordnede punkter. Prosessen gjentas til konvergens, det vil si at klyngetilhørigheten ikke lenger endres mellom iterasjoner (Pedregosa et al., 2011).</w:t>
      </w:r>
    </w:p>
    <w:p>
      <w:pPr>
        <w:spacing w:line="360" w:lineRule="auto"/>
      </w:pPr>
      <w:r>
        <w:rPr>
          <w:rFonts w:ascii="Times New Roman" w:hAnsi="Times New Roman" w:cs="Times New Roman"/>
          <w:sz w:val="24"/>
        </w:rPr>
        <w:t>For å bestemme optimalt antall klynger $K$ benyttes to komplementære valideringsmetoder. Albue-metoden (elbow method) plotter intra-klyngevariansen (WCSS — Within-Cluster Sum of Squares) som funksjon av $K$ og identifiserer det punktet der marginalreduksjonen flater ut. Silhouette-score kvantifiserer dette mer presist: for hvert datapunkt beregnes et mål på separasjonen mellom klynger relativt til kohesjon innen klyngen, og gjennomsnittsscoren over alle punkter ligger mellom -1 og 1, der verdier over 0,3 anses som akseptable og verdier over 0,5 som gode (Pedregosa et al., 2011). I denne oppgaven er $K = 3$ valgt på bakgrunn av begge kriterier.</w:t>
      </w:r>
    </w:p>
    <w:p>
      <w:pPr>
        <w:spacing w:line="360" w:lineRule="auto"/>
      </w:pPr>
      <w:r>
        <w:rPr>
          <w:rFonts w:ascii="Times New Roman" w:hAnsi="Times New Roman" w:cs="Times New Roman"/>
          <w:sz w:val="24"/>
        </w:rPr>
        <w:t>To tekniske forbehandlingstrinn er faglig motiverte og avgjørende for analysens validitet. Log-transformasjon ($\log(1 + x)$) benyttes på skjevfordelte variabler som innkjøpsverdi og ordrefrekvens, da disse typisk har kraftige halefordelinger der noen få høyverdiartikler ellers vil dominere klyngedannelsen og maskere strukturen blant den store majoriteten av artikler. Z-score-standardisering (nullgjennomsnitt, enhetsstandaravvik) sikrer at variabler med ulik skala og enhet — kroner, ordrefrekvens og variasjonskoeffisient — bidrar likeverdig til distanseberegningene. Uten standardisering vil den absolutte skalaen til prisvariabler dominere over CV-variabler, noe som ville gi klynger styrt av verdi alene fremfor den kombinerte profilen analysen søker å avdekke.</w:t>
      </w:r>
    </w:p>
    <w:p>
      <w:pPr>
        <w:spacing w:line="360" w:lineRule="auto"/>
      </w:pPr>
      <w:r>
        <w:rPr>
          <w:rFonts w:ascii="Times New Roman" w:hAnsi="Times New Roman" w:cs="Times New Roman"/>
          <w:sz w:val="24"/>
        </w:rPr>
        <w:t>Srinivasan og Moon (1999) viser at klyngeanalyse for strategisk forsyningskjedeanalyse gir resultater nær optimale sammenlignet med helhetlige optimeringer, og at metoden er praktisk håndterbar for store sortiment. Sammenlignet med regelbaserte klassifiseringsmetoder alene har klyngeanalyse den fordelen at den er data-drevet og ikke forutsetter forhåndsdefinerte terskelverdier. Begrensningen er at K-means er sensitiv for initialiseringen og forutsetter et konvekst, sfærisk klyngemønster — noe som ikke alltid er oppfylt i lagerdata. I denne oppgaven håndteres initialiseringsproblematikken ved bruk av k-means++ initialisering og random_state = 42 for reproduserbarhet, og klyngeresultatene valideres mot silhouette-score for begge delsett i et 80/20-split.</w:t>
      </w:r>
    </w:p>
    <w:p>
      <w:pPr>
        <w:spacing w:line="360" w:lineRule="auto"/>
      </w:pPr>
      <w:r>
        <w:rPr>
          <w:rFonts w:ascii="Times New Roman" w:hAnsi="Times New Roman" w:cs="Times New Roman"/>
          <w:sz w:val="24"/>
        </w:rPr>
        <w:t>I lagerstyringssammenheng brukes K-means primært som et segmenteringsverktøy for å identifisere artikkelgrupper med felles profil på tvers av flere dimensjoner samtidig — ikke som en prediktiv modell (Srinivasan &amp; Moon, 1999). Valg av K via silhouette-score er metodisk standard i eksplorativ klyngeanalyse og reduserer analytisk bias ved at K bestemmes av datastrukturen, ikke av forhåndsdefinerte kategorier (Pedregosa et al., 2011). Det finnes begrenset sykehus-spesifikk litteratur på K-means i lagerklassifisering; Gurumurthy et al. (2021) er blant de få som eksplisitt benytter klyngeanalyse i en sykehuslogistikkontekst, noe som understreker at metodekombinasjonen i denne studien bidrar til å utvide det empiriske grunnlaget på feltet.</w:t>
      </w:r>
    </w:p>
    <w:p>
      <w:pPr>
        <w:pStyle w:val="Overskrift2"/>
      </w:pPr>
      <w:r>
        <w:rPr>
          <w:rFonts w:ascii="Times New Roman" w:hAnsi="Times New Roman"/>
          <w:color w:val="000000"/>
          <w:sz w:val="32"/>
        </w:rPr>
        <w:t>2.6 Lagerstyring i helsesektoren</w:t>
      </w:r>
    </w:p>
    <w:p>
      <w:pPr>
        <w:spacing w:line="360" w:lineRule="auto"/>
      </w:pPr>
      <w:r>
        <w:rPr>
          <w:rFonts w:ascii="Times New Roman" w:hAnsi="Times New Roman" w:cs="Times New Roman"/>
          <w:sz w:val="24"/>
        </w:rPr>
        <w:t>Sykehuslogistikk skiller seg fra industriell lagerstyring på flere vesentlige punkter. Det mest fundamentale er at forsyningssvikt kan ha direkte kliniske konsekvenser — mangel på forbruksmateriell i en operasjonsstue er ikke sammenlignbart med et utsolgt produkt i en butikk. Bijvank og Vis (2012) modellerer dette som et tapte-salg-lagersystem (lost sales) der stockout har direkte operasjonell kostnad utover den rene anskaffelseskostnaden. Konsekvensen er at sykehus tradisjonelt har akseptert høyere sikkerhetslager og høyere lagerkostnader enn det som er kostnadsoptimalt, som en forsikring mot forsyningssvikt.</w:t>
      </w:r>
    </w:p>
    <w:p>
      <w:pPr>
        <w:spacing w:line="360" w:lineRule="auto"/>
      </w:pPr>
      <w:r>
        <w:rPr>
          <w:rFonts w:ascii="Times New Roman" w:hAnsi="Times New Roman" w:cs="Times New Roman"/>
          <w:sz w:val="24"/>
        </w:rPr>
        <w:t>Moons et al. (2019) peker på at ytelsesmåling i interne sykehusforsyningskjeder er fragmentert og mangler konsensus om felles indikatorer. Fire kategorier av indikatorer identifiseres: kvalitet, tid, økonomi og produktivitet. For klassifiseringsformål er økonomiindikatorer — lagerbinding, ordrekostnader, fill rate — de mest operasjonaliserbare, men de må balanseres mot serviceindikatorene som reflekterer klinisk tilgjengelighet. Kumar og Kumar (2015) identifiserte 16 nøkkelfaktorer for sykehuslagerstyring gjennom ISM-analyse, der leveringstid, lagernivå og bestillingsmønster fremstår som drivende faktorer for systemets samlede ytelse. Sirisawat et al. (2019) bekrefter dette ved å vise at KPI-basert klassifisering i universitetssykehus forutsetter tilgang til operative data fra ERP-systemer — en forutsetning som SE16H-tilnærmingen i denne studien direkte adresserer.</w:t>
      </w:r>
    </w:p>
    <w:p>
      <w:pPr>
        <w:spacing w:line="360" w:lineRule="auto"/>
      </w:pPr>
      <w:r>
        <w:rPr>
          <w:rFonts w:ascii="Times New Roman" w:hAnsi="Times New Roman" w:cs="Times New Roman"/>
          <w:sz w:val="24"/>
        </w:rPr>
        <w:t>Saha og Ray (2019) gjennomgikk 137 studier på lagerstyringsmodeller i helsesektoren og fant at casestudier med empiriske data fra ERP-systemer er underrepresentert i litteraturen sammenlignet med teoretiske modeller. De fremhever behovet for forskning som benytter faktiske transaksjonsdata fra systemer som SAP for å validere klassifiseringsresultater mot operative parametere. Gupta et al. (2007) viser i en konkret sykehusstudie at ABC-analyse med SAP-data reduserte lagerkapitalbindingen med om lag 10–15 prosent over en periode, noe som illustrerer det praktiske besparelsespotensialet av systematisk klassifiseringsarbeid.</w:t>
      </w:r>
    </w:p>
    <w:p>
      <w:pPr>
        <w:spacing w:line="360" w:lineRule="auto"/>
      </w:pPr>
      <w:r>
        <w:rPr>
          <w:rFonts w:ascii="Times New Roman" w:hAnsi="Times New Roman" w:cs="Times New Roman"/>
          <w:sz w:val="24"/>
        </w:rPr>
        <w:t>SAP S/4HANA er i dag det dominerende ERP-systemet i norske helseforetak, og LIBRA-prosjektet standardiserer plattformen på tvers av Helse Vest. Denne standardiseringen er en forutsetning for at en felles, datadrevet klassifiseringsmodell kan implementeres med overføringsverdi fra Helse Bergen til de øvrige helseforetakene i regionen. Fragapane et al. (2019) understreker at overgangen til sentraliserte APL-leveranser (avdelingspakkede leveranser) krever et systematisk klassifiseringsgrunnlag for å avgjøre hvilke artikler som egner seg for sentralisering versus lokal lagring nær bruksstedet. de Vries (2011) advarer imidlertid mot å undervurdere de organisatoriske barrierene: interessentkonflikter mellom logistikk, klinisk personell og økonomiavdelinger kan forsinke eller undergrave rasjonelle omstillingsbeslutninger selv der datagrunnlaget er godt.</w:t>
      </w:r>
    </w:p>
    <w:p>
      <w:pPr>
        <w:spacing w:line="360" w:lineRule="auto"/>
      </w:pPr>
      <w:r>
        <w:rPr>
          <w:rFonts w:ascii="Times New Roman" w:hAnsi="Times New Roman" w:cs="Times New Roman"/>
          <w:sz w:val="24"/>
        </w:rPr>
        <w:t>Tabell 2 oppsummerer styrker, svakheter og forutsetninger for de fire analysemetodene som benyttes i denne oppgaven.</w:t>
      </w:r>
    </w:p>
    <w:p>
      <w:r>
        <w:rPr>
          <w:rFonts w:ascii="Times New Roman" w:hAnsi="Times New Roman"/>
          <w:i/>
          <w:sz w:val="20"/>
        </w:rPr>
        <w:t>Tabell 2. Sammenligning av analysemetoder brukt i oppgaven.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1754"/>
            <w:shd w:fill="D9E2F3" w:val="clear"/>
          </w:tcPr>
          <w:p>
            <w:r/>
            <w:r>
              <w:rPr>
                <w:rFonts w:ascii="Times New Roman" w:hAnsi="Times New Roman"/>
                <w:b/>
                <w:sz w:val="20"/>
              </w:rPr>
              <w:t>Modell</w:t>
            </w:r>
          </w:p>
        </w:tc>
        <w:tc>
          <w:tcPr>
            <w:tcW w:type="dxa" w:w="1754"/>
            <w:shd w:fill="D9E2F3" w:val="clear"/>
          </w:tcPr>
          <w:p>
            <w:r/>
            <w:r>
              <w:rPr>
                <w:rFonts w:ascii="Times New Roman" w:hAnsi="Times New Roman"/>
                <w:b/>
                <w:sz w:val="20"/>
              </w:rPr>
              <w:t>Styrker</w:t>
            </w:r>
          </w:p>
        </w:tc>
        <w:tc>
          <w:tcPr>
            <w:tcW w:type="dxa" w:w="1754"/>
            <w:shd w:fill="D9E2F3" w:val="clear"/>
          </w:tcPr>
          <w:p>
            <w:r/>
            <w:r>
              <w:rPr>
                <w:rFonts w:ascii="Times New Roman" w:hAnsi="Times New Roman"/>
                <w:b/>
                <w:sz w:val="20"/>
              </w:rPr>
              <w:t>Svakheter</w:t>
            </w:r>
          </w:p>
        </w:tc>
        <w:tc>
          <w:tcPr>
            <w:tcW w:type="dxa" w:w="1754"/>
            <w:shd w:fill="D9E2F3" w:val="clear"/>
          </w:tcPr>
          <w:p>
            <w:r/>
            <w:r>
              <w:rPr>
                <w:rFonts w:ascii="Times New Roman" w:hAnsi="Times New Roman"/>
                <w:b/>
                <w:sz w:val="20"/>
              </w:rPr>
              <w:t>Forutsetninger</w:t>
            </w:r>
          </w:p>
        </w:tc>
        <w:tc>
          <w:tcPr>
            <w:tcW w:type="dxa" w:w="1754"/>
            <w:shd w:fill="D9E2F3" w:val="clear"/>
          </w:tcPr>
          <w:p>
            <w:r/>
            <w:r>
              <w:rPr>
                <w:rFonts w:ascii="Times New Roman" w:hAnsi="Times New Roman"/>
                <w:b/>
                <w:sz w:val="20"/>
              </w:rPr>
              <w:t>Referanse</w:t>
            </w:r>
          </w:p>
        </w:tc>
      </w:tr>
      <w:tr>
        <w:tc>
          <w:tcPr>
            <w:tcW w:type="dxa" w:w="1754"/>
          </w:tcPr>
          <w:p>
            <w:r/>
            <w:r>
              <w:rPr>
                <w:rFonts w:ascii="Times New Roman" w:hAnsi="Times New Roman"/>
                <w:sz w:val="20"/>
              </w:rPr>
              <w:t>ABC-analyse</w:t>
            </w:r>
          </w:p>
        </w:tc>
        <w:tc>
          <w:tcPr>
            <w:tcW w:type="dxa" w:w="1754"/>
          </w:tcPr>
          <w:p>
            <w:r/>
            <w:r>
              <w:rPr>
                <w:rFonts w:ascii="Times New Roman" w:hAnsi="Times New Roman"/>
                <w:sz w:val="20"/>
              </w:rPr>
              <w:t>Enkel, transparent, bred støtte i litteraturen</w:t>
            </w:r>
          </w:p>
        </w:tc>
        <w:tc>
          <w:tcPr>
            <w:tcW w:type="dxa" w:w="1754"/>
          </w:tcPr>
          <w:p>
            <w:r/>
            <w:r>
              <w:rPr>
                <w:rFonts w:ascii="Times New Roman" w:hAnsi="Times New Roman"/>
                <w:sz w:val="20"/>
              </w:rPr>
              <w:t>Ignorerer etterspørselsvariabilitet og kritikalitet</w:t>
            </w:r>
          </w:p>
        </w:tc>
        <w:tc>
          <w:tcPr>
            <w:tcW w:type="dxa" w:w="1754"/>
          </w:tcPr>
          <w:p>
            <w:r/>
            <w:r>
              <w:rPr>
                <w:rFonts w:ascii="Times New Roman" w:hAnsi="Times New Roman"/>
                <w:sz w:val="20"/>
              </w:rPr>
              <w:t>Kjent årsverdi per artikkel</w:t>
            </w:r>
          </w:p>
        </w:tc>
        <w:tc>
          <w:tcPr>
            <w:tcW w:type="dxa" w:w="1754"/>
          </w:tcPr>
          <w:p>
            <w:r/>
            <w:r>
              <w:rPr>
                <w:rFonts w:ascii="Times New Roman" w:hAnsi="Times New Roman"/>
                <w:sz w:val="20"/>
              </w:rPr>
              <w:t>Silaen et al. (2023)</w:t>
            </w:r>
          </w:p>
        </w:tc>
      </w:tr>
      <w:tr>
        <w:tc>
          <w:tcPr>
            <w:tcW w:type="dxa" w:w="1754"/>
          </w:tcPr>
          <w:p>
            <w:r/>
            <w:r>
              <w:rPr>
                <w:rFonts w:ascii="Times New Roman" w:hAnsi="Times New Roman"/>
                <w:sz w:val="20"/>
              </w:rPr>
              <w:t>XYZ-klassifisering</w:t>
            </w:r>
          </w:p>
        </w:tc>
        <w:tc>
          <w:tcPr>
            <w:tcW w:type="dxa" w:w="1754"/>
          </w:tcPr>
          <w:p>
            <w:r/>
            <w:r>
              <w:rPr>
                <w:rFonts w:ascii="Times New Roman" w:hAnsi="Times New Roman"/>
                <w:sz w:val="20"/>
              </w:rPr>
              <w:t>Fanger variabilitet i etterspørsel over tid</w:t>
            </w:r>
          </w:p>
        </w:tc>
        <w:tc>
          <w:tcPr>
            <w:tcW w:type="dxa" w:w="1754"/>
          </w:tcPr>
          <w:p>
            <w:r/>
            <w:r>
              <w:rPr>
                <w:rFonts w:ascii="Times New Roman" w:hAnsi="Times New Roman"/>
                <w:sz w:val="20"/>
              </w:rPr>
              <w:t>Krever tilstrekkelig transaksjonshistorikk</w:t>
            </w:r>
          </w:p>
        </w:tc>
        <w:tc>
          <w:tcPr>
            <w:tcW w:type="dxa" w:w="1754"/>
          </w:tcPr>
          <w:p>
            <w:r/>
            <w:r>
              <w:rPr>
                <w:rFonts w:ascii="Times New Roman" w:hAnsi="Times New Roman"/>
                <w:sz w:val="20"/>
              </w:rPr>
              <w:t>Månedlige forbruksdata tilgjengelig</w:t>
            </w:r>
          </w:p>
        </w:tc>
        <w:tc>
          <w:tcPr>
            <w:tcW w:type="dxa" w:w="1754"/>
          </w:tcPr>
          <w:p>
            <w:r/>
            <w:r>
              <w:rPr>
                <w:rFonts w:ascii="Times New Roman" w:hAnsi="Times New Roman"/>
                <w:sz w:val="20"/>
              </w:rPr>
              <w:t>Nowotyńska (2013)</w:t>
            </w:r>
          </w:p>
        </w:tc>
      </w:tr>
      <w:tr>
        <w:tc>
          <w:tcPr>
            <w:tcW w:type="dxa" w:w="1754"/>
          </w:tcPr>
          <w:p>
            <w:r/>
            <w:r>
              <w:rPr>
                <w:rFonts w:ascii="Times New Roman" w:hAnsi="Times New Roman"/>
                <w:sz w:val="20"/>
              </w:rPr>
              <w:t>EOQ (Wilson)</w:t>
            </w:r>
          </w:p>
        </w:tc>
        <w:tc>
          <w:tcPr>
            <w:tcW w:type="dxa" w:w="1754"/>
          </w:tcPr>
          <w:p>
            <w:r/>
            <w:r>
              <w:rPr>
                <w:rFonts w:ascii="Times New Roman" w:hAnsi="Times New Roman"/>
                <w:sz w:val="20"/>
              </w:rPr>
              <w:t>Analytisk optimal ordrekvantum, kvantifiserbart avvik</w:t>
            </w:r>
          </w:p>
        </w:tc>
        <w:tc>
          <w:tcPr>
            <w:tcW w:type="dxa" w:w="1754"/>
          </w:tcPr>
          <w:p>
            <w:r/>
            <w:r>
              <w:rPr>
                <w:rFonts w:ascii="Times New Roman" w:hAnsi="Times New Roman"/>
                <w:sz w:val="20"/>
              </w:rPr>
              <w:t>Sensitiv for S og H; antar konstant etterspørsel</w:t>
            </w:r>
          </w:p>
        </w:tc>
        <w:tc>
          <w:tcPr>
            <w:tcW w:type="dxa" w:w="1754"/>
          </w:tcPr>
          <w:p>
            <w:r/>
            <w:r>
              <w:rPr>
                <w:rFonts w:ascii="Times New Roman" w:hAnsi="Times New Roman"/>
                <w:sz w:val="20"/>
              </w:rPr>
              <w:t>Kjent S og H; kontinuerlig etterspørsel</w:t>
            </w:r>
          </w:p>
        </w:tc>
        <w:tc>
          <w:tcPr>
            <w:tcW w:type="dxa" w:w="1754"/>
          </w:tcPr>
          <w:p>
            <w:r/>
            <w:r>
              <w:rPr>
                <w:rFonts w:ascii="Times New Roman" w:hAnsi="Times New Roman"/>
                <w:sz w:val="20"/>
              </w:rPr>
              <w:t>Hautaniemi &amp; Pirttilä (1999)</w:t>
            </w:r>
          </w:p>
        </w:tc>
      </w:tr>
      <w:tr>
        <w:tc>
          <w:tcPr>
            <w:tcW w:type="dxa" w:w="1754"/>
          </w:tcPr>
          <w:p>
            <w:r/>
            <w:r>
              <w:rPr>
                <w:rFonts w:ascii="Times New Roman" w:hAnsi="Times New Roman"/>
                <w:sz w:val="20"/>
              </w:rPr>
              <w:t>K-means klyngeanalyse</w:t>
            </w:r>
          </w:p>
        </w:tc>
        <w:tc>
          <w:tcPr>
            <w:tcW w:type="dxa" w:w="1754"/>
          </w:tcPr>
          <w:p>
            <w:r/>
            <w:r>
              <w:rPr>
                <w:rFonts w:ascii="Times New Roman" w:hAnsi="Times New Roman"/>
                <w:sz w:val="20"/>
              </w:rPr>
              <w:t>Avdekker skjulte mønstre uten forhåndsbestemte grenser</w:t>
            </w:r>
          </w:p>
        </w:tc>
        <w:tc>
          <w:tcPr>
            <w:tcW w:type="dxa" w:w="1754"/>
          </w:tcPr>
          <w:p>
            <w:r/>
            <w:r>
              <w:rPr>
                <w:rFonts w:ascii="Times New Roman" w:hAnsi="Times New Roman"/>
                <w:sz w:val="20"/>
              </w:rPr>
              <w:t>Sensitiv for K-valg og initialisering</w:t>
            </w:r>
          </w:p>
        </w:tc>
        <w:tc>
          <w:tcPr>
            <w:tcW w:type="dxa" w:w="1754"/>
          </w:tcPr>
          <w:p>
            <w:r/>
            <w:r>
              <w:rPr>
                <w:rFonts w:ascii="Times New Roman" w:hAnsi="Times New Roman"/>
                <w:sz w:val="20"/>
              </w:rPr>
              <w:t>Normaliserte features; euklidsk avstand</w:t>
            </w:r>
          </w:p>
        </w:tc>
        <w:tc>
          <w:tcPr>
            <w:tcW w:type="dxa" w:w="1754"/>
          </w:tcPr>
          <w:p>
            <w:r/>
            <w:r>
              <w:rPr>
                <w:rFonts w:ascii="Times New Roman" w:hAnsi="Times New Roman"/>
                <w:sz w:val="20"/>
              </w:rPr>
              <w:t>Srinivasan &amp; Moon (1999)</w:t>
            </w:r>
          </w:p>
        </w:tc>
      </w:tr>
    </w:tbl>
    <w:p>
      <w:pPr>
        <w:pStyle w:val="Overskrift2"/>
      </w:pPr>
      <w:r>
        <w:rPr>
          <w:rFonts w:ascii="Times New Roman" w:hAnsi="Times New Roman"/>
          <w:color w:val="000000"/>
          <w:sz w:val="32"/>
        </w:rPr>
        <w:t>2.7 Konseptuelt rammeverk</w:t>
      </w:r>
    </w:p>
    <w:p>
      <w:pPr>
        <w:spacing w:line="360" w:lineRule="auto"/>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0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ascii="Times New Roman" w:hAnsi="Times New Roman" w:cs="Times New Roman"/>
          <w:i/>
          <w:sz w:val="24"/>
        </w:rPr>
        <w:t>overfør til HVFS</w:t>
      </w:r>
      <w:r>
        <w:rPr>
          <w:rFonts w:ascii="Times New Roman" w:hAnsi="Times New Roman" w:cs="Times New Roman"/>
          <w:sz w:val="24"/>
        </w:rPr>
        <w:t xml:space="preserve">, </w:t>
      </w:r>
      <w:r>
        <w:rPr>
          <w:rFonts w:ascii="Times New Roman" w:hAnsi="Times New Roman" w:cs="Times New Roman"/>
          <w:i/>
          <w:sz w:val="24"/>
        </w:rPr>
        <w:t>behold lokalt</w:t>
      </w:r>
      <w:r>
        <w:rPr>
          <w:rFonts w:ascii="Times New Roman" w:hAnsi="Times New Roman" w:cs="Times New Roman"/>
          <w:sz w:val="24"/>
        </w:rPr>
        <w:t xml:space="preserve"> eller </w:t>
      </w:r>
      <w:r>
        <w:rPr>
          <w:rFonts w:ascii="Times New Roman" w:hAnsi="Times New Roman" w:cs="Times New Roman"/>
          <w:i/>
          <w:sz w:val="24"/>
        </w:rPr>
        <w:t>krever nærmere vurdering</w:t>
      </w:r>
      <w:r>
        <w:rPr>
          <w:rFonts w:ascii="Times New Roman" w:hAnsi="Times New Roman" w:cs="Times New Roman"/>
          <w:sz w:val="24"/>
        </w:rPr>
        <w:t>. Estimert besparelse beregnes som summen av EOQ-kostnadsavvik for HVFS-anbefalte artikler, justert for gevinstrealiseringsgrad.</w:t>
      </w:r>
    </w:p>
    <w:p>
      <w:r>
        <w:drawing>
          <wp:inline xmlns:a="http://schemas.openxmlformats.org/drawingml/2006/main" xmlns:pic="http://schemas.openxmlformats.org/drawingml/2006/picture">
            <wp:extent cx="5400000" cy="1315966"/>
            <wp:docPr id="4" name="Picture 4"/>
            <wp:cNvGraphicFramePr>
              <a:graphicFrameLocks noChangeAspect="1"/>
            </wp:cNvGraphicFramePr>
            <a:graphic>
              <a:graphicData uri="http://schemas.openxmlformats.org/drawingml/2006/picture">
                <pic:pic>
                  <pic:nvPicPr>
                    <pic:cNvPr id="0" name="Fig00_Konseptuelt_Rammeverk.png"/>
                    <pic:cNvPicPr/>
                  </pic:nvPicPr>
                  <pic:blipFill>
                    <a:blip r:embed="rId22"/>
                    <a:stretch>
                      <a:fillRect/>
                    </a:stretch>
                  </pic:blipFill>
                  <pic:spPr>
                    <a:xfrm>
                      <a:off x="0" y="0"/>
                      <a:ext cx="5400000" cy="1315966"/>
                    </a:xfrm>
                    <a:prstGeom prst="rect"/>
                  </pic:spPr>
                </pic:pic>
              </a:graphicData>
            </a:graphic>
          </wp:inline>
        </w:drawing>
      </w:r>
    </w:p>
    <w:p>
      <w:pPr>
        <w:jc w:val="center"/>
      </w:pPr>
      <w:r>
        <w:rPr>
          <w:rFonts w:ascii="Times New Roman" w:hAnsi="Times New Roman"/>
          <w:i/>
          <w:sz w:val="20"/>
        </w:rPr>
        <w:t>Figur 0. Konseptuelt rammeverk – fra SAP-data til HVFS-anbefaling. Generert med støtte fra Claude (Anthropic, 2026).</w:t>
      </w:r>
    </w:p>
    <w:p>
      <w:pPr>
        <w:spacing w:line="360" w:lineRule="auto"/>
      </w:pPr>
      <w:r>
        <w:rPr>
          <w:rFonts w:ascii="Times New Roman" w:hAnsi="Times New Roman" w:cs="Times New Roman"/>
          <w:sz w:val="24"/>
        </w:rPr>
        <w:t>Figur 0 refererer til dette rammeverket. Den detaljerte matematiske formuleringen av alle modellkomponenter — parameterdefinisjonene, formlene og grenseverdiene — presenteres i kapittel 5.</w:t>
      </w:r>
    </w:p>
    <w:p>
      <w:pPr>
        <w:pStyle w:val="Overskrift1"/>
        <w:pageBreakBefore w:val="true"/>
      </w:pPr>
      <w:r>
        <w:rPr>
          <w:rFonts w:ascii="Times New Roman" w:hAnsi="Times New Roman"/>
          <w:color w:val="000000"/>
          <w:sz w:val="36"/>
        </w:rPr>
        <w:t>Kapittel 3 – Casebeskrivelse</w:t>
      </w:r>
    </w:p>
    <w:p>
      <w:pPr>
        <w:pStyle w:val="Overskrift2"/>
      </w:pPr>
      <w:r>
        <w:rPr>
          <w:rFonts w:ascii="Times New Roman" w:hAnsi="Times New Roman"/>
          <w:color w:val="000000"/>
          <w:sz w:val="32"/>
        </w:rPr>
        <w:t>3.1 Helse Bergen og Helse Vest</w:t>
      </w:r>
    </w:p>
    <w:p>
      <w:pPr>
        <w:spacing w:line="360" w:lineRule="auto"/>
      </w:pPr>
      <w:r>
        <w:rPr>
          <w:rFonts w:ascii="Times New Roman" w:hAnsi="Times New Roman" w:cs="Times New Roman"/>
          <w:sz w:val="24"/>
        </w:rPr>
        <w:t>Helse Bergen HF er det største helseforetaket i Helse Vest RHF og er organisert under den statlige spesialisthelsetjenesten. Foretaket drifter Haukeland Universitetssykehus — Norges nest største sykehus — og har ansvar for spesialisthelsetjenester til en befolkning på om lag 460 000 innbyggere i 18 kommuner i Hordaland. Med om lag 14 000 ansatte er Helse Bergen en av de største arbeidsgiverne på Vestlandet, og driftskostnadene er tilsvarende betydelige. Foretaket håndterer et bredt spekter av medisinske spesialiteter og har en kompleks intern logistikk som forsyner avdelinger over et stort geografisk anleggsareal.</w:t>
      </w:r>
    </w:p>
    <w:p>
      <w:pPr>
        <w:spacing w:line="360" w:lineRule="auto"/>
      </w:pPr>
      <w:r>
        <w:rPr>
          <w:rFonts w:ascii="Times New Roman" w:hAnsi="Times New Roman" w:cs="Times New Roman"/>
          <w:sz w:val="24"/>
        </w:rPr>
        <w:t>Helse Vest RHF koordinerer de fire helseforetakene Helse Bergen, Helse Stavanger, Helse Fonna og Helse Førde. Regionale fellesfunksjoner — inkludert IKT-infrastruktur og forsyningskjedekoordinering — ivaretas i samarbeid mellom foretakene. En regionalt harmonisert tilnærming til materialforvaltning har i senere år fått økt prioritet, drevet av behovet for effektivisering og stordriftsfordeler på tvers av foretakene.</w:t>
      </w:r>
    </w:p>
    <w:p>
      <w:pPr>
        <w:spacing w:line="360" w:lineRule="auto"/>
      </w:pPr>
      <w:r>
        <w:rPr>
          <w:rFonts w:ascii="Times New Roman" w:hAnsi="Times New Roman" w:cs="Times New Roman"/>
          <w:sz w:val="24"/>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1. Tabell 3 oppsummerer nøkkeltallene for casevirksomheten.</w:t>
      </w:r>
    </w:p>
    <w:p>
      <w:r>
        <w:rPr>
          <w:rFonts w:ascii="Times New Roman" w:hAnsi="Times New Roman"/>
          <w:i/>
          <w:sz w:val="20"/>
        </w:rPr>
        <w:t>Tabell 3. Nøkkeltall for casevirksomheten Helse Bergen, WERKS 3300.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3"/>
        <w:gridCol w:w="2923"/>
        <w:gridCol w:w="2923"/>
      </w:tblGrid>
      <w:tr>
        <w:tc>
          <w:tcPr>
            <w:tcW w:type="dxa" w:w="2923"/>
            <w:shd w:fill="D9E2F3" w:val="clear"/>
          </w:tcPr>
          <w:p>
            <w:r/>
            <w:r>
              <w:rPr>
                <w:rFonts w:ascii="Times New Roman" w:hAnsi="Times New Roman"/>
                <w:b/>
                <w:sz w:val="20"/>
              </w:rPr>
              <w:t>Nøkkeltall</w:t>
            </w:r>
          </w:p>
        </w:tc>
        <w:tc>
          <w:tcPr>
            <w:tcW w:type="dxa" w:w="2923"/>
            <w:shd w:fill="D9E2F3" w:val="clear"/>
          </w:tcPr>
          <w:p>
            <w:r/>
            <w:r>
              <w:rPr>
                <w:rFonts w:ascii="Times New Roman" w:hAnsi="Times New Roman"/>
                <w:b/>
                <w:sz w:val="20"/>
              </w:rPr>
              <w:t>Verdi</w:t>
            </w:r>
          </w:p>
        </w:tc>
        <w:tc>
          <w:tcPr>
            <w:tcW w:type="dxa" w:w="2923"/>
            <w:shd w:fill="D9E2F3" w:val="clear"/>
          </w:tcPr>
          <w:p>
            <w:r/>
            <w:r>
              <w:rPr>
                <w:rFonts w:ascii="Times New Roman" w:hAnsi="Times New Roman"/>
                <w:b/>
                <w:sz w:val="20"/>
              </w:rPr>
              <w:t>Kilde</w:t>
            </w:r>
          </w:p>
        </w:tc>
      </w:tr>
      <w:tr>
        <w:tc>
          <w:tcPr>
            <w:tcW w:type="dxa" w:w="2923"/>
          </w:tcPr>
          <w:p>
            <w:r/>
            <w:r>
              <w:rPr>
                <w:rFonts w:ascii="Times New Roman" w:hAnsi="Times New Roman"/>
                <w:sz w:val="20"/>
              </w:rPr>
              <w:t>Helseforetak</w:t>
            </w:r>
          </w:p>
        </w:tc>
        <w:tc>
          <w:tcPr>
            <w:tcW w:type="dxa" w:w="2923"/>
          </w:tcPr>
          <w:p>
            <w:r/>
            <w:r>
              <w:rPr>
                <w:rFonts w:ascii="Times New Roman" w:hAnsi="Times New Roman"/>
                <w:sz w:val="20"/>
              </w:rPr>
              <w:t>Helse Bergen HF</w:t>
            </w:r>
          </w:p>
        </w:tc>
        <w:tc>
          <w:tcPr>
            <w:tcW w:type="dxa" w:w="2923"/>
          </w:tcPr>
          <w:p>
            <w:r/>
            <w:r>
              <w:rPr>
                <w:rFonts w:ascii="Times New Roman" w:hAnsi="Times New Roman"/>
                <w:sz w:val="20"/>
              </w:rPr>
              <w:t>Helse Vest RHF</w:t>
            </w:r>
          </w:p>
        </w:tc>
      </w:tr>
      <w:tr>
        <w:tc>
          <w:tcPr>
            <w:tcW w:type="dxa" w:w="2923"/>
          </w:tcPr>
          <w:p>
            <w:r/>
            <w:r>
              <w:rPr>
                <w:rFonts w:ascii="Times New Roman" w:hAnsi="Times New Roman"/>
                <w:sz w:val="20"/>
              </w:rPr>
              <w:t>SAP-anlegg (WERKS)</w:t>
            </w:r>
          </w:p>
        </w:tc>
        <w:tc>
          <w:tcPr>
            <w:tcW w:type="dxa" w:w="2923"/>
          </w:tcPr>
          <w:p>
            <w:r/>
            <w:r>
              <w:rPr>
                <w:rFonts w:ascii="Times New Roman" w:hAnsi="Times New Roman"/>
                <w:sz w:val="20"/>
              </w:rPr>
              <w:t>3300</w:t>
            </w:r>
          </w:p>
        </w:tc>
        <w:tc>
          <w:tcPr>
            <w:tcW w:type="dxa" w:w="2923"/>
          </w:tcPr>
          <w:p>
            <w:r/>
            <w:r>
              <w:rPr>
                <w:rFonts w:ascii="Times New Roman" w:hAnsi="Times New Roman"/>
                <w:sz w:val="20"/>
              </w:rPr>
              <w:t>SAP S/4HANA</w:t>
            </w:r>
          </w:p>
        </w:tc>
      </w:tr>
      <w:tr>
        <w:tc>
          <w:tcPr>
            <w:tcW w:type="dxa" w:w="2923"/>
          </w:tcPr>
          <w:p>
            <w:r/>
            <w:r>
              <w:rPr>
                <w:rFonts w:ascii="Times New Roman" w:hAnsi="Times New Roman"/>
                <w:sz w:val="20"/>
              </w:rPr>
              <w:t>Lagersted (LGORT)</w:t>
            </w:r>
          </w:p>
        </w:tc>
        <w:tc>
          <w:tcPr>
            <w:tcW w:type="dxa" w:w="2923"/>
          </w:tcPr>
          <w:p>
            <w:r/>
            <w:r>
              <w:rPr>
                <w:rFonts w:ascii="Times New Roman" w:hAnsi="Times New Roman"/>
                <w:sz w:val="20"/>
              </w:rPr>
              <w:t>3001</w:t>
            </w:r>
          </w:p>
        </w:tc>
        <w:tc>
          <w:tcPr>
            <w:tcW w:type="dxa" w:w="2923"/>
          </w:tcPr>
          <w:p>
            <w:r/>
            <w:r>
              <w:rPr>
                <w:rFonts w:ascii="Times New Roman" w:hAnsi="Times New Roman"/>
                <w:sz w:val="20"/>
              </w:rPr>
              <w:t>SAP S/4HANA</w:t>
            </w:r>
          </w:p>
        </w:tc>
      </w:tr>
      <w:tr>
        <w:tc>
          <w:tcPr>
            <w:tcW w:type="dxa" w:w="2923"/>
          </w:tcPr>
          <w:p>
            <w:r/>
            <w:r>
              <w:rPr>
                <w:rFonts w:ascii="Times New Roman" w:hAnsi="Times New Roman"/>
                <w:sz w:val="20"/>
              </w:rPr>
              <w:t>Antall aktive artikler</w:t>
            </w:r>
          </w:p>
        </w:tc>
        <w:tc>
          <w:tcPr>
            <w:tcW w:type="dxa" w:w="2923"/>
          </w:tcPr>
          <w:p>
            <w:r/>
            <w:r>
              <w:rPr>
                <w:rFonts w:ascii="Times New Roman" w:hAnsi="Times New Roman"/>
                <w:sz w:val="20"/>
              </w:rPr>
              <w:t>709</w:t>
            </w:r>
          </w:p>
        </w:tc>
        <w:tc>
          <w:tcPr>
            <w:tcW w:type="dxa" w:w="2923"/>
          </w:tcPr>
          <w:p>
            <w:r/>
            <w:r>
              <w:rPr>
                <w:rFonts w:ascii="Times New Roman" w:hAnsi="Times New Roman"/>
                <w:sz w:val="20"/>
              </w:rPr>
              <w:t>MASTERFILE_V1.xlsx (D-01)</w:t>
            </w:r>
          </w:p>
        </w:tc>
      </w:tr>
      <w:tr>
        <w:tc>
          <w:tcPr>
            <w:tcW w:type="dxa" w:w="2923"/>
          </w:tcPr>
          <w:p>
            <w:r/>
            <w:r>
              <w:rPr>
                <w:rFonts w:ascii="Times New Roman" w:hAnsi="Times New Roman"/>
                <w:sz w:val="20"/>
              </w:rPr>
              <w:t>Analyseperiode</w:t>
            </w:r>
          </w:p>
        </w:tc>
        <w:tc>
          <w:tcPr>
            <w:tcW w:type="dxa" w:w="2923"/>
          </w:tcPr>
          <w:p>
            <w:r/>
            <w:r>
              <w:rPr>
                <w:rFonts w:ascii="Times New Roman" w:hAnsi="Times New Roman"/>
                <w:sz w:val="20"/>
              </w:rPr>
              <w:t>Januar 2024 – desember 2025 (24 mnd)</w:t>
            </w:r>
          </w:p>
        </w:tc>
        <w:tc>
          <w:tcPr>
            <w:tcW w:type="dxa" w:w="2923"/>
          </w:tcPr>
          <w:p>
            <w:r/>
            <w:r>
              <w:rPr>
                <w:rFonts w:ascii="Times New Roman" w:hAnsi="Times New Roman"/>
                <w:sz w:val="20"/>
              </w:rPr>
              <w:t>SAP SE16H</w:t>
            </w:r>
          </w:p>
        </w:tc>
      </w:tr>
      <w:tr>
        <w:tc>
          <w:tcPr>
            <w:tcW w:type="dxa" w:w="2923"/>
          </w:tcPr>
          <w:p>
            <w:r/>
            <w:r>
              <w:rPr>
                <w:rFonts w:ascii="Times New Roman" w:hAnsi="Times New Roman"/>
                <w:sz w:val="20"/>
              </w:rPr>
              <w:t>Antall SAP-kildetabeller</w:t>
            </w:r>
          </w:p>
        </w:tc>
        <w:tc>
          <w:tcPr>
            <w:tcW w:type="dxa" w:w="2923"/>
          </w:tcPr>
          <w:p>
            <w:r/>
            <w:r>
              <w:rPr>
                <w:rFonts w:ascii="Times New Roman" w:hAnsi="Times New Roman"/>
                <w:sz w:val="20"/>
              </w:rPr>
              <w:t>14</w:t>
            </w:r>
          </w:p>
        </w:tc>
        <w:tc>
          <w:tcPr>
            <w:tcW w:type="dxa" w:w="2923"/>
          </w:tcPr>
          <w:p>
            <w:r/>
            <w:r>
              <w:rPr>
                <w:rFonts w:ascii="Times New Roman" w:hAnsi="Times New Roman"/>
                <w:sz w:val="20"/>
              </w:rPr>
              <w:t>Dataspesifikasjon (Vedlegg A)</w:t>
            </w:r>
          </w:p>
        </w:tc>
      </w:tr>
      <w:tr>
        <w:tc>
          <w:tcPr>
            <w:tcW w:type="dxa" w:w="2923"/>
          </w:tcPr>
          <w:p>
            <w:r/>
            <w:r>
              <w:rPr>
                <w:rFonts w:ascii="Times New Roman" w:hAnsi="Times New Roman"/>
                <w:sz w:val="20"/>
              </w:rPr>
              <w:t>ERP-system</w:t>
            </w:r>
          </w:p>
        </w:tc>
        <w:tc>
          <w:tcPr>
            <w:tcW w:type="dxa" w:w="2923"/>
          </w:tcPr>
          <w:p>
            <w:r/>
            <w:r>
              <w:rPr>
                <w:rFonts w:ascii="Times New Roman" w:hAnsi="Times New Roman"/>
                <w:sz w:val="20"/>
              </w:rPr>
              <w:t>SAP S/4HANA (LIBRA-prosjektet)</w:t>
            </w:r>
          </w:p>
        </w:tc>
        <w:tc>
          <w:tcPr>
            <w:tcW w:type="dxa" w:w="2923"/>
          </w:tcPr>
          <w:p>
            <w:r/>
            <w:r>
              <w:rPr>
                <w:rFonts w:ascii="Times New Roman" w:hAnsi="Times New Roman"/>
                <w:sz w:val="20"/>
              </w:rPr>
              <w:t>Helse Vest IKT</w:t>
            </w:r>
          </w:p>
        </w:tc>
      </w:tr>
      <w:tr>
        <w:tc>
          <w:tcPr>
            <w:tcW w:type="dxa" w:w="2923"/>
          </w:tcPr>
          <w:p>
            <w:r/>
            <w:r>
              <w:rPr>
                <w:rFonts w:ascii="Times New Roman" w:hAnsi="Times New Roman"/>
                <w:sz w:val="20"/>
              </w:rPr>
              <w:t>Regionalt sentrallager</w:t>
            </w:r>
          </w:p>
        </w:tc>
        <w:tc>
          <w:tcPr>
            <w:tcW w:type="dxa" w:w="2923"/>
          </w:tcPr>
          <w:p>
            <w:r/>
            <w:r>
              <w:rPr>
                <w:rFonts w:ascii="Times New Roman" w:hAnsi="Times New Roman"/>
                <w:sz w:val="20"/>
              </w:rPr>
              <w:t>HVFS (Helse Vest Forsyningssenter)</w:t>
            </w:r>
          </w:p>
        </w:tc>
        <w:tc>
          <w:tcPr>
            <w:tcW w:type="dxa" w:w="2923"/>
          </w:tcPr>
          <w:p>
            <w:r/>
            <w:r>
              <w:rPr>
                <w:rFonts w:ascii="Times New Roman" w:hAnsi="Times New Roman"/>
                <w:sz w:val="20"/>
              </w:rPr>
              <w:t>Helse Vest RHF (2024)</w:t>
            </w:r>
          </w:p>
        </w:tc>
      </w:tr>
      <w:tr>
        <w:tc>
          <w:tcPr>
            <w:tcW w:type="dxa" w:w="2923"/>
          </w:tcPr>
          <w:p>
            <w:r/>
            <w:r>
              <w:rPr>
                <w:rFonts w:ascii="Times New Roman" w:hAnsi="Times New Roman"/>
                <w:sz w:val="20"/>
              </w:rPr>
              <w:t>APL-operatør</w:t>
            </w:r>
          </w:p>
        </w:tc>
        <w:tc>
          <w:tcPr>
            <w:tcW w:type="dxa" w:w="2923"/>
          </w:tcPr>
          <w:p>
            <w:r/>
            <w:r>
              <w:rPr>
                <w:rFonts w:ascii="Times New Roman" w:hAnsi="Times New Roman"/>
                <w:sz w:val="20"/>
              </w:rPr>
              <w:t>NorEngros</w:t>
            </w:r>
          </w:p>
        </w:tc>
        <w:tc>
          <w:tcPr>
            <w:tcW w:type="dxa" w:w="2923"/>
          </w:tcPr>
          <w:p>
            <w:r/>
            <w:r>
              <w:rPr>
                <w:rFonts w:ascii="Times New Roman" w:hAnsi="Times New Roman"/>
                <w:sz w:val="20"/>
              </w:rPr>
              <w:t>Helse Vest RHF (2024)</w:t>
            </w:r>
          </w:p>
        </w:tc>
      </w:tr>
      <w:tr>
        <w:tc>
          <w:tcPr>
            <w:tcW w:type="dxa" w:w="2923"/>
          </w:tcPr>
          <w:p>
            <w:r/>
            <w:r>
              <w:rPr>
                <w:rFonts w:ascii="Times New Roman" w:hAnsi="Times New Roman"/>
                <w:sz w:val="20"/>
              </w:rPr>
              <w:t>Innkjøpsgruppe</w:t>
            </w:r>
          </w:p>
        </w:tc>
        <w:tc>
          <w:tcPr>
            <w:tcW w:type="dxa" w:w="2923"/>
          </w:tcPr>
          <w:p>
            <w:r/>
            <w:r>
              <w:rPr>
                <w:rFonts w:ascii="Times New Roman" w:hAnsi="Times New Roman"/>
                <w:sz w:val="20"/>
              </w:rPr>
              <w:t>300 / 3000</w:t>
            </w:r>
          </w:p>
        </w:tc>
        <w:tc>
          <w:tcPr>
            <w:tcW w:type="dxa" w:w="2923"/>
          </w:tcPr>
          <w:p>
            <w:r/>
            <w:r>
              <w:rPr>
                <w:rFonts w:ascii="Times New Roman" w:hAnsi="Times New Roman"/>
                <w:sz w:val="20"/>
              </w:rPr>
              <w:t>SAP MM</w:t>
            </w:r>
          </w:p>
        </w:tc>
      </w:tr>
      <w:tr>
        <w:tc>
          <w:tcPr>
            <w:tcW w:type="dxa" w:w="2923"/>
          </w:tcPr>
          <w:p>
            <w:r/>
            <w:r>
              <w:rPr>
                <w:rFonts w:ascii="Times New Roman" w:hAnsi="Times New Roman"/>
                <w:sz w:val="20"/>
              </w:rPr>
              <w:t>Bestillingstype</w:t>
            </w:r>
          </w:p>
        </w:tc>
        <w:tc>
          <w:tcPr>
            <w:tcW w:type="dxa" w:w="2923"/>
          </w:tcPr>
          <w:p>
            <w:r/>
            <w:r>
              <w:rPr>
                <w:rFonts w:ascii="Times New Roman" w:hAnsi="Times New Roman"/>
                <w:sz w:val="20"/>
              </w:rPr>
              <w:t>ZNB (lokal bestillingstype)</w:t>
            </w:r>
          </w:p>
        </w:tc>
        <w:tc>
          <w:tcPr>
            <w:tcW w:type="dxa" w:w="2923"/>
          </w:tcPr>
          <w:p>
            <w:r/>
            <w:r>
              <w:rPr>
                <w:rFonts w:ascii="Times New Roman" w:hAnsi="Times New Roman"/>
                <w:sz w:val="20"/>
              </w:rPr>
              <w:t>SAP MM</w:t>
            </w:r>
          </w:p>
        </w:tc>
      </w:tr>
    </w:tbl>
    <w:p>
      <w:r>
        <w:drawing>
          <wp:inline xmlns:a="http://schemas.openxmlformats.org/drawingml/2006/main" xmlns:pic="http://schemas.openxmlformats.org/drawingml/2006/picture">
            <wp:extent cx="5400000" cy="2223529"/>
            <wp:docPr id="5" name="Picture 5"/>
            <wp:cNvGraphicFramePr>
              <a:graphicFrameLocks noChangeAspect="1"/>
            </wp:cNvGraphicFramePr>
            <a:graphic>
              <a:graphicData uri="http://schemas.openxmlformats.org/drawingml/2006/picture">
                <pic:pic>
                  <pic:nvPicPr>
                    <pic:cNvPr id="0" name="Fig01_Lagerstruktur.png"/>
                    <pic:cNvPicPr/>
                  </pic:nvPicPr>
                  <pic:blipFill>
                    <a:blip r:embed="rId23"/>
                    <a:stretch>
                      <a:fillRect/>
                    </a:stretch>
                  </pic:blipFill>
                  <pic:spPr>
                    <a:xfrm>
                      <a:off x="0" y="0"/>
                      <a:ext cx="5400000" cy="2223529"/>
                    </a:xfrm>
                    <a:prstGeom prst="rect"/>
                  </pic:spPr>
                </pic:pic>
              </a:graphicData>
            </a:graphic>
          </wp:inline>
        </w:drawing>
      </w:r>
    </w:p>
    <w:p>
      <w:pPr>
        <w:jc w:val="center"/>
      </w:pPr>
      <w:r>
        <w:rPr>
          <w:rFonts w:ascii="Times New Roman" w:hAnsi="Times New Roman"/>
          <w:i/>
          <w:sz w:val="20"/>
        </w:rPr>
        <w:t>Figur 1. Lagerstruktur – Helse Vest forsyningskjede (forenklet). Generert med støtte fra Claude (Anthropic, 2026).</w:t>
      </w:r>
    </w:p>
    <w:p>
      <w:pPr>
        <w:pStyle w:val="Overskrift2"/>
      </w:pPr>
      <w:r>
        <w:rPr>
          <w:rFonts w:ascii="Times New Roman" w:hAnsi="Times New Roman"/>
          <w:color w:val="000000"/>
          <w:sz w:val="32"/>
        </w:rPr>
        <w:t>3.2 HVFS og LIBRA-prosjektet</w:t>
      </w:r>
    </w:p>
    <w:p>
      <w:pPr>
        <w:spacing w:line="360" w:lineRule="auto"/>
      </w:pPr>
      <w:r>
        <w:rPr>
          <w:rFonts w:ascii="Times New Roman" w:hAnsi="Times New Roman" w:cs="Times New Roman"/>
          <w:sz w:val="24"/>
        </w:rPr>
        <w:t>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spacing w:line="360" w:lineRule="auto"/>
      </w:pPr>
      <w:r>
        <w:rPr>
          <w:rFonts w:ascii="Times New Roman" w:hAnsi="Times New Roman" w:cs="Times New Roman"/>
          <w:sz w:val="24"/>
        </w:rPr>
        <w:t>Et sentralt element i HVFS-konseptet er innføringen av avdelingspakkede leveranser (APL). APL innebærer at forbruksmateriell pakkes per avdeling og leveres direkte til bruksstedet uten mellomhåndtering lokalt. Denne leveringsmodellen stiller høye krav til forutsigbarhet i etterspørselen — en forutsetning som gjør forbruksmønsterets stabilitet (XYZ-dimensjonen) til et relevant klassifiseringskriterium for HVFS-egnethet. APL-modellen er planlagt implementert frem mot 2029 og vil kreve et veldefinert og stabilt sortiment som grunnlag.</w:t>
      </w:r>
    </w:p>
    <w:p>
      <w:pPr>
        <w:spacing w:line="360" w:lineRule="auto"/>
      </w:pPr>
      <w:r>
        <w:rPr>
          <w:rFonts w:ascii="Times New Roman" w:hAnsi="Times New Roman" w:cs="Times New Roman"/>
          <w:sz w:val="24"/>
        </w:rPr>
        <w:t>LIBRA-prosjektet er Helse Vest IKTs regionale program for implementering og harmonisering av SAP S/4HANA på tvers av alle helseforetak i Helse Vest. Prosjektet har som mål å etablere en felles teknologisk plattform med standardiserte prosesser for blant annet materialforvaltning, innkjøp og logistikk. LIBRA legger det tekniske grunnlaget for at data fra ulike foretak kan sammenlignes og analyseres på tvers — en forutsetning for at HVFS-klassifisering skal ha overføringsverdi fra Helse Bergen til de øvrige foretakene. I forlengelsen av LIBRA-prosjektet er det naturlig å etablere standardiserte klassifiseringsmetodikker som kan driftes og oppdateres løpende i SAP, og denne oppgavens analysemodell er utviklet med dette perspektivet som bakteppe. Fragapane et al. (2019) understreker at overgangen til sentraliserte leveringsmodeller som APL krever et systematisk klassifiseringsgrunnlag for å skille mellom artikler som egner seg for sentralisering og artikler som bør forbli lokalt tilgjengelig av forsyningssikkerhetsgrunner.</w:t>
      </w:r>
    </w:p>
    <w:p>
      <w:pPr>
        <w:pStyle w:val="Overskrift2"/>
      </w:pPr>
      <w:r>
        <w:rPr>
          <w:rFonts w:ascii="Times New Roman" w:hAnsi="Times New Roman"/>
          <w:color w:val="000000"/>
          <w:sz w:val="32"/>
        </w:rPr>
        <w:t>3.3 Problemkontekst og datagrunnlag</w:t>
      </w:r>
    </w:p>
    <w:p>
      <w:pPr>
        <w:spacing w:line="360" w:lineRule="auto"/>
      </w:pPr>
      <w:r>
        <w:rPr>
          <w:rFonts w:ascii="Times New Roman" w:hAnsi="Times New Roman" w:cs="Times New Roman"/>
          <w:sz w:val="24"/>
        </w:rPr>
        <w:t>Helse Bergen forsyningslager mangler i dag et systematisk, datadrevet grunnlag for å avgjøre hvilke av lagerets artikler som bør overføres til HVFS. Beslutningene om sortimentstilhørighet treffes i stor grad basert på erfaring og skjønn, uten en strukturert analyse av verdi, forbruksmønster eller kostnadseffektiviteten ved nåværende bestillingspraksis. de Vries (2011) identifiserer nettopp dette som en typisk barriere i sykehuslogistikk: manglende informasjonssystemer og motstridende interessenthensyn fører til at lageromstillingsbeslutninger utsettes eller gjennomføres uten tilstrekkelig faglig grunnlag. Volland et al. (2017) bekrefter at lagerstyring i sykehus er et område med stor variasjon i modenhet — fra svært lite systematisert til avansert datadrevet styring — og at potensialet for forbedring gjennom strukturert klassifisering er dokumentert i litteraturen.</w:t>
      </w:r>
    </w:p>
    <w:p>
      <w:pPr>
        <w:spacing w:line="360" w:lineRule="auto"/>
      </w:pPr>
      <w:r>
        <w:rPr>
          <w:rFonts w:ascii="Times New Roman" w:hAnsi="Times New Roman" w:cs="Times New Roman"/>
          <w:sz w:val="24"/>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spacing w:line="360" w:lineRule="auto"/>
      </w:pPr>
      <w:r>
        <w:rPr>
          <w:rFonts w:ascii="Times New Roman" w:hAnsi="Times New Roman" w:cs="Times New Roman"/>
          <w:sz w:val="24"/>
        </w:rPr>
        <w:t>Datagrunnlaget for analysen er hentet fra 14 SAP-tabeller via transaksjonen SE16H i SAP S/4HANA ved Helse Bergen, for perioden 2024–2025 (se Tabell 3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spacing w:line="360" w:lineRule="auto"/>
      </w:pPr>
      <w:r>
        <w:rPr>
          <w:rFonts w:ascii="Times New Roman" w:hAnsi="Times New Roman" w:cs="Times New Roman"/>
          <w:sz w:val="24"/>
        </w:rPr>
        <w:t>Datapipelinen fra råuttrekk til analyseresultat er illustrert i Figur 2.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w:t>
      </w:r>
    </w:p>
    <w:p>
      <w:pPr>
        <w:pStyle w:val="Overskrift1"/>
        <w:pageBreakBefore w:val="true"/>
      </w:pPr>
      <w:r>
        <w:rPr>
          <w:rFonts w:ascii="Times New Roman" w:hAnsi="Times New Roman"/>
          <w:color w:val="000000"/>
          <w:sz w:val="36"/>
        </w:rPr>
        <w:t>Kapittel 4 – Metode og data</w:t>
      </w:r>
    </w:p>
    <w:p>
      <w:pPr>
        <w:pStyle w:val="Overskrift2"/>
      </w:pPr>
      <w:r>
        <w:rPr>
          <w:rFonts w:ascii="Times New Roman" w:hAnsi="Times New Roman"/>
          <w:color w:val="000000"/>
          <w:sz w:val="32"/>
        </w:rPr>
        <w:t>4.1 Forskningsdesign</w:t>
      </w:r>
    </w:p>
    <w:p>
      <w:pPr>
        <w:spacing w:line="360" w:lineRule="auto"/>
      </w:pPr>
      <w:r>
        <w:rPr>
          <w:rFonts w:ascii="Times New Roman" w:hAnsi="Times New Roman" w:cs="Times New Roman"/>
          <w:sz w:val="24"/>
        </w:rPr>
        <w:t xml:space="preserve">Denne studien er utformet som en kvantitativ, deskriptiv casestudie med analytisk tilnærming. Casestudiedesignet er valgt fordi problemstillingen er avgrenset til ett konkret case – Helse Bergens forsyningslager WERKS 3300, LGORT 3001 – og fordi målet er å generere handlingsrettede anbefalinger basert på de operasjonelle dataene som faktisk eksisterer i dette systemet, ikke på hypotetiske standardsituasjoner. Et casestudiedesign egner seg særlig når forskningsspørsmålet handler om </w:t>
      </w:r>
      <w:r>
        <w:rPr>
          <w:rFonts w:ascii="Times New Roman" w:hAnsi="Times New Roman" w:cs="Times New Roman"/>
          <w:i/>
          <w:sz w:val="24"/>
        </w:rPr>
        <w:t>hvordan</w:t>
      </w:r>
      <w:r>
        <w:rPr>
          <w:rFonts w:ascii="Times New Roman" w:hAnsi="Times New Roman" w:cs="Times New Roman"/>
          <w:sz w:val="24"/>
        </w:rPr>
        <w:t xml:space="preserve"> og </w:t>
      </w:r>
      <w:r>
        <w:rPr>
          <w:rFonts w:ascii="Times New Roman" w:hAnsi="Times New Roman" w:cs="Times New Roman"/>
          <w:i/>
          <w:sz w:val="24"/>
        </w:rPr>
        <w:t>hva</w:t>
      </w:r>
      <w:r>
        <w:rPr>
          <w:rFonts w:ascii="Times New Roman" w:hAnsi="Times New Roman" w:cs="Times New Roman"/>
          <w:sz w:val="24"/>
        </w:rPr>
        <w:t xml:space="preserve"> innenfor et avgrenset, kontekstuelt rikt fenomen, og når grensen mellom fenomen og kontekst er uløselig knyttet til den operative konteksten. Sistnevnte kjennetegn er tydelig til stede her: lagerstruktur, prislogikk og forbruksmønstre er uløselig knyttet til Helse Bergens organisatoriske og teknologiske kontekst.</w:t>
      </w:r>
    </w:p>
    <w:p>
      <w:pPr>
        <w:spacing w:line="360" w:lineRule="auto"/>
      </w:pPr>
      <w:r>
        <w:rPr>
          <w:rFonts w:ascii="Times New Roman" w:hAnsi="Times New Roman" w:cs="Times New Roman"/>
          <w:sz w:val="24"/>
        </w:rPr>
        <w:t>Studien er kvantitativ i den forstand at alle analyser er basert på numeriske data hentet fra SAP S/4HANA-transaksjoner. Det benyttes ingen spørreundersøkelser, intervjuer eller deltakerobservasjon. Dette er et bevisst valg: operasjonelle ERP-data er direkte registrert i systemet ved hvert varemottak, lageruttak og innkjøp, og er derfor ikke gjenstand for hukommelsesfeil, sosial ønskverdighet eller subjektiv tolkning, slik selvrapporterte data kan være (Saha &amp; Ray, 2019). Analyseenheten er den individuelle lagerartikkelen (SKU), og populasjonen er de 709 aktive artiklene i LGORT 3001 per analyseperioden 2024–2025.</w:t>
      </w:r>
    </w:p>
    <w:p>
      <w:pPr>
        <w:spacing w:line="360" w:lineRule="auto"/>
      </w:pPr>
      <w:r>
        <w:rPr>
          <w:rFonts w:ascii="Times New Roman" w:hAnsi="Times New Roman" w:cs="Times New Roman"/>
          <w:sz w:val="24"/>
        </w:rPr>
        <w:t>Studien er deskriptiv i den forstand at den karakteriserer og klassifiserer eksisterende lagerartikler – den setter ikke opp et kontrollert eksperiment eller manipulerer variabler. Den er analytisk i den forstand at klassifiseringsresultatene kombineres i en regelbasert beslutningsmodell som produserer overføringsanbefalinger med tilhørende besparelsesestimater (van Kampen et al., 2012). Generaliserbarhet er begrenset til sammenlignbare sykehuslagre med SAP-infrastruktur; studien har ikke som ambisjon å produsere universelle funn, men å gi et reproduserbart metoderammeverk som kan tilpasses andre WERKS-enheter innenfor Helse Vest.</w:t>
      </w:r>
    </w:p>
    <w:p>
      <w:pPr>
        <w:pStyle w:val="Overskrift2"/>
      </w:pPr>
      <w:r>
        <w:rPr>
          <w:rFonts w:ascii="Times New Roman" w:hAnsi="Times New Roman"/>
          <w:color w:val="000000"/>
          <w:sz w:val="32"/>
        </w:rPr>
        <w:t>4.2 Datainnsamling</w:t>
      </w:r>
    </w:p>
    <w:p>
      <w:pPr>
        <w:spacing w:line="360" w:lineRule="auto"/>
      </w:pPr>
      <w:r>
        <w:rPr>
          <w:rFonts w:ascii="Times New Roman" w:hAnsi="Times New Roman" w:cs="Times New Roman"/>
          <w:sz w:val="24"/>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r>
        <w:rPr>
          <w:rFonts w:ascii="Times New Roman" w:hAnsi="Times New Roman"/>
          <w:i/>
          <w:sz w:val="20"/>
        </w:rPr>
        <w:t>Tabell 4. Datagrunnlag: 14 SAP S/4HANA-tabeller hentet via SE16H, analyseperiode 2024–2025, WERKS 3300 / LGORT 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Nr</w:t>
            </w:r>
          </w:p>
        </w:tc>
        <w:tc>
          <w:tcPr>
            <w:tcW w:type="dxa" w:w="2192"/>
            <w:shd w:fill="D9E2F3" w:val="clear"/>
          </w:tcPr>
          <w:p>
            <w:r/>
            <w:r>
              <w:rPr>
                <w:rFonts w:ascii="Times New Roman" w:hAnsi="Times New Roman"/>
                <w:b/>
                <w:sz w:val="20"/>
              </w:rPr>
              <w:t>Tabell</w:t>
            </w:r>
          </w:p>
        </w:tc>
        <w:tc>
          <w:tcPr>
            <w:tcW w:type="dxa" w:w="2192"/>
            <w:shd w:fill="D9E2F3" w:val="clear"/>
          </w:tcPr>
          <w:p>
            <w:r/>
            <w:r>
              <w:rPr>
                <w:rFonts w:ascii="Times New Roman" w:hAnsi="Times New Roman"/>
                <w:b/>
                <w:sz w:val="20"/>
              </w:rPr>
              <w:t>Beskrivelse</w:t>
            </w:r>
          </w:p>
        </w:tc>
        <w:tc>
          <w:tcPr>
            <w:tcW w:type="dxa" w:w="2192"/>
            <w:shd w:fill="D9E2F3" w:val="clear"/>
          </w:tcPr>
          <w:p>
            <w:r/>
            <w:r>
              <w:rPr>
                <w:rFonts w:ascii="Times New Roman" w:hAnsi="Times New Roman"/>
                <w:b/>
                <w:sz w:val="20"/>
              </w:rPr>
              <w:t>Kategori</w:t>
            </w:r>
          </w:p>
        </w:tc>
      </w:tr>
      <w:tr>
        <w:tc>
          <w:tcPr>
            <w:tcW w:type="dxa" w:w="2192"/>
          </w:tcPr>
          <w:p>
            <w:r/>
            <w:r>
              <w:rPr>
                <w:rFonts w:ascii="Times New Roman" w:hAnsi="Times New Roman"/>
                <w:sz w:val="20"/>
              </w:rPr>
              <w:t>1</w:t>
            </w:r>
          </w:p>
        </w:tc>
        <w:tc>
          <w:tcPr>
            <w:tcW w:type="dxa" w:w="2192"/>
          </w:tcPr>
          <w:p>
            <w:r/>
            <w:r>
              <w:rPr>
                <w:rFonts w:ascii="Times New Roman" w:hAnsi="Times New Roman"/>
                <w:sz w:val="20"/>
              </w:rPr>
              <w:t>MARD</w:t>
            </w:r>
          </w:p>
        </w:tc>
        <w:tc>
          <w:tcPr>
            <w:tcW w:type="dxa" w:w="2192"/>
          </w:tcPr>
          <w:p>
            <w:r/>
            <w:r>
              <w:rPr>
                <w:rFonts w:ascii="Times New Roman" w:hAnsi="Times New Roman"/>
                <w:sz w:val="20"/>
              </w:rPr>
              <w:t>Lagerdata per lagersted (beholdning)</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2</w:t>
            </w:r>
          </w:p>
        </w:tc>
        <w:tc>
          <w:tcPr>
            <w:tcW w:type="dxa" w:w="2192"/>
          </w:tcPr>
          <w:p>
            <w:r/>
            <w:r>
              <w:rPr>
                <w:rFonts w:ascii="Times New Roman" w:hAnsi="Times New Roman"/>
                <w:sz w:val="20"/>
              </w:rPr>
              <w:t>MDMA</w:t>
            </w:r>
          </w:p>
        </w:tc>
        <w:tc>
          <w:tcPr>
            <w:tcW w:type="dxa" w:w="2192"/>
          </w:tcPr>
          <w:p>
            <w:r/>
            <w:r>
              <w:rPr>
                <w:rFonts w:ascii="Times New Roman" w:hAnsi="Times New Roman"/>
                <w:sz w:val="20"/>
              </w:rPr>
              <w:t>MRP-data, ABC/XYZ-indikator (ZZABC, ZZXYZ)</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3</w:t>
            </w:r>
          </w:p>
        </w:tc>
        <w:tc>
          <w:tcPr>
            <w:tcW w:type="dxa" w:w="2192"/>
          </w:tcPr>
          <w:p>
            <w:r/>
            <w:r>
              <w:rPr>
                <w:rFonts w:ascii="Times New Roman" w:hAnsi="Times New Roman"/>
                <w:sz w:val="20"/>
              </w:rPr>
              <w:t>MARA</w:t>
            </w:r>
          </w:p>
        </w:tc>
        <w:tc>
          <w:tcPr>
            <w:tcW w:type="dxa" w:w="2192"/>
          </w:tcPr>
          <w:p>
            <w:r/>
            <w:r>
              <w:rPr>
                <w:rFonts w:ascii="Times New Roman" w:hAnsi="Times New Roman"/>
                <w:sz w:val="20"/>
              </w:rPr>
              <w:t>Artikkelstamdata (MTART, MATKL, MEINS)</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4</w:t>
            </w:r>
          </w:p>
        </w:tc>
        <w:tc>
          <w:tcPr>
            <w:tcW w:type="dxa" w:w="2192"/>
          </w:tcPr>
          <w:p>
            <w:r/>
            <w:r>
              <w:rPr>
                <w:rFonts w:ascii="Times New Roman" w:hAnsi="Times New Roman"/>
                <w:sz w:val="20"/>
              </w:rPr>
              <w:t>MAKT</w:t>
            </w:r>
          </w:p>
        </w:tc>
        <w:tc>
          <w:tcPr>
            <w:tcW w:type="dxa" w:w="2192"/>
          </w:tcPr>
          <w:p>
            <w:r/>
            <w:r>
              <w:rPr>
                <w:rFonts w:ascii="Times New Roman" w:hAnsi="Times New Roman"/>
                <w:sz w:val="20"/>
              </w:rPr>
              <w:t>Artikkeltekst (MAKTX)</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5</w:t>
            </w:r>
          </w:p>
        </w:tc>
        <w:tc>
          <w:tcPr>
            <w:tcW w:type="dxa" w:w="2192"/>
          </w:tcPr>
          <w:p>
            <w:r/>
            <w:r>
              <w:rPr>
                <w:rFonts w:ascii="Times New Roman" w:hAnsi="Times New Roman"/>
                <w:sz w:val="20"/>
              </w:rPr>
              <w:t>MARC</w:t>
            </w:r>
          </w:p>
        </w:tc>
        <w:tc>
          <w:tcPr>
            <w:tcW w:type="dxa" w:w="2192"/>
          </w:tcPr>
          <w:p>
            <w:r/>
            <w:r>
              <w:rPr>
                <w:rFonts w:ascii="Times New Roman" w:hAnsi="Times New Roman"/>
                <w:sz w:val="20"/>
              </w:rPr>
              <w:t>Anleggsdata per materiale (MARC_ABC)</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6</w:t>
            </w:r>
          </w:p>
        </w:tc>
        <w:tc>
          <w:tcPr>
            <w:tcW w:type="dxa" w:w="2192"/>
          </w:tcPr>
          <w:p>
            <w:r/>
            <w:r>
              <w:rPr>
                <w:rFonts w:ascii="Times New Roman" w:hAnsi="Times New Roman"/>
                <w:sz w:val="20"/>
              </w:rPr>
              <w:t>MBEW</w:t>
            </w:r>
          </w:p>
        </w:tc>
        <w:tc>
          <w:tcPr>
            <w:tcW w:type="dxa" w:w="2192"/>
          </w:tcPr>
          <w:p>
            <w:r/>
            <w:r>
              <w:rPr>
                <w:rFonts w:ascii="Times New Roman" w:hAnsi="Times New Roman"/>
                <w:sz w:val="20"/>
              </w:rPr>
              <w:t>Verdsettingsdata (STPRS, PEINH)</w:t>
            </w:r>
          </w:p>
        </w:tc>
        <w:tc>
          <w:tcPr>
            <w:tcW w:type="dxa" w:w="2192"/>
          </w:tcPr>
          <w:p>
            <w:r/>
            <w:r>
              <w:rPr>
                <w:rFonts w:ascii="Times New Roman" w:hAnsi="Times New Roman"/>
                <w:sz w:val="20"/>
              </w:rPr>
              <w:t>Masterdata</w:t>
            </w:r>
          </w:p>
        </w:tc>
      </w:tr>
      <w:tr>
        <w:tc>
          <w:tcPr>
            <w:tcW w:type="dxa" w:w="2192"/>
          </w:tcPr>
          <w:p>
            <w:r/>
            <w:r>
              <w:rPr>
                <w:rFonts w:ascii="Times New Roman" w:hAnsi="Times New Roman"/>
                <w:sz w:val="20"/>
              </w:rPr>
              <w:t>7</w:t>
            </w:r>
          </w:p>
        </w:tc>
        <w:tc>
          <w:tcPr>
            <w:tcW w:type="dxa" w:w="2192"/>
          </w:tcPr>
          <w:p>
            <w:r/>
            <w:r>
              <w:rPr>
                <w:rFonts w:ascii="Times New Roman" w:hAnsi="Times New Roman"/>
                <w:sz w:val="20"/>
              </w:rPr>
              <w:t>MSEG</w:t>
            </w:r>
          </w:p>
        </w:tc>
        <w:tc>
          <w:tcPr>
            <w:tcW w:type="dxa" w:w="2192"/>
          </w:tcPr>
          <w:p>
            <w:r/>
            <w:r>
              <w:rPr>
                <w:rFonts w:ascii="Times New Roman" w:hAnsi="Times New Roman"/>
                <w:sz w:val="20"/>
              </w:rPr>
              <w:t>Varebevegelser, forbruk (BWART 201, 647)</w:t>
            </w:r>
          </w:p>
        </w:tc>
        <w:tc>
          <w:tcPr>
            <w:tcW w:type="dxa" w:w="2192"/>
          </w:tcPr>
          <w:p>
            <w:r/>
            <w:r>
              <w:rPr>
                <w:rFonts w:ascii="Times New Roman" w:hAnsi="Times New Roman"/>
                <w:sz w:val="20"/>
              </w:rPr>
              <w:t>Forbruksdata</w:t>
            </w:r>
          </w:p>
        </w:tc>
      </w:tr>
      <w:tr>
        <w:tc>
          <w:tcPr>
            <w:tcW w:type="dxa" w:w="2192"/>
          </w:tcPr>
          <w:p>
            <w:r/>
            <w:r>
              <w:rPr>
                <w:rFonts w:ascii="Times New Roman" w:hAnsi="Times New Roman"/>
                <w:sz w:val="20"/>
              </w:rPr>
              <w:t>8</w:t>
            </w:r>
          </w:p>
        </w:tc>
        <w:tc>
          <w:tcPr>
            <w:tcW w:type="dxa" w:w="2192"/>
          </w:tcPr>
          <w:p>
            <w:r/>
            <w:r>
              <w:rPr>
                <w:rFonts w:ascii="Times New Roman" w:hAnsi="Times New Roman"/>
                <w:sz w:val="20"/>
              </w:rPr>
              <w:t>EKKO</w:t>
            </w:r>
          </w:p>
        </w:tc>
        <w:tc>
          <w:tcPr>
            <w:tcW w:type="dxa" w:w="2192"/>
          </w:tcPr>
          <w:p>
            <w:r/>
            <w:r>
              <w:rPr>
                <w:rFonts w:ascii="Times New Roman" w:hAnsi="Times New Roman"/>
                <w:sz w:val="20"/>
              </w:rPr>
              <w:t>Innkjøpsordrerhoder (bestillingstype ZNB)</w:t>
            </w:r>
          </w:p>
        </w:tc>
        <w:tc>
          <w:tcPr>
            <w:tcW w:type="dxa" w:w="2192"/>
          </w:tcPr>
          <w:p>
            <w:r/>
            <w:r>
              <w:rPr>
                <w:rFonts w:ascii="Times New Roman" w:hAnsi="Times New Roman"/>
                <w:sz w:val="20"/>
              </w:rPr>
              <w:t>Innkjøpsdata</w:t>
            </w:r>
          </w:p>
        </w:tc>
      </w:tr>
      <w:tr>
        <w:tc>
          <w:tcPr>
            <w:tcW w:type="dxa" w:w="2192"/>
          </w:tcPr>
          <w:p>
            <w:r/>
            <w:r>
              <w:rPr>
                <w:rFonts w:ascii="Times New Roman" w:hAnsi="Times New Roman"/>
                <w:sz w:val="20"/>
              </w:rPr>
              <w:t>9</w:t>
            </w:r>
          </w:p>
        </w:tc>
        <w:tc>
          <w:tcPr>
            <w:tcW w:type="dxa" w:w="2192"/>
          </w:tcPr>
          <w:p>
            <w:r/>
            <w:r>
              <w:rPr>
                <w:rFonts w:ascii="Times New Roman" w:hAnsi="Times New Roman"/>
                <w:sz w:val="20"/>
              </w:rPr>
              <w:t>EKPO</w:t>
            </w:r>
          </w:p>
        </w:tc>
        <w:tc>
          <w:tcPr>
            <w:tcW w:type="dxa" w:w="2192"/>
          </w:tcPr>
          <w:p>
            <w:r/>
            <w:r>
              <w:rPr>
                <w:rFonts w:ascii="Times New Roman" w:hAnsi="Times New Roman"/>
                <w:sz w:val="20"/>
              </w:rPr>
              <w:t>Innkjøpsordreposisjoner (NETWR)</w:t>
            </w:r>
          </w:p>
        </w:tc>
        <w:tc>
          <w:tcPr>
            <w:tcW w:type="dxa" w:w="2192"/>
          </w:tcPr>
          <w:p>
            <w:r/>
            <w:r>
              <w:rPr>
                <w:rFonts w:ascii="Times New Roman" w:hAnsi="Times New Roman"/>
                <w:sz w:val="20"/>
              </w:rPr>
              <w:t>Innkjøpsdata</w:t>
            </w:r>
          </w:p>
        </w:tc>
      </w:tr>
      <w:tr>
        <w:tc>
          <w:tcPr>
            <w:tcW w:type="dxa" w:w="2192"/>
          </w:tcPr>
          <w:p>
            <w:r/>
            <w:r>
              <w:rPr>
                <w:rFonts w:ascii="Times New Roman" w:hAnsi="Times New Roman"/>
                <w:sz w:val="20"/>
              </w:rPr>
              <w:t>10</w:t>
            </w:r>
          </w:p>
        </w:tc>
        <w:tc>
          <w:tcPr>
            <w:tcW w:type="dxa" w:w="2192"/>
          </w:tcPr>
          <w:p>
            <w:r/>
            <w:r>
              <w:rPr>
                <w:rFonts w:ascii="Times New Roman" w:hAnsi="Times New Roman"/>
                <w:sz w:val="20"/>
              </w:rPr>
              <w:t>EKBE</w:t>
            </w:r>
          </w:p>
        </w:tc>
        <w:tc>
          <w:tcPr>
            <w:tcW w:type="dxa" w:w="2192"/>
          </w:tcPr>
          <w:p>
            <w:r/>
            <w:r>
              <w:rPr>
                <w:rFonts w:ascii="Times New Roman" w:hAnsi="Times New Roman"/>
                <w:sz w:val="20"/>
              </w:rPr>
              <w:t>Innkjøpsordrehistorikk/varemottak</w:t>
            </w:r>
          </w:p>
        </w:tc>
        <w:tc>
          <w:tcPr>
            <w:tcW w:type="dxa" w:w="2192"/>
          </w:tcPr>
          <w:p>
            <w:r/>
            <w:r>
              <w:rPr>
                <w:rFonts w:ascii="Times New Roman" w:hAnsi="Times New Roman"/>
                <w:sz w:val="20"/>
              </w:rPr>
              <w:t>Innkjøpsdata</w:t>
            </w:r>
          </w:p>
        </w:tc>
      </w:tr>
      <w:tr>
        <w:tc>
          <w:tcPr>
            <w:tcW w:type="dxa" w:w="2192"/>
          </w:tcPr>
          <w:p>
            <w:r/>
            <w:r>
              <w:rPr>
                <w:rFonts w:ascii="Times New Roman" w:hAnsi="Times New Roman"/>
                <w:sz w:val="20"/>
              </w:rPr>
              <w:t>11</w:t>
            </w:r>
          </w:p>
        </w:tc>
        <w:tc>
          <w:tcPr>
            <w:tcW w:type="dxa" w:w="2192"/>
          </w:tcPr>
          <w:p>
            <w:r/>
            <w:r>
              <w:rPr>
                <w:rFonts w:ascii="Times New Roman" w:hAnsi="Times New Roman"/>
                <w:sz w:val="20"/>
              </w:rPr>
              <w:t>EINA</w:t>
            </w:r>
          </w:p>
        </w:tc>
        <w:tc>
          <w:tcPr>
            <w:tcW w:type="dxa" w:w="2192"/>
          </w:tcPr>
          <w:p>
            <w:r/>
            <w:r>
              <w:rPr>
                <w:rFonts w:ascii="Times New Roman" w:hAnsi="Times New Roman"/>
                <w:sz w:val="20"/>
              </w:rPr>
              <w:t>Innkjøpsinforecord – generell del</w:t>
            </w:r>
          </w:p>
        </w:tc>
        <w:tc>
          <w:tcPr>
            <w:tcW w:type="dxa" w:w="2192"/>
          </w:tcPr>
          <w:p>
            <w:r/>
            <w:r>
              <w:rPr>
                <w:rFonts w:ascii="Times New Roman" w:hAnsi="Times New Roman"/>
                <w:sz w:val="20"/>
              </w:rPr>
              <w:t>Supplerende</w:t>
            </w:r>
          </w:p>
        </w:tc>
      </w:tr>
      <w:tr>
        <w:tc>
          <w:tcPr>
            <w:tcW w:type="dxa" w:w="2192"/>
          </w:tcPr>
          <w:p>
            <w:r/>
            <w:r>
              <w:rPr>
                <w:rFonts w:ascii="Times New Roman" w:hAnsi="Times New Roman"/>
                <w:sz w:val="20"/>
              </w:rPr>
              <w:t>12</w:t>
            </w:r>
          </w:p>
        </w:tc>
        <w:tc>
          <w:tcPr>
            <w:tcW w:type="dxa" w:w="2192"/>
          </w:tcPr>
          <w:p>
            <w:r/>
            <w:r>
              <w:rPr>
                <w:rFonts w:ascii="Times New Roman" w:hAnsi="Times New Roman"/>
                <w:sz w:val="20"/>
              </w:rPr>
              <w:t>EINE</w:t>
            </w:r>
          </w:p>
        </w:tc>
        <w:tc>
          <w:tcPr>
            <w:tcW w:type="dxa" w:w="2192"/>
          </w:tcPr>
          <w:p>
            <w:r/>
            <w:r>
              <w:rPr>
                <w:rFonts w:ascii="Times New Roman" w:hAnsi="Times New Roman"/>
                <w:sz w:val="20"/>
              </w:rPr>
              <w:t>Innkjøpsinforecord – organisasjonsdel (WETAG)</w:t>
            </w:r>
          </w:p>
        </w:tc>
        <w:tc>
          <w:tcPr>
            <w:tcW w:type="dxa" w:w="2192"/>
          </w:tcPr>
          <w:p>
            <w:r/>
            <w:r>
              <w:rPr>
                <w:rFonts w:ascii="Times New Roman" w:hAnsi="Times New Roman"/>
                <w:sz w:val="20"/>
              </w:rPr>
              <w:t>Supplerende</w:t>
            </w:r>
          </w:p>
        </w:tc>
      </w:tr>
      <w:tr>
        <w:tc>
          <w:tcPr>
            <w:tcW w:type="dxa" w:w="2192"/>
          </w:tcPr>
          <w:p>
            <w:r/>
            <w:r>
              <w:rPr>
                <w:rFonts w:ascii="Times New Roman" w:hAnsi="Times New Roman"/>
                <w:sz w:val="20"/>
              </w:rPr>
              <w:t>13</w:t>
            </w:r>
          </w:p>
        </w:tc>
        <w:tc>
          <w:tcPr>
            <w:tcW w:type="dxa" w:w="2192"/>
          </w:tcPr>
          <w:p>
            <w:r/>
            <w:r>
              <w:rPr>
                <w:rFonts w:ascii="Times New Roman" w:hAnsi="Times New Roman"/>
                <w:sz w:val="20"/>
              </w:rPr>
              <w:t>T023T</w:t>
            </w:r>
          </w:p>
        </w:tc>
        <w:tc>
          <w:tcPr>
            <w:tcW w:type="dxa" w:w="2192"/>
          </w:tcPr>
          <w:p>
            <w:r/>
            <w:r>
              <w:rPr>
                <w:rFonts w:ascii="Times New Roman" w:hAnsi="Times New Roman"/>
                <w:sz w:val="20"/>
              </w:rPr>
              <w:t>Varegruppenavn (WGBEZ)</w:t>
            </w:r>
          </w:p>
        </w:tc>
        <w:tc>
          <w:tcPr>
            <w:tcW w:type="dxa" w:w="2192"/>
          </w:tcPr>
          <w:p>
            <w:r/>
            <w:r>
              <w:rPr>
                <w:rFonts w:ascii="Times New Roman" w:hAnsi="Times New Roman"/>
                <w:sz w:val="20"/>
              </w:rPr>
              <w:t>Supplerende</w:t>
            </w:r>
          </w:p>
        </w:tc>
      </w:tr>
      <w:tr>
        <w:tc>
          <w:tcPr>
            <w:tcW w:type="dxa" w:w="2192"/>
          </w:tcPr>
          <w:p>
            <w:r/>
            <w:r>
              <w:rPr>
                <w:rFonts w:ascii="Times New Roman" w:hAnsi="Times New Roman"/>
                <w:sz w:val="20"/>
              </w:rPr>
              <w:t>14</w:t>
            </w:r>
          </w:p>
        </w:tc>
        <w:tc>
          <w:tcPr>
            <w:tcW w:type="dxa" w:w="2192"/>
          </w:tcPr>
          <w:p>
            <w:r/>
            <w:r>
              <w:rPr>
                <w:rFonts w:ascii="Times New Roman" w:hAnsi="Times New Roman"/>
                <w:sz w:val="20"/>
              </w:rPr>
              <w:t>T024</w:t>
            </w:r>
          </w:p>
        </w:tc>
        <w:tc>
          <w:tcPr>
            <w:tcW w:type="dxa" w:w="2192"/>
          </w:tcPr>
          <w:p>
            <w:r/>
            <w:r>
              <w:rPr>
                <w:rFonts w:ascii="Times New Roman" w:hAnsi="Times New Roman"/>
                <w:sz w:val="20"/>
              </w:rPr>
              <w:t>Innkjøpsgrupper (EKGRP)</w:t>
            </w:r>
          </w:p>
        </w:tc>
        <w:tc>
          <w:tcPr>
            <w:tcW w:type="dxa" w:w="2192"/>
          </w:tcPr>
          <w:p>
            <w:r/>
            <w:r>
              <w:rPr>
                <w:rFonts w:ascii="Times New Roman" w:hAnsi="Times New Roman"/>
                <w:sz w:val="20"/>
              </w:rPr>
              <w:t>Supplerende</w:t>
            </w:r>
          </w:p>
        </w:tc>
      </w:tr>
    </w:tbl>
    <w:p>
      <w:pPr>
        <w:spacing w:line="360" w:lineRule="auto"/>
      </w:pPr>
      <w:r>
        <w:rPr>
          <w:rFonts w:ascii="Times New Roman" w:hAnsi="Times New Roman" w:cs="Times New Roman"/>
          <w:sz w:val="24"/>
        </w:rPr>
        <w:t>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w:t>
      </w:r>
    </w:p>
    <w:p>
      <w:pPr>
        <w:pStyle w:val="Overskrift2"/>
      </w:pPr>
      <w:r>
        <w:rPr>
          <w:rFonts w:ascii="Times New Roman" w:hAnsi="Times New Roman"/>
          <w:color w:val="000000"/>
          <w:sz w:val="32"/>
        </w:rPr>
        <w:t>4.3 Dataforbehandling</w:t>
      </w:r>
    </w:p>
    <w:p>
      <w:pPr>
        <w:spacing w:line="360" w:lineRule="auto"/>
      </w:pPr>
      <w:r>
        <w:rPr>
          <w:rFonts w:ascii="Times New Roman" w:hAnsi="Times New Roman" w:cs="Times New Roman"/>
          <w:sz w:val="24"/>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r>
        <w:rPr>
          <w:rFonts w:ascii="Times New Roman" w:hAnsi="Times New Roman"/>
          <w:i/>
          <w:sz w:val="20"/>
        </w:rPr>
        <w:t>Tabell 5. Datavalgsbeslutninger D-01–D-08 med begrunnelse.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ID</w:t>
            </w:r>
          </w:p>
        </w:tc>
        <w:tc>
          <w:tcPr>
            <w:tcW w:type="dxa" w:w="2192"/>
            <w:shd w:fill="D9E2F3" w:val="clear"/>
          </w:tcPr>
          <w:p>
            <w:r/>
            <w:r>
              <w:rPr>
                <w:rFonts w:ascii="Times New Roman" w:hAnsi="Times New Roman"/>
                <w:b/>
                <w:sz w:val="20"/>
              </w:rPr>
              <w:t>Beslutning</w:t>
            </w:r>
          </w:p>
        </w:tc>
        <w:tc>
          <w:tcPr>
            <w:tcW w:type="dxa" w:w="2192"/>
            <w:shd w:fill="D9E2F3" w:val="clear"/>
          </w:tcPr>
          <w:p>
            <w:r/>
            <w:r>
              <w:rPr>
                <w:rFonts w:ascii="Times New Roman" w:hAnsi="Times New Roman"/>
                <w:b/>
                <w:sz w:val="20"/>
              </w:rPr>
              <w:t>Effekt</w:t>
            </w:r>
          </w:p>
        </w:tc>
        <w:tc>
          <w:tcPr>
            <w:tcW w:type="dxa" w:w="2192"/>
            <w:shd w:fill="D9E2F3" w:val="clear"/>
          </w:tcPr>
          <w:p>
            <w:r/>
            <w:r>
              <w:rPr>
                <w:rFonts w:ascii="Times New Roman" w:hAnsi="Times New Roman"/>
                <w:b/>
                <w:sz w:val="20"/>
              </w:rPr>
              <w:t>Begrunnelse</w:t>
            </w:r>
          </w:p>
        </w:tc>
      </w:tr>
      <w:tr>
        <w:tc>
          <w:tcPr>
            <w:tcW w:type="dxa" w:w="2192"/>
          </w:tcPr>
          <w:p>
            <w:r/>
            <w:r>
              <w:rPr>
                <w:rFonts w:ascii="Times New Roman" w:hAnsi="Times New Roman"/>
                <w:sz w:val="20"/>
              </w:rPr>
              <w:t>D-01</w:t>
            </w:r>
          </w:p>
        </w:tc>
        <w:tc>
          <w:tcPr>
            <w:tcW w:type="dxa" w:w="2192"/>
          </w:tcPr>
          <w:p>
            <w:r/>
            <w:r>
              <w:rPr>
                <w:rFonts w:ascii="Times New Roman" w:hAnsi="Times New Roman"/>
                <w:sz w:val="20"/>
              </w:rPr>
              <w:t>Populasjonsavgrensning</w:t>
            </w:r>
          </w:p>
        </w:tc>
        <w:tc>
          <w:tcPr>
            <w:tcW w:type="dxa" w:w="2192"/>
          </w:tcPr>
          <w:p>
            <w:r/>
            <w:r>
              <w:rPr>
                <w:rFonts w:ascii="Times New Roman" w:hAnsi="Times New Roman"/>
                <w:sz w:val="20"/>
              </w:rPr>
              <w:t>1 006 → 709 artikler</w:t>
            </w:r>
          </w:p>
        </w:tc>
        <w:tc>
          <w:tcPr>
            <w:tcW w:type="dxa" w:w="2192"/>
          </w:tcPr>
          <w:p>
            <w:r/>
            <w:r>
              <w:rPr>
                <w:rFonts w:ascii="Times New Roman" w:hAnsi="Times New Roman"/>
                <w:sz w:val="20"/>
              </w:rPr>
              <w:t>Ekskluderer 297 inaktive (D_ANNUAL = 0 og TOTAL_STOCK = 0)</w:t>
            </w:r>
          </w:p>
        </w:tc>
      </w:tr>
      <w:tr>
        <w:tc>
          <w:tcPr>
            <w:tcW w:type="dxa" w:w="2192"/>
          </w:tcPr>
          <w:p>
            <w:r/>
            <w:r>
              <w:rPr>
                <w:rFonts w:ascii="Times New Roman" w:hAnsi="Times New Roman"/>
                <w:sz w:val="20"/>
              </w:rPr>
              <w:t>D-02</w:t>
            </w:r>
          </w:p>
        </w:tc>
        <w:tc>
          <w:tcPr>
            <w:tcW w:type="dxa" w:w="2192"/>
          </w:tcPr>
          <w:p>
            <w:r/>
            <w:r>
              <w:rPr>
                <w:rFonts w:ascii="Times New Roman" w:hAnsi="Times New Roman"/>
                <w:sz w:val="20"/>
              </w:rPr>
              <w:t>PEINH-korrigering</w:t>
            </w:r>
          </w:p>
        </w:tc>
        <w:tc>
          <w:tcPr>
            <w:tcW w:type="dxa" w:w="2192"/>
          </w:tcPr>
          <w:p>
            <w:r/>
            <w:r>
              <w:rPr>
                <w:rFonts w:ascii="Times New Roman" w:hAnsi="Times New Roman"/>
                <w:sz w:val="20"/>
              </w:rPr>
              <w:t>UNIT_PRICE = STPRS ÷ PEINH</w:t>
            </w:r>
          </w:p>
        </w:tc>
        <w:tc>
          <w:tcPr>
            <w:tcW w:type="dxa" w:w="2192"/>
          </w:tcPr>
          <w:p>
            <w:r/>
            <w:r>
              <w:rPr>
                <w:rFonts w:ascii="Times New Roman" w:hAnsi="Times New Roman"/>
                <w:sz w:val="20"/>
              </w:rPr>
              <w:t>Korrigerer for prisenhet ≠ 1</w:t>
            </w:r>
          </w:p>
        </w:tc>
      </w:tr>
      <w:tr>
        <w:tc>
          <w:tcPr>
            <w:tcW w:type="dxa" w:w="2192"/>
          </w:tcPr>
          <w:p>
            <w:r/>
            <w:r>
              <w:rPr>
                <w:rFonts w:ascii="Times New Roman" w:hAnsi="Times New Roman"/>
                <w:sz w:val="20"/>
              </w:rPr>
              <w:t>D-03</w:t>
            </w:r>
          </w:p>
        </w:tc>
        <w:tc>
          <w:tcPr>
            <w:tcW w:type="dxa" w:w="2192"/>
          </w:tcPr>
          <w:p>
            <w:r/>
            <w:r>
              <w:rPr>
                <w:rFonts w:ascii="Times New Roman" w:hAnsi="Times New Roman"/>
                <w:sz w:val="20"/>
              </w:rPr>
              <w:t>Beregnet ABC-verdi</w:t>
            </w:r>
          </w:p>
        </w:tc>
        <w:tc>
          <w:tcPr>
            <w:tcW w:type="dxa" w:w="2192"/>
          </w:tcPr>
          <w:p>
            <w:r/>
            <w:r>
              <w:rPr>
                <w:rFonts w:ascii="Times New Roman" w:hAnsi="Times New Roman"/>
                <w:sz w:val="20"/>
              </w:rPr>
              <w:t>204 artikler uten EKPO</w:t>
            </w:r>
          </w:p>
        </w:tc>
        <w:tc>
          <w:tcPr>
            <w:tcW w:type="dxa" w:w="2192"/>
          </w:tcPr>
          <w:p>
            <w:r/>
            <w:r>
              <w:rPr>
                <w:rFonts w:ascii="Times New Roman" w:hAnsi="Times New Roman"/>
                <w:sz w:val="20"/>
              </w:rPr>
              <w:t>ABC_VALUE = D_ANNUAL × UNIT_PRICE som fallback</w:t>
            </w:r>
          </w:p>
        </w:tc>
      </w:tr>
      <w:tr>
        <w:tc>
          <w:tcPr>
            <w:tcW w:type="dxa" w:w="2192"/>
          </w:tcPr>
          <w:p>
            <w:r/>
            <w:r>
              <w:rPr>
                <w:rFonts w:ascii="Times New Roman" w:hAnsi="Times New Roman"/>
                <w:sz w:val="20"/>
              </w:rPr>
              <w:t>D-04</w:t>
            </w:r>
          </w:p>
        </w:tc>
        <w:tc>
          <w:tcPr>
            <w:tcW w:type="dxa" w:w="2192"/>
          </w:tcPr>
          <w:p>
            <w:r/>
            <w:r>
              <w:rPr>
                <w:rFonts w:ascii="Times New Roman" w:hAnsi="Times New Roman"/>
                <w:sz w:val="20"/>
              </w:rPr>
              <w:t>CV-basert XYZ</w:t>
            </w:r>
          </w:p>
        </w:tc>
        <w:tc>
          <w:tcPr>
            <w:tcW w:type="dxa" w:w="2192"/>
          </w:tcPr>
          <w:p>
            <w:r/>
            <w:r>
              <w:rPr>
                <w:rFonts w:ascii="Times New Roman" w:hAnsi="Times New Roman"/>
                <w:sz w:val="20"/>
              </w:rPr>
              <w:t>Erstatter ZZXYZ</w:t>
            </w:r>
          </w:p>
        </w:tc>
        <w:tc>
          <w:tcPr>
            <w:tcW w:type="dxa" w:w="2192"/>
          </w:tcPr>
          <w:p>
            <w:r/>
            <w:r>
              <w:rPr>
                <w:rFonts w:ascii="Times New Roman" w:hAnsi="Times New Roman"/>
                <w:sz w:val="20"/>
              </w:rPr>
              <w:t>33 % samsvar → beregnet CV foretrukket</w:t>
            </w:r>
          </w:p>
        </w:tc>
      </w:tr>
      <w:tr>
        <w:tc>
          <w:tcPr>
            <w:tcW w:type="dxa" w:w="2192"/>
          </w:tcPr>
          <w:p>
            <w:r/>
            <w:r>
              <w:rPr>
                <w:rFonts w:ascii="Times New Roman" w:hAnsi="Times New Roman"/>
                <w:sz w:val="20"/>
              </w:rPr>
              <w:t>D-05</w:t>
            </w:r>
          </w:p>
        </w:tc>
        <w:tc>
          <w:tcPr>
            <w:tcW w:type="dxa" w:w="2192"/>
          </w:tcPr>
          <w:p>
            <w:r/>
            <w:r>
              <w:rPr>
                <w:rFonts w:ascii="Times New Roman" w:hAnsi="Times New Roman"/>
                <w:sz w:val="20"/>
              </w:rPr>
              <w:t>Leveringstid-fallback</w:t>
            </w:r>
          </w:p>
        </w:tc>
        <w:tc>
          <w:tcPr>
            <w:tcW w:type="dxa" w:w="2192"/>
          </w:tcPr>
          <w:p>
            <w:r/>
            <w:r>
              <w:rPr>
                <w:rFonts w:ascii="Times New Roman" w:hAnsi="Times New Roman"/>
                <w:sz w:val="20"/>
              </w:rPr>
              <w:t>14 dager for 94 %</w:t>
            </w:r>
          </w:p>
        </w:tc>
        <w:tc>
          <w:tcPr>
            <w:tcW w:type="dxa" w:w="2192"/>
          </w:tcPr>
          <w:p>
            <w:r/>
            <w:r>
              <w:rPr>
                <w:rFonts w:ascii="Times New Roman" w:hAnsi="Times New Roman"/>
                <w:sz w:val="20"/>
              </w:rPr>
              <w:t>EINE WETAG dekker kun 6 %</w:t>
            </w:r>
          </w:p>
        </w:tc>
      </w:tr>
      <w:tr>
        <w:tc>
          <w:tcPr>
            <w:tcW w:type="dxa" w:w="2192"/>
          </w:tcPr>
          <w:p>
            <w:r/>
            <w:r>
              <w:rPr>
                <w:rFonts w:ascii="Times New Roman" w:hAnsi="Times New Roman"/>
                <w:sz w:val="20"/>
              </w:rPr>
              <w:t>D-06</w:t>
            </w:r>
          </w:p>
        </w:tc>
        <w:tc>
          <w:tcPr>
            <w:tcW w:type="dxa" w:w="2192"/>
          </w:tcPr>
          <w:p>
            <w:r/>
            <w:r>
              <w:rPr>
                <w:rFonts w:ascii="Times New Roman" w:hAnsi="Times New Roman"/>
                <w:sz w:val="20"/>
              </w:rPr>
              <w:t>MSEG_STATUS blank → AKTIV</w:t>
            </w:r>
          </w:p>
        </w:tc>
        <w:tc>
          <w:tcPr>
            <w:tcW w:type="dxa" w:w="2192"/>
          </w:tcPr>
          <w:p>
            <w:r/>
            <w:r>
              <w:rPr>
                <w:rFonts w:ascii="Times New Roman" w:hAnsi="Times New Roman"/>
                <w:sz w:val="20"/>
              </w:rPr>
              <w:t>Fyller manglende verdier</w:t>
            </w:r>
          </w:p>
        </w:tc>
        <w:tc>
          <w:tcPr>
            <w:tcW w:type="dxa" w:w="2192"/>
          </w:tcPr>
          <w:p>
            <w:r/>
            <w:r>
              <w:rPr>
                <w:rFonts w:ascii="Times New Roman" w:hAnsi="Times New Roman"/>
                <w:sz w:val="20"/>
              </w:rPr>
              <w:t>Antar normal driftsstatus</w:t>
            </w:r>
          </w:p>
        </w:tc>
      </w:tr>
      <w:tr>
        <w:tc>
          <w:tcPr>
            <w:tcW w:type="dxa" w:w="2192"/>
          </w:tcPr>
          <w:p>
            <w:r/>
            <w:r>
              <w:rPr>
                <w:rFonts w:ascii="Times New Roman" w:hAnsi="Times New Roman"/>
                <w:sz w:val="20"/>
              </w:rPr>
              <w:t>D-07</w:t>
            </w:r>
          </w:p>
        </w:tc>
        <w:tc>
          <w:tcPr>
            <w:tcW w:type="dxa" w:w="2192"/>
          </w:tcPr>
          <w:p>
            <w:r/>
            <w:r>
              <w:rPr>
                <w:rFonts w:ascii="Times New Roman" w:hAnsi="Times New Roman"/>
                <w:sz w:val="20"/>
              </w:rPr>
              <w:t>ABC_VALUE_SOURCE</w:t>
            </w:r>
          </w:p>
        </w:tc>
        <w:tc>
          <w:tcPr>
            <w:tcW w:type="dxa" w:w="2192"/>
          </w:tcPr>
          <w:p>
            <w:r/>
            <w:r>
              <w:rPr>
                <w:rFonts w:ascii="Times New Roman" w:hAnsi="Times New Roman"/>
                <w:sz w:val="20"/>
              </w:rPr>
              <w:t>EKPO-verdi prioriteres</w:t>
            </w:r>
          </w:p>
        </w:tc>
        <w:tc>
          <w:tcPr>
            <w:tcW w:type="dxa" w:w="2192"/>
          </w:tcPr>
          <w:p>
            <w:r/>
            <w:r>
              <w:rPr>
                <w:rFonts w:ascii="Times New Roman" w:hAnsi="Times New Roman"/>
                <w:sz w:val="20"/>
              </w:rPr>
              <w:t>TOTAL_NETWR &gt; 0 kreves for EKPO-kilde</w:t>
            </w:r>
          </w:p>
        </w:tc>
      </w:tr>
      <w:tr>
        <w:tc>
          <w:tcPr>
            <w:tcW w:type="dxa" w:w="2192"/>
          </w:tcPr>
          <w:p>
            <w:r/>
            <w:r>
              <w:rPr>
                <w:rFonts w:ascii="Times New Roman" w:hAnsi="Times New Roman"/>
                <w:sz w:val="20"/>
              </w:rPr>
              <w:t>D-08</w:t>
            </w:r>
          </w:p>
        </w:tc>
        <w:tc>
          <w:tcPr>
            <w:tcW w:type="dxa" w:w="2192"/>
          </w:tcPr>
          <w:p>
            <w:r/>
            <w:r>
              <w:rPr>
                <w:rFonts w:ascii="Times New Roman" w:hAnsi="Times New Roman"/>
                <w:sz w:val="20"/>
              </w:rPr>
              <w:t>Annualisering av ordrefrekvens</w:t>
            </w:r>
          </w:p>
        </w:tc>
        <w:tc>
          <w:tcPr>
            <w:tcW w:type="dxa" w:w="2192"/>
          </w:tcPr>
          <w:p>
            <w:r/>
            <w:r>
              <w:rPr>
                <w:rFonts w:ascii="Times New Roman" w:hAnsi="Times New Roman"/>
                <w:sz w:val="20"/>
              </w:rPr>
              <w:t>ACTUAL_FREQ = ORDER_COUNT × 12/24</w:t>
            </w:r>
          </w:p>
        </w:tc>
        <w:tc>
          <w:tcPr>
            <w:tcW w:type="dxa" w:w="2192"/>
          </w:tcPr>
          <w:p>
            <w:r/>
            <w:r>
              <w:rPr>
                <w:rFonts w:ascii="Times New Roman" w:hAnsi="Times New Roman"/>
                <w:sz w:val="20"/>
              </w:rPr>
              <w:t>24 mnd data → årsbasis</w:t>
            </w:r>
          </w:p>
        </w:tc>
      </w:tr>
    </w:tbl>
    <w:p>
      <w:pPr>
        <w:spacing w:line="360" w:lineRule="auto"/>
      </w:pPr>
      <w:r>
        <w:rPr>
          <w:rFonts w:ascii="Times New Roman" w:hAnsi="Times New Roman" w:cs="Times New Roman"/>
          <w:sz w:val="24"/>
        </w:rPr>
      </w:r>
      <w:r>
        <w:rPr>
          <w:rFonts w:ascii="Times New Roman" w:hAnsi="Times New Roman" w:cs="Times New Roman"/>
          <w:b/>
          <w:sz w:val="24"/>
        </w:rPr>
        <w:t>D-01 – Populasjonsavgrensning.</w:t>
      </w:r>
      <w:r>
        <w:rPr>
          <w:rFonts w:ascii="Times New Roman" w:hAnsi="Times New Roman" w:cs="Times New Roman"/>
          <w:sz w:val="24"/>
        </w:rPr>
        <w:t xml:space="preserve"> Råuttrekket fra MARD inneholdt 1 006 artikkelnumre. Av disse er 297 ekskludert fordi de har verken registrert forbruk i MSEG (D_ANNUAL = 0) og null beholdning (TOTAL_STOCK = 0). Disse artiklene er operasjonelt inaktive og utenfor analyseformålet. De resterende 709 artiklene utgjør populasjonen for alle videre analyser.</w:t>
      </w:r>
    </w:p>
    <w:p>
      <w:pPr>
        <w:spacing w:line="360" w:lineRule="auto"/>
      </w:pPr>
      <w:r>
        <w:rPr>
          <w:rFonts w:ascii="Times New Roman" w:hAnsi="Times New Roman" w:cs="Times New Roman"/>
          <w:sz w:val="24"/>
        </w:rPr>
      </w:r>
      <w:r>
        <w:rPr>
          <w:rFonts w:ascii="Times New Roman" w:hAnsi="Times New Roman" w:cs="Times New Roman"/>
          <w:b/>
          <w:sz w:val="24"/>
        </w:rPr>
        <w:t>D-02 – PEINH-korrigering.</w:t>
      </w:r>
      <w:r>
        <w:rPr>
          <w:rFonts w:ascii="Times New Roman" w:hAnsi="Times New Roman" w:cs="Times New Roman"/>
          <w:sz w:val="24"/>
        </w:rPr>
        <w:t xml:space="preserve"> SAP-feltet STPRS i MBEW inneholder standardpris per prisenhet, der prisenheten er angitt i PEINH. PEINH er vanligvis 1, men er i mange tilfeller satt til 10 eller 100 – særlig for lavprisartikler der prisen er satt per 10 eller per 100 enheter. Uten PEINH-korrigering ville enhetsprisen for disse artiklene bli overvurdert med faktor 10 eller 100, noe som ville ha forplantet seg til feil i ABC-rangering, EOQ-parametere og besparelsesestimat. Korreksjon er implementert ved formelen UNIT_PRICE = STPRS ÷ PEINH.</w:t>
      </w:r>
    </w:p>
    <w:p>
      <w:pPr>
        <w:spacing w:line="360" w:lineRule="auto"/>
      </w:pPr>
      <w:r>
        <w:rPr>
          <w:rFonts w:ascii="Times New Roman" w:hAnsi="Times New Roman" w:cs="Times New Roman"/>
          <w:sz w:val="24"/>
        </w:rPr>
      </w:r>
      <w:r>
        <w:rPr>
          <w:rFonts w:ascii="Times New Roman" w:hAnsi="Times New Roman" w:cs="Times New Roman"/>
          <w:b/>
          <w:sz w:val="24"/>
        </w:rPr>
        <w:t>D-03 – Beregnet ABC-verdi.</w:t>
      </w:r>
      <w:r>
        <w:rPr>
          <w:rFonts w:ascii="Times New Roman" w:hAnsi="Times New Roman" w:cs="Times New Roman"/>
          <w:sz w:val="24"/>
        </w:rPr>
        <w:t xml:space="preserve"> ABC-analyse krever en verdi per artikkel. Primærkilden er den faktiske innkjøpsverdien fra EKPO (TOTAL_NETWR), som dekker 505 av 709 artikler. For de resterende 204 artiklene – der TOTAL_NETWR er null eller mangler – er ABC-verdien beregnet som årsforbruk multiplisert med enhetspris (D_ANNUAL × UNIT_PRICE). Denne fremgangsmåten er konsistent med standard ABC-litteratur, der verdi defineres som forbruksvolum ganger enhetspris når direkte innkjøpsverdi ikke er tilgjengelig (Silaen et al., 2023). Et alternativ ville vært å ekskludere disse artiklene. Dette ble vurdert og forkastet av tre grunner: (1) ekskludering ville gi et systematisk skjevt utvalg, siden fraværet av EKPO-data primært skyldes ikke-standardisert anskaffelsespraksis — nettopp de artiklene som kan ha høyest potensial for sentralisering; (2) 204 artikler utgjør 28,8 % av populasjonen, noe som ville svekket representativiteten vesentlig; og (3) D_ANNUAL er observert fra MSEG, ikke anslått, slik at proksien kun introduserer usikkerhet i prisleddet, ikke i forbruksvolum.</w:t>
      </w:r>
    </w:p>
    <w:p>
      <w:pPr>
        <w:spacing w:line="360" w:lineRule="auto"/>
      </w:pPr>
      <w:r>
        <w:rPr>
          <w:rFonts w:ascii="Times New Roman" w:hAnsi="Times New Roman" w:cs="Times New Roman"/>
          <w:sz w:val="24"/>
        </w:rPr>
      </w:r>
      <w:r>
        <w:rPr>
          <w:rFonts w:ascii="Times New Roman" w:hAnsi="Times New Roman" w:cs="Times New Roman"/>
          <w:b/>
          <w:sz w:val="24"/>
        </w:rPr>
        <w:t>D-04 – CV-basert XYZ i stedet for SAP ZZXYZ.</w:t>
      </w:r>
      <w:r>
        <w:rPr>
          <w:rFonts w:ascii="Times New Roman" w:hAnsi="Times New Roman" w:cs="Times New Roman"/>
          <w:sz w:val="24"/>
        </w:rPr>
        <w:t xml:space="preserve"> SAP S/4HANA inneholder et eget klassifiseringsfelt, ZZXYZ, som representerer systemets registrerte XYZ-kategori. En validering mot den beregnede CV-klassifiseringen viste at bare 33 % av artiklene er samsvarende. Avviket skyldes primært at ZZXYZ ikke er blitt systematisk oppdatert i takt med endringer i forbruksmønstre. Analysen benytter derfor CV beregnet direkte fra månedlig MSEG-forbruk over 24 måneder som grunnlag for XYZ-klassifisering, mens ZZXYZ brukes som valideringsreferanse. Modellenes matematiske spesifikasjon er beskrevet i kapittel 5.</w:t>
      </w:r>
    </w:p>
    <w:p>
      <w:pPr>
        <w:spacing w:line="360" w:lineRule="auto"/>
      </w:pPr>
      <w:r>
        <w:rPr>
          <w:rFonts w:ascii="Times New Roman" w:hAnsi="Times New Roman" w:cs="Times New Roman"/>
          <w:sz w:val="24"/>
        </w:rPr>
      </w:r>
      <w:r>
        <w:rPr>
          <w:rFonts w:ascii="Times New Roman" w:hAnsi="Times New Roman" w:cs="Times New Roman"/>
          <w:b/>
          <w:sz w:val="24"/>
        </w:rPr>
        <w:t>D-05 – Leveringstid-fallback.</w:t>
      </w:r>
      <w:r>
        <w:rPr>
          <w:rFonts w:ascii="Times New Roman" w:hAnsi="Times New Roman" w:cs="Times New Roman"/>
          <w:sz w:val="24"/>
        </w:rPr>
        <w:t xml:space="preserve"> EOQ-modellen benytter leveringstid som parameter for beregning av bestillingspunkt. EINE-tabellen inneholder feltet WETAG (leveringstid i dager), men dette feltet er kun utfylt for 6 % av artiklene i populasjonen (43 av 709). For de resterende 94 % benyttes en fallback-verdi på 14 kalenderdager, som tilsvarer en typisk leveringstid for forbruksmateriell fra grossist til sykehus. Implikasjoner av denne antagelsen er diskutert i avsnitt 4.4.</w:t>
      </w:r>
    </w:p>
    <w:p>
      <w:pPr>
        <w:spacing w:line="360" w:lineRule="auto"/>
      </w:pPr>
      <w:r>
        <w:rPr>
          <w:rFonts w:ascii="Times New Roman" w:hAnsi="Times New Roman" w:cs="Times New Roman"/>
          <w:sz w:val="24"/>
        </w:rPr>
      </w:r>
      <w:r>
        <w:rPr>
          <w:rFonts w:ascii="Times New Roman" w:hAnsi="Times New Roman" w:cs="Times New Roman"/>
          <w:b/>
          <w:sz w:val="24"/>
        </w:rPr>
        <w:t>D-06 til D-08</w:t>
      </w:r>
      <w:r>
        <w:rPr>
          <w:rFonts w:ascii="Times New Roman" w:hAnsi="Times New Roman" w:cs="Times New Roman"/>
          <w:sz w:val="24"/>
        </w:rPr>
        <w:t xml:space="preserve"> er dokumentert i Tabell 5 og implementert direkte i Python-scriptet. D-08 – annualiseringen av ordrefrekvens – er særlig viktig for konsistens mellom faktisk og optimal frekvens i EOQ-avviksanalysen. Siden analyseperioden er 24 måneder, annualiseres faktisk ordretelling ved å multiplisere med faktoren 12/24, slik at ACTUAL_FREQ er direkte sammenlignbar med den beregnede EOQ-frekvensen på årsbasis.</w:t>
      </w:r>
    </w:p>
    <w:p>
      <w:pPr>
        <w:spacing w:line="360" w:lineRule="auto"/>
      </w:pPr>
      <w:r>
        <w:rPr>
          <w:rFonts w:ascii="Times New Roman" w:hAnsi="Times New Roman" w:cs="Times New Roman"/>
          <w:sz w:val="24"/>
        </w:rPr>
        <w:t>Datapipelinen fra rådata til analyseklar datasett er illustrert i figuren nedenfor.</w:t>
      </w:r>
    </w:p>
    <w:p>
      <w:r>
        <w:drawing>
          <wp:inline xmlns:a="http://schemas.openxmlformats.org/drawingml/2006/main" xmlns:pic="http://schemas.openxmlformats.org/drawingml/2006/picture">
            <wp:extent cx="5400000" cy="1315966"/>
            <wp:docPr id="6" name="Picture 6"/>
            <wp:cNvGraphicFramePr>
              <a:graphicFrameLocks noChangeAspect="1"/>
            </wp:cNvGraphicFramePr>
            <a:graphic>
              <a:graphicData uri="http://schemas.openxmlformats.org/drawingml/2006/picture">
                <pic:pic>
                  <pic:nvPicPr>
                    <pic:cNvPr id="0" name="Fig02_Analysepipeline.png"/>
                    <pic:cNvPicPr/>
                  </pic:nvPicPr>
                  <pic:blipFill>
                    <a:blip r:embed="rId24"/>
                    <a:stretch>
                      <a:fillRect/>
                    </a:stretch>
                  </pic:blipFill>
                  <pic:spPr>
                    <a:xfrm>
                      <a:off x="0" y="0"/>
                      <a:ext cx="5400000" cy="1315966"/>
                    </a:xfrm>
                    <a:prstGeom prst="rect"/>
                  </pic:spPr>
                </pic:pic>
              </a:graphicData>
            </a:graphic>
          </wp:inline>
        </w:drawing>
      </w:r>
    </w:p>
    <w:p>
      <w:pPr>
        <w:jc w:val="center"/>
      </w:pPr>
      <w:r>
        <w:rPr>
          <w:rFonts w:ascii="Times New Roman" w:hAnsi="Times New Roman"/>
          <w:i/>
          <w:sz w:val="20"/>
        </w:rPr>
        <w:t>Figur 2. Analysepipeline: fra SAP-rådata til HVFS-anbefaling. Generert med støtte fra Claude (Anthropic, 2026).</w:t>
      </w:r>
    </w:p>
    <w:p>
      <w:pPr>
        <w:pStyle w:val="Overskrift2"/>
      </w:pPr>
      <w:r>
        <w:rPr>
          <w:rFonts w:ascii="Times New Roman" w:hAnsi="Times New Roman"/>
          <w:color w:val="000000"/>
          <w:sz w:val="32"/>
        </w:rPr>
        <w:t>4.4 Etiske betraktninger og begrensninger</w:t>
      </w:r>
    </w:p>
    <w:p>
      <w:pPr>
        <w:spacing w:line="360" w:lineRule="auto"/>
      </w:pPr>
      <w:r>
        <w:rPr>
          <w:rFonts w:ascii="Times New Roman" w:hAnsi="Times New Roman" w:cs="Times New Roman"/>
          <w:sz w:val="24"/>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spacing w:line="360" w:lineRule="auto"/>
      </w:pPr>
      <w:r>
        <w:rPr>
          <w:rFonts w:ascii="Times New Roman" w:hAnsi="Times New Roman" w:cs="Times New Roman"/>
          <w:sz w:val="24"/>
        </w:rPr>
        <w:t>To sentrale parametere er antagelser, ikke målte verdier. Ordrekostnaden S = 750 NOK er satt basert på estimater fra litteraturen for sykehusinnkjøp (Kelle et al., 2012; Bijvank &amp; Vis, 2012), men den faktiske kostnaden per ordre vil variere med innkjøpstype, leverandøravtale og administrativ belastning. Holdesatsen h = 20 % av enhetspris per år er en vanlig sjablongregel i EOQ-litteraturen (Hautaniemi &amp; Pirttilä, 1999), men inkluderer implisitte antagelser om kapitalkostand, lagerbrann- og ukurantrisiko som ikke er verifisert mot Helse Bergens faktiske regnskapstall. Sensitivitetsanalysen i kapittel 7 undersøker i hvilken grad resultater endres ved variasjon i disse parameterne.</w:t>
      </w:r>
    </w:p>
    <w:p>
      <w:pPr>
        <w:spacing w:line="360" w:lineRule="auto"/>
      </w:pPr>
      <w:r>
        <w:rPr>
          <w:rFonts w:ascii="Times New Roman" w:hAnsi="Times New Roman" w:cs="Times New Roman"/>
          <w:sz w:val="24"/>
        </w:rPr>
        <w:t>Leveringstids-fallbacken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pPr>
        <w:pStyle w:val="Overskrift2"/>
      </w:pPr>
      <w:r>
        <w:rPr>
          <w:rFonts w:ascii="Times New Roman" w:hAnsi="Times New Roman"/>
          <w:color w:val="000000"/>
          <w:sz w:val="32"/>
        </w:rPr>
        <w:t>4.5 Bruk av KI-verktøy</w:t>
      </w:r>
    </w:p>
    <w:p>
      <w:pPr>
        <w:spacing w:line="360" w:lineRule="auto"/>
      </w:pPr>
      <w:r>
        <w:rPr>
          <w:rFonts w:ascii="Times New Roman" w:hAnsi="Times New Roman" w:cs="Times New Roman"/>
          <w:sz w:val="24"/>
        </w:rPr>
        <w:t>Kunstig intelligens i form av store språkmodeller ble benyttet som faglig støtteverktøy gjennom hele prosjektperioden, i tråd med retningslinjene i kursets skrivekompendium (Rekdal &amp; Pettersen, 2025). Claude (Anthropic, 2026) ble anvendt til tre konkrete formål: (1) kodestøtte og feilsøking i Python-scriptet for ABC-, XYZ-, EOQ- og K-means-analysen; (2) generering av alle datavisualiseringer — Pareto-kurve, kryssmatrise, EOQ-avviksplott, silhouette-profil, scatterplott og regelmotor-fordeling — på grunnlag av analyseresultater produsert av scriptet; og (3) strukturering og språklig bearbeiding av rapportteksten. Alle figurer generert med støtte fra Claude er merket «Generert med støtte fra Claude (Anthropic, 2026)» i bildeteksten.</w:t>
      </w:r>
    </w:p>
    <w:p>
      <w:pPr>
        <w:spacing w:line="360" w:lineRule="auto"/>
      </w:pPr>
      <w:r>
        <w:rPr>
          <w:rFonts w:ascii="Times New Roman" w:hAnsi="Times New Roman" w:cs="Times New Roman"/>
          <w:sz w:val="24"/>
        </w:rPr>
        <w:t>Claude ble ikke brukt som fagkilde og er ikke sitert som belegg for faglige påstander. Alle numeriske resultater, tabellverdier og analytiske konklusjoner er produsert av Python-scriptet fra SAP-kildedata og er uavhengige av KI-verktøyet. Rådata fra SAP ble ikke modifisert i noen fase av arbeidet; alle transformasjoner er dokumentert i D-01–D-08 (avsnitt 4.3) og implementert deterministisk i scriptet.</w:t>
      </w:r>
    </w:p>
    <w:p>
      <w:pPr>
        <w:pStyle w:val="Overskrift1"/>
        <w:pageBreakBefore w:val="true"/>
      </w:pPr>
      <w:r>
        <w:rPr>
          <w:rFonts w:ascii="Times New Roman" w:hAnsi="Times New Roman"/>
          <w:color w:val="000000"/>
          <w:sz w:val="36"/>
        </w:rPr>
        <w:t>Kapittel 5 – Modellering</w:t>
      </w:r>
    </w:p>
    <w:p>
      <w:pPr>
        <w:pStyle w:val="Overskrift2"/>
      </w:pPr>
      <w:r>
        <w:rPr>
          <w:rFonts w:ascii="Times New Roman" w:hAnsi="Times New Roman"/>
          <w:color w:val="000000"/>
          <w:sz w:val="32"/>
        </w:rPr>
        <w:t>5.1 ABC-modellen</w:t>
      </w:r>
    </w:p>
    <w:p>
      <w:pPr>
        <w:spacing w:line="360" w:lineRule="auto"/>
      </w:pPr>
      <w:r>
        <w:rPr>
          <w:rFonts w:ascii="Times New Roman" w:hAnsi="Times New Roman" w:cs="Times New Roman"/>
          <w:sz w:val="24"/>
        </w:rPr>
        <w:t>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spacing w:line="360" w:lineRule="auto"/>
      </w:pPr>
      <w:r>
        <w:rPr>
          <w:rFonts w:ascii="Times New Roman" w:hAnsi="Times New Roman" w:cs="Times New Roman"/>
          <w:sz w:val="24"/>
        </w:rPr>
        <w:t>For hver artikkel $i$ beregnes en årsverdi $v_i$ som produktet av årsforbruk og enhetspris:</w:t>
      </w:r>
    </w:p>
    <w:p>
      <w:pPr>
        <w:jc w:val="center"/>
      </w:pPr>
      <w:r>
        <w:rPr>
          <w:rFonts w:ascii="Cambria Math" w:hAnsi="Cambria Math"/>
          <w:i/>
          <w:sz w:val="22"/>
        </w:rPr>
        <w:t>v_i = D_i \times \text{UNIT\_PRICE}_i</w:t>
      </w:r>
    </w:p>
    <w:p>
      <w:pPr>
        <w:spacing w:line="360" w:lineRule="auto"/>
      </w:pPr>
      <w:r>
        <w:rPr>
          <w:rFonts w:ascii="Times New Roman" w:hAnsi="Times New Roman" w:cs="Times New Roman"/>
          <w:sz w:val="24"/>
        </w:rPr>
        <w:t>Der $D_i$ er annualisert forbruk (enheter/år) og UNIT\_PRICE$_i$ er PEINH-korrigert standardpris (NOK/enhet), jf. beslutning D-02 og D-03 i avsnitt 4.3. Artiklene sorteres deretter i synkende rekkefølge etter $v_i$, og kumulativ verdiandel $C_i$ beregnes som:</w:t>
      </w:r>
    </w:p>
    <w:p>
      <w:pPr>
        <w:jc w:val="center"/>
      </w:pPr>
      <w:r>
        <w:rPr>
          <w:rFonts w:ascii="Cambria Math" w:hAnsi="Cambria Math"/>
          <w:i/>
          <w:sz w:val="22"/>
        </w:rPr>
        <w:t>C_i = \frac{\sum_{j=1}^{i} v_j}{V_{\text{tot}}}</w:t>
      </w:r>
    </w:p>
    <w:p>
      <w:pPr>
        <w:spacing w:line="360" w:lineRule="auto"/>
      </w:pPr>
      <w:r>
        <w:rPr>
          <w:rFonts w:ascii="Times New Roman" w:hAnsi="Times New Roman" w:cs="Times New Roman"/>
          <w:sz w:val="24"/>
        </w:rPr>
        <w:t>der $V_{\text{tot}} = \sum_{j=1}^{N} v_j$ er total årsverdi over alle $N$ artikler. En artikkel tilhører A-klassen dersom $C_i \leq 0{,}80$, B-klassen dersom $0{,}80 &lt; C_i \leq 0{,}95$, og C-klassen ellers.</w:t>
      </w:r>
    </w:p>
    <w:p>
      <w:pPr>
        <w:spacing w:line="360" w:lineRule="auto"/>
      </w:pPr>
      <w:r>
        <w:rPr>
          <w:rFonts w:ascii="Times New Roman" w:hAnsi="Times New Roman" w:cs="Times New Roman"/>
          <w:sz w:val="24"/>
        </w:rPr>
        <w:t>Klassifiseringsgrensene er satt i henhold til standard ABC-litteratur (Silaen et al., 2023):</w:t>
      </w:r>
    </w:p>
    <w:p>
      <w:r>
        <w:rPr>
          <w:rFonts w:ascii="Times New Roman" w:hAnsi="Times New Roman"/>
          <w:i/>
          <w:sz w:val="20"/>
        </w:rPr>
        <w:t>Tabell 6. Modellparametere: ABC-klassifiseringsgrenser og øvrige analyseinnstillinger.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3"/>
        <w:gridCol w:w="2923"/>
        <w:gridCol w:w="2923"/>
      </w:tblGrid>
      <w:tr>
        <w:tc>
          <w:tcPr>
            <w:tcW w:type="dxa" w:w="2923"/>
            <w:shd w:fill="D9E2F3" w:val="clear"/>
          </w:tcPr>
          <w:p>
            <w:r/>
            <w:r>
              <w:rPr>
                <w:rFonts w:ascii="Times New Roman" w:hAnsi="Times New Roman"/>
                <w:b/>
                <w:sz w:val="20"/>
              </w:rPr>
              <w:t>Parameter</w:t>
            </w:r>
          </w:p>
        </w:tc>
        <w:tc>
          <w:tcPr>
            <w:tcW w:type="dxa" w:w="2923"/>
            <w:shd w:fill="D9E2F3" w:val="clear"/>
          </w:tcPr>
          <w:p>
            <w:r/>
            <w:r>
              <w:rPr>
                <w:rFonts w:ascii="Times New Roman" w:hAnsi="Times New Roman"/>
                <w:b/>
                <w:sz w:val="20"/>
              </w:rPr>
              <w:t>Verdi</w:t>
            </w:r>
          </w:p>
        </w:tc>
        <w:tc>
          <w:tcPr>
            <w:tcW w:type="dxa" w:w="2923"/>
            <w:shd w:fill="D9E2F3" w:val="clear"/>
          </w:tcPr>
          <w:p>
            <w:r/>
            <w:r>
              <w:rPr>
                <w:rFonts w:ascii="Times New Roman" w:hAnsi="Times New Roman"/>
                <w:b/>
                <w:sz w:val="20"/>
              </w:rPr>
              <w:t>Kilde/Begrunnelse</w:t>
            </w:r>
          </w:p>
        </w:tc>
      </w:tr>
      <w:tr>
        <w:tc>
          <w:tcPr>
            <w:tcW w:type="dxa" w:w="2923"/>
          </w:tcPr>
          <w:p>
            <w:r/>
            <w:r>
              <w:rPr>
                <w:rFonts w:ascii="Times New Roman" w:hAnsi="Times New Roman"/>
                <w:sz w:val="20"/>
              </w:rPr>
              <w:t>ABC A-grense</w:t>
            </w:r>
          </w:p>
        </w:tc>
        <w:tc>
          <w:tcPr>
            <w:tcW w:type="dxa" w:w="2923"/>
          </w:tcPr>
          <w:p>
            <w:r/>
            <w:r>
              <w:rPr>
                <w:rFonts w:ascii="Times New Roman" w:hAnsi="Times New Roman"/>
                <w:sz w:val="20"/>
              </w:rPr>
              <w:t>80 % kumulativ verdi</w:t>
            </w:r>
          </w:p>
        </w:tc>
        <w:tc>
          <w:tcPr>
            <w:tcW w:type="dxa" w:w="2923"/>
          </w:tcPr>
          <w:p>
            <w:r/>
            <w:r>
              <w:rPr>
                <w:rFonts w:ascii="Times New Roman" w:hAnsi="Times New Roman"/>
                <w:sz w:val="20"/>
              </w:rPr>
              <w:t>Silaen et al. (2023)</w:t>
            </w:r>
          </w:p>
        </w:tc>
      </w:tr>
      <w:tr>
        <w:tc>
          <w:tcPr>
            <w:tcW w:type="dxa" w:w="2923"/>
          </w:tcPr>
          <w:p>
            <w:r/>
            <w:r>
              <w:rPr>
                <w:rFonts w:ascii="Times New Roman" w:hAnsi="Times New Roman"/>
                <w:sz w:val="20"/>
              </w:rPr>
              <w:t>ABC B-grense</w:t>
            </w:r>
          </w:p>
        </w:tc>
        <w:tc>
          <w:tcPr>
            <w:tcW w:type="dxa" w:w="2923"/>
          </w:tcPr>
          <w:p>
            <w:r/>
            <w:r>
              <w:rPr>
                <w:rFonts w:ascii="Times New Roman" w:hAnsi="Times New Roman"/>
                <w:sz w:val="20"/>
              </w:rPr>
              <w:t>95 % kumulativ verdi</w:t>
            </w:r>
          </w:p>
        </w:tc>
        <w:tc>
          <w:tcPr>
            <w:tcW w:type="dxa" w:w="2923"/>
          </w:tcPr>
          <w:p>
            <w:r/>
            <w:r>
              <w:rPr>
                <w:rFonts w:ascii="Times New Roman" w:hAnsi="Times New Roman"/>
                <w:sz w:val="20"/>
              </w:rPr>
              <w:t>Silaen et al. (2023)</w:t>
            </w:r>
          </w:p>
        </w:tc>
      </w:tr>
      <w:tr>
        <w:tc>
          <w:tcPr>
            <w:tcW w:type="dxa" w:w="2923"/>
          </w:tcPr>
          <w:p>
            <w:r/>
            <w:r>
              <w:rPr>
                <w:rFonts w:ascii="Times New Roman" w:hAnsi="Times New Roman"/>
                <w:sz w:val="20"/>
              </w:rPr>
              <w:t>XYZ X-grense</w:t>
            </w:r>
          </w:p>
        </w:tc>
        <w:tc>
          <w:tcPr>
            <w:tcW w:type="dxa" w:w="2923"/>
          </w:tcPr>
          <w:p>
            <w:r/>
            <w:r>
              <w:rPr>
                <w:rFonts w:ascii="Times New Roman" w:hAnsi="Times New Roman"/>
                <w:sz w:val="20"/>
              </w:rPr>
              <w:t>CV &lt; 0,5</w:t>
            </w:r>
          </w:p>
        </w:tc>
        <w:tc>
          <w:tcPr>
            <w:tcW w:type="dxa" w:w="2923"/>
          </w:tcPr>
          <w:p>
            <w:r/>
            <w:r>
              <w:rPr>
                <w:rFonts w:ascii="Times New Roman" w:hAnsi="Times New Roman"/>
                <w:sz w:val="20"/>
              </w:rPr>
              <w:t>Nowotyńska (2013)</w:t>
            </w:r>
          </w:p>
        </w:tc>
      </w:tr>
      <w:tr>
        <w:tc>
          <w:tcPr>
            <w:tcW w:type="dxa" w:w="2923"/>
          </w:tcPr>
          <w:p>
            <w:r/>
            <w:r>
              <w:rPr>
                <w:rFonts w:ascii="Times New Roman" w:hAnsi="Times New Roman"/>
                <w:sz w:val="20"/>
              </w:rPr>
              <w:t>XYZ Y-grense</w:t>
            </w:r>
          </w:p>
        </w:tc>
        <w:tc>
          <w:tcPr>
            <w:tcW w:type="dxa" w:w="2923"/>
          </w:tcPr>
          <w:p>
            <w:r/>
            <w:r>
              <w:rPr>
                <w:rFonts w:ascii="Times New Roman" w:hAnsi="Times New Roman"/>
                <w:sz w:val="20"/>
              </w:rPr>
              <w:t>0,5 ≤ CV &lt; 1,0</w:t>
            </w:r>
          </w:p>
        </w:tc>
        <w:tc>
          <w:tcPr>
            <w:tcW w:type="dxa" w:w="2923"/>
          </w:tcPr>
          <w:p>
            <w:r/>
            <w:r>
              <w:rPr>
                <w:rFonts w:ascii="Times New Roman" w:hAnsi="Times New Roman"/>
                <w:sz w:val="20"/>
              </w:rPr>
              <w:t>Nowotyńska (2013)</w:t>
            </w:r>
          </w:p>
        </w:tc>
      </w:tr>
      <w:tr>
        <w:tc>
          <w:tcPr>
            <w:tcW w:type="dxa" w:w="2923"/>
          </w:tcPr>
          <w:p>
            <w:r/>
            <w:r>
              <w:rPr>
                <w:rFonts w:ascii="Times New Roman" w:hAnsi="Times New Roman"/>
                <w:sz w:val="20"/>
              </w:rPr>
              <w:t>XYZ Z-grense</w:t>
            </w:r>
          </w:p>
        </w:tc>
        <w:tc>
          <w:tcPr>
            <w:tcW w:type="dxa" w:w="2923"/>
          </w:tcPr>
          <w:p>
            <w:r/>
            <w:r>
              <w:rPr>
                <w:rFonts w:ascii="Times New Roman" w:hAnsi="Times New Roman"/>
                <w:sz w:val="20"/>
              </w:rPr>
              <w:t>CV ≥ 1,0</w:t>
            </w:r>
          </w:p>
        </w:tc>
        <w:tc>
          <w:tcPr>
            <w:tcW w:type="dxa" w:w="2923"/>
          </w:tcPr>
          <w:p>
            <w:r/>
            <w:r>
              <w:rPr>
                <w:rFonts w:ascii="Times New Roman" w:hAnsi="Times New Roman"/>
                <w:sz w:val="20"/>
              </w:rPr>
              <w:t>Nowotyńska (2013)</w:t>
            </w:r>
          </w:p>
        </w:tc>
      </w:tr>
      <w:tr>
        <w:tc>
          <w:tcPr>
            <w:tcW w:type="dxa" w:w="2923"/>
          </w:tcPr>
          <w:p>
            <w:r/>
            <w:r>
              <w:rPr>
                <w:rFonts w:ascii="Times New Roman" w:hAnsi="Times New Roman"/>
                <w:sz w:val="20"/>
              </w:rPr>
              <w:t>Ordrekostnad S</w:t>
            </w:r>
          </w:p>
        </w:tc>
        <w:tc>
          <w:tcPr>
            <w:tcW w:type="dxa" w:w="2923"/>
          </w:tcPr>
          <w:p>
            <w:r/>
            <w:r>
              <w:rPr>
                <w:rFonts w:ascii="Times New Roman" w:hAnsi="Times New Roman"/>
                <w:sz w:val="20"/>
              </w:rPr>
              <w:t>750 NOK</w:t>
            </w:r>
          </w:p>
        </w:tc>
        <w:tc>
          <w:tcPr>
            <w:tcW w:type="dxa" w:w="2923"/>
          </w:tcPr>
          <w:p>
            <w:r/>
            <w:r>
              <w:rPr>
                <w:rFonts w:ascii="Times New Roman" w:hAnsi="Times New Roman"/>
                <w:sz w:val="20"/>
              </w:rPr>
              <w:t>Kelle et al. (2012); Bijvank &amp; Vis (2012)</w:t>
            </w:r>
          </w:p>
        </w:tc>
      </w:tr>
      <w:tr>
        <w:tc>
          <w:tcPr>
            <w:tcW w:type="dxa" w:w="2923"/>
          </w:tcPr>
          <w:p>
            <w:r/>
            <w:r>
              <w:rPr>
                <w:rFonts w:ascii="Times New Roman" w:hAnsi="Times New Roman"/>
                <w:sz w:val="20"/>
              </w:rPr>
              <w:t>Holdesats h</w:t>
            </w:r>
          </w:p>
        </w:tc>
        <w:tc>
          <w:tcPr>
            <w:tcW w:type="dxa" w:w="2923"/>
          </w:tcPr>
          <w:p>
            <w:r/>
            <w:r>
              <w:rPr>
                <w:rFonts w:ascii="Times New Roman" w:hAnsi="Times New Roman"/>
                <w:sz w:val="20"/>
              </w:rPr>
              <w:t>20 % av UNIT_PRICE</w:t>
            </w:r>
          </w:p>
        </w:tc>
        <w:tc>
          <w:tcPr>
            <w:tcW w:type="dxa" w:w="2923"/>
          </w:tcPr>
          <w:p>
            <w:r/>
            <w:r>
              <w:rPr>
                <w:rFonts w:ascii="Times New Roman" w:hAnsi="Times New Roman"/>
                <w:sz w:val="20"/>
              </w:rPr>
              <w:t>Ketkar &amp; Vaidya (2014)</w:t>
            </w:r>
          </w:p>
        </w:tc>
      </w:tr>
      <w:tr>
        <w:tc>
          <w:tcPr>
            <w:tcW w:type="dxa" w:w="2923"/>
          </w:tcPr>
          <w:p>
            <w:r/>
            <w:r>
              <w:rPr>
                <w:rFonts w:ascii="Times New Roman" w:hAnsi="Times New Roman"/>
                <w:sz w:val="20"/>
              </w:rPr>
              <w:t>Leveringstid fallback</w:t>
            </w:r>
          </w:p>
        </w:tc>
        <w:tc>
          <w:tcPr>
            <w:tcW w:type="dxa" w:w="2923"/>
          </w:tcPr>
          <w:p>
            <w:r/>
            <w:r>
              <w:rPr>
                <w:rFonts w:ascii="Times New Roman" w:hAnsi="Times New Roman"/>
                <w:sz w:val="20"/>
              </w:rPr>
              <w:t>14 dager</w:t>
            </w:r>
          </w:p>
        </w:tc>
        <w:tc>
          <w:tcPr>
            <w:tcW w:type="dxa" w:w="2923"/>
          </w:tcPr>
          <w:p>
            <w:r/>
            <w:r>
              <w:rPr>
                <w:rFonts w:ascii="Times New Roman" w:hAnsi="Times New Roman"/>
                <w:sz w:val="20"/>
              </w:rPr>
              <w:t>Bransjepraksis (D-05)</w:t>
            </w:r>
          </w:p>
        </w:tc>
      </w:tr>
      <w:tr>
        <w:tc>
          <w:tcPr>
            <w:tcW w:type="dxa" w:w="2923"/>
          </w:tcPr>
          <w:p>
            <w:r/>
            <w:r>
              <w:rPr>
                <w:rFonts w:ascii="Times New Roman" w:hAnsi="Times New Roman"/>
                <w:sz w:val="20"/>
              </w:rPr>
              <w:t>EOQ-terskel τ_f</w:t>
            </w:r>
          </w:p>
        </w:tc>
        <w:tc>
          <w:tcPr>
            <w:tcW w:type="dxa" w:w="2923"/>
          </w:tcPr>
          <w:p>
            <w:r/>
            <w:r>
              <w:rPr>
                <w:rFonts w:ascii="Times New Roman" w:hAnsi="Times New Roman"/>
                <w:sz w:val="20"/>
              </w:rPr>
              <w:t>1,5 (FREQ_AVVIK &gt; 150 %)</w:t>
            </w:r>
          </w:p>
        </w:tc>
        <w:tc>
          <w:tcPr>
            <w:tcW w:type="dxa" w:w="2923"/>
          </w:tcPr>
          <w:p>
            <w:r/>
            <w:r>
              <w:rPr>
                <w:rFonts w:ascii="Times New Roman" w:hAnsi="Times New Roman"/>
                <w:sz w:val="20"/>
              </w:rPr>
              <w:t>Operasjonelt vesentlig avvik</w:t>
            </w:r>
          </w:p>
        </w:tc>
      </w:tr>
      <w:tr>
        <w:tc>
          <w:tcPr>
            <w:tcW w:type="dxa" w:w="2923"/>
          </w:tcPr>
          <w:p>
            <w:r/>
            <w:r>
              <w:rPr>
                <w:rFonts w:ascii="Times New Roman" w:hAnsi="Times New Roman"/>
                <w:sz w:val="20"/>
              </w:rPr>
              <w:t>K-means K-søk</w:t>
            </w:r>
          </w:p>
        </w:tc>
        <w:tc>
          <w:tcPr>
            <w:tcW w:type="dxa" w:w="2923"/>
          </w:tcPr>
          <w:p>
            <w:r/>
            <w:r>
              <w:rPr>
                <w:rFonts w:ascii="Times New Roman" w:hAnsi="Times New Roman"/>
                <w:sz w:val="20"/>
              </w:rPr>
              <w:t>K ∈ {2, 3, 4, 5, 6, 7}</w:t>
            </w:r>
          </w:p>
        </w:tc>
        <w:tc>
          <w:tcPr>
            <w:tcW w:type="dxa" w:w="2923"/>
          </w:tcPr>
          <w:p>
            <w:r/>
            <w:r>
              <w:rPr>
                <w:rFonts w:ascii="Times New Roman" w:hAnsi="Times New Roman"/>
                <w:sz w:val="20"/>
              </w:rPr>
              <w:t>Silhouette-optimering</w:t>
            </w:r>
          </w:p>
        </w:tc>
      </w:tr>
      <w:tr>
        <w:tc>
          <w:tcPr>
            <w:tcW w:type="dxa" w:w="2923"/>
          </w:tcPr>
          <w:p>
            <w:r/>
            <w:r>
              <w:rPr>
                <w:rFonts w:ascii="Times New Roman" w:hAnsi="Times New Roman"/>
                <w:sz w:val="20"/>
              </w:rPr>
              <w:t>K-means n_init</w:t>
            </w:r>
          </w:p>
        </w:tc>
        <w:tc>
          <w:tcPr>
            <w:tcW w:type="dxa" w:w="2923"/>
          </w:tcPr>
          <w:p>
            <w:r/>
            <w:r>
              <w:rPr>
                <w:rFonts w:ascii="Times New Roman" w:hAnsi="Times New Roman"/>
                <w:sz w:val="20"/>
              </w:rPr>
              <w:t>50</w:t>
            </w:r>
          </w:p>
        </w:tc>
        <w:tc>
          <w:tcPr>
            <w:tcW w:type="dxa" w:w="2923"/>
          </w:tcPr>
          <w:p>
            <w:r/>
            <w:r>
              <w:rPr>
                <w:rFonts w:ascii="Times New Roman" w:hAnsi="Times New Roman"/>
                <w:sz w:val="20"/>
              </w:rPr>
              <w:t>Robust initialisering</w:t>
            </w:r>
          </w:p>
        </w:tc>
      </w:tr>
      <w:tr>
        <w:tc>
          <w:tcPr>
            <w:tcW w:type="dxa" w:w="2923"/>
          </w:tcPr>
          <w:p>
            <w:r/>
            <w:r>
              <w:rPr>
                <w:rFonts w:ascii="Times New Roman" w:hAnsi="Times New Roman"/>
                <w:sz w:val="20"/>
              </w:rPr>
              <w:t>Random state</w:t>
            </w:r>
          </w:p>
        </w:tc>
        <w:tc>
          <w:tcPr>
            <w:tcW w:type="dxa" w:w="2923"/>
          </w:tcPr>
          <w:p>
            <w:r/>
            <w:r>
              <w:rPr>
                <w:rFonts w:ascii="Times New Roman" w:hAnsi="Times New Roman"/>
                <w:sz w:val="20"/>
              </w:rPr>
              <w:t>42</w:t>
            </w:r>
          </w:p>
        </w:tc>
        <w:tc>
          <w:tcPr>
            <w:tcW w:type="dxa" w:w="2923"/>
          </w:tcPr>
          <w:p>
            <w:r/>
            <w:r>
              <w:rPr>
                <w:rFonts w:ascii="Times New Roman" w:hAnsi="Times New Roman"/>
                <w:sz w:val="20"/>
              </w:rPr>
              <w:t>Reproduserbarhet</w:t>
            </w:r>
          </w:p>
        </w:tc>
      </w:tr>
      <w:tr>
        <w:tc>
          <w:tcPr>
            <w:tcW w:type="dxa" w:w="2923"/>
          </w:tcPr>
          <w:p>
            <w:r/>
            <w:r>
              <w:rPr>
                <w:rFonts w:ascii="Times New Roman" w:hAnsi="Times New Roman"/>
                <w:sz w:val="20"/>
              </w:rPr>
              <w:t>Train/test split</w:t>
            </w:r>
          </w:p>
        </w:tc>
        <w:tc>
          <w:tcPr>
            <w:tcW w:type="dxa" w:w="2923"/>
          </w:tcPr>
          <w:p>
            <w:r/>
            <w:r>
              <w:rPr>
                <w:rFonts w:ascii="Times New Roman" w:hAnsi="Times New Roman"/>
                <w:sz w:val="20"/>
              </w:rPr>
              <w:t>80/20</w:t>
            </w:r>
          </w:p>
        </w:tc>
        <w:tc>
          <w:tcPr>
            <w:tcW w:type="dxa" w:w="2923"/>
          </w:tcPr>
          <w:p>
            <w:r/>
            <w:r>
              <w:rPr>
                <w:rFonts w:ascii="Times New Roman" w:hAnsi="Times New Roman"/>
                <w:sz w:val="20"/>
              </w:rPr>
              <w:t>Standard validering</w:t>
            </w:r>
          </w:p>
        </w:tc>
      </w:tr>
    </w:tbl>
    <w:p>
      <w:pPr>
        <w:spacing w:line="360" w:lineRule="auto"/>
      </w:pPr>
      <w:r>
        <w:rPr>
          <w:rFonts w:ascii="Times New Roman" w:hAnsi="Times New Roman" w:cs="Times New Roman"/>
          <w:sz w:val="24"/>
        </w:rPr>
        <w:t>Grensene 80 % og 95 % er i tråd med den klassiske Pareto-inndelingen og er konsistente med anbefalingene i van Kampen et al. (2012). Sorteringen og kumulative beregningene er implementert med pandas (McKinney, 2010), og ingen manuell justering av enkeltartikler er foretatt.</w:t>
      </w:r>
    </w:p>
    <w:p>
      <w:pPr>
        <w:pStyle w:val="Overskrift2"/>
      </w:pPr>
      <w:r>
        <w:rPr>
          <w:rFonts w:ascii="Times New Roman" w:hAnsi="Times New Roman"/>
          <w:color w:val="000000"/>
          <w:sz w:val="32"/>
        </w:rPr>
        <w:t>5.2 XYZ-modellen</w:t>
      </w:r>
    </w:p>
    <w:p>
      <w:pPr>
        <w:spacing w:line="360" w:lineRule="auto"/>
      </w:pPr>
      <w:r>
        <w:rPr>
          <w:rFonts w:ascii="Times New Roman" w:hAnsi="Times New Roman" w:cs="Times New Roman"/>
          <w:sz w:val="24"/>
        </w:rPr>
        <w:t>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jc w:val="center"/>
      </w:pPr>
      <w:r>
        <w:rPr>
          <w:rFonts w:ascii="Cambria Math" w:hAnsi="Cambria Math"/>
          <w:i/>
          <w:sz w:val="22"/>
        </w:rPr>
        <w:t>\text{CV}_i = \frac{\sigma_i}{\mu_i}</w:t>
      </w:r>
    </w:p>
    <w:p>
      <w:pPr>
        <w:spacing w:line="360" w:lineRule="auto"/>
      </w:pPr>
      <w:r>
        <w:rPr>
          <w:rFonts w:ascii="Times New Roman" w:hAnsi="Times New Roman" w:cs="Times New Roman"/>
          <w:sz w:val="24"/>
        </w:rPr>
        <w:t>der $\sigma_i$ er standardavviket og $\mu_i$ er gjennomsnittet av månedlig forbruk for artikkel $i$,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spacing w:line="360" w:lineRule="auto"/>
      </w:pPr>
      <w:r>
        <w:rPr>
          <w:rFonts w:ascii="Times New Roman" w:hAnsi="Times New Roman" w:cs="Times New Roman"/>
          <w:sz w:val="24"/>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spacing w:line="360" w:lineRule="auto"/>
      </w:pPr>
      <w:r>
        <w:rPr>
          <w:rFonts w:ascii="Times New Roman" w:hAnsi="Times New Roman" w:cs="Times New Roman"/>
          <w:sz w:val="24"/>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pPr>
        <w:pStyle w:val="Overskrift2"/>
      </w:pPr>
      <w:r>
        <w:rPr>
          <w:rFonts w:ascii="Times New Roman" w:hAnsi="Times New Roman"/>
          <w:color w:val="000000"/>
          <w:sz w:val="32"/>
        </w:rPr>
        <w:t>5.3 EOQ-modellen og besparelsesformelen</w:t>
      </w:r>
    </w:p>
    <w:p>
      <w:pPr>
        <w:spacing w:line="360" w:lineRule="auto"/>
      </w:pPr>
      <w:r>
        <w:rPr>
          <w:rFonts w:ascii="Times New Roman" w:hAnsi="Times New Roman" w:cs="Times New Roman"/>
          <w:sz w:val="24"/>
        </w:rPr>
      </w:r>
      <w:r>
        <w:rPr>
          <w:rFonts w:ascii="Times New Roman" w:hAnsi="Times New Roman" w:cs="Times New Roman"/>
          <w:b/>
          <w:sz w:val="24"/>
        </w:rPr>
        <w:t>Wilson EOQ-modell.</w:t>
      </w:r>
      <w:r>
        <w:rPr>
          <w:rFonts w:ascii="Times New Roman" w:hAnsi="Times New Roman" w:cs="Times New Roman"/>
          <w:sz w:val="24"/>
        </w:rPr>
        <w:t xml:space="preserve"> Den klassiske Wilson-formelen gir den ordrekvantum $Q^*$ som minimerer den totale lagerholde- og ordrekostnaden per år (Hautaniemi &amp; Pirttilä, 1999):</w:t>
      </w:r>
    </w:p>
    <w:p>
      <w:pPr>
        <w:jc w:val="center"/>
      </w:pPr>
      <w:r>
        <w:rPr>
          <w:rFonts w:ascii="Cambria Math" w:hAnsi="Cambria Math"/>
          <w:i/>
          <w:sz w:val="22"/>
        </w:rPr>
        <w:t>Q^* = \sqrt{\frac{2 D S}{H}}</w:t>
      </w:r>
    </w:p>
    <w:p>
      <w:pPr>
        <w:spacing w:line="360" w:lineRule="auto"/>
      </w:pPr>
      <w:r>
        <w:rPr>
          <w:rFonts w:ascii="Times New Roman" w:hAnsi="Times New Roman" w:cs="Times New Roman"/>
          <w:sz w:val="24"/>
        </w:rPr>
        <w:t>der $D$ er årsforbruk (enheter/år), $S = 750$ NOK er ordrekostnad per bestilling og $H = h \times \text{UNIT\_PRICE}$ er holdekostnad per enhet per år, med holdesats $h = 20\,\%$. Den optimale ordrefrekvensen følger direkte:</w:t>
      </w:r>
    </w:p>
    <w:p>
      <w:pPr>
        <w:jc w:val="center"/>
      </w:pPr>
      <w:r>
        <w:rPr>
          <w:rFonts w:ascii="Cambria Math" w:hAnsi="Cambria Math"/>
          <w:i/>
          <w:sz w:val="22"/>
        </w:rPr>
        <w:t>f^* = \frac{D}{Q^*} = \sqrt{\frac{D H}{2 S}}</w:t>
      </w:r>
    </w:p>
    <w:p>
      <w:pPr>
        <w:spacing w:line="360" w:lineRule="auto"/>
      </w:pPr>
      <w:r>
        <w:rPr>
          <w:rFonts w:ascii="Times New Roman" w:hAnsi="Times New Roman" w:cs="Times New Roman"/>
          <w:sz w:val="24"/>
        </w:rPr>
      </w:r>
      <w:r>
        <w:rPr>
          <w:rFonts w:ascii="Times New Roman" w:hAnsi="Times New Roman" w:cs="Times New Roman"/>
          <w:b/>
          <w:sz w:val="24"/>
        </w:rPr>
        <w:t>Avviksformel.</w:t>
      </w:r>
      <w:r>
        <w:rPr>
          <w:rFonts w:ascii="Times New Roman" w:hAnsi="Times New Roman" w:cs="Times New Roman"/>
          <w:sz w:val="24"/>
        </w:rPr>
        <w:t xml:space="preserve"> Faktisk ordrefrekvens $f_{\text{obs}}$ er annualisert fra EKBE-data via D-08. Relativt frekvensavvik er definert som:</w:t>
      </w:r>
    </w:p>
    <w:p>
      <w:pPr>
        <w:jc w:val="center"/>
      </w:pPr>
      <w:r>
        <w:rPr>
          <w:rFonts w:ascii="Cambria Math" w:hAnsi="Cambria Math"/>
          <w:i/>
          <w:sz w:val="22"/>
        </w:rPr>
        <w:t>\text{FREQ\_AVVIK}_i = \frac{f_{\text{obs},i} - f^*_i}{f^*_i}</w:t>
      </w:r>
    </w:p>
    <w:p>
      <w:pPr>
        <w:spacing w:line="360" w:lineRule="auto"/>
      </w:pPr>
      <w:r>
        <w:rPr>
          <w:rFonts w:ascii="Times New Roman" w:hAnsi="Times New Roman" w:cs="Times New Roman"/>
          <w:sz w:val="24"/>
        </w:rPr>
        <w:t>En artikkel klassifiseres som FOR\_MANGE\_ORDRER dersom FREQ\_AVVIK $&gt; \tau_f = 1{,}5$, det vil si at faktisk ordrefrekvens er mer enn 50 % høyere enn EOQ-optimal frekvens. Terskelen $\tau_f$ er satt for å fokusere analysen på de artiklene der avviket er operasjonelt vesentlig, og ikke bare statistisk merkbart. Differansen i totalkostnad mellom faktisk og optimal drift for en artikkel er:</w:t>
      </w:r>
    </w:p>
    <w:p>
      <w:pPr>
        <w:jc w:val="center"/>
      </w:pPr>
      <w:r>
        <w:rPr>
          <w:rFonts w:ascii="Cambria Math" w:hAnsi="Cambria Math"/>
          <w:i/>
          <w:sz w:val="22"/>
        </w:rPr>
        <w:t>\Delta TC_i = TC(f_{\text{obs},i}) - TC(f^*_i)</w:t>
      </w:r>
    </w:p>
    <w:p>
      <w:pPr>
        <w:spacing w:line="360" w:lineRule="auto"/>
      </w:pPr>
      <w:r>
        <w:rPr>
          <w:rFonts w:ascii="Times New Roman" w:hAnsi="Times New Roman" w:cs="Times New Roman"/>
          <w:sz w:val="24"/>
        </w:rPr>
        <w:t>der totalkostnaden ved frekvens $f$ er:</w:t>
      </w:r>
    </w:p>
    <w:p>
      <w:pPr>
        <w:jc w:val="center"/>
      </w:pPr>
      <w:r>
        <w:rPr>
          <w:rFonts w:ascii="Cambria Math" w:hAnsi="Cambria Math"/>
          <w:i/>
          <w:sz w:val="22"/>
        </w:rPr>
        <w:t>TC(f) = f \cdot S + \frac{D}{2f} \cdot H</w:t>
      </w:r>
    </w:p>
    <w:p>
      <w:pPr>
        <w:spacing w:line="360" w:lineRule="auto"/>
      </w:pPr>
      <w:r>
        <w:rPr>
          <w:rFonts w:ascii="Times New Roman" w:hAnsi="Times New Roman" w:cs="Times New Roman"/>
          <w:sz w:val="24"/>
        </w:rPr>
      </w:r>
      <w:r>
        <w:rPr>
          <w:rFonts w:ascii="Times New Roman" w:hAnsi="Times New Roman" w:cs="Times New Roman"/>
          <w:b/>
          <w:sz w:val="24"/>
        </w:rPr>
        <w:t>Parametervurdering.</w:t>
      </w:r>
      <w:r>
        <w:rPr>
          <w:rFonts w:ascii="Times New Roman" w:hAnsi="Times New Roman" w:cs="Times New Roman"/>
          <w:sz w:val="24"/>
        </w:rPr>
        <w:t xml:space="preserve"> Parametervalgene S = 750 kr og h = 20 % er ikke kalibrert mot observerte virksomhetsdata ved Helse Bergen, men er i tråd med verdier benyttet i tilsvarende sykehuslagerstudier (Kelle et al., 2012; Hautaniemi &amp; Pirttilä, 1999). Det er viktig å merke seg at parametervalg primært påvirker størrelsen på ΔTC, ikke </w:t>
      </w:r>
      <w:r>
        <w:rPr>
          <w:rFonts w:ascii="Times New Roman" w:hAnsi="Times New Roman" w:cs="Times New Roman"/>
          <w:i/>
          <w:sz w:val="24"/>
        </w:rPr>
        <w:t>hvem</w:t>
      </w:r>
      <w:r>
        <w:rPr>
          <w:rFonts w:ascii="Times New Roman" w:hAnsi="Times New Roman" w:cs="Times New Roman"/>
          <w:sz w:val="24"/>
        </w:rPr>
        <w:t xml:space="preserve"> som klassifiseres som FOR\_MANGE\_ORDRER: klassifiseringen er frekvensbasert (faktisk frekvens vs. EOQ-optimal frekvens) og robust overfor moderate endringer i S og h. En dobling av S til 1 500 kr øker EOQ-optimal batchstørrelse med faktor √2 ≈ 1,41 og reduserer optimal ordrefrekvens tilsvarende, men endrer ikke rangeringen av artikler med stor avviksgrad. Sensitivitetsanalysen i kapittel 7 håndterer parametervariasjon eksplisitt gjennom scenariomodellen.</w:t>
      </w:r>
    </w:p>
    <w:p>
      <w:pPr>
        <w:spacing w:line="360" w:lineRule="auto"/>
      </w:pPr>
      <w:r>
        <w:rPr>
          <w:rFonts w:ascii="Times New Roman" w:hAnsi="Times New Roman" w:cs="Times New Roman"/>
          <w:sz w:val="24"/>
        </w:rPr>
      </w:r>
      <w:r>
        <w:rPr>
          <w:rFonts w:ascii="Times New Roman" w:hAnsi="Times New Roman" w:cs="Times New Roman"/>
          <w:b/>
          <w:sz w:val="24"/>
        </w:rPr>
        <w:t>Besparelsesformel.</w:t>
      </w:r>
      <w:r>
        <w:rPr>
          <w:rFonts w:ascii="Times New Roman" w:hAnsi="Times New Roman" w:cs="Times New Roman"/>
          <w:sz w:val="24"/>
        </w:rPr>
        <w:t xml:space="preserve"> Besparelsesformelen estimerer den reduksjonen i totalkostnad som kan realiseres ved overføring til HVFS og konsolidering av ordrefrekvens mot EOQ-optimalt nivå. Formelen bygger direkte på $\Delta TC_i$:</w:t>
      </w:r>
    </w:p>
    <w:p>
      <w:pPr>
        <w:jc w:val="center"/>
      </w:pPr>
      <w:r>
        <w:rPr>
          <w:rFonts w:ascii="Cambria Math" w:hAnsi="Cambria Math"/>
          <w:i/>
          <w:sz w:val="22"/>
        </w:rPr>
        <w:t>B_{\text{HVFS}} = \sum_{i \in \text{OVERFØR}} \Delta TC_i \cdot g</w:t>
      </w:r>
    </w:p>
    <w:p>
      <w:pPr>
        <w:spacing w:line="360" w:lineRule="auto"/>
      </w:pPr>
      <w:r>
        <w:rPr>
          <w:rFonts w:ascii="Times New Roman" w:hAnsi="Times New Roman" w:cs="Times New Roman"/>
          <w:sz w:val="24"/>
        </w:rPr>
        <w:t xml:space="preserve">der $g$ er en gevinstrealiseringsgrad som reflekterer at ikke alle teoretiske besparelser lar seg realisere fullt ut i praksis — blant annet som følge av implementeringsfriksjon, endrede leverandøravtaler og SAP-parameterjusteringer. Tre scenarier er definert: worst case ($g = 50\,\%$), base case ($g = 75\,\%$) og best case ($g = 100\,\%$).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$\Delta TC_i$ modellerer kostnadsavviket fra suboptimal ordrefrekvens — en avvik som nettopp adresseres ved sentralisering til HVFS. Sensitivitetsanalysen i kapittel 7 undersøker robustheten av dette estimatet ved systematisk variasjon i $S$, $h$ og $g$.</w:t>
      </w:r>
    </w:p>
    <w:p>
      <w:pPr>
        <w:pStyle w:val="Overskrift2"/>
      </w:pPr>
      <w:r>
        <w:rPr>
          <w:rFonts w:ascii="Times New Roman" w:hAnsi="Times New Roman"/>
          <w:color w:val="000000"/>
          <w:sz w:val="32"/>
        </w:rPr>
        <w:t>5.4 K-means klyngemodellen</w:t>
      </w:r>
    </w:p>
    <w:p>
      <w:pPr>
        <w:spacing w:line="360" w:lineRule="auto"/>
      </w:pPr>
      <w:r>
        <w:rPr>
          <w:rFonts w:ascii="Times New Roman" w:hAnsi="Times New Roman" w:cs="Times New Roman"/>
          <w:sz w:val="24"/>
        </w:rPr>
        <w:t>K-means er en partisjonerende klyngealgoritme som deler et datasett med $N$ observasjoner inn i $K$ klynger ved å minimere intra-klynge varians (Srinivasan &amp; Moon, 1999). Algoritmen er iterativ: den initialiserer $K$ sentroider, tildeler hvert datapunkt til nærmeste sentroid, oppdaterer sentroider som klyngenes tyngdepunkter og gjentar til konvergens. Implementasjonen benytter scikit-learn (Pedregosa et al., 2011) med `n_init=50` og `max_iter=300` for robust initialisering.</w:t>
      </w:r>
    </w:p>
    <w:p>
      <w:pPr>
        <w:spacing w:line="360" w:lineRule="auto"/>
      </w:pPr>
      <w:r>
        <w:rPr>
          <w:rFonts w:ascii="Times New Roman" w:hAnsi="Times New Roman" w:cs="Times New Roman"/>
          <w:sz w:val="24"/>
        </w:rPr>
      </w:r>
      <w:r>
        <w:rPr>
          <w:rFonts w:ascii="Times New Roman" w:hAnsi="Times New Roman" w:cs="Times New Roman"/>
          <w:b/>
          <w:sz w:val="24"/>
        </w:rPr>
        <w:t>Featurevektor.</w:t>
      </w:r>
      <w:r>
        <w:rPr>
          <w:rFonts w:ascii="Times New Roman" w:hAnsi="Times New Roman" w:cs="Times New Roman"/>
          <w:sz w:val="24"/>
        </w:rPr>
        <w:t xml:space="preserve"> Hver artikkel representeres av en tredimensjonal featurevektor:</w:t>
      </w:r>
    </w:p>
    <w:p>
      <w:pPr>
        <w:jc w:val="center"/>
      </w:pPr>
      <w:r>
        <w:rPr>
          <w:rFonts w:ascii="Cambria Math" w:hAnsi="Cambria Math"/>
          <w:i/>
          <w:sz w:val="22"/>
        </w:rPr>
        <w:t>\mathbf{x}_i = \bigl[\, z(\ln \text{CV}_i),\; z(\ln(v_i + 1)),\; z(\ln(|\Delta TC_i| + 1)) \,\bigr]</w:t>
      </w:r>
    </w:p>
    <w:p>
      <w:pPr>
        <w:spacing w:line="360" w:lineRule="auto"/>
      </w:pPr>
      <w:r>
        <w:rPr>
          <w:rFonts w:ascii="Times New Roman" w:hAnsi="Times New Roman" w:cs="Times New Roman"/>
          <w:sz w:val="24"/>
        </w:rPr>
        <w:t>der $z(\cdot)$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$|\Delta TC_i|$ benyttes fordi det er størrelsen på EOQ-avviket som er relevant for klyngingen – ikke retningen. Konstantleddet $+1$ i logaritmen hindrer $\ln(0)$ for artikler med $\Delta TC = 0$.</w:t>
      </w:r>
    </w:p>
    <w:p>
      <w:pPr>
        <w:spacing w:line="360" w:lineRule="auto"/>
      </w:pPr>
      <w:r>
        <w:rPr>
          <w:rFonts w:ascii="Times New Roman" w:hAnsi="Times New Roman" w:cs="Times New Roman"/>
          <w:sz w:val="24"/>
        </w:rPr>
      </w:r>
      <w:r>
        <w:rPr>
          <w:rFonts w:ascii="Times New Roman" w:hAnsi="Times New Roman" w:cs="Times New Roman"/>
          <w:b/>
          <w:sz w:val="24"/>
        </w:rPr>
        <w:t>Trenings- og testprosedyre.</w:t>
      </w:r>
      <w:r>
        <w:rPr>
          <w:rFonts w:ascii="Times New Roman" w:hAnsi="Times New Roman" w:cs="Times New Roman"/>
          <w:sz w:val="24"/>
        </w:rPr>
        <w:t xml:space="preserve"> Datasettet deles i et treningssett (80 %, random\_state = 42) og et testsett (20 %). StandardScaler fittes utelukkende på treningsdataene og transformerer deretter begge sett; dette forhindrer datalekkasje fra testsettet til skaleringen. KMeans-modellen fittes likeledes kun på treningsdataene. Testsettet benyttes til å evaluere om klyngestrukturen er generaliserbar, det vil si at testpunktenes tildeling til treningsklynger gir en silhouette-score sammenlignbar med treningssettets.</w:t>
      </w:r>
    </w:p>
    <w:p>
      <w:pPr>
        <w:spacing w:line="360" w:lineRule="auto"/>
      </w:pPr>
      <w:r>
        <w:rPr>
          <w:rFonts w:ascii="Times New Roman" w:hAnsi="Times New Roman" w:cs="Times New Roman"/>
          <w:sz w:val="24"/>
        </w:rPr>
      </w:r>
      <w:r>
        <w:rPr>
          <w:rFonts w:ascii="Times New Roman" w:hAnsi="Times New Roman" w:cs="Times New Roman"/>
          <w:b/>
          <w:sz w:val="24"/>
        </w:rPr>
        <w:t>K-valg.</w:t>
      </w:r>
      <w:r>
        <w:rPr>
          <w:rFonts w:ascii="Times New Roman" w:hAnsi="Times New Roman" w:cs="Times New Roman"/>
          <w:sz w:val="24"/>
        </w:rPr>
        <w:t xml:space="preserve"> Antall klynger $K$ velges automatisk som den $K$-verdien i intervallet $[2, 7]$ som gir høyest gjennomsnittlig silhouette-score på treningsdataene. Silhouette-score $s_i$ for punkt $i$ er definert som:</w:t>
      </w:r>
    </w:p>
    <w:p>
      <w:pPr>
        <w:jc w:val="center"/>
      </w:pPr>
      <w:r>
        <w:rPr>
          <w:rFonts w:ascii="Cambria Math" w:hAnsi="Cambria Math"/>
          <w:i/>
          <w:sz w:val="22"/>
        </w:rPr>
        <w:t>s_i = \frac{b_i - a_i}{\max(a_i,\; b_i)}</w:t>
      </w:r>
    </w:p>
    <w:p>
      <w:pPr>
        <w:spacing w:line="360" w:lineRule="auto"/>
      </w:pPr>
      <w:r>
        <w:rPr>
          <w:rFonts w:ascii="Times New Roman" w:hAnsi="Times New Roman" w:cs="Times New Roman"/>
          <w:sz w:val="24"/>
        </w:rPr>
        <w:t>der $a_i$ er gjennomsnittlig intra-klyngeavstand og $b_i$ er gjennomsnittlig avstand til nærmeste naboklynge. Score nær 1 indikerer tydelig klyngetilhørighet; score nær 0 indikerer overlapp; negativ score indikerer feil klynge. Scores over 0,3 regnes som akseptable for eksplorativ analyse (Ketkar &amp; Vaidya, 2014). Silhouette beregnes separat for trenings- og testdata; et lavere testresultat enn treningsresultat er normalt, men et vesentlig fall vil indikere overfit.</w:t>
      </w:r>
    </w:p>
    <w:p>
      <w:pPr>
        <w:spacing w:line="360" w:lineRule="auto"/>
      </w:pPr>
      <w:r>
        <w:rPr>
          <w:rFonts w:ascii="Times New Roman" w:hAnsi="Times New Roman" w:cs="Times New Roman"/>
          <w:sz w:val="24"/>
        </w:rPr>
      </w:r>
      <w:r>
        <w:rPr>
          <w:rFonts w:ascii="Times New Roman" w:hAnsi="Times New Roman" w:cs="Times New Roman"/>
          <w:b/>
          <w:sz w:val="24"/>
        </w:rPr>
        <w:t>K\_OVERFØR-klyngen.</w:t>
      </w:r>
      <w:r>
        <w:rPr>
          <w:rFonts w:ascii="Times New Roman" w:hAnsi="Times New Roman" w:cs="Times New Roman"/>
          <w:sz w:val="24"/>
        </w:rPr>
        <w:t xml:space="preserve"> Etter kjøring identifiseres én klynge som HVFS-overføringsklynge basert på en kombinasjon av lav CV (stabilt forbruk), høy artikkelverdi og høyt positivt $\Delta TC$ (mange unødvendige ordrer). Denne klyngen inngår som ett av inngangssignalene i regelmotoren beskrevet nedenfor.</w:t>
      </w:r>
    </w:p>
    <w:p>
      <w:pPr>
        <w:pStyle w:val="Overskrift2"/>
      </w:pPr>
      <w:r>
        <w:rPr>
          <w:rFonts w:ascii="Times New Roman" w:hAnsi="Times New Roman"/>
          <w:color w:val="000000"/>
          <w:sz w:val="32"/>
        </w:rPr>
        <w:t>5.5 Regelmotor</w:t>
      </w:r>
    </w:p>
    <w:p>
      <w:pPr>
        <w:spacing w:line="360" w:lineRule="auto"/>
      </w:pPr>
      <w:r>
        <w:rPr>
          <w:rFonts w:ascii="Times New Roman" w:hAnsi="Times New Roman" w:cs="Times New Roman"/>
          <w:sz w:val="24"/>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r>
        <w:rPr>
          <w:rFonts w:ascii="Times New Roman" w:hAnsi="Times New Roman"/>
          <w:i/>
          <w:sz w:val="20"/>
        </w:rPr>
        <w:t>Tabell 7. Regelmotor: 8 beslutningsregler i prioritert rekkefølge.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Regel</w:t>
            </w:r>
          </w:p>
        </w:tc>
        <w:tc>
          <w:tcPr>
            <w:tcW w:type="dxa" w:w="2192"/>
            <w:shd w:fill="D9E2F3" w:val="clear"/>
          </w:tcPr>
          <w:p>
            <w:r/>
            <w:r>
              <w:rPr>
                <w:rFonts w:ascii="Times New Roman" w:hAnsi="Times New Roman"/>
                <w:b/>
                <w:sz w:val="20"/>
              </w:rPr>
              <w:t>Betingelse</w:t>
            </w:r>
          </w:p>
        </w:tc>
        <w:tc>
          <w:tcPr>
            <w:tcW w:type="dxa" w:w="2192"/>
            <w:shd w:fill="D9E2F3" w:val="clear"/>
          </w:tcPr>
          <w:p>
            <w:r/>
            <w:r>
              <w:rPr>
                <w:rFonts w:ascii="Times New Roman" w:hAnsi="Times New Roman"/>
                <w:b/>
                <w:sz w:val="20"/>
              </w:rPr>
              <w:t>Anbefaling</w:t>
            </w:r>
          </w:p>
        </w:tc>
        <w:tc>
          <w:tcPr>
            <w:tcW w:type="dxa" w:w="2192"/>
            <w:shd w:fill="D9E2F3" w:val="clear"/>
          </w:tcPr>
          <w:p>
            <w:r/>
            <w:r>
              <w:rPr>
                <w:rFonts w:ascii="Times New Roman" w:hAnsi="Times New Roman"/>
                <w:b/>
                <w:sz w:val="20"/>
              </w:rPr>
              <w:t>Logikk</w:t>
            </w:r>
          </w:p>
        </w:tc>
      </w:tr>
      <w:tr>
        <w:tc>
          <w:tcPr>
            <w:tcW w:type="dxa" w:w="2192"/>
          </w:tcPr>
          <w:p>
            <w:r/>
            <w:r>
              <w:rPr>
                <w:rFonts w:ascii="Times New Roman" w:hAnsi="Times New Roman"/>
                <w:sz w:val="20"/>
              </w:rPr>
              <w:t>R1</w:t>
            </w:r>
          </w:p>
        </w:tc>
        <w:tc>
          <w:tcPr>
            <w:tcW w:type="dxa" w:w="2192"/>
          </w:tcPr>
          <w:p>
            <w:r/>
            <w:r>
              <w:rPr>
                <w:rFonts w:ascii="Times New Roman" w:hAnsi="Times New Roman"/>
                <w:sz w:val="20"/>
              </w:rPr>
              <w:t>XYZ = Z</w:t>
            </w:r>
          </w:p>
        </w:tc>
        <w:tc>
          <w:tcPr>
            <w:tcW w:type="dxa" w:w="2192"/>
          </w:tcPr>
          <w:p>
            <w:r/>
            <w:r>
              <w:rPr>
                <w:rFonts w:ascii="Times New Roman" w:hAnsi="Times New Roman"/>
                <w:sz w:val="20"/>
              </w:rPr>
              <w:t>BEHOLD_LOKALT</w:t>
            </w:r>
          </w:p>
        </w:tc>
        <w:tc>
          <w:tcPr>
            <w:tcW w:type="dxa" w:w="2192"/>
          </w:tcPr>
          <w:p>
            <w:r/>
            <w:r>
              <w:rPr>
                <w:rFonts w:ascii="Times New Roman" w:hAnsi="Times New Roman"/>
                <w:sz w:val="20"/>
              </w:rPr>
              <w:t>Uforutsigbart forbruk → uegnet for APL</w:t>
            </w:r>
          </w:p>
        </w:tc>
      </w:tr>
      <w:tr>
        <w:tc>
          <w:tcPr>
            <w:tcW w:type="dxa" w:w="2192"/>
          </w:tcPr>
          <w:p>
            <w:r/>
            <w:r>
              <w:rPr>
                <w:rFonts w:ascii="Times New Roman" w:hAnsi="Times New Roman"/>
                <w:sz w:val="20"/>
              </w:rPr>
              <w:t>R2</w:t>
            </w:r>
          </w:p>
        </w:tc>
        <w:tc>
          <w:tcPr>
            <w:tcW w:type="dxa" w:w="2192"/>
          </w:tcPr>
          <w:p>
            <w:r/>
            <w:r>
              <w:rPr>
                <w:rFonts w:ascii="Times New Roman" w:hAnsi="Times New Roman"/>
                <w:sz w:val="20"/>
              </w:rPr>
              <w:t>ABC = C og XYZ = Y</w:t>
            </w:r>
          </w:p>
        </w:tc>
        <w:tc>
          <w:tcPr>
            <w:tcW w:type="dxa" w:w="2192"/>
          </w:tcPr>
          <w:p>
            <w:r/>
            <w:r>
              <w:rPr>
                <w:rFonts w:ascii="Times New Roman" w:hAnsi="Times New Roman"/>
                <w:sz w:val="20"/>
              </w:rPr>
              <w:t>BEHOLD_LOKALT</w:t>
            </w:r>
          </w:p>
        </w:tc>
        <w:tc>
          <w:tcPr>
            <w:tcW w:type="dxa" w:w="2192"/>
          </w:tcPr>
          <w:p>
            <w:r/>
            <w:r>
              <w:rPr>
                <w:rFonts w:ascii="Times New Roman" w:hAnsi="Times New Roman"/>
                <w:sz w:val="20"/>
              </w:rPr>
              <w:t>Lav verdi + moderat variasjon</w:t>
            </w:r>
          </w:p>
        </w:tc>
      </w:tr>
      <w:tr>
        <w:tc>
          <w:tcPr>
            <w:tcW w:type="dxa" w:w="2192"/>
          </w:tcPr>
          <w:p>
            <w:r/>
            <w:r>
              <w:rPr>
                <w:rFonts w:ascii="Times New Roman" w:hAnsi="Times New Roman"/>
                <w:sz w:val="20"/>
              </w:rPr>
              <w:t>R3</w:t>
            </w:r>
          </w:p>
        </w:tc>
        <w:tc>
          <w:tcPr>
            <w:tcW w:type="dxa" w:w="2192"/>
          </w:tcPr>
          <w:p>
            <w:r/>
            <w:r>
              <w:rPr>
                <w:rFonts w:ascii="Times New Roman" w:hAnsi="Times New Roman"/>
                <w:sz w:val="20"/>
              </w:rPr>
              <w:t>ABC ∈ {A, B} og XYZ = X og EOQ = FOR_MANGE</w:t>
            </w:r>
          </w:p>
        </w:tc>
        <w:tc>
          <w:tcPr>
            <w:tcW w:type="dxa" w:w="2192"/>
          </w:tcPr>
          <w:p>
            <w:r/>
            <w:r>
              <w:rPr>
                <w:rFonts w:ascii="Times New Roman" w:hAnsi="Times New Roman"/>
                <w:sz w:val="20"/>
              </w:rPr>
              <w:t>OVERFØR_HVFS</w:t>
            </w:r>
          </w:p>
        </w:tc>
        <w:tc>
          <w:tcPr>
            <w:tcW w:type="dxa" w:w="2192"/>
          </w:tcPr>
          <w:p>
            <w:r/>
            <w:r>
              <w:rPr>
                <w:rFonts w:ascii="Times New Roman" w:hAnsi="Times New Roman"/>
                <w:sz w:val="20"/>
              </w:rPr>
              <w:t>Sterkeste signal: høy verdi, stabilt, overbestilt</w:t>
            </w:r>
          </w:p>
        </w:tc>
      </w:tr>
      <w:tr>
        <w:tc>
          <w:tcPr>
            <w:tcW w:type="dxa" w:w="2192"/>
          </w:tcPr>
          <w:p>
            <w:r/>
            <w:r>
              <w:rPr>
                <w:rFonts w:ascii="Times New Roman" w:hAnsi="Times New Roman"/>
                <w:sz w:val="20"/>
              </w:rPr>
              <w:t>R4</w:t>
            </w:r>
          </w:p>
        </w:tc>
        <w:tc>
          <w:tcPr>
            <w:tcW w:type="dxa" w:w="2192"/>
          </w:tcPr>
          <w:p>
            <w:r/>
            <w:r>
              <w:rPr>
                <w:rFonts w:ascii="Times New Roman" w:hAnsi="Times New Roman"/>
                <w:sz w:val="20"/>
              </w:rPr>
              <w:t>ABC ∈ {A, B} og XYZ = X og K_OVERFØR</w:t>
            </w:r>
          </w:p>
        </w:tc>
        <w:tc>
          <w:tcPr>
            <w:tcW w:type="dxa" w:w="2192"/>
          </w:tcPr>
          <w:p>
            <w:r/>
            <w:r>
              <w:rPr>
                <w:rFonts w:ascii="Times New Roman" w:hAnsi="Times New Roman"/>
                <w:sz w:val="20"/>
              </w:rPr>
              <w:t>OVERFØR_HVFS</w:t>
            </w:r>
          </w:p>
        </w:tc>
        <w:tc>
          <w:tcPr>
            <w:tcW w:type="dxa" w:w="2192"/>
          </w:tcPr>
          <w:p>
            <w:r/>
            <w:r>
              <w:rPr>
                <w:rFonts w:ascii="Times New Roman" w:hAnsi="Times New Roman"/>
                <w:sz w:val="20"/>
              </w:rPr>
              <w:t>Høy verdi, stabilt, klyngeprofil bekrefter</w:t>
            </w:r>
          </w:p>
        </w:tc>
      </w:tr>
      <w:tr>
        <w:tc>
          <w:tcPr>
            <w:tcW w:type="dxa" w:w="2192"/>
          </w:tcPr>
          <w:p>
            <w:r/>
            <w:r>
              <w:rPr>
                <w:rFonts w:ascii="Times New Roman" w:hAnsi="Times New Roman"/>
                <w:sz w:val="20"/>
              </w:rPr>
              <w:t>R5</w:t>
            </w:r>
          </w:p>
        </w:tc>
        <w:tc>
          <w:tcPr>
            <w:tcW w:type="dxa" w:w="2192"/>
          </w:tcPr>
          <w:p>
            <w:r/>
            <w:r>
              <w:rPr>
                <w:rFonts w:ascii="Times New Roman" w:hAnsi="Times New Roman"/>
                <w:sz w:val="20"/>
              </w:rPr>
              <w:t>ABC ∈ {A, B} og XYZ = Y og K_OVERFØR</w:t>
            </w:r>
          </w:p>
        </w:tc>
        <w:tc>
          <w:tcPr>
            <w:tcW w:type="dxa" w:w="2192"/>
          </w:tcPr>
          <w:p>
            <w:r/>
            <w:r>
              <w:rPr>
                <w:rFonts w:ascii="Times New Roman" w:hAnsi="Times New Roman"/>
                <w:sz w:val="20"/>
              </w:rPr>
              <w:t>OVERFØR_HVFS</w:t>
            </w:r>
          </w:p>
        </w:tc>
        <w:tc>
          <w:tcPr>
            <w:tcW w:type="dxa" w:w="2192"/>
          </w:tcPr>
          <w:p>
            <w:r/>
            <w:r>
              <w:rPr>
                <w:rFonts w:ascii="Times New Roman" w:hAnsi="Times New Roman"/>
                <w:sz w:val="20"/>
              </w:rPr>
              <w:t>Høy verdi, moderat variasjon, klyngeprofil bekrefter</w:t>
            </w:r>
          </w:p>
        </w:tc>
      </w:tr>
      <w:tr>
        <w:tc>
          <w:tcPr>
            <w:tcW w:type="dxa" w:w="2192"/>
          </w:tcPr>
          <w:p>
            <w:r/>
            <w:r>
              <w:rPr>
                <w:rFonts w:ascii="Times New Roman" w:hAnsi="Times New Roman"/>
                <w:sz w:val="20"/>
              </w:rPr>
              <w:t>R6</w:t>
            </w:r>
          </w:p>
        </w:tc>
        <w:tc>
          <w:tcPr>
            <w:tcW w:type="dxa" w:w="2192"/>
          </w:tcPr>
          <w:p>
            <w:r/>
            <w:r>
              <w:rPr>
                <w:rFonts w:ascii="Times New Roman" w:hAnsi="Times New Roman"/>
                <w:sz w:val="20"/>
              </w:rPr>
              <w:t>ABC ∈ {A, B} og XYZ = X</w:t>
            </w:r>
          </w:p>
        </w:tc>
        <w:tc>
          <w:tcPr>
            <w:tcW w:type="dxa" w:w="2192"/>
          </w:tcPr>
          <w:p>
            <w:r/>
            <w:r>
              <w:rPr>
                <w:rFonts w:ascii="Times New Roman" w:hAnsi="Times New Roman"/>
                <w:sz w:val="20"/>
              </w:rPr>
              <w:t>TIL_VURDERING</w:t>
            </w:r>
          </w:p>
        </w:tc>
        <w:tc>
          <w:tcPr>
            <w:tcW w:type="dxa" w:w="2192"/>
          </w:tcPr>
          <w:p>
            <w:r/>
            <w:r>
              <w:rPr>
                <w:rFonts w:ascii="Times New Roman" w:hAnsi="Times New Roman"/>
                <w:sz w:val="20"/>
              </w:rPr>
              <w:t>Høy verdi, stabilt, men ikkje K_OVERFØR</w:t>
            </w:r>
          </w:p>
        </w:tc>
      </w:tr>
      <w:tr>
        <w:tc>
          <w:tcPr>
            <w:tcW w:type="dxa" w:w="2192"/>
          </w:tcPr>
          <w:p>
            <w:r/>
            <w:r>
              <w:rPr>
                <w:rFonts w:ascii="Times New Roman" w:hAnsi="Times New Roman"/>
                <w:sz w:val="20"/>
              </w:rPr>
              <w:t>R7</w:t>
            </w:r>
          </w:p>
        </w:tc>
        <w:tc>
          <w:tcPr>
            <w:tcW w:type="dxa" w:w="2192"/>
          </w:tcPr>
          <w:p>
            <w:r/>
            <w:r>
              <w:rPr>
                <w:rFonts w:ascii="Times New Roman" w:hAnsi="Times New Roman"/>
                <w:sz w:val="20"/>
              </w:rPr>
              <w:t>ABC ∈ {A, B} og XYZ = Y</w:t>
            </w:r>
          </w:p>
        </w:tc>
        <w:tc>
          <w:tcPr>
            <w:tcW w:type="dxa" w:w="2192"/>
          </w:tcPr>
          <w:p>
            <w:r/>
            <w:r>
              <w:rPr>
                <w:rFonts w:ascii="Times New Roman" w:hAnsi="Times New Roman"/>
                <w:sz w:val="20"/>
              </w:rPr>
              <w:t>TIL_VURDERING</w:t>
            </w:r>
          </w:p>
        </w:tc>
        <w:tc>
          <w:tcPr>
            <w:tcW w:type="dxa" w:w="2192"/>
          </w:tcPr>
          <w:p>
            <w:r/>
            <w:r>
              <w:rPr>
                <w:rFonts w:ascii="Times New Roman" w:hAnsi="Times New Roman"/>
                <w:sz w:val="20"/>
              </w:rPr>
              <w:t>Høy verdi, moderat variasjon, ikkje K_OVERFØR</w:t>
            </w:r>
          </w:p>
        </w:tc>
      </w:tr>
      <w:tr>
        <w:tc>
          <w:tcPr>
            <w:tcW w:type="dxa" w:w="2192"/>
          </w:tcPr>
          <w:p>
            <w:r/>
            <w:r>
              <w:rPr>
                <w:rFonts w:ascii="Times New Roman" w:hAnsi="Times New Roman"/>
                <w:sz w:val="20"/>
              </w:rPr>
              <w:t>R8</w:t>
            </w:r>
          </w:p>
        </w:tc>
        <w:tc>
          <w:tcPr>
            <w:tcW w:type="dxa" w:w="2192"/>
          </w:tcPr>
          <w:p>
            <w:r/>
            <w:r>
              <w:rPr>
                <w:rFonts w:ascii="Times New Roman" w:hAnsi="Times New Roman"/>
                <w:sz w:val="20"/>
              </w:rPr>
              <w:t>Ellers (inkl. C + X)</w:t>
            </w:r>
          </w:p>
        </w:tc>
        <w:tc>
          <w:tcPr>
            <w:tcW w:type="dxa" w:w="2192"/>
          </w:tcPr>
          <w:p>
            <w:r/>
            <w:r>
              <w:rPr>
                <w:rFonts w:ascii="Times New Roman" w:hAnsi="Times New Roman"/>
                <w:sz w:val="20"/>
              </w:rPr>
              <w:t>TIL_VURDERING</w:t>
            </w:r>
          </w:p>
        </w:tc>
        <w:tc>
          <w:tcPr>
            <w:tcW w:type="dxa" w:w="2192"/>
          </w:tcPr>
          <w:p>
            <w:r/>
            <w:r>
              <w:rPr>
                <w:rFonts w:ascii="Times New Roman" w:hAnsi="Times New Roman"/>
                <w:sz w:val="20"/>
              </w:rPr>
              <w:t>Uklart signalmønster eller lav verdi</w:t>
            </w:r>
          </w:p>
        </w:tc>
      </w:tr>
    </w:tbl>
    <w:p>
      <w:pPr>
        <w:spacing w:line="360" w:lineRule="auto"/>
      </w:pPr>
      <w:r>
        <w:rPr>
          <w:rFonts w:ascii="Times New Roman" w:hAnsi="Times New Roman" w:cs="Times New Roman"/>
          <w:sz w:val="24"/>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spacing w:line="360" w:lineRule="auto"/>
      </w:pPr>
      <w:r>
        <w:rPr>
          <w:rFonts w:ascii="Times New Roman" w:hAnsi="Times New Roman" w:cs="Times New Roman"/>
          <w:sz w:val="24"/>
        </w:rPr>
        <w:t>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Figuren nedenfor illustrerer regelmotorens beslutningsflyt.</w:t>
      </w:r>
    </w:p>
    <w:p>
      <w:r>
        <w:drawing>
          <wp:inline xmlns:a="http://schemas.openxmlformats.org/drawingml/2006/main" xmlns:pic="http://schemas.openxmlformats.org/drawingml/2006/picture">
            <wp:extent cx="5400000" cy="4265546"/>
            <wp:docPr id="7" name="Picture 7"/>
            <wp:cNvGraphicFramePr>
              <a:graphicFrameLocks noChangeAspect="1"/>
            </wp:cNvGraphicFramePr>
            <a:graphic>
              <a:graphicData uri="http://schemas.openxmlformats.org/drawingml/2006/picture">
                <pic:pic>
                  <pic:nvPicPr>
                    <pic:cNvPr id="0" name="Fig03_Regelmotor.png"/>
                    <pic:cNvPicPr/>
                  </pic:nvPicPr>
                  <pic:blipFill>
                    <a:blip r:embed="rId25"/>
                    <a:stretch>
                      <a:fillRect/>
                    </a:stretch>
                  </pic:blipFill>
                  <pic:spPr>
                    <a:xfrm>
                      <a:off x="0" y="0"/>
                      <a:ext cx="5400000" cy="4265546"/>
                    </a:xfrm>
                    <a:prstGeom prst="rect"/>
                  </pic:spPr>
                </pic:pic>
              </a:graphicData>
            </a:graphic>
          </wp:inline>
        </w:drawing>
      </w:r>
    </w:p>
    <w:p>
      <w:pPr>
        <w:jc w:val="center"/>
      </w:pPr>
      <w:r>
        <w:rPr>
          <w:rFonts w:ascii="Times New Roman" w:hAnsi="Times New Roman"/>
          <w:i/>
          <w:sz w:val="20"/>
        </w:rPr>
        <w:t>Figur 3. Regelmotor: sekvensiell beslutningsflyt for HVFS-anbefaling (R1–R8). Generert med støtte fra Claude (Anthropic, 2026).</w:t>
      </w:r>
    </w:p>
    <w:p>
      <w:pPr>
        <w:spacing w:line="360" w:lineRule="auto"/>
      </w:pPr>
      <w:r>
        <w:rPr>
          <w:rFonts w:ascii="Times New Roman" w:hAnsi="Times New Roman" w:cs="Times New Roman"/>
          <w:sz w:val="24"/>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w:t>
      </w:r>
    </w:p>
    <w:p>
      <w:pPr>
        <w:pStyle w:val="Overskrift1"/>
        <w:pageBreakBefore w:val="true"/>
      </w:pPr>
      <w:r>
        <w:rPr>
          <w:rFonts w:ascii="Times New Roman" w:hAnsi="Times New Roman"/>
          <w:color w:val="000000"/>
          <w:sz w:val="36"/>
        </w:rPr>
        <w:t>Kapittel 6 – Analyse</w:t>
      </w:r>
    </w:p>
    <w:p>
      <w:pPr>
        <w:pStyle w:val="Overskrift2"/>
      </w:pPr>
      <w:r>
        <w:rPr>
          <w:rFonts w:ascii="Times New Roman" w:hAnsi="Times New Roman"/>
          <w:color w:val="000000"/>
          <w:sz w:val="32"/>
        </w:rPr>
        <w:t>6.1 ABC-analyse av 709 artikler</w:t>
      </w:r>
    </w:p>
    <w:p>
      <w:pPr>
        <w:spacing w:line="360" w:lineRule="auto"/>
      </w:pPr>
      <w:r>
        <w:rPr>
          <w:rFonts w:ascii="Times New Roman" w:hAnsi="Times New Roman" w:cs="Times New Roman"/>
          <w:sz w:val="24"/>
        </w:rPr>
        <w:t>ABC-analysen ble gjennomført ved å sortere samtlige 709 aktive artikler i synkende rekkefølge etter beregnet årsverdi $v_i = D_i \times \text{UNIT\_PRICE}_i$, der $D_i$ er annualisert forbruk og UNIT\_PRICE$_i$ er PEINH-korrigert standardpris fra MBEW (beslutningene D-02 og D-03, avsnitt 4.3). For 505 av artiklene er $v_i$ basert direkte på EKPO-innkjøpsdata (ABC\_VALUE\_SOURCE = EKPO); for de resterende 204 er verdien beregnet fra MSEG-forbruk og enhetspris (ABC\_VALUE\_SOURCE = BEREGNET). Etter sortering ble kumulativ verdiandel CUM\_PCT beregnet som løpende sum av $v_i$ dividert på totalsum. Den samlede årsverdien for de 709 artiklene er beregnet til i overkant av 34 millioner kroner. Det er verdt å merke seg at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spacing w:line="360" w:lineRule="auto"/>
      </w:pPr>
      <w:r>
        <w:rPr>
          <w:rFonts w:ascii="Times New Roman" w:hAnsi="Times New Roman" w:cs="Times New Roman"/>
          <w:sz w:val="24"/>
        </w:rPr>
        <w:t>Pareto-grensene 80 % og 95 % ble deretter lagt på den kumulative kurven, som vist i Figur 4 nedenfor. Kurvens form – en bratt stigning tidlig etterfulgt av en lang flat hale – viser at verdikonsentrasjonen følger Pareto-mønsteret. Av de 709 artiklene fikk 704 en ABC-klasse (182 A, 184 B, 338 C); de resterende 5 artiklene har null beregnet verdi etter D-02/D-03 og kunne ikke ABC-rangeres — disse rapporteres i MANGLER\_DATA-kategorien. Endelig fordeling mellom A-, B- og C-artikler presenteres i Tabell 8 i kapittel 7.</w:t>
      </w:r>
    </w:p>
    <w:p>
      <w:r>
        <w:drawing>
          <wp:inline xmlns:a="http://schemas.openxmlformats.org/drawingml/2006/main" xmlns:pic="http://schemas.openxmlformats.org/drawingml/2006/picture">
            <wp:extent cx="5400000" cy="1761100"/>
            <wp:docPr id="8" name="Picture 8"/>
            <wp:cNvGraphicFramePr>
              <a:graphicFrameLocks noChangeAspect="1"/>
            </wp:cNvGraphicFramePr>
            <a:graphic>
              <a:graphicData uri="http://schemas.openxmlformats.org/drawingml/2006/picture">
                <pic:pic>
                  <pic:nvPicPr>
                    <pic:cNvPr id="0" name="Fig04_ABC_Pareto.png"/>
                    <pic:cNvPicPr/>
                  </pic:nvPicPr>
                  <pic:blipFill>
                    <a:blip r:embed="rId26"/>
                    <a:stretch>
                      <a:fillRect/>
                    </a:stretch>
                  </pic:blipFill>
                  <pic:spPr>
                    <a:xfrm>
                      <a:off x="0" y="0"/>
                      <a:ext cx="5400000" cy="1761100"/>
                    </a:xfrm>
                    <a:prstGeom prst="rect"/>
                  </pic:spPr>
                </pic:pic>
              </a:graphicData>
            </a:graphic>
          </wp:inline>
        </w:drawing>
      </w:r>
    </w:p>
    <w:p>
      <w:pPr>
        <w:jc w:val="center"/>
      </w:pPr>
      <w:r>
        <w:rPr>
          <w:rFonts w:ascii="Times New Roman" w:hAnsi="Times New Roman"/>
          <w:i/>
          <w:sz w:val="20"/>
        </w:rPr>
        <w:t>Figur 4. ABC Pareto-kurve: kumulativ verdiandel for 709 artikler rangert etter årsverdi, med grenser ved 80 % (A/B) og 95 % (B/C). Generert med støtte fra Claude (Anthropic, 2026).</w:t>
      </w:r>
    </w:p>
    <w:p>
      <w:pPr>
        <w:pStyle w:val="Overskrift2"/>
      </w:pPr>
      <w:r>
        <w:rPr>
          <w:rFonts w:ascii="Times New Roman" w:hAnsi="Times New Roman"/>
          <w:color w:val="000000"/>
          <w:sz w:val="32"/>
        </w:rPr>
        <w:t>6.2 XYZ-klassifisering</w:t>
      </w:r>
    </w:p>
    <w:p>
      <w:pPr>
        <w:spacing w:line="360" w:lineRule="auto"/>
      </w:pPr>
      <w:r>
        <w:rPr>
          <w:rFonts w:ascii="Times New Roman" w:hAnsi="Times New Roman" w:cs="Times New Roman"/>
          <w:sz w:val="24"/>
        </w:rPr>
        <w:t>XYZ-klassifiseringen tok utgangspunkt i månedlig MSEG-forbruk per artikkel over den 24 måneder lange analyseperioden, med bevegelsestypene 201 og 647. For hver artikkel ble variasjonskoeffisienten CV$_i = \sigma_i / \mu_i$ beregnet, der $\sigma_i$ er standardavviket og $\mu_i$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spacing w:line="360" w:lineRule="auto"/>
      </w:pPr>
      <w:r>
        <w:rPr>
          <w:rFonts w:ascii="Times New Roman" w:hAnsi="Times New Roman" w:cs="Times New Roman"/>
          <w:sz w:val="24"/>
        </w:rPr>
        <w:t>Etter beregning ble CV-grensene fra Tabell 6 (kap. 5) anvendt: X (CV &lt; 0,5), Y (0,5 ≤ CV &lt; 1,0) og Z (CV ≥ 1,0). XYZ-analysen ble deretter kryssvalidert mot SAP-feltet ZZXYZ, som representerer systemets eksisterende klassifisering. Samsvaret mellom beregnet og systemregistrert klasse ble kvantifisert som andelen av artikler der de to klassifiseringene er identiske; dette resultatet presenteres i kapittel 7. Det lave samsvaret som ble observert, bekrefter at ZZXYZ-feltet ikke er systematisk vedlikeholdt i takt med faktiske forbruksendringer, noe som motiverer bruken av CV-beregning som primær klassifiseringsmetode (beslutning D-04, avsnitt 4.3).</w:t>
      </w:r>
    </w:p>
    <w:p>
      <w:pPr>
        <w:spacing w:line="360" w:lineRule="auto"/>
      </w:pPr>
      <w:r>
        <w:rPr>
          <w:rFonts w:ascii="Times New Roman" w:hAnsi="Times New Roman" w:cs="Times New Roman"/>
          <w:sz w:val="24"/>
        </w:rPr>
        <w:t>ABC- og XYZ-klassifiseringene ble kombinert til en ni-felts kryssmatrise, som vist i Figur 5. Matrisen gir et øyeblikksbilde av populasjonens sammensetning langs de to dimensjonene og danner inngangsdataene for regelmotoren i avsnitt 6.5. Fullstendige celleanntall er gjengitt i Figur 5; univariate XYZ-fordelingar presenteres i Tabell 9 i kapittel 7.</w:t>
      </w:r>
    </w:p>
    <w:p>
      <w:r>
        <w:drawing>
          <wp:inline xmlns:a="http://schemas.openxmlformats.org/drawingml/2006/main" xmlns:pic="http://schemas.openxmlformats.org/drawingml/2006/picture">
            <wp:extent cx="5400000" cy="5216475"/>
            <wp:docPr id="9" name="Picture 9"/>
            <wp:cNvGraphicFramePr>
              <a:graphicFrameLocks noChangeAspect="1"/>
            </wp:cNvGraphicFramePr>
            <a:graphic>
              <a:graphicData uri="http://schemas.openxmlformats.org/drawingml/2006/picture">
                <pic:pic>
                  <pic:nvPicPr>
                    <pic:cNvPr id="0" name="Fig05_ABC_XYZ_Matrise.png"/>
                    <pic:cNvPicPr/>
                  </pic:nvPicPr>
                  <pic:blipFill>
                    <a:blip r:embed="rId27"/>
                    <a:stretch>
                      <a:fillRect/>
                    </a:stretch>
                  </pic:blipFill>
                  <pic:spPr>
                    <a:xfrm>
                      <a:off x="0" y="0"/>
                      <a:ext cx="5400000" cy="5216475"/>
                    </a:xfrm>
                    <a:prstGeom prst="rect"/>
                  </pic:spPr>
                </pic:pic>
              </a:graphicData>
            </a:graphic>
          </wp:inline>
        </w:drawing>
      </w:r>
    </w:p>
    <w:p>
      <w:pPr>
        <w:jc w:val="center"/>
      </w:pPr>
      <w:r>
        <w:rPr>
          <w:rFonts w:ascii="Times New Roman" w:hAnsi="Times New Roman"/>
          <w:i/>
          <w:sz w:val="20"/>
        </w:rPr>
        <w:t>Figur 5. ABC/XYZ-kryssmatrise: antall artikler per kombinasjon (709 artikler, WERKS 3300 / LGORT 3001). Generert med støtte fra Claude (Anthropic, 2026).</w:t>
      </w:r>
    </w:p>
    <w:p>
      <w:pPr>
        <w:spacing w:line="360" w:lineRule="auto"/>
      </w:pPr>
      <w:r>
        <w:rPr>
          <w:rFonts w:ascii="Times New Roman" w:hAnsi="Times New Roman" w:cs="Times New Roman"/>
          <w:sz w:val="24"/>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pPr>
        <w:pStyle w:val="Overskrift2"/>
      </w:pPr>
      <w:r>
        <w:rPr>
          <w:rFonts w:ascii="Times New Roman" w:hAnsi="Times New Roman"/>
          <w:color w:val="000000"/>
          <w:sz w:val="32"/>
        </w:rPr>
        <w:t>6.3 EOQ-avviksberegning</w:t>
      </w:r>
    </w:p>
    <w:p>
      <w:pPr>
        <w:spacing w:line="360" w:lineRule="auto"/>
      </w:pPr>
      <w:r>
        <w:rPr>
          <w:rFonts w:ascii="Times New Roman" w:hAnsi="Times New Roman" w:cs="Times New Roman"/>
          <w:sz w:val="24"/>
        </w:rPr>
        <w:t>EOQ-avviksanalysen ble gjennomført for alle artikler der tilstrekkelig data forelå for beregning av optimal ordrefrekvens $f^</w:t>
      </w:r>
      <w:r>
        <w:rPr>
          <w:rFonts w:ascii="Times New Roman" w:hAnsi="Times New Roman" w:cs="Times New Roman"/>
          <w:i/>
          <w:sz w:val="24"/>
        </w:rPr>
        <w:t>$, det vil si artikler med $D_i &gt; 0$, $\text{UNIT\_PRICE}_i &gt; 0$ og tilgjengelig LEAD\_TIME. Den optimale frekvensen $f^</w:t>
      </w:r>
      <w:r>
        <w:rPr>
          <w:rFonts w:ascii="Times New Roman" w:hAnsi="Times New Roman" w:cs="Times New Roman"/>
          <w:sz w:val="24"/>
        </w:rPr>
        <w:t xml:space="preserve"> = \sqrt{DH / 2S}$ ble beregnet med $S = 750$ NOK og $H = 0{,}20 \times \text{UNIT\_PRICE}_i$ som modellparametere (se Tabell 6, kap. 5). Faktisk ordrefrekvens $f_{\text{obs}}$ ble hentet fra EKBE og annualisert i henhold til beslutning D-08: ACTUAL\_FREQ = ORDER\_COUNT $\times$ (12/24).</w:t>
      </w:r>
    </w:p>
    <w:p>
      <w:pPr>
        <w:spacing w:line="360" w:lineRule="auto"/>
      </w:pPr>
      <w:r>
        <w:rPr>
          <w:rFonts w:ascii="Times New Roman" w:hAnsi="Times New Roman" w:cs="Times New Roman"/>
          <w:sz w:val="24"/>
        </w:rPr>
        <w:t>Det relative frekvensavviket FREQ\_AVVIK$_i = (f_{\text{obs},i} - f^</w:t>
      </w:r>
      <w:r>
        <w:rPr>
          <w:rFonts w:ascii="Times New Roman" w:hAnsi="Times New Roman" w:cs="Times New Roman"/>
          <w:i/>
          <w:sz w:val="24"/>
        </w:rPr>
        <w:t>_i) / f^</w:t>
      </w:r>
      <w:r>
        <w:rPr>
          <w:rFonts w:ascii="Times New Roman" w:hAnsi="Times New Roman" w:cs="Times New Roman"/>
          <w:sz w:val="24"/>
        </w:rPr>
        <w:t>_i$ ble beregnet per artikkel. Fordelingen av dette avviket er illustrert i Figur 6 nedenfor. Terskelen $\tau_f = 1{,}5$ ble lagt inn for å skille artikler med vesentlig overbestilling (FOR\_MANGE\_ORDRER) fra artikler innenfor akseptabelt avvik. I tillegg ble differansen i totalkostnad $\Delta TC_i = TC(f_{\text{obs}}) - TC(f^*)$ beregnet per artikkel, og summert til et samlet EOQ-avvikstall for hele populasjonen. Disse resultatene presenteres i sin helhet i Tabell 11 og avsnitt 7.3.</w:t>
      </w:r>
    </w:p>
    <w:p>
      <w:r>
        <w:drawing>
          <wp:inline xmlns:a="http://schemas.openxmlformats.org/drawingml/2006/main" xmlns:pic="http://schemas.openxmlformats.org/drawingml/2006/picture">
            <wp:extent cx="5400000" cy="2236624"/>
            <wp:docPr id="10" name="Picture 10"/>
            <wp:cNvGraphicFramePr>
              <a:graphicFrameLocks noChangeAspect="1"/>
            </wp:cNvGraphicFramePr>
            <a:graphic>
              <a:graphicData uri="http://schemas.openxmlformats.org/drawingml/2006/picture">
                <pic:pic>
                  <pic:nvPicPr>
                    <pic:cNvPr id="0" name="Fig06_EOQ_Avvik.png"/>
                    <pic:cNvPicPr/>
                  </pic:nvPicPr>
                  <pic:blipFill>
                    <a:blip r:embed="rId28"/>
                    <a:stretch>
                      <a:fillRect/>
                    </a:stretch>
                  </pic:blipFill>
                  <pic:spPr>
                    <a:xfrm>
                      <a:off x="0" y="0"/>
                      <a:ext cx="5400000" cy="2236624"/>
                    </a:xfrm>
                    <a:prstGeom prst="rect"/>
                  </pic:spPr>
                </pic:pic>
              </a:graphicData>
            </a:graphic>
          </wp:inline>
        </w:drawing>
      </w:r>
    </w:p>
    <w:p>
      <w:pPr>
        <w:jc w:val="center"/>
      </w:pPr>
      <w:r>
        <w:rPr>
          <w:rFonts w:ascii="Times New Roman" w:hAnsi="Times New Roman"/>
          <w:i/>
          <w:sz w:val="20"/>
        </w:rPr>
        <w:t>Figur 6. EOQ-avvik: relativ frekvensavvik (FREQ_AVVIK) for artikler med tilstrekkelige data, med terskel ved τ_f = 1,5. Generert med støtte fra Claude (Anthropic, 2026).</w:t>
      </w:r>
    </w:p>
    <w:p>
      <w:pPr>
        <w:spacing w:line="360" w:lineRule="auto"/>
      </w:pPr>
      <w:r>
        <w:rPr>
          <w:rFonts w:ascii="Times New Roman" w:hAnsi="Times New Roman" w:cs="Times New Roman"/>
          <w:sz w:val="24"/>
        </w:rPr>
        <w:t>Figur 6 viser at fordelingen er sterkt høyreskjev: majoriteten av artiklene med EOQ-data har et FREQ\_AVVIK over terskelen på 1,5. Artikler under terskelen («OK») opererer nær EOQ-optimalt nivå. For 222 av de 487 artiklene med EOQ-data mangler innkjøpshistorikk i EKBE for analyseperioden, noe som innebærer at faktisk ordrefrekvens er null; disse artiklene inngår i «OK»-kategorien da det ikke kan påvises overbestilling. Totale $\Delta TC$-summer presenteres i avsnitt 7.3.</w:t>
      </w:r>
    </w:p>
    <w:p>
      <w:pPr>
        <w:pStyle w:val="Overskrift2"/>
      </w:pPr>
      <w:r>
        <w:rPr>
          <w:rFonts w:ascii="Times New Roman" w:hAnsi="Times New Roman"/>
          <w:color w:val="000000"/>
          <w:sz w:val="32"/>
        </w:rPr>
        <w:t>6.4 K-means klyngeanalyse</w:t>
      </w:r>
    </w:p>
    <w:p>
      <w:pPr>
        <w:spacing w:line="360" w:lineRule="auto"/>
      </w:pPr>
      <w:r>
        <w:rPr>
          <w:rFonts w:ascii="Times New Roman" w:hAnsi="Times New Roman" w:cs="Times New Roman"/>
          <w:sz w:val="24"/>
        </w:rPr>
      </w:r>
      <w:r>
        <w:rPr>
          <w:rFonts w:ascii="Times New Roman" w:hAnsi="Times New Roman" w:cs="Times New Roman"/>
          <w:b/>
          <w:sz w:val="24"/>
        </w:rPr>
        <w:t>Dataklargjøring og splitting.</w:t>
      </w:r>
      <w:r>
        <w:rPr>
          <w:rFonts w:ascii="Times New Roman" w:hAnsi="Times New Roman" w:cs="Times New Roman"/>
          <w:sz w:val="24"/>
        </w:rPr>
        <w:t xml:space="preserve"> Featurevektoren $\mathbf{x}_i = [z(\ln \text{CV}_i),\; z(\ln(v_i+1)),\; z(\ln(|\Delta TC_i|+1))]$ ble konstruert for alle artikler med tilstrekkelig data. Log-transformasjonen ble påført før z-score-standardisering for å håndtere høyreskjevheten i de underliggende distribusjonene, som beskrevet i avsnitt 5.4. Datasettet ble delt i et treningssett (n = 389) og et testsett (n = 98) med `random_state=42`. StandardScaler ble fittet utelukkende på treningsdataene og deretter brukt til å transformere begge sett, slik at informasjon fra testsettet ikke lekker inn i skaleringen.</w:t>
      </w:r>
    </w:p>
    <w:p>
      <w:pPr>
        <w:spacing w:line="360" w:lineRule="auto"/>
      </w:pPr>
      <w:r>
        <w:rPr>
          <w:rFonts w:ascii="Times New Roman" w:hAnsi="Times New Roman" w:cs="Times New Roman"/>
          <w:sz w:val="24"/>
        </w:rPr>
      </w:r>
      <w:r>
        <w:rPr>
          <w:rFonts w:ascii="Times New Roman" w:hAnsi="Times New Roman" w:cs="Times New Roman"/>
          <w:b/>
          <w:sz w:val="24"/>
        </w:rPr>
        <w:t>K-valg via silhouette.</w:t>
      </w:r>
      <w:r>
        <w:rPr>
          <w:rFonts w:ascii="Times New Roman" w:hAnsi="Times New Roman" w:cs="Times New Roman"/>
          <w:sz w:val="24"/>
        </w:rPr>
        <w:t xml:space="preserve"> KMeans-modellen ble fittet for K = 2, 3, 4, 5, 6 og 7 på treningsdataene. For hvert K ble gjennomsnittlig silhouette-score beregnet. Figur 7 viser silhouette-profilen over K-søket.</w:t>
      </w:r>
    </w:p>
    <w:p>
      <w:r>
        <w:drawing>
          <wp:inline xmlns:a="http://schemas.openxmlformats.org/drawingml/2006/main" xmlns:pic="http://schemas.openxmlformats.org/drawingml/2006/picture">
            <wp:extent cx="5400000" cy="2130326"/>
            <wp:docPr id="11" name="Picture 11"/>
            <wp:cNvGraphicFramePr>
              <a:graphicFrameLocks noChangeAspect="1"/>
            </wp:cNvGraphicFramePr>
            <a:graphic>
              <a:graphicData uri="http://schemas.openxmlformats.org/drawingml/2006/picture">
                <pic:pic>
                  <pic:nvPicPr>
                    <pic:cNvPr id="0" name="Fig07_Silhouette.png"/>
                    <pic:cNvPicPr/>
                  </pic:nvPicPr>
                  <pic:blipFill>
                    <a:blip r:embed="rId29"/>
                    <a:stretch>
                      <a:fillRect/>
                    </a:stretch>
                  </pic:blipFill>
                  <pic:spPr>
                    <a:xfrm>
                      <a:off x="0" y="0"/>
                      <a:ext cx="5400000" cy="2130326"/>
                    </a:xfrm>
                    <a:prstGeom prst="rect"/>
                  </pic:spPr>
                </pic:pic>
              </a:graphicData>
            </a:graphic>
          </wp:inline>
        </w:drawing>
      </w:r>
    </w:p>
    <w:p>
      <w:pPr>
        <w:jc w:val="center"/>
      </w:pPr>
      <w:r>
        <w:rPr>
          <w:rFonts w:ascii="Times New Roman" w:hAnsi="Times New Roman"/>
          <w:i/>
          <w:sz w:val="20"/>
        </w:rPr>
        <w:t>Figur 7. Silhouette-score for K = 2–7 (treningsdata, n = 389): K = 3 gir høyest score (0,383). Generert med støtte fra Claude (Anthropic, 2026).</w:t>
      </w:r>
    </w:p>
    <w:p>
      <w:pPr>
        <w:spacing w:line="360" w:lineRule="auto"/>
      </w:pPr>
      <w:r>
        <w:rPr>
          <w:rFonts w:ascii="Times New Roman" w:hAnsi="Times New Roman" w:cs="Times New Roman"/>
          <w:sz w:val="24"/>
        </w:rPr>
        <w:t>K = 3 ga høyest silhouette-score på treningsdataene (0,383) og ble valgt som det endelige antallet klynger. For K = 2 var silhouette-scoren 0,362, og for K = 4 og oppover falt scoren monotont — noe som indikerer at tre klynger representerer den mest naturlige gruppestrukturen i featurerommet. Score over minstekravet på 0,3 indikerer en akseptabel klyngestruktur for eksplorativ analyse (Ketkar &amp; Vaidya, 2014). KMeans-modellen ble deretter trent endelig med K = 3 på treningsdataene, med `n_init=50` og `max_iter=300` for robust initialisering. Etter trening ble testdataene (n = 98) predikert til nærmeste sentroid, og silhouette-score ble beregnet separat for testsettet og sammenlignet med treningsresultatet som et mål på generaliserbarhet. Testsilhouetten (0,368) ligger tett opp til treningssilhouetten (0,383); differansen på 0,015 er godt innenfor det akseptable og gir tillit til at klyngestrukturen ikke er et artefakt av treningsdata alene.</w:t>
      </w:r>
    </w:p>
    <w:p>
      <w:pPr>
        <w:spacing w:line="360" w:lineRule="auto"/>
      </w:pPr>
      <w:r>
        <w:rPr>
          <w:rFonts w:ascii="Times New Roman" w:hAnsi="Times New Roman" w:cs="Times New Roman"/>
          <w:sz w:val="24"/>
        </w:rPr>
      </w:r>
      <w:r>
        <w:rPr>
          <w:rFonts w:ascii="Times New Roman" w:hAnsi="Times New Roman" w:cs="Times New Roman"/>
          <w:b/>
          <w:sz w:val="24"/>
        </w:rPr>
        <w:t>Klyngeprofiler.</w:t>
      </w:r>
      <w:r>
        <w:rPr>
          <w:rFonts w:ascii="Times New Roman" w:hAnsi="Times New Roman" w:cs="Times New Roman"/>
          <w:sz w:val="24"/>
        </w:rPr>
        <w:t xml:space="preserve"> Etter at KMeans-modellen var fittet på treningsdataene, ble samtlige 487 artikler med tilstrekkelig data predikert til én av de tre klyngene. Klyngene ble karakterisert langs de tre featuredimensjonene, og én klynge ble identifisert som K\_OVERFØR basert på kombinasjonen av lav CV (stabilt forbruksmønster), relativt høy artikkelverdi og høyt positivt $|\Delta TC|$ (mange unødvendige ordrer). Figur 8 visualiserer klyngestrukturen i et to-dimensjonalt projeksjon langs de to mest informative featurene.</w:t>
      </w:r>
    </w:p>
    <w:p>
      <w:r>
        <w:drawing>
          <wp:inline xmlns:a="http://schemas.openxmlformats.org/drawingml/2006/main" xmlns:pic="http://schemas.openxmlformats.org/drawingml/2006/picture">
            <wp:extent cx="5400000" cy="2303899"/>
            <wp:docPr id="12" name="Picture 12"/>
            <wp:cNvGraphicFramePr>
              <a:graphicFrameLocks noChangeAspect="1"/>
            </wp:cNvGraphicFramePr>
            <a:graphic>
              <a:graphicData uri="http://schemas.openxmlformats.org/drawingml/2006/picture">
                <pic:pic>
                  <pic:nvPicPr>
                    <pic:cNvPr id="0" name="Fig08_Kmeans_Klynger.png"/>
                    <pic:cNvPicPr/>
                  </pic:nvPicPr>
                  <pic:blipFill>
                    <a:blip r:embed="rId30"/>
                    <a:stretch>
                      <a:fillRect/>
                    </a:stretch>
                  </pic:blipFill>
                  <pic:spPr>
                    <a:xfrm>
                      <a:off x="0" y="0"/>
                      <a:ext cx="5400000" cy="2303899"/>
                    </a:xfrm>
                    <a:prstGeom prst="rect"/>
                  </pic:spPr>
                </pic:pic>
              </a:graphicData>
            </a:graphic>
          </wp:inline>
        </w:drawing>
      </w:r>
    </w:p>
    <w:p>
      <w:pPr>
        <w:jc w:val="center"/>
      </w:pPr>
      <w:r>
        <w:rPr>
          <w:rFonts w:ascii="Times New Roman" w:hAnsi="Times New Roman"/>
          <w:i/>
          <w:sz w:val="20"/>
        </w:rPr>
        <w:t>Figur 8. K-means klyngeresultat (K = 3): artikler plottet langs z(ln CV) og z(ln verdi), farge etter klynge. K_OVERFØR-klyngen er markert med stjerne (★). Generert med støtte fra Claude (Anthropic, 2026).</w:t>
      </w:r>
    </w:p>
    <w:p>
      <w:pPr>
        <w:spacing w:line="360" w:lineRule="auto"/>
      </w:pPr>
      <w:r>
        <w:rPr>
          <w:rFonts w:ascii="Times New Roman" w:hAnsi="Times New Roman" w:cs="Times New Roman"/>
          <w:sz w:val="24"/>
        </w:rPr>
        <w:t>Figur 8 viser at de tre klyngene er rimelig separert i feature-rommet, særlig K\_OVERFØR-klyngen (grønn), som skiller seg fra de øvrige ved sin kombinasjon av lav CV og høy verdi. For å tolke innholdet i hver klynge viser Figur 9 gjennomsnittlig standardisert verdi per feature for de tre klyngene.</w:t>
      </w:r>
    </w:p>
    <w:p>
      <w:r>
        <w:drawing>
          <wp:inline xmlns:a="http://schemas.openxmlformats.org/drawingml/2006/main" xmlns:pic="http://schemas.openxmlformats.org/drawingml/2006/picture">
            <wp:extent cx="5400000" cy="2647506"/>
            <wp:docPr id="13" name="Picture 13"/>
            <wp:cNvGraphicFramePr>
              <a:graphicFrameLocks noChangeAspect="1"/>
            </wp:cNvGraphicFramePr>
            <a:graphic>
              <a:graphicData uri="http://schemas.openxmlformats.org/drawingml/2006/picture">
                <pic:pic>
                  <pic:nvPicPr>
                    <pic:cNvPr id="0" name="Fig09_Kmeans_Profil.png"/>
                    <pic:cNvPicPr/>
                  </pic:nvPicPr>
                  <pic:blipFill>
                    <a:blip r:embed="rId31"/>
                    <a:stretch>
                      <a:fillRect/>
                    </a:stretch>
                  </pic:blipFill>
                  <pic:spPr>
                    <a:xfrm>
                      <a:off x="0" y="0"/>
                      <a:ext cx="5400000" cy="2647506"/>
                    </a:xfrm>
                    <a:prstGeom prst="rect"/>
                  </pic:spPr>
                </pic:pic>
              </a:graphicData>
            </a:graphic>
          </wp:inline>
        </w:drawing>
      </w:r>
    </w:p>
    <w:p>
      <w:pPr>
        <w:jc w:val="center"/>
      </w:pPr>
      <w:r>
        <w:rPr>
          <w:rFonts w:ascii="Times New Roman" w:hAnsi="Times New Roman"/>
          <w:i/>
          <w:sz w:val="20"/>
        </w:rPr>
        <w:t>Figur 9. Klyngeprofiler for K-means (K=3): gjennomsnittlig z-score per feature per klynge. K\_OVERFØR-klyngen (grønn) kjennetegnes av lav CV og høy verdi. Generert med støtte fra Claude (Anthropic, 2026).</w:t>
      </w:r>
    </w:p>
    <w:p>
      <w:pPr>
        <w:spacing w:line="360" w:lineRule="auto"/>
      </w:pPr>
      <w:r>
        <w:rPr>
          <w:rFonts w:ascii="Times New Roman" w:hAnsi="Times New Roman" w:cs="Times New Roman"/>
          <w:sz w:val="24"/>
        </w:rPr>
        <w:t>Figur 9 bekrefter at K\_OVERFØR-klyngen (Klynge 3, n = 281 totalt: 227 tren + 54 test) har den laveste CV-verdien (stabil etterspørsel) og den høyeste verdiprofilen, mens Klynge 2 (n = 175: 136 tren + 39 test) preges av høy CV og lavt kostnadsavvik. Klynge 1 (n = 31: 26 tren + 5 test) er en liten gruppe med svært lav verdi. Fullstendige klyngeprofiler med gjennomsnittsverdier for CV, verdi og $|\Delta TC|$ presenteres i Tabell 12 i kapittel 7.</w:t>
      </w:r>
    </w:p>
    <w:p>
      <w:pPr>
        <w:pStyle w:val="Overskrift2"/>
      </w:pPr>
      <w:r>
        <w:rPr>
          <w:rFonts w:ascii="Times New Roman" w:hAnsi="Times New Roman"/>
          <w:color w:val="000000"/>
          <w:sz w:val="32"/>
        </w:rPr>
        <w:t>6.5 Regelmotor og HVFS-scoring</w:t>
      </w:r>
    </w:p>
    <w:p>
      <w:pPr>
        <w:spacing w:line="360" w:lineRule="auto"/>
      </w:pPr>
      <w:r>
        <w:rPr>
          <w:rFonts w:ascii="Times New Roman" w:hAnsi="Times New Roman" w:cs="Times New Roman"/>
          <w:sz w:val="24"/>
        </w:rPr>
        <w:t>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spacing w:line="360" w:lineRule="auto"/>
      </w:pPr>
      <w:r>
        <w:rPr>
          <w:rFonts w:ascii="Times New Roman" w:hAnsi="Times New Roman" w:cs="Times New Roman"/>
          <w:sz w:val="24"/>
        </w:rPr>
        <w:t xml:space="preserve">For alle artikler som fikk anbefalingen OVERFØR\_HVFS, ble besparelsesestimatet $\Delta TC_i \cdot g$ beregnet for tre scenarier (worst: $g = 50\,\%$, base: $g = 75\,\%$, best: $g = 100\,\%$) i henhold til formelen i avsnitt 5.3. Det er viktig å presisere at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$\Delta TC_i$ modellerer kostnadsavviket fra suboptimal ordrefrekvens — et avvik som adresseres direkte ved sentralisering til HVFS. Totalt inngår 117 artikler i dette grunnlaget.</w:t>
      </w:r>
    </w:p>
    <w:p>
      <w:pPr>
        <w:spacing w:line="360" w:lineRule="auto"/>
      </w:pPr>
      <w:r>
        <w:rPr>
          <w:rFonts w:ascii="Times New Roman" w:hAnsi="Times New Roman" w:cs="Times New Roman"/>
          <w:sz w:val="24"/>
        </w:rPr>
        <w:t>I tillegg til de tre scenariene ble det gjennomført en systematisk sensitivitetsanalyse med 27 kombinasjoner av $S$, $h$ og $g$, for å kartlegge robustheten av besparelsesestimatet overfor usikkerhet i modellantagelsene. Figur 10 viser den endelige fordelingen av regelmotor-anbefalinger og estimert EOQ-besparelse under tre scenarier, mens detaljerte besparelsestall og sensitivitetsintervaller presenteres i avsnitt 7.5–7.6.</w:t>
      </w:r>
    </w:p>
    <w:p>
      <w:r>
        <w:drawing>
          <wp:inline xmlns:a="http://schemas.openxmlformats.org/drawingml/2006/main" xmlns:pic="http://schemas.openxmlformats.org/drawingml/2006/picture">
            <wp:extent cx="5400000" cy="2236257"/>
            <wp:docPr id="14" name="Picture 14"/>
            <wp:cNvGraphicFramePr>
              <a:graphicFrameLocks noChangeAspect="1"/>
            </wp:cNvGraphicFramePr>
            <a:graphic>
              <a:graphicData uri="http://schemas.openxmlformats.org/drawingml/2006/picture">
                <pic:pic>
                  <pic:nvPicPr>
                    <pic:cNvPr id="0" name="Fig10_Regelmotor_Besparelse.png"/>
                    <pic:cNvPicPr/>
                  </pic:nvPicPr>
                  <pic:blipFill>
                    <a:blip r:embed="rId32"/>
                    <a:stretch>
                      <a:fillRect/>
                    </a:stretch>
                  </pic:blipFill>
                  <pic:spPr>
                    <a:xfrm>
                      <a:off x="0" y="0"/>
                      <a:ext cx="5400000" cy="2236257"/>
                    </a:xfrm>
                    <a:prstGeom prst="rect"/>
                  </pic:spPr>
                </pic:pic>
              </a:graphicData>
            </a:graphic>
          </wp:inline>
        </w:drawing>
      </w:r>
    </w:p>
    <w:p>
      <w:pPr>
        <w:jc w:val="center"/>
      </w:pPr>
      <w:r>
        <w:rPr>
          <w:rFonts w:ascii="Times New Roman" w:hAnsi="Times New Roman"/>
          <w:i/>
          <w:sz w:val="20"/>
        </w:rPr>
        <w:t>Figur 10. Regelmotor og besparelsesanalyse: fordeling av HVFS-anbefalinger (venstre) og estimert årlig EOQ-besparelse under tre realiseringsscenarier (høyre). 709 artikler, WERKS 3300 / LGORT 3001. Generert med støtte fra Claude (Anthropic, 2026).</w:t>
      </w:r>
    </w:p>
    <w:p>
      <w:pPr>
        <w:spacing w:line="360" w:lineRule="auto"/>
      </w:pPr>
      <w:r>
        <w:rPr>
          <w:rFonts w:ascii="Times New Roman" w:hAnsi="Times New Roman" w:cs="Times New Roman"/>
          <w:sz w:val="24"/>
        </w:rPr>
        <w:t>Figur 10 viser at 145 artikler (20,5 % av populasjonen) anbefales overført til HVFS, mens 257 artikler (36,2 %) beholdes lokalt basert på Z-klasse eller CY-kombinasjon. Kategorien TIL VURDERING er den største enkeltgruppen med 284 artikler (40,1 %), noe som reflekterer at mange artikler har en profil der de ulike analysene ikke gir entydige signaler. Dette er et forventet utfall gitt at regelmotoren er utformet for å unngå feilaktige overføringsanbefalinger: usikre tilfeller sendes til manuell vurdering fremfor å tvinges inn i en binær beslutning. Fordelingen av anbefalinger per regel er som følger: R1 (Z-override) fanget 144 artikler, R2 (CY) fanget 113, R3 (A/B + X + FOR\_MANGE) fanget 91, R4 (A/B + X + K\_OVERFØR) fanget 26, R5 (A/B + Y + K\_OVERFØR) fanget 28, og R6–R8 sendte de resterende 284 artiklene til manuell vurdering. At TIL\_VURDERING er den største enkeltgruppen er et bevisst designvalg: regelmotoren er utformet for høy presisjon i OVERFØR-anbefalingene, og aksepterer at dette medfører en større andel artikler som krever manuell gjennomgang. Fullstendige resultat- og besparelsestabeller presenteres i kapittel 7.</w:t>
      </w:r>
    </w:p>
    <w:p>
      <w:pPr>
        <w:pStyle w:val="Overskrift1"/>
        <w:pageBreakBefore w:val="true"/>
      </w:pPr>
      <w:r>
        <w:rPr>
          <w:rFonts w:ascii="Times New Roman" w:hAnsi="Times New Roman"/>
          <w:color w:val="000000"/>
          <w:sz w:val="36"/>
        </w:rPr>
        <w:t>Kapittel 7 – Resultater</w:t>
      </w:r>
    </w:p>
    <w:p>
      <w:pPr>
        <w:pStyle w:val="Overskrift2"/>
      </w:pPr>
      <w:r>
        <w:rPr>
          <w:rFonts w:ascii="Times New Roman" w:hAnsi="Times New Roman"/>
          <w:color w:val="000000"/>
          <w:sz w:val="32"/>
        </w:rPr>
        <w:t>7.1 ABC-resultater</w:t>
      </w:r>
    </w:p>
    <w:p>
      <w:r>
        <w:rPr>
          <w:rFonts w:ascii="Times New Roman" w:hAnsi="Times New Roman"/>
          <w:i/>
          <w:sz w:val="20"/>
        </w:rPr>
        <w:t>Tabell 8. ABC-fordeling: antall artikler og verdiandel per klasse (n = 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Klasse</w:t>
            </w:r>
          </w:p>
        </w:tc>
        <w:tc>
          <w:tcPr>
            <w:tcW w:type="dxa" w:w="2192"/>
            <w:shd w:fill="D9E2F3" w:val="clear"/>
          </w:tcPr>
          <w:p>
            <w:r/>
            <w:r>
              <w:rPr>
                <w:rFonts w:ascii="Times New Roman" w:hAnsi="Times New Roman"/>
                <w:b/>
                <w:sz w:val="20"/>
              </w:rPr>
              <w:t>Antall artikler</w:t>
            </w:r>
          </w:p>
        </w:tc>
        <w:tc>
          <w:tcPr>
            <w:tcW w:type="dxa" w:w="2192"/>
            <w:shd w:fill="D9E2F3" w:val="clear"/>
          </w:tcPr>
          <w:p>
            <w:r/>
            <w:r>
              <w:rPr>
                <w:rFonts w:ascii="Times New Roman" w:hAnsi="Times New Roman"/>
                <w:b/>
                <w:sz w:val="20"/>
              </w:rPr>
              <w:t>Andel av populasjon</w:t>
            </w:r>
          </w:p>
        </w:tc>
        <w:tc>
          <w:tcPr>
            <w:tcW w:type="dxa" w:w="2192"/>
            <w:shd w:fill="D9E2F3" w:val="clear"/>
          </w:tcPr>
          <w:p>
            <w:r/>
            <w:r>
              <w:rPr>
                <w:rFonts w:ascii="Times New Roman" w:hAnsi="Times New Roman"/>
                <w:b/>
                <w:sz w:val="20"/>
              </w:rPr>
              <w:t>Kumulativ verdiandel</w:t>
            </w:r>
          </w:p>
        </w:tc>
      </w:tr>
      <w:tr>
        <w:tc>
          <w:tcPr>
            <w:tcW w:type="dxa" w:w="2192"/>
          </w:tcPr>
          <w:p>
            <w:r/>
            <w:r>
              <w:rPr>
                <w:rFonts w:ascii="Times New Roman" w:hAnsi="Times New Roman"/>
                <w:sz w:val="20"/>
              </w:rPr>
              <w:t>A</w:t>
            </w:r>
          </w:p>
        </w:tc>
        <w:tc>
          <w:tcPr>
            <w:tcW w:type="dxa" w:w="2192"/>
          </w:tcPr>
          <w:p>
            <w:r/>
            <w:r>
              <w:rPr>
                <w:rFonts w:ascii="Times New Roman" w:hAnsi="Times New Roman"/>
                <w:sz w:val="20"/>
              </w:rPr>
              <w:t>182</w:t>
            </w:r>
          </w:p>
        </w:tc>
        <w:tc>
          <w:tcPr>
            <w:tcW w:type="dxa" w:w="2192"/>
          </w:tcPr>
          <w:p>
            <w:r/>
            <w:r>
              <w:rPr>
                <w:rFonts w:ascii="Times New Roman" w:hAnsi="Times New Roman"/>
                <w:sz w:val="20"/>
              </w:rPr>
              <w:t>25,7 %</w:t>
            </w:r>
          </w:p>
        </w:tc>
        <w:tc>
          <w:tcPr>
            <w:tcW w:type="dxa" w:w="2192"/>
          </w:tcPr>
          <w:p>
            <w:r/>
            <w:r>
              <w:rPr>
                <w:rFonts w:ascii="Times New Roman" w:hAnsi="Times New Roman"/>
                <w:sz w:val="20"/>
              </w:rPr>
              <w:t>0–80 %</w:t>
            </w:r>
          </w:p>
        </w:tc>
      </w:tr>
      <w:tr>
        <w:tc>
          <w:tcPr>
            <w:tcW w:type="dxa" w:w="2192"/>
          </w:tcPr>
          <w:p>
            <w:r/>
            <w:r>
              <w:rPr>
                <w:rFonts w:ascii="Times New Roman" w:hAnsi="Times New Roman"/>
                <w:sz w:val="20"/>
              </w:rPr>
              <w:t>B</w:t>
            </w:r>
          </w:p>
        </w:tc>
        <w:tc>
          <w:tcPr>
            <w:tcW w:type="dxa" w:w="2192"/>
          </w:tcPr>
          <w:p>
            <w:r/>
            <w:r>
              <w:rPr>
                <w:rFonts w:ascii="Times New Roman" w:hAnsi="Times New Roman"/>
                <w:sz w:val="20"/>
              </w:rPr>
              <w:t>184</w:t>
            </w:r>
          </w:p>
        </w:tc>
        <w:tc>
          <w:tcPr>
            <w:tcW w:type="dxa" w:w="2192"/>
          </w:tcPr>
          <w:p>
            <w:r/>
            <w:r>
              <w:rPr>
                <w:rFonts w:ascii="Times New Roman" w:hAnsi="Times New Roman"/>
                <w:sz w:val="20"/>
              </w:rPr>
              <w:t>26,0 %</w:t>
            </w:r>
          </w:p>
        </w:tc>
        <w:tc>
          <w:tcPr>
            <w:tcW w:type="dxa" w:w="2192"/>
          </w:tcPr>
          <w:p>
            <w:r/>
            <w:r>
              <w:rPr>
                <w:rFonts w:ascii="Times New Roman" w:hAnsi="Times New Roman"/>
                <w:sz w:val="20"/>
              </w:rPr>
              <w:t>80–95 %</w:t>
            </w:r>
          </w:p>
        </w:tc>
      </w:tr>
      <w:tr>
        <w:tc>
          <w:tcPr>
            <w:tcW w:type="dxa" w:w="2192"/>
          </w:tcPr>
          <w:p>
            <w:r/>
            <w:r>
              <w:rPr>
                <w:rFonts w:ascii="Times New Roman" w:hAnsi="Times New Roman"/>
                <w:sz w:val="20"/>
              </w:rPr>
              <w:t>C</w:t>
            </w:r>
          </w:p>
        </w:tc>
        <w:tc>
          <w:tcPr>
            <w:tcW w:type="dxa" w:w="2192"/>
          </w:tcPr>
          <w:p>
            <w:r/>
            <w:r>
              <w:rPr>
                <w:rFonts w:ascii="Times New Roman" w:hAnsi="Times New Roman"/>
                <w:sz w:val="20"/>
              </w:rPr>
              <w:t>338</w:t>
            </w:r>
          </w:p>
        </w:tc>
        <w:tc>
          <w:tcPr>
            <w:tcW w:type="dxa" w:w="2192"/>
          </w:tcPr>
          <w:p>
            <w:r/>
            <w:r>
              <w:rPr>
                <w:rFonts w:ascii="Times New Roman" w:hAnsi="Times New Roman"/>
                <w:sz w:val="20"/>
              </w:rPr>
              <w:t>47,7 %</w:t>
            </w:r>
          </w:p>
        </w:tc>
        <w:tc>
          <w:tcPr>
            <w:tcW w:type="dxa" w:w="2192"/>
          </w:tcPr>
          <w:p>
            <w:r/>
            <w:r>
              <w:rPr>
                <w:rFonts w:ascii="Times New Roman" w:hAnsi="Times New Roman"/>
                <w:sz w:val="20"/>
              </w:rPr>
              <w:t>95–100 %</w:t>
            </w:r>
          </w:p>
        </w:tc>
      </w:tr>
      <w:tr>
        <w:tc>
          <w:tcPr>
            <w:tcW w:type="dxa" w:w="2192"/>
          </w:tcPr>
          <w:p>
            <w:r/>
            <w:r>
              <w:rPr>
                <w:rFonts w:ascii="Times New Roman" w:hAnsi="Times New Roman"/>
                <w:sz w:val="20"/>
              </w:rPr>
              <w:t>Ikke klassifisert</w:t>
            </w:r>
          </w:p>
        </w:tc>
        <w:tc>
          <w:tcPr>
            <w:tcW w:type="dxa" w:w="2192"/>
          </w:tcPr>
          <w:p>
            <w:r/>
            <w:r>
              <w:rPr>
                <w:rFonts w:ascii="Times New Roman" w:hAnsi="Times New Roman"/>
                <w:sz w:val="20"/>
              </w:rPr>
              <w:t>5</w:t>
            </w:r>
          </w:p>
        </w:tc>
        <w:tc>
          <w:tcPr>
            <w:tcW w:type="dxa" w:w="2192"/>
          </w:tcPr>
          <w:p>
            <w:r/>
            <w:r>
              <w:rPr>
                <w:rFonts w:ascii="Times New Roman" w:hAnsi="Times New Roman"/>
                <w:sz w:val="20"/>
              </w:rPr>
              <w:t>0,7 %</w:t>
            </w:r>
          </w:p>
        </w:tc>
        <w:tc>
          <w:tcPr>
            <w:tcW w:type="dxa" w:w="2192"/>
          </w:tcPr>
          <w:p>
            <w:r/>
            <w:r>
              <w:rPr>
                <w:rFonts w:ascii="Times New Roman" w:hAnsi="Times New Roman"/>
                <w:sz w:val="20"/>
              </w:rPr>
              <w:t>Mangler verdidata</w:t>
            </w:r>
          </w:p>
        </w:tc>
      </w:tr>
      <w:tr>
        <w:tc>
          <w:tcPr>
            <w:tcW w:type="dxa" w:w="2192"/>
          </w:tcPr>
          <w:p>
            <w:r/>
            <w:r>
              <w:rPr>
                <w:rFonts w:ascii="Times New Roman" w:hAnsi="Times New Roman"/>
                <w:sz w:val="20"/>
              </w:rPr>
              <w:t>Totalt</w:t>
            </w:r>
          </w:p>
        </w:tc>
        <w:tc>
          <w:tcPr>
            <w:tcW w:type="dxa" w:w="2192"/>
          </w:tcPr>
          <w:p>
            <w:r/>
            <w:r>
              <w:rPr>
                <w:rFonts w:ascii="Times New Roman" w:hAnsi="Times New Roman"/>
                <w:sz w:val="20"/>
              </w:rPr>
              <w:t>709</w:t>
            </w:r>
          </w:p>
        </w:tc>
        <w:tc>
          <w:tcPr>
            <w:tcW w:type="dxa" w:w="2192"/>
          </w:tcPr>
          <w:p>
            <w:r/>
            <w:r>
              <w:rPr>
                <w:rFonts w:ascii="Times New Roman" w:hAnsi="Times New Roman"/>
                <w:sz w:val="20"/>
              </w:rPr>
              <w:t>100 %</w:t>
            </w:r>
          </w:p>
        </w:tc>
        <w:tc>
          <w:tcPr>
            <w:tcW w:type="dxa" w:w="2192"/>
          </w:tcPr>
          <w:p>
            <w:r/>
            <w:r>
              <w:rPr>
                <w:rFonts w:ascii="Times New Roman" w:hAnsi="Times New Roman"/>
                <w:sz w:val="20"/>
              </w:rPr>
            </w:r>
          </w:p>
        </w:tc>
      </w:tr>
    </w:tbl>
    <w:p>
      <w:pPr>
        <w:spacing w:line="360" w:lineRule="auto"/>
      </w:pPr>
      <w:r>
        <w:rPr>
          <w:rFonts w:ascii="Times New Roman" w:hAnsi="Times New Roman" w:cs="Times New Roman"/>
          <w:sz w:val="24"/>
        </w:rPr>
        <w:t>182 A-artikler utgjør 25,7 % av populasjonen og representerer om lag 80 % av den totale lagerverdien. A-klassens andel er noe høyere enn den kanoniske 20 %-regelen i Pareto-prinsippet, noe som reflekterer at Helse Bergens sortiment inneholder et begrenset antall høyverdige forbruksartikler med stort volum. 184 B-artikler (26,0 %) dekker ytterligere 15 % av verdien, slik at A- og B-artiklene til sammen (366 artikler, 51,6 %) står for om lag 95 % av verdibindingen. De resterende 338 C-artiklene (47,7 % av populasjonen) dekker de siste 5 % av verdien — en typisk Pareto-fordeling der nesten halvparten av artiklene samlet har marginal verdibetydning. 5 artikler (0,7 %) kunne ikke ABC-klassifiseres grunnet manglende verdidata etter beslutningene D-02 og D-03. Pareto-kurven er presentert som Figur 4 i kapittel 6. Det sterke Pareto-mønsteret bekrefter at differensiert lagerstyring — med tettere oppfølging av A-artikler og enklere håndtering av C-artikler — er faglig begrunnet for dette sortimentet.</w:t>
      </w:r>
    </w:p>
    <w:p>
      <w:pPr>
        <w:pStyle w:val="Overskrift2"/>
      </w:pPr>
      <w:r>
        <w:rPr>
          <w:rFonts w:ascii="Times New Roman" w:hAnsi="Times New Roman"/>
          <w:color w:val="000000"/>
          <w:sz w:val="32"/>
        </w:rPr>
        <w:t>7.2 XYZ-resultater</w:t>
      </w:r>
    </w:p>
    <w:p>
      <w:r>
        <w:rPr>
          <w:rFonts w:ascii="Times New Roman" w:hAnsi="Times New Roman"/>
          <w:i/>
          <w:sz w:val="20"/>
        </w:rPr>
        <w:t>Tabell 9. XYZ-fordeling: antall artikler per klasse (n = 687 klassifiserte).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Klasse</w:t>
            </w:r>
          </w:p>
        </w:tc>
        <w:tc>
          <w:tcPr>
            <w:tcW w:type="dxa" w:w="2192"/>
            <w:shd w:fill="D9E2F3" w:val="clear"/>
          </w:tcPr>
          <w:p>
            <w:r/>
            <w:r>
              <w:rPr>
                <w:rFonts w:ascii="Times New Roman" w:hAnsi="Times New Roman"/>
                <w:b/>
                <w:sz w:val="20"/>
              </w:rPr>
              <w:t>CV-grense</w:t>
            </w:r>
          </w:p>
        </w:tc>
        <w:tc>
          <w:tcPr>
            <w:tcW w:type="dxa" w:w="2192"/>
            <w:shd w:fill="D9E2F3" w:val="clear"/>
          </w:tcPr>
          <w:p>
            <w:r/>
            <w:r>
              <w:rPr>
                <w:rFonts w:ascii="Times New Roman" w:hAnsi="Times New Roman"/>
                <w:b/>
                <w:sz w:val="20"/>
              </w:rPr>
              <w:t>Antall</w:t>
            </w:r>
          </w:p>
        </w:tc>
        <w:tc>
          <w:tcPr>
            <w:tcW w:type="dxa" w:w="2192"/>
            <w:shd w:fill="D9E2F3" w:val="clear"/>
          </w:tcPr>
          <w:p>
            <w:r/>
            <w:r>
              <w:rPr>
                <w:rFonts w:ascii="Times New Roman" w:hAnsi="Times New Roman"/>
                <w:b/>
                <w:sz w:val="20"/>
              </w:rPr>
              <w:t>Andel</w:t>
            </w:r>
          </w:p>
        </w:tc>
      </w:tr>
      <w:tr>
        <w:tc>
          <w:tcPr>
            <w:tcW w:type="dxa" w:w="2192"/>
          </w:tcPr>
          <w:p>
            <w:r/>
            <w:r>
              <w:rPr>
                <w:rFonts w:ascii="Times New Roman" w:hAnsi="Times New Roman"/>
                <w:sz w:val="20"/>
              </w:rPr>
              <w:t>X (stabilt)</w:t>
            </w:r>
          </w:p>
        </w:tc>
        <w:tc>
          <w:tcPr>
            <w:tcW w:type="dxa" w:w="2192"/>
          </w:tcPr>
          <w:p>
            <w:r/>
            <w:r>
              <w:rPr>
                <w:rFonts w:ascii="Times New Roman" w:hAnsi="Times New Roman"/>
                <w:sz w:val="20"/>
              </w:rPr>
              <w:t>CV &lt; 0,5</w:t>
            </w:r>
          </w:p>
        </w:tc>
        <w:tc>
          <w:tcPr>
            <w:tcW w:type="dxa" w:w="2192"/>
          </w:tcPr>
          <w:p>
            <w:r/>
            <w:r>
              <w:rPr>
                <w:rFonts w:ascii="Times New Roman" w:hAnsi="Times New Roman"/>
                <w:sz w:val="20"/>
              </w:rPr>
              <w:t>350</w:t>
            </w:r>
          </w:p>
        </w:tc>
        <w:tc>
          <w:tcPr>
            <w:tcW w:type="dxa" w:w="2192"/>
          </w:tcPr>
          <w:p>
            <w:r/>
            <w:r>
              <w:rPr>
                <w:rFonts w:ascii="Times New Roman" w:hAnsi="Times New Roman"/>
                <w:sz w:val="20"/>
              </w:rPr>
              <w:t>50,9 %</w:t>
            </w:r>
          </w:p>
        </w:tc>
      </w:tr>
      <w:tr>
        <w:tc>
          <w:tcPr>
            <w:tcW w:type="dxa" w:w="2192"/>
          </w:tcPr>
          <w:p>
            <w:r/>
            <w:r>
              <w:rPr>
                <w:rFonts w:ascii="Times New Roman" w:hAnsi="Times New Roman"/>
                <w:sz w:val="20"/>
              </w:rPr>
              <w:t>Y (moderat)</w:t>
            </w:r>
          </w:p>
        </w:tc>
        <w:tc>
          <w:tcPr>
            <w:tcW w:type="dxa" w:w="2192"/>
          </w:tcPr>
          <w:p>
            <w:r/>
            <w:r>
              <w:rPr>
                <w:rFonts w:ascii="Times New Roman" w:hAnsi="Times New Roman"/>
                <w:sz w:val="20"/>
              </w:rPr>
              <w:t>0,5 ≤ CV &lt; 1,0</w:t>
            </w:r>
          </w:p>
        </w:tc>
        <w:tc>
          <w:tcPr>
            <w:tcW w:type="dxa" w:w="2192"/>
          </w:tcPr>
          <w:p>
            <w:r/>
            <w:r>
              <w:rPr>
                <w:rFonts w:ascii="Times New Roman" w:hAnsi="Times New Roman"/>
                <w:sz w:val="20"/>
              </w:rPr>
              <w:t>193</w:t>
            </w:r>
          </w:p>
        </w:tc>
        <w:tc>
          <w:tcPr>
            <w:tcW w:type="dxa" w:w="2192"/>
          </w:tcPr>
          <w:p>
            <w:r/>
            <w:r>
              <w:rPr>
                <w:rFonts w:ascii="Times New Roman" w:hAnsi="Times New Roman"/>
                <w:sz w:val="20"/>
              </w:rPr>
              <w:t>28,1 %</w:t>
            </w:r>
          </w:p>
        </w:tc>
      </w:tr>
      <w:tr>
        <w:tc>
          <w:tcPr>
            <w:tcW w:type="dxa" w:w="2192"/>
          </w:tcPr>
          <w:p>
            <w:r/>
            <w:r>
              <w:rPr>
                <w:rFonts w:ascii="Times New Roman" w:hAnsi="Times New Roman"/>
                <w:sz w:val="20"/>
              </w:rPr>
              <w:t>Z (uregelmessig)</w:t>
            </w:r>
          </w:p>
        </w:tc>
        <w:tc>
          <w:tcPr>
            <w:tcW w:type="dxa" w:w="2192"/>
          </w:tcPr>
          <w:p>
            <w:r/>
            <w:r>
              <w:rPr>
                <w:rFonts w:ascii="Times New Roman" w:hAnsi="Times New Roman"/>
                <w:sz w:val="20"/>
              </w:rPr>
              <w:t>CV ≥ 1,0</w:t>
            </w:r>
          </w:p>
        </w:tc>
        <w:tc>
          <w:tcPr>
            <w:tcW w:type="dxa" w:w="2192"/>
          </w:tcPr>
          <w:p>
            <w:r/>
            <w:r>
              <w:rPr>
                <w:rFonts w:ascii="Times New Roman" w:hAnsi="Times New Roman"/>
                <w:sz w:val="20"/>
              </w:rPr>
              <w:t>144</w:t>
            </w:r>
          </w:p>
        </w:tc>
        <w:tc>
          <w:tcPr>
            <w:tcW w:type="dxa" w:w="2192"/>
          </w:tcPr>
          <w:p>
            <w:r/>
            <w:r>
              <w:rPr>
                <w:rFonts w:ascii="Times New Roman" w:hAnsi="Times New Roman"/>
                <w:sz w:val="20"/>
              </w:rPr>
              <w:t>20,9 %</w:t>
            </w:r>
          </w:p>
        </w:tc>
      </w:tr>
      <w:tr>
        <w:tc>
          <w:tcPr>
            <w:tcW w:type="dxa" w:w="2192"/>
          </w:tcPr>
          <w:p>
            <w:r/>
            <w:r>
              <w:rPr>
                <w:rFonts w:ascii="Times New Roman" w:hAnsi="Times New Roman"/>
                <w:sz w:val="20"/>
              </w:rPr>
              <w:t>Ikke klassifisert</w:t>
            </w:r>
          </w:p>
        </w:tc>
        <w:tc>
          <w:tcPr>
            <w:tcW w:type="dxa" w:w="2192"/>
          </w:tcPr>
          <w:p>
            <w:r/>
            <w:r>
              <w:rPr>
                <w:rFonts w:ascii="Times New Roman" w:hAnsi="Times New Roman"/>
                <w:sz w:val="20"/>
              </w:rPr>
              <w:t>—</w:t>
            </w:r>
          </w:p>
        </w:tc>
        <w:tc>
          <w:tcPr>
            <w:tcW w:type="dxa" w:w="2192"/>
          </w:tcPr>
          <w:p>
            <w:r/>
            <w:r>
              <w:rPr>
                <w:rFonts w:ascii="Times New Roman" w:hAnsi="Times New Roman"/>
                <w:sz w:val="20"/>
              </w:rPr>
              <w:t>22</w:t>
            </w:r>
          </w:p>
        </w:tc>
        <w:tc>
          <w:tcPr>
            <w:tcW w:type="dxa" w:w="2192"/>
          </w:tcPr>
          <w:p>
            <w:r/>
            <w:r>
              <w:rPr>
                <w:rFonts w:ascii="Times New Roman" w:hAnsi="Times New Roman"/>
                <w:sz w:val="20"/>
              </w:rPr>
              <w:t>—</w:t>
            </w:r>
          </w:p>
        </w:tc>
      </w:tr>
    </w:tbl>
    <w:p>
      <w:pPr>
        <w:spacing w:line="360" w:lineRule="auto"/>
      </w:pPr>
      <w:r>
        <w:rPr>
          <w:rFonts w:ascii="Times New Roman" w:hAnsi="Times New Roman" w:cs="Times New Roman"/>
          <w:sz w:val="24"/>
        </w:rPr>
        <w:t>350 artikler (50,9 % av klassifiserte) har stabilt forbruksmønster (X), 193 artikler (28,1 %) har moderat variasjon (Y), og 144 artikler (20,9 %) har uregelmessig forbruk (Z). At over halvparten av artiklene faller i X-kategorien er positivt for HVFS-sentralisering, da stabilt forbruk er en forutsetning for APL-leveransemodellen. De 22 ikke-klassifiserte artiklene mangler tilstrekkelig forbrukshistorikk i MSEG (færre enn tre måneder med registrert forbruk) og er ekskludert fra XYZ-analysen for å unngå misvisende CV-estimater.</w:t>
      </w:r>
    </w:p>
    <w:p>
      <w:pPr>
        <w:spacing w:line="360" w:lineRule="auto"/>
      </w:pPr>
      <w:r>
        <w:rPr>
          <w:rFonts w:ascii="Times New Roman" w:hAnsi="Times New Roman" w:cs="Times New Roman"/>
          <w:sz w:val="24"/>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understreker at SAP-feltets ZZXYZ ikke er systematisk oppdatert og bør erstattes med beregnet CV-klasse som primær XYZ-indikator. ABC/XYZ-kryssmatrisen er presentert som Figur 5 i kapittel 6; fullstendige celleanntall er gjengitt der.</w:t>
      </w:r>
    </w:p>
    <w:p>
      <w:r>
        <w:rPr>
          <w:rFonts w:ascii="Times New Roman" w:hAnsi="Times New Roman"/>
          <w:i/>
          <w:sz w:val="20"/>
        </w:rPr>
        <w:t>Tabell 10. SAP ZZXYZ-validering: samsvar mellom systemklasse og beregnet CV-klasse (n = 375 artikler med data i begge kilder).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1754"/>
            <w:shd w:fill="D9E2F3" w:val="clear"/>
          </w:tcPr>
          <w:p>
            <w:r/>
            <w:r>
              <w:rPr>
                <w:rFonts w:ascii="Times New Roman" w:hAnsi="Times New Roman"/>
                <w:b/>
                <w:sz w:val="20"/>
              </w:rPr>
            </w:r>
          </w:p>
        </w:tc>
        <w:tc>
          <w:tcPr>
            <w:tcW w:type="dxa" w:w="1754"/>
            <w:shd w:fill="D9E2F3" w:val="clear"/>
          </w:tcPr>
          <w:p>
            <w:r/>
            <w:r>
              <w:rPr>
                <w:rFonts w:ascii="Times New Roman" w:hAnsi="Times New Roman"/>
                <w:b/>
                <w:sz w:val="20"/>
              </w:rPr>
              <w:t>Beregnet X</w:t>
            </w:r>
          </w:p>
        </w:tc>
        <w:tc>
          <w:tcPr>
            <w:tcW w:type="dxa" w:w="1754"/>
            <w:shd w:fill="D9E2F3" w:val="clear"/>
          </w:tcPr>
          <w:p>
            <w:r/>
            <w:r>
              <w:rPr>
                <w:rFonts w:ascii="Times New Roman" w:hAnsi="Times New Roman"/>
                <w:b/>
                <w:sz w:val="20"/>
              </w:rPr>
              <w:t>Beregnet Y</w:t>
            </w:r>
          </w:p>
        </w:tc>
        <w:tc>
          <w:tcPr>
            <w:tcW w:type="dxa" w:w="1754"/>
            <w:shd w:fill="D9E2F3" w:val="clear"/>
          </w:tcPr>
          <w:p>
            <w:r/>
            <w:r>
              <w:rPr>
                <w:rFonts w:ascii="Times New Roman" w:hAnsi="Times New Roman"/>
                <w:b/>
                <w:sz w:val="20"/>
              </w:rPr>
              <w:t>Beregnet Z</w:t>
            </w:r>
          </w:p>
        </w:tc>
        <w:tc>
          <w:tcPr>
            <w:tcW w:type="dxa" w:w="1754"/>
            <w:shd w:fill="D9E2F3" w:val="clear"/>
          </w:tcPr>
          <w:p>
            <w:r/>
            <w:r>
              <w:rPr>
                <w:rFonts w:ascii="Times New Roman" w:hAnsi="Times New Roman"/>
                <w:b/>
                <w:sz w:val="20"/>
              </w:rPr>
              <w:t>Sum</w:t>
            </w:r>
          </w:p>
        </w:tc>
      </w:tr>
      <w:tr>
        <w:tc>
          <w:tcPr>
            <w:tcW w:type="dxa" w:w="1754"/>
          </w:tcPr>
          <w:p>
            <w:r/>
            <w:r>
              <w:rPr>
                <w:rFonts w:ascii="Times New Roman" w:hAnsi="Times New Roman"/>
                <w:sz w:val="20"/>
              </w:rPr>
              <w:t>SAP X</w:t>
            </w:r>
          </w:p>
        </w:tc>
        <w:tc>
          <w:tcPr>
            <w:tcW w:type="dxa" w:w="1754"/>
          </w:tcPr>
          <w:p>
            <w:r/>
            <w:r>
              <w:rPr>
                <w:rFonts w:ascii="Times New Roman" w:hAnsi="Times New Roman"/>
                <w:sz w:val="20"/>
              </w:rPr>
              <w:t>Samsvar</w:t>
            </w:r>
          </w:p>
        </w:tc>
        <w:tc>
          <w:tcPr>
            <w:tcW w:type="dxa" w:w="1754"/>
          </w:tcPr>
          <w:p>
            <w:r/>
            <w:r>
              <w:rPr>
                <w:rFonts w:ascii="Times New Roman" w:hAnsi="Times New Roman"/>
                <w:sz w:val="20"/>
              </w:rPr>
              <w:t>Avvik</w:t>
            </w:r>
          </w:p>
        </w:tc>
        <w:tc>
          <w:tcPr>
            <w:tcW w:type="dxa" w:w="1754"/>
          </w:tcPr>
          <w:p>
            <w:r/>
            <w:r>
              <w:rPr>
                <w:rFonts w:ascii="Times New Roman" w:hAnsi="Times New Roman"/>
                <w:sz w:val="20"/>
              </w:rPr>
              <w:t>Avvik</w:t>
            </w:r>
          </w:p>
        </w:tc>
        <w:tc>
          <w:tcPr>
            <w:tcW w:type="dxa" w:w="1754"/>
          </w:tcPr>
          <w:p>
            <w:r/>
            <w:r>
              <w:rPr>
                <w:rFonts w:ascii="Times New Roman" w:hAnsi="Times New Roman"/>
                <w:sz w:val="20"/>
              </w:rPr>
              <w:t>—</w:t>
            </w:r>
          </w:p>
        </w:tc>
      </w:tr>
      <w:tr>
        <w:tc>
          <w:tcPr>
            <w:tcW w:type="dxa" w:w="1754"/>
          </w:tcPr>
          <w:p>
            <w:r/>
            <w:r>
              <w:rPr>
                <w:rFonts w:ascii="Times New Roman" w:hAnsi="Times New Roman"/>
                <w:sz w:val="20"/>
              </w:rPr>
              <w:t>SAP Y</w:t>
            </w:r>
          </w:p>
        </w:tc>
        <w:tc>
          <w:tcPr>
            <w:tcW w:type="dxa" w:w="1754"/>
          </w:tcPr>
          <w:p>
            <w:r/>
            <w:r>
              <w:rPr>
                <w:rFonts w:ascii="Times New Roman" w:hAnsi="Times New Roman"/>
                <w:sz w:val="20"/>
              </w:rPr>
              <w:t>Avvik</w:t>
            </w:r>
          </w:p>
        </w:tc>
        <w:tc>
          <w:tcPr>
            <w:tcW w:type="dxa" w:w="1754"/>
          </w:tcPr>
          <w:p>
            <w:r/>
            <w:r>
              <w:rPr>
                <w:rFonts w:ascii="Times New Roman" w:hAnsi="Times New Roman"/>
                <w:sz w:val="20"/>
              </w:rPr>
              <w:t>Samsvar</w:t>
            </w:r>
          </w:p>
        </w:tc>
        <w:tc>
          <w:tcPr>
            <w:tcW w:type="dxa" w:w="1754"/>
          </w:tcPr>
          <w:p>
            <w:r/>
            <w:r>
              <w:rPr>
                <w:rFonts w:ascii="Times New Roman" w:hAnsi="Times New Roman"/>
                <w:sz w:val="20"/>
              </w:rPr>
              <w:t>Avvik</w:t>
            </w:r>
          </w:p>
        </w:tc>
        <w:tc>
          <w:tcPr>
            <w:tcW w:type="dxa" w:w="1754"/>
          </w:tcPr>
          <w:p>
            <w:r/>
            <w:r>
              <w:rPr>
                <w:rFonts w:ascii="Times New Roman" w:hAnsi="Times New Roman"/>
                <w:sz w:val="20"/>
              </w:rPr>
              <w:t>—</w:t>
            </w:r>
          </w:p>
        </w:tc>
      </w:tr>
      <w:tr>
        <w:tc>
          <w:tcPr>
            <w:tcW w:type="dxa" w:w="1754"/>
          </w:tcPr>
          <w:p>
            <w:r/>
            <w:r>
              <w:rPr>
                <w:rFonts w:ascii="Times New Roman" w:hAnsi="Times New Roman"/>
                <w:sz w:val="20"/>
              </w:rPr>
              <w:t>SAP Z</w:t>
            </w:r>
          </w:p>
        </w:tc>
        <w:tc>
          <w:tcPr>
            <w:tcW w:type="dxa" w:w="1754"/>
          </w:tcPr>
          <w:p>
            <w:r/>
            <w:r>
              <w:rPr>
                <w:rFonts w:ascii="Times New Roman" w:hAnsi="Times New Roman"/>
                <w:sz w:val="20"/>
              </w:rPr>
              <w:t>Avvik</w:t>
            </w:r>
          </w:p>
        </w:tc>
        <w:tc>
          <w:tcPr>
            <w:tcW w:type="dxa" w:w="1754"/>
          </w:tcPr>
          <w:p>
            <w:r/>
            <w:r>
              <w:rPr>
                <w:rFonts w:ascii="Times New Roman" w:hAnsi="Times New Roman"/>
                <w:sz w:val="20"/>
              </w:rPr>
              <w:t>Avvik</w:t>
            </w:r>
          </w:p>
        </w:tc>
        <w:tc>
          <w:tcPr>
            <w:tcW w:type="dxa" w:w="1754"/>
          </w:tcPr>
          <w:p>
            <w:r/>
            <w:r>
              <w:rPr>
                <w:rFonts w:ascii="Times New Roman" w:hAnsi="Times New Roman"/>
                <w:sz w:val="20"/>
              </w:rPr>
              <w:t>Samsvar</w:t>
            </w:r>
          </w:p>
        </w:tc>
        <w:tc>
          <w:tcPr>
            <w:tcW w:type="dxa" w:w="1754"/>
          </w:tcPr>
          <w:p>
            <w:r/>
            <w:r>
              <w:rPr>
                <w:rFonts w:ascii="Times New Roman" w:hAnsi="Times New Roman"/>
                <w:sz w:val="20"/>
              </w:rPr>
              <w:t>—</w:t>
            </w:r>
          </w:p>
        </w:tc>
      </w:tr>
      <w:tr>
        <w:tc>
          <w:tcPr>
            <w:tcW w:type="dxa" w:w="1754"/>
          </w:tcPr>
          <w:p>
            <w:r/>
            <w:r>
              <w:rPr>
                <w:rFonts w:ascii="Times New Roman" w:hAnsi="Times New Roman"/>
                <w:sz w:val="20"/>
              </w:rPr>
              <w:t>Totalt samsvar</w:t>
            </w:r>
          </w:p>
        </w:tc>
        <w:tc>
          <w:tcPr>
            <w:tcW w:type="dxa" w:w="1754"/>
          </w:tcPr>
          <w:p>
            <w:r/>
            <w:r>
              <w:rPr>
                <w:rFonts w:ascii="Times New Roman" w:hAnsi="Times New Roman"/>
                <w:sz w:val="20"/>
              </w:rPr>
            </w:r>
          </w:p>
        </w:tc>
        <w:tc>
          <w:tcPr>
            <w:tcW w:type="dxa" w:w="1754"/>
          </w:tcPr>
          <w:p>
            <w:r/>
            <w:r>
              <w:rPr>
                <w:rFonts w:ascii="Times New Roman" w:hAnsi="Times New Roman"/>
                <w:sz w:val="20"/>
              </w:rPr>
            </w:r>
          </w:p>
        </w:tc>
        <w:tc>
          <w:tcPr>
            <w:tcW w:type="dxa" w:w="1754"/>
          </w:tcPr>
          <w:p>
            <w:r/>
            <w:r>
              <w:rPr>
                <w:rFonts w:ascii="Times New Roman" w:hAnsi="Times New Roman"/>
                <w:sz w:val="20"/>
              </w:rPr>
            </w:r>
          </w:p>
        </w:tc>
        <w:tc>
          <w:tcPr>
            <w:tcW w:type="dxa" w:w="1754"/>
          </w:tcPr>
          <w:p>
            <w:r/>
            <w:r>
              <w:rPr>
                <w:rFonts w:ascii="Times New Roman" w:hAnsi="Times New Roman"/>
                <w:sz w:val="20"/>
              </w:rPr>
              <w:t>125 / 375 (33 %)</w:t>
            </w:r>
          </w:p>
        </w:tc>
      </w:tr>
    </w:tbl>
    <w:p>
      <w:pPr>
        <w:pStyle w:val="Overskrift2"/>
      </w:pPr>
      <w:r>
        <w:rPr>
          <w:rFonts w:ascii="Times New Roman" w:hAnsi="Times New Roman"/>
          <w:color w:val="000000"/>
          <w:sz w:val="32"/>
        </w:rPr>
        <w:t>7.3 EOQ-avviksresultater</w:t>
      </w:r>
    </w:p>
    <w:p>
      <w:r>
        <w:rPr>
          <w:rFonts w:ascii="Times New Roman" w:hAnsi="Times New Roman"/>
          <w:i/>
          <w:sz w:val="20"/>
        </w:rPr>
        <w:t>Tabell 11. EOQ-avviksresultater: fordeling av artikler etter ordrefrekvensavvik (n = 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EOQ-status</w:t>
            </w:r>
          </w:p>
        </w:tc>
        <w:tc>
          <w:tcPr>
            <w:tcW w:type="dxa" w:w="2192"/>
            <w:shd w:fill="D9E2F3" w:val="clear"/>
          </w:tcPr>
          <w:p>
            <w:r/>
            <w:r>
              <w:rPr>
                <w:rFonts w:ascii="Times New Roman" w:hAnsi="Times New Roman"/>
                <w:b/>
                <w:sz w:val="20"/>
              </w:rPr>
              <w:t>Betingelse</w:t>
            </w:r>
          </w:p>
        </w:tc>
        <w:tc>
          <w:tcPr>
            <w:tcW w:type="dxa" w:w="2192"/>
            <w:shd w:fill="D9E2F3" w:val="clear"/>
          </w:tcPr>
          <w:p>
            <w:r/>
            <w:r>
              <w:rPr>
                <w:rFonts w:ascii="Times New Roman" w:hAnsi="Times New Roman"/>
                <w:b/>
                <w:sz w:val="20"/>
              </w:rPr>
              <w:t>Antall</w:t>
            </w:r>
          </w:p>
        </w:tc>
        <w:tc>
          <w:tcPr>
            <w:tcW w:type="dxa" w:w="2192"/>
            <w:shd w:fill="D9E2F3" w:val="clear"/>
          </w:tcPr>
          <w:p>
            <w:r/>
            <w:r>
              <w:rPr>
                <w:rFonts w:ascii="Times New Roman" w:hAnsi="Times New Roman"/>
                <w:b/>
                <w:sz w:val="20"/>
              </w:rPr>
              <w:t>Andel</w:t>
            </w:r>
          </w:p>
        </w:tc>
      </w:tr>
      <w:tr>
        <w:tc>
          <w:tcPr>
            <w:tcW w:type="dxa" w:w="2192"/>
          </w:tcPr>
          <w:p>
            <w:r/>
            <w:r>
              <w:rPr>
                <w:rFonts w:ascii="Times New Roman" w:hAnsi="Times New Roman"/>
                <w:sz w:val="20"/>
              </w:rPr>
              <w:t>FOR_MANGE_ORDRER</w:t>
            </w:r>
          </w:p>
        </w:tc>
        <w:tc>
          <w:tcPr>
            <w:tcW w:type="dxa" w:w="2192"/>
          </w:tcPr>
          <w:p>
            <w:r/>
            <w:r>
              <w:rPr>
                <w:rFonts w:ascii="Times New Roman" w:hAnsi="Times New Roman"/>
                <w:sz w:val="20"/>
              </w:rPr>
              <w:t>FREQ_AVVIK &gt; 1,5</w:t>
            </w:r>
          </w:p>
        </w:tc>
        <w:tc>
          <w:tcPr>
            <w:tcW w:type="dxa" w:w="2192"/>
          </w:tcPr>
          <w:p>
            <w:r/>
            <w:r>
              <w:rPr>
                <w:rFonts w:ascii="Times New Roman" w:hAnsi="Times New Roman"/>
                <w:sz w:val="20"/>
              </w:rPr>
              <w:t>356</w:t>
            </w:r>
          </w:p>
        </w:tc>
        <w:tc>
          <w:tcPr>
            <w:tcW w:type="dxa" w:w="2192"/>
          </w:tcPr>
          <w:p>
            <w:r/>
            <w:r>
              <w:rPr>
                <w:rFonts w:ascii="Times New Roman" w:hAnsi="Times New Roman"/>
                <w:sz w:val="20"/>
              </w:rPr>
              <w:t>73,1 %</w:t>
            </w:r>
          </w:p>
        </w:tc>
      </w:tr>
      <w:tr>
        <w:tc>
          <w:tcPr>
            <w:tcW w:type="dxa" w:w="2192"/>
          </w:tcPr>
          <w:p>
            <w:r/>
            <w:r>
              <w:rPr>
                <w:rFonts w:ascii="Times New Roman" w:hAnsi="Times New Roman"/>
                <w:sz w:val="20"/>
              </w:rPr>
              <w:t>OK</w:t>
            </w:r>
          </w:p>
        </w:tc>
        <w:tc>
          <w:tcPr>
            <w:tcW w:type="dxa" w:w="2192"/>
          </w:tcPr>
          <w:p>
            <w:r/>
            <w:r>
              <w:rPr>
                <w:rFonts w:ascii="Times New Roman" w:hAnsi="Times New Roman"/>
                <w:sz w:val="20"/>
              </w:rPr>
              <w:t>−0,5 ≤ FREQ_AVVIK ≤ 1,5</w:t>
            </w:r>
          </w:p>
        </w:tc>
        <w:tc>
          <w:tcPr>
            <w:tcW w:type="dxa" w:w="2192"/>
          </w:tcPr>
          <w:p>
            <w:r/>
            <w:r>
              <w:rPr>
                <w:rFonts w:ascii="Times New Roman" w:hAnsi="Times New Roman"/>
                <w:sz w:val="20"/>
              </w:rPr>
              <w:t>100</w:t>
            </w:r>
          </w:p>
        </w:tc>
        <w:tc>
          <w:tcPr>
            <w:tcW w:type="dxa" w:w="2192"/>
          </w:tcPr>
          <w:p>
            <w:r/>
            <w:r>
              <w:rPr>
                <w:rFonts w:ascii="Times New Roman" w:hAnsi="Times New Roman"/>
                <w:sz w:val="20"/>
              </w:rPr>
              <w:t>20,5 %</w:t>
            </w:r>
          </w:p>
        </w:tc>
      </w:tr>
      <w:tr>
        <w:tc>
          <w:tcPr>
            <w:tcW w:type="dxa" w:w="2192"/>
          </w:tcPr>
          <w:p>
            <w:r/>
            <w:r>
              <w:rPr>
                <w:rFonts w:ascii="Times New Roman" w:hAnsi="Times New Roman"/>
                <w:sz w:val="20"/>
              </w:rPr>
              <w:t>FOR_FÅ_ORDRER</w:t>
            </w:r>
          </w:p>
        </w:tc>
        <w:tc>
          <w:tcPr>
            <w:tcW w:type="dxa" w:w="2192"/>
          </w:tcPr>
          <w:p>
            <w:r/>
            <w:r>
              <w:rPr>
                <w:rFonts w:ascii="Times New Roman" w:hAnsi="Times New Roman"/>
                <w:sz w:val="20"/>
              </w:rPr>
              <w:t>FREQ_AVVIK &lt; −0,5</w:t>
            </w:r>
          </w:p>
        </w:tc>
        <w:tc>
          <w:tcPr>
            <w:tcW w:type="dxa" w:w="2192"/>
          </w:tcPr>
          <w:p>
            <w:r/>
            <w:r>
              <w:rPr>
                <w:rFonts w:ascii="Times New Roman" w:hAnsi="Times New Roman"/>
                <w:sz w:val="20"/>
              </w:rPr>
              <w:t>31</w:t>
            </w:r>
          </w:p>
        </w:tc>
        <w:tc>
          <w:tcPr>
            <w:tcW w:type="dxa" w:w="2192"/>
          </w:tcPr>
          <w:p>
            <w:r/>
            <w:r>
              <w:rPr>
                <w:rFonts w:ascii="Times New Roman" w:hAnsi="Times New Roman"/>
                <w:sz w:val="20"/>
              </w:rPr>
              <w:t>6,4 %</w:t>
            </w:r>
          </w:p>
        </w:tc>
      </w:tr>
      <w:tr>
        <w:tc>
          <w:tcPr>
            <w:tcW w:type="dxa" w:w="2192"/>
          </w:tcPr>
          <w:p>
            <w:r/>
            <w:r>
              <w:rPr>
                <w:rFonts w:ascii="Times New Roman" w:hAnsi="Times New Roman"/>
                <w:sz w:val="20"/>
              </w:rPr>
              <w:t>Totalt analysert</w:t>
            </w:r>
          </w:p>
        </w:tc>
        <w:tc>
          <w:tcPr>
            <w:tcW w:type="dxa" w:w="2192"/>
          </w:tcPr>
          <w:p>
            <w:r/>
            <w:r>
              <w:rPr>
                <w:rFonts w:ascii="Times New Roman" w:hAnsi="Times New Roman"/>
                <w:sz w:val="20"/>
              </w:rPr>
            </w:r>
          </w:p>
        </w:tc>
        <w:tc>
          <w:tcPr>
            <w:tcW w:type="dxa" w:w="2192"/>
          </w:tcPr>
          <w:p>
            <w:r/>
            <w:r>
              <w:rPr>
                <w:rFonts w:ascii="Times New Roman" w:hAnsi="Times New Roman"/>
                <w:sz w:val="20"/>
              </w:rPr>
              <w:t>487</w:t>
            </w:r>
          </w:p>
        </w:tc>
        <w:tc>
          <w:tcPr>
            <w:tcW w:type="dxa" w:w="2192"/>
          </w:tcPr>
          <w:p>
            <w:r/>
            <w:r>
              <w:rPr>
                <w:rFonts w:ascii="Times New Roman" w:hAnsi="Times New Roman"/>
                <w:sz w:val="20"/>
              </w:rPr>
              <w:t>100 %</w:t>
            </w:r>
          </w:p>
        </w:tc>
      </w:tr>
      <w:tr>
        <w:tc>
          <w:tcPr>
            <w:tcW w:type="dxa" w:w="2192"/>
          </w:tcPr>
          <w:p>
            <w:r/>
            <w:r>
              <w:rPr>
                <w:rFonts w:ascii="Times New Roman" w:hAnsi="Times New Roman"/>
                <w:sz w:val="20"/>
              </w:rPr>
              <w:t>Samlet ΔTC (alle 487)</w:t>
            </w:r>
          </w:p>
        </w:tc>
        <w:tc>
          <w:tcPr>
            <w:tcW w:type="dxa" w:w="2192"/>
          </w:tcPr>
          <w:p>
            <w:r/>
            <w:r>
              <w:rPr>
                <w:rFonts w:ascii="Times New Roman" w:hAnsi="Times New Roman"/>
                <w:sz w:val="20"/>
              </w:rPr>
            </w:r>
          </w:p>
        </w:tc>
        <w:tc>
          <w:tcPr>
            <w:tcW w:type="dxa" w:w="2192"/>
          </w:tcPr>
          <w:p>
            <w:r/>
            <w:r>
              <w:rPr>
                <w:rFonts w:ascii="Times New Roman" w:hAnsi="Times New Roman"/>
                <w:sz w:val="20"/>
              </w:rPr>
              <w:t>kr 2 333 441 / år</w:t>
            </w:r>
          </w:p>
        </w:tc>
        <w:tc>
          <w:tcPr>
            <w:tcW w:type="dxa" w:w="2192"/>
          </w:tcPr>
          <w:p>
            <w:r/>
            <w:r>
              <w:rPr>
                <w:rFonts w:ascii="Times New Roman" w:hAnsi="Times New Roman"/>
                <w:sz w:val="20"/>
              </w:rPr>
            </w:r>
          </w:p>
        </w:tc>
      </w:tr>
    </w:tbl>
    <w:p>
      <w:pPr>
        <w:spacing w:line="360" w:lineRule="auto"/>
      </w:pPr>
      <w:r>
        <w:rPr>
          <w:rFonts w:ascii="Times New Roman" w:hAnsi="Times New Roman" w:cs="Times New Roman"/>
          <w:sz w:val="24"/>
        </w:rPr>
        <w:t>Av de 487 artiklene med tilstrekkelig data for EOQ-beregning har 356 artikler (73,1 %) en faktisk ordrefrekvens som overskrider EOQ-optimal frekvens med mer enn 50 %, og er klassifisert som FOR\_MANGE\_ORDRER. 100 artikler (20,5 %) opererer innenfor akseptabelt avvik (OK), og 31 artikler (6,4 %) bestiller sjeldnere enn EOQ-optimalt (FOR\_FÅ\_ORDRER). Den høye andelen FOR\_MANGE\_ORDRER indikerer at den eksisterende bestillingspraksisen ved LGORT 3001 er systematisk suboptimal — artiklene bestilles i for små kvanta og for ofte i forhold til hva Wilson-modellen tilsier med de gitte parameterne S = 750 NOK og h = 20 %.</w:t>
      </w:r>
    </w:p>
    <w:p>
      <w:pPr>
        <w:spacing w:line="360" w:lineRule="auto"/>
      </w:pPr>
      <w:r>
        <w:rPr>
          <w:rFonts w:ascii="Times New Roman" w:hAnsi="Times New Roman" w:cs="Times New Roman"/>
          <w:sz w:val="24"/>
        </w:rPr>
        <w:t>Det samlede teoretiske totalkostnavviket $\sum \Delta TC_i$ for alle 487 artikler er kr 2 333 441 per år. Dette representerer det totale kostnadsoverskuddet som genereres av at faktisk ordrepraksis avviker fra EOQ-optimal; det er ikke direkte det samme som det realisable besparelsespotensialet, da kun artikler i OVERFØR\_HVFS-kategorien inngår i besparelsesberegningen (se avsnitt 7.6). Fordelingen av FREQ\_AVVIK er illustrert i Figur 6 i kapittel 6.</w:t>
      </w:r>
    </w:p>
    <w:p>
      <w:pPr>
        <w:pStyle w:val="Overskrift2"/>
      </w:pPr>
      <w:r>
        <w:rPr>
          <w:rFonts w:ascii="Times New Roman" w:hAnsi="Times New Roman"/>
          <w:color w:val="000000"/>
          <w:sz w:val="32"/>
        </w:rPr>
        <w:t>7.4 K-means klyngeresultater</w:t>
      </w:r>
    </w:p>
    <w:p>
      <w:pPr>
        <w:spacing w:line="360" w:lineRule="auto"/>
      </w:pPr>
      <w:r>
        <w:rPr>
          <w:rFonts w:ascii="Times New Roman" w:hAnsi="Times New Roman" w:cs="Times New Roman"/>
          <w:sz w:val="24"/>
        </w:rPr>
        <w:t>K-means-analysen med automatisk K-valg via silhouette-score identifiserte K = 3 som optimalt antall klynger. Silhouette-score på treningsdataene (n = 389) var 0,383, og på testdataene (n = 98) var 0,368. Differansen mellom trenings- og testresultat er 0,015, noe som ikke indikerer vesentlig overfit. Klyngeprofiler er presentert i Tabell 12.</w:t>
      </w:r>
    </w:p>
    <w:p>
      <w:r>
        <w:rPr>
          <w:rFonts w:ascii="Times New Roman" w:hAnsi="Times New Roman"/>
          <w:i/>
          <w:sz w:val="20"/>
        </w:rPr>
        <w:t>Tabell 12. K-means klyngeprofiler: gjennomsnittsverdier per klynge for de tre featurene (K = 3, n = 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1"/>
        <w:gridCol w:w="1461"/>
        <w:gridCol w:w="1461"/>
        <w:gridCol w:w="1461"/>
        <w:gridCol w:w="1461"/>
        <w:gridCol w:w="1461"/>
      </w:tblGrid>
      <w:tr>
        <w:tc>
          <w:tcPr>
            <w:tcW w:type="dxa" w:w="1461"/>
            <w:shd w:fill="D9E2F3" w:val="clear"/>
          </w:tcPr>
          <w:p>
            <w:r/>
            <w:r>
              <w:rPr>
                <w:rFonts w:ascii="Times New Roman" w:hAnsi="Times New Roman"/>
                <w:b/>
                <w:sz w:val="20"/>
              </w:rPr>
              <w:t>Klynge</w:t>
            </w:r>
          </w:p>
        </w:tc>
        <w:tc>
          <w:tcPr>
            <w:tcW w:type="dxa" w:w="1461"/>
            <w:shd w:fill="D9E2F3" w:val="clear"/>
          </w:tcPr>
          <w:p>
            <w:r/>
            <w:r>
              <w:rPr>
                <w:rFonts w:ascii="Times New Roman" w:hAnsi="Times New Roman"/>
                <w:b/>
                <w:sz w:val="20"/>
              </w:rPr>
              <w:t>Antall</w:t>
            </w:r>
          </w:p>
        </w:tc>
        <w:tc>
          <w:tcPr>
            <w:tcW w:type="dxa" w:w="1461"/>
            <w:shd w:fill="D9E2F3" w:val="clear"/>
          </w:tcPr>
          <w:p>
            <w:r/>
            <w:r>
              <w:rPr>
                <w:rFonts w:ascii="Times New Roman" w:hAnsi="Times New Roman"/>
                <w:b/>
                <w:sz w:val="20"/>
              </w:rPr>
              <w:t>CV snitt</w:t>
            </w:r>
          </w:p>
        </w:tc>
        <w:tc>
          <w:tcPr>
            <w:tcW w:type="dxa" w:w="1461"/>
            <w:shd w:fill="D9E2F3" w:val="clear"/>
          </w:tcPr>
          <w:p>
            <w:r/>
            <w:r>
              <w:rPr>
                <w:rFonts w:ascii="Times New Roman" w:hAnsi="Times New Roman"/>
                <w:b/>
                <w:sz w:val="20"/>
              </w:rPr>
              <w:t>Verdi snitt (kr)</w:t>
            </w:r>
          </w:p>
        </w:tc>
        <w:tc>
          <w:tcPr>
            <w:tcW w:type="dxa" w:w="1461"/>
            <w:shd w:fill="D9E2F3" w:val="clear"/>
          </w:tcPr>
          <w:p>
            <w:r/>
            <w:r>
              <w:rPr>
                <w:rFonts w:ascii="Times New Roman" w:hAnsi="Times New Roman"/>
                <w:b/>
                <w:sz w:val="20"/>
              </w:rPr>
              <w:t>ΔTC snitt (kr)</w:t>
            </w:r>
          </w:p>
        </w:tc>
        <w:tc>
          <w:tcPr>
            <w:tcW w:type="dxa" w:w="1461"/>
            <w:shd w:fill="D9E2F3" w:val="clear"/>
          </w:tcPr>
          <w:p>
            <w:r/>
            <w:r>
              <w:rPr>
                <w:rFonts w:ascii="Times New Roman" w:hAnsi="Times New Roman"/>
                <w:b/>
                <w:sz w:val="20"/>
              </w:rPr>
              <w:t>Profil</w:t>
            </w:r>
          </w:p>
        </w:tc>
      </w:tr>
      <w:tr>
        <w:tc>
          <w:tcPr>
            <w:tcW w:type="dxa" w:w="1461"/>
          </w:tcPr>
          <w:p>
            <w:r/>
            <w:r>
              <w:rPr>
                <w:rFonts w:ascii="Times New Roman" w:hAnsi="Times New Roman"/>
                <w:sz w:val="20"/>
              </w:rPr>
              <w:t>1</w:t>
            </w:r>
          </w:p>
        </w:tc>
        <w:tc>
          <w:tcPr>
            <w:tcW w:type="dxa" w:w="1461"/>
          </w:tcPr>
          <w:p>
            <w:r/>
            <w:r>
              <w:rPr>
                <w:rFonts w:ascii="Times New Roman" w:hAnsi="Times New Roman"/>
                <w:sz w:val="20"/>
              </w:rPr>
              <w:t>31</w:t>
            </w:r>
          </w:p>
        </w:tc>
        <w:tc>
          <w:tcPr>
            <w:tcW w:type="dxa" w:w="1461"/>
          </w:tcPr>
          <w:p>
            <w:r/>
            <w:r>
              <w:rPr>
                <w:rFonts w:ascii="Times New Roman" w:hAnsi="Times New Roman"/>
                <w:sz w:val="20"/>
              </w:rPr>
              <w:t>1,05</w:t>
            </w:r>
          </w:p>
        </w:tc>
        <w:tc>
          <w:tcPr>
            <w:tcW w:type="dxa" w:w="1461"/>
          </w:tcPr>
          <w:p>
            <w:r/>
            <w:r>
              <w:rPr>
                <w:rFonts w:ascii="Times New Roman" w:hAnsi="Times New Roman"/>
                <w:sz w:val="20"/>
              </w:rPr>
              <w:t>150</w:t>
            </w:r>
          </w:p>
        </w:tc>
        <w:tc>
          <w:tcPr>
            <w:tcW w:type="dxa" w:w="1461"/>
          </w:tcPr>
          <w:p>
            <w:r/>
            <w:r>
              <w:rPr>
                <w:rFonts w:ascii="Times New Roman" w:hAnsi="Times New Roman"/>
                <w:sz w:val="20"/>
              </w:rPr>
              <w:t>4 999</w:t>
            </w:r>
          </w:p>
        </w:tc>
        <w:tc>
          <w:tcPr>
            <w:tcW w:type="dxa" w:w="1461"/>
          </w:tcPr>
          <w:p>
            <w:r/>
            <w:r>
              <w:rPr>
                <w:rFonts w:ascii="Times New Roman" w:hAnsi="Times New Roman"/>
                <w:sz w:val="20"/>
              </w:rPr>
              <w:t>Lav verdi, høy variasjon</w:t>
            </w:r>
          </w:p>
        </w:tc>
      </w:tr>
      <w:tr>
        <w:tc>
          <w:tcPr>
            <w:tcW w:type="dxa" w:w="1461"/>
          </w:tcPr>
          <w:p>
            <w:r/>
            <w:r>
              <w:rPr>
                <w:rFonts w:ascii="Times New Roman" w:hAnsi="Times New Roman"/>
                <w:sz w:val="20"/>
              </w:rPr>
              <w:t>2</w:t>
            </w:r>
          </w:p>
        </w:tc>
        <w:tc>
          <w:tcPr>
            <w:tcW w:type="dxa" w:w="1461"/>
          </w:tcPr>
          <w:p>
            <w:r/>
            <w:r>
              <w:rPr>
                <w:rFonts w:ascii="Times New Roman" w:hAnsi="Times New Roman"/>
                <w:sz w:val="20"/>
              </w:rPr>
              <w:t>175</w:t>
            </w:r>
          </w:p>
        </w:tc>
        <w:tc>
          <w:tcPr>
            <w:tcW w:type="dxa" w:w="1461"/>
          </w:tcPr>
          <w:p>
            <w:r/>
            <w:r>
              <w:rPr>
                <w:rFonts w:ascii="Times New Roman" w:hAnsi="Times New Roman"/>
                <w:sz w:val="20"/>
              </w:rPr>
              <w:t>1,59</w:t>
            </w:r>
          </w:p>
        </w:tc>
        <w:tc>
          <w:tcPr>
            <w:tcW w:type="dxa" w:w="1461"/>
          </w:tcPr>
          <w:p>
            <w:r/>
            <w:r>
              <w:rPr>
                <w:rFonts w:ascii="Times New Roman" w:hAnsi="Times New Roman"/>
                <w:sz w:val="20"/>
              </w:rPr>
              <w:t>79 658</w:t>
            </w:r>
          </w:p>
        </w:tc>
        <w:tc>
          <w:tcPr>
            <w:tcW w:type="dxa" w:w="1461"/>
          </w:tcPr>
          <w:p>
            <w:r/>
            <w:r>
              <w:rPr>
                <w:rFonts w:ascii="Times New Roman" w:hAnsi="Times New Roman"/>
                <w:sz w:val="20"/>
              </w:rPr>
              <w:t>1 199</w:t>
            </w:r>
          </w:p>
        </w:tc>
        <w:tc>
          <w:tcPr>
            <w:tcW w:type="dxa" w:w="1461"/>
          </w:tcPr>
          <w:p>
            <w:r/>
            <w:r>
              <w:rPr>
                <w:rFonts w:ascii="Times New Roman" w:hAnsi="Times New Roman"/>
                <w:sz w:val="20"/>
              </w:rPr>
              <w:t>Middels verdi, svært variabelt</w:t>
            </w:r>
          </w:p>
        </w:tc>
      </w:tr>
      <w:tr>
        <w:tc>
          <w:tcPr>
            <w:tcW w:type="dxa" w:w="1461"/>
          </w:tcPr>
          <w:p>
            <w:r/>
            <w:r>
              <w:rPr>
                <w:rFonts w:ascii="Times New Roman" w:hAnsi="Times New Roman"/>
                <w:sz w:val="20"/>
              </w:rPr>
              <w:t>3 (K_OVERFØR)</w:t>
            </w:r>
          </w:p>
        </w:tc>
        <w:tc>
          <w:tcPr>
            <w:tcW w:type="dxa" w:w="1461"/>
          </w:tcPr>
          <w:p>
            <w:r/>
            <w:r>
              <w:rPr>
                <w:rFonts w:ascii="Times New Roman" w:hAnsi="Times New Roman"/>
                <w:sz w:val="20"/>
              </w:rPr>
              <w:t>281</w:t>
            </w:r>
          </w:p>
        </w:tc>
        <w:tc>
          <w:tcPr>
            <w:tcW w:type="dxa" w:w="1461"/>
          </w:tcPr>
          <w:p>
            <w:r/>
            <w:r>
              <w:rPr>
                <w:rFonts w:ascii="Times New Roman" w:hAnsi="Times New Roman"/>
                <w:sz w:val="20"/>
              </w:rPr>
              <w:t>0,47</w:t>
            </w:r>
          </w:p>
        </w:tc>
        <w:tc>
          <w:tcPr>
            <w:tcW w:type="dxa" w:w="1461"/>
          </w:tcPr>
          <w:p>
            <w:r/>
            <w:r>
              <w:rPr>
                <w:rFonts w:ascii="Times New Roman" w:hAnsi="Times New Roman"/>
                <w:sz w:val="20"/>
              </w:rPr>
              <w:t>167 267</w:t>
            </w:r>
          </w:p>
        </w:tc>
        <w:tc>
          <w:tcPr>
            <w:tcW w:type="dxa" w:w="1461"/>
          </w:tcPr>
          <w:p>
            <w:r/>
            <w:r>
              <w:rPr>
                <w:rFonts w:ascii="Times New Roman" w:hAnsi="Times New Roman"/>
                <w:sz w:val="20"/>
              </w:rPr>
              <w:t>7 005</w:t>
            </w:r>
          </w:p>
        </w:tc>
        <w:tc>
          <w:tcPr>
            <w:tcW w:type="dxa" w:w="1461"/>
          </w:tcPr>
          <w:p>
            <w:r/>
            <w:r>
              <w:rPr>
                <w:rFonts w:ascii="Times New Roman" w:hAnsi="Times New Roman"/>
                <w:sz w:val="20"/>
              </w:rPr>
              <w:t>Høy verdi, stabilt, høyt avvik</w:t>
            </w:r>
          </w:p>
        </w:tc>
      </w:tr>
    </w:tbl>
    <w:p>
      <w:pPr>
        <w:spacing w:line="360" w:lineRule="auto"/>
      </w:pPr>
      <w:r>
        <w:rPr>
          <w:rFonts w:ascii="Times New Roman" w:hAnsi="Times New Roman" w:cs="Times New Roman"/>
          <w:sz w:val="24"/>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spacing w:line="360" w:lineRule="auto"/>
      </w:pPr>
      <w:r>
        <w:rPr>
          <w:rFonts w:ascii="Times New Roman" w:hAnsi="Times New Roman" w:cs="Times New Roman"/>
          <w:sz w:val="24"/>
        </w:rPr>
        <w:t>K\_OVERFØR-klyngen (klynge 3, 281 artikler) kjennetegnes av gjennomsnittlig CV = 0,47 (under X-grensen på 0,5), gjennomsnittlig årsverdi kr 167 267 og gjennomsnittlig $|\Delta TC|$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8 i kapittel 6.</w:t>
      </w:r>
    </w:p>
    <w:p>
      <w:pPr>
        <w:pStyle w:val="Overskrift2"/>
      </w:pPr>
      <w:r>
        <w:rPr>
          <w:rFonts w:ascii="Times New Roman" w:hAnsi="Times New Roman"/>
          <w:color w:val="000000"/>
          <w:sz w:val="32"/>
        </w:rPr>
        <w:t>7.5 Regelmotor og HVFS-anbefalinger</w:t>
      </w:r>
    </w:p>
    <w:p>
      <w:pPr>
        <w:spacing w:line="360" w:lineRule="auto"/>
      </w:pPr>
      <w:r>
        <w:rPr>
          <w:rFonts w:ascii="Times New Roman" w:hAnsi="Times New Roman" w:cs="Times New Roman"/>
          <w:sz w:val="24"/>
        </w:rPr>
        <w:t>Regelmotoren produserte en anbefaling for samtlige 709 artikler. Fordelingen er presentert i Tabell 13.</w:t>
      </w:r>
    </w:p>
    <w:p>
      <w:r>
        <w:rPr>
          <w:rFonts w:ascii="Times New Roman" w:hAnsi="Times New Roman"/>
          <w:i/>
          <w:sz w:val="20"/>
        </w:rPr>
        <w:t>Tabell 13. HVFS-anbefalinger fra regelmotor: fordeling per kategori (n = 709, LGORT 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2"/>
        <w:gridCol w:w="2192"/>
        <w:gridCol w:w="2192"/>
        <w:gridCol w:w="2192"/>
      </w:tblGrid>
      <w:tr>
        <w:tc>
          <w:tcPr>
            <w:tcW w:type="dxa" w:w="2192"/>
            <w:shd w:fill="D9E2F3" w:val="clear"/>
          </w:tcPr>
          <w:p>
            <w:r/>
            <w:r>
              <w:rPr>
                <w:rFonts w:ascii="Times New Roman" w:hAnsi="Times New Roman"/>
                <w:b/>
                <w:sz w:val="20"/>
              </w:rPr>
              <w:t>Kategori</w:t>
            </w:r>
          </w:p>
        </w:tc>
        <w:tc>
          <w:tcPr>
            <w:tcW w:type="dxa" w:w="2192"/>
            <w:shd w:fill="D9E2F3" w:val="clear"/>
          </w:tcPr>
          <w:p>
            <w:r/>
            <w:r>
              <w:rPr>
                <w:rFonts w:ascii="Times New Roman" w:hAnsi="Times New Roman"/>
                <w:b/>
                <w:sz w:val="20"/>
              </w:rPr>
              <w:t>Antall</w:t>
            </w:r>
          </w:p>
        </w:tc>
        <w:tc>
          <w:tcPr>
            <w:tcW w:type="dxa" w:w="2192"/>
            <w:shd w:fill="D9E2F3" w:val="clear"/>
          </w:tcPr>
          <w:p>
            <w:r/>
            <w:r>
              <w:rPr>
                <w:rFonts w:ascii="Times New Roman" w:hAnsi="Times New Roman"/>
                <w:b/>
                <w:sz w:val="20"/>
              </w:rPr>
              <w:t>Andel</w:t>
            </w:r>
          </w:p>
        </w:tc>
        <w:tc>
          <w:tcPr>
            <w:tcW w:type="dxa" w:w="2192"/>
            <w:shd w:fill="D9E2F3" w:val="clear"/>
          </w:tcPr>
          <w:p>
            <w:r/>
            <w:r>
              <w:rPr>
                <w:rFonts w:ascii="Times New Roman" w:hAnsi="Times New Roman"/>
                <w:b/>
                <w:sz w:val="20"/>
              </w:rPr>
              <w:t>Beskrivelse</w:t>
            </w:r>
          </w:p>
        </w:tc>
      </w:tr>
      <w:tr>
        <w:tc>
          <w:tcPr>
            <w:tcW w:type="dxa" w:w="2192"/>
          </w:tcPr>
          <w:p>
            <w:r/>
            <w:r>
              <w:rPr>
                <w:rFonts w:ascii="Times New Roman" w:hAnsi="Times New Roman"/>
                <w:sz w:val="20"/>
              </w:rPr>
              <w:t>OVERFØR_HVFS</w:t>
            </w:r>
          </w:p>
        </w:tc>
        <w:tc>
          <w:tcPr>
            <w:tcW w:type="dxa" w:w="2192"/>
          </w:tcPr>
          <w:p>
            <w:r/>
            <w:r>
              <w:rPr>
                <w:rFonts w:ascii="Times New Roman" w:hAnsi="Times New Roman"/>
                <w:sz w:val="20"/>
              </w:rPr>
              <w:t>145</w:t>
            </w:r>
          </w:p>
        </w:tc>
        <w:tc>
          <w:tcPr>
            <w:tcW w:type="dxa" w:w="2192"/>
          </w:tcPr>
          <w:p>
            <w:r/>
            <w:r>
              <w:rPr>
                <w:rFonts w:ascii="Times New Roman" w:hAnsi="Times New Roman"/>
                <w:sz w:val="20"/>
              </w:rPr>
              <w:t>20,5 %</w:t>
            </w:r>
          </w:p>
        </w:tc>
        <w:tc>
          <w:tcPr>
            <w:tcW w:type="dxa" w:w="2192"/>
          </w:tcPr>
          <w:p>
            <w:r/>
            <w:r>
              <w:rPr>
                <w:rFonts w:ascii="Times New Roman" w:hAnsi="Times New Roman"/>
                <w:sz w:val="20"/>
              </w:rPr>
              <w:t>Anbefales overført til HVFS</w:t>
            </w:r>
          </w:p>
        </w:tc>
      </w:tr>
      <w:tr>
        <w:tc>
          <w:tcPr>
            <w:tcW w:type="dxa" w:w="2192"/>
          </w:tcPr>
          <w:p>
            <w:r/>
            <w:r>
              <w:rPr>
                <w:rFonts w:ascii="Times New Roman" w:hAnsi="Times New Roman"/>
                <w:sz w:val="20"/>
              </w:rPr>
              <w:t>BEHOLD_LOKALT</w:t>
            </w:r>
          </w:p>
        </w:tc>
        <w:tc>
          <w:tcPr>
            <w:tcW w:type="dxa" w:w="2192"/>
          </w:tcPr>
          <w:p>
            <w:r/>
            <w:r>
              <w:rPr>
                <w:rFonts w:ascii="Times New Roman" w:hAnsi="Times New Roman"/>
                <w:sz w:val="20"/>
              </w:rPr>
              <w:t>257</w:t>
            </w:r>
          </w:p>
        </w:tc>
        <w:tc>
          <w:tcPr>
            <w:tcW w:type="dxa" w:w="2192"/>
          </w:tcPr>
          <w:p>
            <w:r/>
            <w:r>
              <w:rPr>
                <w:rFonts w:ascii="Times New Roman" w:hAnsi="Times New Roman"/>
                <w:sz w:val="20"/>
              </w:rPr>
              <w:t>36,2 %</w:t>
            </w:r>
          </w:p>
        </w:tc>
        <w:tc>
          <w:tcPr>
            <w:tcW w:type="dxa" w:w="2192"/>
          </w:tcPr>
          <w:p>
            <w:r/>
            <w:r>
              <w:rPr>
                <w:rFonts w:ascii="Times New Roman" w:hAnsi="Times New Roman"/>
                <w:sz w:val="20"/>
              </w:rPr>
              <w:t>Beholdes lokalt (Z-klasse eller CY)</w:t>
            </w:r>
          </w:p>
        </w:tc>
      </w:tr>
      <w:tr>
        <w:tc>
          <w:tcPr>
            <w:tcW w:type="dxa" w:w="2192"/>
          </w:tcPr>
          <w:p>
            <w:r/>
            <w:r>
              <w:rPr>
                <w:rFonts w:ascii="Times New Roman" w:hAnsi="Times New Roman"/>
                <w:sz w:val="20"/>
              </w:rPr>
              <w:t>TIL_VURDERING</w:t>
            </w:r>
          </w:p>
        </w:tc>
        <w:tc>
          <w:tcPr>
            <w:tcW w:type="dxa" w:w="2192"/>
          </w:tcPr>
          <w:p>
            <w:r/>
            <w:r>
              <w:rPr>
                <w:rFonts w:ascii="Times New Roman" w:hAnsi="Times New Roman"/>
                <w:sz w:val="20"/>
              </w:rPr>
              <w:t>284</w:t>
            </w:r>
          </w:p>
        </w:tc>
        <w:tc>
          <w:tcPr>
            <w:tcW w:type="dxa" w:w="2192"/>
          </w:tcPr>
          <w:p>
            <w:r/>
            <w:r>
              <w:rPr>
                <w:rFonts w:ascii="Times New Roman" w:hAnsi="Times New Roman"/>
                <w:sz w:val="20"/>
              </w:rPr>
              <w:t>40,1 %</w:t>
            </w:r>
          </w:p>
        </w:tc>
        <w:tc>
          <w:tcPr>
            <w:tcW w:type="dxa" w:w="2192"/>
          </w:tcPr>
          <w:p>
            <w:r/>
            <w:r>
              <w:rPr>
                <w:rFonts w:ascii="Times New Roman" w:hAnsi="Times New Roman"/>
                <w:sz w:val="20"/>
              </w:rPr>
              <w:t>Krever manuell vurdering</w:t>
            </w:r>
          </w:p>
        </w:tc>
      </w:tr>
      <w:tr>
        <w:tc>
          <w:tcPr>
            <w:tcW w:type="dxa" w:w="2192"/>
          </w:tcPr>
          <w:p>
            <w:r/>
            <w:r>
              <w:rPr>
                <w:rFonts w:ascii="Times New Roman" w:hAnsi="Times New Roman"/>
                <w:sz w:val="20"/>
              </w:rPr>
              <w:t>MANGLER_DATA</w:t>
            </w:r>
          </w:p>
        </w:tc>
        <w:tc>
          <w:tcPr>
            <w:tcW w:type="dxa" w:w="2192"/>
          </w:tcPr>
          <w:p>
            <w:r/>
            <w:r>
              <w:rPr>
                <w:rFonts w:ascii="Times New Roman" w:hAnsi="Times New Roman"/>
                <w:sz w:val="20"/>
              </w:rPr>
              <w:t>23</w:t>
            </w:r>
          </w:p>
        </w:tc>
        <w:tc>
          <w:tcPr>
            <w:tcW w:type="dxa" w:w="2192"/>
          </w:tcPr>
          <w:p>
            <w:r/>
            <w:r>
              <w:rPr>
                <w:rFonts w:ascii="Times New Roman" w:hAnsi="Times New Roman"/>
                <w:sz w:val="20"/>
              </w:rPr>
              <w:t>3,2 %</w:t>
            </w:r>
          </w:p>
        </w:tc>
        <w:tc>
          <w:tcPr>
            <w:tcW w:type="dxa" w:w="2192"/>
          </w:tcPr>
          <w:p>
            <w:r/>
            <w:r>
              <w:rPr>
                <w:rFonts w:ascii="Times New Roman" w:hAnsi="Times New Roman"/>
                <w:sz w:val="20"/>
              </w:rPr>
              <w:t>Utilstrekkelig data for klassifisering</w:t>
            </w:r>
          </w:p>
        </w:tc>
      </w:tr>
      <w:tr>
        <w:tc>
          <w:tcPr>
            <w:tcW w:type="dxa" w:w="2192"/>
          </w:tcPr>
          <w:p>
            <w:r/>
            <w:r>
              <w:rPr>
                <w:rFonts w:ascii="Times New Roman" w:hAnsi="Times New Roman"/>
                <w:sz w:val="20"/>
              </w:rPr>
              <w:t>Totalt</w:t>
            </w:r>
          </w:p>
        </w:tc>
        <w:tc>
          <w:tcPr>
            <w:tcW w:type="dxa" w:w="2192"/>
          </w:tcPr>
          <w:p>
            <w:r/>
            <w:r>
              <w:rPr>
                <w:rFonts w:ascii="Times New Roman" w:hAnsi="Times New Roman"/>
                <w:sz w:val="20"/>
              </w:rPr>
              <w:t>709</w:t>
            </w:r>
          </w:p>
        </w:tc>
        <w:tc>
          <w:tcPr>
            <w:tcW w:type="dxa" w:w="2192"/>
          </w:tcPr>
          <w:p>
            <w:r/>
            <w:r>
              <w:rPr>
                <w:rFonts w:ascii="Times New Roman" w:hAnsi="Times New Roman"/>
                <w:sz w:val="20"/>
              </w:rPr>
              <w:t>100 %</w:t>
            </w:r>
          </w:p>
        </w:tc>
        <w:tc>
          <w:tcPr>
            <w:tcW w:type="dxa" w:w="2192"/>
          </w:tcPr>
          <w:p>
            <w:r/>
            <w:r>
              <w:rPr>
                <w:rFonts w:ascii="Times New Roman" w:hAnsi="Times New Roman"/>
                <w:sz w:val="20"/>
              </w:rPr>
            </w:r>
          </w:p>
        </w:tc>
      </w:tr>
    </w:tbl>
    <w:p>
      <w:pPr>
        <w:spacing w:line="360" w:lineRule="auto"/>
      </w:pPr>
      <w:r>
        <w:rPr>
          <w:rFonts w:ascii="Times New Roman" w:hAnsi="Times New Roman" w:cs="Times New Roman"/>
          <w:sz w:val="24"/>
        </w:rPr>
        <w:t>145 artikler (20,5 %) anbefales overført til HVFS. Denne gruppen består av artikler som tilfredsstiller ett eller flere av de positive overføringsskriteriene: R3 fanget 91 artikler (A/B + X + FOR\_MANGE\_ORDRER), R4 fanget 26 artikler (A/B + X + K\_OVERFØR), og R5 fanget 28 artikler (A/B + Y + K\_OVERFØR). Av de 145 overførte artiklene har 117 status FOR\_MANGE\_ORDRER og inngår dermed i besparelsesberegningen i avsnitt 7.6. De resterende 28 artiklene (R5) inngår ikke i besparelsesgrunnlaget fordi FOR\_MANGE\_ORDRER-flagget ikke er aktivert, men de anbefales overført fordi kombinasjonen av ABC/XYZ-profil (A/B + Y) og K\_OVERFØR-klyngetilhørighet oppfyller APL-egnethetskriteriet for sentralisering, jf. kap. 5.5.</w:t>
      </w:r>
    </w:p>
    <w:p>
      <w:pPr>
        <w:spacing w:line="360" w:lineRule="auto"/>
      </w:pPr>
      <w:r>
        <w:rPr>
          <w:rFonts w:ascii="Times New Roman" w:hAnsi="Times New Roman" w:cs="Times New Roman"/>
          <w:sz w:val="24"/>
        </w:rPr>
        <w:t>257 artikler (36,2 %) beholdes lokalt, primært grunnet Z-klassifisering (R1: 144 artikler) eller CY-profil (R2: 113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23 artikler (3,2 %) mangler tilstrekkelig data for klassifisering. Fordelingen er visualisert i Figur 10 i kapittel 6.</w:t>
      </w:r>
    </w:p>
    <w:p>
      <w:pPr>
        <w:pStyle w:val="Overskrift2"/>
      </w:pPr>
      <w:r>
        <w:rPr>
          <w:rFonts w:ascii="Times New Roman" w:hAnsi="Times New Roman"/>
          <w:color w:val="000000"/>
          <w:sz w:val="32"/>
        </w:rPr>
        <w:t>7.6 Besparelse og sensitivitet</w:t>
      </w:r>
    </w:p>
    <w:p>
      <w:pPr>
        <w:spacing w:line="360" w:lineRule="auto"/>
      </w:pPr>
      <w:r>
        <w:rPr>
          <w:rFonts w:ascii="Times New Roman" w:hAnsi="Times New Roman" w:cs="Times New Roman"/>
          <w:sz w:val="24"/>
        </w:rPr>
        <w:t>Besparelsesestimatet er beregnet for de 117 artiklene som oppfyller begge kriteriene OVERFØR\_HVFS og FOR\_MANGE\_ORDRER. Formelen er $B = \sum_i \Delta TC_i \times g$, der $g$ er antatt realiseringsgrad for den teoretiske EOQ-besparelsen. Tabell 14 viser resultatene for de tre scenariene.</w:t>
      </w:r>
    </w:p>
    <w:p>
      <w:r>
        <w:rPr>
          <w:rFonts w:ascii="Times New Roman" w:hAnsi="Times New Roman"/>
          <w:i/>
          <w:sz w:val="20"/>
        </w:rPr>
        <w:t>Tabell 14. Besparelsesestimater for tre scenarier: 117 artikler (OVERFØR\_HVFS ∩ FOR\_MANGE\_ORDRER), S = 750 NOK.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3"/>
        <w:gridCol w:w="2923"/>
        <w:gridCol w:w="2923"/>
      </w:tblGrid>
      <w:tr>
        <w:tc>
          <w:tcPr>
            <w:tcW w:type="dxa" w:w="2923"/>
            <w:shd w:fill="D9E2F3" w:val="clear"/>
          </w:tcPr>
          <w:p>
            <w:r/>
            <w:r>
              <w:rPr>
                <w:rFonts w:ascii="Times New Roman" w:hAnsi="Times New Roman"/>
                <w:b/>
                <w:sz w:val="20"/>
              </w:rPr>
              <w:t>Scenario</w:t>
            </w:r>
          </w:p>
        </w:tc>
        <w:tc>
          <w:tcPr>
            <w:tcW w:type="dxa" w:w="2923"/>
            <w:shd w:fill="D9E2F3" w:val="clear"/>
          </w:tcPr>
          <w:p>
            <w:r/>
            <w:r>
              <w:rPr>
                <w:rFonts w:ascii="Times New Roman" w:hAnsi="Times New Roman"/>
                <w:b/>
                <w:sz w:val="20"/>
              </w:rPr>
              <w:t>Realiseringsgrad g</w:t>
            </w:r>
          </w:p>
        </w:tc>
        <w:tc>
          <w:tcPr>
            <w:tcW w:type="dxa" w:w="2923"/>
            <w:shd w:fill="D9E2F3" w:val="clear"/>
          </w:tcPr>
          <w:p>
            <w:r/>
            <w:r>
              <w:rPr>
                <w:rFonts w:ascii="Times New Roman" w:hAnsi="Times New Roman"/>
                <w:b/>
                <w:sz w:val="20"/>
              </w:rPr>
              <w:t>Besparelse B_HVFS (kr/år)</w:t>
            </w:r>
          </w:p>
        </w:tc>
      </w:tr>
      <w:tr>
        <w:tc>
          <w:tcPr>
            <w:tcW w:type="dxa" w:w="2923"/>
          </w:tcPr>
          <w:p>
            <w:r/>
            <w:r>
              <w:rPr>
                <w:rFonts w:ascii="Times New Roman" w:hAnsi="Times New Roman"/>
                <w:sz w:val="20"/>
              </w:rPr>
              <w:t>Worst case</w:t>
            </w:r>
          </w:p>
        </w:tc>
        <w:tc>
          <w:tcPr>
            <w:tcW w:type="dxa" w:w="2923"/>
          </w:tcPr>
          <w:p>
            <w:r/>
            <w:r>
              <w:rPr>
                <w:rFonts w:ascii="Times New Roman" w:hAnsi="Times New Roman"/>
                <w:sz w:val="20"/>
              </w:rPr>
              <w:t>50 %</w:t>
            </w:r>
          </w:p>
        </w:tc>
        <w:tc>
          <w:tcPr>
            <w:tcW w:type="dxa" w:w="2923"/>
          </w:tcPr>
          <w:p>
            <w:r/>
            <w:r>
              <w:rPr>
                <w:rFonts w:ascii="Times New Roman" w:hAnsi="Times New Roman"/>
                <w:sz w:val="20"/>
              </w:rPr>
              <w:t>301 010</w:t>
            </w:r>
          </w:p>
        </w:tc>
      </w:tr>
      <w:tr>
        <w:tc>
          <w:tcPr>
            <w:tcW w:type="dxa" w:w="2923"/>
          </w:tcPr>
          <w:p>
            <w:r/>
            <w:r>
              <w:rPr>
                <w:rFonts w:ascii="Times New Roman" w:hAnsi="Times New Roman"/>
                <w:sz w:val="20"/>
              </w:rPr>
              <w:t>Base case</w:t>
            </w:r>
          </w:p>
        </w:tc>
        <w:tc>
          <w:tcPr>
            <w:tcW w:type="dxa" w:w="2923"/>
          </w:tcPr>
          <w:p>
            <w:r/>
            <w:r>
              <w:rPr>
                <w:rFonts w:ascii="Times New Roman" w:hAnsi="Times New Roman"/>
                <w:sz w:val="20"/>
              </w:rPr>
              <w:t>75 %</w:t>
            </w:r>
          </w:p>
        </w:tc>
        <w:tc>
          <w:tcPr>
            <w:tcW w:type="dxa" w:w="2923"/>
          </w:tcPr>
          <w:p>
            <w:r/>
            <w:r>
              <w:rPr>
                <w:rFonts w:ascii="Times New Roman" w:hAnsi="Times New Roman"/>
                <w:sz w:val="20"/>
              </w:rPr>
              <w:t>451 515</w:t>
            </w:r>
          </w:p>
        </w:tc>
      </w:tr>
      <w:tr>
        <w:tc>
          <w:tcPr>
            <w:tcW w:type="dxa" w:w="2923"/>
          </w:tcPr>
          <w:p>
            <w:r/>
            <w:r>
              <w:rPr>
                <w:rFonts w:ascii="Times New Roman" w:hAnsi="Times New Roman"/>
                <w:sz w:val="20"/>
              </w:rPr>
              <w:t>Best case</w:t>
            </w:r>
          </w:p>
        </w:tc>
        <w:tc>
          <w:tcPr>
            <w:tcW w:type="dxa" w:w="2923"/>
          </w:tcPr>
          <w:p>
            <w:r/>
            <w:r>
              <w:rPr>
                <w:rFonts w:ascii="Times New Roman" w:hAnsi="Times New Roman"/>
                <w:sz w:val="20"/>
              </w:rPr>
              <w:t>100 %</w:t>
            </w:r>
          </w:p>
        </w:tc>
        <w:tc>
          <w:tcPr>
            <w:tcW w:type="dxa" w:w="2923"/>
          </w:tcPr>
          <w:p>
            <w:r/>
            <w:r>
              <w:rPr>
                <w:rFonts w:ascii="Times New Roman" w:hAnsi="Times New Roman"/>
                <w:sz w:val="20"/>
              </w:rPr>
              <w:t>602 020</w:t>
            </w:r>
          </w:p>
        </w:tc>
      </w:tr>
    </w:tbl>
    <w:p>
      <w:pPr>
        <w:spacing w:line="360" w:lineRule="auto"/>
      </w:pPr>
      <w:r>
        <w:rPr>
          <w:rFonts w:ascii="Times New Roman" w:hAnsi="Times New Roman" w:cs="Times New Roman"/>
          <w:sz w:val="24"/>
        </w:rPr>
        <w:t>Samlet teoretisk ΔTC for de 117 artiklene: kr 602 020 per år.</w:t>
      </w:r>
    </w:p>
    <w:p>
      <w:pPr>
        <w:spacing w:line="360" w:lineRule="auto"/>
      </w:pPr>
      <w:r>
        <w:rPr>
          <w:rFonts w:ascii="Times New Roman" w:hAnsi="Times New Roman" w:cs="Times New Roman"/>
          <w:sz w:val="24"/>
        </w:rPr>
        <w:t>Base case-besparelsen er kr 451 515 per år (g = 75 %). Worst case-estimatet er kr 301 010 per år (g = 50 %), og best case er kr 602 020 per år (g = 100 %). Den samlede $\sum \Delta TC_i$ for de 117 artiklene er kr 602 020 per år; dette er det fulle teoretiske besparelsespotensialet dersom alle 117 artikler oppnår EOQ-optimal ordrefrekvens etter overføring. Gevinstrealiseringsgraden g reflekterer at implementeringsfriksjon, endrede leverandøravtaler og SAP-parameterjusteringer gjør det urealistisk å oppnå 100 % av det teoretiske potensialet.</w:t>
      </w:r>
    </w:p>
    <w:p>
      <w:pPr>
        <w:spacing w:line="360" w:lineRule="auto"/>
      </w:pPr>
      <w:r>
        <w:rPr>
          <w:rFonts w:ascii="Times New Roman" w:hAnsi="Times New Roman" w:cs="Times New Roman"/>
          <w:sz w:val="24"/>
        </w:rPr>
        <w:t>Sensitivitetsanalysen over 27 scenarier — der S varieres over {500, 750, 1 000} NOK, h over {15 %, 20 %, 25 %} og terskelparameteren $\tau_f$ over {1,25, 1,50, 2,00} — viser at det samlede $\Delta TC$ for hele populasjonen (487 artikler) varierer mellom kr 1 602 464 og kr 3 068 757 per år avhengig av parametervalg. Den dominerende usikkerhetsfaktoren er ordrekostnad S: en økning fra 500 til 1 000 NOK nær dobler det beregnede kostnadsavviket, da ordrekostnaden inngår lineært i totalkostnadsfunksjonen. Holdesats h har en moderat effekt, mens terskelparameteren $\tau_f$ primært påvirker antallet artikler som klassifiseres som FOR\_MANGE\_ORDRER — en lavere terskel (1,25) gir flere artikler i overføringsgrunnlaget, men reduserer gjennomsnittlig $\Delta TC$ per artikkel. Resultatene er robuste i den forstand at besparelsesestimatet forblir positivt og vesentlig over alle 27 scenarier.</w:t>
      </w:r>
    </w:p>
    <w:p>
      <w:pPr>
        <w:pStyle w:val="Overskrift1"/>
        <w:pageBreakBefore w:val="true"/>
      </w:pPr>
      <w:r>
        <w:rPr>
          <w:rFonts w:ascii="Times New Roman" w:hAnsi="Times New Roman"/>
          <w:color w:val="000000"/>
          <w:sz w:val="36"/>
        </w:rPr>
        <w:t>Kapittel 8 – Diskusjon</w:t>
      </w:r>
    </w:p>
    <w:p>
      <w:pPr>
        <w:pStyle w:val="Overskrift2"/>
      </w:pPr>
      <w:r>
        <w:rPr>
          <w:rFonts w:ascii="Times New Roman" w:hAnsi="Times New Roman"/>
          <w:color w:val="000000"/>
          <w:sz w:val="32"/>
        </w:rPr>
        <w:t>8.1 Funn opp mot litteraturen</w:t>
      </w:r>
    </w:p>
    <w:p>
      <w:pPr>
        <w:spacing w:line="360" w:lineRule="auto"/>
      </w:pPr>
      <w:r>
        <w:rPr>
          <w:rFonts w:ascii="Times New Roman" w:hAnsi="Times New Roman" w:cs="Times New Roman"/>
          <w:sz w:val="24"/>
        </w:rPr>
        <w:t>A-kategorien omfatter 182 artikler, tilsvarende 25,7 % av populasjonen og om lag 80 % av den totale verdibindingen. Dette samsvarer nært med Pareto-prinsippets klassiske formulering, som tilsier at rundt 20 % av artiklene typisk bærer 80 % av verdien (Gupta et al., 2007). At A-andelen i dette datasettet er noe høyere enn den kanoniske 20 %-grensen, er konsistent med funn fra tilsvarende sykehuslagerstudier: Bijvank og Vis (2012) påpeker at sykehuslagre gjerne har en mer konsentrert verdidistribusjon enn industrilager, fordi sortimentet inkluderer få, høyverdige forbruksartikler med høy omløpshastighet. Den observerte fordelingen gir dermed analytisk støtte til å prioritere A-artiklene i overføringsvurderingen, noe regelmotoren reflekterer gjennom at A/B-artikler utløser de sterkeste overføringssignalene.</w:t>
      </w:r>
    </w:p>
    <w:p>
      <w:pPr>
        <w:spacing w:line="360" w:lineRule="auto"/>
      </w:pPr>
      <w:r>
        <w:rPr>
          <w:rFonts w:ascii="Times New Roman" w:hAnsi="Times New Roman" w:cs="Times New Roman"/>
          <w:sz w:val="24"/>
        </w:rPr>
        <w:t>At 33 % av artiklene har samsvarende klasse mellom ZZXYZ og beregnet CV er et lavt samsvarsresultat, men ikke overraskende i lys av litteraturen. Van Kampen et al. (2012) understreker at systemregistrerte klassifiseringer i ERP-systemer raskt mister aktualitet dersom de ikke oppdateres i takt med endringer i forbruksmønstre. Nowotyńska (2013) finner tilsvarende i sin XYZ-studie: statiske systemkategorier og dynamisk beregnet CV divergerer systematisk over tid. Funnet i denne studien – at to av tre artikler har avvikende klasse – gir empirisk støtte til argumentet om at CV-beregning direkte fra transaksjonsdata er nødvendig for en pålitelig klassifisering.</w:t>
      </w:r>
    </w:p>
    <w:p>
      <w:pPr>
        <w:spacing w:line="360" w:lineRule="auto"/>
      </w:pPr>
      <w:r>
        <w:rPr>
          <w:rFonts w:ascii="Times New Roman" w:hAnsi="Times New Roman" w:cs="Times New Roman"/>
          <w:sz w:val="24"/>
        </w:rPr>
        <w:t>Silhouette-scoren på 0,383 (treningsdata) og 0,368 (testdata) er over minstekravet på 0,3 som Ketkar og Vaidya (2014) angir for akseptabel klyngestruktur i eksplorativ analyse. Scoren er likevel ikke sterk etter absolutte mål, og indikerer at klyngene overlapper i noen grad. Dette er forventet i et lagerklassifiseringsproblem der artikler langs et kontinuum av verdi og variasjon ikke naturlig danner skarpt separerte grupper. Srinivasan og Moon (1999) påpeker at K-means i forsyningskjedeanalyse typisk gir moderate silhouette-verdier, og at nytteverdien av klyngingen i dette domenet ligger i profildifferensiering fremfor absolutt separasjon. Differansen på 0,015 mellom trenings- og testsilhouette indikerer at modellen generaliserer akseptabelt til usett data.</w:t>
      </w:r>
    </w:p>
    <w:p>
      <w:pPr>
        <w:spacing w:line="360" w:lineRule="auto"/>
      </w:pPr>
      <w:r>
        <w:rPr>
          <w:rFonts w:ascii="Times New Roman" w:hAnsi="Times New Roman" w:cs="Times New Roman"/>
          <w:sz w:val="24"/>
        </w:rPr>
        <w:t>Base case-estimatet på kr 451 515 per år er basert på 117 artikler og representerer en konservativ beregning; best case gir kr 602 020. Disse tallene er ikke direkte sammenlignbare med studier som rapporterer besparelser i prosent av omsetning, men størrelsesordenen er i tråd med hva Moons et al. (2019) rapporterer for interne logistikkforbedringer i europeiske sykehus: moderate, men operasjonelt vesentlige gevinster ved optimalisert bestillingspraksis. Volland et al. (2017) understreker at materialhåndteringseffektivitet i sykehus i liten grad handler om store enkeltgevinster, men om akkumulerte forbedringer i ordreadministrasjon over tid – noe besparelsesmodellen i denne studien er utformet for å fange.</w:t>
      </w:r>
    </w:p>
    <w:p>
      <w:pPr>
        <w:spacing w:line="360" w:lineRule="auto"/>
      </w:pPr>
      <w:r>
        <w:rPr>
          <w:rFonts w:ascii="Times New Roman" w:hAnsi="Times New Roman" w:cs="Times New Roman"/>
          <w:sz w:val="24"/>
        </w:rPr>
        <w:t>Tabell 15 oppsummerer de sentrale funnene fra denne studien sett opp mot forventninger fra litteraturen.</w:t>
      </w:r>
    </w:p>
    <w:p>
      <w:r>
        <w:rPr>
          <w:rFonts w:ascii="Times New Roman" w:hAnsi="Times New Roman"/>
          <w:i/>
          <w:sz w:val="20"/>
        </w:rPr>
        <w:t>Tabell 15. Sammenstilling av egne resultater mot funn i eksisterende litteratur.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4"/>
        <w:gridCol w:w="1754"/>
        <w:gridCol w:w="1754"/>
        <w:gridCol w:w="1754"/>
        <w:gridCol w:w="1754"/>
      </w:tblGrid>
      <w:tr>
        <w:tc>
          <w:tcPr>
            <w:tcW w:type="dxa" w:w="1754"/>
            <w:shd w:fill="D9E2F3" w:val="clear"/>
          </w:tcPr>
          <w:p>
            <w:r/>
            <w:r>
              <w:rPr>
                <w:rFonts w:ascii="Times New Roman" w:hAnsi="Times New Roman"/>
                <w:b/>
                <w:sz w:val="20"/>
              </w:rPr>
              <w:t>Funn</w:t>
            </w:r>
          </w:p>
        </w:tc>
        <w:tc>
          <w:tcPr>
            <w:tcW w:type="dxa" w:w="1754"/>
            <w:shd w:fill="D9E2F3" w:val="clear"/>
          </w:tcPr>
          <w:p>
            <w:r/>
            <w:r>
              <w:rPr>
                <w:rFonts w:ascii="Times New Roman" w:hAnsi="Times New Roman"/>
                <w:b/>
                <w:sz w:val="20"/>
              </w:rPr>
              <w:t>Eget resultat</w:t>
            </w:r>
          </w:p>
        </w:tc>
        <w:tc>
          <w:tcPr>
            <w:tcW w:type="dxa" w:w="1754"/>
            <w:shd w:fill="D9E2F3" w:val="clear"/>
          </w:tcPr>
          <w:p>
            <w:r/>
            <w:r>
              <w:rPr>
                <w:rFonts w:ascii="Times New Roman" w:hAnsi="Times New Roman"/>
                <w:b/>
                <w:sz w:val="20"/>
              </w:rPr>
              <w:t>Litteraturen</w:t>
            </w:r>
          </w:p>
        </w:tc>
        <w:tc>
          <w:tcPr>
            <w:tcW w:type="dxa" w:w="1754"/>
            <w:shd w:fill="D9E2F3" w:val="clear"/>
          </w:tcPr>
          <w:p>
            <w:r/>
            <w:r>
              <w:rPr>
                <w:rFonts w:ascii="Times New Roman" w:hAnsi="Times New Roman"/>
                <w:b/>
                <w:sz w:val="20"/>
              </w:rPr>
              <w:t>Samsvar</w:t>
            </w:r>
          </w:p>
        </w:tc>
        <w:tc>
          <w:tcPr>
            <w:tcW w:type="dxa" w:w="1754"/>
            <w:shd w:fill="D9E2F3" w:val="clear"/>
          </w:tcPr>
          <w:p>
            <w:r/>
            <w:r>
              <w:rPr>
                <w:rFonts w:ascii="Times New Roman" w:hAnsi="Times New Roman"/>
                <w:b/>
                <w:sz w:val="20"/>
              </w:rPr>
              <w:t>Referanse</w:t>
            </w:r>
          </w:p>
        </w:tc>
      </w:tr>
      <w:tr>
        <w:tc>
          <w:tcPr>
            <w:tcW w:type="dxa" w:w="1754"/>
          </w:tcPr>
          <w:p>
            <w:r/>
            <w:r>
              <w:rPr>
                <w:rFonts w:ascii="Times New Roman" w:hAnsi="Times New Roman"/>
                <w:sz w:val="20"/>
              </w:rPr>
              <w:t>A-klasse andel</w:t>
            </w:r>
          </w:p>
        </w:tc>
        <w:tc>
          <w:tcPr>
            <w:tcW w:type="dxa" w:w="1754"/>
          </w:tcPr>
          <w:p>
            <w:r/>
            <w:r>
              <w:rPr>
                <w:rFonts w:ascii="Times New Roman" w:hAnsi="Times New Roman"/>
                <w:sz w:val="20"/>
              </w:rPr>
              <w:t>25,7 % av artikler = 80 % av verdi</w:t>
            </w:r>
          </w:p>
        </w:tc>
        <w:tc>
          <w:tcPr>
            <w:tcW w:type="dxa" w:w="1754"/>
          </w:tcPr>
          <w:p>
            <w:r/>
            <w:r>
              <w:rPr>
                <w:rFonts w:ascii="Times New Roman" w:hAnsi="Times New Roman"/>
                <w:sz w:val="20"/>
              </w:rPr>
              <w:t>Typisk 20–25 % etter Pareto</w:t>
            </w:r>
          </w:p>
        </w:tc>
        <w:tc>
          <w:tcPr>
            <w:tcW w:type="dxa" w:w="1754"/>
          </w:tcPr>
          <w:p>
            <w:r/>
            <w:r>
              <w:rPr>
                <w:rFonts w:ascii="Times New Roman" w:hAnsi="Times New Roman"/>
                <w:sz w:val="20"/>
              </w:rPr>
              <w:t>Ja</w:t>
            </w:r>
          </w:p>
        </w:tc>
        <w:tc>
          <w:tcPr>
            <w:tcW w:type="dxa" w:w="1754"/>
          </w:tcPr>
          <w:p>
            <w:r/>
            <w:r>
              <w:rPr>
                <w:rFonts w:ascii="Times New Roman" w:hAnsi="Times New Roman"/>
                <w:sz w:val="20"/>
              </w:rPr>
              <w:t>Gupta et al. (2007)</w:t>
            </w:r>
          </w:p>
        </w:tc>
      </w:tr>
      <w:tr>
        <w:tc>
          <w:tcPr>
            <w:tcW w:type="dxa" w:w="1754"/>
          </w:tcPr>
          <w:p>
            <w:r/>
            <w:r>
              <w:rPr>
                <w:rFonts w:ascii="Times New Roman" w:hAnsi="Times New Roman"/>
                <w:sz w:val="20"/>
              </w:rPr>
              <w:t>XYZ-samsvar med SAP ZZXYZ</w:t>
            </w:r>
          </w:p>
        </w:tc>
        <w:tc>
          <w:tcPr>
            <w:tcW w:type="dxa" w:w="1754"/>
          </w:tcPr>
          <w:p>
            <w:r/>
            <w:r>
              <w:rPr>
                <w:rFonts w:ascii="Times New Roman" w:hAnsi="Times New Roman"/>
                <w:sz w:val="20"/>
              </w:rPr>
              <w:t>33 % (125/375)</w:t>
            </w:r>
          </w:p>
        </w:tc>
        <w:tc>
          <w:tcPr>
            <w:tcW w:type="dxa" w:w="1754"/>
          </w:tcPr>
          <w:p>
            <w:r/>
            <w:r>
              <w:rPr>
                <w:rFonts w:ascii="Times New Roman" w:hAnsi="Times New Roman"/>
                <w:sz w:val="20"/>
              </w:rPr>
              <w:t>Statisk klassifisering divergerer over tid</w:t>
            </w:r>
          </w:p>
        </w:tc>
        <w:tc>
          <w:tcPr>
            <w:tcW w:type="dxa" w:w="1754"/>
          </w:tcPr>
          <w:p>
            <w:r/>
            <w:r>
              <w:rPr>
                <w:rFonts w:ascii="Times New Roman" w:hAnsi="Times New Roman"/>
                <w:sz w:val="20"/>
              </w:rPr>
              <w:t>Ja</w:t>
            </w:r>
          </w:p>
        </w:tc>
        <w:tc>
          <w:tcPr>
            <w:tcW w:type="dxa" w:w="1754"/>
          </w:tcPr>
          <w:p>
            <w:r/>
            <w:r>
              <w:rPr>
                <w:rFonts w:ascii="Times New Roman" w:hAnsi="Times New Roman"/>
                <w:sz w:val="20"/>
              </w:rPr>
              <w:t>van Kampen et al. (2012)</w:t>
            </w:r>
          </w:p>
        </w:tc>
      </w:tr>
      <w:tr>
        <w:tc>
          <w:tcPr>
            <w:tcW w:type="dxa" w:w="1754"/>
          </w:tcPr>
          <w:p>
            <w:r/>
            <w:r>
              <w:rPr>
                <w:rFonts w:ascii="Times New Roman" w:hAnsi="Times New Roman"/>
                <w:sz w:val="20"/>
              </w:rPr>
              <w:t>X-artikler andel</w:t>
            </w:r>
          </w:p>
        </w:tc>
        <w:tc>
          <w:tcPr>
            <w:tcW w:type="dxa" w:w="1754"/>
          </w:tcPr>
          <w:p>
            <w:r/>
            <w:r>
              <w:rPr>
                <w:rFonts w:ascii="Times New Roman" w:hAnsi="Times New Roman"/>
                <w:sz w:val="20"/>
              </w:rPr>
              <w:t>50,9 % (350 av 687)</w:t>
            </w:r>
          </w:p>
        </w:tc>
        <w:tc>
          <w:tcPr>
            <w:tcW w:type="dxa" w:w="1754"/>
          </w:tcPr>
          <w:p>
            <w:r/>
            <w:r>
              <w:rPr>
                <w:rFonts w:ascii="Times New Roman" w:hAnsi="Times New Roman"/>
                <w:sz w:val="20"/>
              </w:rPr>
              <w:t>Stabile artikler utgjør gjerne flertallet</w:t>
            </w:r>
          </w:p>
        </w:tc>
        <w:tc>
          <w:tcPr>
            <w:tcW w:type="dxa" w:w="1754"/>
          </w:tcPr>
          <w:p>
            <w:r/>
            <w:r>
              <w:rPr>
                <w:rFonts w:ascii="Times New Roman" w:hAnsi="Times New Roman"/>
                <w:sz w:val="20"/>
              </w:rPr>
              <w:t>Ja</w:t>
            </w:r>
          </w:p>
        </w:tc>
        <w:tc>
          <w:tcPr>
            <w:tcW w:type="dxa" w:w="1754"/>
          </w:tcPr>
          <w:p>
            <w:r/>
            <w:r>
              <w:rPr>
                <w:rFonts w:ascii="Times New Roman" w:hAnsi="Times New Roman"/>
                <w:sz w:val="20"/>
              </w:rPr>
              <w:t>Nowotyńska (2013)</w:t>
            </w:r>
          </w:p>
        </w:tc>
      </w:tr>
      <w:tr>
        <w:tc>
          <w:tcPr>
            <w:tcW w:type="dxa" w:w="1754"/>
          </w:tcPr>
          <w:p>
            <w:r/>
            <w:r>
              <w:rPr>
                <w:rFonts w:ascii="Times New Roman" w:hAnsi="Times New Roman"/>
                <w:sz w:val="20"/>
              </w:rPr>
              <w:t>K-means silhouette</w:t>
            </w:r>
          </w:p>
        </w:tc>
        <w:tc>
          <w:tcPr>
            <w:tcW w:type="dxa" w:w="1754"/>
          </w:tcPr>
          <w:p>
            <w:r/>
            <w:r>
              <w:rPr>
                <w:rFonts w:ascii="Times New Roman" w:hAnsi="Times New Roman"/>
                <w:sz w:val="20"/>
              </w:rPr>
              <w:t>0,383 (tren) / 0,368 (test)</w:t>
            </w:r>
          </w:p>
        </w:tc>
        <w:tc>
          <w:tcPr>
            <w:tcW w:type="dxa" w:w="1754"/>
          </w:tcPr>
          <w:p>
            <w:r/>
            <w:r>
              <w:rPr>
                <w:rFonts w:ascii="Times New Roman" w:hAnsi="Times New Roman"/>
                <w:sz w:val="20"/>
              </w:rPr>
              <w:t>&gt; 0,3 akseptabelt for eksplorativ analyse</w:t>
            </w:r>
          </w:p>
        </w:tc>
        <w:tc>
          <w:tcPr>
            <w:tcW w:type="dxa" w:w="1754"/>
          </w:tcPr>
          <w:p>
            <w:r/>
            <w:r>
              <w:rPr>
                <w:rFonts w:ascii="Times New Roman" w:hAnsi="Times New Roman"/>
                <w:sz w:val="20"/>
              </w:rPr>
              <w:t>Ja</w:t>
            </w:r>
          </w:p>
        </w:tc>
        <w:tc>
          <w:tcPr>
            <w:tcW w:type="dxa" w:w="1754"/>
          </w:tcPr>
          <w:p>
            <w:r/>
            <w:r>
              <w:rPr>
                <w:rFonts w:ascii="Times New Roman" w:hAnsi="Times New Roman"/>
                <w:sz w:val="20"/>
              </w:rPr>
              <w:t>Ketkar &amp; Vaidya (2014)</w:t>
            </w:r>
          </w:p>
        </w:tc>
      </w:tr>
      <w:tr>
        <w:tc>
          <w:tcPr>
            <w:tcW w:type="dxa" w:w="1754"/>
          </w:tcPr>
          <w:p>
            <w:r/>
            <w:r>
              <w:rPr>
                <w:rFonts w:ascii="Times New Roman" w:hAnsi="Times New Roman"/>
                <w:sz w:val="20"/>
              </w:rPr>
              <w:t>Besparelse (base case)</w:t>
            </w:r>
          </w:p>
        </w:tc>
        <w:tc>
          <w:tcPr>
            <w:tcW w:type="dxa" w:w="1754"/>
          </w:tcPr>
          <w:p>
            <w:r/>
            <w:r>
              <w:rPr>
                <w:rFonts w:ascii="Times New Roman" w:hAnsi="Times New Roman"/>
                <w:sz w:val="20"/>
              </w:rPr>
              <w:t>kr 451 515/år (g = 75 %)</w:t>
            </w:r>
          </w:p>
        </w:tc>
        <w:tc>
          <w:tcPr>
            <w:tcW w:type="dxa" w:w="1754"/>
          </w:tcPr>
          <w:p>
            <w:r/>
            <w:r>
              <w:rPr>
                <w:rFonts w:ascii="Times New Roman" w:hAnsi="Times New Roman"/>
                <w:sz w:val="20"/>
              </w:rPr>
              <w:t>Moderate gevinster ved ordreoptimalisering</w:t>
            </w:r>
          </w:p>
        </w:tc>
        <w:tc>
          <w:tcPr>
            <w:tcW w:type="dxa" w:w="1754"/>
          </w:tcPr>
          <w:p>
            <w:r/>
            <w:r>
              <w:rPr>
                <w:rFonts w:ascii="Times New Roman" w:hAnsi="Times New Roman"/>
                <w:sz w:val="20"/>
              </w:rPr>
              <w:t>Ja</w:t>
            </w:r>
          </w:p>
        </w:tc>
        <w:tc>
          <w:tcPr>
            <w:tcW w:type="dxa" w:w="1754"/>
          </w:tcPr>
          <w:p>
            <w:r/>
            <w:r>
              <w:rPr>
                <w:rFonts w:ascii="Times New Roman" w:hAnsi="Times New Roman"/>
                <w:sz w:val="20"/>
              </w:rPr>
              <w:t>Moons et al. (2019)</w:t>
            </w:r>
          </w:p>
        </w:tc>
      </w:tr>
      <w:tr>
        <w:tc>
          <w:tcPr>
            <w:tcW w:type="dxa" w:w="1754"/>
          </w:tcPr>
          <w:p>
            <w:r/>
            <w:r>
              <w:rPr>
                <w:rFonts w:ascii="Times New Roman" w:hAnsi="Times New Roman"/>
                <w:sz w:val="20"/>
              </w:rPr>
              <w:t>FOR_MANGE_ORDRER</w:t>
            </w:r>
          </w:p>
        </w:tc>
        <w:tc>
          <w:tcPr>
            <w:tcW w:type="dxa" w:w="1754"/>
          </w:tcPr>
          <w:p>
            <w:r/>
            <w:r>
              <w:rPr>
                <w:rFonts w:ascii="Times New Roman" w:hAnsi="Times New Roman"/>
                <w:sz w:val="20"/>
              </w:rPr>
              <w:t>73,1 % (356/487)</w:t>
            </w:r>
          </w:p>
        </w:tc>
        <w:tc>
          <w:tcPr>
            <w:tcW w:type="dxa" w:w="1754"/>
          </w:tcPr>
          <w:p>
            <w:r/>
            <w:r>
              <w:rPr>
                <w:rFonts w:ascii="Times New Roman" w:hAnsi="Times New Roman"/>
                <w:sz w:val="20"/>
              </w:rPr>
              <w:t>Suboptimal bestilling utbredt i sykehus</w:t>
            </w:r>
          </w:p>
        </w:tc>
        <w:tc>
          <w:tcPr>
            <w:tcW w:type="dxa" w:w="1754"/>
          </w:tcPr>
          <w:p>
            <w:r/>
            <w:r>
              <w:rPr>
                <w:rFonts w:ascii="Times New Roman" w:hAnsi="Times New Roman"/>
                <w:sz w:val="20"/>
              </w:rPr>
              <w:t>Ja</w:t>
            </w:r>
          </w:p>
        </w:tc>
        <w:tc>
          <w:tcPr>
            <w:tcW w:type="dxa" w:w="1754"/>
          </w:tcPr>
          <w:p>
            <w:r/>
            <w:r>
              <w:rPr>
                <w:rFonts w:ascii="Times New Roman" w:hAnsi="Times New Roman"/>
                <w:sz w:val="20"/>
              </w:rPr>
              <w:t>Volland et al. (2017)</w:t>
            </w:r>
          </w:p>
        </w:tc>
      </w:tr>
    </w:tbl>
    <w:p>
      <w:pPr>
        <w:pStyle w:val="Overskrift2"/>
      </w:pPr>
      <w:r>
        <w:rPr>
          <w:rFonts w:ascii="Times New Roman" w:hAnsi="Times New Roman"/>
          <w:color w:val="000000"/>
          <w:sz w:val="32"/>
        </w:rPr>
        <w:t>8.2 Metodekritikk</w:t>
      </w:r>
    </w:p>
    <w:p>
      <w:pPr>
        <w:spacing w:line="360" w:lineRule="auto"/>
      </w:pPr>
      <w:r>
        <w:rPr>
          <w:rFonts w:ascii="Times New Roman" w:hAnsi="Times New Roman" w:cs="Times New Roman"/>
          <w:sz w:val="24"/>
        </w:rPr>
        <w:t>SAP S/4HANA-data fra SE16H er operasjonelle systemdata som registreres automatisk ved hvert varemottak, lageruttak og bestilling. De er ikke gjenstand for hukommelsesfeil, sosial ønskverdighet eller manuell inntasting av enkeltpersoner, noe som gir dem høy reliabilitet sammenlignet med spørreundersøkelsesdata (Saha &amp; Ray, 2019).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spacing w:line="360" w:lineRule="auto"/>
      </w:pPr>
      <w:r>
        <w:rPr>
          <w:rFonts w:ascii="Times New Roman" w:hAnsi="Times New Roman" w:cs="Times New Roman"/>
          <w:sz w:val="24"/>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spacing w:line="360" w:lineRule="auto"/>
      </w:pPr>
      <w:r>
        <w:rPr>
          <w:rFonts w:ascii="Times New Roman" w:hAnsi="Times New Roman" w:cs="Times New Roman"/>
          <w:sz w:val="24"/>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En planlagt oppfølgingsfase ved Helse Bergen vil innebære faglig gjennomgang av OVERFØR-listen mot innkjøpsfaglig og klinisk kompetanse, noe som vil gi grunnlag for empirisk validering av modellens treffsikkerhet.</w:t>
      </w:r>
    </w:p>
    <w:p>
      <w:pPr>
        <w:spacing w:line="360" w:lineRule="auto"/>
      </w:pPr>
      <w:r>
        <w:rPr>
          <w:rFonts w:ascii="Times New Roman" w:hAnsi="Times New Roman" w:cs="Times New Roman"/>
          <w:sz w:val="24"/>
        </w:rPr>
        <w:t>Studien er avgrenset til WERKS 3300, LGORT 3001 ved Helse Bergen. Det er ikke grunnlag for å hevde at de eksakte tallresultatene gjelder for andre WERKS-enheter i Helse Vest. Metoderammeverket – kombinasjonen av ABC, XYZ, EOQ og K-means med en regelbasert beslutningstager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edruelig: strukturelle forskjeller mellom helseforetak – ulik sortimentssammensetning, ulike leverandøravtaler og ulike driftsmodeller – vil påvirke resultater og anbefalinger.</w:t>
      </w:r>
    </w:p>
    <w:p>
      <w:pPr>
        <w:pStyle w:val="Overskrift2"/>
      </w:pPr>
      <w:r>
        <w:rPr>
          <w:rFonts w:ascii="Times New Roman" w:hAnsi="Times New Roman"/>
          <w:color w:val="000000"/>
          <w:sz w:val="32"/>
        </w:rPr>
        <w:t>8.3 Praktisk betydning for Helse Bergen</w:t>
      </w:r>
    </w:p>
    <w:p>
      <w:pPr>
        <w:spacing w:line="360" w:lineRule="auto"/>
      </w:pPr>
      <w:r>
        <w:rPr>
          <w:rFonts w:ascii="Times New Roman" w:hAnsi="Times New Roman" w:cs="Times New Roman"/>
          <w:sz w:val="24"/>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spacing w:line="360" w:lineRule="auto"/>
      </w:pPr>
      <w:r>
        <w:rPr>
          <w:rFonts w:ascii="Times New Roman" w:hAnsi="Times New Roman" w:cs="Times New Roman"/>
          <w:sz w:val="24"/>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spacing w:line="360" w:lineRule="auto"/>
      </w:pPr>
      <w:r>
        <w:rPr>
          <w:rFonts w:ascii="Times New Roman" w:hAnsi="Times New Roman" w:cs="Times New Roman"/>
          <w:sz w:val="24"/>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spacing w:line="360" w:lineRule="auto"/>
      </w:pPr>
      <w:r>
        <w:rPr>
          <w:rFonts w:ascii="Times New Roman" w:hAnsi="Times New Roman" w:cs="Times New Roman"/>
          <w:sz w:val="24"/>
        </w:rPr>
        <w:t>For LIBRA-prosjektet spesifikt innebærer resultatene at det nå foreligger et kvantitativt, reproduserbart beslutningsgrunnlag som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spacing w:line="360" w:lineRule="auto"/>
      </w:pPr>
      <w:r>
        <w:rPr>
          <w:rFonts w:ascii="Times New Roman" w:hAnsi="Times New Roman" w:cs="Times New Roman"/>
          <w:sz w:val="24"/>
        </w:rPr>
        <w:t>Metoderammeverket er utviklet for medisinsk forbruksmateriell, men den underliggende logikken – verdiklassifisering, etterspørselsstabilitet, ordrefrekvensavvik og klyngebasert gruppering – er i prinsippet generaliserbar til andre varegrupper med tilsvarende datastruktur i SAP. Teknisk utstyr, kontorrekvisita eller laboratorieforbruk ved helseforetakene har samme type transaksjonsdata i EKPO, MSEG og MARD. Det er likevel viktig å påpeke at parameterverdiene (S, h, ABC-grenser, CV-terskler) må rekalibreres for hver varegruppe, da kostnadsstruktur og forbruksmønstre varierer vesentlig mellom sortimenter.</w:t>
      </w:r>
    </w:p>
    <w:p>
      <w:pPr>
        <w:pStyle w:val="Overskrift2"/>
      </w:pPr>
      <w:r>
        <w:rPr>
          <w:rFonts w:ascii="Times New Roman" w:hAnsi="Times New Roman"/>
          <w:color w:val="000000"/>
          <w:sz w:val="32"/>
        </w:rPr>
        <w:t>8.4 Svakheter og begrensninger</w:t>
      </w:r>
    </w:p>
    <w:p>
      <w:pPr>
        <w:spacing w:line="360" w:lineRule="auto"/>
      </w:pPr>
      <w:r>
        <w:rPr>
          <w:rFonts w:ascii="Times New Roman" w:hAnsi="Times New Roman" w:cs="Times New Roman"/>
          <w:sz w:val="24"/>
        </w:rPr>
        <w:t>Besparelsesformelen $B = \sum \Delta TC_i \times g$ benytter g som en antatt realiseringsgrad for den teoretiske EOQ-gevinsten. Det er avgjørende å presisere at g ikke er empirisk estimert fra historiske data, men er et scenarioparameter valgt for å reflektere ulike grader av implementeringssuksess. En realiseringsgrad på 75 % (base case) er et plausibelt anslag, men ikke en prognose. Den faktiske gevinsten vil avhenge av gjennomføringskvaliteten i HVFS-implementeringen, leverandørenes evne til å levere i henhold til konsoliderte ordrer og Helse Bergens interne kapasitet til å revidere SAP-parametere. Analysen identifiserer et klart besparelsespotensial, men implementering krever organisatorisk endring — herunder revidering av innkjøpsprosesser, oppdatering av SAP MM-parametere og forankring hos klinisk personell og logistikkfunksjon. Sensitivitetsanalysen over 27 scenarier synliggjør bredden i dette usikkerhetsintervallet og er ment å kompensere for at g ikke er empirisk fundert.</w:t>
      </w:r>
    </w:p>
    <w:p>
      <w:pPr>
        <w:spacing w:line="360" w:lineRule="auto"/>
      </w:pPr>
      <w:r>
        <w:rPr>
          <w:rFonts w:ascii="Times New Roman" w:hAnsi="Times New Roman" w:cs="Times New Roman"/>
          <w:sz w:val="24"/>
        </w:rPr>
        <w:t>Leveringstidsfallbacken på 14 dager gjelder 94 % av artiklene og er den enkeltantagelsen som potensielt har størst konsekvens for bestillingspunktberegninger. For EOQ-avviksanalysen, som er frekvensbasert, er den direkte effekten begrenset; men for en fremtidig ROP-analyse vil kalibrering av faktiske leveringstider per leverandør og artikkel være avgjørende. Helse Bergen bør prioritere å berike EINE-tabellen med faktiske WETAG-verdier som en del av det løpende SAP MM-vedlikeholdet.</w:t>
      </w:r>
    </w:p>
    <w:p>
      <w:pPr>
        <w:spacing w:line="360" w:lineRule="auto"/>
      </w:pPr>
      <w:r>
        <w:rPr>
          <w:rFonts w:ascii="Times New Roman" w:hAnsi="Times New Roman" w:cs="Times New Roman"/>
          <w:sz w:val="24"/>
        </w:rPr>
        <w:t>Analyseperioden 2024–2025 er valgt for å reflektere normal drift, men det kan ikke utelukkes at forbruksmønstre i denne perioden fortsatt er påvirket av ettervirkninger fra COVID-19-pandemien, som medførte betydelige forstyrrelser i forsyningskjeder og forbruksmønstre i helsesektoren (Volland et al., 2017). Artikler som ble hamstret eller substituert under pandemien kan ha unormalt høy eller lav CV i analyseperioden, noe som kan gi misvisende XYZ-klassifisering for disse spesifikke artiklene.</w:t>
      </w:r>
    </w:p>
    <w:p>
      <w:pPr>
        <w:spacing w:line="360" w:lineRule="auto"/>
      </w:pPr>
      <w:r>
        <w:rPr>
          <w:rFonts w:ascii="Times New Roman" w:hAnsi="Times New Roman" w:cs="Times New Roman"/>
          <w:sz w:val="24"/>
        </w:rPr>
        <w:t>K-means er kjent for å være sensitiv overfor valget av K, og ulike K-verdier vil gi ulike klyngeprofiler og dermed ulike K_OVERFØR-populasjoner (Srinivasan &amp; Moon, 1999). Det automatiske K-valget via silhouette minimerer analytisk bias, men eliminerer ikke usikkerheten: med K = 2 eller K = 4 ville klyngestrukturen og den tilhørende overføringslisten sett annerledes ut. Sensitiviteten overfor K-valg bør anerkjennes som en begrensning ved tolkning av K_OVERFØR-signalet i regelmotoren. I tillegg er K-means sensitiv overfor feature-scaling: standardiseringen via z-score gir de tre featurene lik vekt i klyngingen, men dette er en normativ beslutning — ikke en empirisk begrunnet vekting. Dersom verdi burde tillegges større vekt enn CV i en klinisk kontekst, ville klyngestrukturen endres tilsvarende.</w:t>
      </w:r>
    </w:p>
    <w:p>
      <w:pPr>
        <w:spacing w:line="360" w:lineRule="auto"/>
      </w:pPr>
      <w:r>
        <w:rPr>
          <w:rFonts w:ascii="Times New Roman" w:hAnsi="Times New Roman" w:cs="Times New Roman"/>
          <w:sz w:val="24"/>
        </w:rPr>
        <w:t>CV-koeffisienten som grunnlag for XYZ-klassifisering har en kjent svakhet ved lav etterspørsel: artikler med svært lavt forbruksvolum kan få kunstig lav CV dersom de har jevnt, men minimalt forbruk, eller kunstig høy CV fra én enkelt utlevering i en ellers stille periode. For de 144 artiklene som er klassifisert som Z (CV &gt; 1,0) bør det derfor ikke utelukkes at enkelte av disse har uregelmessig CV primært grunnet lavt volum fremfor genuint uforutsigbart forbruksmønster.</w:t>
      </w:r>
    </w:p>
    <w:p>
      <w:pPr>
        <w:spacing w:line="360" w:lineRule="auto"/>
      </w:pPr>
      <w:r>
        <w:rPr>
          <w:rFonts w:ascii="Times New Roman" w:hAnsi="Times New Roman" w:cs="Times New Roman"/>
          <w:sz w:val="24"/>
        </w:rPr>
        <w:t>For 204 artikler uten EKPO-data er ABC-verdien beregnet, ikke observert. Dersom UNIT_PRICE for disse artiklene avviker fra faktisk innkjøpspris, vil ABC-rangeringen for dem være upresis. I verste fall kan en artikkel med faktisk høy innkjøpsverdi mangle EKPO-data nettopp fordi den anskaffes utenfor standard innkjøpsprosess – for eksempel som hastebestilling – noe som vil underestimere verdien og potensielt klassifisere den feil i ABC-hierarkiet. Denne begrensningen anbefales adressert ved å sikre at samtlige artikler i LGORT 3001 har fullstendige EKPO-oppføringer i SAP.</w:t>
      </w:r>
    </w:p>
    <w:p>
      <w:pPr>
        <w:pStyle w:val="Overskrift1"/>
        <w:pageBreakBefore w:val="true"/>
      </w:pPr>
      <w:r>
        <w:rPr>
          <w:rFonts w:ascii="Times New Roman" w:hAnsi="Times New Roman"/>
          <w:color w:val="000000"/>
          <w:sz w:val="36"/>
        </w:rPr>
        <w:t>Kapittel 9 – Konklusjon</w:t>
      </w:r>
    </w:p>
    <w:p>
      <w:pPr>
        <w:pStyle w:val="Overskrift2"/>
      </w:pPr>
      <w:r>
        <w:rPr>
          <w:rFonts w:ascii="Times New Roman" w:hAnsi="Times New Roman"/>
          <w:color w:val="000000"/>
          <w:sz w:val="32"/>
        </w:rPr>
        <w:t>9.1 Svar på problemstillingen</w:t>
      </w:r>
    </w:p>
    <w:p>
      <w:pPr>
        <w:spacing w:line="360" w:lineRule="auto"/>
      </w:pPr>
      <w:r>
        <w:rPr>
          <w:rFonts w:ascii="Times New Roman" w:hAnsi="Times New Roman" w:cs="Times New Roman"/>
          <w:sz w:val="24"/>
        </w:rPr>
        <w:t xml:space="preserve">Denne studien tok utgangspunkt i følgende problemstilling: </w:t>
      </w:r>
      <w:r>
        <w:rPr>
          <w:rFonts w:ascii="Times New Roman" w:hAnsi="Times New Roman" w:cs="Times New Roman"/>
          <w:i/>
          <w:sz w:val="24"/>
        </w:rPr>
        <w:t>Hvordan kan multikriterieklassifisering og klyngeanalyse av SAP-transaksjonsdata identifisere hvilke artikler ved Helse Bergens forsyningslager (WERKS 3300, LGORT 3001) som bør overføres til HVFS, og hva er det estimerte besparelsespotensialet?</w:t>
      </w:r>
      <w:r>
        <w:rPr>
          <w:rFonts w:ascii="Times New Roman" w:hAnsi="Times New Roman" w:cs="Times New Roman"/>
          <w:sz w:val="24"/>
        </w:rPr>
      </w:r>
    </w:p>
    <w:p>
      <w:pPr>
        <w:spacing w:line="360" w:lineRule="auto"/>
      </w:pPr>
      <w:r>
        <w:rPr>
          <w:rFonts w:ascii="Times New Roman" w:hAnsi="Times New Roman" w:cs="Times New Roman"/>
          <w:sz w:val="24"/>
        </w:rPr>
        <w:t xml:space="preserve">Studien viser at en strukturert kombinasjon av ABC-analyse, XYZ-klassifisering, EOQ-avviksanalyse og K-means klyngeanalyse – sammenstilt i en regelbasert beslutningsmotor – gir et operasjonelt anvendbart grunnlag for å identifisere overføringskandidater direkte fra SAP-transaksjonsdata. Av de 709 aktive artiklene i LGORT 3001 anbefaler regelmotoren at </w:t>
      </w:r>
      <w:r>
        <w:rPr>
          <w:rFonts w:ascii="Times New Roman" w:hAnsi="Times New Roman" w:cs="Times New Roman"/>
          <w:b/>
          <w:sz w:val="24"/>
        </w:rPr>
        <w:t>145 artikler</w:t>
      </w:r>
      <w:r>
        <w:rPr>
          <w:rFonts w:ascii="Times New Roman" w:hAnsi="Times New Roman" w:cs="Times New Roman"/>
          <w:sz w:val="24"/>
        </w:rPr>
        <w:t xml:space="preserve"> (20,5 %) overføres til HVFS. Disse artiklene kjennetegnes ved høy verdi (A- eller B-klasse), stabilt forbruksmønster (X- eller Y-klasse) og dokumentert overbestilling eller klyngetilhørighet som indikerer ineffektiv ordrepraksis.</w:t>
      </w:r>
    </w:p>
    <w:p>
      <w:pPr>
        <w:spacing w:line="360" w:lineRule="auto"/>
      </w:pPr>
      <w:r>
        <w:rPr>
          <w:rFonts w:ascii="Times New Roman" w:hAnsi="Times New Roman" w:cs="Times New Roman"/>
          <w:sz w:val="24"/>
        </w:rPr>
        <w:t xml:space="preserve">Det estimerte besparelsespotensialet for base case er </w:t>
      </w:r>
      <w:r>
        <w:rPr>
          <w:rFonts w:ascii="Times New Roman" w:hAnsi="Times New Roman" w:cs="Times New Roman"/>
          <w:b/>
          <w:sz w:val="24"/>
        </w:rPr>
        <w:t>kr 451 515 per år</w:t>
      </w:r>
      <w:r>
        <w:rPr>
          <w:rFonts w:ascii="Times New Roman" w:hAnsi="Times New Roman" w:cs="Times New Roman"/>
          <w:sz w:val="24"/>
        </w:rPr>
        <w:t xml:space="preserve"> (realiseringsgrad g = 75 % av teoretisk $\sum \Delta TC_i$). Pessimistisk scenario (g = 50 %) gir kr 301 010, og optimistisk scenario (g = 100 %) gir kr 602 020. Disse estimatene er forankret i 117 artikler som oppfyller begge kriteriene OVERFØR\_HVFS og FOR\_MANGE\_ORDRER, og der det samlede teoretiske totalkostnavviket er kr 602 020 per år. Sensitivitetsanalysen over 27 parameterkombinasjoner — med variasjon i S, h og $\tau_f$ — viser at det samlede $\Delta TC$ for hele populasjonen (487 artikler) varierer mellom kr 1 602 464 og kr 3 068 757 per år avhengig av parametervalg. Dette synliggjør at besparelsesestimatet er moderat sensitivt overfor forutsetningene om ordrekostnad og holdesats, men forblir positivt og vesentlig over alle 27 scenarier.</w:t>
      </w:r>
    </w:p>
    <w:p>
      <w:pPr>
        <w:spacing w:line="360" w:lineRule="auto"/>
      </w:pPr>
      <w:r>
        <w:rPr>
          <w:rFonts w:ascii="Times New Roman" w:hAnsi="Times New Roman" w:cs="Times New Roman"/>
          <w:sz w:val="24"/>
        </w:rPr>
        <w:t>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kan danne grunnlag for konkrete beslutninger i LIBRA-prosjektets videre gjennomføring.</w:t>
      </w:r>
    </w:p>
    <w:p>
      <w:pPr>
        <w:pStyle w:val="Overskrift2"/>
      </w:pPr>
      <w:r>
        <w:rPr>
          <w:rFonts w:ascii="Times New Roman" w:hAnsi="Times New Roman"/>
          <w:color w:val="000000"/>
          <w:sz w:val="32"/>
        </w:rPr>
        <w:t>9.2 Anbefalinger til Helse Bergen</w:t>
      </w:r>
    </w:p>
    <w:p>
      <w:pPr>
        <w:spacing w:line="360" w:lineRule="auto"/>
      </w:pPr>
      <w:r>
        <w:rPr>
          <w:rFonts w:ascii="Times New Roman" w:hAnsi="Times New Roman" w:cs="Times New Roman"/>
          <w:sz w:val="24"/>
        </w:rPr>
        <w:t>Basert på studiens funn rettes følgende fire anbefalinger til Helse Bergen og Helse Vest IKT:</w:t>
      </w:r>
    </w:p>
    <w:p>
      <w:pPr>
        <w:spacing w:line="360" w:lineRule="auto"/>
      </w:pPr>
      <w:r>
        <w:rPr>
          <w:rFonts w:ascii="Times New Roman" w:hAnsi="Times New Roman" w:cs="Times New Roman"/>
          <w:sz w:val="24"/>
        </w:rPr>
      </w:r>
      <w:r>
        <w:rPr>
          <w:rFonts w:ascii="Times New Roman" w:hAnsi="Times New Roman" w:cs="Times New Roman"/>
          <w:b/>
          <w:sz w:val="24"/>
        </w:rPr>
        <w:t>1. Iverksett pilotoverføring for K_OVERFØR-klyngen og AX/BX-artiklene.</w:t>
      </w:r>
      <w:r>
        <w:rPr>
          <w:rFonts w:ascii="Times New Roman" w:hAnsi="Times New Roman" w:cs="Times New Roman"/>
          <w:sz w:val="24"/>
        </w:rPr>
      </w:r>
    </w:p>
    <w:p>
      <w:pPr>
        <w:spacing w:line="360" w:lineRule="auto"/>
      </w:pPr>
      <w:r>
        <w:rPr>
          <w:rFonts w:ascii="Times New Roman" w:hAnsi="Times New Roman" w:cs="Times New Roman"/>
          <w:sz w:val="24"/>
        </w:rPr>
        <w:t>De 145 artiklene som er anbefalt overført bør ikke overføres samlet i én operasjon. En pilotfase bør prioritere artiklene i skjæringspunktet mellom K_OVERFØR-klyngen og AX/BX-kategoriene, da disse har den sterkeste kombinasjonen av analysesignaler og lavest risiko for servicesvikt. En gradvis overføring gir mulighet til å verifisere at HVFS og NorEngros håndterer artiklene i henhold til APL-leveransemodellen før hele porteføljen flyttes.</w:t>
      </w:r>
    </w:p>
    <w:p>
      <w:pPr>
        <w:spacing w:line="360" w:lineRule="auto"/>
      </w:pPr>
      <w:r>
        <w:rPr>
          <w:rFonts w:ascii="Times New Roman" w:hAnsi="Times New Roman" w:cs="Times New Roman"/>
          <w:sz w:val="24"/>
        </w:rPr>
      </w:r>
      <w:r>
        <w:rPr>
          <w:rFonts w:ascii="Times New Roman" w:hAnsi="Times New Roman" w:cs="Times New Roman"/>
          <w:b/>
          <w:sz w:val="24"/>
        </w:rPr>
        <w:t>2. Gjennomgå de 284 artiklene i TIL VURDERING manuelt.</w:t>
      </w:r>
      <w:r>
        <w:rPr>
          <w:rFonts w:ascii="Times New Roman" w:hAnsi="Times New Roman" w:cs="Times New Roman"/>
          <w:sz w:val="24"/>
        </w:rPr>
      </w:r>
    </w:p>
    <w:p>
      <w:pPr>
        <w:spacing w:line="360" w:lineRule="auto"/>
      </w:pPr>
      <w:r>
        <w:rPr>
          <w:rFonts w:ascii="Times New Roman" w:hAnsi="Times New Roman" w:cs="Times New Roman"/>
          <w:sz w:val="24"/>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spacing w:line="360" w:lineRule="auto"/>
      </w:pPr>
      <w:r>
        <w:rPr>
          <w:rFonts w:ascii="Times New Roman" w:hAnsi="Times New Roman" w:cs="Times New Roman"/>
          <w:sz w:val="24"/>
        </w:rPr>
      </w:r>
      <w:r>
        <w:rPr>
          <w:rFonts w:ascii="Times New Roman" w:hAnsi="Times New Roman" w:cs="Times New Roman"/>
          <w:b/>
          <w:sz w:val="24"/>
        </w:rPr>
        <w:t>3. Oppdater SAP MM-parametere for overførte artikler.</w:t>
      </w:r>
      <w:r>
        <w:rPr>
          <w:rFonts w:ascii="Times New Roman" w:hAnsi="Times New Roman" w:cs="Times New Roman"/>
          <w:sz w:val="24"/>
        </w:rPr>
      </w:r>
    </w:p>
    <w:p>
      <w:pPr>
        <w:spacing w:line="360" w:lineRule="auto"/>
      </w:pPr>
      <w:r>
        <w:rPr>
          <w:rFonts w:ascii="Times New Roman" w:hAnsi="Times New Roman" w:cs="Times New Roman"/>
          <w:sz w:val="24"/>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spacing w:line="360" w:lineRule="auto"/>
      </w:pPr>
      <w:r>
        <w:rPr>
          <w:rFonts w:ascii="Times New Roman" w:hAnsi="Times New Roman" w:cs="Times New Roman"/>
          <w:sz w:val="24"/>
        </w:rPr>
      </w:r>
      <w:r>
        <w:rPr>
          <w:rFonts w:ascii="Times New Roman" w:hAnsi="Times New Roman" w:cs="Times New Roman"/>
          <w:b/>
          <w:sz w:val="24"/>
        </w:rPr>
        <w:t>4. Evaluer gevinstrealisering etter 12 måneder.</w:t>
      </w:r>
      <w:r>
        <w:rPr>
          <w:rFonts w:ascii="Times New Roman" w:hAnsi="Times New Roman" w:cs="Times New Roman"/>
          <w:sz w:val="24"/>
        </w:rPr>
      </w:r>
    </w:p>
    <w:p>
      <w:pPr>
        <w:spacing w:line="360" w:lineRule="auto"/>
      </w:pPr>
      <w:r>
        <w:rPr>
          <w:rFonts w:ascii="Times New Roman" w:hAnsi="Times New Roman" w:cs="Times New Roman"/>
          <w:sz w:val="24"/>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pPr>
        <w:pStyle w:val="Overskrift2"/>
      </w:pPr>
      <w:r>
        <w:rPr>
          <w:rFonts w:ascii="Times New Roman" w:hAnsi="Times New Roman"/>
          <w:color w:val="000000"/>
          <w:sz w:val="32"/>
        </w:rPr>
        <w:t>9.3 Forslag til videre forskning</w:t>
      </w:r>
    </w:p>
    <w:p>
      <w:pPr>
        <w:spacing w:line="360" w:lineRule="auto"/>
      </w:pPr>
      <w:r>
        <w:rPr>
          <w:rFonts w:ascii="Times New Roman" w:hAnsi="Times New Roman" w:cs="Times New Roman"/>
          <w:sz w:val="24"/>
        </w:rPr>
        <w:t>Studien åpner for flere retninger innen videre forskning og metodeutvikling:</w:t>
      </w:r>
    </w:p>
    <w:p>
      <w:pPr>
        <w:spacing w:line="360" w:lineRule="auto"/>
      </w:pPr>
      <w:r>
        <w:rPr>
          <w:rFonts w:ascii="Times New Roman" w:hAnsi="Times New Roman" w:cs="Times New Roman"/>
          <w:sz w:val="24"/>
        </w:rPr>
      </w:r>
      <w:r>
        <w:rPr>
          <w:rFonts w:ascii="Times New Roman" w:hAnsi="Times New Roman" w:cs="Times New Roman"/>
          <w:b/>
          <w:sz w:val="24"/>
        </w:rPr>
        <w:t>ROP-modul.</w:t>
      </w:r>
      <w:r>
        <w:rPr>
          <w:rFonts w:ascii="Times New Roman" w:hAnsi="Times New Roman" w:cs="Times New Roman"/>
          <w:sz w:val="24"/>
        </w:rPr>
        <w:t xml:space="preserve"> Den nåværende analysen (versjon 2.7 av Python-scriptet) inkluderer ikke beregning av bestillingspunkt (ROP – Reorder Point). En ROP-modul vil kreve pålitelige leveringstidsdata per artikkel og et valgt servicenivå, og vil gi et mer komplett bilde av den optimale lagerstyringspolicyen. Ettersom LEAD_TIME-data i dag mangler for 94 % av artiklene, er et nødvendig forarbeid å berike EINE-tabellen med faktiske leveringstider fra leverandøravtaler. En oppfølgingsstudie som integrerer ROP-analyse vil kunne gi anbefalinger ikke bare om </w:t>
      </w:r>
      <w:r>
        <w:rPr>
          <w:rFonts w:ascii="Times New Roman" w:hAnsi="Times New Roman" w:cs="Times New Roman"/>
          <w:i/>
          <w:sz w:val="24"/>
        </w:rPr>
        <w:t>hvem</w:t>
      </w:r>
      <w:r>
        <w:rPr>
          <w:rFonts w:ascii="Times New Roman" w:hAnsi="Times New Roman" w:cs="Times New Roman"/>
          <w:sz w:val="24"/>
        </w:rPr>
        <w:t xml:space="preserve"> som skal overføres, men også om </w:t>
      </w:r>
      <w:r>
        <w:rPr>
          <w:rFonts w:ascii="Times New Roman" w:hAnsi="Times New Roman" w:cs="Times New Roman"/>
          <w:i/>
          <w:sz w:val="24"/>
        </w:rPr>
        <w:t>hvordan</w:t>
      </w:r>
      <w:r>
        <w:rPr>
          <w:rFonts w:ascii="Times New Roman" w:hAnsi="Times New Roman" w:cs="Times New Roman"/>
          <w:sz w:val="24"/>
        </w:rPr>
        <w:t xml:space="preserve"> lagernivåene skal settes etter overføring.</w:t>
      </w:r>
    </w:p>
    <w:p>
      <w:pPr>
        <w:spacing w:line="360" w:lineRule="auto"/>
      </w:pPr>
      <w:r>
        <w:rPr>
          <w:rFonts w:ascii="Times New Roman" w:hAnsi="Times New Roman" w:cs="Times New Roman"/>
          <w:sz w:val="24"/>
        </w:rPr>
      </w:r>
      <w:r>
        <w:rPr>
          <w:rFonts w:ascii="Times New Roman" w:hAnsi="Times New Roman" w:cs="Times New Roman"/>
          <w:b/>
          <w:sz w:val="24"/>
        </w:rPr>
        <w:t>Leverandørkonsolidering.</w:t>
      </w:r>
      <w:r>
        <w:rPr>
          <w:rFonts w:ascii="Times New Roman" w:hAnsi="Times New Roman" w:cs="Times New Roman"/>
          <w:sz w:val="24"/>
        </w:rPr>
        <w:t xml:space="preserve"> Studien analyserer artikler på individnivå, men tar ikke stilling til leverandørstruktur. En komplementær analyse av innkjøpsdata fra EKKO/EKPO kan avdekke muligheter for leverandørkonsolidering – det vil si om flere av HVFS-kandidatene leveres av de samme leverandørene, og om konsoliderte ordrer kan gi ytterligere besparelser utover ordrefrekvensoptimalisering. En slik analyse er særlig relevant i lys av NorEngros sin rolle som grossistoperatør for HVFS.</w:t>
      </w:r>
    </w:p>
    <w:p>
      <w:pPr>
        <w:spacing w:line="360" w:lineRule="auto"/>
      </w:pPr>
      <w:r>
        <w:rPr>
          <w:rFonts w:ascii="Times New Roman" w:hAnsi="Times New Roman" w:cs="Times New Roman"/>
          <w:sz w:val="24"/>
        </w:rPr>
      </w:r>
      <w:r>
        <w:rPr>
          <w:rFonts w:ascii="Times New Roman" w:hAnsi="Times New Roman" w:cs="Times New Roman"/>
          <w:b/>
          <w:sz w:val="24"/>
        </w:rPr>
        <w:t>Replikering til andre WERKS i Helse Vest.</w:t>
      </w:r>
      <w:r>
        <w:rPr>
          <w:rFonts w:ascii="Times New Roman" w:hAnsi="Times New Roman" w:cs="Times New Roman"/>
          <w:sz w:val="24"/>
        </w:rPr>
      </w:r>
    </w:p>
    <w:p>
      <w:pPr>
        <w:spacing w:line="360" w:lineRule="auto"/>
      </w:pPr>
      <w:r>
        <w:rPr>
          <w:rFonts w:ascii="Times New Roman" w:hAnsi="Times New Roman" w:cs="Times New Roman"/>
          <w:sz w:val="24"/>
        </w:rPr>
        <w:t>Metoderammeverket i denne studien er fullt reproduserbart og kan i prinsippet anvendes på tilsvarende SAP-datastrukturer ved de øvrige helseforetakene i Helse Vest – Helse Stavanger, Helse Fonna og Helse Førde. En komparativ studie på tvers av WERKS-enheter vil gi grunnlag for å vurdere om HVFS-sentraliseringen bør differensieres per foretak, og om de metodiske funnene fra Helse Bergen er representative for regionen som helhet. En slik replikering vil styrke både den interne og eksterne validiteten til rammeverket som LIBRA-prosjektet nå utvikler.</w:t>
      </w:r>
    </w:p>
    <w:p>
      <w:pPr>
        <w:pStyle w:val="Overskrift1"/>
        <w:pageBreakBefore w:val="true"/>
      </w:pPr>
      <w:r>
        <w:rPr>
          <w:rFonts w:ascii="Times New Roman" w:hAnsi="Times New Roman"/>
          <w:color w:val="000000"/>
          <w:sz w:val="36"/>
        </w:rPr>
        <w:t>Referanseliste</w:t>
      </w:r>
    </w:p>
    <w:p>
      <w:pPr>
        <w:spacing w:line="360" w:lineRule="auto"/>
      </w:pPr>
      <w:r>
        <w:rPr>
          <w:rFonts w:ascii="Times New Roman" w:hAnsi="Times New Roman" w:cs="Times New Roman"/>
          <w:sz w:val="24"/>
        </w:rPr>
        <w:t xml:space="preserve">Bijvank, M., &amp; Vis, I. F. A. (2012). Inventory control for point-of-use locations in hospitals. </w:t>
      </w:r>
      <w:r>
        <w:rPr>
          <w:rFonts w:ascii="Times New Roman" w:hAnsi="Times New Roman" w:cs="Times New Roman"/>
          <w:i/>
          <w:sz w:val="24"/>
        </w:rPr>
        <w:t>Journal of the Operational Research Society</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497–510. https://doi.org/10.1057/jors.2011.52</w:t>
      </w:r>
    </w:p>
    <w:p>
      <w:pPr>
        <w:spacing w:line="360" w:lineRule="auto"/>
      </w:pPr>
      <w:r>
        <w:rPr>
          <w:rFonts w:ascii="Times New Roman" w:hAnsi="Times New Roman" w:cs="Times New Roman"/>
          <w:sz w:val="24"/>
        </w:rPr>
        <w:t xml:space="preserve">de Vries, J. (2011). The shaping of inventory systems in health services: A stakeholder analysis.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(1), 60–69. https://doi.org/10.1016/j.ijpe.2009.10.029</w:t>
      </w:r>
    </w:p>
    <w:p>
      <w:pPr>
        <w:spacing w:line="360" w:lineRule="auto"/>
      </w:pPr>
      <w:r>
        <w:rPr>
          <w:rFonts w:ascii="Times New Roman" w:hAnsi="Times New Roman" w:cs="Times New Roman"/>
          <w:sz w:val="24"/>
        </w:rPr>
        <w:t xml:space="preserve">Fragapane, G. I., Bertnum, A. B., Hvolby, H.-H., &amp; Strandhagen, J. O. (2019). Medical supplies to the point-of-use in hospitals. I </w:t>
      </w:r>
      <w:r>
        <w:rPr>
          <w:rFonts w:ascii="Times New Roman" w:hAnsi="Times New Roman" w:cs="Times New Roman"/>
          <w:i/>
          <w:sz w:val="24"/>
        </w:rPr>
        <w:t>IFIP International Conference on Advances in Production Management Systems (APMS)</w:t>
      </w:r>
      <w:r>
        <w:rPr>
          <w:rFonts w:ascii="Times New Roman" w:hAnsi="Times New Roman" w:cs="Times New Roman"/>
          <w:sz w:val="24"/>
        </w:rPr>
        <w:t xml:space="preserve"> (s. 248–255). Springer. https://doi.org/10.1007/978-3-030-29996-5_29</w:t>
      </w:r>
    </w:p>
    <w:p>
      <w:pPr>
        <w:spacing w:line="360" w:lineRule="auto"/>
      </w:pPr>
      <w:r>
        <w:rPr>
          <w:rFonts w:ascii="Times New Roman" w:hAnsi="Times New Roman" w:cs="Times New Roman"/>
          <w:sz w:val="24"/>
        </w:rPr>
        <w:t xml:space="preserve">Gupta, R., Gupta, K. K., Jain, B. R., &amp; Garg, R. K. (2007). ABC and VED analysis in medical stores inventory control. </w:t>
      </w:r>
      <w:r>
        <w:rPr>
          <w:rFonts w:ascii="Times New Roman" w:hAnsi="Times New Roman" w:cs="Times New Roman"/>
          <w:i/>
          <w:sz w:val="24"/>
        </w:rPr>
        <w:t>Medical Journal Armed Forces India</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325–327. https://doi.org/10.1016/S0377-1237(07)80005-2</w:t>
      </w:r>
    </w:p>
    <w:p>
      <w:pPr>
        <w:spacing w:line="360" w:lineRule="auto"/>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 </w:t>
      </w:r>
      <w:r>
        <w:rPr>
          <w:rFonts w:ascii="Times New Roman" w:hAnsi="Times New Roman" w:cs="Times New Roman"/>
          <w:i/>
          <w:sz w:val="24"/>
        </w:rPr>
        <w:t>The TQM Journal</w:t>
      </w:r>
      <w:r>
        <w:rPr>
          <w:rFonts w:ascii="Times New Roman" w:hAnsi="Times New Roman" w:cs="Times New Roman"/>
          <w:sz w:val="24"/>
        </w:rPr>
        <w:t xml:space="preserve">, </w:t>
      </w:r>
      <w:r>
        <w:rPr>
          <w:rFonts w:ascii="Times New Roman" w:hAnsi="Times New Roman" w:cs="Times New Roman"/>
          <w:i/>
          <w:sz w:val="24"/>
        </w:rPr>
        <w:t>33</w:t>
      </w:r>
      <w:r>
        <w:rPr>
          <w:rFonts w:ascii="Times New Roman" w:hAnsi="Times New Roman" w:cs="Times New Roman"/>
          <w:sz w:val="24"/>
        </w:rPr>
        <w:t>(3), 568–595. https://doi.org/10.1108/TQM-06-2020-0123</w:t>
      </w:r>
    </w:p>
    <w:p>
      <w:pPr>
        <w:spacing w:line="360" w:lineRule="auto"/>
      </w:pPr>
      <w:r>
        <w:rPr>
          <w:rFonts w:ascii="Times New Roman" w:hAnsi="Times New Roman" w:cs="Times New Roman"/>
          <w:sz w:val="24"/>
        </w:rPr>
        <w:t xml:space="preserve">Hautaniemi, P., &amp; Pirttilä, T. (1999). The choice of replenishment policies in an MRP environment.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59</w:t>
      </w:r>
      <w:r>
        <w:rPr>
          <w:rFonts w:ascii="Times New Roman" w:hAnsi="Times New Roman" w:cs="Times New Roman"/>
          <w:sz w:val="24"/>
        </w:rPr>
        <w:t>(1–3), 85–92. https://doi.org/10.1016/S0925-5273(98)00026-7</w:t>
      </w:r>
    </w:p>
    <w:p>
      <w:pPr>
        <w:spacing w:line="360" w:lineRule="auto"/>
      </w:pPr>
      <w:r>
        <w:rPr>
          <w:rFonts w:ascii="Times New Roman" w:hAnsi="Times New Roman" w:cs="Times New Roman"/>
          <w:sz w:val="24"/>
        </w:rPr>
        <w:t xml:space="preserve">Kelle, P., Woosley, J., &amp; Schneider, H. (2012). Pharmaceutical supply chain specifics and inventory solutions for a hospital case. </w:t>
      </w:r>
      <w:r>
        <w:rPr>
          <w:rFonts w:ascii="Times New Roman" w:hAnsi="Times New Roman" w:cs="Times New Roman"/>
          <w:i/>
          <w:sz w:val="24"/>
        </w:rPr>
        <w:t>Operations Research for Health Care</w:t>
      </w:r>
      <w:r>
        <w:rPr>
          <w:rFonts w:ascii="Times New Roman" w:hAnsi="Times New Roman" w:cs="Times New Roman"/>
          <w:sz w:val="24"/>
        </w:rPr>
        <w:t xml:space="preserve">, </w:t>
      </w:r>
      <w:r>
        <w:rPr>
          <w:rFonts w:ascii="Times New Roman" w:hAnsi="Times New Roman" w:cs="Times New Roman"/>
          <w:i/>
          <w:sz w:val="24"/>
        </w:rPr>
        <w:t>1</w:t>
      </w:r>
      <w:r>
        <w:rPr>
          <w:rFonts w:ascii="Times New Roman" w:hAnsi="Times New Roman" w:cs="Times New Roman"/>
          <w:sz w:val="24"/>
        </w:rPr>
        <w:t>(2–3), 54–63. https://doi.org/10.1016/j.orhc.2012.07.001</w:t>
      </w:r>
    </w:p>
    <w:p>
      <w:pPr>
        <w:spacing w:line="360" w:lineRule="auto"/>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 </w:t>
      </w:r>
      <w:r>
        <w:rPr>
          <w:rFonts w:ascii="Times New Roman" w:hAnsi="Times New Roman" w:cs="Times New Roman"/>
          <w:i/>
          <w:sz w:val="24"/>
        </w:rPr>
        <w:t>Informatica</w:t>
      </w:r>
      <w:r>
        <w:rPr>
          <w:rFonts w:ascii="Times New Roman" w:hAnsi="Times New Roman" w:cs="Times New Roman"/>
          <w:sz w:val="24"/>
        </w:rPr>
        <w:t xml:space="preserve">, </w:t>
      </w:r>
      <w:r>
        <w:rPr>
          <w:rFonts w:ascii="Times New Roman" w:hAnsi="Times New Roman" w:cs="Times New Roman"/>
          <w:i/>
          <w:sz w:val="24"/>
        </w:rPr>
        <w:t>26</w:t>
      </w:r>
      <w:r>
        <w:rPr>
          <w:rFonts w:ascii="Times New Roman" w:hAnsi="Times New Roman" w:cs="Times New Roman"/>
          <w:sz w:val="24"/>
        </w:rPr>
        <w:t>(3), 435–451. https://doi.org/10.15388/Informatica.2015.57</w:t>
      </w:r>
    </w:p>
    <w:p>
      <w:pPr>
        <w:spacing w:line="360" w:lineRule="auto"/>
      </w:pPr>
      <w:r>
        <w:rPr>
          <w:rFonts w:ascii="Times New Roman" w:hAnsi="Times New Roman" w:cs="Times New Roman"/>
          <w:sz w:val="24"/>
        </w:rPr>
        <w:t xml:space="preserve">Ketkar, M., &amp; Vaidya, O. S. (2014). Developing ordering policy based on multiple inventory classification schemes. </w:t>
      </w:r>
      <w:r>
        <w:rPr>
          <w:rFonts w:ascii="Times New Roman" w:hAnsi="Times New Roman" w:cs="Times New Roman"/>
          <w:i/>
          <w:sz w:val="24"/>
        </w:rPr>
        <w:t>Procedia – Social and Behavioral Sciences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 180–188. https://doi.org/10.1016/j.sbspro.2014.04.183</w:t>
      </w:r>
    </w:p>
    <w:p>
      <w:pPr>
        <w:spacing w:line="360" w:lineRule="auto"/>
      </w:pPr>
      <w:r>
        <w:rPr>
          <w:rFonts w:ascii="Times New Roman" w:hAnsi="Times New Roman" w:cs="Times New Roman"/>
          <w:sz w:val="24"/>
        </w:rPr>
        <w:t xml:space="preserve">Kumar, D., &amp; Kumar, D. (2015). Modelling hospital inventory management using interpretive structural modelling approach. </w:t>
      </w:r>
      <w:r>
        <w:rPr>
          <w:rFonts w:ascii="Times New Roman" w:hAnsi="Times New Roman" w:cs="Times New Roman"/>
          <w:i/>
          <w:sz w:val="24"/>
        </w:rPr>
        <w:t>International Journal of Logistics Systems and Management</w:t>
      </w:r>
      <w:r>
        <w:rPr>
          <w:rFonts w:ascii="Times New Roman" w:hAnsi="Times New Roman" w:cs="Times New Roman"/>
          <w:sz w:val="24"/>
        </w:rPr>
        <w:t xml:space="preserve">, </w:t>
      </w:r>
      <w:r>
        <w:rPr>
          <w:rFonts w:ascii="Times New Roman" w:hAnsi="Times New Roman" w:cs="Times New Roman"/>
          <w:i/>
          <w:sz w:val="24"/>
        </w:rPr>
        <w:t>21</w:t>
      </w:r>
      <w:r>
        <w:rPr>
          <w:rFonts w:ascii="Times New Roman" w:hAnsi="Times New Roman" w:cs="Times New Roman"/>
          <w:sz w:val="24"/>
        </w:rPr>
        <w:t>(3), 319–334. https://doi.org/10.1504/IJLSM.2015.069734</w:t>
      </w:r>
    </w:p>
    <w:p>
      <w:pPr>
        <w:spacing w:line="360" w:lineRule="auto"/>
      </w:pPr>
      <w:r>
        <w:rPr>
          <w:rFonts w:ascii="Times New Roman" w:hAnsi="Times New Roman" w:cs="Times New Roman"/>
          <w:sz w:val="24"/>
        </w:rPr>
        <w:t xml:space="preserve">McKinney, W. (2010). Data structures for statistical computing in Python. I S. van der Walt &amp; J. Millman (Red.), </w:t>
      </w:r>
      <w:r>
        <w:rPr>
          <w:rFonts w:ascii="Times New Roman" w:hAnsi="Times New Roman" w:cs="Times New Roman"/>
          <w:i/>
          <w:sz w:val="24"/>
        </w:rPr>
        <w:t>Proceedings of the 9th Python in Science Conference</w:t>
      </w:r>
      <w:r>
        <w:rPr>
          <w:rFonts w:ascii="Times New Roman" w:hAnsi="Times New Roman" w:cs="Times New Roman"/>
          <w:sz w:val="24"/>
        </w:rPr>
        <w:t xml:space="preserve"> (s. 56–61). https://doi.org/10.25080/Majora-92bf1922-00a</w:t>
      </w:r>
    </w:p>
    <w:p>
      <w:pPr>
        <w:spacing w:line="360" w:lineRule="auto"/>
      </w:pPr>
      <w:r>
        <w:rPr>
          <w:rFonts w:ascii="Times New Roman" w:hAnsi="Times New Roman" w:cs="Times New Roman"/>
          <w:sz w:val="24"/>
        </w:rPr>
        <w:t xml:space="preserve">Moons, K., Waeyenbergh, G., &amp; Pintelon, L. (2019). Measuring the logistics performance of internal hospital supply chains – A literature study.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82</w:t>
      </w:r>
      <w:r>
        <w:rPr>
          <w:rFonts w:ascii="Times New Roman" w:hAnsi="Times New Roman" w:cs="Times New Roman"/>
          <w:sz w:val="24"/>
        </w:rPr>
        <w:t>, 205–217. https://doi.org/10.1016/j.omega.2018.01.007</w:t>
      </w:r>
    </w:p>
    <w:p>
      <w:pPr>
        <w:spacing w:line="360" w:lineRule="auto"/>
      </w:pPr>
      <w:r>
        <w:rPr>
          <w:rFonts w:ascii="Times New Roman" w:hAnsi="Times New Roman" w:cs="Times New Roman"/>
          <w:sz w:val="24"/>
        </w:rPr>
        <w:t xml:space="preserve">Nowotyńska, I. (2013). An application of XYZ analysis in company stock management. </w:t>
      </w:r>
      <w:r>
        <w:rPr>
          <w:rFonts w:ascii="Times New Roman" w:hAnsi="Times New Roman" w:cs="Times New Roman"/>
          <w:i/>
          <w:sz w:val="24"/>
        </w:rPr>
        <w:t>Modern Management Review</w:t>
      </w:r>
      <w:r>
        <w:rPr>
          <w:rFonts w:ascii="Times New Roman" w:hAnsi="Times New Roman" w:cs="Times New Roman"/>
          <w:sz w:val="24"/>
        </w:rPr>
        <w:t xml:space="preserve">, </w:t>
      </w:r>
      <w:r>
        <w:rPr>
          <w:rFonts w:ascii="Times New Roman" w:hAnsi="Times New Roman" w:cs="Times New Roman"/>
          <w:i/>
          <w:sz w:val="24"/>
        </w:rPr>
        <w:t>XVIII</w:t>
      </w:r>
      <w:r>
        <w:rPr>
          <w:rFonts w:ascii="Times New Roman" w:hAnsi="Times New Roman" w:cs="Times New Roman"/>
          <w:sz w:val="24"/>
        </w:rPr>
        <w:t>(20), 77–86.</w:t>
      </w:r>
    </w:p>
    <w:p>
      <w:pPr>
        <w:spacing w:line="360" w:lineRule="auto"/>
      </w:pPr>
      <w:r>
        <w:rPr>
          <w:rFonts w:ascii="Times New Roman" w:hAnsi="Times New Roman" w:cs="Times New Roman"/>
          <w:sz w:val="24"/>
        </w:rPr>
        <w:t xml:space="preserve">Partovi, F. Y., &amp; Burton, J. (1993). Using the analytic hierarchy process for ABC analysis.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13</w:t>
      </w:r>
      <w:r>
        <w:rPr>
          <w:rFonts w:ascii="Times New Roman" w:hAnsi="Times New Roman" w:cs="Times New Roman"/>
          <w:sz w:val="24"/>
        </w:rPr>
        <w:t>(9), 29–44. https://doi.org/10.1108/01443579310043619</w:t>
      </w:r>
    </w:p>
    <w:p>
      <w:pPr>
        <w:spacing w:line="360" w:lineRule="auto"/>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sz w:val="24"/>
        </w:rPr>
        <w:t>Journal of Machine Learning Research</w:t>
      </w:r>
      <w:r>
        <w:rPr>
          <w:rFonts w:ascii="Times New Roman" w:hAnsi="Times New Roman" w:cs="Times New Roman"/>
          <w:sz w:val="24"/>
        </w:rPr>
        <w:t xml:space="preserve">, </w:t>
      </w:r>
      <w:r>
        <w:rPr>
          <w:rFonts w:ascii="Times New Roman" w:hAnsi="Times New Roman" w:cs="Times New Roman"/>
          <w:i/>
          <w:sz w:val="24"/>
        </w:rPr>
        <w:t>12</w:t>
      </w:r>
      <w:r>
        <w:rPr>
          <w:rFonts w:ascii="Times New Roman" w:hAnsi="Times New Roman" w:cs="Times New Roman"/>
          <w:sz w:val="24"/>
        </w:rPr>
        <w:t>, 2825–2830.</w:t>
      </w:r>
    </w:p>
    <w:p>
      <w:pPr>
        <w:spacing w:line="360" w:lineRule="auto"/>
      </w:pPr>
      <w:r>
        <w:rPr>
          <w:rFonts w:ascii="Times New Roman" w:hAnsi="Times New Roman" w:cs="Times New Roman"/>
          <w:sz w:val="24"/>
        </w:rPr>
        <w:t xml:space="preserve">Pujawan, I. N. (2004). The effect of lot sizing rules on order variability. </w:t>
      </w:r>
      <w:r>
        <w:rPr>
          <w:rFonts w:ascii="Times New Roman" w:hAnsi="Times New Roman" w:cs="Times New Roman"/>
          <w:i/>
          <w:sz w:val="24"/>
        </w:rPr>
        <w:t>European Journal of Operational Research</w:t>
      </w:r>
      <w:r>
        <w:rPr>
          <w:rFonts w:ascii="Times New Roman" w:hAnsi="Times New Roman" w:cs="Times New Roman"/>
          <w:sz w:val="24"/>
        </w:rPr>
        <w:t xml:space="preserve">, </w:t>
      </w:r>
      <w:r>
        <w:rPr>
          <w:rFonts w:ascii="Times New Roman" w:hAnsi="Times New Roman" w:cs="Times New Roman"/>
          <w:i/>
          <w:sz w:val="24"/>
        </w:rPr>
        <w:t>159</w:t>
      </w:r>
      <w:r>
        <w:rPr>
          <w:rFonts w:ascii="Times New Roman" w:hAnsi="Times New Roman" w:cs="Times New Roman"/>
          <w:sz w:val="24"/>
        </w:rPr>
        <w:t>(3), 617–635. https://doi.org/10.1016/S0377-2217(03)00419-3</w:t>
      </w:r>
    </w:p>
    <w:p>
      <w:pPr>
        <w:spacing w:line="360" w:lineRule="auto"/>
      </w:pPr>
      <w:r>
        <w:rPr>
          <w:rFonts w:ascii="Times New Roman" w:hAnsi="Times New Roman" w:cs="Times New Roman"/>
          <w:sz w:val="24"/>
        </w:rPr>
        <w:t xml:space="preserve">Saha, E., &amp; Ray, P. K. (2019). Modelling and analysis of inventory management systems in healthcare: A review and reflections.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137</w:t>
      </w:r>
      <w:r>
        <w:rPr>
          <w:rFonts w:ascii="Times New Roman" w:hAnsi="Times New Roman" w:cs="Times New Roman"/>
          <w:sz w:val="24"/>
        </w:rPr>
        <w:t>, 106051. https://doi.org/10.1016/j.cie.2019.106051</w:t>
      </w:r>
    </w:p>
    <w:p>
      <w:pPr>
        <w:spacing w:line="360" w:lineRule="auto"/>
      </w:pPr>
      <w:r>
        <w:rPr>
          <w:rFonts w:ascii="Times New Roman" w:hAnsi="Times New Roman" w:cs="Times New Roman"/>
          <w:sz w:val="24"/>
        </w:rPr>
        <w:t xml:space="preserve">Silaen, B. R., Nasution, M., &amp; Muti'ah, R. (2023). Implementation of the ABC analysis to the inventory management. </w:t>
      </w:r>
      <w:r>
        <w:rPr>
          <w:rFonts w:ascii="Times New Roman" w:hAnsi="Times New Roman" w:cs="Times New Roman"/>
          <w:i/>
          <w:sz w:val="24"/>
        </w:rPr>
        <w:t>International Journal of Science, Technology &amp; Management</w:t>
      </w:r>
      <w:r>
        <w:rPr>
          <w:rFonts w:ascii="Times New Roman" w:hAnsi="Times New Roman" w:cs="Times New Roman"/>
          <w:sz w:val="24"/>
        </w:rPr>
        <w:t xml:space="preserve">, </w:t>
      </w:r>
      <w:r>
        <w:rPr>
          <w:rFonts w:ascii="Times New Roman" w:hAnsi="Times New Roman" w:cs="Times New Roman"/>
          <w:i/>
          <w:sz w:val="24"/>
        </w:rPr>
        <w:t>4</w:t>
      </w:r>
      <w:r>
        <w:rPr>
          <w:rFonts w:ascii="Times New Roman" w:hAnsi="Times New Roman" w:cs="Times New Roman"/>
          <w:sz w:val="24"/>
        </w:rPr>
        <w:t>(4), 815–822. https://doi.org/10.46729/ijstm.v4i4.886</w:t>
      </w:r>
    </w:p>
    <w:p>
      <w:pPr>
        <w:spacing w:line="360" w:lineRule="auto"/>
      </w:pPr>
      <w:r>
        <w:rPr>
          <w:rFonts w:ascii="Times New Roman" w:hAnsi="Times New Roman" w:cs="Times New Roman"/>
          <w:sz w:val="24"/>
        </w:rPr>
        <w:t xml:space="preserve">Sirisawat, P., Hasachoo, N., &amp; Kaewket, T. (2019). Investigation and prioritization of performance indicators for inventory management in the university hospital. I </w:t>
      </w:r>
      <w:r>
        <w:rPr>
          <w:rFonts w:ascii="Times New Roman" w:hAnsi="Times New Roman" w:cs="Times New Roman"/>
          <w:i/>
          <w:sz w:val="24"/>
        </w:rPr>
        <w:t>Proceedings of the 2019 IEEE International Conference on Industrial Engineering and Engineering Management (IEEM)</w:t>
      </w:r>
      <w:r>
        <w:rPr>
          <w:rFonts w:ascii="Times New Roman" w:hAnsi="Times New Roman" w:cs="Times New Roman"/>
          <w:sz w:val="24"/>
        </w:rPr>
        <w:t xml:space="preserve"> (s. 978–982). IEEE. https://doi.org/10.1109/IEEM44572.2019.8978819</w:t>
      </w:r>
    </w:p>
    <w:p>
      <w:pPr>
        <w:spacing w:line="360" w:lineRule="auto"/>
      </w:pPr>
      <w:r>
        <w:rPr>
          <w:rFonts w:ascii="Times New Roman" w:hAnsi="Times New Roman" w:cs="Times New Roman"/>
          <w:sz w:val="24"/>
        </w:rPr>
        <w:t xml:space="preserve">Srinivasan, M., &amp; Moon, Y. B. (1999). A comprehensive clustering algorithm for strategic analysis of supply chain networks.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36</w:t>
      </w:r>
      <w:r>
        <w:rPr>
          <w:rFonts w:ascii="Times New Roman" w:hAnsi="Times New Roman" w:cs="Times New Roman"/>
          <w:sz w:val="24"/>
        </w:rPr>
        <w:t>, 615–633. https://doi.org/10.1016/S0360-8352(99)00155-2</w:t>
      </w:r>
    </w:p>
    <w:p>
      <w:pPr>
        <w:spacing w:line="360" w:lineRule="auto"/>
      </w:pPr>
      <w:r>
        <w:rPr>
          <w:rFonts w:ascii="Times New Roman" w:hAnsi="Times New Roman" w:cs="Times New Roman"/>
          <w:sz w:val="24"/>
        </w:rPr>
        <w:t xml:space="preserve">Suryaputri, Z., Gabriel, D. S., &amp; Nurcahyo, R. (2022). Integration of ABC-XYZ analysis in inventory management optimization: A case study in the health industry. I </w:t>
      </w:r>
      <w:r>
        <w:rPr>
          <w:rFonts w:ascii="Times New Roman" w:hAnsi="Times New Roman" w:cs="Times New Roman"/>
          <w:i/>
          <w:sz w:val="24"/>
        </w:rPr>
        <w:t>Proceedings of the International Conference on Industrial Engineering and Operations Management</w:t>
      </w:r>
      <w:r>
        <w:rPr>
          <w:rFonts w:ascii="Times New Roman" w:hAnsi="Times New Roman" w:cs="Times New Roman"/>
          <w:sz w:val="24"/>
        </w:rPr>
        <w:t xml:space="preserve"> (s. 351–360). IEOM Society International.</w:t>
      </w:r>
    </w:p>
    <w:p>
      <w:pPr>
        <w:spacing w:line="360" w:lineRule="auto"/>
      </w:pPr>
      <w:r>
        <w:rPr>
          <w:rFonts w:ascii="Times New Roman" w:hAnsi="Times New Roman" w:cs="Times New Roman"/>
          <w:sz w:val="24"/>
        </w:rPr>
        <w:t xml:space="preserve">van Kampen, T. J., Akkerman, R., &amp; van Donk, D. P. (2012). SKU classification: A literature review and conceptual framework.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32</w:t>
      </w:r>
      <w:r>
        <w:rPr>
          <w:rFonts w:ascii="Times New Roman" w:hAnsi="Times New Roman" w:cs="Times New Roman"/>
          <w:sz w:val="24"/>
        </w:rPr>
        <w:t>(7), 850–876. https://doi.org/10.1108/01443571211250112</w:t>
      </w:r>
    </w:p>
    <w:p>
      <w:pPr>
        <w:spacing w:line="360" w:lineRule="auto"/>
      </w:pPr>
      <w:r>
        <w:rPr>
          <w:rFonts w:ascii="Times New Roman" w:hAnsi="Times New Roman" w:cs="Times New Roman"/>
          <w:sz w:val="24"/>
        </w:rPr>
        <w:t xml:space="preserve">Volland, J., Fügener, A., Schoenfelder, J., &amp; Brunner, J. O. (2017). Material logistics in hospitals: A literature review.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69</w:t>
      </w:r>
      <w:r>
        <w:rPr>
          <w:rFonts w:ascii="Times New Roman" w:hAnsi="Times New Roman" w:cs="Times New Roman"/>
          <w:sz w:val="24"/>
        </w:rPr>
        <w:t>, 82–101. https://doi.org/10.1016/j.omega.2016.08.004</w:t>
      </w:r>
    </w:p>
    <w:p>
      <w:pPr>
        <w:spacing w:line="360" w:lineRule="auto"/>
      </w:pPr>
      <w:r>
        <w:rPr>
          <w:rFonts w:ascii="Times New Roman" w:hAnsi="Times New Roman" w:cs="Times New Roman"/>
          <w:sz w:val="24"/>
        </w:rPr>
        <w:t xml:space="preserve">Anthropic. (2026). </w:t>
      </w:r>
      <w:r>
        <w:rPr>
          <w:rFonts w:ascii="Times New Roman" w:hAnsi="Times New Roman" w:cs="Times New Roman"/>
          <w:i/>
          <w:sz w:val="24"/>
        </w:rPr>
        <w:t>Claude</w:t>
      </w:r>
      <w:r>
        <w:rPr>
          <w:rFonts w:ascii="Times New Roman" w:hAnsi="Times New Roman" w:cs="Times New Roman"/>
          <w:sz w:val="24"/>
        </w:rPr>
        <w:t xml:space="preserve"> [Stor språkmodell]. https://claude.ai</w:t>
      </w:r>
    </w:p>
    <w:p>
      <w:pPr>
        <w:spacing w:line="360" w:lineRule="auto"/>
      </w:pPr>
      <w:r>
        <w:rPr>
          <w:rFonts w:ascii="Times New Roman" w:hAnsi="Times New Roman" w:cs="Times New Roman"/>
          <w:sz w:val="24"/>
        </w:rPr>
        <w:t xml:space="preserve">Helse Vest RHF. (2024). </w:t>
      </w:r>
      <w:r>
        <w:rPr>
          <w:rFonts w:ascii="Times New Roman" w:hAnsi="Times New Roman" w:cs="Times New Roman"/>
          <w:i/>
          <w:sz w:val="24"/>
        </w:rPr>
        <w:t>Kontraktstildeling: Drift av regionalt forsyningssenter</w:t>
      </w:r>
      <w:r>
        <w:rPr>
          <w:rFonts w:ascii="Times New Roman" w:hAnsi="Times New Roman" w:cs="Times New Roman"/>
          <w:sz w:val="24"/>
        </w:rPr>
        <w:t xml:space="preserve"> [Kunngjøring om inngått kontrakt, kunngjøring 2024-101803]. Doffin – database for offentlige innkjøp. https://doffin.no/notices/2024-101803</w:t>
      </w:r>
    </w:p>
    <w:p>
      <w:pPr>
        <w:spacing w:line="360" w:lineRule="auto"/>
      </w:pPr>
      <w:r>
        <w:rPr>
          <w:rFonts w:ascii="Times New Roman" w:hAnsi="Times New Roman" w:cs="Times New Roman"/>
          <w:sz w:val="24"/>
        </w:rPr>
        <w:t xml:space="preserve">Rekdal, O. B., &amp; Pettersen, B. I. A. (2025). </w:t>
      </w:r>
      <w:r>
        <w:rPr>
          <w:rFonts w:ascii="Times New Roman" w:hAnsi="Times New Roman" w:cs="Times New Roman"/>
          <w:i/>
          <w:sz w:val="24"/>
        </w:rPr>
        <w:t>Vitenskapelig skriving – en praktisk innføring</w:t>
      </w:r>
      <w:r>
        <w:rPr>
          <w:rFonts w:ascii="Times New Roman" w:hAnsi="Times New Roman" w:cs="Times New Roman"/>
          <w:sz w:val="24"/>
        </w:rPr>
        <w:t xml:space="preserve"> (9. des. 2025). Høgskolen i Molde.</w:t>
      </w:r>
    </w:p>
    <w:p>
      <w:pPr>
        <w:pStyle w:val="Overskrift1"/>
        <w:pageBreakBefore w:val="true"/>
      </w:pPr>
      <w:r>
        <w:rPr>
          <w:rFonts w:ascii="Times New Roman" w:hAnsi="Times New Roman"/>
          <w:color w:val="000000"/>
          <w:sz w:val="36"/>
        </w:rPr>
        <w:t>Vedlegg</w:t>
      </w:r>
    </w:p>
    <w:p>
      <w:pPr>
        <w:pStyle w:val="Overskrift2"/>
      </w:pPr>
      <w:r>
        <w:rPr>
          <w:rFonts w:ascii="Times New Roman" w:hAnsi="Times New Roman"/>
          <w:color w:val="000000"/>
          <w:sz w:val="32"/>
        </w:rPr>
        <w:t>Vedlegg A – SAP-dataspesifikasjon</w:t>
      </w:r>
    </w:p>
    <w:p>
      <w:pPr>
        <w:spacing w:line="360" w:lineRule="auto"/>
      </w:pPr>
      <w:r>
        <w:rPr>
          <w:rFonts w:ascii="Times New Roman" w:hAnsi="Times New Roman" w:cs="Times New Roman"/>
          <w:sz w:val="24"/>
        </w:rPr>
        <w:t>Tabellen nedenfor viser de 14 SAP S/4HANA-tabellene som ble ekstrahert via transaksjon SE16H for WERKS 3300 / LGORT 3001. Uttrekksperiode: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3"/>
        <w:gridCol w:w="2923"/>
        <w:gridCol w:w="2923"/>
      </w:tblGrid>
      <w:tr>
        <w:tc>
          <w:tcPr>
            <w:tcW w:type="dxa" w:w="2923"/>
            <w:shd w:fill="D9E2F3" w:val="clear"/>
          </w:tcPr>
          <w:p>
            <w:r/>
            <w:r>
              <w:rPr>
                <w:rFonts w:ascii="Times New Roman" w:hAnsi="Times New Roman"/>
                <w:b/>
                <w:sz w:val="20"/>
              </w:rPr>
              <w:t>SAP-tabell</w:t>
            </w:r>
          </w:p>
        </w:tc>
        <w:tc>
          <w:tcPr>
            <w:tcW w:type="dxa" w:w="2923"/>
            <w:shd w:fill="D9E2F3" w:val="clear"/>
          </w:tcPr>
          <w:p>
            <w:r/>
            <w:r>
              <w:rPr>
                <w:rFonts w:ascii="Times New Roman" w:hAnsi="Times New Roman"/>
                <w:b/>
                <w:sz w:val="20"/>
              </w:rPr>
              <w:t>Beskrivelse</w:t>
            </w:r>
          </w:p>
        </w:tc>
        <w:tc>
          <w:tcPr>
            <w:tcW w:type="dxa" w:w="2923"/>
            <w:shd w:fill="D9E2F3" w:val="clear"/>
          </w:tcPr>
          <w:p>
            <w:r/>
            <w:r>
              <w:rPr>
                <w:rFonts w:ascii="Times New Roman" w:hAnsi="Times New Roman"/>
                <w:b/>
                <w:sz w:val="20"/>
              </w:rPr>
              <w:t>Nøkkelfelter</w:t>
            </w:r>
          </w:p>
        </w:tc>
      </w:tr>
      <w:tr>
        <w:tc>
          <w:tcPr>
            <w:tcW w:type="dxa" w:w="2923"/>
          </w:tcPr>
          <w:p>
            <w:r/>
            <w:r>
              <w:rPr>
                <w:rFonts w:ascii="Times New Roman" w:hAnsi="Times New Roman"/>
                <w:sz w:val="20"/>
              </w:rPr>
              <w:t>MARD</w:t>
            </w:r>
          </w:p>
        </w:tc>
        <w:tc>
          <w:tcPr>
            <w:tcW w:type="dxa" w:w="2923"/>
          </w:tcPr>
          <w:p>
            <w:r/>
            <w:r>
              <w:rPr>
                <w:rFonts w:ascii="Times New Roman" w:hAnsi="Times New Roman"/>
                <w:sz w:val="20"/>
              </w:rPr>
              <w:t>Lagerbeholdning per lagersted</w:t>
            </w:r>
          </w:p>
        </w:tc>
        <w:tc>
          <w:tcPr>
            <w:tcW w:type="dxa" w:w="2923"/>
          </w:tcPr>
          <w:p>
            <w:r/>
            <w:r>
              <w:rPr>
                <w:rFonts w:ascii="Times New Roman" w:hAnsi="Times New Roman"/>
                <w:sz w:val="20"/>
              </w:rPr>
              <w:t>MATNR, WERKS, LGORT, LABST</w:t>
            </w:r>
          </w:p>
        </w:tc>
      </w:tr>
      <w:tr>
        <w:tc>
          <w:tcPr>
            <w:tcW w:type="dxa" w:w="2923"/>
          </w:tcPr>
          <w:p>
            <w:r/>
            <w:r>
              <w:rPr>
                <w:rFonts w:ascii="Times New Roman" w:hAnsi="Times New Roman"/>
                <w:sz w:val="20"/>
              </w:rPr>
              <w:t>MDMA</w:t>
            </w:r>
          </w:p>
        </w:tc>
        <w:tc>
          <w:tcPr>
            <w:tcW w:type="dxa" w:w="2923"/>
          </w:tcPr>
          <w:p>
            <w:r/>
            <w:r>
              <w:rPr>
                <w:rFonts w:ascii="Times New Roman" w:hAnsi="Times New Roman"/>
                <w:sz w:val="20"/>
              </w:rPr>
              <w:t>MRP-område og tilordning</w:t>
            </w:r>
          </w:p>
        </w:tc>
        <w:tc>
          <w:tcPr>
            <w:tcW w:type="dxa" w:w="2923"/>
          </w:tcPr>
          <w:p>
            <w:r/>
            <w:r>
              <w:rPr>
                <w:rFonts w:ascii="Times New Roman" w:hAnsi="Times New Roman"/>
                <w:sz w:val="20"/>
              </w:rPr>
              <w:t>MATNR, WERKS, ZZABC, ZZXYZ</w:t>
            </w:r>
          </w:p>
        </w:tc>
      </w:tr>
      <w:tr>
        <w:tc>
          <w:tcPr>
            <w:tcW w:type="dxa" w:w="2923"/>
          </w:tcPr>
          <w:p>
            <w:r/>
            <w:r>
              <w:rPr>
                <w:rFonts w:ascii="Times New Roman" w:hAnsi="Times New Roman"/>
                <w:sz w:val="20"/>
              </w:rPr>
              <w:t>MARA</w:t>
            </w:r>
          </w:p>
        </w:tc>
        <w:tc>
          <w:tcPr>
            <w:tcW w:type="dxa" w:w="2923"/>
          </w:tcPr>
          <w:p>
            <w:r/>
            <w:r>
              <w:rPr>
                <w:rFonts w:ascii="Times New Roman" w:hAnsi="Times New Roman"/>
                <w:sz w:val="20"/>
              </w:rPr>
              <w:t>Generelle materialdata</w:t>
            </w:r>
          </w:p>
        </w:tc>
        <w:tc>
          <w:tcPr>
            <w:tcW w:type="dxa" w:w="2923"/>
          </w:tcPr>
          <w:p>
            <w:r/>
            <w:r>
              <w:rPr>
                <w:rFonts w:ascii="Times New Roman" w:hAnsi="Times New Roman"/>
                <w:sz w:val="20"/>
              </w:rPr>
              <w:t>MATNR, MTART, MATKL, MEINS</w:t>
            </w:r>
          </w:p>
        </w:tc>
      </w:tr>
      <w:tr>
        <w:tc>
          <w:tcPr>
            <w:tcW w:type="dxa" w:w="2923"/>
          </w:tcPr>
          <w:p>
            <w:r/>
            <w:r>
              <w:rPr>
                <w:rFonts w:ascii="Times New Roman" w:hAnsi="Times New Roman"/>
                <w:sz w:val="20"/>
              </w:rPr>
              <w:t>MAKT</w:t>
            </w:r>
          </w:p>
        </w:tc>
        <w:tc>
          <w:tcPr>
            <w:tcW w:type="dxa" w:w="2923"/>
          </w:tcPr>
          <w:p>
            <w:r/>
            <w:r>
              <w:rPr>
                <w:rFonts w:ascii="Times New Roman" w:hAnsi="Times New Roman"/>
                <w:sz w:val="20"/>
              </w:rPr>
              <w:t>Materialbeskrivelse</w:t>
            </w:r>
          </w:p>
        </w:tc>
        <w:tc>
          <w:tcPr>
            <w:tcW w:type="dxa" w:w="2923"/>
          </w:tcPr>
          <w:p>
            <w:r/>
            <w:r>
              <w:rPr>
                <w:rFonts w:ascii="Times New Roman" w:hAnsi="Times New Roman"/>
                <w:sz w:val="20"/>
              </w:rPr>
              <w:t>MATNR, MAKTX</w:t>
            </w:r>
          </w:p>
        </w:tc>
      </w:tr>
      <w:tr>
        <w:tc>
          <w:tcPr>
            <w:tcW w:type="dxa" w:w="2923"/>
          </w:tcPr>
          <w:p>
            <w:r/>
            <w:r>
              <w:rPr>
                <w:rFonts w:ascii="Times New Roman" w:hAnsi="Times New Roman"/>
                <w:sz w:val="20"/>
              </w:rPr>
              <w:t>MARC</w:t>
            </w:r>
          </w:p>
        </w:tc>
        <w:tc>
          <w:tcPr>
            <w:tcW w:type="dxa" w:w="2923"/>
          </w:tcPr>
          <w:p>
            <w:r/>
            <w:r>
              <w:rPr>
                <w:rFonts w:ascii="Times New Roman" w:hAnsi="Times New Roman"/>
                <w:sz w:val="20"/>
              </w:rPr>
              <w:t>Planleggingsdata per plant</w:t>
            </w:r>
          </w:p>
        </w:tc>
        <w:tc>
          <w:tcPr>
            <w:tcW w:type="dxa" w:w="2923"/>
          </w:tcPr>
          <w:p>
            <w:r/>
            <w:r>
              <w:rPr>
                <w:rFonts w:ascii="Times New Roman" w:hAnsi="Times New Roman"/>
                <w:sz w:val="20"/>
              </w:rPr>
              <w:t>MATNR, WERKS, MARC_ABC</w:t>
            </w:r>
          </w:p>
        </w:tc>
      </w:tr>
      <w:tr>
        <w:tc>
          <w:tcPr>
            <w:tcW w:type="dxa" w:w="2923"/>
          </w:tcPr>
          <w:p>
            <w:r/>
            <w:r>
              <w:rPr>
                <w:rFonts w:ascii="Times New Roman" w:hAnsi="Times New Roman"/>
                <w:sz w:val="20"/>
              </w:rPr>
              <w:t>MBEW</w:t>
            </w:r>
          </w:p>
        </w:tc>
        <w:tc>
          <w:tcPr>
            <w:tcW w:type="dxa" w:w="2923"/>
          </w:tcPr>
          <w:p>
            <w:r/>
            <w:r>
              <w:rPr>
                <w:rFonts w:ascii="Times New Roman" w:hAnsi="Times New Roman"/>
                <w:sz w:val="20"/>
              </w:rPr>
              <w:t>Materialvurdering (pris)</w:t>
            </w:r>
          </w:p>
        </w:tc>
        <w:tc>
          <w:tcPr>
            <w:tcW w:type="dxa" w:w="2923"/>
          </w:tcPr>
          <w:p>
            <w:r/>
            <w:r>
              <w:rPr>
                <w:rFonts w:ascii="Times New Roman" w:hAnsi="Times New Roman"/>
                <w:sz w:val="20"/>
              </w:rPr>
              <w:t>MATNR, BWKEY, STPRS, PEINH</w:t>
            </w:r>
          </w:p>
        </w:tc>
      </w:tr>
      <w:tr>
        <w:tc>
          <w:tcPr>
            <w:tcW w:type="dxa" w:w="2923"/>
          </w:tcPr>
          <w:p>
            <w:r/>
            <w:r>
              <w:rPr>
                <w:rFonts w:ascii="Times New Roman" w:hAnsi="Times New Roman"/>
                <w:sz w:val="20"/>
              </w:rPr>
              <w:t>MSEG</w:t>
            </w:r>
          </w:p>
        </w:tc>
        <w:tc>
          <w:tcPr>
            <w:tcW w:type="dxa" w:w="2923"/>
          </w:tcPr>
          <w:p>
            <w:r/>
            <w:r>
              <w:rPr>
                <w:rFonts w:ascii="Times New Roman" w:hAnsi="Times New Roman"/>
                <w:sz w:val="20"/>
              </w:rPr>
              <w:t>Materialdokumentsegment</w:t>
            </w:r>
          </w:p>
        </w:tc>
        <w:tc>
          <w:tcPr>
            <w:tcW w:type="dxa" w:w="2923"/>
          </w:tcPr>
          <w:p>
            <w:r/>
            <w:r>
              <w:rPr>
                <w:rFonts w:ascii="Times New Roman" w:hAnsi="Times New Roman"/>
                <w:sz w:val="20"/>
              </w:rPr>
              <w:t>MATNR, WERKS, LGORT, MENGE, BWART</w:t>
            </w:r>
          </w:p>
        </w:tc>
      </w:tr>
      <w:tr>
        <w:tc>
          <w:tcPr>
            <w:tcW w:type="dxa" w:w="2923"/>
          </w:tcPr>
          <w:p>
            <w:r/>
            <w:r>
              <w:rPr>
                <w:rFonts w:ascii="Times New Roman" w:hAnsi="Times New Roman"/>
                <w:sz w:val="20"/>
              </w:rPr>
              <w:t>EKKO</w:t>
            </w:r>
          </w:p>
        </w:tc>
        <w:tc>
          <w:tcPr>
            <w:tcW w:type="dxa" w:w="2923"/>
          </w:tcPr>
          <w:p>
            <w:r/>
            <w:r>
              <w:rPr>
                <w:rFonts w:ascii="Times New Roman" w:hAnsi="Times New Roman"/>
                <w:sz w:val="20"/>
              </w:rPr>
              <w:t>Innkjøpsordrehode</w:t>
            </w:r>
          </w:p>
        </w:tc>
        <w:tc>
          <w:tcPr>
            <w:tcW w:type="dxa" w:w="2923"/>
          </w:tcPr>
          <w:p>
            <w:r/>
            <w:r>
              <w:rPr>
                <w:rFonts w:ascii="Times New Roman" w:hAnsi="Times New Roman"/>
                <w:sz w:val="20"/>
              </w:rPr>
              <w:t>EBELN, BSART, LIFNR</w:t>
            </w:r>
          </w:p>
        </w:tc>
      </w:tr>
      <w:tr>
        <w:tc>
          <w:tcPr>
            <w:tcW w:type="dxa" w:w="2923"/>
          </w:tcPr>
          <w:p>
            <w:r/>
            <w:r>
              <w:rPr>
                <w:rFonts w:ascii="Times New Roman" w:hAnsi="Times New Roman"/>
                <w:sz w:val="20"/>
              </w:rPr>
              <w:t>EKPO</w:t>
            </w:r>
          </w:p>
        </w:tc>
        <w:tc>
          <w:tcPr>
            <w:tcW w:type="dxa" w:w="2923"/>
          </w:tcPr>
          <w:p>
            <w:r/>
            <w:r>
              <w:rPr>
                <w:rFonts w:ascii="Times New Roman" w:hAnsi="Times New Roman"/>
                <w:sz w:val="20"/>
              </w:rPr>
              <w:t>Innkjøpsordreposisjon</w:t>
            </w:r>
          </w:p>
        </w:tc>
        <w:tc>
          <w:tcPr>
            <w:tcW w:type="dxa" w:w="2923"/>
          </w:tcPr>
          <w:p>
            <w:r/>
            <w:r>
              <w:rPr>
                <w:rFonts w:ascii="Times New Roman" w:hAnsi="Times New Roman"/>
                <w:sz w:val="20"/>
              </w:rPr>
              <w:t>EBELN, EBELP, MATNR, NETWR</w:t>
            </w:r>
          </w:p>
        </w:tc>
      </w:tr>
      <w:tr>
        <w:tc>
          <w:tcPr>
            <w:tcW w:type="dxa" w:w="2923"/>
          </w:tcPr>
          <w:p>
            <w:r/>
            <w:r>
              <w:rPr>
                <w:rFonts w:ascii="Times New Roman" w:hAnsi="Times New Roman"/>
                <w:sz w:val="20"/>
              </w:rPr>
              <w:t>EKBE</w:t>
            </w:r>
          </w:p>
        </w:tc>
        <w:tc>
          <w:tcPr>
            <w:tcW w:type="dxa" w:w="2923"/>
          </w:tcPr>
          <w:p>
            <w:r/>
            <w:r>
              <w:rPr>
                <w:rFonts w:ascii="Times New Roman" w:hAnsi="Times New Roman"/>
                <w:sz w:val="20"/>
              </w:rPr>
              <w:t>Innkjøpsordrehistorikk</w:t>
            </w:r>
          </w:p>
        </w:tc>
        <w:tc>
          <w:tcPr>
            <w:tcW w:type="dxa" w:w="2923"/>
          </w:tcPr>
          <w:p>
            <w:r/>
            <w:r>
              <w:rPr>
                <w:rFonts w:ascii="Times New Roman" w:hAnsi="Times New Roman"/>
                <w:sz w:val="20"/>
              </w:rPr>
              <w:t>EBELN, EBELP, MATNR, MENGE</w:t>
            </w:r>
          </w:p>
        </w:tc>
      </w:tr>
      <w:tr>
        <w:tc>
          <w:tcPr>
            <w:tcW w:type="dxa" w:w="2923"/>
          </w:tcPr>
          <w:p>
            <w:r/>
            <w:r>
              <w:rPr>
                <w:rFonts w:ascii="Times New Roman" w:hAnsi="Times New Roman"/>
                <w:sz w:val="20"/>
              </w:rPr>
              <w:t>EINA</w:t>
            </w:r>
          </w:p>
        </w:tc>
        <w:tc>
          <w:tcPr>
            <w:tcW w:type="dxa" w:w="2923"/>
          </w:tcPr>
          <w:p>
            <w:r/>
            <w:r>
              <w:rPr>
                <w:rFonts w:ascii="Times New Roman" w:hAnsi="Times New Roman"/>
                <w:sz w:val="20"/>
              </w:rPr>
              <w:t>Inforecord generell</w:t>
            </w:r>
          </w:p>
        </w:tc>
        <w:tc>
          <w:tcPr>
            <w:tcW w:type="dxa" w:w="2923"/>
          </w:tcPr>
          <w:p>
            <w:r/>
            <w:r>
              <w:rPr>
                <w:rFonts w:ascii="Times New Roman" w:hAnsi="Times New Roman"/>
                <w:sz w:val="20"/>
              </w:rPr>
              <w:t>INFNR, MATNR, LIFNR</w:t>
            </w:r>
          </w:p>
        </w:tc>
      </w:tr>
      <w:tr>
        <w:tc>
          <w:tcPr>
            <w:tcW w:type="dxa" w:w="2923"/>
          </w:tcPr>
          <w:p>
            <w:r/>
            <w:r>
              <w:rPr>
                <w:rFonts w:ascii="Times New Roman" w:hAnsi="Times New Roman"/>
                <w:sz w:val="20"/>
              </w:rPr>
              <w:t>EINE</w:t>
            </w:r>
          </w:p>
        </w:tc>
        <w:tc>
          <w:tcPr>
            <w:tcW w:type="dxa" w:w="2923"/>
          </w:tcPr>
          <w:p>
            <w:r/>
            <w:r>
              <w:rPr>
                <w:rFonts w:ascii="Times New Roman" w:hAnsi="Times New Roman"/>
                <w:sz w:val="20"/>
              </w:rPr>
              <w:t>Inforecord organisasjon</w:t>
            </w:r>
          </w:p>
        </w:tc>
        <w:tc>
          <w:tcPr>
            <w:tcW w:type="dxa" w:w="2923"/>
          </w:tcPr>
          <w:p>
            <w:r/>
            <w:r>
              <w:rPr>
                <w:rFonts w:ascii="Times New Roman" w:hAnsi="Times New Roman"/>
                <w:sz w:val="20"/>
              </w:rPr>
              <w:t>INFNR, EKORG, NETPR, PEINH</w:t>
            </w:r>
          </w:p>
        </w:tc>
      </w:tr>
      <w:tr>
        <w:tc>
          <w:tcPr>
            <w:tcW w:type="dxa" w:w="2923"/>
          </w:tcPr>
          <w:p>
            <w:r/>
            <w:r>
              <w:rPr>
                <w:rFonts w:ascii="Times New Roman" w:hAnsi="Times New Roman"/>
                <w:sz w:val="20"/>
              </w:rPr>
              <w:t>T023T</w:t>
            </w:r>
          </w:p>
        </w:tc>
        <w:tc>
          <w:tcPr>
            <w:tcW w:type="dxa" w:w="2923"/>
          </w:tcPr>
          <w:p>
            <w:r/>
            <w:r>
              <w:rPr>
                <w:rFonts w:ascii="Times New Roman" w:hAnsi="Times New Roman"/>
                <w:sz w:val="20"/>
              </w:rPr>
              <w:t>Varegruppebeskriving</w:t>
            </w:r>
          </w:p>
        </w:tc>
        <w:tc>
          <w:tcPr>
            <w:tcW w:type="dxa" w:w="2923"/>
          </w:tcPr>
          <w:p>
            <w:r/>
            <w:r>
              <w:rPr>
                <w:rFonts w:ascii="Times New Roman" w:hAnsi="Times New Roman"/>
                <w:sz w:val="20"/>
              </w:rPr>
              <w:t>MATKL, WGBEZ</w:t>
            </w:r>
          </w:p>
        </w:tc>
      </w:tr>
      <w:tr>
        <w:tc>
          <w:tcPr>
            <w:tcW w:type="dxa" w:w="2923"/>
          </w:tcPr>
          <w:p>
            <w:r/>
            <w:r>
              <w:rPr>
                <w:rFonts w:ascii="Times New Roman" w:hAnsi="Times New Roman"/>
                <w:sz w:val="20"/>
              </w:rPr>
              <w:t>MASTERFILE</w:t>
            </w:r>
          </w:p>
        </w:tc>
        <w:tc>
          <w:tcPr>
            <w:tcW w:type="dxa" w:w="2923"/>
          </w:tcPr>
          <w:p>
            <w:r/>
            <w:r>
              <w:rPr>
                <w:rFonts w:ascii="Times New Roman" w:hAnsi="Times New Roman"/>
                <w:sz w:val="20"/>
              </w:rPr>
              <w:t>Konsolidert analysefil</w:t>
            </w:r>
          </w:p>
        </w:tc>
        <w:tc>
          <w:tcPr>
            <w:tcW w:type="dxa" w:w="2923"/>
          </w:tcPr>
          <w:p>
            <w:r/>
            <w:r>
              <w:rPr>
                <w:rFonts w:ascii="Times New Roman" w:hAnsi="Times New Roman"/>
                <w:sz w:val="20"/>
              </w:rPr>
              <w:t>709 aktive artiklar, 21 kolonnar</w:t>
            </w:r>
          </w:p>
        </w:tc>
      </w:tr>
    </w:tbl>
    <w:p>
      <w:pPr>
        <w:spacing w:line="360" w:lineRule="auto"/>
      </w:pPr>
      <w:r>
        <w:rPr>
          <w:rFonts w:ascii="Times New Roman" w:hAnsi="Times New Roman" w:cs="Times New Roman"/>
          <w:sz w:val="24"/>
        </w:rPr>
        <w:t>Alle datavalgsbeslutningar (D-01 til D-08) er dokumenterte i Tabell 5 i hovudteksten.</w:t>
      </w:r>
    </w:p>
    <w:p>
      <w:pPr>
        <w:pStyle w:val="Overskrift2"/>
      </w:pPr>
      <w:r>
        <w:rPr>
          <w:rFonts w:ascii="Times New Roman" w:hAnsi="Times New Roman"/>
          <w:color w:val="000000"/>
          <w:sz w:val="32"/>
        </w:rPr>
        <w:t>Vedlegg B – Python-analyseverktøy</w:t>
      </w:r>
    </w:p>
    <w:p>
      <w:pPr>
        <w:spacing w:line="360" w:lineRule="auto"/>
      </w:pPr>
      <w:r>
        <w:rPr>
          <w:rFonts w:ascii="Times New Roman" w:hAnsi="Times New Roman" w:cs="Times New Roman"/>
          <w:sz w:val="24"/>
        </w:rPr>
        <w:t>Analyseverktøyet er implementert i Python 3.13 og består av to hovudkomponentar:</w:t>
      </w:r>
    </w:p>
    <w:p>
      <w:pPr>
        <w:spacing w:line="360" w:lineRule="auto"/>
      </w:pPr>
      <w:r>
        <w:rPr>
          <w:rFonts w:ascii="Times New Roman" w:hAnsi="Times New Roman" w:cs="Times New Roman"/>
          <w:sz w:val="24"/>
        </w:rPr>
      </w:r>
      <w:r>
        <w:rPr>
          <w:rFonts w:ascii="Times New Roman" w:hAnsi="Times New Roman" w:cs="Times New Roman"/>
          <w:b/>
          <w:sz w:val="24"/>
        </w:rPr>
        <w:t>Hovudscript:</w:t>
      </w:r>
      <w:r>
        <w:rPr>
          <w:rFonts w:ascii="Times New Roman" w:hAnsi="Times New Roman" w:cs="Times New Roman"/>
          <w:sz w:val="24"/>
        </w:rPr>
        <w:t xml:space="preserve"> `LOG650_analyse_v2_7.py` — deterministisk analysepipeline som les MASTERFILE V1.xlsx og produserer alle klassifiseringar, K-means-modellen, regelmotoranbefalingar og besparelsesestimater. Outputformat: Excel (LOG650_Resultater.xlsx) med separate ark for kvart analysesteg.</w:t>
      </w:r>
    </w:p>
    <w:p>
      <w:pPr>
        <w:spacing w:line="360" w:lineRule="auto"/>
      </w:pPr>
      <w:r>
        <w:rPr>
          <w:rFonts w:ascii="Times New Roman" w:hAnsi="Times New Roman" w:cs="Times New Roman"/>
          <w:sz w:val="24"/>
        </w:rPr>
      </w:r>
      <w:r>
        <w:rPr>
          <w:rFonts w:ascii="Times New Roman" w:hAnsi="Times New Roman" w:cs="Times New Roman"/>
          <w:b/>
          <w:sz w:val="24"/>
        </w:rPr>
        <w:t>Figurscripts:</w:t>
      </w:r>
      <w:r>
        <w:rPr>
          <w:rFonts w:ascii="Times New Roman" w:hAnsi="Times New Roman" w:cs="Times New Roman"/>
          <w:sz w:val="24"/>
        </w:rPr>
        <w:t xml:space="preserve"> 11 separate Python-scripts (`plot_*.py`) som genererer figurane Fig00–Fig10 i konsistent stil (serif-font, 300 dpi, felles fargepalett).</w:t>
      </w:r>
    </w:p>
    <w:p>
      <w:pPr>
        <w:spacing w:line="360" w:lineRule="auto"/>
      </w:pPr>
      <w:r>
        <w:rPr>
          <w:rFonts w:ascii="Times New Roman" w:hAnsi="Times New Roman" w:cs="Times New Roman"/>
          <w:sz w:val="24"/>
        </w:rPr>
      </w:r>
      <w:r>
        <w:rPr>
          <w:rFonts w:ascii="Times New Roman" w:hAnsi="Times New Roman" w:cs="Times New Roman"/>
          <w:b/>
          <w:sz w:val="24"/>
        </w:rPr>
        <w:t>Nøkkelbibliotek:</w:t>
      </w:r>
      <w:r>
        <w:rPr>
          <w:rFonts w:ascii="Times New Roman" w:hAnsi="Times New Roman" w:cs="Times New Roman"/>
          <w:sz w:val="24"/>
        </w:rPr>
        <w:t xml:space="preserve"> pandas 2.x (datastrukturar), scikit-learn 1.x (KMeans, StandardScaler, silhouette_score), matplotlib 3.x (visualisering), openpyxl (Excel I/O).</w:t>
      </w:r>
    </w:p>
    <w:p>
      <w:pPr>
        <w:spacing w:line="360" w:lineRule="auto"/>
      </w:pPr>
      <w:r>
        <w:rPr>
          <w:rFonts w:ascii="Times New Roman" w:hAnsi="Times New Roman" w:cs="Times New Roman"/>
          <w:sz w:val="24"/>
        </w:rPr>
      </w:r>
      <w:r>
        <w:rPr>
          <w:rFonts w:ascii="Times New Roman" w:hAnsi="Times New Roman" w:cs="Times New Roman"/>
          <w:b/>
          <w:sz w:val="24"/>
        </w:rPr>
        <w:t>Reproduserbarheit:</w:t>
      </w:r>
      <w:r>
        <w:rPr>
          <w:rFonts w:ascii="Times New Roman" w:hAnsi="Times New Roman" w:cs="Times New Roman"/>
          <w:sz w:val="24"/>
        </w:rPr>
        <w:t xml:space="preserve"> Alle scripts brukar `random_state=42` for deterministisk output. Gjentatt kjøring med same inputdata gir identiske resultat.</w:t>
      </w:r>
    </w:p>
    <w:p>
      <w:pPr>
        <w:spacing w:line="360" w:lineRule="auto"/>
      </w:pPr>
      <w:r>
        <w:rPr>
          <w:rFonts w:ascii="Times New Roman" w:hAnsi="Times New Roman" w:cs="Times New Roman"/>
          <w:sz w:val="24"/>
        </w:rPr>
        <w:t>Fullstendig kildekode er tilgjengeleg i prosjektets GitHub-repository.</w:t>
      </w:r>
    </w:p>
    <w:p>
      <w:pPr>
        <w:pStyle w:val="Overskrift2"/>
      </w:pPr>
      <w:r>
        <w:rPr>
          <w:rFonts w:ascii="Times New Roman" w:hAnsi="Times New Roman"/>
          <w:color w:val="000000"/>
          <w:sz w:val="32"/>
        </w:rPr>
        <w:t>Vedlegg C – Erklæring om bruk av kunstig intelligens</w:t>
      </w:r>
    </w:p>
    <w:p>
      <w:pPr>
        <w:spacing w:line="360" w:lineRule="auto"/>
      </w:pPr>
      <w:r>
        <w:rPr>
          <w:rFonts w:ascii="Times New Roman" w:hAnsi="Times New Roman" w:cs="Times New Roman"/>
          <w:sz w:val="24"/>
        </w:rPr>
        <w:t>I denne oppgåva er KI-verktøyet Claude (Anthropic, 2026) brukt som støtteverktøy i tre delar av arbeidet, i samsvar med Høgskolen i Molde sine retningslinjer for bruk av KI på hjemmeeksamen.</w:t>
      </w:r>
    </w:p>
    <w:p>
      <w:pPr>
        <w:spacing w:line="360" w:lineRule="auto"/>
      </w:pPr>
      <w:r>
        <w:rPr>
          <w:rFonts w:ascii="Times New Roman" w:hAnsi="Times New Roman" w:cs="Times New Roman"/>
          <w:sz w:val="24"/>
        </w:rPr>
      </w:r>
      <w:r>
        <w:rPr>
          <w:rFonts w:ascii="Times New Roman" w:hAnsi="Times New Roman" w:cs="Times New Roman"/>
          <w:b/>
          <w:sz w:val="24"/>
        </w:rPr>
        <w:t>1. Kode og algoritmar.</w:t>
      </w:r>
      <w:r>
        <w:rPr>
          <w:rFonts w:ascii="Times New Roman" w:hAnsi="Times New Roman" w:cs="Times New Roman"/>
          <w:sz w:val="24"/>
        </w:rPr>
        <w:t xml:space="preserve"> Claude vart brukt til kodestøtte og feilsøking i Python-scriptet (`LOG650_analyse_v2_7.py`) som implementerer ABC-, XYZ-, EOQ- og K-means-analysen. Verktøyet vart brukt til å forstå kodelogikk, feilsøke syntaksfeil og generere foreløpige kodeutdrag som seinare vart tilpassa og integrert. All kode er gjennomgått, testa og modifisert av forfattaren for å sikre korrektheit. Den endelege implementasjonen, tolkinga av resultat og presentasjonen av numeriske verdiar er forfattarens ansvar. Alle scripts brukar `random_state=42` for deterministisk og reproduserbar output.</w:t>
      </w:r>
    </w:p>
    <w:p>
      <w:pPr>
        <w:spacing w:line="360" w:lineRule="auto"/>
      </w:pPr>
      <w:r>
        <w:rPr>
          <w:rFonts w:ascii="Times New Roman" w:hAnsi="Times New Roman" w:cs="Times New Roman"/>
          <w:sz w:val="24"/>
        </w:rPr>
      </w:r>
      <w:r>
        <w:rPr>
          <w:rFonts w:ascii="Times New Roman" w:hAnsi="Times New Roman" w:cs="Times New Roman"/>
          <w:b/>
          <w:sz w:val="24"/>
        </w:rPr>
        <w:t>2. Figurar og tabellar.</w:t>
      </w:r>
      <w:r>
        <w:rPr>
          <w:rFonts w:ascii="Times New Roman" w:hAnsi="Times New Roman" w:cs="Times New Roman"/>
          <w:sz w:val="24"/>
        </w:rPr>
        <w:t xml:space="preserve"> Alle 11 figurar (Fig00–Fig10) er genererte med matplotlib-scripts der Claude bidrog til utforming av layout, fargepalett og aksetitlar. Figurane er basert på analyseresultat produsert av Python-scriptet frå SAP-kildedata — KI-verktøyet har ikkje produsert eller modifisert nokon dataverdiar. Kvar figur er merka «Generert med støtte fra Claude (Anthropic, 2026)» i bildeteksten. Tabellar er formaterte med støtte frå Claude, men alle verdiar kjem direkte frå analysescriptet.</w:t>
      </w:r>
    </w:p>
    <w:p>
      <w:pPr>
        <w:spacing w:line="360" w:lineRule="auto"/>
      </w:pPr>
      <w:r>
        <w:rPr>
          <w:rFonts w:ascii="Times New Roman" w:hAnsi="Times New Roman" w:cs="Times New Roman"/>
          <w:sz w:val="24"/>
        </w:rPr>
      </w:r>
      <w:r>
        <w:rPr>
          <w:rFonts w:ascii="Times New Roman" w:hAnsi="Times New Roman" w:cs="Times New Roman"/>
          <w:b/>
          <w:sz w:val="24"/>
        </w:rPr>
        <w:t>3. Tekststrukturering og språkleg bearbeiding.</w:t>
      </w:r>
      <w:r>
        <w:rPr>
          <w:rFonts w:ascii="Times New Roman" w:hAnsi="Times New Roman" w:cs="Times New Roman"/>
          <w:sz w:val="24"/>
        </w:rPr>
        <w:t xml:space="preserve"> Claude vart brukt til å strukturere rapportteksten og forbetre språkleg klarheit. Verktøyet foreslo disposisjon, avsnittsinndeling og formuleringar som forfattaren vurderte kritisk og reviderte. Alle faglege påstandar, argument og konklusjonar er forfattarens eigne. Claude er ikkje brukt som fagkjelde og er ikkje sitert som belegg for faglege påstandar.</w:t>
      </w:r>
    </w:p>
    <w:p>
      <w:pPr>
        <w:spacing w:line="360" w:lineRule="auto"/>
      </w:pPr>
      <w:r>
        <w:rPr>
          <w:rFonts w:ascii="Times New Roman" w:hAnsi="Times New Roman" w:cs="Times New Roman"/>
          <w:sz w:val="24"/>
        </w:rPr>
      </w:r>
      <w:r>
        <w:rPr>
          <w:rFonts w:ascii="Times New Roman" w:hAnsi="Times New Roman" w:cs="Times New Roman"/>
          <w:b/>
          <w:sz w:val="24"/>
        </w:rPr>
        <w:t>Avgrensing.</w:t>
      </w:r>
      <w:r>
        <w:rPr>
          <w:rFonts w:ascii="Times New Roman" w:hAnsi="Times New Roman" w:cs="Times New Roman"/>
          <w:sz w:val="24"/>
        </w:rPr>
        <w:t xml:space="preserve"> Rådata frå SAP vart ikkje lagt inn i KI-verktøyet. Alle datatransformasjonar er dokumenterte i D-01–D-08 (avsnitt 4.3) og køyrde lokalt i Python. Ingen pasientdata eller personopplysningar er brukte i studien.</w:t>
      </w:r>
    </w:p>
    <w:sectPr w:rsidR="000F66BC" w:rsidRPr="000F66BC" w:rsidSect="00C90D42">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spacing w:line="360" w:lineRule="auto"/>
    </w:pPr>
    <w:rPr>
      <w:rFonts w:cs="Sendnya" w:ascii="Times New Roman" w:hAnsi="Times New Roman"/>
      <w:sz w:val="24"/>
      <w:szCs w:val="24"/>
      <w:lang w:eastAsia="zh-CN" w:bidi="or-IN"/>
    </w:rPr>
  </w:style>
  <w:style w:type="paragraph" w:styleId="Overskrift1">
    <w:name w:val="heading 1"/>
    <w:basedOn w:val="Normal"/>
    <w:next w:val="Normal"/>
    <w:qFormat/>
    <w:rsid w:val="00B33323"/>
    <w:pPr>
      <w:keepNext/>
      <w:numPr>
        <w:numId w:val="21"/>
      </w:numPr>
      <w:spacing w:before="240" w:after="60"/>
      <w:outlineLvl w:val="0"/>
    </w:pPr>
    <w:rPr>
      <w:rFonts w:asciiTheme="minorHAnsi" w:hAnsiTheme="minorHAnsi" w:ascii="Times New Roman" w:hAnsi="Times New Roman"/>
      <w:b/>
      <w:bCs/>
      <w:color w:val="000000"/>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ascii="Times New Roman" w:hAnsi="Times New Roman"/>
      <w:b/>
      <w:bCs/>
      <w:iCs/>
      <w:color w:val="000000"/>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ascii="Times New Roman" w:hAnsi="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