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rapporten er skrevet som avsluttende arbeid i emnet LOG650 Forskningsprosjekt: Logistikk og kunstig intelligens ved Høgskolen i Molde, vårsemesteret 2026.</w:t>
      </w:r>
    </w:p>
    <w:p>
      <w:pPr>
        <w:spacing w:line="360" w:lineRule="auto"/>
      </w:pPr>
      <w:r>
        <w:rPr>
          <w:rFonts w:ascii="Times New Roman" w:hAnsi="Times New Roman"/>
          <w:sz w:val="24"/>
        </w:rPr>
        <w:t xml:space="preserve">Jeg vil rette en stor takk til min veileder, Bård Inge Austigard Pettersen, for faglig engasjement, konstruktive tilbakemeldinger og tydelige forventninger gjennom hele prosessen. Hans evne til å kombinere akademisk presisjon med praktisk relevans har vært avgjørende for arbeidet med oppgaven.</w:t>
      </w:r>
    </w:p>
    <w:p>
      <w:pPr>
        <w:spacing w:line="360" w:lineRule="auto"/>
      </w:pPr>
      <w:r>
        <w:rPr>
          <w:rFonts w:ascii="Times New Roman" w:hAnsi="Times New Roman"/>
          <w:sz w:val="24"/>
        </w:rPr>
        <w:t xml:space="preserve">Takk til Helse Bergen og Helse Vest IKT for tilgang til SAP S/4HANA-data som har gjort analysen mulig. Datagrunnlaget er behandlet i tråd med gjeldende retningslinjer for personvern og informasjonssikkerhet, og studien omfatter ikke personidentifiserbare opplysninger.</w:t>
      </w:r>
    </w:p>
    <w:p>
      <w:pPr>
        <w:spacing w:line="360" w:lineRule="auto"/>
      </w:pPr>
      <w:r>
        <w:rPr>
          <w:rFonts w:ascii="Times New Roman" w:hAnsi="Times New Roman"/>
          <w:sz w:val="24"/>
        </w:rPr>
        <w:t xml:space="preserve">Motivasjonen springer ut av min rolle som SAP MM-konsulent ved Helse Vest IKT, hvor jeg daglig ser at transaksjonsdataene i SAP er underutnyttet som beslutningsgrunnlag. Denne oppgaven er et forsøk på å bygge bro over det gapet.</w:t>
      </w:r>
    </w:p>
    <w:p>
      <w:pPr>
        <w:spacing w:line="360" w:lineRule="auto"/>
      </w:pPr>
      <w:r>
        <w:rPr>
          <w:rFonts w:ascii="Times New Roman" w:hAnsi="Times New Roman"/>
          <w:sz w:val="24"/>
        </w:rPr>
        <w:t xml:space="preserve">Til slutt vil jeg takke min samboer Hilde for støtte og tålmodighet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bør overføres til Helse Vest Forsyningssenter (HVFS), og estimerer tilhørende besparelsespotensial. Studien er forankret i LIBRA-prosjektet og har som mål å utvikle et datadrevet og reproduserbart beslutningsgrunnlag for sentralisering basert på SAP S/4HANA-data.</w:t>
      </w:r>
    </w:p>
    <w:p>
      <w:pPr>
        <w:pStyle w:val="Normal"/>
        <w:spacing w:line="360" w:lineRule="auto"/>
      </w:pPr>
      <w:r>
        <w:rPr>
          <w:rFonts w:ascii="Times New Roman" w:hAnsi="Times New Roman"/>
          <w:sz w:val="24"/>
        </w:rPr>
        <w:t xml:space="preserve">Analysen omfatter 709 aktive artikler for perioden 2024–2025. Metodetilnærmingen kombinerer ABC- og XYZ-klassifisering, EOQ-avviksanalyse og K-means klyngeanalyse i en regelbasert beslutningsmodell. K-means identifiserer K = 3 klynger med akseptabel klyngestruktur (silhouette-score 0,383 trening / 0,368 test).</w:t>
      </w:r>
    </w:p>
    <w:p>
      <w:pPr>
        <w:pStyle w:val="Normal"/>
        <w:spacing w:line="360" w:lineRule="auto"/>
      </w:pPr>
      <w:r>
        <w:rPr>
          <w:rFonts w:ascii="Times New Roman" w:hAnsi="Times New Roman"/>
          <w:sz w:val="24"/>
        </w:rPr>
        <w:t xml:space="preserve">Resultatene viser at 145 artikler (20,5 %) identifiseres som prioriterte overføringskandidater til HVFS, mens 257 beholdes lokalt, 284 krever manuell vurdering og 23 mangler tilstrekkelig datagrunnlag. Den høye andelen manuell vurdering (40,1 %) reflekterer en bevisst prioritering av presisjon fremfor full automatisering.</w:t>
      </w:r>
    </w:p>
    <w:p>
      <w:pPr>
        <w:pStyle w:val="Normal"/>
        <w:spacing w:line="360" w:lineRule="auto"/>
      </w:pPr>
      <w:r>
        <w:rPr>
          <w:rFonts w:ascii="Times New Roman" w:hAnsi="Times New Roman"/>
          <w:sz w:val="24"/>
        </w:rPr>
        <w:t xml:space="preserve">Det estimerte besparelsespotensialet har et base case på kr 451 515 per år (g = 75 %). Tre-scenarioanalysen gir et intervall fra kr 301 010 (g = 50 %) til kr 602 020 (g = 100 %). Sensitivitetsanalysen over 27 parameterkombinasjoner viser en bredere spennvidde fra kr 176 374 til kr 763 903 per år. Estimatene er scenariobaserte og avhenger av ikke-kalibrerte kostnadsparametere.</w:t>
      </w:r>
    </w:p>
    <w:p>
      <w:pPr>
        <w:pStyle w:val="Normal"/>
        <w:spacing w:line="360" w:lineRule="auto"/>
      </w:pPr>
      <w:r>
        <w:rPr>
          <w:rFonts w:ascii="Times New Roman" w:hAnsi="Times New Roman"/>
          <w:sz w:val="24"/>
        </w:rPr>
        <w:t xml:space="preserve">Studien viser at multikriterieklassifisering kombinert med klyngeanalyse gir et strukturert beslutningsgrunnlag for sentralisering i sykehuslogistikk. Praktisk realisering forutsetter justering av SAP MM-parametere, faglig validering og systematisk gjennomgang av artikler med usikker klassifisering.</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Innholdsfortegnelse</w:t>
      </w:r>
    </w:p>
    <w:p>
      <w:pPr>
        <w:spacing w:line="360" w:lineRule="auto"/>
      </w:pPr>
      <w:r>
        <w:fldChar w:fldCharType="begin"/>
      </w:r>
      <w:r>
        <w:instrText xml:space="preserve"> TOC \o "1-3" \h \z \u </w:instrText>
      </w:r>
      <w:r>
        <w:fldChar w:fldCharType="separate"/>
      </w:r>
      <w:r>
        <w:rPr>
          <w:rFonts w:ascii="Times New Roman" w:hAnsi="Times New Roman"/>
          <w:color w:val="808080"/>
          <w:sz w:val="20"/>
        </w:rPr>
        <w:t>Oppdater felt: Ctrl+A, F9</w:t>
      </w:r>
      <w:r>
        <w:fldChar w:fldCharType="end"/>
      </w:r>
    </w:p>
    <w:p>
      <w:pPr>
        <w:pStyle w:val="Overskrift1"/>
        <w:pageBreakBefore w:val="true"/>
      </w:pPr>
      <w:r>
        <w:rPr>
          <w:rFonts w:ascii="Times New Roman" w:hAnsi="Times New Roman"/>
          <w:color w:val="000000"/>
          <w:sz w:val="36"/>
        </w:rPr>
        <w:t>Figurliste</w:t>
      </w:r>
    </w:p>
    <w:p>
      <w:pPr>
        <w:spacing w:line="360" w:lineRule="auto"/>
      </w:pPr>
      <w:r>
        <w:fldChar w:fldCharType="begin"/>
      </w:r>
      <w:r>
        <w:instrText xml:space="preserve"> TOC \h \z \c "Figur" </w:instrText>
      </w:r>
      <w:r>
        <w:fldChar w:fldCharType="separate"/>
      </w:r>
      <w:r>
        <w:rPr>
          <w:rFonts w:ascii="Times New Roman" w:hAnsi="Times New Roman"/>
          <w:color w:val="808080"/>
          <w:sz w:val="20"/>
        </w:rPr>
        <w:t>Oppdater felt: Ctrl+A, F9</w:t>
      </w:r>
      <w:r>
        <w:fldChar w:fldCharType="end"/>
      </w:r>
    </w:p>
    <w:p>
      <w:pPr>
        <w:pStyle w:val="Overskrift1"/>
        <w:pageBreakBefore w:val="true"/>
      </w:pPr>
      <w:r>
        <w:rPr>
          <w:rFonts w:ascii="Times New Roman" w:hAnsi="Times New Roman"/>
          <w:color w:val="000000"/>
          <w:sz w:val="36"/>
        </w:rPr>
        <w:t>Tabelliste</w:t>
      </w:r>
    </w:p>
    <w:p>
      <w:pPr>
        <w:spacing w:line="360" w:lineRule="auto"/>
      </w:pPr>
      <w:r>
        <w:fldChar w:fldCharType="begin"/>
      </w:r>
      <w:r>
        <w:instrText xml:space="preserve"> TOC \h \z \c "Tabell" </w:instrText>
      </w:r>
      <w:r>
        <w:fldChar w:fldCharType="separate"/>
      </w:r>
      <w:r>
        <w:rPr>
          <w:rFonts w:ascii="Times New Roman" w:hAnsi="Times New Roman"/>
          <w:color w:val="808080"/>
          <w:sz w:val="20"/>
        </w:rPr>
        <w:t>Oppdater felt: Ctrl+A, F9</w:t>
      </w:r>
      <w:r>
        <w:fldChar w:fldCharType="end"/>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jc w:val="both"/>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jc w:val="both"/>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jc w:val="both"/>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jc w:val="both"/>
      </w:pPr>
      <w:r>
        <w:rPr>
          <w:rFonts w:ascii="Times New Roman" w:hAnsi="Times New Roman" w:cs="Times New Roman"/>
          <w:sz w:val="24"/>
        </w:rPr>
        <w:t>Oppgaven besvarer følgende forskningsspørsmål:</w:t>
      </w:r>
    </w:p>
    <w:p>
      <w:pPr>
        <w:spacing w:line="360" w:lineRule="auto"/>
        <w:ind w:left="567"/>
        <w:jc w:val="both"/>
      </w:pPr>
      <w:r>
        <w:rPr>
          <w:rFonts w:ascii="Times New Roman" w:hAnsi="Times New Roman"/>
          <w:b/>
          <w:sz w:val="24"/>
        </w:rPr>
        <w:t>Hvordan kan multikriterieklassifisering og klyngeanalyse av SAP-transaksjonsdata identifisere hvilke artikler ved Helse Bergens forsyningslager (WERKS 3300, LGORT 3001) som bør overføres til Helse Vest Forsyningssenter, og hva er det estimerte besparelsespotensialet ved en slik overføring?</w:t>
      </w:r>
    </w:p>
    <w:p>
      <w:pPr>
        <w:spacing w:line="360" w:lineRule="auto"/>
        <w:jc w:val="both"/>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jc w:val="both"/>
      </w:pPr>
      <w:r>
        <w:rPr>
          <w:rFonts w:ascii="Times New Roman" w:hAnsi="Times New Roman" w:cs="Times New Roman"/>
          <w:sz w:val="24"/>
        </w:rPr>
        <w:t>Oppgaven avgrenses på følgende punkter, begrunnet faglig:</w:t>
      </w:r>
    </w:p>
    <w:p>
      <w:pPr>
        <w:spacing w:line="360" w:lineRule="auto"/>
        <w:jc w:val="both"/>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jc w:val="both"/>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jc w:val="both"/>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jc w:val="both"/>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ROP-modulen er identifisert som en naturlig forlengelse, men utelatt da leveringstidsdata kun dekker 6 % av artiklene.</w:t>
      </w:r>
    </w:p>
    <w:p>
      <w:pPr>
        <w:spacing w:line="360" w:lineRule="auto"/>
        <w:jc w:val="both"/>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jc w:val="both"/>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jc w:val="both"/>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(Bijvank &amp; Vis, 2012; Kelle et al.,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jc w:val="both"/>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 av enhetsprisen, i tråd med anbefalinger i lagerstyringslitteraturen (Ketkar &amp; Vaidya, 2014). Satsens innvirkning testes i sensitivitetsanalysen over intervallet {15, 20, 25} %.</w:t>
      </w:r>
    </w:p>
    <w:p>
      <w:pPr>
        <w:spacing w:line="360" w:lineRule="auto"/>
        <w:jc w:val="both"/>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jc w:val="both"/>
      </w:pPr>
      <w:r>
        <w:rPr>
          <w:rFonts w:ascii="Times New Roman" w:hAnsi="Times New Roman" w:cs="Times New Roman"/>
          <w:b/>
          <w:sz w:val="24"/>
        </w:rPr>
        <w:t>Leveringstid (LEAD_TIME = 14 dager).</w:t>
      </w:r>
      <w:r>
        <w:rPr>
          <w:rFonts w:ascii="Times New Roman" w:hAnsi="Times New Roman" w:cs="Times New Roman"/>
          <w:sz w:val="24"/>
        </w:rPr>
        <w:t xml:space="preserve"> For 94 % av artiklene mangler registrert leveringstid i EINA/EINE. En standardverdi på 14 dager er benyttet; parameteren er reservert for en fremtidig ROP-modul.</w:t>
      </w:r>
    </w:p>
    <w:p>
      <w:pPr>
        <w:spacing w:line="360" w:lineRule="auto"/>
        <w:jc w:val="both"/>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jc w:val="both"/>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 (worst/base/best). Dette er et avgrenset transaksjonskostnadsestimat – det inkluderer ikke varekostnader eller endringer i lagernivå.</w:t>
      </w:r>
    </w:p>
    <w:p>
      <w:pPr>
        <w:spacing w:line="360" w:lineRule="auto"/>
        <w:jc w:val="both"/>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jc w:val="both"/>
      </w:pPr>
      <w:r>
        <w:rPr>
          <w:rFonts w:ascii="Times New Roman" w:hAnsi="Times New Roman" w:cs="Times New Roman"/>
          <w:sz w:val="24"/>
        </w:rPr>
        <w:t>Forskning på lagerklassifisering i sykehus har økt i omfang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begrenset forskning som kobler klassifiseringsmetoder direkte til sentralisering av forsyningskjeden – noe denne oppgaven adresserer.</w:t>
      </w:r>
    </w:p>
    <w:p>
      <w:pPr>
        <w:spacing w:line="360" w:lineRule="auto"/>
        <w:jc w:val="both"/>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 studie der ABC kombineres med VED-analyse for å differensiere mellom høyverdiartikler og artikler med kritisk klinisk betydning.</w:t>
      </w:r>
    </w:p>
    <w:p>
      <w:pPr>
        <w:spacing w:line="360" w:lineRule="auto"/>
        <w:jc w:val="both"/>
      </w:pPr>
      <w:r>
        <w:rPr>
          <w:rFonts w:ascii="Times New Roman" w:hAnsi="Times New Roman" w:cs="Times New Roman"/>
          <w:sz w:val="24"/>
        </w:rPr>
        <w:t>XYZ-analyse, basert på variasjonskoeffisienten til etterspørselen, fremstår som det mest naturlige komplementet til ABC. Nowotyńska (2013) og Suryaputri et al. (2022) viser at ABC/XYZ-matrisen gir differensierte styringsanbefalinger for ni varekategorier, med dokumentert merverdi i helseindustrien.</w:t>
      </w:r>
    </w:p>
    <w:p>
      <w:pPr>
        <w:spacing w:line="360" w:lineRule="auto"/>
        <w:jc w:val="both"/>
      </w:pPr>
      <w:r>
        <w:rPr>
          <w:rFonts w:ascii="Times New Roman" w:hAnsi="Times New Roman" w:cs="Times New Roman"/>
          <w:sz w:val="24"/>
        </w:rPr>
        <w:t>Flerkriterietilnærminger som EDAS (Keshavarz Ghorabaee et al., 2015)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er lite dokumentert i sykehuskontekst, og utgjør et utforskende element i oppgavens metoderammeverk.</w:t>
      </w:r>
    </w:p>
    <w:p>
      <w:pPr>
        <w:spacing w:line="360" w:lineRule="auto"/>
        <w:jc w:val="both"/>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jc w:val="both"/>
      </w:pPr>
      <w:r>
        <w:rPr>
          <w:rFonts w:ascii="Times New Roman" w:hAnsi="Times New Roman" w:cs="Times New Roman"/>
          <w:sz w:val="24"/>
        </w:rPr>
        <w:t>Et identifisert gap i litteraturen er den begrensede forekomsten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jc w:val="both"/>
      </w:pPr>
      <w:r>
        <w:rPr>
          <w:rFonts w:ascii="Times New Roman" w:hAnsi="Times New Roman" w:cs="Times New Roman"/>
          <w:sz w:val="24"/>
        </w:rPr>
        <w:t>Tabell 1 gir en samlet oversikt over de sentrale kildene i litteraturgjennomgangen, organisert etter hovedtema og med kopling til denne oppgavens problemstilling.</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Litteraturoversikt: sentrale kilder med tema og relevans for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b w:val="0"/>
                <w:sz w:val="22"/>
              </w:rPr>
              <w:t>Bijvank &amp; Vis</w:t>
            </w:r>
          </w:p>
        </w:tc>
        <w:tc>
          <w:tcPr>
            <w:tcW w:type="dxa" w:w="2192"/>
          </w:tcPr>
          <w:p>
            <w:r/>
            <w:r>
              <w:rPr>
                <w:rFonts w:ascii="Times New Roman" w:hAnsi="Times New Roman"/>
                <w:b w:val="0"/>
                <w:sz w:val="22"/>
              </w:rPr>
              <w:t>2012</w:t>
            </w:r>
          </w:p>
        </w:tc>
        <w:tc>
          <w:tcPr>
            <w:tcW w:type="dxa" w:w="2192"/>
          </w:tcPr>
          <w:p>
            <w:r/>
            <w:r>
              <w:rPr>
                <w:rFonts w:ascii="Times New Roman" w:hAnsi="Times New Roman"/>
                <w:b w:val="0"/>
                <w:sz w:val="22"/>
              </w:rPr>
              <w:t>Lagerstyring ved brukssted i sykehus</w:t>
            </w:r>
          </w:p>
        </w:tc>
        <w:tc>
          <w:tcPr>
            <w:tcW w:type="dxa" w:w="2192"/>
          </w:tcPr>
          <w:p>
            <w:r/>
            <w:r>
              <w:rPr>
                <w:rFonts w:ascii="Times New Roman" w:hAnsi="Times New Roman"/>
                <w:b w:val="0"/>
                <w:sz w:val="22"/>
              </w:rPr>
              <w:t>Lost-sales-modell, forsyningssikkerhet</w:t>
            </w:r>
          </w:p>
        </w:tc>
      </w:tr>
      <w:tr>
        <w:tc>
          <w:tcPr>
            <w:tcW w:type="dxa" w:w="2192"/>
          </w:tcPr>
          <w:p>
            <w:r/>
            <w:r>
              <w:rPr>
                <w:rFonts w:ascii="Times New Roman" w:hAnsi="Times New Roman"/>
                <w:b w:val="0"/>
                <w:sz w:val="22"/>
              </w:rPr>
              <w:t>de Vries</w:t>
            </w:r>
          </w:p>
        </w:tc>
        <w:tc>
          <w:tcPr>
            <w:tcW w:type="dxa" w:w="2192"/>
          </w:tcPr>
          <w:p>
            <w:r/>
            <w:r>
              <w:rPr>
                <w:rFonts w:ascii="Times New Roman" w:hAnsi="Times New Roman"/>
                <w:b w:val="0"/>
                <w:sz w:val="22"/>
              </w:rPr>
              <w:t>2011</w:t>
            </w:r>
          </w:p>
        </w:tc>
        <w:tc>
          <w:tcPr>
            <w:tcW w:type="dxa" w:w="2192"/>
          </w:tcPr>
          <w:p>
            <w:r/>
            <w:r>
              <w:rPr>
                <w:rFonts w:ascii="Times New Roman" w:hAnsi="Times New Roman"/>
                <w:b w:val="0"/>
                <w:sz w:val="22"/>
              </w:rPr>
              <w:t>Interessentanalyse, lageromstilling i helse</w:t>
            </w:r>
          </w:p>
        </w:tc>
        <w:tc>
          <w:tcPr>
            <w:tcW w:type="dxa" w:w="2192"/>
          </w:tcPr>
          <w:p>
            <w:r/>
            <w:r>
              <w:rPr>
                <w:rFonts w:ascii="Times New Roman" w:hAnsi="Times New Roman"/>
                <w:b w:val="0"/>
                <w:sz w:val="22"/>
              </w:rPr>
              <w:t>Organisatoriske barrierer ved sentralisering</w:t>
            </w:r>
          </w:p>
        </w:tc>
      </w:tr>
      <w:tr>
        <w:tc>
          <w:tcPr>
            <w:tcW w:type="dxa" w:w="2192"/>
          </w:tcPr>
          <w:p>
            <w:r/>
            <w:r>
              <w:rPr>
                <w:rFonts w:ascii="Times New Roman" w:hAnsi="Times New Roman"/>
                <w:b w:val="0"/>
                <w:sz w:val="22"/>
              </w:rPr>
              <w:t>Fragapane et al.</w:t>
            </w:r>
          </w:p>
        </w:tc>
        <w:tc>
          <w:tcPr>
            <w:tcW w:type="dxa" w:w="2192"/>
          </w:tcPr>
          <w:p>
            <w:r/>
            <w:r>
              <w:rPr>
                <w:rFonts w:ascii="Times New Roman" w:hAnsi="Times New Roman"/>
                <w:b w:val="0"/>
                <w:sz w:val="22"/>
              </w:rPr>
              <w:t>2019</w:t>
            </w:r>
          </w:p>
        </w:tc>
        <w:tc>
          <w:tcPr>
            <w:tcW w:type="dxa" w:w="2192"/>
          </w:tcPr>
          <w:p>
            <w:r/>
            <w:r>
              <w:rPr>
                <w:rFonts w:ascii="Times New Roman" w:hAnsi="Times New Roman"/>
                <w:b w:val="0"/>
                <w:sz w:val="22"/>
              </w:rPr>
              <w:t>Forsyning til brukssted (APL)</w:t>
            </w:r>
          </w:p>
        </w:tc>
        <w:tc>
          <w:tcPr>
            <w:tcW w:type="dxa" w:w="2192"/>
          </w:tcPr>
          <w:p>
            <w:r/>
            <w:r>
              <w:rPr>
                <w:rFonts w:ascii="Times New Roman" w:hAnsi="Times New Roman"/>
                <w:b w:val="0"/>
                <w:sz w:val="22"/>
              </w:rPr>
              <w:t>APL-leveransemodell, sentraliseringskrav</w:t>
            </w:r>
          </w:p>
        </w:tc>
      </w:tr>
      <w:tr>
        <w:tc>
          <w:tcPr>
            <w:tcW w:type="dxa" w:w="2192"/>
          </w:tcPr>
          <w:p>
            <w:r/>
            <w:r>
              <w:rPr>
                <w:rFonts w:ascii="Times New Roman" w:hAnsi="Times New Roman"/>
                <w:b w:val="0"/>
                <w:sz w:val="22"/>
              </w:rPr>
              <w:t>Gupta et al.</w:t>
            </w:r>
          </w:p>
        </w:tc>
        <w:tc>
          <w:tcPr>
            <w:tcW w:type="dxa" w:w="2192"/>
          </w:tcPr>
          <w:p>
            <w:r/>
            <w:r>
              <w:rPr>
                <w:rFonts w:ascii="Times New Roman" w:hAnsi="Times New Roman"/>
                <w:b w:val="0"/>
                <w:sz w:val="22"/>
              </w:rPr>
              <w:t>2007</w:t>
            </w:r>
          </w:p>
        </w:tc>
        <w:tc>
          <w:tcPr>
            <w:tcW w:type="dxa" w:w="2192"/>
          </w:tcPr>
          <w:p>
            <w:r/>
            <w:r>
              <w:rPr>
                <w:rFonts w:ascii="Times New Roman" w:hAnsi="Times New Roman"/>
                <w:b w:val="0"/>
                <w:sz w:val="22"/>
              </w:rPr>
              <w:t>ABC- og VED-analyse, militærmedisinsk</w:t>
            </w:r>
          </w:p>
        </w:tc>
        <w:tc>
          <w:tcPr>
            <w:tcW w:type="dxa" w:w="2192"/>
          </w:tcPr>
          <w:p>
            <w:r/>
            <w:r>
              <w:rPr>
                <w:rFonts w:ascii="Times New Roman" w:hAnsi="Times New Roman"/>
                <w:b w:val="0"/>
                <w:sz w:val="22"/>
              </w:rPr>
              <w:t>ABC i sykehuskontekst med SAP-data</w:t>
            </w:r>
          </w:p>
        </w:tc>
      </w:tr>
      <w:tr>
        <w:tc>
          <w:tcPr>
            <w:tcW w:type="dxa" w:w="2192"/>
          </w:tcPr>
          <w:p>
            <w:r/>
            <w:r>
              <w:rPr>
                <w:rFonts w:ascii="Times New Roman" w:hAnsi="Times New Roman"/>
                <w:b w:val="0"/>
                <w:sz w:val="22"/>
              </w:rPr>
              <w:t>Gurumurthy et al.</w:t>
            </w:r>
          </w:p>
        </w:tc>
        <w:tc>
          <w:tcPr>
            <w:tcW w:type="dxa" w:w="2192"/>
          </w:tcPr>
          <w:p>
            <w:r/>
            <w:r>
              <w:rPr>
                <w:rFonts w:ascii="Times New Roman" w:hAnsi="Times New Roman"/>
                <w:b w:val="0"/>
                <w:sz w:val="22"/>
              </w:rPr>
              <w:t>2021</w:t>
            </w:r>
          </w:p>
        </w:tc>
        <w:tc>
          <w:tcPr>
            <w:tcW w:type="dxa" w:w="2192"/>
          </w:tcPr>
          <w:p>
            <w:r/>
            <w:r>
              <w:rPr>
                <w:rFonts w:ascii="Times New Roman" w:hAnsi="Times New Roman"/>
                <w:b w:val="0"/>
                <w:sz w:val="22"/>
              </w:rPr>
              <w:t>Hybrid lagerklassifisering, lean i sykehus</w:t>
            </w:r>
          </w:p>
        </w:tc>
        <w:tc>
          <w:tcPr>
            <w:tcW w:type="dxa" w:w="2192"/>
          </w:tcPr>
          <w:p>
            <w:r/>
            <w:r>
              <w:rPr>
                <w:rFonts w:ascii="Times New Roman" w:hAnsi="Times New Roman"/>
                <w:b w:val="0"/>
                <w:sz w:val="22"/>
              </w:rPr>
              <w:t>K-means i sykehuslogistikk</w:t>
            </w:r>
          </w:p>
        </w:tc>
      </w:tr>
      <w:tr>
        <w:tc>
          <w:tcPr>
            <w:tcW w:type="dxa" w:w="2192"/>
          </w:tcPr>
          <w:p>
            <w:r/>
            <w:r>
              <w:rPr>
                <w:rFonts w:ascii="Times New Roman" w:hAnsi="Times New Roman"/>
                <w:b w:val="0"/>
                <w:sz w:val="22"/>
              </w:rPr>
              <w:t>Hautaniemi &amp; Pirttilä</w:t>
            </w:r>
          </w:p>
        </w:tc>
        <w:tc>
          <w:tcPr>
            <w:tcW w:type="dxa" w:w="2192"/>
          </w:tcPr>
          <w:p>
            <w:r/>
            <w:r>
              <w:rPr>
                <w:rFonts w:ascii="Times New Roman" w:hAnsi="Times New Roman"/>
                <w:b w:val="0"/>
                <w:sz w:val="22"/>
              </w:rPr>
              <w:t>1999</w:t>
            </w:r>
          </w:p>
        </w:tc>
        <w:tc>
          <w:tcPr>
            <w:tcW w:type="dxa" w:w="2192"/>
          </w:tcPr>
          <w:p>
            <w:r/>
            <w:r>
              <w:rPr>
                <w:rFonts w:ascii="Times New Roman" w:hAnsi="Times New Roman"/>
                <w:b w:val="0"/>
                <w:sz w:val="22"/>
              </w:rPr>
              <w:t>Påfyllingspolicyer i MRP-miljø</w:t>
            </w:r>
          </w:p>
        </w:tc>
        <w:tc>
          <w:tcPr>
            <w:tcW w:type="dxa" w:w="2192"/>
          </w:tcPr>
          <w:p>
            <w:r/>
            <w:r>
              <w:rPr>
                <w:rFonts w:ascii="Times New Roman" w:hAnsi="Times New Roman"/>
                <w:b w:val="0"/>
                <w:sz w:val="22"/>
              </w:rPr>
              <w:t>EOQ-forutsetninger, lot sizing</w:t>
            </w:r>
          </w:p>
        </w:tc>
      </w:tr>
      <w:tr>
        <w:tc>
          <w:tcPr>
            <w:tcW w:type="dxa" w:w="2192"/>
          </w:tcPr>
          <w:p>
            <w:r/>
            <w:r>
              <w:rPr>
                <w:rFonts w:ascii="Times New Roman" w:hAnsi="Times New Roman"/>
                <w:b w:val="0"/>
                <w:sz w:val="22"/>
              </w:rPr>
              <w:t>Kelle et al.</w:t>
            </w:r>
          </w:p>
        </w:tc>
        <w:tc>
          <w:tcPr>
            <w:tcW w:type="dxa" w:w="2192"/>
          </w:tcPr>
          <w:p>
            <w:r/>
            <w:r>
              <w:rPr>
                <w:rFonts w:ascii="Times New Roman" w:hAnsi="Times New Roman"/>
                <w:b w:val="0"/>
                <w:sz w:val="22"/>
              </w:rPr>
              <w:t>2012</w:t>
            </w:r>
          </w:p>
        </w:tc>
        <w:tc>
          <w:tcPr>
            <w:tcW w:type="dxa" w:w="2192"/>
          </w:tcPr>
          <w:p>
            <w:r/>
            <w:r>
              <w:rPr>
                <w:rFonts w:ascii="Times New Roman" w:hAnsi="Times New Roman"/>
                <w:b w:val="0"/>
                <w:sz w:val="22"/>
              </w:rPr>
              <w:t>Farmasøytisk forsyningskjede, sykehus</w:t>
            </w:r>
          </w:p>
        </w:tc>
        <w:tc>
          <w:tcPr>
            <w:tcW w:type="dxa" w:w="2192"/>
          </w:tcPr>
          <w:p>
            <w:r/>
            <w:r>
              <w:rPr>
                <w:rFonts w:ascii="Times New Roman" w:hAnsi="Times New Roman"/>
                <w:b w:val="0"/>
                <w:sz w:val="22"/>
              </w:rPr>
              <w:t>Ordrekostnad S, sykehusinnkjøp</w:t>
            </w:r>
          </w:p>
        </w:tc>
      </w:tr>
      <w:tr>
        <w:tc>
          <w:tcPr>
            <w:tcW w:type="dxa" w:w="2192"/>
          </w:tcPr>
          <w:p>
            <w:r/>
            <w:r>
              <w:rPr>
                <w:rFonts w:ascii="Times New Roman" w:hAnsi="Times New Roman"/>
                <w:b w:val="0"/>
                <w:sz w:val="22"/>
              </w:rPr>
              <w:t>Keshavarz Ghorabaee et al.</w:t>
            </w:r>
          </w:p>
        </w:tc>
        <w:tc>
          <w:tcPr>
            <w:tcW w:type="dxa" w:w="2192"/>
          </w:tcPr>
          <w:p>
            <w:r/>
            <w:r>
              <w:rPr>
                <w:rFonts w:ascii="Times New Roman" w:hAnsi="Times New Roman"/>
                <w:b w:val="0"/>
                <w:sz w:val="22"/>
              </w:rPr>
              <w:t>2015</w:t>
            </w:r>
          </w:p>
        </w:tc>
        <w:tc>
          <w:tcPr>
            <w:tcW w:type="dxa" w:w="2192"/>
          </w:tcPr>
          <w:p>
            <w:r/>
            <w:r>
              <w:rPr>
                <w:rFonts w:ascii="Times New Roman" w:hAnsi="Times New Roman"/>
                <w:b w:val="0"/>
                <w:sz w:val="22"/>
              </w:rPr>
              <w:t>EDAS flerkriterieklassifisering</w:t>
            </w:r>
          </w:p>
        </w:tc>
        <w:tc>
          <w:tcPr>
            <w:tcW w:type="dxa" w:w="2192"/>
          </w:tcPr>
          <w:p>
            <w:r/>
            <w:r>
              <w:rPr>
                <w:rFonts w:ascii="Times New Roman" w:hAnsi="Times New Roman"/>
                <w:b w:val="0"/>
                <w:sz w:val="22"/>
              </w:rPr>
              <w:t>Alternativ til ABC, avstandsmetode</w:t>
            </w:r>
          </w:p>
        </w:tc>
      </w:tr>
      <w:tr>
        <w:tc>
          <w:tcPr>
            <w:tcW w:type="dxa" w:w="2192"/>
          </w:tcPr>
          <w:p>
            <w:r/>
            <w:r>
              <w:rPr>
                <w:rFonts w:ascii="Times New Roman" w:hAnsi="Times New Roman"/>
                <w:b w:val="0"/>
                <w:sz w:val="22"/>
              </w:rPr>
              <w:t>Ketkar &amp; Vaidya</w:t>
            </w:r>
          </w:p>
        </w:tc>
        <w:tc>
          <w:tcPr>
            <w:tcW w:type="dxa" w:w="2192"/>
          </w:tcPr>
          <w:p>
            <w:r/>
            <w:r>
              <w:rPr>
                <w:rFonts w:ascii="Times New Roman" w:hAnsi="Times New Roman"/>
                <w:b w:val="0"/>
                <w:sz w:val="22"/>
              </w:rPr>
              <w:t>2014</w:t>
            </w:r>
          </w:p>
        </w:tc>
        <w:tc>
          <w:tcPr>
            <w:tcW w:type="dxa" w:w="2192"/>
          </w:tcPr>
          <w:p>
            <w:r/>
            <w:r>
              <w:rPr>
                <w:rFonts w:ascii="Times New Roman" w:hAnsi="Times New Roman"/>
                <w:b w:val="0"/>
                <w:sz w:val="22"/>
              </w:rPr>
              <w:t>Bestillingspolicy, flerklassifisering</w:t>
            </w:r>
          </w:p>
        </w:tc>
        <w:tc>
          <w:tcPr>
            <w:tcW w:type="dxa" w:w="2192"/>
          </w:tcPr>
          <w:p>
            <w:r/>
            <w:r>
              <w:rPr>
                <w:rFonts w:ascii="Times New Roman" w:hAnsi="Times New Roman"/>
                <w:b w:val="0"/>
                <w:sz w:val="22"/>
              </w:rPr>
              <w:t>Holdesats h = 20 %, ABC/XYZ-kombinasjon</w:t>
            </w:r>
          </w:p>
        </w:tc>
      </w:tr>
      <w:tr>
        <w:tc>
          <w:tcPr>
            <w:tcW w:type="dxa" w:w="2192"/>
          </w:tcPr>
          <w:p>
            <w:r/>
            <w:r>
              <w:rPr>
                <w:rFonts w:ascii="Times New Roman" w:hAnsi="Times New Roman"/>
                <w:b w:val="0"/>
                <w:sz w:val="22"/>
              </w:rPr>
              <w:t>Moons et al.</w:t>
            </w:r>
          </w:p>
        </w:tc>
        <w:tc>
          <w:tcPr>
            <w:tcW w:type="dxa" w:w="2192"/>
          </w:tcPr>
          <w:p>
            <w:r/>
            <w:r>
              <w:rPr>
                <w:rFonts w:ascii="Times New Roman" w:hAnsi="Times New Roman"/>
                <w:b w:val="0"/>
                <w:sz w:val="22"/>
              </w:rPr>
              <w:t>2019</w:t>
            </w:r>
          </w:p>
        </w:tc>
        <w:tc>
          <w:tcPr>
            <w:tcW w:type="dxa" w:w="2192"/>
          </w:tcPr>
          <w:p>
            <w:r/>
            <w:r>
              <w:rPr>
                <w:rFonts w:ascii="Times New Roman" w:hAnsi="Times New Roman"/>
                <w:b w:val="0"/>
                <w:sz w:val="22"/>
              </w:rPr>
              <w:t>Ytelsesmåling, intern sykehusforsyning</w:t>
            </w:r>
          </w:p>
        </w:tc>
        <w:tc>
          <w:tcPr>
            <w:tcW w:type="dxa" w:w="2192"/>
          </w:tcPr>
          <w:p>
            <w:r/>
            <w:r>
              <w:rPr>
                <w:rFonts w:ascii="Times New Roman" w:hAnsi="Times New Roman"/>
                <w:b w:val="0"/>
                <w:sz w:val="22"/>
              </w:rPr>
              <w:t>Flerkriteriebaserte ytelsesmål</w:t>
            </w:r>
          </w:p>
        </w:tc>
      </w:tr>
      <w:tr>
        <w:tc>
          <w:tcPr>
            <w:tcW w:type="dxa" w:w="2192"/>
          </w:tcPr>
          <w:p>
            <w:r/>
            <w:r>
              <w:rPr>
                <w:rFonts w:ascii="Times New Roman" w:hAnsi="Times New Roman"/>
                <w:b w:val="0"/>
                <w:sz w:val="22"/>
              </w:rPr>
              <w:t>Nowotyńska</w:t>
            </w:r>
          </w:p>
        </w:tc>
        <w:tc>
          <w:tcPr>
            <w:tcW w:type="dxa" w:w="2192"/>
          </w:tcPr>
          <w:p>
            <w:r/>
            <w:r>
              <w:rPr>
                <w:rFonts w:ascii="Times New Roman" w:hAnsi="Times New Roman"/>
                <w:b w:val="0"/>
                <w:sz w:val="22"/>
              </w:rPr>
              <w:t>2013</w:t>
            </w:r>
          </w:p>
        </w:tc>
        <w:tc>
          <w:tcPr>
            <w:tcW w:type="dxa" w:w="2192"/>
          </w:tcPr>
          <w:p>
            <w:r/>
            <w:r>
              <w:rPr>
                <w:rFonts w:ascii="Times New Roman" w:hAnsi="Times New Roman"/>
                <w:b w:val="0"/>
                <w:sz w:val="22"/>
              </w:rPr>
              <w:t>XYZ-analyse, lagerstyring</w:t>
            </w:r>
          </w:p>
        </w:tc>
        <w:tc>
          <w:tcPr>
            <w:tcW w:type="dxa" w:w="2192"/>
          </w:tcPr>
          <w:p>
            <w:r/>
            <w:r>
              <w:rPr>
                <w:rFonts w:ascii="Times New Roman" w:hAnsi="Times New Roman"/>
                <w:b w:val="0"/>
                <w:sz w:val="22"/>
              </w:rPr>
              <w:t>CV-grenser X/Y/Z, metodegrunnlag</w:t>
            </w:r>
          </w:p>
        </w:tc>
      </w:tr>
      <w:tr>
        <w:tc>
          <w:tcPr>
            <w:tcW w:type="dxa" w:w="2192"/>
          </w:tcPr>
          <w:p>
            <w:r/>
            <w:r>
              <w:rPr>
                <w:rFonts w:ascii="Times New Roman" w:hAnsi="Times New Roman"/>
                <w:b w:val="0"/>
                <w:sz w:val="22"/>
              </w:rPr>
              <w:t>Pujawan</w:t>
            </w:r>
          </w:p>
        </w:tc>
        <w:tc>
          <w:tcPr>
            <w:tcW w:type="dxa" w:w="2192"/>
          </w:tcPr>
          <w:p>
            <w:r/>
            <w:r>
              <w:rPr>
                <w:rFonts w:ascii="Times New Roman" w:hAnsi="Times New Roman"/>
                <w:b w:val="0"/>
                <w:sz w:val="22"/>
              </w:rPr>
              <w:t>2004</w:t>
            </w:r>
          </w:p>
        </w:tc>
        <w:tc>
          <w:tcPr>
            <w:tcW w:type="dxa" w:w="2192"/>
          </w:tcPr>
          <w:p>
            <w:r/>
            <w:r>
              <w:rPr>
                <w:rFonts w:ascii="Times New Roman" w:hAnsi="Times New Roman"/>
                <w:b w:val="0"/>
                <w:sz w:val="22"/>
              </w:rPr>
              <w:t>Lot sizing, ordrevariabilitet</w:t>
            </w:r>
          </w:p>
        </w:tc>
        <w:tc>
          <w:tcPr>
            <w:tcW w:type="dxa" w:w="2192"/>
          </w:tcPr>
          <w:p>
            <w:r/>
            <w:r>
              <w:rPr>
                <w:rFonts w:ascii="Times New Roman" w:hAnsi="Times New Roman"/>
                <w:b w:val="0"/>
                <w:sz w:val="22"/>
              </w:rPr>
              <w:t>Bullwhip-effekt, EOQ-relevans</w:t>
            </w:r>
          </w:p>
        </w:tc>
      </w:tr>
      <w:tr>
        <w:tc>
          <w:tcPr>
            <w:tcW w:type="dxa" w:w="2192"/>
          </w:tcPr>
          <w:p>
            <w:r/>
            <w:r>
              <w:rPr>
                <w:rFonts w:ascii="Times New Roman" w:hAnsi="Times New Roman"/>
                <w:b w:val="0"/>
                <w:sz w:val="22"/>
              </w:rPr>
              <w:t>Saha &amp; Ray</w:t>
            </w:r>
          </w:p>
        </w:tc>
        <w:tc>
          <w:tcPr>
            <w:tcW w:type="dxa" w:w="2192"/>
          </w:tcPr>
          <w:p>
            <w:r/>
            <w:r>
              <w:rPr>
                <w:rFonts w:ascii="Times New Roman" w:hAnsi="Times New Roman"/>
                <w:b w:val="0"/>
                <w:sz w:val="22"/>
              </w:rPr>
              <w:t>2019</w:t>
            </w:r>
          </w:p>
        </w:tc>
        <w:tc>
          <w:tcPr>
            <w:tcW w:type="dxa" w:w="2192"/>
          </w:tcPr>
          <w:p>
            <w:r/>
            <w:r>
              <w:rPr>
                <w:rFonts w:ascii="Times New Roman" w:hAnsi="Times New Roman"/>
                <w:b w:val="0"/>
                <w:sz w:val="22"/>
              </w:rPr>
              <w:t>Lagermodeller i helsesektoren (review, 137 art.)</w:t>
            </w:r>
          </w:p>
        </w:tc>
        <w:tc>
          <w:tcPr>
            <w:tcW w:type="dxa" w:w="2192"/>
          </w:tcPr>
          <w:p>
            <w:r/>
            <w:r>
              <w:rPr>
                <w:rFonts w:ascii="Times New Roman" w:hAnsi="Times New Roman"/>
                <w:b w:val="0"/>
                <w:sz w:val="22"/>
              </w:rPr>
              <w:t>Gap: empiriske SAP-casestudier mangler</w:t>
            </w:r>
          </w:p>
        </w:tc>
      </w:tr>
      <w:tr>
        <w:tc>
          <w:tcPr>
            <w:tcW w:type="dxa" w:w="2192"/>
          </w:tcPr>
          <w:p>
            <w:r/>
            <w:r>
              <w:rPr>
                <w:rFonts w:ascii="Times New Roman" w:hAnsi="Times New Roman"/>
                <w:b w:val="0"/>
                <w:sz w:val="22"/>
              </w:rPr>
              <w:t>Silaen et al.</w:t>
            </w:r>
          </w:p>
        </w:tc>
        <w:tc>
          <w:tcPr>
            <w:tcW w:type="dxa" w:w="2192"/>
          </w:tcPr>
          <w:p>
            <w:r/>
            <w:r>
              <w:rPr>
                <w:rFonts w:ascii="Times New Roman" w:hAnsi="Times New Roman"/>
                <w:b w:val="0"/>
                <w:sz w:val="22"/>
              </w:rPr>
              <w:t>2023</w:t>
            </w:r>
          </w:p>
        </w:tc>
        <w:tc>
          <w:tcPr>
            <w:tcW w:type="dxa" w:w="2192"/>
          </w:tcPr>
          <w:p>
            <w:r/>
            <w:r>
              <w:rPr>
                <w:rFonts w:ascii="Times New Roman" w:hAnsi="Times New Roman"/>
                <w:b w:val="0"/>
                <w:sz w:val="22"/>
              </w:rPr>
              <w:t>ABC-analyse, implementering</w:t>
            </w:r>
          </w:p>
        </w:tc>
        <w:tc>
          <w:tcPr>
            <w:tcW w:type="dxa" w:w="2192"/>
          </w:tcPr>
          <w:p>
            <w:r/>
            <w:r>
              <w:rPr>
                <w:rFonts w:ascii="Times New Roman" w:hAnsi="Times New Roman"/>
                <w:b w:val="0"/>
                <w:sz w:val="22"/>
              </w:rPr>
              <w:t>ABC-grenser 80/95 %, Pareto-prinsippet</w:t>
            </w:r>
          </w:p>
        </w:tc>
      </w:tr>
      <w:tr>
        <w:tc>
          <w:tcPr>
            <w:tcW w:type="dxa" w:w="2192"/>
          </w:tcPr>
          <w:p>
            <w:r/>
            <w:r>
              <w:rPr>
                <w:rFonts w:ascii="Times New Roman" w:hAnsi="Times New Roman"/>
                <w:b w:val="0"/>
                <w:sz w:val="22"/>
              </w:rPr>
              <w:t>Srinivasan &amp; Moon</w:t>
            </w:r>
          </w:p>
        </w:tc>
        <w:tc>
          <w:tcPr>
            <w:tcW w:type="dxa" w:w="2192"/>
          </w:tcPr>
          <w:p>
            <w:r/>
            <w:r>
              <w:rPr>
                <w:rFonts w:ascii="Times New Roman" w:hAnsi="Times New Roman"/>
                <w:b w:val="0"/>
                <w:sz w:val="22"/>
              </w:rPr>
              <w:t>1999</w:t>
            </w:r>
          </w:p>
        </w:tc>
        <w:tc>
          <w:tcPr>
            <w:tcW w:type="dxa" w:w="2192"/>
          </w:tcPr>
          <w:p>
            <w:r/>
            <w:r>
              <w:rPr>
                <w:rFonts w:ascii="Times New Roman" w:hAnsi="Times New Roman"/>
                <w:b w:val="0"/>
                <w:sz w:val="22"/>
              </w:rPr>
              <w:t>Klyngeanalyse, forsyningskjedenettverk</w:t>
            </w:r>
          </w:p>
        </w:tc>
        <w:tc>
          <w:tcPr>
            <w:tcW w:type="dxa" w:w="2192"/>
          </w:tcPr>
          <w:p>
            <w:r/>
            <w:r>
              <w:rPr>
                <w:rFonts w:ascii="Times New Roman" w:hAnsi="Times New Roman"/>
                <w:b w:val="0"/>
                <w:sz w:val="22"/>
              </w:rPr>
              <w:t>K-means i SCM, nær-optimale løsninger</w:t>
            </w:r>
          </w:p>
        </w:tc>
      </w:tr>
      <w:tr>
        <w:tc>
          <w:tcPr>
            <w:tcW w:type="dxa" w:w="2192"/>
          </w:tcPr>
          <w:p>
            <w:r/>
            <w:r>
              <w:rPr>
                <w:rFonts w:ascii="Times New Roman" w:hAnsi="Times New Roman"/>
                <w:b w:val="0"/>
                <w:sz w:val="22"/>
              </w:rPr>
              <w:t>Suryaputri et al.</w:t>
            </w:r>
          </w:p>
        </w:tc>
        <w:tc>
          <w:tcPr>
            <w:tcW w:type="dxa" w:w="2192"/>
          </w:tcPr>
          <w:p>
            <w:r/>
            <w:r>
              <w:rPr>
                <w:rFonts w:ascii="Times New Roman" w:hAnsi="Times New Roman"/>
                <w:b w:val="0"/>
                <w:sz w:val="22"/>
              </w:rPr>
              <w:t>2022</w:t>
            </w:r>
          </w:p>
        </w:tc>
        <w:tc>
          <w:tcPr>
            <w:tcW w:type="dxa" w:w="2192"/>
          </w:tcPr>
          <w:p>
            <w:r/>
            <w:r>
              <w:rPr>
                <w:rFonts w:ascii="Times New Roman" w:hAnsi="Times New Roman"/>
                <w:b w:val="0"/>
                <w:sz w:val="22"/>
              </w:rPr>
              <w:t>ABC-XYZ-integrasjon, helseindustri</w:t>
            </w:r>
          </w:p>
        </w:tc>
        <w:tc>
          <w:tcPr>
            <w:tcW w:type="dxa" w:w="2192"/>
          </w:tcPr>
          <w:p>
            <w:r/>
            <w:r>
              <w:rPr>
                <w:rFonts w:ascii="Times New Roman" w:hAnsi="Times New Roman"/>
                <w:b w:val="0"/>
                <w:sz w:val="22"/>
              </w:rPr>
              <w:t>ABC/XYZ-matrise, bestillingspolicy</w:t>
            </w:r>
          </w:p>
        </w:tc>
      </w:tr>
      <w:tr>
        <w:tc>
          <w:tcPr>
            <w:tcW w:type="dxa" w:w="2192"/>
          </w:tcPr>
          <w:p>
            <w:r/>
            <w:r>
              <w:rPr>
                <w:rFonts w:ascii="Times New Roman" w:hAnsi="Times New Roman"/>
                <w:b w:val="0"/>
                <w:sz w:val="22"/>
              </w:rPr>
              <w:t>van Kampen et al.</w:t>
            </w:r>
          </w:p>
        </w:tc>
        <w:tc>
          <w:tcPr>
            <w:tcW w:type="dxa" w:w="2192"/>
          </w:tcPr>
          <w:p>
            <w:r/>
            <w:r>
              <w:rPr>
                <w:rFonts w:ascii="Times New Roman" w:hAnsi="Times New Roman"/>
                <w:b w:val="0"/>
                <w:sz w:val="22"/>
              </w:rPr>
              <w:t>2012</w:t>
            </w:r>
          </w:p>
        </w:tc>
        <w:tc>
          <w:tcPr>
            <w:tcW w:type="dxa" w:w="2192"/>
          </w:tcPr>
          <w:p>
            <w:r/>
            <w:r>
              <w:rPr>
                <w:rFonts w:ascii="Times New Roman" w:hAnsi="Times New Roman"/>
                <w:b w:val="0"/>
                <w:sz w:val="22"/>
              </w:rPr>
              <w:t>SKU-klassifiseringsrammeverk</w:t>
            </w:r>
          </w:p>
        </w:tc>
        <w:tc>
          <w:tcPr>
            <w:tcW w:type="dxa" w:w="2192"/>
          </w:tcPr>
          <w:p>
            <w:r/>
            <w:r>
              <w:rPr>
                <w:rFonts w:ascii="Times New Roman" w:hAnsi="Times New Roman"/>
                <w:b w:val="0"/>
                <w:sz w:val="22"/>
              </w:rPr>
              <w:t>Tre hoveddimensjoner, posisjonering</w:t>
            </w:r>
          </w:p>
        </w:tc>
      </w:tr>
      <w:tr>
        <w:tc>
          <w:tcPr>
            <w:tcW w:type="dxa" w:w="2192"/>
          </w:tcPr>
          <w:p>
            <w:r/>
            <w:r>
              <w:rPr>
                <w:rFonts w:ascii="Times New Roman" w:hAnsi="Times New Roman"/>
                <w:b w:val="0"/>
                <w:sz w:val="22"/>
              </w:rPr>
              <w:t>Volland et al.</w:t>
            </w:r>
          </w:p>
        </w:tc>
        <w:tc>
          <w:tcPr>
            <w:tcW w:type="dxa" w:w="2192"/>
          </w:tcPr>
          <w:p>
            <w:r/>
            <w:r>
              <w:rPr>
                <w:rFonts w:ascii="Times New Roman" w:hAnsi="Times New Roman"/>
                <w:b w:val="0"/>
                <w:sz w:val="22"/>
              </w:rPr>
              <w:t>2017</w:t>
            </w:r>
          </w:p>
        </w:tc>
        <w:tc>
          <w:tcPr>
            <w:tcW w:type="dxa" w:w="2192"/>
          </w:tcPr>
          <w:p>
            <w:r/>
            <w:r>
              <w:rPr>
                <w:rFonts w:ascii="Times New Roman" w:hAnsi="Times New Roman"/>
                <w:b w:val="0"/>
                <w:sz w:val="22"/>
              </w:rPr>
              <w:t>Materiallogistikk i sykehus (review, 145 pub.)</w:t>
            </w:r>
          </w:p>
        </w:tc>
        <w:tc>
          <w:tcPr>
            <w:tcW w:type="dxa" w:w="2192"/>
          </w:tcPr>
          <w:p>
            <w:r/>
            <w:r>
              <w:rPr>
                <w:rFonts w:ascii="Times New Roman" w:hAnsi="Times New Roman"/>
                <w:b w:val="0"/>
                <w:sz w:val="22"/>
              </w:rPr>
              <w:t>Lagerstyring dominerer, 30–40 % av drift</w:t>
            </w:r>
          </w:p>
        </w:tc>
      </w:tr>
    </w:tbl>
    <w:p>
      <w:pPr>
        <w:pStyle w:val="Overskrift2"/>
      </w:pPr>
      <w:r>
        <w:rPr>
          <w:rFonts w:ascii="Times New Roman" w:hAnsi="Times New Roman"/>
          <w:color w:val="000000"/>
          <w:sz w:val="32"/>
        </w:rPr>
        <w:t>2.2 ABC-analyse</w:t>
      </w:r>
    </w:p>
    <w:p>
      <w:pPr>
        <w:spacing w:line="360" w:lineRule="auto"/>
        <w:jc w:val="both"/>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jc w:val="both"/>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jc w:val="both"/>
      </w:pPr>
      <w:r>
        <w:rPr>
          <w:rFonts w:ascii="Times New Roman" w:hAnsi="Times New Roman" w:cs="Times New Roman"/>
          <w:sz w:val="24"/>
        </w:rPr>
        <w:t>XYZ-klassifisering kategoriserer artikler etter etterspørselens forutsigbarhet, målt ved variasjonskoeffisienten (CV). Klassifiseringsgrensene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jc w:val="both"/>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jc w:val="both"/>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jc w:val="both"/>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jc w:val="both"/>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(Rousseeuw, 1987), der verdier over 0,3 regnes som akseptable for eksplorativ analyse (Ketkar &amp; Vaidya, 2014). Log-transformasjon og z-score-standardisering sikrer at variabler med ulik skala bidrar likeverdig til distanseberegningene; den tekniske spesifikasjonen er gitt i kapittel 5.</w:t>
      </w:r>
    </w:p>
    <w:p>
      <w:pPr>
        <w:spacing w:line="360" w:lineRule="auto"/>
        <w:jc w:val="both"/>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jc w:val="both"/>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w:t>
      </w:r>
    </w:p>
    <w:p>
      <w:pPr>
        <w:spacing w:line="360" w:lineRule="auto"/>
        <w:jc w:val="both"/>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jc w:val="both"/>
      </w:pPr>
      <w:r>
        <w:rPr>
          <w:rFonts w:ascii="Times New Roman" w:hAnsi="Times New Roman" w:cs="Times New Roman"/>
          <w:sz w:val="24"/>
        </w:rPr>
        <w:t>Tabell 2 oppsummerer styrker, svakheter og forutsetninger for de fire analysemetodene som benyttes i denne oppgaven.</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Sammenligning av analysemetoder brukt i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b w:val="0"/>
                <w:sz w:val="22"/>
              </w:rPr>
              <w:t>ABC-analyse</w:t>
            </w:r>
          </w:p>
        </w:tc>
        <w:tc>
          <w:tcPr>
            <w:tcW w:type="dxa" w:w="1754"/>
          </w:tcPr>
          <w:p>
            <w:r/>
            <w:r>
              <w:rPr>
                <w:rFonts w:ascii="Times New Roman" w:hAnsi="Times New Roman"/>
                <w:b w:val="0"/>
                <w:sz w:val="22"/>
              </w:rPr>
              <w:t>Enkel, transparent, bred støtte i litteraturen</w:t>
            </w:r>
          </w:p>
        </w:tc>
        <w:tc>
          <w:tcPr>
            <w:tcW w:type="dxa" w:w="1754"/>
          </w:tcPr>
          <w:p>
            <w:r/>
            <w:r>
              <w:rPr>
                <w:rFonts w:ascii="Times New Roman" w:hAnsi="Times New Roman"/>
                <w:b w:val="0"/>
                <w:sz w:val="22"/>
              </w:rPr>
              <w:t>Ignorerer etterspørselsvariabilitet og kritikalitet</w:t>
            </w:r>
          </w:p>
        </w:tc>
        <w:tc>
          <w:tcPr>
            <w:tcW w:type="dxa" w:w="1754"/>
          </w:tcPr>
          <w:p>
            <w:r/>
            <w:r>
              <w:rPr>
                <w:rFonts w:ascii="Times New Roman" w:hAnsi="Times New Roman"/>
                <w:b w:val="0"/>
                <w:sz w:val="22"/>
              </w:rPr>
              <w:t>Kjent årsverdi per artikkel</w:t>
            </w:r>
          </w:p>
        </w:tc>
        <w:tc>
          <w:tcPr>
            <w:tcW w:type="dxa" w:w="1754"/>
          </w:tcPr>
          <w:p>
            <w:r/>
            <w:r>
              <w:rPr>
                <w:rFonts w:ascii="Times New Roman" w:hAnsi="Times New Roman"/>
                <w:b w:val="0"/>
                <w:sz w:val="22"/>
              </w:rPr>
              <w:t>Silaen et al. (2023)</w:t>
            </w:r>
          </w:p>
        </w:tc>
      </w:tr>
      <w:tr>
        <w:tc>
          <w:tcPr>
            <w:tcW w:type="dxa" w:w="1754"/>
          </w:tcPr>
          <w:p>
            <w:r/>
            <w:r>
              <w:rPr>
                <w:rFonts w:ascii="Times New Roman" w:hAnsi="Times New Roman"/>
                <w:b w:val="0"/>
                <w:sz w:val="22"/>
              </w:rPr>
              <w:t>XYZ-klassifisering</w:t>
            </w:r>
          </w:p>
        </w:tc>
        <w:tc>
          <w:tcPr>
            <w:tcW w:type="dxa" w:w="1754"/>
          </w:tcPr>
          <w:p>
            <w:r/>
            <w:r>
              <w:rPr>
                <w:rFonts w:ascii="Times New Roman" w:hAnsi="Times New Roman"/>
                <w:b w:val="0"/>
                <w:sz w:val="22"/>
              </w:rPr>
              <w:t>Fanger variabilitet i etterspørsel over tid</w:t>
            </w:r>
          </w:p>
        </w:tc>
        <w:tc>
          <w:tcPr>
            <w:tcW w:type="dxa" w:w="1754"/>
          </w:tcPr>
          <w:p>
            <w:r/>
            <w:r>
              <w:rPr>
                <w:rFonts w:ascii="Times New Roman" w:hAnsi="Times New Roman"/>
                <w:b w:val="0"/>
                <w:sz w:val="22"/>
              </w:rPr>
              <w:t>Krever tilstrekkelig transaksjonshistorikk</w:t>
            </w:r>
          </w:p>
        </w:tc>
        <w:tc>
          <w:tcPr>
            <w:tcW w:type="dxa" w:w="1754"/>
          </w:tcPr>
          <w:p>
            <w:r/>
            <w:r>
              <w:rPr>
                <w:rFonts w:ascii="Times New Roman" w:hAnsi="Times New Roman"/>
                <w:b w:val="0"/>
                <w:sz w:val="22"/>
              </w:rPr>
              <w:t>Månedlige forbruksdata tilgjengelig</w:t>
            </w:r>
          </w:p>
        </w:tc>
        <w:tc>
          <w:tcPr>
            <w:tcW w:type="dxa" w:w="1754"/>
          </w:tcPr>
          <w:p>
            <w:r/>
            <w:r>
              <w:rPr>
                <w:rFonts w:ascii="Times New Roman" w:hAnsi="Times New Roman"/>
                <w:b w:val="0"/>
                <w:sz w:val="22"/>
              </w:rPr>
              <w:t>Nowotyńska (2013)</w:t>
            </w:r>
          </w:p>
        </w:tc>
      </w:tr>
      <w:tr>
        <w:tc>
          <w:tcPr>
            <w:tcW w:type="dxa" w:w="1754"/>
          </w:tcPr>
          <w:p>
            <w:r/>
            <w:r>
              <w:rPr>
                <w:rFonts w:ascii="Times New Roman" w:hAnsi="Times New Roman"/>
                <w:b w:val="0"/>
                <w:sz w:val="22"/>
              </w:rPr>
              <w:t>EOQ (Wilson)</w:t>
            </w:r>
          </w:p>
        </w:tc>
        <w:tc>
          <w:tcPr>
            <w:tcW w:type="dxa" w:w="1754"/>
          </w:tcPr>
          <w:p>
            <w:r/>
            <w:r>
              <w:rPr>
                <w:rFonts w:ascii="Times New Roman" w:hAnsi="Times New Roman"/>
                <w:b w:val="0"/>
                <w:sz w:val="22"/>
              </w:rPr>
              <w:t>Analytisk optimal ordrekvantum, kvantifiserbart avvik</w:t>
            </w:r>
          </w:p>
        </w:tc>
        <w:tc>
          <w:tcPr>
            <w:tcW w:type="dxa" w:w="1754"/>
          </w:tcPr>
          <w:p>
            <w:r/>
            <w:r>
              <w:rPr>
                <w:rFonts w:ascii="Times New Roman" w:hAnsi="Times New Roman"/>
                <w:b w:val="0"/>
                <w:sz w:val="22"/>
              </w:rPr>
              <w:t>Sensitiv for S og H; antar konstant etterspørsel</w:t>
            </w:r>
          </w:p>
        </w:tc>
        <w:tc>
          <w:tcPr>
            <w:tcW w:type="dxa" w:w="1754"/>
          </w:tcPr>
          <w:p>
            <w:r/>
            <w:r>
              <w:rPr>
                <w:rFonts w:ascii="Times New Roman" w:hAnsi="Times New Roman"/>
                <w:b w:val="0"/>
                <w:sz w:val="22"/>
              </w:rPr>
              <w:t>Kjent S og H; kontinuerlig etterspørsel</w:t>
            </w:r>
          </w:p>
        </w:tc>
        <w:tc>
          <w:tcPr>
            <w:tcW w:type="dxa" w:w="1754"/>
          </w:tcPr>
          <w:p>
            <w:r/>
            <w:r>
              <w:rPr>
                <w:rFonts w:ascii="Times New Roman" w:hAnsi="Times New Roman"/>
                <w:b w:val="0"/>
                <w:sz w:val="22"/>
              </w:rPr>
              <w:t>Hautaniemi &amp; Pirttilä (1999)</w:t>
            </w:r>
          </w:p>
        </w:tc>
      </w:tr>
      <w:tr>
        <w:tc>
          <w:tcPr>
            <w:tcW w:type="dxa" w:w="1754"/>
          </w:tcPr>
          <w:p>
            <w:r/>
            <w:r>
              <w:rPr>
                <w:rFonts w:ascii="Times New Roman" w:hAnsi="Times New Roman"/>
                <w:b w:val="0"/>
                <w:sz w:val="22"/>
              </w:rPr>
              <w:t>K-means klyngeanalyse</w:t>
            </w:r>
          </w:p>
        </w:tc>
        <w:tc>
          <w:tcPr>
            <w:tcW w:type="dxa" w:w="1754"/>
          </w:tcPr>
          <w:p>
            <w:r/>
            <w:r>
              <w:rPr>
                <w:rFonts w:ascii="Times New Roman" w:hAnsi="Times New Roman"/>
                <w:b w:val="0"/>
                <w:sz w:val="22"/>
              </w:rPr>
              <w:t>Avdekker skjulte mønstre uten forhåndsbestemte grenser</w:t>
            </w:r>
          </w:p>
        </w:tc>
        <w:tc>
          <w:tcPr>
            <w:tcW w:type="dxa" w:w="1754"/>
          </w:tcPr>
          <w:p>
            <w:r/>
            <w:r>
              <w:rPr>
                <w:rFonts w:ascii="Times New Roman" w:hAnsi="Times New Roman"/>
                <w:b w:val="0"/>
                <w:sz w:val="22"/>
              </w:rPr>
              <w:t>Sensitiv for K-valg og initialisering</w:t>
            </w:r>
          </w:p>
        </w:tc>
        <w:tc>
          <w:tcPr>
            <w:tcW w:type="dxa" w:w="1754"/>
          </w:tcPr>
          <w:p>
            <w:r/>
            <w:r>
              <w:rPr>
                <w:rFonts w:ascii="Times New Roman" w:hAnsi="Times New Roman"/>
                <w:b w:val="0"/>
                <w:sz w:val="22"/>
              </w:rPr>
              <w:t>Normaliserte features; euklidsk avstand</w:t>
            </w:r>
          </w:p>
        </w:tc>
        <w:tc>
          <w:tcPr>
            <w:tcW w:type="dxa" w:w="1754"/>
          </w:tcPr>
          <w:p>
            <w:r/>
            <w:r>
              <w:rPr>
                <w:rFonts w:ascii="Times New Roman" w:hAnsi="Times New Roman"/>
                <w:b w:val="0"/>
                <w:sz w:val="22"/>
              </w:rPr>
              <w:t>Srinivasan &amp; Moon (1999)</w:t>
            </w:r>
          </w:p>
        </w:tc>
      </w:tr>
    </w:tbl>
    <w:p>
      <w:pPr>
        <w:pStyle w:val="Overskrift2"/>
      </w:pPr>
      <w:r>
        <w:rPr>
          <w:rFonts w:ascii="Times New Roman" w:hAnsi="Times New Roman"/>
          <w:color w:val="000000"/>
          <w:sz w:val="32"/>
        </w:rPr>
        <w:t>2.7 Konseptuelt rammeverk</w:t>
      </w:r>
    </w:p>
    <w:p>
      <w:pPr>
        <w:spacing w:line="360" w:lineRule="auto"/>
        <w:jc w:val="both"/>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1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615574"/>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Konseptuelt rammeverk – fra SAP-data til HVFS-anbefaling. Generert med støtte fra Claude.</w:t>
      </w:r>
    </w:p>
    <w:p>
      <w:pPr>
        <w:spacing w:line="360" w:lineRule="auto"/>
        <w:jc w:val="both"/>
      </w:pPr>
      <w:r>
        <w:rPr>
          <w:rFonts w:ascii="Times New Roman" w:hAnsi="Times New Roman" w:cs="Times New Roman"/>
          <w:sz w:val="24"/>
        </w:rPr>
        <w:t>Den detaljerte matematiske formuleringen av alle modellkomponenter – parameterdefinisjonene, formlene og grenseverdiene – presenteres i kapittel 5. Rammeverket anvendes på en konkret sykehuskontekst som beskrives i neste kapittel.</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jc w:val="both"/>
      </w:pPr>
      <w:r>
        <w:rPr>
          <w:rFonts w:ascii="Times New Roman" w:hAnsi="Times New Roman" w:cs="Times New Roman"/>
          <w:sz w:val="24"/>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pPr>
        <w:spacing w:line="360" w:lineRule="auto"/>
        <w:jc w:val="both"/>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2. Tabell 3 oppsummerer nøkkeltallene for casevirksomheten.</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Nøkkeltall for casevirksomheten Helse Bergen, WERKS 3300.</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b w:val="0"/>
                <w:sz w:val="22"/>
              </w:rPr>
              <w:t>Helseforetak</w:t>
            </w:r>
          </w:p>
        </w:tc>
        <w:tc>
          <w:tcPr>
            <w:tcW w:type="dxa" w:w="2923"/>
          </w:tcPr>
          <w:p>
            <w:r/>
            <w:r>
              <w:rPr>
                <w:rFonts w:ascii="Times New Roman" w:hAnsi="Times New Roman"/>
                <w:b w:val="0"/>
                <w:sz w:val="22"/>
              </w:rPr>
              <w:t>Helse Bergen HF</w:t>
            </w:r>
          </w:p>
        </w:tc>
        <w:tc>
          <w:tcPr>
            <w:tcW w:type="dxa" w:w="2923"/>
          </w:tcPr>
          <w:p>
            <w:r/>
            <w:r>
              <w:rPr>
                <w:rFonts w:ascii="Times New Roman" w:hAnsi="Times New Roman"/>
                <w:b w:val="0"/>
                <w:sz w:val="22"/>
              </w:rPr>
              <w:t>Helse Vest RHF</w:t>
            </w:r>
          </w:p>
        </w:tc>
      </w:tr>
      <w:tr>
        <w:tc>
          <w:tcPr>
            <w:tcW w:type="dxa" w:w="2923"/>
          </w:tcPr>
          <w:p>
            <w:r/>
            <w:r>
              <w:rPr>
                <w:rFonts w:ascii="Times New Roman" w:hAnsi="Times New Roman"/>
                <w:b w:val="0"/>
                <w:sz w:val="22"/>
              </w:rPr>
              <w:t>SAP-anlegg (WERKS)</w:t>
            </w:r>
          </w:p>
        </w:tc>
        <w:tc>
          <w:tcPr>
            <w:tcW w:type="dxa" w:w="2923"/>
          </w:tcPr>
          <w:p>
            <w:r/>
            <w:r>
              <w:rPr>
                <w:rFonts w:ascii="Times New Roman" w:hAnsi="Times New Roman"/>
                <w:b w:val="0"/>
                <w:sz w:val="22"/>
              </w:rPr>
              <w:t>3300</w:t>
            </w:r>
          </w:p>
        </w:tc>
        <w:tc>
          <w:tcPr>
            <w:tcW w:type="dxa" w:w="2923"/>
          </w:tcPr>
          <w:p>
            <w:r/>
            <w:r>
              <w:rPr>
                <w:rFonts w:ascii="Times New Roman" w:hAnsi="Times New Roman"/>
                <w:b w:val="0"/>
                <w:sz w:val="22"/>
              </w:rPr>
              <w:t>SAP S/4HANA</w:t>
            </w:r>
          </w:p>
        </w:tc>
      </w:tr>
      <w:tr>
        <w:tc>
          <w:tcPr>
            <w:tcW w:type="dxa" w:w="2923"/>
          </w:tcPr>
          <w:p>
            <w:r/>
            <w:r>
              <w:rPr>
                <w:rFonts w:ascii="Times New Roman" w:hAnsi="Times New Roman"/>
                <w:b w:val="0"/>
                <w:sz w:val="22"/>
              </w:rPr>
              <w:t>Lagersted (LGORT)</w:t>
            </w:r>
          </w:p>
        </w:tc>
        <w:tc>
          <w:tcPr>
            <w:tcW w:type="dxa" w:w="2923"/>
          </w:tcPr>
          <w:p>
            <w:r/>
            <w:r>
              <w:rPr>
                <w:rFonts w:ascii="Times New Roman" w:hAnsi="Times New Roman"/>
                <w:b w:val="0"/>
                <w:sz w:val="22"/>
              </w:rPr>
              <w:t>3001</w:t>
            </w:r>
          </w:p>
        </w:tc>
        <w:tc>
          <w:tcPr>
            <w:tcW w:type="dxa" w:w="2923"/>
          </w:tcPr>
          <w:p>
            <w:r/>
            <w:r>
              <w:rPr>
                <w:rFonts w:ascii="Times New Roman" w:hAnsi="Times New Roman"/>
                <w:b w:val="0"/>
                <w:sz w:val="22"/>
              </w:rPr>
              <w:t>SAP S/4HANA</w:t>
            </w:r>
          </w:p>
        </w:tc>
      </w:tr>
      <w:tr>
        <w:tc>
          <w:tcPr>
            <w:tcW w:type="dxa" w:w="2923"/>
          </w:tcPr>
          <w:p>
            <w:r/>
            <w:r>
              <w:rPr>
                <w:rFonts w:ascii="Times New Roman" w:hAnsi="Times New Roman"/>
                <w:b w:val="0"/>
                <w:sz w:val="22"/>
              </w:rPr>
              <w:t>Antall aktive artikler</w:t>
            </w:r>
          </w:p>
        </w:tc>
        <w:tc>
          <w:tcPr>
            <w:tcW w:type="dxa" w:w="2923"/>
          </w:tcPr>
          <w:p>
            <w:r/>
            <w:r>
              <w:rPr>
                <w:rFonts w:ascii="Times New Roman" w:hAnsi="Times New Roman"/>
                <w:b w:val="0"/>
                <w:sz w:val="22"/>
              </w:rPr>
              <w:t>709</w:t>
            </w:r>
          </w:p>
        </w:tc>
        <w:tc>
          <w:tcPr>
            <w:tcW w:type="dxa" w:w="2923"/>
          </w:tcPr>
          <w:p>
            <w:r/>
            <w:r>
              <w:rPr>
                <w:rFonts w:ascii="Times New Roman" w:hAnsi="Times New Roman"/>
                <w:b w:val="0"/>
                <w:sz w:val="22"/>
              </w:rPr>
              <w:t>MASTERFILE_V1.xlsx (D-01)</w:t>
            </w:r>
          </w:p>
        </w:tc>
      </w:tr>
      <w:tr>
        <w:tc>
          <w:tcPr>
            <w:tcW w:type="dxa" w:w="2923"/>
          </w:tcPr>
          <w:p>
            <w:r/>
            <w:r>
              <w:rPr>
                <w:rFonts w:ascii="Times New Roman" w:hAnsi="Times New Roman"/>
                <w:b w:val="0"/>
                <w:sz w:val="22"/>
              </w:rPr>
              <w:t>Analyseperiode</w:t>
            </w:r>
          </w:p>
        </w:tc>
        <w:tc>
          <w:tcPr>
            <w:tcW w:type="dxa" w:w="2923"/>
          </w:tcPr>
          <w:p>
            <w:r/>
            <w:r>
              <w:rPr>
                <w:rFonts w:ascii="Times New Roman" w:hAnsi="Times New Roman"/>
                <w:b w:val="0"/>
                <w:sz w:val="22"/>
              </w:rPr>
              <w:t>Januar 2024 – desember 2025 (24 mnd)</w:t>
            </w:r>
          </w:p>
        </w:tc>
        <w:tc>
          <w:tcPr>
            <w:tcW w:type="dxa" w:w="2923"/>
          </w:tcPr>
          <w:p>
            <w:r/>
            <w:r>
              <w:rPr>
                <w:rFonts w:ascii="Times New Roman" w:hAnsi="Times New Roman"/>
                <w:b w:val="0"/>
                <w:sz w:val="22"/>
              </w:rPr>
              <w:t>SAP SE16H</w:t>
            </w:r>
          </w:p>
        </w:tc>
      </w:tr>
      <w:tr>
        <w:tc>
          <w:tcPr>
            <w:tcW w:type="dxa" w:w="2923"/>
          </w:tcPr>
          <w:p>
            <w:r/>
            <w:r>
              <w:rPr>
                <w:rFonts w:ascii="Times New Roman" w:hAnsi="Times New Roman"/>
                <w:b w:val="0"/>
                <w:sz w:val="22"/>
              </w:rPr>
              <w:t>Antall SAP-kildetabeller</w:t>
            </w:r>
          </w:p>
        </w:tc>
        <w:tc>
          <w:tcPr>
            <w:tcW w:type="dxa" w:w="2923"/>
          </w:tcPr>
          <w:p>
            <w:r/>
            <w:r>
              <w:rPr>
                <w:rFonts w:ascii="Times New Roman" w:hAnsi="Times New Roman"/>
                <w:b w:val="0"/>
                <w:sz w:val="22"/>
              </w:rPr>
              <w:t>14</w:t>
            </w:r>
          </w:p>
        </w:tc>
        <w:tc>
          <w:tcPr>
            <w:tcW w:type="dxa" w:w="2923"/>
          </w:tcPr>
          <w:p>
            <w:r/>
            <w:r>
              <w:rPr>
                <w:rFonts w:ascii="Times New Roman" w:hAnsi="Times New Roman"/>
                <w:b w:val="0"/>
                <w:sz w:val="22"/>
              </w:rPr>
              <w:t>Dataspesifikasjon (Vedlegg A)</w:t>
            </w:r>
          </w:p>
        </w:tc>
      </w:tr>
      <w:tr>
        <w:tc>
          <w:tcPr>
            <w:tcW w:type="dxa" w:w="2923"/>
          </w:tcPr>
          <w:p>
            <w:r/>
            <w:r>
              <w:rPr>
                <w:rFonts w:ascii="Times New Roman" w:hAnsi="Times New Roman"/>
                <w:b w:val="0"/>
                <w:sz w:val="22"/>
              </w:rPr>
              <w:t>ERP-system</w:t>
            </w:r>
          </w:p>
        </w:tc>
        <w:tc>
          <w:tcPr>
            <w:tcW w:type="dxa" w:w="2923"/>
          </w:tcPr>
          <w:p>
            <w:r/>
            <w:r>
              <w:rPr>
                <w:rFonts w:ascii="Times New Roman" w:hAnsi="Times New Roman"/>
                <w:b w:val="0"/>
                <w:sz w:val="22"/>
              </w:rPr>
              <w:t>SAP S/4HANA (LIBRA-prosjektet)</w:t>
            </w:r>
          </w:p>
        </w:tc>
        <w:tc>
          <w:tcPr>
            <w:tcW w:type="dxa" w:w="2923"/>
          </w:tcPr>
          <w:p>
            <w:r/>
            <w:r>
              <w:rPr>
                <w:rFonts w:ascii="Times New Roman" w:hAnsi="Times New Roman"/>
                <w:b w:val="0"/>
                <w:sz w:val="22"/>
              </w:rPr>
              <w:t>Helse Vest IKT</w:t>
            </w:r>
          </w:p>
        </w:tc>
      </w:tr>
      <w:tr>
        <w:tc>
          <w:tcPr>
            <w:tcW w:type="dxa" w:w="2923"/>
          </w:tcPr>
          <w:p>
            <w:r/>
            <w:r>
              <w:rPr>
                <w:rFonts w:ascii="Times New Roman" w:hAnsi="Times New Roman"/>
                <w:b w:val="0"/>
                <w:sz w:val="22"/>
              </w:rPr>
              <w:t>Regionalt sentrallager</w:t>
            </w:r>
          </w:p>
        </w:tc>
        <w:tc>
          <w:tcPr>
            <w:tcW w:type="dxa" w:w="2923"/>
          </w:tcPr>
          <w:p>
            <w:r/>
            <w:r>
              <w:rPr>
                <w:rFonts w:ascii="Times New Roman" w:hAnsi="Times New Roman"/>
                <w:b w:val="0"/>
                <w:sz w:val="22"/>
              </w:rPr>
              <w:t>HVFS (Helse Vest Forsyningssenter)</w:t>
            </w:r>
          </w:p>
        </w:tc>
        <w:tc>
          <w:tcPr>
            <w:tcW w:type="dxa" w:w="2923"/>
          </w:tcPr>
          <w:p>
            <w:r/>
            <w:r>
              <w:rPr>
                <w:rFonts w:ascii="Times New Roman" w:hAnsi="Times New Roman"/>
                <w:b w:val="0"/>
                <w:sz w:val="22"/>
              </w:rPr>
              <w:t>Helse Vest RHF (2024)</w:t>
            </w:r>
          </w:p>
        </w:tc>
      </w:tr>
      <w:tr>
        <w:tc>
          <w:tcPr>
            <w:tcW w:type="dxa" w:w="2923"/>
          </w:tcPr>
          <w:p>
            <w:r/>
            <w:r>
              <w:rPr>
                <w:rFonts w:ascii="Times New Roman" w:hAnsi="Times New Roman"/>
                <w:b w:val="0"/>
                <w:sz w:val="22"/>
              </w:rPr>
              <w:t>APL-operatør</w:t>
            </w:r>
          </w:p>
        </w:tc>
        <w:tc>
          <w:tcPr>
            <w:tcW w:type="dxa" w:w="2923"/>
          </w:tcPr>
          <w:p>
            <w:r/>
            <w:r>
              <w:rPr>
                <w:rFonts w:ascii="Times New Roman" w:hAnsi="Times New Roman"/>
                <w:b w:val="0"/>
                <w:sz w:val="22"/>
              </w:rPr>
              <w:t>NorEngros</w:t>
            </w:r>
          </w:p>
        </w:tc>
        <w:tc>
          <w:tcPr>
            <w:tcW w:type="dxa" w:w="2923"/>
          </w:tcPr>
          <w:p>
            <w:r/>
            <w:r>
              <w:rPr>
                <w:rFonts w:ascii="Times New Roman" w:hAnsi="Times New Roman"/>
                <w:b w:val="0"/>
                <w:sz w:val="22"/>
              </w:rPr>
              <w:t>Helse Vest RHF (2024)</w:t>
            </w:r>
          </w:p>
        </w:tc>
      </w:tr>
      <w:tr>
        <w:tc>
          <w:tcPr>
            <w:tcW w:type="dxa" w:w="2923"/>
          </w:tcPr>
          <w:p>
            <w:r/>
            <w:r>
              <w:rPr>
                <w:rFonts w:ascii="Times New Roman" w:hAnsi="Times New Roman"/>
                <w:b w:val="0"/>
                <w:sz w:val="22"/>
              </w:rPr>
              <w:t>Innkjøpsgruppe</w:t>
            </w:r>
          </w:p>
        </w:tc>
        <w:tc>
          <w:tcPr>
            <w:tcW w:type="dxa" w:w="2923"/>
          </w:tcPr>
          <w:p>
            <w:r/>
            <w:r>
              <w:rPr>
                <w:rFonts w:ascii="Times New Roman" w:hAnsi="Times New Roman"/>
                <w:b w:val="0"/>
                <w:sz w:val="22"/>
              </w:rPr>
              <w:t>300 / 3000</w:t>
            </w:r>
          </w:p>
        </w:tc>
        <w:tc>
          <w:tcPr>
            <w:tcW w:type="dxa" w:w="2923"/>
          </w:tcPr>
          <w:p>
            <w:r/>
            <w:r>
              <w:rPr>
                <w:rFonts w:ascii="Times New Roman" w:hAnsi="Times New Roman"/>
                <w:b w:val="0"/>
                <w:sz w:val="22"/>
              </w:rPr>
              <w:t>SAP MM</w:t>
            </w:r>
          </w:p>
        </w:tc>
      </w:tr>
      <w:tr>
        <w:tc>
          <w:tcPr>
            <w:tcW w:type="dxa" w:w="2923"/>
          </w:tcPr>
          <w:p>
            <w:r/>
            <w:r>
              <w:rPr>
                <w:rFonts w:ascii="Times New Roman" w:hAnsi="Times New Roman"/>
                <w:b w:val="0"/>
                <w:sz w:val="22"/>
              </w:rPr>
              <w:t>Bestillingstype</w:t>
            </w:r>
          </w:p>
        </w:tc>
        <w:tc>
          <w:tcPr>
            <w:tcW w:type="dxa" w:w="2923"/>
          </w:tcPr>
          <w:p>
            <w:r/>
            <w:r>
              <w:rPr>
                <w:rFonts w:ascii="Times New Roman" w:hAnsi="Times New Roman"/>
                <w:b w:val="0"/>
                <w:sz w:val="22"/>
              </w:rPr>
              <w:t>ZNB (lokal bestillingstype)</w:t>
            </w:r>
          </w:p>
        </w:tc>
        <w:tc>
          <w:tcPr>
            <w:tcW w:type="dxa" w:w="2923"/>
          </w:tcPr>
          <w:p>
            <w:r/>
            <w:r>
              <w:rPr>
                <w:rFonts w:ascii="Times New Roman" w:hAnsi="Times New Roman"/>
                <w:b w:val="0"/>
                <w:sz w:val="22"/>
              </w:rPr>
              <w:t>SAP MM</w:t>
            </w:r>
          </w:p>
        </w:tc>
      </w:tr>
    </w:tbl>
    <w:p>
      <w:r>
        <w:drawing>
          <wp:inline xmlns:a="http://schemas.openxmlformats.org/drawingml/2006/main" xmlns:pic="http://schemas.openxmlformats.org/drawingml/2006/picture">
            <wp:extent cx="5400000" cy="2680986"/>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680986"/>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Lagerstruktur – Helse Vest forsyningskjede (forenklet). Generert med støtte fra Claude.</w:t>
      </w:r>
    </w:p>
    <w:p>
      <w:pPr>
        <w:pStyle w:val="Overskrift2"/>
      </w:pPr>
      <w:r>
        <w:rPr>
          <w:rFonts w:ascii="Times New Roman" w:hAnsi="Times New Roman"/>
          <w:color w:val="000000"/>
          <w:sz w:val="32"/>
        </w:rPr>
        <w:t>3.2 HVFS og LIBRA-prosjektet</w:t>
      </w:r>
    </w:p>
    <w:p>
      <w:pPr>
        <w:spacing w:line="360" w:lineRule="auto"/>
        <w:jc w:val="both"/>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jc w:val="both"/>
      </w:pPr>
      <w:r>
        <w:rPr>
          <w:rFonts w:ascii="Times New Roman" w:hAnsi="Times New Roman" w:cs="Times New Roman"/>
          <w:sz w:val="24"/>
        </w:rPr>
        <w:t>Et sentralt element i HVFS-konseptet er avdelingspakkede leveranser (APL) – ferdigpakkede leveranser direkte til avdeling uten mellomlagring. APL forutsetter stabil og forutsigbar etterspørsel, noe som gjør forbruksmønsterets stabilitet (XYZ-dimensjonen) til et relevant klassifiseringskriterium for HVFS-egnethet. APL-modellen er planlagt implementert frem mot 2029.</w:t>
      </w:r>
    </w:p>
    <w:p>
      <w:pPr>
        <w:spacing w:line="360" w:lineRule="auto"/>
        <w:jc w:val="both"/>
      </w:pPr>
      <w:r>
        <w:rPr>
          <w:rFonts w:ascii="Times New Roman" w:hAnsi="Times New Roman" w:cs="Times New Roman"/>
          <w:sz w:val="24"/>
        </w:rPr>
        <w:t>LIBRA-prosjektet er Helse Vest IKTs regionale program for implementering og harmonisering av SAP S/4HANA på tvers av alle helseforetak i Helse Vest. LIBRA legger det tekniske grunnlaget for at data fra ulike foretak kan sammenlignes og analyseres på tvers – en forutsetning for at HVFS-klassifisering skal ha overføringsverdi fra Helse Bergen til de øvrige foretakene. Fragapane et al. (2019) understreker at sentraliserte leveringsmodeller som APL krever et systematisk klassifiseringsgrunnlag for å skille mellom artikler som egner seg for sentralisering og artikler som bør forbli lokalt tilgjengelig.</w:t>
      </w:r>
    </w:p>
    <w:p>
      <w:pPr>
        <w:pStyle w:val="Overskrift2"/>
      </w:pPr>
      <w:r>
        <w:rPr>
          <w:rFonts w:ascii="Times New Roman" w:hAnsi="Times New Roman"/>
          <w:color w:val="000000"/>
          <w:sz w:val="32"/>
        </w:rPr>
        <w:t>3.3 Problemkontekst og datagrunnlag</w:t>
      </w:r>
    </w:p>
    <w:p>
      <w:pPr>
        <w:spacing w:line="360" w:lineRule="auto"/>
        <w:jc w:val="both"/>
      </w:pPr>
      <w:r>
        <w:rPr>
          <w:rFonts w:ascii="Times New Roman" w:hAnsi="Times New Roman" w:cs="Times New Roman"/>
          <w:sz w:val="24"/>
        </w:rPr>
        <w:t>Helse Bergens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w:t>
      </w:r>
    </w:p>
    <w:p>
      <w:pPr>
        <w:spacing w:line="360" w:lineRule="auto"/>
        <w:jc w:val="both"/>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jc w:val="both"/>
      </w:pPr>
      <w:r>
        <w:rPr>
          <w:rFonts w:ascii="Times New Roman" w:hAnsi="Times New Roman" w:cs="Times New Roman"/>
          <w:sz w:val="24"/>
        </w:rPr>
        <w:t>Datagrunnlaget for analysen er hentet fra 14 SAP-tabeller via transaksjonen SE16H i SAP S/4HANA ved Helse Bergen, for perioden 2024–2025 (se Tabell 4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jc w:val="both"/>
      </w:pPr>
      <w:r>
        <w:rPr>
          <w:rFonts w:ascii="Times New Roman" w:hAnsi="Times New Roman" w:cs="Times New Roman"/>
          <w:sz w:val="24"/>
        </w:rPr>
        <w:t>Datapipelinen fra råuttrekk til analyseresultat er illustrert i Figur 4 (avsnitt 4.3).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jc w:val="both"/>
      </w:pPr>
      <w:r>
        <w:rPr>
          <w:rFonts w:ascii="Times New Roman" w:hAnsi="Times New Roman" w:cs="Times New Roman"/>
          <w:sz w:val="24"/>
        </w:rPr>
        <w:t>Denne studien er utformet som en kvantitativ casestudie med deskriptiv, eksplorativ og normativ komponent. Det deskriptive elementet omfatter ABC/XYZ-klassifisering av eksisterende forbruksmønstre; det eksplorative omfatter K-means klyngeanalyse for mønstergjenkjenning; og det normative omfatter regelmotoren og besparelsesformelen som genererer handlingsanbefalinger. Casestudiedesignet egner seg fordi problemstillingen er avgrenset til én operativ kontekst – Helse Bergens forsyningslager WERKS 3300, LGORT 3001 – og fordi målet er å generere handlingsrettede anbefalinger basert på de operasjonelle dataene som faktisk eksisterer i dette systemet.</w:t>
      </w:r>
    </w:p>
    <w:p>
      <w:pPr>
        <w:spacing w:line="360" w:lineRule="auto"/>
        <w:jc w:val="both"/>
      </w:pPr>
      <w:r>
        <w:rPr>
          <w:rFonts w:ascii="Times New Roman" w:hAnsi="Times New Roman" w:cs="Times New Roman"/>
          <w:sz w:val="24"/>
        </w:rPr>
        <w:t>Studien er rent kvantitativ – det benyttes ingen spørreundersøkelser, intervjuer eller deltakerobservasjon. Alle analyser er basert på operasjonelle ERP-data fra SAP S/4HANA, som er automatisk registrert og i vesentlig grad fri fra selvrapporteringsfeil, men som kan inneholde registreringsfeil og uregistrerte uttakstyper (Saha &amp; Ray, 2019; jf. diskusjon i avsnitt 8.2). Datauttrekket ble gjennomført av forfatteren i januar 2026, med lesetilgang gjennom rollen som SAP MM-konsulent ved Helse Vest IKT. Analyseenheten er den individuelle lagerartikkelen (SKU), og populasjonen er de 709 aktive artiklene i LGORT 3001 per analyseperioden 2024–2025.</w:t>
      </w:r>
    </w:p>
    <w:p>
      <w:pPr>
        <w:spacing w:line="360" w:lineRule="auto"/>
        <w:jc w:val="both"/>
      </w:pPr>
      <w:r>
        <w:rPr>
          <w:rFonts w:ascii="Times New Roman" w:hAnsi="Times New Roman" w:cs="Times New Roman"/>
          <w:sz w:val="24"/>
        </w:rPr>
        <w:t>Studien er deskriptiv-analytisk: den klassifiserer eksisterende artikler og kombinerer resultatene i en regelbasert beslutningsmodell (van Kampen et al., 2012). Generaliserbarhet er begrenset til sammenlignbare sykehuslagre med SAP-infrastruktur; studien gir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jc w:val="both"/>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Datagrunnlag: 14 SAP S/4HANA-tabeller hentet via SE16H, analyseperiode 2024–2025, WERKS 3300 /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b w:val="0"/>
                <w:sz w:val="22"/>
              </w:rPr>
              <w:t>1</w:t>
            </w:r>
          </w:p>
        </w:tc>
        <w:tc>
          <w:tcPr>
            <w:tcW w:type="dxa" w:w="2192"/>
          </w:tcPr>
          <w:p>
            <w:r/>
            <w:r>
              <w:rPr>
                <w:rFonts w:ascii="Times New Roman" w:hAnsi="Times New Roman"/>
                <w:b w:val="0"/>
                <w:sz w:val="22"/>
              </w:rPr>
              <w:t>MARD</w:t>
            </w:r>
          </w:p>
        </w:tc>
        <w:tc>
          <w:tcPr>
            <w:tcW w:type="dxa" w:w="2192"/>
          </w:tcPr>
          <w:p>
            <w:r/>
            <w:r>
              <w:rPr>
                <w:rFonts w:ascii="Times New Roman" w:hAnsi="Times New Roman"/>
                <w:b w:val="0"/>
                <w:sz w:val="22"/>
              </w:rPr>
              <w:t>Lagerdata per lagersted (beholdning)</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2</w:t>
            </w:r>
          </w:p>
        </w:tc>
        <w:tc>
          <w:tcPr>
            <w:tcW w:type="dxa" w:w="2192"/>
          </w:tcPr>
          <w:p>
            <w:r/>
            <w:r>
              <w:rPr>
                <w:rFonts w:ascii="Times New Roman" w:hAnsi="Times New Roman"/>
                <w:b w:val="0"/>
                <w:sz w:val="22"/>
              </w:rPr>
              <w:t>MDMA</w:t>
            </w:r>
          </w:p>
        </w:tc>
        <w:tc>
          <w:tcPr>
            <w:tcW w:type="dxa" w:w="2192"/>
          </w:tcPr>
          <w:p>
            <w:r/>
            <w:r>
              <w:rPr>
                <w:rFonts w:ascii="Times New Roman" w:hAnsi="Times New Roman"/>
                <w:b w:val="0"/>
                <w:sz w:val="22"/>
              </w:rPr>
              <w:t>MRP-data, ABC/XYZ-indikator (ZZABC, ZZXYZ)</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3</w:t>
            </w:r>
          </w:p>
        </w:tc>
        <w:tc>
          <w:tcPr>
            <w:tcW w:type="dxa" w:w="2192"/>
          </w:tcPr>
          <w:p>
            <w:r/>
            <w:r>
              <w:rPr>
                <w:rFonts w:ascii="Times New Roman" w:hAnsi="Times New Roman"/>
                <w:b w:val="0"/>
                <w:sz w:val="22"/>
              </w:rPr>
              <w:t>MARA</w:t>
            </w:r>
          </w:p>
        </w:tc>
        <w:tc>
          <w:tcPr>
            <w:tcW w:type="dxa" w:w="2192"/>
          </w:tcPr>
          <w:p>
            <w:r/>
            <w:r>
              <w:rPr>
                <w:rFonts w:ascii="Times New Roman" w:hAnsi="Times New Roman"/>
                <w:b w:val="0"/>
                <w:sz w:val="22"/>
              </w:rPr>
              <w:t>Artikkelstamdata (MTART, MATKL, MEINS)</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4</w:t>
            </w:r>
          </w:p>
        </w:tc>
        <w:tc>
          <w:tcPr>
            <w:tcW w:type="dxa" w:w="2192"/>
          </w:tcPr>
          <w:p>
            <w:r/>
            <w:r>
              <w:rPr>
                <w:rFonts w:ascii="Times New Roman" w:hAnsi="Times New Roman"/>
                <w:b w:val="0"/>
                <w:sz w:val="22"/>
              </w:rPr>
              <w:t>MAKT</w:t>
            </w:r>
          </w:p>
        </w:tc>
        <w:tc>
          <w:tcPr>
            <w:tcW w:type="dxa" w:w="2192"/>
          </w:tcPr>
          <w:p>
            <w:r/>
            <w:r>
              <w:rPr>
                <w:rFonts w:ascii="Times New Roman" w:hAnsi="Times New Roman"/>
                <w:b w:val="0"/>
                <w:sz w:val="22"/>
              </w:rPr>
              <w:t>Artikkeltekst (MAKTX)</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5</w:t>
            </w:r>
          </w:p>
        </w:tc>
        <w:tc>
          <w:tcPr>
            <w:tcW w:type="dxa" w:w="2192"/>
          </w:tcPr>
          <w:p>
            <w:r/>
            <w:r>
              <w:rPr>
                <w:rFonts w:ascii="Times New Roman" w:hAnsi="Times New Roman"/>
                <w:b w:val="0"/>
                <w:sz w:val="22"/>
              </w:rPr>
              <w:t>MARC</w:t>
            </w:r>
          </w:p>
        </w:tc>
        <w:tc>
          <w:tcPr>
            <w:tcW w:type="dxa" w:w="2192"/>
          </w:tcPr>
          <w:p>
            <w:r/>
            <w:r>
              <w:rPr>
                <w:rFonts w:ascii="Times New Roman" w:hAnsi="Times New Roman"/>
                <w:b w:val="0"/>
                <w:sz w:val="22"/>
              </w:rPr>
              <w:t>Anleggsdata per materiale (MARC_ABC)</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6</w:t>
            </w:r>
          </w:p>
        </w:tc>
        <w:tc>
          <w:tcPr>
            <w:tcW w:type="dxa" w:w="2192"/>
          </w:tcPr>
          <w:p>
            <w:r/>
            <w:r>
              <w:rPr>
                <w:rFonts w:ascii="Times New Roman" w:hAnsi="Times New Roman"/>
                <w:b w:val="0"/>
                <w:sz w:val="22"/>
              </w:rPr>
              <w:t>MBEW</w:t>
            </w:r>
          </w:p>
        </w:tc>
        <w:tc>
          <w:tcPr>
            <w:tcW w:type="dxa" w:w="2192"/>
          </w:tcPr>
          <w:p>
            <w:r/>
            <w:r>
              <w:rPr>
                <w:rFonts w:ascii="Times New Roman" w:hAnsi="Times New Roman"/>
                <w:b w:val="0"/>
                <w:sz w:val="22"/>
              </w:rPr>
              <w:t>Verdsettingsdata (STPRS, PEINH)</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7</w:t>
            </w:r>
          </w:p>
        </w:tc>
        <w:tc>
          <w:tcPr>
            <w:tcW w:type="dxa" w:w="2192"/>
          </w:tcPr>
          <w:p>
            <w:r/>
            <w:r>
              <w:rPr>
                <w:rFonts w:ascii="Times New Roman" w:hAnsi="Times New Roman"/>
                <w:b w:val="0"/>
                <w:sz w:val="22"/>
              </w:rPr>
              <w:t>MSEG</w:t>
            </w:r>
          </w:p>
        </w:tc>
        <w:tc>
          <w:tcPr>
            <w:tcW w:type="dxa" w:w="2192"/>
          </w:tcPr>
          <w:p>
            <w:r/>
            <w:r>
              <w:rPr>
                <w:rFonts w:ascii="Times New Roman" w:hAnsi="Times New Roman"/>
                <w:b w:val="0"/>
                <w:sz w:val="22"/>
              </w:rPr>
              <w:t>Varebevegelser, forbruk (BWART 201, 647)</w:t>
            </w:r>
          </w:p>
        </w:tc>
        <w:tc>
          <w:tcPr>
            <w:tcW w:type="dxa" w:w="2192"/>
          </w:tcPr>
          <w:p>
            <w:r/>
            <w:r>
              <w:rPr>
                <w:rFonts w:ascii="Times New Roman" w:hAnsi="Times New Roman"/>
                <w:b w:val="0"/>
                <w:sz w:val="22"/>
              </w:rPr>
              <w:t>Forbruksdata</w:t>
            </w:r>
          </w:p>
        </w:tc>
      </w:tr>
      <w:tr>
        <w:tc>
          <w:tcPr>
            <w:tcW w:type="dxa" w:w="2192"/>
          </w:tcPr>
          <w:p>
            <w:r/>
            <w:r>
              <w:rPr>
                <w:rFonts w:ascii="Times New Roman" w:hAnsi="Times New Roman"/>
                <w:b w:val="0"/>
                <w:sz w:val="22"/>
              </w:rPr>
              <w:t>8</w:t>
            </w:r>
          </w:p>
        </w:tc>
        <w:tc>
          <w:tcPr>
            <w:tcW w:type="dxa" w:w="2192"/>
          </w:tcPr>
          <w:p>
            <w:r/>
            <w:r>
              <w:rPr>
                <w:rFonts w:ascii="Times New Roman" w:hAnsi="Times New Roman"/>
                <w:b w:val="0"/>
                <w:sz w:val="22"/>
              </w:rPr>
              <w:t>EKKO</w:t>
            </w:r>
          </w:p>
        </w:tc>
        <w:tc>
          <w:tcPr>
            <w:tcW w:type="dxa" w:w="2192"/>
          </w:tcPr>
          <w:p>
            <w:r/>
            <w:r>
              <w:rPr>
                <w:rFonts w:ascii="Times New Roman" w:hAnsi="Times New Roman"/>
                <w:b w:val="0"/>
                <w:sz w:val="22"/>
              </w:rPr>
              <w:t>Innkjøpsordrehoder (bestillingstype ZNB)</w:t>
            </w:r>
          </w:p>
        </w:tc>
        <w:tc>
          <w:tcPr>
            <w:tcW w:type="dxa" w:w="2192"/>
          </w:tcPr>
          <w:p>
            <w:r/>
            <w:r>
              <w:rPr>
                <w:rFonts w:ascii="Times New Roman" w:hAnsi="Times New Roman"/>
                <w:b w:val="0"/>
                <w:sz w:val="22"/>
              </w:rPr>
              <w:t>Innkjøpsdata</w:t>
            </w:r>
          </w:p>
        </w:tc>
      </w:tr>
      <w:tr>
        <w:tc>
          <w:tcPr>
            <w:tcW w:type="dxa" w:w="2192"/>
          </w:tcPr>
          <w:p>
            <w:r/>
            <w:r>
              <w:rPr>
                <w:rFonts w:ascii="Times New Roman" w:hAnsi="Times New Roman"/>
                <w:b w:val="0"/>
                <w:sz w:val="22"/>
              </w:rPr>
              <w:t>9</w:t>
            </w:r>
          </w:p>
        </w:tc>
        <w:tc>
          <w:tcPr>
            <w:tcW w:type="dxa" w:w="2192"/>
          </w:tcPr>
          <w:p>
            <w:r/>
            <w:r>
              <w:rPr>
                <w:rFonts w:ascii="Times New Roman" w:hAnsi="Times New Roman"/>
                <w:b w:val="0"/>
                <w:sz w:val="22"/>
              </w:rPr>
              <w:t>EKPO</w:t>
            </w:r>
          </w:p>
        </w:tc>
        <w:tc>
          <w:tcPr>
            <w:tcW w:type="dxa" w:w="2192"/>
          </w:tcPr>
          <w:p>
            <w:r/>
            <w:r>
              <w:rPr>
                <w:rFonts w:ascii="Times New Roman" w:hAnsi="Times New Roman"/>
                <w:b w:val="0"/>
                <w:sz w:val="22"/>
              </w:rPr>
              <w:t>Innkjøpsordreposisjoner (NETWR)</w:t>
            </w:r>
          </w:p>
        </w:tc>
        <w:tc>
          <w:tcPr>
            <w:tcW w:type="dxa" w:w="2192"/>
          </w:tcPr>
          <w:p>
            <w:r/>
            <w:r>
              <w:rPr>
                <w:rFonts w:ascii="Times New Roman" w:hAnsi="Times New Roman"/>
                <w:b w:val="0"/>
                <w:sz w:val="22"/>
              </w:rPr>
              <w:t>Innkjøpsdata</w:t>
            </w:r>
          </w:p>
        </w:tc>
      </w:tr>
      <w:tr>
        <w:tc>
          <w:tcPr>
            <w:tcW w:type="dxa" w:w="2192"/>
          </w:tcPr>
          <w:p>
            <w:r/>
            <w:r>
              <w:rPr>
                <w:rFonts w:ascii="Times New Roman" w:hAnsi="Times New Roman"/>
                <w:b w:val="0"/>
                <w:sz w:val="22"/>
              </w:rPr>
              <w:t>10</w:t>
            </w:r>
          </w:p>
        </w:tc>
        <w:tc>
          <w:tcPr>
            <w:tcW w:type="dxa" w:w="2192"/>
          </w:tcPr>
          <w:p>
            <w:r/>
            <w:r>
              <w:rPr>
                <w:rFonts w:ascii="Times New Roman" w:hAnsi="Times New Roman"/>
                <w:b w:val="0"/>
                <w:sz w:val="22"/>
              </w:rPr>
              <w:t>EKBE</w:t>
            </w:r>
          </w:p>
        </w:tc>
        <w:tc>
          <w:tcPr>
            <w:tcW w:type="dxa" w:w="2192"/>
          </w:tcPr>
          <w:p>
            <w:r/>
            <w:r>
              <w:rPr>
                <w:rFonts w:ascii="Times New Roman" w:hAnsi="Times New Roman"/>
                <w:b w:val="0"/>
                <w:sz w:val="22"/>
              </w:rPr>
              <w:t>Innkjøpsordrehistorikk/varemottak</w:t>
            </w:r>
          </w:p>
        </w:tc>
        <w:tc>
          <w:tcPr>
            <w:tcW w:type="dxa" w:w="2192"/>
          </w:tcPr>
          <w:p>
            <w:r/>
            <w:r>
              <w:rPr>
                <w:rFonts w:ascii="Times New Roman" w:hAnsi="Times New Roman"/>
                <w:b w:val="0"/>
                <w:sz w:val="22"/>
              </w:rPr>
              <w:t>Innkjøpsdata</w:t>
            </w:r>
          </w:p>
        </w:tc>
      </w:tr>
      <w:tr>
        <w:tc>
          <w:tcPr>
            <w:tcW w:type="dxa" w:w="2192"/>
          </w:tcPr>
          <w:p>
            <w:r/>
            <w:r>
              <w:rPr>
                <w:rFonts w:ascii="Times New Roman" w:hAnsi="Times New Roman"/>
                <w:b w:val="0"/>
                <w:sz w:val="22"/>
              </w:rPr>
              <w:t>11</w:t>
            </w:r>
          </w:p>
        </w:tc>
        <w:tc>
          <w:tcPr>
            <w:tcW w:type="dxa" w:w="2192"/>
          </w:tcPr>
          <w:p>
            <w:r/>
            <w:r>
              <w:rPr>
                <w:rFonts w:ascii="Times New Roman" w:hAnsi="Times New Roman"/>
                <w:b w:val="0"/>
                <w:sz w:val="22"/>
              </w:rPr>
              <w:t>EINA</w:t>
            </w:r>
          </w:p>
        </w:tc>
        <w:tc>
          <w:tcPr>
            <w:tcW w:type="dxa" w:w="2192"/>
          </w:tcPr>
          <w:p>
            <w:r/>
            <w:r>
              <w:rPr>
                <w:rFonts w:ascii="Times New Roman" w:hAnsi="Times New Roman"/>
                <w:b w:val="0"/>
                <w:sz w:val="22"/>
              </w:rPr>
              <w:t>Innkjøpsinforecord – generell del</w:t>
            </w:r>
          </w:p>
        </w:tc>
        <w:tc>
          <w:tcPr>
            <w:tcW w:type="dxa" w:w="2192"/>
          </w:tcPr>
          <w:p>
            <w:r/>
            <w:r>
              <w:rPr>
                <w:rFonts w:ascii="Times New Roman" w:hAnsi="Times New Roman"/>
                <w:b w:val="0"/>
                <w:sz w:val="22"/>
              </w:rPr>
              <w:t>Supplerende</w:t>
            </w:r>
          </w:p>
        </w:tc>
      </w:tr>
      <w:tr>
        <w:tc>
          <w:tcPr>
            <w:tcW w:type="dxa" w:w="2192"/>
          </w:tcPr>
          <w:p>
            <w:r/>
            <w:r>
              <w:rPr>
                <w:rFonts w:ascii="Times New Roman" w:hAnsi="Times New Roman"/>
                <w:b w:val="0"/>
                <w:sz w:val="22"/>
              </w:rPr>
              <w:t>12</w:t>
            </w:r>
          </w:p>
        </w:tc>
        <w:tc>
          <w:tcPr>
            <w:tcW w:type="dxa" w:w="2192"/>
          </w:tcPr>
          <w:p>
            <w:r/>
            <w:r>
              <w:rPr>
                <w:rFonts w:ascii="Times New Roman" w:hAnsi="Times New Roman"/>
                <w:b w:val="0"/>
                <w:sz w:val="22"/>
              </w:rPr>
              <w:t>EINE</w:t>
            </w:r>
          </w:p>
        </w:tc>
        <w:tc>
          <w:tcPr>
            <w:tcW w:type="dxa" w:w="2192"/>
          </w:tcPr>
          <w:p>
            <w:r/>
            <w:r>
              <w:rPr>
                <w:rFonts w:ascii="Times New Roman" w:hAnsi="Times New Roman"/>
                <w:b w:val="0"/>
                <w:sz w:val="22"/>
              </w:rPr>
              <w:t>Innkjøpsinforecord – organisasjonsdel (WETAG)</w:t>
            </w:r>
          </w:p>
        </w:tc>
        <w:tc>
          <w:tcPr>
            <w:tcW w:type="dxa" w:w="2192"/>
          </w:tcPr>
          <w:p>
            <w:r/>
            <w:r>
              <w:rPr>
                <w:rFonts w:ascii="Times New Roman" w:hAnsi="Times New Roman"/>
                <w:b w:val="0"/>
                <w:sz w:val="22"/>
              </w:rPr>
              <w:t>Supplerende</w:t>
            </w:r>
          </w:p>
        </w:tc>
      </w:tr>
      <w:tr>
        <w:tc>
          <w:tcPr>
            <w:tcW w:type="dxa" w:w="2192"/>
          </w:tcPr>
          <w:p>
            <w:r/>
            <w:r>
              <w:rPr>
                <w:rFonts w:ascii="Times New Roman" w:hAnsi="Times New Roman"/>
                <w:b w:val="0"/>
                <w:sz w:val="22"/>
              </w:rPr>
              <w:t>13</w:t>
            </w:r>
          </w:p>
        </w:tc>
        <w:tc>
          <w:tcPr>
            <w:tcW w:type="dxa" w:w="2192"/>
          </w:tcPr>
          <w:p>
            <w:r/>
            <w:r>
              <w:rPr>
                <w:rFonts w:ascii="Times New Roman" w:hAnsi="Times New Roman"/>
                <w:b w:val="0"/>
                <w:sz w:val="22"/>
              </w:rPr>
              <w:t>T023T</w:t>
            </w:r>
          </w:p>
        </w:tc>
        <w:tc>
          <w:tcPr>
            <w:tcW w:type="dxa" w:w="2192"/>
          </w:tcPr>
          <w:p>
            <w:r/>
            <w:r>
              <w:rPr>
                <w:rFonts w:ascii="Times New Roman" w:hAnsi="Times New Roman"/>
                <w:b w:val="0"/>
                <w:sz w:val="22"/>
              </w:rPr>
              <w:t>Varegruppenavn (WGBEZ)</w:t>
            </w:r>
          </w:p>
        </w:tc>
        <w:tc>
          <w:tcPr>
            <w:tcW w:type="dxa" w:w="2192"/>
          </w:tcPr>
          <w:p>
            <w:r/>
            <w:r>
              <w:rPr>
                <w:rFonts w:ascii="Times New Roman" w:hAnsi="Times New Roman"/>
                <w:b w:val="0"/>
                <w:sz w:val="22"/>
              </w:rPr>
              <w:t>Supplerende</w:t>
            </w:r>
          </w:p>
        </w:tc>
      </w:tr>
      <w:tr>
        <w:tc>
          <w:tcPr>
            <w:tcW w:type="dxa" w:w="2192"/>
          </w:tcPr>
          <w:p>
            <w:r/>
            <w:r>
              <w:rPr>
                <w:rFonts w:ascii="Times New Roman" w:hAnsi="Times New Roman"/>
                <w:b w:val="0"/>
                <w:sz w:val="22"/>
              </w:rPr>
              <w:t>14</w:t>
            </w:r>
          </w:p>
        </w:tc>
        <w:tc>
          <w:tcPr>
            <w:tcW w:type="dxa" w:w="2192"/>
          </w:tcPr>
          <w:p>
            <w:r/>
            <w:r>
              <w:rPr>
                <w:rFonts w:ascii="Times New Roman" w:hAnsi="Times New Roman"/>
                <w:b w:val="0"/>
                <w:sz w:val="22"/>
              </w:rPr>
              <w:t>T024</w:t>
            </w:r>
          </w:p>
        </w:tc>
        <w:tc>
          <w:tcPr>
            <w:tcW w:type="dxa" w:w="2192"/>
          </w:tcPr>
          <w:p>
            <w:r/>
            <w:r>
              <w:rPr>
                <w:rFonts w:ascii="Times New Roman" w:hAnsi="Times New Roman"/>
                <w:b w:val="0"/>
                <w:sz w:val="22"/>
              </w:rPr>
              <w:t>Innkjøpsgrupper (EKGRP)</w:t>
            </w:r>
          </w:p>
        </w:tc>
        <w:tc>
          <w:tcPr>
            <w:tcW w:type="dxa" w:w="2192"/>
          </w:tcPr>
          <w:p>
            <w:r/>
            <w:r>
              <w:rPr>
                <w:rFonts w:ascii="Times New Roman" w:hAnsi="Times New Roman"/>
                <w:b w:val="0"/>
                <w:sz w:val="22"/>
              </w:rPr>
              <w:t>Supplerende</w:t>
            </w:r>
          </w:p>
        </w:tc>
      </w:tr>
    </w:tbl>
    <w:p>
      <w:pPr>
        <w:spacing w:line="360" w:lineRule="auto"/>
        <w:jc w:val="both"/>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3 gir en samlet oversikt over fordelingen av nøkkelvariabler i det endelige datasettet på 709 artikler.</w:t>
      </w:r>
    </w:p>
    <w:p>
      <w:r>
        <w:drawing>
          <wp:inline xmlns:a="http://schemas.openxmlformats.org/drawingml/2006/main" xmlns:pic="http://schemas.openxmlformats.org/drawingml/2006/picture">
            <wp:extent cx="5400000" cy="3018889"/>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018889"/>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Dataoversikt: fordeling av nøkkelvariabler for 709 artikler ved WERKS 3300, LGORT 3001. Generert med støtte fra Claude.</w:t>
      </w:r>
    </w:p>
    <w:p>
      <w:pPr>
        <w:pStyle w:val="Overskrift2"/>
      </w:pPr>
      <w:r>
        <w:rPr>
          <w:rFonts w:ascii="Times New Roman" w:hAnsi="Times New Roman"/>
          <w:color w:val="000000"/>
          <w:sz w:val="32"/>
        </w:rPr>
        <w:t>4.3 Dataforbehandling</w:t>
      </w:r>
    </w:p>
    <w:p>
      <w:pPr>
        <w:spacing w:line="360" w:lineRule="auto"/>
        <w:jc w:val="both"/>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Datavalgsbeslutninger D-01–D-08 med begrunnelse.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b w:val="0"/>
                <w:sz w:val="22"/>
              </w:rPr>
              <w:t>D-01</w:t>
            </w:r>
          </w:p>
        </w:tc>
        <w:tc>
          <w:tcPr>
            <w:tcW w:type="dxa" w:w="2192"/>
          </w:tcPr>
          <w:p>
            <w:r/>
            <w:r>
              <w:rPr>
                <w:rFonts w:ascii="Times New Roman" w:hAnsi="Times New Roman"/>
                <w:b w:val="0"/>
                <w:sz w:val="22"/>
              </w:rPr>
              <w:t>Populasjonsavgrensning</w:t>
            </w:r>
          </w:p>
        </w:tc>
        <w:tc>
          <w:tcPr>
            <w:tcW w:type="dxa" w:w="2192"/>
          </w:tcPr>
          <w:p>
            <w:r/>
            <w:r>
              <w:rPr>
                <w:rFonts w:ascii="Times New Roman" w:hAnsi="Times New Roman"/>
                <w:b w:val="0"/>
                <w:sz w:val="22"/>
              </w:rPr>
              <w:t>1 006 → 709 artikler</w:t>
            </w:r>
          </w:p>
        </w:tc>
        <w:tc>
          <w:tcPr>
            <w:tcW w:type="dxa" w:w="2192"/>
          </w:tcPr>
          <w:p>
            <w:r/>
            <w:r>
              <w:rPr>
                <w:rFonts w:ascii="Times New Roman" w:hAnsi="Times New Roman"/>
                <w:b w:val="0"/>
                <w:sz w:val="22"/>
              </w:rPr>
              <w:t>Ekskluderer 297 inaktive (D_ANNUAL = 0 og TOTAL_STOCK = 0)</w:t>
            </w:r>
          </w:p>
        </w:tc>
      </w:tr>
      <w:tr>
        <w:tc>
          <w:tcPr>
            <w:tcW w:type="dxa" w:w="2192"/>
          </w:tcPr>
          <w:p>
            <w:r/>
            <w:r>
              <w:rPr>
                <w:rFonts w:ascii="Times New Roman" w:hAnsi="Times New Roman"/>
                <w:b w:val="0"/>
                <w:sz w:val="22"/>
              </w:rPr>
              <w:t>D-02</w:t>
            </w:r>
          </w:p>
        </w:tc>
        <w:tc>
          <w:tcPr>
            <w:tcW w:type="dxa" w:w="2192"/>
          </w:tcPr>
          <w:p>
            <w:r/>
            <w:r>
              <w:rPr>
                <w:rFonts w:ascii="Times New Roman" w:hAnsi="Times New Roman"/>
                <w:b w:val="0"/>
                <w:sz w:val="22"/>
              </w:rPr>
              <w:t>PEINH-korrigering</w:t>
            </w:r>
          </w:p>
        </w:tc>
        <w:tc>
          <w:tcPr>
            <w:tcW w:type="dxa" w:w="2192"/>
          </w:tcPr>
          <w:p>
            <w:r/>
            <w:r>
              <w:rPr>
                <w:rFonts w:ascii="Times New Roman" w:hAnsi="Times New Roman"/>
                <w:b w:val="0"/>
                <w:sz w:val="22"/>
              </w:rPr>
              <w:t>UNIT_PRICE = STPRS ÷ PEINH</w:t>
            </w:r>
          </w:p>
        </w:tc>
        <w:tc>
          <w:tcPr>
            <w:tcW w:type="dxa" w:w="2192"/>
          </w:tcPr>
          <w:p>
            <w:r/>
            <w:r>
              <w:rPr>
                <w:rFonts w:ascii="Times New Roman" w:hAnsi="Times New Roman"/>
                <w:b w:val="0"/>
                <w:sz w:val="22"/>
              </w:rPr>
              <w:t>Korrigerer for prisenhet ≠ 1</w:t>
            </w:r>
          </w:p>
        </w:tc>
      </w:tr>
      <w:tr>
        <w:tc>
          <w:tcPr>
            <w:tcW w:type="dxa" w:w="2192"/>
          </w:tcPr>
          <w:p>
            <w:r/>
            <w:r>
              <w:rPr>
                <w:rFonts w:ascii="Times New Roman" w:hAnsi="Times New Roman"/>
                <w:b w:val="0"/>
                <w:sz w:val="22"/>
              </w:rPr>
              <w:t>D-03</w:t>
            </w:r>
          </w:p>
        </w:tc>
        <w:tc>
          <w:tcPr>
            <w:tcW w:type="dxa" w:w="2192"/>
          </w:tcPr>
          <w:p>
            <w:r/>
            <w:r>
              <w:rPr>
                <w:rFonts w:ascii="Times New Roman" w:hAnsi="Times New Roman"/>
                <w:b w:val="0"/>
                <w:sz w:val="22"/>
              </w:rPr>
              <w:t>Beregnet ABC-verdi</w:t>
            </w:r>
          </w:p>
        </w:tc>
        <w:tc>
          <w:tcPr>
            <w:tcW w:type="dxa" w:w="2192"/>
          </w:tcPr>
          <w:p>
            <w:r/>
            <w:r>
              <w:rPr>
                <w:rFonts w:ascii="Times New Roman" w:hAnsi="Times New Roman"/>
                <w:b w:val="0"/>
                <w:sz w:val="22"/>
              </w:rPr>
              <w:t>204 artikler uten EKPO</w:t>
            </w:r>
          </w:p>
        </w:tc>
        <w:tc>
          <w:tcPr>
            <w:tcW w:type="dxa" w:w="2192"/>
          </w:tcPr>
          <w:p>
            <w:r/>
            <w:r>
              <w:rPr>
                <w:rFonts w:ascii="Times New Roman" w:hAnsi="Times New Roman"/>
                <w:b w:val="0"/>
                <w:sz w:val="22"/>
              </w:rPr>
              <w:t>ABC_VALUE = D_ANNUAL × UNIT_PRICE som standardverdi</w:t>
            </w:r>
          </w:p>
        </w:tc>
      </w:tr>
      <w:tr>
        <w:tc>
          <w:tcPr>
            <w:tcW w:type="dxa" w:w="2192"/>
          </w:tcPr>
          <w:p>
            <w:r/>
            <w:r>
              <w:rPr>
                <w:rFonts w:ascii="Times New Roman" w:hAnsi="Times New Roman"/>
                <w:b w:val="0"/>
                <w:sz w:val="22"/>
              </w:rPr>
              <w:t>D-04</w:t>
            </w:r>
          </w:p>
        </w:tc>
        <w:tc>
          <w:tcPr>
            <w:tcW w:type="dxa" w:w="2192"/>
          </w:tcPr>
          <w:p>
            <w:r/>
            <w:r>
              <w:rPr>
                <w:rFonts w:ascii="Times New Roman" w:hAnsi="Times New Roman"/>
                <w:b w:val="0"/>
                <w:sz w:val="22"/>
              </w:rPr>
              <w:t>CV-basert XYZ</w:t>
            </w:r>
          </w:p>
        </w:tc>
        <w:tc>
          <w:tcPr>
            <w:tcW w:type="dxa" w:w="2192"/>
          </w:tcPr>
          <w:p>
            <w:r/>
            <w:r>
              <w:rPr>
                <w:rFonts w:ascii="Times New Roman" w:hAnsi="Times New Roman"/>
                <w:b w:val="0"/>
                <w:sz w:val="22"/>
              </w:rPr>
              <w:t>Erstatter ZZXYZ</w:t>
            </w:r>
          </w:p>
        </w:tc>
        <w:tc>
          <w:tcPr>
            <w:tcW w:type="dxa" w:w="2192"/>
          </w:tcPr>
          <w:p>
            <w:r/>
            <w:r>
              <w:rPr>
                <w:rFonts w:ascii="Times New Roman" w:hAnsi="Times New Roman"/>
                <w:b w:val="0"/>
                <w:sz w:val="22"/>
              </w:rPr>
              <w:t>33 % samsvar → beregnet CV foretrukket</w:t>
            </w:r>
          </w:p>
        </w:tc>
      </w:tr>
      <w:tr>
        <w:tc>
          <w:tcPr>
            <w:tcW w:type="dxa" w:w="2192"/>
          </w:tcPr>
          <w:p>
            <w:r/>
            <w:r>
              <w:rPr>
                <w:rFonts w:ascii="Times New Roman" w:hAnsi="Times New Roman"/>
                <w:b w:val="0"/>
                <w:sz w:val="22"/>
              </w:rPr>
              <w:t>D-05</w:t>
            </w:r>
          </w:p>
        </w:tc>
        <w:tc>
          <w:tcPr>
            <w:tcW w:type="dxa" w:w="2192"/>
          </w:tcPr>
          <w:p>
            <w:r/>
            <w:r>
              <w:rPr>
                <w:rFonts w:ascii="Times New Roman" w:hAnsi="Times New Roman"/>
                <w:b w:val="0"/>
                <w:sz w:val="22"/>
              </w:rPr>
              <w:t>Leveringstid standardverdi</w:t>
            </w:r>
          </w:p>
        </w:tc>
        <w:tc>
          <w:tcPr>
            <w:tcW w:type="dxa" w:w="2192"/>
          </w:tcPr>
          <w:p>
            <w:r/>
            <w:r>
              <w:rPr>
                <w:rFonts w:ascii="Times New Roman" w:hAnsi="Times New Roman"/>
                <w:b w:val="0"/>
                <w:sz w:val="22"/>
              </w:rPr>
              <w:t>14 dager for 94 %</w:t>
            </w:r>
          </w:p>
        </w:tc>
        <w:tc>
          <w:tcPr>
            <w:tcW w:type="dxa" w:w="2192"/>
          </w:tcPr>
          <w:p>
            <w:r/>
            <w:r>
              <w:rPr>
                <w:rFonts w:ascii="Times New Roman" w:hAnsi="Times New Roman"/>
                <w:b w:val="0"/>
                <w:sz w:val="22"/>
              </w:rPr>
              <w:t>EINE WETAG dekker kun 6 %</w:t>
            </w:r>
          </w:p>
        </w:tc>
      </w:tr>
      <w:tr>
        <w:tc>
          <w:tcPr>
            <w:tcW w:type="dxa" w:w="2192"/>
          </w:tcPr>
          <w:p>
            <w:r/>
            <w:r>
              <w:rPr>
                <w:rFonts w:ascii="Times New Roman" w:hAnsi="Times New Roman"/>
                <w:b w:val="0"/>
                <w:sz w:val="22"/>
              </w:rPr>
              <w:t>D-06</w:t>
            </w:r>
          </w:p>
        </w:tc>
        <w:tc>
          <w:tcPr>
            <w:tcW w:type="dxa" w:w="2192"/>
          </w:tcPr>
          <w:p>
            <w:r/>
            <w:r>
              <w:rPr>
                <w:rFonts w:ascii="Times New Roman" w:hAnsi="Times New Roman"/>
                <w:b w:val="0"/>
                <w:sz w:val="22"/>
              </w:rPr>
              <w:t>MSEG_STATUS blank → AKTIV</w:t>
            </w:r>
          </w:p>
        </w:tc>
        <w:tc>
          <w:tcPr>
            <w:tcW w:type="dxa" w:w="2192"/>
          </w:tcPr>
          <w:p>
            <w:r/>
            <w:r>
              <w:rPr>
                <w:rFonts w:ascii="Times New Roman" w:hAnsi="Times New Roman"/>
                <w:b w:val="0"/>
                <w:sz w:val="22"/>
              </w:rPr>
              <w:t>Fyller manglende verdier</w:t>
            </w:r>
          </w:p>
        </w:tc>
        <w:tc>
          <w:tcPr>
            <w:tcW w:type="dxa" w:w="2192"/>
          </w:tcPr>
          <w:p>
            <w:r/>
            <w:r>
              <w:rPr>
                <w:rFonts w:ascii="Times New Roman" w:hAnsi="Times New Roman"/>
                <w:b w:val="0"/>
                <w:sz w:val="22"/>
              </w:rPr>
              <w:t>Antar normal driftsstatus</w:t>
            </w:r>
          </w:p>
        </w:tc>
      </w:tr>
      <w:tr>
        <w:tc>
          <w:tcPr>
            <w:tcW w:type="dxa" w:w="2192"/>
          </w:tcPr>
          <w:p>
            <w:r/>
            <w:r>
              <w:rPr>
                <w:rFonts w:ascii="Times New Roman" w:hAnsi="Times New Roman"/>
                <w:b w:val="0"/>
                <w:sz w:val="22"/>
              </w:rPr>
              <w:t>D-07</w:t>
            </w:r>
          </w:p>
        </w:tc>
        <w:tc>
          <w:tcPr>
            <w:tcW w:type="dxa" w:w="2192"/>
          </w:tcPr>
          <w:p>
            <w:r/>
            <w:r>
              <w:rPr>
                <w:rFonts w:ascii="Times New Roman" w:hAnsi="Times New Roman"/>
                <w:b w:val="0"/>
                <w:sz w:val="22"/>
              </w:rPr>
              <w:t>ABC_VALUE_SOURCE</w:t>
            </w:r>
          </w:p>
        </w:tc>
        <w:tc>
          <w:tcPr>
            <w:tcW w:type="dxa" w:w="2192"/>
          </w:tcPr>
          <w:p>
            <w:r/>
            <w:r>
              <w:rPr>
                <w:rFonts w:ascii="Times New Roman" w:hAnsi="Times New Roman"/>
                <w:b w:val="0"/>
                <w:sz w:val="22"/>
              </w:rPr>
              <w:t>EKPO-verdi prioriteres</w:t>
            </w:r>
          </w:p>
        </w:tc>
        <w:tc>
          <w:tcPr>
            <w:tcW w:type="dxa" w:w="2192"/>
          </w:tcPr>
          <w:p>
            <w:r/>
            <w:r>
              <w:rPr>
                <w:rFonts w:ascii="Times New Roman" w:hAnsi="Times New Roman"/>
                <w:b w:val="0"/>
                <w:sz w:val="22"/>
              </w:rPr>
              <w:t>TOTAL_NETWR &gt; 0 kreves for EKPO-kilde</w:t>
            </w:r>
          </w:p>
        </w:tc>
      </w:tr>
      <w:tr>
        <w:tc>
          <w:tcPr>
            <w:tcW w:type="dxa" w:w="2192"/>
          </w:tcPr>
          <w:p>
            <w:r/>
            <w:r>
              <w:rPr>
                <w:rFonts w:ascii="Times New Roman" w:hAnsi="Times New Roman"/>
                <w:b w:val="0"/>
                <w:sz w:val="22"/>
              </w:rPr>
              <w:t>D-08</w:t>
            </w:r>
          </w:p>
        </w:tc>
        <w:tc>
          <w:tcPr>
            <w:tcW w:type="dxa" w:w="2192"/>
          </w:tcPr>
          <w:p>
            <w:r/>
            <w:r>
              <w:rPr>
                <w:rFonts w:ascii="Times New Roman" w:hAnsi="Times New Roman"/>
                <w:b w:val="0"/>
                <w:sz w:val="22"/>
              </w:rPr>
              <w:t>Annualisering av ordrefrekvens</w:t>
            </w:r>
          </w:p>
        </w:tc>
        <w:tc>
          <w:tcPr>
            <w:tcW w:type="dxa" w:w="2192"/>
          </w:tcPr>
          <w:p>
            <w:r/>
            <w:r>
              <w:rPr>
                <w:rFonts w:ascii="Times New Roman" w:hAnsi="Times New Roman"/>
                <w:b w:val="0"/>
                <w:sz w:val="22"/>
              </w:rPr>
              <w:t>ACTUAL_FREQ = ORDER_COUNT × 12/24</w:t>
            </w:r>
          </w:p>
        </w:tc>
        <w:tc>
          <w:tcPr>
            <w:tcW w:type="dxa" w:w="2192"/>
          </w:tcPr>
          <w:p>
            <w:r/>
            <w:r>
              <w:rPr>
                <w:rFonts w:ascii="Times New Roman" w:hAnsi="Times New Roman"/>
                <w:b w:val="0"/>
                <w:sz w:val="22"/>
              </w:rPr>
              <w:t>24 mnd data → årsbasis</w:t>
            </w:r>
          </w:p>
        </w:tc>
      </w:tr>
    </w:tbl>
    <w:p>
      <w:pPr>
        <w:spacing w:line="360" w:lineRule="auto"/>
        <w:jc w:val="both"/>
      </w:pPr>
      <w:r>
        <w:rPr>
          <w:rFonts w:ascii="Times New Roman" w:hAnsi="Times New Roman" w:cs="Times New Roman"/>
          <w:sz w:val="24"/>
        </w:rPr>
        <w:t>Figur 4 nedenfor illustrerer den samlede datapipelinen fra rådata til analyseklart datasett.</w:t>
      </w:r>
    </w:p>
    <w:p>
      <w:r>
        <w:drawing>
          <wp:inline xmlns:a="http://schemas.openxmlformats.org/drawingml/2006/main" xmlns:pic="http://schemas.openxmlformats.org/drawingml/2006/picture">
            <wp:extent cx="5400000" cy="1615574"/>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Analysepipeline: fra SAP-rådata til HVFS-anbefaling. Generert med støtte fra Claude.</w:t>
      </w:r>
    </w:p>
    <w:p>
      <w:pPr>
        <w:pStyle w:val="Overskrift2"/>
      </w:pPr>
      <w:r>
        <w:rPr>
          <w:rFonts w:ascii="Times New Roman" w:hAnsi="Times New Roman"/>
          <w:color w:val="000000"/>
          <w:sz w:val="32"/>
        </w:rPr>
        <w:t>4.4 Etiske betraktninger og begrensninger</w:t>
      </w:r>
    </w:p>
    <w:p>
      <w:pPr>
        <w:spacing w:line="360" w:lineRule="auto"/>
        <w:jc w:val="both"/>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jc w:val="both"/>
      </w:pPr>
      <w:r>
        <w:rPr>
          <w:rFonts w:ascii="Times New Roman" w:hAnsi="Times New Roman" w:cs="Times New Roman"/>
          <w:sz w:val="24"/>
        </w:rPr>
        <w:t>Parametervalgene S og h er begrunnet i avsnitt 1.4 og testes i sensitivitetsanalysen (kap. 7.6). Det understrekes at verktøyet produserer et rangert beslutningsunderlag, ikke autoriserte beslutninger: en feilklassifisering – for eksempel at en klinisk kritisk artikkel anbefales overført – kan ha konsekvenser for forsyningssikkerheten. Nettopp derfor anbefales en begrenset pilotfase med faglig og klinisk gjennomgang før implementering (se kap. 9.2).</w:t>
      </w:r>
    </w:p>
    <w:p>
      <w:pPr>
        <w:spacing w:line="360" w:lineRule="auto"/>
        <w:jc w:val="both"/>
      </w:pPr>
      <w:r>
        <w:rPr>
          <w:rFonts w:ascii="Times New Roman" w:hAnsi="Times New Roman" w:cs="Times New Roman"/>
          <w:sz w:val="24"/>
        </w:rPr>
        <w:t>Standardverdien for leveringstid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kunstig intelligens</w:t>
      </w:r>
    </w:p>
    <w:p>
      <w:pPr>
        <w:spacing w:line="360" w:lineRule="auto"/>
        <w:jc w:val="both"/>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ble anvendt til kodestøtte, generering av datavisualiseringer og språklig bearbeiding av rapportteksten. KI-verktøyet er ikke brukt som fagkilde og er ikke sitert som belegg for faglige påstander. All KI-generert kode og tekst er kritisk gjennomgått og revidert av forfatteren; en refleksjon over KI-brukens påvirkning på arbeidsprosessen er gitt i Vedlegg C.</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jc w:val="both"/>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jc w:val="both"/>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jc w:val="both"/>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w:t>
      </w:r>
      <m:oMath>
        <m:sSub>
          <m:e>
            <m:r>
              <m:rPr>
                <m:nor/>
              </m:rPr>
              <m:t>UNIT\_PRICE</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jc w:val="both"/>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jc w:val="both"/>
      </w:pPr>
      <w:r>
        <w:rPr>
          <w:rFonts w:ascii="Times New Roman" w:hAnsi="Times New Roman" w:cs="Times New Roman"/>
          <w:sz w:val="24"/>
        </w:rPr>
        <w:t>Klassifiseringsgrensene er satt i henhold til standard ABC-litteratur (Silaen et al., 2023):</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Modellparametere: ABC-klassifiseringsgrenser og øvrige analyseinnstillinger.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b w:val="0"/>
                <w:sz w:val="22"/>
              </w:rPr>
              <w:t>ABC A-grense</w:t>
            </w:r>
          </w:p>
        </w:tc>
        <w:tc>
          <w:tcPr>
            <w:tcW w:type="dxa" w:w="2923"/>
          </w:tcPr>
          <w:p>
            <w:r/>
            <w:r>
              <w:rPr>
                <w:rFonts w:ascii="Times New Roman" w:hAnsi="Times New Roman"/>
                <w:b w:val="0"/>
                <w:sz w:val="22"/>
              </w:rPr>
              <w:t>80 % kumulativ verdi</w:t>
            </w:r>
          </w:p>
        </w:tc>
        <w:tc>
          <w:tcPr>
            <w:tcW w:type="dxa" w:w="2923"/>
          </w:tcPr>
          <w:p>
            <w:r/>
            <w:r>
              <w:rPr>
                <w:rFonts w:ascii="Times New Roman" w:hAnsi="Times New Roman"/>
                <w:b w:val="0"/>
                <w:sz w:val="22"/>
              </w:rPr>
              <w:t>Silaen et al. (2023)</w:t>
            </w:r>
          </w:p>
        </w:tc>
      </w:tr>
      <w:tr>
        <w:tc>
          <w:tcPr>
            <w:tcW w:type="dxa" w:w="2923"/>
          </w:tcPr>
          <w:p>
            <w:r/>
            <w:r>
              <w:rPr>
                <w:rFonts w:ascii="Times New Roman" w:hAnsi="Times New Roman"/>
                <w:b w:val="0"/>
                <w:sz w:val="22"/>
              </w:rPr>
              <w:t>ABC B-grense</w:t>
            </w:r>
          </w:p>
        </w:tc>
        <w:tc>
          <w:tcPr>
            <w:tcW w:type="dxa" w:w="2923"/>
          </w:tcPr>
          <w:p>
            <w:r/>
            <w:r>
              <w:rPr>
                <w:rFonts w:ascii="Times New Roman" w:hAnsi="Times New Roman"/>
                <w:b w:val="0"/>
                <w:sz w:val="22"/>
              </w:rPr>
              <w:t>95 % kumulativ verdi</w:t>
            </w:r>
          </w:p>
        </w:tc>
        <w:tc>
          <w:tcPr>
            <w:tcW w:type="dxa" w:w="2923"/>
          </w:tcPr>
          <w:p>
            <w:r/>
            <w:r>
              <w:rPr>
                <w:rFonts w:ascii="Times New Roman" w:hAnsi="Times New Roman"/>
                <w:b w:val="0"/>
                <w:sz w:val="22"/>
              </w:rPr>
              <w:t>Silaen et al. (2023)</w:t>
            </w:r>
          </w:p>
        </w:tc>
      </w:tr>
      <w:tr>
        <w:tc>
          <w:tcPr>
            <w:tcW w:type="dxa" w:w="2923"/>
          </w:tcPr>
          <w:p>
            <w:r/>
            <w:r>
              <w:rPr>
                <w:rFonts w:ascii="Times New Roman" w:hAnsi="Times New Roman"/>
                <w:b w:val="0"/>
                <w:sz w:val="22"/>
              </w:rPr>
              <w:t>XYZ X-grense</w:t>
            </w:r>
          </w:p>
        </w:tc>
        <w:tc>
          <w:tcPr>
            <w:tcW w:type="dxa" w:w="2923"/>
          </w:tcPr>
          <w:p>
            <w:r/>
            <w:r>
              <w:rPr>
                <w:rFonts w:ascii="Times New Roman" w:hAnsi="Times New Roman"/>
                <w:b w:val="0"/>
                <w:sz w:val="22"/>
              </w:rPr>
              <w:t>CV &lt; 0,5</w:t>
            </w:r>
          </w:p>
        </w:tc>
        <w:tc>
          <w:tcPr>
            <w:tcW w:type="dxa" w:w="2923"/>
          </w:tcPr>
          <w:p>
            <w:r/>
            <w:r>
              <w:rPr>
                <w:rFonts w:ascii="Times New Roman" w:hAnsi="Times New Roman"/>
                <w:b w:val="0"/>
                <w:sz w:val="22"/>
              </w:rPr>
              <w:t>Nowotyńska (2013)</w:t>
            </w:r>
          </w:p>
        </w:tc>
      </w:tr>
      <w:tr>
        <w:tc>
          <w:tcPr>
            <w:tcW w:type="dxa" w:w="2923"/>
          </w:tcPr>
          <w:p>
            <w:r/>
            <w:r>
              <w:rPr>
                <w:rFonts w:ascii="Times New Roman" w:hAnsi="Times New Roman"/>
                <w:b w:val="0"/>
                <w:sz w:val="22"/>
              </w:rPr>
              <w:t>XYZ Y-grense</w:t>
            </w:r>
          </w:p>
        </w:tc>
        <w:tc>
          <w:tcPr>
            <w:tcW w:type="dxa" w:w="2923"/>
          </w:tcPr>
          <w:p>
            <w:r/>
            <w:r>
              <w:rPr>
                <w:rFonts w:ascii="Times New Roman" w:hAnsi="Times New Roman"/>
                <w:b w:val="0"/>
                <w:sz w:val="22"/>
              </w:rPr>
              <w:t>0,5 ≤ CV &lt; 1,0</w:t>
            </w:r>
          </w:p>
        </w:tc>
        <w:tc>
          <w:tcPr>
            <w:tcW w:type="dxa" w:w="2923"/>
          </w:tcPr>
          <w:p>
            <w:r/>
            <w:r>
              <w:rPr>
                <w:rFonts w:ascii="Times New Roman" w:hAnsi="Times New Roman"/>
                <w:b w:val="0"/>
                <w:sz w:val="22"/>
              </w:rPr>
              <w:t>Nowotyńska (2013)</w:t>
            </w:r>
          </w:p>
        </w:tc>
      </w:tr>
      <w:tr>
        <w:tc>
          <w:tcPr>
            <w:tcW w:type="dxa" w:w="2923"/>
          </w:tcPr>
          <w:p>
            <w:r/>
            <w:r>
              <w:rPr>
                <w:rFonts w:ascii="Times New Roman" w:hAnsi="Times New Roman"/>
                <w:b w:val="0"/>
                <w:sz w:val="22"/>
              </w:rPr>
              <w:t>XYZ Z-grense</w:t>
            </w:r>
          </w:p>
        </w:tc>
        <w:tc>
          <w:tcPr>
            <w:tcW w:type="dxa" w:w="2923"/>
          </w:tcPr>
          <w:p>
            <w:r/>
            <w:r>
              <w:rPr>
                <w:rFonts w:ascii="Times New Roman" w:hAnsi="Times New Roman"/>
                <w:b w:val="0"/>
                <w:sz w:val="22"/>
              </w:rPr>
              <w:t>CV ≥ 1,0</w:t>
            </w:r>
          </w:p>
        </w:tc>
        <w:tc>
          <w:tcPr>
            <w:tcW w:type="dxa" w:w="2923"/>
          </w:tcPr>
          <w:p>
            <w:r/>
            <w:r>
              <w:rPr>
                <w:rFonts w:ascii="Times New Roman" w:hAnsi="Times New Roman"/>
                <w:b w:val="0"/>
                <w:sz w:val="22"/>
              </w:rPr>
              <w:t>Nowotyńska (2013)</w:t>
            </w:r>
          </w:p>
        </w:tc>
      </w:tr>
      <w:tr>
        <w:tc>
          <w:tcPr>
            <w:tcW w:type="dxa" w:w="2923"/>
          </w:tcPr>
          <w:p>
            <w:r/>
            <w:r>
              <w:rPr>
                <w:rFonts w:ascii="Times New Roman" w:hAnsi="Times New Roman"/>
                <w:b w:val="0"/>
                <w:sz w:val="22"/>
              </w:rPr>
              <w:t>Ordrekostnad S</w:t>
            </w:r>
          </w:p>
        </w:tc>
        <w:tc>
          <w:tcPr>
            <w:tcW w:type="dxa" w:w="2923"/>
          </w:tcPr>
          <w:p>
            <w:r/>
            <w:r>
              <w:rPr>
                <w:rFonts w:ascii="Times New Roman" w:hAnsi="Times New Roman"/>
                <w:b w:val="0"/>
                <w:sz w:val="22"/>
              </w:rPr>
              <w:t>750 NOK</w:t>
            </w:r>
          </w:p>
        </w:tc>
        <w:tc>
          <w:tcPr>
            <w:tcW w:type="dxa" w:w="2923"/>
          </w:tcPr>
          <w:p>
            <w:r/>
            <w:r>
              <w:rPr>
                <w:rFonts w:ascii="Times New Roman" w:hAnsi="Times New Roman"/>
                <w:b w:val="0"/>
                <w:sz w:val="22"/>
              </w:rPr>
              <w:t>Bijvank &amp; Vis (2012); Kelle et al. (2012)</w:t>
            </w:r>
          </w:p>
        </w:tc>
      </w:tr>
      <w:tr>
        <w:tc>
          <w:tcPr>
            <w:tcW w:type="dxa" w:w="2923"/>
          </w:tcPr>
          <w:p>
            <w:r/>
            <w:r>
              <w:rPr>
                <w:rFonts w:ascii="Times New Roman" w:hAnsi="Times New Roman"/>
                <w:b w:val="0"/>
                <w:sz w:val="22"/>
              </w:rPr>
              <w:t>Holdesats h</w:t>
            </w:r>
          </w:p>
        </w:tc>
        <w:tc>
          <w:tcPr>
            <w:tcW w:type="dxa" w:w="2923"/>
          </w:tcPr>
          <w:p>
            <w:r/>
            <w:r>
              <w:rPr>
                <w:rFonts w:ascii="Times New Roman" w:hAnsi="Times New Roman"/>
                <w:b w:val="0"/>
                <w:sz w:val="22"/>
              </w:rPr>
              <w:t>20 % av UNIT_PRICE</w:t>
            </w:r>
          </w:p>
        </w:tc>
        <w:tc>
          <w:tcPr>
            <w:tcW w:type="dxa" w:w="2923"/>
          </w:tcPr>
          <w:p>
            <w:r/>
            <w:r>
              <w:rPr>
                <w:rFonts w:ascii="Times New Roman" w:hAnsi="Times New Roman"/>
                <w:b w:val="0"/>
                <w:sz w:val="22"/>
              </w:rPr>
              <w:t>Ketkar &amp; Vaidya (2014)</w:t>
            </w:r>
          </w:p>
        </w:tc>
      </w:tr>
      <w:tr>
        <w:tc>
          <w:tcPr>
            <w:tcW w:type="dxa" w:w="2923"/>
          </w:tcPr>
          <w:p>
            <w:r/>
            <w:r>
              <w:rPr>
                <w:rFonts w:ascii="Times New Roman" w:hAnsi="Times New Roman"/>
                <w:b w:val="0"/>
                <w:sz w:val="22"/>
              </w:rPr>
              <w:t>Leveringstid standardverdi</w:t>
            </w:r>
          </w:p>
        </w:tc>
        <w:tc>
          <w:tcPr>
            <w:tcW w:type="dxa" w:w="2923"/>
          </w:tcPr>
          <w:p>
            <w:r/>
            <w:r>
              <w:rPr>
                <w:rFonts w:ascii="Times New Roman" w:hAnsi="Times New Roman"/>
                <w:b w:val="0"/>
                <w:sz w:val="22"/>
              </w:rPr>
              <w:t>14 dager</w:t>
            </w:r>
          </w:p>
        </w:tc>
        <w:tc>
          <w:tcPr>
            <w:tcW w:type="dxa" w:w="2923"/>
          </w:tcPr>
          <w:p>
            <w:r/>
            <w:r>
              <w:rPr>
                <w:rFonts w:ascii="Times New Roman" w:hAnsi="Times New Roman"/>
                <w:b w:val="0"/>
                <w:sz w:val="22"/>
              </w:rPr>
              <w:t>Bransjepraksis (D-05)</w:t>
            </w:r>
          </w:p>
        </w:tc>
      </w:tr>
      <w:tr>
        <w:tc>
          <w:tcPr>
            <w:tcW w:type="dxa" w:w="2923"/>
          </w:tcPr>
          <w:p>
            <w:r/>
            <w:r>
              <w:rPr>
                <w:rFonts w:ascii="Times New Roman" w:hAnsi="Times New Roman"/>
                <w:b w:val="0"/>
                <w:sz w:val="22"/>
              </w:rPr>
              <w:t>EOQ-terskel τ_f</w:t>
            </w:r>
          </w:p>
        </w:tc>
        <w:tc>
          <w:tcPr>
            <w:tcW w:type="dxa" w:w="2923"/>
          </w:tcPr>
          <w:p>
            <w:r/>
            <w:r>
              <w:rPr>
                <w:rFonts w:ascii="Times New Roman" w:hAnsi="Times New Roman"/>
                <w:b w:val="0"/>
                <w:sz w:val="22"/>
              </w:rPr>
              <w:t>1,5 (</w:t>
            </w:r>
            <m:oMath>
              <m:sSub>
                <m:e>
                  <m:r>
                    <m:t>f</m:t>
                  </m:r>
                </m:e>
                <m:sub>
                  <m:r>
                    <m:rPr>
                      <m:nor/>
                    </m:rPr>
                    <m:t>obs</m:t>
                  </m:r>
                </m:sub>
              </m:sSub>
              <m:r>
                <m:t>&gt;1</m:t>
              </m:r>
              <m:r>
                <m:t>,</m:t>
              </m:r>
              <m:r>
                <m:t>5·</m:t>
              </m:r>
              <m:sSup>
                <m:e>
                  <m:r>
                    <m:t>f</m:t>
                  </m:r>
                </m:e>
                <m:sup>
                  <m:r>
                    <m:t>*</m:t>
                  </m:r>
                </m:sup>
              </m:sSup>
            </m:oMath>
            <w:r>
              <w:rPr>
                <w:rFonts w:ascii="Times New Roman" w:hAnsi="Times New Roman"/>
                <w:b w:val="0"/>
                <w:sz w:val="22"/>
              </w:rPr>
              <w:t>, dvs. FREQ_AVVIK &gt; 0,5)</w:t>
            </w:r>
          </w:p>
        </w:tc>
        <w:tc>
          <w:tcPr>
            <w:tcW w:type="dxa" w:w="2923"/>
          </w:tcPr>
          <w:p>
            <w:r/>
            <w:r>
              <w:rPr>
                <w:rFonts w:ascii="Times New Roman" w:hAnsi="Times New Roman"/>
                <w:b w:val="0"/>
                <w:sz w:val="22"/>
              </w:rPr>
              <w:t>Operasjonelt vesentlig avvik</w:t>
            </w:r>
          </w:p>
        </w:tc>
      </w:tr>
      <w:tr>
        <w:tc>
          <w:tcPr>
            <w:tcW w:type="dxa" w:w="2923"/>
          </w:tcPr>
          <w:p>
            <w:r/>
            <w:r>
              <w:rPr>
                <w:rFonts w:ascii="Times New Roman" w:hAnsi="Times New Roman"/>
                <w:b w:val="0"/>
                <w:sz w:val="22"/>
              </w:rPr>
              <w:t>K-means K-søk</w:t>
            </w:r>
          </w:p>
        </w:tc>
        <w:tc>
          <w:tcPr>
            <w:tcW w:type="dxa" w:w="2923"/>
          </w:tcPr>
          <w:p>
            <w:r/>
            <w:r>
              <w:rPr>
                <w:rFonts w:ascii="Times New Roman" w:hAnsi="Times New Roman"/>
                <w:b w:val="0"/>
                <w:sz w:val="22"/>
              </w:rPr>
              <w:t>K ∈ {2, 3, 4, 5, 6, 7}</w:t>
            </w:r>
          </w:p>
        </w:tc>
        <w:tc>
          <w:tcPr>
            <w:tcW w:type="dxa" w:w="2923"/>
          </w:tcPr>
          <w:p>
            <w:r/>
            <w:r>
              <w:rPr>
                <w:rFonts w:ascii="Times New Roman" w:hAnsi="Times New Roman"/>
                <w:b w:val="0"/>
                <w:sz w:val="22"/>
              </w:rPr>
              <w:t>Silhouette-optimering</w:t>
            </w:r>
          </w:p>
        </w:tc>
      </w:tr>
      <w:tr>
        <w:tc>
          <w:tcPr>
            <w:tcW w:type="dxa" w:w="2923"/>
          </w:tcPr>
          <w:p>
            <w:r/>
            <w:r>
              <w:rPr>
                <w:rFonts w:ascii="Times New Roman" w:hAnsi="Times New Roman"/>
                <w:b w:val="0"/>
                <w:sz w:val="22"/>
              </w:rPr>
              <w:t>K-means n_init</w:t>
            </w:r>
          </w:p>
        </w:tc>
        <w:tc>
          <w:tcPr>
            <w:tcW w:type="dxa" w:w="2923"/>
          </w:tcPr>
          <w:p>
            <w:r/>
            <w:r>
              <w:rPr>
                <w:rFonts w:ascii="Times New Roman" w:hAnsi="Times New Roman"/>
                <w:b w:val="0"/>
                <w:sz w:val="22"/>
              </w:rPr>
              <w:t>50</w:t>
            </w:r>
          </w:p>
        </w:tc>
        <w:tc>
          <w:tcPr>
            <w:tcW w:type="dxa" w:w="2923"/>
          </w:tcPr>
          <w:p>
            <w:r/>
            <w:r>
              <w:rPr>
                <w:rFonts w:ascii="Times New Roman" w:hAnsi="Times New Roman"/>
                <w:b w:val="0"/>
                <w:sz w:val="22"/>
              </w:rPr>
              <w:t>Robust initialisering</w:t>
            </w:r>
          </w:p>
        </w:tc>
      </w:tr>
      <w:tr>
        <w:tc>
          <w:tcPr>
            <w:tcW w:type="dxa" w:w="2923"/>
          </w:tcPr>
          <w:p>
            <w:r/>
            <w:r>
              <w:rPr>
                <w:rFonts w:ascii="Times New Roman" w:hAnsi="Times New Roman"/>
                <w:b w:val="0"/>
                <w:sz w:val="22"/>
              </w:rPr>
              <w:t>Random state</w:t>
            </w:r>
          </w:p>
        </w:tc>
        <w:tc>
          <w:tcPr>
            <w:tcW w:type="dxa" w:w="2923"/>
          </w:tcPr>
          <w:p>
            <w:r/>
            <w:r>
              <w:rPr>
                <w:rFonts w:ascii="Times New Roman" w:hAnsi="Times New Roman"/>
                <w:b w:val="0"/>
                <w:sz w:val="22"/>
              </w:rPr>
              <w:t>42</w:t>
            </w:r>
          </w:p>
        </w:tc>
        <w:tc>
          <w:tcPr>
            <w:tcW w:type="dxa" w:w="2923"/>
          </w:tcPr>
          <w:p>
            <w:r/>
            <w:r>
              <w:rPr>
                <w:rFonts w:ascii="Times New Roman" w:hAnsi="Times New Roman"/>
                <w:b w:val="0"/>
                <w:sz w:val="22"/>
              </w:rPr>
              <w:t>Reproduserbarhet</w:t>
            </w:r>
          </w:p>
        </w:tc>
      </w:tr>
      <w:tr>
        <w:tc>
          <w:tcPr>
            <w:tcW w:type="dxa" w:w="2923"/>
          </w:tcPr>
          <w:p>
            <w:r/>
            <w:r>
              <w:rPr>
                <w:rFonts w:ascii="Times New Roman" w:hAnsi="Times New Roman"/>
                <w:b w:val="0"/>
                <w:sz w:val="22"/>
              </w:rPr>
              <w:t>Train/test split</w:t>
            </w:r>
          </w:p>
        </w:tc>
        <w:tc>
          <w:tcPr>
            <w:tcW w:type="dxa" w:w="2923"/>
          </w:tcPr>
          <w:p>
            <w:r/>
            <w:r>
              <w:rPr>
                <w:rFonts w:ascii="Times New Roman" w:hAnsi="Times New Roman"/>
                <w:b w:val="0"/>
                <w:sz w:val="22"/>
              </w:rPr>
              <w:t>80/20</w:t>
            </w:r>
          </w:p>
        </w:tc>
        <w:tc>
          <w:tcPr>
            <w:tcW w:type="dxa" w:w="2923"/>
          </w:tcPr>
          <w:p>
            <w:r/>
            <w:r>
              <w:rPr>
                <w:rFonts w:ascii="Times New Roman" w:hAnsi="Times New Roman"/>
                <w:b w:val="0"/>
                <w:sz w:val="22"/>
              </w:rPr>
              <w:t>Standard validering</w:t>
            </w:r>
          </w:p>
        </w:tc>
      </w:tr>
    </w:tbl>
    <w:p>
      <w:pPr>
        <w:spacing w:line="360" w:lineRule="auto"/>
        <w:jc w:val="both"/>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jc w:val="both"/>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jc w:val="both"/>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jc w:val="both"/>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jc w:val="both"/>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jc w:val="both"/>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jc w:val="both"/>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jc w:val="both"/>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jc w:val="both"/>
      </w:pPr>
      <w:r>
        <w:rPr>
          <w:rFonts w:ascii="Times New Roman" w:hAnsi="Times New Roman" w:cs="Times New Roman"/>
          <w:sz w:val="24"/>
        </w:rPr>
        <w:t xml:space="preserve">En artikkel klassifiseres som FOR\_MANGE\_ORDRER dersom </w:t>
      </w:r>
      <m:oMath>
        <m:sSub>
          <m:e>
            <m:r>
              <m:t>f</m:t>
            </m:r>
          </m:e>
          <m:sub>
            <m:r>
              <m:rPr>
                <m:nor/>
              </m:rPr>
              <m:t>obs</m:t>
            </m:r>
          </m:sub>
        </m:sSub>
        <m:r>
          <m:t>&gt;</m:t>
        </m:r>
        <m:sSub>
          <m:e>
            <m:r>
              <m:t>τ</m:t>
            </m:r>
          </m:e>
          <m:sub>
            <m:r>
              <m:t>f</m:t>
            </m:r>
          </m:sub>
        </m:sSub>
        <m:r>
          <m:t>·</m:t>
        </m:r>
        <m:sSup>
          <m:e>
            <m:r>
              <m:t>f</m:t>
            </m:r>
          </m:e>
          <m:sup>
            <m:r>
              <m:t>*</m:t>
            </m:r>
          </m:sup>
        </m:sSup>
      </m:oMath>
      <w:r>
        <w:rPr>
          <w:rFonts w:ascii="Times New Roman" w:hAnsi="Times New Roman" w:cs="Times New Roman"/>
          <w:sz w:val="24"/>
        </w:rPr>
        <w:t xml:space="preserve">, der </w:t>
      </w:r>
      <m:oMath>
        <m:sSub>
          <m:e>
            <m:r>
              <m:t>τ</m:t>
            </m:r>
          </m:e>
          <m:sub>
            <m:r>
              <m:t>f</m:t>
            </m:r>
          </m:sub>
        </m:sSub>
        <m:r>
          <m:t>=1</m:t>
        </m:r>
        <m:r>
          <m:t>,</m:t>
        </m:r>
        <m:r>
          <m:t>5</m:t>
        </m:r>
      </m:oMath>
      <w:r>
        <w:rPr>
          <w:rFonts w:ascii="Times New Roman" w:hAnsi="Times New Roman" w:cs="Times New Roman"/>
          <w:sz w:val="24"/>
        </w:rPr>
        <w:t xml:space="preserve">. Dette tilsvarer FREQ\_AVVIK </w:t>
      </w:r>
      <m:oMath>
        <m:r>
          <m:t>&gt;0</m:t>
        </m:r>
        <m:r>
          <m:t>,</m:t>
        </m:r>
        <m:r>
          <m:t>5</m:t>
        </m:r>
      </m:oMath>
      <w:r>
        <w:rPr>
          <w:rFonts w:ascii="Times New Roman" w:hAnsi="Times New Roman" w:cs="Times New Roman"/>
          <w:sz w:val="24"/>
        </w:rPr>
        <w:t xml:space="preserve">, det vil si at faktisk ordrefrekvens er mer enn 50 % høyere enn EOQ-optimal frekvens. Symmetrisk klassifiseres artikler med FREQ\_AVVIK </w:t>
      </w:r>
      <m:oMath>
        <m:d>
          <m:dPr>
            <m:begChr m:val="&lt;"/>
            <m:sepChr m:val="−"/>
            <m:endChr m:val=""/>
          </m:dPr>
          <m:e/>
          <m:e>
            <m:r>
              <m:t>0</m:t>
            </m:r>
            <m:r>
              <m:t>,</m:t>
            </m:r>
            <m:r>
              <m:t>5</m:t>
            </m:r>
          </m:e>
        </m:d>
      </m:oMath>
      <w:r>
        <w:rPr>
          <w:rFonts w:ascii="Times New Roman" w:hAnsi="Times New Roman" w:cs="Times New Roman"/>
          <w:sz w:val="24"/>
        </w:rPr>
        <w:t xml:space="preserve"> som FOR\_FÅ\_ORDRER, mens artikler i intervallet </w:t>
      </w:r>
      <m:oMath>
        <m:d>
          <m:dPr>
            <m:begChr m:val="["/>
            <m:sepChr m:val="−"/>
            <m:endChr m:val="]"/>
          </m:dPr>
          <m:e/>
          <m:e>
            <m:r>
              <m:t>0</m:t>
            </m:r>
            <m:r>
              <m:t>,</m:t>
            </m:r>
            <m:r>
              <m:t>5</m:t>
            </m:r>
            <m:r>
              <m:t>;</m:t>
            </m:r>
            <m:r>
              <m:t>0</m:t>
            </m:r>
            <m:r>
              <m:t>,</m:t>
            </m:r>
            <m:r>
              <m:t>5</m:t>
            </m:r>
          </m:e>
        </m:d>
      </m:oMath>
      <w:r>
        <w:rPr>
          <w:rFonts w:ascii="Times New Roman" w:hAnsi="Times New Roman" w:cs="Times New Roman"/>
          <w:sz w:val="24"/>
        </w:rPr>
        <w:t xml:space="preserve"> klassifiseres som OK.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jc w:val="both"/>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jc w:val="both"/>
      </w:pPr>
      <w:r>
        <w:rPr>
          <w:rFonts w:ascii="Times New Roman" w:hAnsi="Times New Roman" w:cs="Times New Roman"/>
          <w:sz w:val="24"/>
        </w:rPr>
        <w:t xml:space="preserve">Parametervalgene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 xml:space="preserve"> er begrunnet i avsnitt 1.4. Sensitivitetsanalysen i kapittel 7.6 tester robustheten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w:t>
      </w:r>
    </w:p>
    <w:p>
      <w:pPr>
        <w:spacing w:line="360" w:lineRule="auto"/>
        <w:jc w:val="both"/>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jc w:val="both"/>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xml:space="preserve">, mens </w:t>
      </w:r>
      <m:oMath>
        <m:r>
          <m:t>g</m:t>
        </m:r>
      </m:oMath>
      <w:r>
        <w:rPr>
          <w:rFonts w:ascii="Times New Roman" w:hAnsi="Times New Roman" w:cs="Times New Roman"/>
          <w:sz w:val="24"/>
        </w:rPr>
        <w:t xml:space="preserve"> varieres separat gjennom tre scenarier (worst/base/best).</w:t>
      </w:r>
    </w:p>
    <w:p>
      <w:pPr>
        <w:pStyle w:val="Overskrift2"/>
      </w:pPr>
      <w:r>
        <w:rPr>
          <w:rFonts w:ascii="Times New Roman" w:hAnsi="Times New Roman"/>
          <w:color w:val="000000"/>
          <w:sz w:val="32"/>
        </w:rPr>
        <w:t>5.4 K-means klyngemodellen</w:t>
      </w:r>
    </w:p>
    <w:p>
      <w:pPr>
        <w:spacing w:line="360" w:lineRule="auto"/>
        <w:jc w:val="both"/>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w:t>
      </w:r>
      <w:r>
        <w:rPr>
          <w:rFonts w:ascii="Consolas" w:hAnsi="Consolas" w:cs="Consolas"/>
          <w:sz w:val="20"/>
          <w:shd w:val="clear" w:color="auto" w:fill="F4F4F4"/>
        </w:rPr>
        <w:t>n_init=50</w:t>
      </w:r>
      <w:r>
        <w:rPr>
          <w:rFonts w:ascii="Times New Roman" w:hAnsi="Times New Roman" w:cs="Times New Roman"/>
          <w:sz w:val="24"/>
        </w:rPr>
        <w:t xml:space="preserve"> og </w:t>
      </w:r>
      <w:r>
        <w:rPr>
          <w:rFonts w:ascii="Consolas" w:hAnsi="Consolas" w:cs="Consolas"/>
          <w:sz w:val="20"/>
          <w:shd w:val="clear" w:color="auto" w:fill="F4F4F4"/>
        </w:rPr>
        <w:t>max_iter=300</w:t>
      </w:r>
      <w:r>
        <w:rPr>
          <w:rFonts w:ascii="Times New Roman" w:hAnsi="Times New Roman" w:cs="Times New Roman"/>
          <w:sz w:val="24"/>
        </w:rPr>
        <w:t xml:space="preserve"> for robust initialisering.</w:t>
      </w:r>
    </w:p>
    <w:p>
      <w:pPr>
        <w:spacing w:line="360" w:lineRule="auto"/>
        <w:jc w:val="both"/>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jc w:val="both"/>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jc w:val="both"/>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tilpasses utelukkende til treningsdataene og transformerer deretter begge sett. KMeans-modellen trenes kun på treningsdataene. Testsettet evaluerer klyngestrukturens generaliserbarhet.</w:t>
      </w:r>
    </w:p>
    <w:p>
      <w:pPr>
        <w:spacing w:line="360" w:lineRule="auto"/>
        <w:jc w:val="both"/>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 (Rousseeuw, 1987):</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jc w:val="both"/>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Scorer over 0,3 regnes som akseptable for eksplorativ analyse (Ketkar &amp; Vaidya, 2014). Silhouette beregnes separat for trenings- og testdata; et lavere testresultat enn treningsresultat er normalt, men et vesentlig fall vil indikere overfit.</w:t>
      </w:r>
    </w:p>
    <w:p>
      <w:pPr>
        <w:spacing w:line="360" w:lineRule="auto"/>
        <w:jc w:val="both"/>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Identifiseringen er deterministisk: for hver klynge </w:t>
      </w:r>
      <m:oMath>
        <m:r>
          <m:t>k</m:t>
        </m:r>
      </m:oMath>
      <w:r>
        <w:rPr>
          <w:rFonts w:ascii="Times New Roman" w:hAnsi="Times New Roman" w:cs="Times New Roman"/>
          <w:sz w:val="24"/>
        </w:rPr>
        <w:t xml:space="preserve"> beregnes to rangeringer – </w:t>
      </w:r>
      <m:oMath>
        <m:r>
          <m:rPr>
            <m:nor/>
          </m:rPr>
          <m:t>rang</m:t>
        </m:r>
        <m:r>
          <m:t>(</m:t>
        </m:r>
        <m:sSub>
          <m:e>
            <m:acc>
              <m:accPr>
                <m:chr m:val="―"/>
              </m:accPr>
              <m:e>
                <m:r>
                  <m:rPr>
                    <m:nor/>
                  </m:rPr>
                  <m:t>CV</m:t>
                </m:r>
              </m:e>
            </m:acc>
          </m:e>
          <m:sub>
            <m:r>
              <m:t>k</m:t>
            </m:r>
          </m:sub>
        </m:sSub>
        <m:r>
          <m:t>)</m:t>
        </m:r>
      </m:oMath>
      <w:r>
        <w:rPr>
          <w:rFonts w:ascii="Times New Roman" w:hAnsi="Times New Roman" w:cs="Times New Roman"/>
          <w:sz w:val="24"/>
        </w:rPr>
        <w:t xml:space="preserve"> stigende og </w:t>
      </w:r>
      <m:oMath>
        <m:r>
          <m:rPr>
            <m:nor/>
          </m:rPr>
          <m:t>rang</m:t>
        </m:r>
        <m:r>
          <m:t>(</m:t>
        </m:r>
        <m:sSub>
          <m:e>
            <m:acc>
              <m:accPr>
                <m:chr m:val="―"/>
              </m:accPr>
              <m:e>
                <m:r>
                  <m:t>v</m:t>
                </m:r>
              </m:e>
            </m:acc>
          </m:e>
          <m:sub>
            <m:r>
              <m:t>k</m:t>
            </m:r>
          </m:sub>
        </m:sSub>
        <m:r>
          <m:t>)</m:t>
        </m:r>
      </m:oMath>
      <w:r>
        <w:rPr>
          <w:rFonts w:ascii="Times New Roman" w:hAnsi="Times New Roman" w:cs="Times New Roman"/>
          <w:sz w:val="24"/>
        </w:rPr>
        <w:t xml:space="preserve"> synkende – og klyngen med lavest rangsum velges:</w:t>
      </w:r>
    </w:p>
    <w:p>
      <w:pPr>
        <w:spacing w:line="360" w:lineRule="auto"/>
        <w:jc w:val="center"/>
      </w:pPr>
      <m:oMath>
        <m:sSup>
          <m:e>
            <m:r>
              <m:t>k</m:t>
            </m:r>
          </m:e>
          <m:sup>
            <m:r>
              <m:t>*</m:t>
            </m:r>
          </m:sup>
        </m:sSup>
        <m:r>
          <m:t>=</m:t>
        </m:r>
        <m:r>
          <m:rPr>
            <m:sty m:val="p"/>
          </m:rPr>
          <m:t>\arg</m:t>
        </m:r>
        <m:sSub>
          <m:e>
            <m:r>
              <m:t>min</m:t>
            </m:r>
          </m:e>
          <m:sub>
            <m:r>
              <m:t>k</m:t>
            </m:r>
          </m:sub>
        </m:sSub>
        <m:r>
          <m:t>[</m:t>
        </m:r>
        <m:r>
          <m:rPr>
            <m:nor/>
          </m:rPr>
          <m:t>rang</m:t>
        </m:r>
        <m:r>
          <m:t>(</m:t>
        </m:r>
        <m:sSub>
          <m:e>
            <m:acc>
              <m:accPr>
                <m:chr m:val="―"/>
              </m:accPr>
              <m:e>
                <m:r>
                  <m:rPr>
                    <m:nor/>
                  </m:rPr>
                  <m:t>CV</m:t>
                </m:r>
              </m:e>
            </m:acc>
          </m:e>
          <m:sub>
            <m:r>
              <m:t>k</m:t>
            </m:r>
          </m:sub>
        </m:sSub>
        <m:r>
          <m:t>↑)+</m:t>
        </m:r>
        <m:r>
          <m:rPr>
            <m:nor/>
          </m:rPr>
          <m:t>rang</m:t>
        </m:r>
        <m:r>
          <m:t>(</m:t>
        </m:r>
        <m:sSub>
          <m:e>
            <m:acc>
              <m:accPr>
                <m:chr m:val="―"/>
              </m:accPr>
              <m:e>
                <m:r>
                  <m:t>v</m:t>
                </m:r>
              </m:e>
            </m:acc>
          </m:e>
          <m:sub>
            <m:r>
              <m:t>k</m:t>
            </m:r>
          </m:sub>
        </m:sSub>
        <m:r>
          <m:t>↓)]</m:t>
        </m:r>
      </m:oMath>
    </w:p>
    <w:p>
      <w:pPr>
        <w:spacing w:line="360" w:lineRule="auto"/>
        <w:jc w:val="both"/>
      </w:pPr>
      <w:r>
        <w:rPr>
          <w:rFonts w:ascii="Times New Roman" w:hAnsi="Times New Roman" w:cs="Times New Roman"/>
          <w:sz w:val="24"/>
        </w:rPr>
        <w:t xml:space="preserve">K\_OVERFØR er altså klyngen med lavest gjennomsnittlig CV (stabilt forbruksmønster) og høyest gjennomsnittlig artikkelverdi. Implementasjonen benytter </w:t>
      </w:r>
      <w:r>
        <w:rPr>
          <w:rFonts w:ascii="Consolas" w:hAnsi="Consolas" w:cs="Consolas"/>
          <w:sz w:val="20"/>
          <w:shd w:val="clear" w:color="auto" w:fill="F4F4F4"/>
        </w:rPr>
        <w:t>pandas.Series.rank()</w:t>
      </w:r>
      <w:r>
        <w:rPr>
          <w:rFonts w:ascii="Times New Roman" w:hAnsi="Times New Roman" w:cs="Times New Roman"/>
          <w:sz w:val="24"/>
        </w:rPr>
        <w:t xml:space="preserve"> på klyngeprofilens CV- og verdikolonner (se Vedlegg B). Ettersom </w:t>
      </w:r>
      <m:oMath>
        <m:d>
          <m:dPr>
            <m:begChr m:val="|"/>
            <m:sepChr m:val=""/>
            <m:endChr m:val="|"/>
          </m:dPr>
          <m:e>
            <m:r>
              <m:t>Δ</m:t>
            </m:r>
            <m:r>
              <m:t>T</m:t>
            </m:r>
            <m:r>
              <m:t>C</m:t>
            </m:r>
          </m:e>
        </m:d>
      </m:oMath>
      <w:r>
        <w:rPr>
          <w:rFonts w:ascii="Times New Roman" w:hAnsi="Times New Roman" w:cs="Times New Roman"/>
          <w:sz w:val="24"/>
        </w:rPr>
        <w:t xml:space="preserve"> inngår i featurevektoren, påvirker den klyngestrukturen indirekte: artikler med høyt kostnadsavvik tenderer mot samme klynge som artikler med høy verdi og lav CV. Fordi K\_OVERFØR-definisjonen bygger på de samme dimensjonene (verdi og forbruksstabilitet) som ABC/XYZ-klassifiseringen, fungerer klyngetilhørigheten i praksis som et bekreftende støttefilter snarere enn som et uavhengig empirisk signal. Klyngeanalysens merverdi ligger i at den grupperer artikler multivariat uten forhåndsdefinerte terskler, og dermed kan fange profiler som terskelbasert klassifisering alene ikke identifiserer.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jc w:val="both"/>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Regelmotor: 8 beslutningsregler i prioritert rekkefølge.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b w:val="0"/>
                <w:sz w:val="22"/>
              </w:rPr>
              <w:t>R1</w:t>
            </w:r>
          </w:p>
        </w:tc>
        <w:tc>
          <w:tcPr>
            <w:tcW w:type="dxa" w:w="2192"/>
          </w:tcPr>
          <w:p>
            <w:r/>
            <w:r>
              <w:rPr>
                <w:rFonts w:ascii="Times New Roman" w:hAnsi="Times New Roman"/>
                <w:b w:val="0"/>
                <w:sz w:val="22"/>
              </w:rPr>
              <w:t>XYZ = Z (uavh. av ABC)</w:t>
            </w:r>
          </w:p>
        </w:tc>
        <w:tc>
          <w:tcPr>
            <w:tcW w:type="dxa" w:w="2192"/>
          </w:tcPr>
          <w:p>
            <w:r/>
            <w:r>
              <w:rPr>
                <w:rFonts w:ascii="Times New Roman" w:hAnsi="Times New Roman"/>
                <w:b w:val="0"/>
                <w:sz w:val="22"/>
              </w:rPr>
              <w:t>BEHOLD_LOKALT</w:t>
            </w:r>
          </w:p>
        </w:tc>
        <w:tc>
          <w:tcPr>
            <w:tcW w:type="dxa" w:w="2192"/>
          </w:tcPr>
          <w:p>
            <w:r/>
            <w:r>
              <w:rPr>
                <w:rFonts w:ascii="Times New Roman" w:hAnsi="Times New Roman"/>
                <w:b w:val="0"/>
                <w:sz w:val="22"/>
              </w:rPr>
              <w:t>Uforutsigbart forbruk → uegnet for APL</w:t>
            </w:r>
          </w:p>
        </w:tc>
      </w:tr>
      <w:tr>
        <w:tc>
          <w:tcPr>
            <w:tcW w:type="dxa" w:w="2192"/>
          </w:tcPr>
          <w:p>
            <w:r/>
            <w:r>
              <w:rPr>
                <w:rFonts w:ascii="Times New Roman" w:hAnsi="Times New Roman"/>
                <w:b w:val="0"/>
                <w:sz w:val="22"/>
              </w:rPr>
              <w:t>R2</w:t>
            </w:r>
          </w:p>
        </w:tc>
        <w:tc>
          <w:tcPr>
            <w:tcW w:type="dxa" w:w="2192"/>
          </w:tcPr>
          <w:p>
            <w:r/>
            <w:r>
              <w:rPr>
                <w:rFonts w:ascii="Times New Roman" w:hAnsi="Times New Roman"/>
                <w:b w:val="0"/>
                <w:sz w:val="22"/>
              </w:rPr>
              <w:t>ABC = C og XYZ = Y</w:t>
            </w:r>
          </w:p>
        </w:tc>
        <w:tc>
          <w:tcPr>
            <w:tcW w:type="dxa" w:w="2192"/>
          </w:tcPr>
          <w:p>
            <w:r/>
            <w:r>
              <w:rPr>
                <w:rFonts w:ascii="Times New Roman" w:hAnsi="Times New Roman"/>
                <w:b w:val="0"/>
                <w:sz w:val="22"/>
              </w:rPr>
              <w:t>BEHOLD_LOKALT</w:t>
            </w:r>
          </w:p>
        </w:tc>
        <w:tc>
          <w:tcPr>
            <w:tcW w:type="dxa" w:w="2192"/>
          </w:tcPr>
          <w:p>
            <w:r/>
            <w:r>
              <w:rPr>
                <w:rFonts w:ascii="Times New Roman" w:hAnsi="Times New Roman"/>
                <w:b w:val="0"/>
                <w:sz w:val="22"/>
              </w:rPr>
              <w:t>Lav verdi + moderat variasjon</w:t>
            </w:r>
          </w:p>
        </w:tc>
      </w:tr>
      <w:tr>
        <w:tc>
          <w:tcPr>
            <w:tcW w:type="dxa" w:w="2192"/>
          </w:tcPr>
          <w:p>
            <w:r/>
            <w:r>
              <w:rPr>
                <w:rFonts w:ascii="Times New Roman" w:hAnsi="Times New Roman"/>
                <w:b w:val="0"/>
                <w:sz w:val="22"/>
              </w:rPr>
              <w:t>R3</w:t>
            </w:r>
          </w:p>
        </w:tc>
        <w:tc>
          <w:tcPr>
            <w:tcW w:type="dxa" w:w="2192"/>
          </w:tcPr>
          <w:p>
            <w:r/>
            <w:r>
              <w:rPr>
                <w:rFonts w:ascii="Times New Roman" w:hAnsi="Times New Roman"/>
                <w:b w:val="0"/>
                <w:sz w:val="22"/>
              </w:rPr>
              <w:t>ABC ∈ {A, B} og XYZ = X og EOQ = FOR_MANGE</w:t>
            </w:r>
          </w:p>
        </w:tc>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Sterkeste signal: høy verdi, stabilt, overbestilt</w:t>
            </w:r>
          </w:p>
        </w:tc>
      </w:tr>
      <w:tr>
        <w:tc>
          <w:tcPr>
            <w:tcW w:type="dxa" w:w="2192"/>
          </w:tcPr>
          <w:p>
            <w:r/>
            <w:r>
              <w:rPr>
                <w:rFonts w:ascii="Times New Roman" w:hAnsi="Times New Roman"/>
                <w:b w:val="0"/>
                <w:sz w:val="22"/>
              </w:rPr>
              <w:t>R4</w:t>
            </w:r>
          </w:p>
        </w:tc>
        <w:tc>
          <w:tcPr>
            <w:tcW w:type="dxa" w:w="2192"/>
          </w:tcPr>
          <w:p>
            <w:r/>
            <w:r>
              <w:rPr>
                <w:rFonts w:ascii="Times New Roman" w:hAnsi="Times New Roman"/>
                <w:b w:val="0"/>
                <w:sz w:val="22"/>
              </w:rPr>
              <w:t>ABC ∈ {A, B} og XYZ = X og K_OVERFØR</w:t>
            </w:r>
          </w:p>
        </w:tc>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Høy verdi, stabilt, klyngeprofil bekrefter</w:t>
            </w:r>
          </w:p>
        </w:tc>
      </w:tr>
      <w:tr>
        <w:tc>
          <w:tcPr>
            <w:tcW w:type="dxa" w:w="2192"/>
          </w:tcPr>
          <w:p>
            <w:r/>
            <w:r>
              <w:rPr>
                <w:rFonts w:ascii="Times New Roman" w:hAnsi="Times New Roman"/>
                <w:b w:val="0"/>
                <w:sz w:val="22"/>
              </w:rPr>
              <w:t>R5</w:t>
            </w:r>
          </w:p>
        </w:tc>
        <w:tc>
          <w:tcPr>
            <w:tcW w:type="dxa" w:w="2192"/>
          </w:tcPr>
          <w:p>
            <w:r/>
            <w:r>
              <w:rPr>
                <w:rFonts w:ascii="Times New Roman" w:hAnsi="Times New Roman"/>
                <w:b w:val="0"/>
                <w:sz w:val="22"/>
              </w:rPr>
              <w:t>ABC ∈ {A, B} og XYZ = Y og K_OVERFØR</w:t>
            </w:r>
          </w:p>
        </w:tc>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Høy verdi, moderat variasjon, klyngeprofil bekrefter</w:t>
            </w:r>
          </w:p>
        </w:tc>
      </w:tr>
      <w:tr>
        <w:tc>
          <w:tcPr>
            <w:tcW w:type="dxa" w:w="2192"/>
          </w:tcPr>
          <w:p>
            <w:r/>
            <w:r>
              <w:rPr>
                <w:rFonts w:ascii="Times New Roman" w:hAnsi="Times New Roman"/>
                <w:b w:val="0"/>
                <w:sz w:val="22"/>
              </w:rPr>
              <w:t>R6</w:t>
            </w:r>
          </w:p>
        </w:tc>
        <w:tc>
          <w:tcPr>
            <w:tcW w:type="dxa" w:w="2192"/>
          </w:tcPr>
          <w:p>
            <w:r/>
            <w:r>
              <w:rPr>
                <w:rFonts w:ascii="Times New Roman" w:hAnsi="Times New Roman"/>
                <w:b w:val="0"/>
                <w:sz w:val="22"/>
              </w:rPr>
              <w:t>ABC ∈ {A, B} og XYZ = X</w:t>
            </w:r>
          </w:p>
        </w:tc>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Høy verdi, stabilt, men ikke K_OVERFØR</w:t>
            </w:r>
          </w:p>
        </w:tc>
      </w:tr>
      <w:tr>
        <w:tc>
          <w:tcPr>
            <w:tcW w:type="dxa" w:w="2192"/>
          </w:tcPr>
          <w:p>
            <w:r/>
            <w:r>
              <w:rPr>
                <w:rFonts w:ascii="Times New Roman" w:hAnsi="Times New Roman"/>
                <w:b w:val="0"/>
                <w:sz w:val="22"/>
              </w:rPr>
              <w:t>R7</w:t>
            </w:r>
          </w:p>
        </w:tc>
        <w:tc>
          <w:tcPr>
            <w:tcW w:type="dxa" w:w="2192"/>
          </w:tcPr>
          <w:p>
            <w:r/>
            <w:r>
              <w:rPr>
                <w:rFonts w:ascii="Times New Roman" w:hAnsi="Times New Roman"/>
                <w:b w:val="0"/>
                <w:sz w:val="22"/>
              </w:rPr>
              <w:t>ABC ∈ {A, B} og XYZ = Y</w:t>
            </w:r>
          </w:p>
        </w:tc>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Høy verdi, moderat variasjon, ikke K_OVERFØR</w:t>
            </w:r>
          </w:p>
        </w:tc>
      </w:tr>
      <w:tr>
        <w:tc>
          <w:tcPr>
            <w:tcW w:type="dxa" w:w="2192"/>
          </w:tcPr>
          <w:p>
            <w:r/>
            <w:r>
              <w:rPr>
                <w:rFonts w:ascii="Times New Roman" w:hAnsi="Times New Roman"/>
                <w:b w:val="0"/>
                <w:sz w:val="22"/>
              </w:rPr>
              <w:t>R8</w:t>
            </w:r>
          </w:p>
        </w:tc>
        <w:tc>
          <w:tcPr>
            <w:tcW w:type="dxa" w:w="2192"/>
          </w:tcPr>
          <w:p>
            <w:r/>
            <w:r>
              <w:rPr>
                <w:rFonts w:ascii="Times New Roman" w:hAnsi="Times New Roman"/>
                <w:b w:val="0"/>
                <w:sz w:val="22"/>
              </w:rPr>
              <w:t>Ellers (inkl. C + X)</w:t>
            </w:r>
          </w:p>
        </w:tc>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Uklart signalmønster eller lav verdi</w:t>
            </w:r>
          </w:p>
        </w:tc>
      </w:tr>
    </w:tbl>
    <w:p>
      <w:pPr>
        <w:spacing w:line="360" w:lineRule="auto"/>
        <w:jc w:val="both"/>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jc w:val="both"/>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Regelmotorens sekvensielle beslutningsflyt er illustrert i Figur 5.</w:t>
      </w:r>
    </w:p>
    <w:p>
      <w:r>
        <w:drawing>
          <wp:inline xmlns:a="http://schemas.openxmlformats.org/drawingml/2006/main" xmlns:pic="http://schemas.openxmlformats.org/drawingml/2006/picture">
            <wp:extent cx="5400000" cy="4225574"/>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2557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Regelmotor: sekvensiell beslutningsflyt for HVFS-anbefaling (R1–R8). Generert med støtte fra Claude.</w:t>
      </w:r>
    </w:p>
    <w:p>
      <w:pPr>
        <w:spacing w:line="360" w:lineRule="auto"/>
        <w:jc w:val="both"/>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 Kapittel 6 beskriver den analytiske gjennomføringen av modellene fra kapittel 5 på de 709 artiklene i LGORT 3001.</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jc w:val="both"/>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w:t>
      </w:r>
      <m:oMath>
        <m:sSub>
          <m:e>
            <m:r>
              <m:rPr>
                <m:nor/>
              </m:rPr>
              <m:t>UNIT\_PRICE</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jc w:val="both"/>
      </w:pPr>
      <w:r>
        <w:rPr>
          <w:rFonts w:ascii="Times New Roman" w:hAnsi="Times New Roman" w:cs="Times New Roman"/>
          <w:sz w:val="24"/>
        </w:rPr>
        <w:t>Pareto-grensene 80 % og 95 % ble deretter lagt på den kumulative kurven, som vist i Figur 6 nedenfor. Kurvens form – en bratt stigning tidlig etterfulgt av en lang flat hale – bekrefter at verdikonsentrasjonen følger Pareto-mønsteret. Endelig fordeling mellom A-, B- og C-artikler presenteres i Tabell 8 i kapittel 7.</w:t>
      </w:r>
    </w:p>
    <w:p>
      <w:r>
        <w:drawing>
          <wp:inline xmlns:a="http://schemas.openxmlformats.org/drawingml/2006/main" xmlns:pic="http://schemas.openxmlformats.org/drawingml/2006/picture">
            <wp:extent cx="5400000" cy="1795574"/>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9557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ABC Pareto-kurve: kumulativ verdiandel for 709 artikler rangert etter årsverdi, med grenser ved 80 % (A/B) og 95 % (B/C). Generert med støtte fra Claude.</w:t>
      </w:r>
    </w:p>
    <w:p>
      <w:pPr>
        <w:pStyle w:val="Overskrift2"/>
      </w:pPr>
      <w:r>
        <w:rPr>
          <w:rFonts w:ascii="Times New Roman" w:hAnsi="Times New Roman"/>
          <w:color w:val="000000"/>
          <w:sz w:val="32"/>
        </w:rPr>
        <w:t>6.2 XYZ-klassifisering</w:t>
      </w:r>
    </w:p>
    <w:p>
      <w:pPr>
        <w:spacing w:line="360" w:lineRule="auto"/>
        <w:jc w:val="both"/>
      </w:pPr>
      <w:r>
        <w:rPr>
          <w:rFonts w:ascii="Times New Roman" w:hAnsi="Times New Roman" w:cs="Times New Roman"/>
          <w:sz w:val="24"/>
        </w:rPr>
        <w:t xml:space="preserve">XYZ-klassifiseringen tok utgangspunkt i månedlig MSEG-forbruk per artikkel over den 24 måneder lange analyseperioden, med bevegelsestypene 201 og 647. For hver artikkel ble variasjonskoeffisienten </w:t>
      </w:r>
      <m:oMath>
        <m:sSub>
          <m:e>
            <m:r>
              <m:rPr>
                <m:nor/>
              </m:rPr>
              <m:t>CV</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jc w:val="both"/>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resultatene presenteres i Tabell 10 i kapittel 7.</w:t>
      </w:r>
    </w:p>
    <w:p>
      <w:pPr>
        <w:spacing w:line="360" w:lineRule="auto"/>
        <w:jc w:val="both"/>
      </w:pPr>
      <w:r>
        <w:rPr>
          <w:rFonts w:ascii="Times New Roman" w:hAnsi="Times New Roman" w:cs="Times New Roman"/>
          <w:sz w:val="24"/>
        </w:rPr>
        <w:t>ABC- og XYZ-klassifiseringene ble kombinert til en ni-felts kryssmatrise, som vist i Figur 7. Matrisen gir et øyeblikksbilde av populasjonens sammensetning langs de to dimensjonene og danner inngangsdataene for regelmotoren i avsnitt 6.5. Fullstendige celleantall er gjengitt i Figur 7; univariate XYZ-fordelinger presenteres i Tabell 9 i kapittel 7.</w:t>
      </w:r>
    </w:p>
    <w:p>
      <w:r>
        <w:drawing>
          <wp:inline xmlns:a="http://schemas.openxmlformats.org/drawingml/2006/main" xmlns:pic="http://schemas.openxmlformats.org/drawingml/2006/picture">
            <wp:extent cx="5400000" cy="4642684"/>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464268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ABC/XYZ-kryssmatrise: antall artikler per kombinasjon (687 klassifiserte artikler, WERKS 3300 / LGORT 3001). Generert med støtte fra Claude.</w:t>
      </w:r>
    </w:p>
    <w:p>
      <w:pPr>
        <w:spacing w:line="360" w:lineRule="auto"/>
        <w:jc w:val="both"/>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jc w:val="both"/>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jc w:val="both"/>
      </w:pPr>
      <w:r>
        <w:rPr>
          <w:rFonts w:ascii="Times New Roman" w:hAnsi="Times New Roman" w:cs="Times New Roman"/>
          <w:sz w:val="24"/>
        </w:rPr>
        <w:t xml:space="preserve">Det relative frekvensavviket </w:t>
      </w:r>
      <m:oMath>
        <m:sSub>
          <m:e>
            <m:r>
              <m:rPr>
                <m:nor/>
              </m:rPr>
              <m:t>FREQ\_AVVIK</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8 nedenfor. Terskelen </w:t>
      </w:r>
      <m:oMath>
        <m:sSub>
          <m:e>
            <m:r>
              <m:t>τ</m:t>
            </m:r>
          </m:e>
          <m:sub>
            <m:r>
              <m:t>f</m:t>
            </m:r>
          </m:sub>
        </m:sSub>
        <m:r>
          <m:t>=1</m:t>
        </m:r>
        <m:r>
          <m:t>,</m:t>
        </m:r>
        <m:r>
          <m:t>5</m:t>
        </m:r>
      </m:oMath>
      <w:r>
        <w:rPr>
          <w:rFonts w:ascii="Times New Roman" w:hAnsi="Times New Roman" w:cs="Times New Roman"/>
          <w:sz w:val="24"/>
        </w:rPr>
        <w:t xml:space="preserve"> (dvs. FREQ\_AVVIK &gt; 0,5)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8197"/>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EOQ-avvik: relativ frekvensavvik (FREQ_AVVIK) for artikler med tilstrekkelige data, med terskel ved τ_f = 1,5. Generert med støtte fra Claude.</w:t>
      </w:r>
    </w:p>
    <w:p>
      <w:pPr>
        <w:spacing w:line="360" w:lineRule="auto"/>
        <w:jc w:val="both"/>
      </w:pPr>
      <w:r>
        <w:rPr>
          <w:rFonts w:ascii="Times New Roman" w:hAnsi="Times New Roman" w:cs="Times New Roman"/>
          <w:sz w:val="24"/>
        </w:rPr>
        <w:t xml:space="preserve">Figur 8 viser at fordelingen er sterkt høyreskjev: majoriteten av artiklene med EOQ-data har et FREQ\_AVVIK over terskelen på 0,5. Fordeling etter avviksstatus og totale </w:t>
      </w:r>
      <m:oMath>
        <m:r>
          <m:t>ΔTC</m:t>
        </m:r>
      </m:oMath>
      <w:r>
        <w:rPr>
          <w:rFonts w:ascii="Times New Roman" w:hAnsi="Times New Roman" w:cs="Times New Roman"/>
          <w:sz w:val="24"/>
        </w:rPr>
        <w:t>-summer presenteres i Tabell 11 og avsnitt 7.3.</w:t>
      </w:r>
    </w:p>
    <w:p>
      <w:pPr>
        <w:pStyle w:val="Overskrift2"/>
      </w:pPr>
      <w:r>
        <w:rPr>
          <w:rFonts w:ascii="Times New Roman" w:hAnsi="Times New Roman"/>
          <w:color w:val="000000"/>
          <w:sz w:val="32"/>
        </w:rPr>
        <w:t>6.4 K-means klyngeanalyse</w:t>
      </w:r>
    </w:p>
    <w:p>
      <w:pPr>
        <w:spacing w:line="360" w:lineRule="auto"/>
        <w:jc w:val="both"/>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n=389</m:t>
        </m:r>
      </m:oMath>
      <w:r>
        <w:rPr>
          <w:rFonts w:ascii="Times New Roman" w:hAnsi="Times New Roman" w:cs="Times New Roman"/>
          <w:sz w:val="24"/>
        </w:rPr>
        <w:t>) og et testsett (</w:t>
      </w:r>
      <m:oMath>
        <m:r>
          <m:t>n=98</m:t>
        </m:r>
      </m:oMath>
      <w:r>
        <w:rPr>
          <w:rFonts w:ascii="Times New Roman" w:hAnsi="Times New Roman" w:cs="Times New Roman"/>
          <w:sz w:val="24"/>
        </w:rPr>
        <w:t xml:space="preserve">) med </w:t>
      </w:r>
      <w:r>
        <w:rPr>
          <w:rFonts w:ascii="Consolas" w:hAnsi="Consolas" w:cs="Consolas"/>
          <w:sz w:val="20"/>
          <w:shd w:val="clear" w:color="auto" w:fill="F4F4F4"/>
        </w:rPr>
        <w:t>random_state=42</w:t>
      </w:r>
      <w:r>
        <w:rPr>
          <w:rFonts w:ascii="Times New Roman" w:hAnsi="Times New Roman" w:cs="Times New Roman"/>
          <w:sz w:val="24"/>
        </w:rPr>
        <w:t>. StandardScaler ble tilpasset utelukkende til treningsdataene og deretter brukt til å transformere begge sett, slik at informasjon fra testsettet ikke lekker inn i skaleringen.</w:t>
      </w:r>
    </w:p>
    <w:p>
      <w:pPr>
        <w:spacing w:line="360" w:lineRule="auto"/>
        <w:jc w:val="both"/>
      </w:pPr>
      <w:r>
        <w:rPr>
          <w:rFonts w:ascii="Times New Roman" w:hAnsi="Times New Roman" w:cs="Times New Roman"/>
          <w:b/>
          <w:sz w:val="24"/>
        </w:rPr>
        <w:t>K-valg via silhouette.</w:t>
      </w:r>
      <w:r>
        <w:rPr>
          <w:rFonts w:ascii="Times New Roman" w:hAnsi="Times New Roman" w:cs="Times New Roman"/>
          <w:sz w:val="24"/>
        </w:rPr>
        <w:t xml:space="preserve"> KMeans-modellen ble trent for </w:t>
      </w:r>
      <m:oMath>
        <m:r>
          <m:t>K=2</m:t>
        </m:r>
      </m:oMath>
      <w:r>
        <w:rPr>
          <w:rFonts w:ascii="Times New Roman" w:hAnsi="Times New Roman" w:cs="Times New Roman"/>
          <w:sz w:val="24"/>
        </w:rPr>
        <w:t>, 3, 4, 5, 6 og 7 på treningsdataene. For hvert K ble gjennomsnittlig silhouette-score beregnet. Figur 9 viser silhouette-profilen over K-søket.</w:t>
      </w:r>
    </w:p>
    <w:p>
      <w:r>
        <w:drawing>
          <wp:inline xmlns:a="http://schemas.openxmlformats.org/drawingml/2006/main" xmlns:pic="http://schemas.openxmlformats.org/drawingml/2006/picture">
            <wp:extent cx="5400000" cy="2147647"/>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47647"/>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Silhouette-score for K = 2–7 (treningsdata, n = 389): K = 3 gir høyest score (0,383). Generert med støtte fra Claude.</w:t>
      </w:r>
    </w:p>
    <w:p>
      <w:pPr>
        <w:spacing w:line="360" w:lineRule="auto"/>
        <w:jc w:val="both"/>
      </w:pPr>
      <m:oMath>
        <m:r>
          <m:t>K=3</m:t>
        </m:r>
      </m:oMath>
      <w:r>
        <w:rPr>
          <w:rFonts w:ascii="Times New Roman" w:hAnsi="Times New Roman" w:cs="Times New Roman"/>
          <w:sz w:val="24"/>
        </w:rPr>
        <w:t xml:space="preserve"> ga høyest silhouette-score og ble valgt som det endelige antallet klynger. For </w:t>
      </w:r>
      <m:oMath>
        <m:r>
          <m:t>K=4</m:t>
        </m:r>
      </m:oMath>
      <w:r>
        <w:rPr>
          <w:rFonts w:ascii="Times New Roman" w:hAnsi="Times New Roman" w:cs="Times New Roman"/>
          <w:sz w:val="24"/>
        </w:rPr>
        <w:t xml:space="preserve"> og oppover falt scoren monotont, noe som indikerer at tre klynger representerer den mest naturlige gruppestrukturen i featurerommet. KMeans-modellen ble trent endelig med </w:t>
      </w:r>
      <m:oMath>
        <m:r>
          <m:t>K=3</m:t>
        </m:r>
      </m:oMath>
      <w:r>
        <w:rPr>
          <w:rFonts w:ascii="Times New Roman" w:hAnsi="Times New Roman" w:cs="Times New Roman"/>
          <w:sz w:val="24"/>
        </w:rPr>
        <w:t xml:space="preserve">, </w:t>
      </w:r>
      <w:r>
        <w:rPr>
          <w:rFonts w:ascii="Consolas" w:hAnsi="Consolas" w:cs="Consolas"/>
          <w:sz w:val="20"/>
          <w:shd w:val="clear" w:color="auto" w:fill="F4F4F4"/>
        </w:rPr>
        <w:t>n_init=50</w:t>
      </w:r>
      <w:r>
        <w:rPr>
          <w:rFonts w:ascii="Times New Roman" w:hAnsi="Times New Roman" w:cs="Times New Roman"/>
          <w:sz w:val="24"/>
        </w:rPr>
        <w:t xml:space="preserve"> og </w:t>
      </w:r>
      <w:r>
        <w:rPr>
          <w:rFonts w:ascii="Consolas" w:hAnsi="Consolas" w:cs="Consolas"/>
          <w:sz w:val="20"/>
          <w:shd w:val="clear" w:color="auto" w:fill="F4F4F4"/>
        </w:rPr>
        <w:t>max_iter=300</w:t>
      </w:r>
      <w:r>
        <w:rPr>
          <w:rFonts w:ascii="Times New Roman" w:hAnsi="Times New Roman" w:cs="Times New Roman"/>
          <w:sz w:val="24"/>
        </w:rPr>
        <w:t>. Testdataene (</w:t>
      </w:r>
      <m:oMath>
        <m:r>
          <m:t>n=98</m:t>
        </m:r>
      </m:oMath>
      <w:r>
        <w:rPr>
          <w:rFonts w:ascii="Times New Roman" w:hAnsi="Times New Roman" w:cs="Times New Roman"/>
          <w:sz w:val="24"/>
        </w:rPr>
        <w:t>) ble predikert til nærmeste sentroid for å evaluere generaliserbarhet. Silhouette-scorer for trenings- og testdata presenteres i avsnitt 7.4.</w:t>
      </w:r>
    </w:p>
    <w:p>
      <w:pPr>
        <w:spacing w:line="360" w:lineRule="auto"/>
        <w:jc w:val="both"/>
      </w:pPr>
      <w:r>
        <w:rPr>
          <w:rFonts w:ascii="Times New Roman" w:hAnsi="Times New Roman" w:cs="Times New Roman"/>
          <w:b/>
          <w:sz w:val="24"/>
        </w:rPr>
        <w:t>Klyngeprofiler.</w:t>
      </w:r>
      <w:r>
        <w:rPr>
          <w:rFonts w:ascii="Times New Roman" w:hAnsi="Times New Roman" w:cs="Times New Roman"/>
          <w:sz w:val="24"/>
        </w:rPr>
        <w:t xml:space="preserve"> Etter at KMeans-modellen var trent på treningsdataene, ble samtlige 487 artikler med tilstrekkelig data predikert til én av de tre klyngene. Klyngene ble karakterisert langs de tre featuredimensjonene, og én klynge ble identifisert som K\_OVERFØR basert på lavest gjennomsnittlig CV (stabilt forbruksmønster) og høyest gjennomsnittlig artikkelverdi. Figur 10 visualiserer klyngestrukturen i en todimensjonal projeksjon langs de to mest informative featurene.</w:t>
      </w:r>
    </w:p>
    <w:p>
      <w:r>
        <w:drawing>
          <wp:inline xmlns:a="http://schemas.openxmlformats.org/drawingml/2006/main" xmlns:pic="http://schemas.openxmlformats.org/drawingml/2006/picture">
            <wp:extent cx="5400000" cy="2679344"/>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67934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K-means klyngeresultat (K = 3): artikler plottet langs z(ln CV) og z(ln verdi), farge etter klynge. K_OVERFØR-klyngen er markert med stjerne (★). Generert med støtte fra Claude.</w:t>
      </w:r>
    </w:p>
    <w:p>
      <w:pPr>
        <w:spacing w:line="360" w:lineRule="auto"/>
        <w:jc w:val="both"/>
      </w:pPr>
      <w:r>
        <w:rPr>
          <w:rFonts w:ascii="Times New Roman" w:hAnsi="Times New Roman" w:cs="Times New Roman"/>
          <w:sz w:val="24"/>
        </w:rPr>
        <w:t>Figur 10 viser at de tre klyngene er rimelig separert i featurerommet, særlig K\_OVERFØR-klyngen (grønn), som skiller seg fra de øvrige ved sin kombinasjon av lav CV og høy verdi. For å tolke innholdet i hver klynge viser Figur 11 gjennomsnittlig standardisert verdi per feature for de tre klyngene.</w:t>
      </w:r>
    </w:p>
    <w:p>
      <w:r>
        <w:drawing>
          <wp:inline xmlns:a="http://schemas.openxmlformats.org/drawingml/2006/main" xmlns:pic="http://schemas.openxmlformats.org/drawingml/2006/picture">
            <wp:extent cx="5400000" cy="2998537"/>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998537"/>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Klyngeprofiler for K-means (K=3): gjennomsnittlig z-score per feature per klynge. K\_OVERFØR-klyngen (grønn) kjennetegnes av lav CV og høy verdi. Generert med støtte fra Claude.</w:t>
      </w:r>
    </w:p>
    <w:p>
      <w:pPr>
        <w:spacing w:line="360" w:lineRule="auto"/>
        <w:jc w:val="both"/>
      </w:pPr>
      <w:r>
        <w:rPr>
          <w:rFonts w:ascii="Times New Roman" w:hAnsi="Times New Roman" w:cs="Times New Roman"/>
          <w:sz w:val="24"/>
        </w:rPr>
        <w:t xml:space="preserve">Figur 11 bekrefter at K\_OVERFØR-klyngen har den laveste CV-verdien og den høyeste verdiprofilen.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jc w:val="both"/>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jc w:val="both"/>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jc w:val="both"/>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12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819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Regelmotor og besparelsesanalyse: fordeling av HVFS-anbefalinger (venstre) og estimert årlig EOQ-besparelse under tre realiseringsscenarier (høyre). 709 artikler, WERKS 3300 / LGORT 3001. Generert med støtte fra Claude.</w:t>
      </w:r>
    </w:p>
    <w:p>
      <w:pPr>
        <w:spacing w:line="360" w:lineRule="auto"/>
        <w:jc w:val="both"/>
      </w:pPr>
      <w:r>
        <w:rPr>
          <w:rFonts w:ascii="Times New Roman" w:hAnsi="Times New Roman" w:cs="Times New Roman"/>
          <w:sz w:val="24"/>
        </w:rPr>
        <w:t>Figur 12 viser den endelige fordelingen av HVFS-anbefalinger og estimert besparelse.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ABC-fordeling: antall artikler og verdiandel per klasse (n = 709).</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b w:val="0"/>
                <w:sz w:val="22"/>
              </w:rPr>
              <w:t>A</w:t>
            </w:r>
          </w:p>
        </w:tc>
        <w:tc>
          <w:tcPr>
            <w:tcW w:type="dxa" w:w="2192"/>
          </w:tcPr>
          <w:p>
            <w:r/>
            <w:r>
              <w:rPr>
                <w:rFonts w:ascii="Times New Roman" w:hAnsi="Times New Roman"/>
                <w:b w:val="0"/>
                <w:sz w:val="22"/>
              </w:rPr>
              <w:t>182</w:t>
            </w:r>
          </w:p>
        </w:tc>
        <w:tc>
          <w:tcPr>
            <w:tcW w:type="dxa" w:w="2192"/>
          </w:tcPr>
          <w:p>
            <w:r/>
            <w:r>
              <w:rPr>
                <w:rFonts w:ascii="Times New Roman" w:hAnsi="Times New Roman"/>
                <w:b w:val="0"/>
                <w:sz w:val="22"/>
              </w:rPr>
              <w:t>25,7 %</w:t>
            </w:r>
          </w:p>
        </w:tc>
        <w:tc>
          <w:tcPr>
            <w:tcW w:type="dxa" w:w="2192"/>
          </w:tcPr>
          <w:p>
            <w:r/>
            <w:r>
              <w:rPr>
                <w:rFonts w:ascii="Times New Roman" w:hAnsi="Times New Roman"/>
                <w:b w:val="0"/>
                <w:sz w:val="22"/>
              </w:rPr>
              <w:t>0–80 %</w:t>
            </w:r>
          </w:p>
        </w:tc>
      </w:tr>
      <w:tr>
        <w:tc>
          <w:tcPr>
            <w:tcW w:type="dxa" w:w="2192"/>
          </w:tcPr>
          <w:p>
            <w:r/>
            <w:r>
              <w:rPr>
                <w:rFonts w:ascii="Times New Roman" w:hAnsi="Times New Roman"/>
                <w:b w:val="0"/>
                <w:sz w:val="22"/>
              </w:rPr>
              <w:t>B</w:t>
            </w:r>
          </w:p>
        </w:tc>
        <w:tc>
          <w:tcPr>
            <w:tcW w:type="dxa" w:w="2192"/>
          </w:tcPr>
          <w:p>
            <w:r/>
            <w:r>
              <w:rPr>
                <w:rFonts w:ascii="Times New Roman" w:hAnsi="Times New Roman"/>
                <w:b w:val="0"/>
                <w:sz w:val="22"/>
              </w:rPr>
              <w:t>184</w:t>
            </w:r>
          </w:p>
        </w:tc>
        <w:tc>
          <w:tcPr>
            <w:tcW w:type="dxa" w:w="2192"/>
          </w:tcPr>
          <w:p>
            <w:r/>
            <w:r>
              <w:rPr>
                <w:rFonts w:ascii="Times New Roman" w:hAnsi="Times New Roman"/>
                <w:b w:val="0"/>
                <w:sz w:val="22"/>
              </w:rPr>
              <w:t>26,0 %</w:t>
            </w:r>
          </w:p>
        </w:tc>
        <w:tc>
          <w:tcPr>
            <w:tcW w:type="dxa" w:w="2192"/>
          </w:tcPr>
          <w:p>
            <w:r/>
            <w:r>
              <w:rPr>
                <w:rFonts w:ascii="Times New Roman" w:hAnsi="Times New Roman"/>
                <w:b w:val="0"/>
                <w:sz w:val="22"/>
              </w:rPr>
              <w:t>80–95 %</w:t>
            </w:r>
          </w:p>
        </w:tc>
      </w:tr>
      <w:tr>
        <w:tc>
          <w:tcPr>
            <w:tcW w:type="dxa" w:w="2192"/>
          </w:tcPr>
          <w:p>
            <w:r/>
            <w:r>
              <w:rPr>
                <w:rFonts w:ascii="Times New Roman" w:hAnsi="Times New Roman"/>
                <w:b w:val="0"/>
                <w:sz w:val="22"/>
              </w:rPr>
              <w:t>C</w:t>
            </w:r>
          </w:p>
        </w:tc>
        <w:tc>
          <w:tcPr>
            <w:tcW w:type="dxa" w:w="2192"/>
          </w:tcPr>
          <w:p>
            <w:r/>
            <w:r>
              <w:rPr>
                <w:rFonts w:ascii="Times New Roman" w:hAnsi="Times New Roman"/>
                <w:b w:val="0"/>
                <w:sz w:val="22"/>
              </w:rPr>
              <w:t>338</w:t>
            </w:r>
          </w:p>
        </w:tc>
        <w:tc>
          <w:tcPr>
            <w:tcW w:type="dxa" w:w="2192"/>
          </w:tcPr>
          <w:p>
            <w:r/>
            <w:r>
              <w:rPr>
                <w:rFonts w:ascii="Times New Roman" w:hAnsi="Times New Roman"/>
                <w:b w:val="0"/>
                <w:sz w:val="22"/>
              </w:rPr>
              <w:t>47,7 %</w:t>
            </w:r>
          </w:p>
        </w:tc>
        <w:tc>
          <w:tcPr>
            <w:tcW w:type="dxa" w:w="2192"/>
          </w:tcPr>
          <w:p>
            <w:r/>
            <w:r>
              <w:rPr>
                <w:rFonts w:ascii="Times New Roman" w:hAnsi="Times New Roman"/>
                <w:b w:val="0"/>
                <w:sz w:val="22"/>
              </w:rPr>
              <w:t>95–100 %</w:t>
            </w:r>
          </w:p>
        </w:tc>
      </w:tr>
      <w:tr>
        <w:tc>
          <w:tcPr>
            <w:tcW w:type="dxa" w:w="2192"/>
          </w:tcPr>
          <w:p>
            <w:r/>
            <w:r>
              <w:rPr>
                <w:rFonts w:ascii="Times New Roman" w:hAnsi="Times New Roman"/>
                <w:b w:val="0"/>
                <w:sz w:val="22"/>
              </w:rPr>
              <w:t>Ikke klassifisert</w:t>
            </w:r>
          </w:p>
        </w:tc>
        <w:tc>
          <w:tcPr>
            <w:tcW w:type="dxa" w:w="2192"/>
          </w:tcPr>
          <w:p>
            <w:r/>
            <w:r>
              <w:rPr>
                <w:rFonts w:ascii="Times New Roman" w:hAnsi="Times New Roman"/>
                <w:b w:val="0"/>
                <w:sz w:val="22"/>
              </w:rPr>
              <w:t>5</w:t>
            </w:r>
          </w:p>
        </w:tc>
        <w:tc>
          <w:tcPr>
            <w:tcW w:type="dxa" w:w="2192"/>
          </w:tcPr>
          <w:p>
            <w:r/>
            <w:r>
              <w:rPr>
                <w:rFonts w:ascii="Times New Roman" w:hAnsi="Times New Roman"/>
                <w:b w:val="0"/>
                <w:sz w:val="22"/>
              </w:rPr>
              <w:t>0,7 %</w:t>
            </w:r>
          </w:p>
        </w:tc>
        <w:tc>
          <w:tcPr>
            <w:tcW w:type="dxa" w:w="2192"/>
          </w:tcPr>
          <w:p>
            <w:r/>
            <w:r>
              <w:rPr>
                <w:rFonts w:ascii="Times New Roman" w:hAnsi="Times New Roman"/>
                <w:b w:val="0"/>
                <w:sz w:val="22"/>
              </w:rPr>
              <w:t>Mangler verdidata</w:t>
            </w:r>
          </w:p>
        </w:tc>
      </w:tr>
      <w:tr>
        <w:tc>
          <w:tcPr>
            <w:tcW w:type="dxa" w:w="2192"/>
          </w:tcPr>
          <w:p>
            <w:r/>
            <w:r>
              <w:rPr>
                <w:rFonts w:ascii="Times New Roman" w:hAnsi="Times New Roman"/>
                <w:b/>
                <w:sz w:val="22"/>
              </w:rPr>
              <w:t>Totalt</w:t>
            </w:r>
          </w:p>
        </w:tc>
        <w:tc>
          <w:tcPr>
            <w:tcW w:type="dxa" w:w="2192"/>
          </w:tcPr>
          <w:p>
            <w:r/>
            <w:r>
              <w:rPr>
                <w:rFonts w:ascii="Times New Roman" w:hAnsi="Times New Roman"/>
                <w:b/>
                <w:sz w:val="22"/>
              </w:rPr>
              <w:t>709</w:t>
            </w:r>
          </w:p>
        </w:tc>
        <w:tc>
          <w:tcPr>
            <w:tcW w:type="dxa" w:w="2192"/>
          </w:tcPr>
          <w:p>
            <w:r/>
            <w:r>
              <w:rPr>
                <w:rFonts w:ascii="Times New Roman" w:hAnsi="Times New Roman"/>
                <w:b/>
                <w:sz w:val="22"/>
              </w:rPr>
              <w:t>100 %</w:t>
            </w:r>
          </w:p>
        </w:tc>
        <w:tc>
          <w:tcPr>
            <w:tcW w:type="dxa" w:w="2192"/>
          </w:tcPr>
          <w:p>
            <w:r/>
          </w:p>
        </w:tc>
      </w:tr>
    </w:tbl>
    <w:p>
      <w:pPr>
        <w:spacing w:line="360" w:lineRule="auto"/>
        <w:jc w:val="both"/>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6 i kapittel 6.</w:t>
      </w:r>
    </w:p>
    <w:p>
      <w:pPr>
        <w:pStyle w:val="Overskrift2"/>
      </w:pPr>
      <w:r>
        <w:rPr>
          <w:rFonts w:ascii="Times New Roman" w:hAnsi="Times New Roman"/>
          <w:color w:val="000000"/>
          <w:sz w:val="32"/>
        </w:rPr>
        <w:t>7.2 XYZ-resultater</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XYZ-fordeling: antall artikler per klasse (n = 687 klassifiserte).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b w:val="0"/>
                <w:sz w:val="22"/>
              </w:rPr>
              <w:t>X (stabilt)</w:t>
            </w:r>
          </w:p>
        </w:tc>
        <w:tc>
          <w:tcPr>
            <w:tcW w:type="dxa" w:w="2192"/>
          </w:tcPr>
          <w:p>
            <w:r/>
            <w:r>
              <w:rPr>
                <w:rFonts w:ascii="Times New Roman" w:hAnsi="Times New Roman"/>
                <w:b w:val="0"/>
                <w:sz w:val="22"/>
              </w:rPr>
              <w:t>CV &lt; 0,5</w:t>
            </w:r>
          </w:p>
        </w:tc>
        <w:tc>
          <w:tcPr>
            <w:tcW w:type="dxa" w:w="2192"/>
          </w:tcPr>
          <w:p>
            <w:r/>
            <w:r>
              <w:rPr>
                <w:rFonts w:ascii="Times New Roman" w:hAnsi="Times New Roman"/>
                <w:b w:val="0"/>
                <w:sz w:val="22"/>
              </w:rPr>
              <w:t>350</w:t>
            </w:r>
          </w:p>
        </w:tc>
        <w:tc>
          <w:tcPr>
            <w:tcW w:type="dxa" w:w="2192"/>
          </w:tcPr>
          <w:p>
            <w:r/>
            <w:r>
              <w:rPr>
                <w:rFonts w:ascii="Times New Roman" w:hAnsi="Times New Roman"/>
                <w:b w:val="0"/>
                <w:sz w:val="22"/>
              </w:rPr>
              <w:t>50,9 %</w:t>
            </w:r>
          </w:p>
        </w:tc>
      </w:tr>
      <w:tr>
        <w:tc>
          <w:tcPr>
            <w:tcW w:type="dxa" w:w="2192"/>
          </w:tcPr>
          <w:p>
            <w:r/>
            <w:r>
              <w:rPr>
                <w:rFonts w:ascii="Times New Roman" w:hAnsi="Times New Roman"/>
                <w:b w:val="0"/>
                <w:sz w:val="22"/>
              </w:rPr>
              <w:t>Y (moderat)</w:t>
            </w:r>
          </w:p>
        </w:tc>
        <w:tc>
          <w:tcPr>
            <w:tcW w:type="dxa" w:w="2192"/>
          </w:tcPr>
          <w:p>
            <w:r/>
            <w:r>
              <w:rPr>
                <w:rFonts w:ascii="Times New Roman" w:hAnsi="Times New Roman"/>
                <w:b w:val="0"/>
                <w:sz w:val="22"/>
              </w:rPr>
              <w:t>0,5 ≤ CV &lt; 1,0</w:t>
            </w:r>
          </w:p>
        </w:tc>
        <w:tc>
          <w:tcPr>
            <w:tcW w:type="dxa" w:w="2192"/>
          </w:tcPr>
          <w:p>
            <w:r/>
            <w:r>
              <w:rPr>
                <w:rFonts w:ascii="Times New Roman" w:hAnsi="Times New Roman"/>
                <w:b w:val="0"/>
                <w:sz w:val="22"/>
              </w:rPr>
              <w:t>193</w:t>
            </w:r>
          </w:p>
        </w:tc>
        <w:tc>
          <w:tcPr>
            <w:tcW w:type="dxa" w:w="2192"/>
          </w:tcPr>
          <w:p>
            <w:r/>
            <w:r>
              <w:rPr>
                <w:rFonts w:ascii="Times New Roman" w:hAnsi="Times New Roman"/>
                <w:b w:val="0"/>
                <w:sz w:val="22"/>
              </w:rPr>
              <w:t>28,1 %</w:t>
            </w:r>
          </w:p>
        </w:tc>
      </w:tr>
      <w:tr>
        <w:tc>
          <w:tcPr>
            <w:tcW w:type="dxa" w:w="2192"/>
          </w:tcPr>
          <w:p>
            <w:r/>
            <w:r>
              <w:rPr>
                <w:rFonts w:ascii="Times New Roman" w:hAnsi="Times New Roman"/>
                <w:b w:val="0"/>
                <w:sz w:val="22"/>
              </w:rPr>
              <w:t>Z (uregelmessig)</w:t>
            </w:r>
          </w:p>
        </w:tc>
        <w:tc>
          <w:tcPr>
            <w:tcW w:type="dxa" w:w="2192"/>
          </w:tcPr>
          <w:p>
            <w:r/>
            <w:r>
              <w:rPr>
                <w:rFonts w:ascii="Times New Roman" w:hAnsi="Times New Roman"/>
                <w:b w:val="0"/>
                <w:sz w:val="22"/>
              </w:rPr>
              <w:t>CV ≥ 1,0</w:t>
            </w:r>
          </w:p>
        </w:tc>
        <w:tc>
          <w:tcPr>
            <w:tcW w:type="dxa" w:w="2192"/>
          </w:tcPr>
          <w:p>
            <w:r/>
            <w:r>
              <w:rPr>
                <w:rFonts w:ascii="Times New Roman" w:hAnsi="Times New Roman"/>
                <w:b w:val="0"/>
                <w:sz w:val="22"/>
              </w:rPr>
              <w:t>144</w:t>
            </w:r>
          </w:p>
        </w:tc>
        <w:tc>
          <w:tcPr>
            <w:tcW w:type="dxa" w:w="2192"/>
          </w:tcPr>
          <w:p>
            <w:r/>
            <w:r>
              <w:rPr>
                <w:rFonts w:ascii="Times New Roman" w:hAnsi="Times New Roman"/>
                <w:b w:val="0"/>
                <w:sz w:val="22"/>
              </w:rPr>
              <w:t>20,9 %</w:t>
            </w:r>
          </w:p>
        </w:tc>
      </w:tr>
      <w:tr>
        <w:tc>
          <w:tcPr>
            <w:tcW w:type="dxa" w:w="2192"/>
          </w:tcPr>
          <w:p>
            <w:r/>
            <w:r>
              <w:rPr>
                <w:rFonts w:ascii="Times New Roman" w:hAnsi="Times New Roman"/>
                <w:b w:val="0"/>
                <w:sz w:val="22"/>
              </w:rPr>
              <w:t>Ikke klassifisert</w:t>
            </w:r>
          </w:p>
        </w:tc>
        <w:tc>
          <w:tcPr>
            <w:tcW w:type="dxa" w:w="2192"/>
          </w:tcPr>
          <w:p>
            <w:r/>
            <w:r>
              <w:rPr>
                <w:rFonts w:ascii="Times New Roman" w:hAnsi="Times New Roman"/>
                <w:b w:val="0"/>
                <w:sz w:val="22"/>
              </w:rPr>
              <w:t>–</w:t>
            </w:r>
          </w:p>
        </w:tc>
        <w:tc>
          <w:tcPr>
            <w:tcW w:type="dxa" w:w="2192"/>
          </w:tcPr>
          <w:p>
            <w:r/>
            <w:r>
              <w:rPr>
                <w:rFonts w:ascii="Times New Roman" w:hAnsi="Times New Roman"/>
                <w:b w:val="0"/>
                <w:sz w:val="22"/>
              </w:rPr>
              <w:t>22</w:t>
            </w:r>
          </w:p>
        </w:tc>
        <w:tc>
          <w:tcPr>
            <w:tcW w:type="dxa" w:w="2192"/>
          </w:tcPr>
          <w:p>
            <w:r/>
            <w:r>
              <w:rPr>
                <w:rFonts w:ascii="Times New Roman" w:hAnsi="Times New Roman"/>
                <w:b w:val="0"/>
                <w:sz w:val="22"/>
              </w:rPr>
              <w:t>–</w:t>
            </w:r>
          </w:p>
        </w:tc>
      </w:tr>
    </w:tbl>
    <w:p>
      <w:pPr>
        <w:spacing w:line="360" w:lineRule="auto"/>
        <w:jc w:val="both"/>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tyder på at en vesentlig andel av sortimentet har den forbruksstabiliteten som APL-leveransemodellen forutsetter (Fragapane et al., 2019). De 22 ikke-klassifiserte artiklene mangler tilstrekkelig forbrukshistorikk i MSEG (færre enn tre måneder med registrert forbruk) og er ekskludert fra XYZ-analysen for å unngå misvisende CV-estimater.</w:t>
      </w:r>
    </w:p>
    <w:p>
      <w:pPr>
        <w:spacing w:line="360" w:lineRule="auto"/>
        <w:jc w:val="both"/>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understreker at SAP-feltets ZZXYZ ikke er systematisk oppdatert og bør erstattes med beregnet CV-klasse som primær XYZ-indikator. ABC/XYZ-kryssmatrisen er presentert som Figur 7 i kapittel 6; fullstendige celleantall er gjengitt der.</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SAP ZZXYZ-validering: samsvar mellom systemklasse og beregnet CV-klasse (n = 375 artikler med data i begge kilder).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b w:val="0"/>
                <w:sz w:val="22"/>
              </w:rPr>
              <w:t>SAP X</w:t>
            </w:r>
          </w:p>
        </w:tc>
        <w:tc>
          <w:tcPr>
            <w:tcW w:type="dxa" w:w="1754"/>
          </w:tcPr>
          <w:p>
            <w:r/>
            <w:r>
              <w:rPr>
                <w:rFonts w:ascii="Times New Roman" w:hAnsi="Times New Roman"/>
                <w:b/>
                <w:sz w:val="22"/>
              </w:rPr>
              <w:t>94</w:t>
            </w:r>
          </w:p>
        </w:tc>
        <w:tc>
          <w:tcPr>
            <w:tcW w:type="dxa" w:w="1754"/>
          </w:tcPr>
          <w:p>
            <w:r/>
            <w:r>
              <w:rPr>
                <w:rFonts w:ascii="Times New Roman" w:hAnsi="Times New Roman"/>
                <w:b w:val="0"/>
                <w:sz w:val="22"/>
              </w:rPr>
              <w:t>65</w:t>
            </w:r>
          </w:p>
        </w:tc>
        <w:tc>
          <w:tcPr>
            <w:tcW w:type="dxa" w:w="1754"/>
          </w:tcPr>
          <w:p>
            <w:r/>
            <w:r>
              <w:rPr>
                <w:rFonts w:ascii="Times New Roman" w:hAnsi="Times New Roman"/>
                <w:b w:val="0"/>
                <w:sz w:val="22"/>
              </w:rPr>
              <w:t>59</w:t>
            </w:r>
          </w:p>
        </w:tc>
        <w:tc>
          <w:tcPr>
            <w:tcW w:type="dxa" w:w="1754"/>
          </w:tcPr>
          <w:p>
            <w:r/>
            <w:r>
              <w:rPr>
                <w:rFonts w:ascii="Times New Roman" w:hAnsi="Times New Roman"/>
                <w:b w:val="0"/>
                <w:sz w:val="22"/>
              </w:rPr>
              <w:t>218</w:t>
            </w:r>
          </w:p>
        </w:tc>
      </w:tr>
      <w:tr>
        <w:tc>
          <w:tcPr>
            <w:tcW w:type="dxa" w:w="1754"/>
          </w:tcPr>
          <w:p>
            <w:r/>
            <w:r>
              <w:rPr>
                <w:rFonts w:ascii="Times New Roman" w:hAnsi="Times New Roman"/>
                <w:b w:val="0"/>
                <w:sz w:val="22"/>
              </w:rPr>
              <w:t>SAP Y</w:t>
            </w:r>
          </w:p>
        </w:tc>
        <w:tc>
          <w:tcPr>
            <w:tcW w:type="dxa" w:w="1754"/>
          </w:tcPr>
          <w:p>
            <w:r/>
            <w:r>
              <w:rPr>
                <w:rFonts w:ascii="Times New Roman" w:hAnsi="Times New Roman"/>
                <w:b w:val="0"/>
                <w:sz w:val="22"/>
              </w:rPr>
              <w:t>99</w:t>
            </w:r>
          </w:p>
        </w:tc>
        <w:tc>
          <w:tcPr>
            <w:tcW w:type="dxa" w:w="1754"/>
          </w:tcPr>
          <w:p>
            <w:r/>
            <w:r>
              <w:rPr>
                <w:rFonts w:ascii="Times New Roman" w:hAnsi="Times New Roman"/>
                <w:b/>
                <w:sz w:val="22"/>
              </w:rPr>
              <w:t>31</w:t>
            </w:r>
          </w:p>
        </w:tc>
        <w:tc>
          <w:tcPr>
            <w:tcW w:type="dxa" w:w="1754"/>
          </w:tcPr>
          <w:p>
            <w:r/>
            <w:r>
              <w:rPr>
                <w:rFonts w:ascii="Times New Roman" w:hAnsi="Times New Roman"/>
                <w:b w:val="0"/>
                <w:sz w:val="22"/>
              </w:rPr>
              <w:t>20</w:t>
            </w:r>
          </w:p>
        </w:tc>
        <w:tc>
          <w:tcPr>
            <w:tcW w:type="dxa" w:w="1754"/>
          </w:tcPr>
          <w:p>
            <w:r/>
            <w:r>
              <w:rPr>
                <w:rFonts w:ascii="Times New Roman" w:hAnsi="Times New Roman"/>
                <w:b w:val="0"/>
                <w:sz w:val="22"/>
              </w:rPr>
              <w:t>150</w:t>
            </w:r>
          </w:p>
        </w:tc>
      </w:tr>
      <w:tr>
        <w:tc>
          <w:tcPr>
            <w:tcW w:type="dxa" w:w="1754"/>
          </w:tcPr>
          <w:p>
            <w:r/>
            <w:r>
              <w:rPr>
                <w:rFonts w:ascii="Times New Roman" w:hAnsi="Times New Roman"/>
                <w:b w:val="0"/>
                <w:sz w:val="22"/>
              </w:rPr>
              <w:t>SAP Z</w:t>
            </w:r>
          </w:p>
        </w:tc>
        <w:tc>
          <w:tcPr>
            <w:tcW w:type="dxa" w:w="1754"/>
          </w:tcPr>
          <w:p>
            <w:r/>
            <w:r>
              <w:rPr>
                <w:rFonts w:ascii="Times New Roman" w:hAnsi="Times New Roman"/>
                <w:b w:val="0"/>
                <w:sz w:val="22"/>
              </w:rPr>
              <w:t>6</w:t>
            </w:r>
          </w:p>
        </w:tc>
        <w:tc>
          <w:tcPr>
            <w:tcW w:type="dxa" w:w="1754"/>
          </w:tcPr>
          <w:p>
            <w:r/>
            <w:r>
              <w:rPr>
                <w:rFonts w:ascii="Times New Roman" w:hAnsi="Times New Roman"/>
                <w:b w:val="0"/>
                <w:sz w:val="22"/>
              </w:rPr>
              <w:t>1</w:t>
            </w:r>
          </w:p>
        </w:tc>
        <w:tc>
          <w:tcPr>
            <w:tcW w:type="dxa" w:w="1754"/>
          </w:tcPr>
          <w:p>
            <w:r/>
            <w:r>
              <w:rPr>
                <w:rFonts w:ascii="Times New Roman" w:hAnsi="Times New Roman"/>
                <w:b/>
                <w:sz w:val="22"/>
              </w:rPr>
              <w:t>0</w:t>
            </w:r>
          </w:p>
        </w:tc>
        <w:tc>
          <w:tcPr>
            <w:tcW w:type="dxa" w:w="1754"/>
          </w:tcPr>
          <w:p>
            <w:r/>
            <w:r>
              <w:rPr>
                <w:rFonts w:ascii="Times New Roman" w:hAnsi="Times New Roman"/>
                <w:b w:val="0"/>
                <w:sz w:val="22"/>
              </w:rPr>
              <w:t>7</w:t>
            </w:r>
          </w:p>
        </w:tc>
      </w:tr>
      <w:tr>
        <w:tc>
          <w:tcPr>
            <w:tcW w:type="dxa" w:w="1754"/>
          </w:tcPr>
          <w:p>
            <w:r/>
            <w:r>
              <w:rPr>
                <w:rFonts w:ascii="Times New Roman" w:hAnsi="Times New Roman"/>
                <w:b/>
                <w:sz w:val="22"/>
              </w:rPr>
              <w:t>Totalt samsvar</w:t>
            </w:r>
          </w:p>
        </w:tc>
        <w:tc>
          <w:tcPr>
            <w:tcW w:type="dxa" w:w="1754"/>
          </w:tcPr>
          <w:p>
            <w:r/>
          </w:p>
        </w:tc>
        <w:tc>
          <w:tcPr>
            <w:tcW w:type="dxa" w:w="1754"/>
          </w:tcPr>
          <w:p>
            <w:r/>
          </w:p>
        </w:tc>
        <w:tc>
          <w:tcPr>
            <w:tcW w:type="dxa" w:w="1754"/>
          </w:tcPr>
          <w:p>
            <w:r/>
          </w:p>
        </w:tc>
        <w:tc>
          <w:tcPr>
            <w:tcW w:type="dxa" w:w="1754"/>
          </w:tcPr>
          <w:p>
            <w:r/>
            <w:r>
              <w:rPr>
                <w:rFonts w:ascii="Times New Roman" w:hAnsi="Times New Roman"/>
                <w:b/>
                <w:sz w:val="22"/>
              </w:rPr>
              <w:t>125 / 375 (33 %)</w:t>
            </w:r>
          </w:p>
        </w:tc>
      </w:tr>
    </w:tbl>
    <w:p>
      <w:pPr>
        <w:pStyle w:val="Overskrift2"/>
      </w:pPr>
      <w:r>
        <w:rPr>
          <w:rFonts w:ascii="Times New Roman" w:hAnsi="Times New Roman"/>
          <w:color w:val="000000"/>
          <w:sz w:val="32"/>
        </w:rPr>
        <w:t>7.3 EOQ-avviksresultater</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EOQ-avviksresultater: fordeling av artikler etter ordrefrekvensavvik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b w:val="0"/>
                <w:sz w:val="22"/>
              </w:rPr>
              <w:t>FOR_MANGE_ORDRER</w:t>
            </w:r>
          </w:p>
        </w:tc>
        <w:tc>
          <w:tcPr>
            <w:tcW w:type="dxa" w:w="2192"/>
          </w:tcPr>
          <w:p>
            <w:r/>
            <w:r>
              <w:rPr>
                <w:rFonts w:ascii="Times New Roman" w:hAnsi="Times New Roman"/>
                <w:b w:val="0"/>
                <w:sz w:val="22"/>
              </w:rPr>
              <w:t>FREQ_AVVIK &gt; 0,5</w:t>
            </w:r>
          </w:p>
        </w:tc>
        <w:tc>
          <w:tcPr>
            <w:tcW w:type="dxa" w:w="2192"/>
          </w:tcPr>
          <w:p>
            <w:r/>
            <w:r>
              <w:rPr>
                <w:rFonts w:ascii="Times New Roman" w:hAnsi="Times New Roman"/>
                <w:b w:val="0"/>
                <w:sz w:val="22"/>
              </w:rPr>
              <w:t>356</w:t>
            </w:r>
          </w:p>
        </w:tc>
        <w:tc>
          <w:tcPr>
            <w:tcW w:type="dxa" w:w="2192"/>
          </w:tcPr>
          <w:p>
            <w:r/>
            <w:r>
              <w:rPr>
                <w:rFonts w:ascii="Times New Roman" w:hAnsi="Times New Roman"/>
                <w:b w:val="0"/>
                <w:sz w:val="22"/>
              </w:rPr>
              <w:t>73,1 %</w:t>
            </w:r>
          </w:p>
        </w:tc>
      </w:tr>
      <w:tr>
        <w:tc>
          <w:tcPr>
            <w:tcW w:type="dxa" w:w="2192"/>
          </w:tcPr>
          <w:p>
            <w:r/>
            <w:r>
              <w:rPr>
                <w:rFonts w:ascii="Times New Roman" w:hAnsi="Times New Roman"/>
                <w:b w:val="0"/>
                <w:sz w:val="22"/>
              </w:rPr>
              <w:t>OK</w:t>
            </w:r>
          </w:p>
        </w:tc>
        <w:tc>
          <w:tcPr>
            <w:tcW w:type="dxa" w:w="2192"/>
          </w:tcPr>
          <w:p>
            <w:r/>
            <w:r>
              <w:rPr>
                <w:rFonts w:ascii="Times New Roman" w:hAnsi="Times New Roman"/>
                <w:b w:val="0"/>
                <w:sz w:val="22"/>
              </w:rPr>
              <w:t>−0,5 ≤ FREQ_AVVIK ≤ 0,5</w:t>
            </w:r>
          </w:p>
        </w:tc>
        <w:tc>
          <w:tcPr>
            <w:tcW w:type="dxa" w:w="2192"/>
          </w:tcPr>
          <w:p>
            <w:r/>
            <w:r>
              <w:rPr>
                <w:rFonts w:ascii="Times New Roman" w:hAnsi="Times New Roman"/>
                <w:b w:val="0"/>
                <w:sz w:val="22"/>
              </w:rPr>
              <w:t>100</w:t>
            </w:r>
          </w:p>
        </w:tc>
        <w:tc>
          <w:tcPr>
            <w:tcW w:type="dxa" w:w="2192"/>
          </w:tcPr>
          <w:p>
            <w:r/>
            <w:r>
              <w:rPr>
                <w:rFonts w:ascii="Times New Roman" w:hAnsi="Times New Roman"/>
                <w:b w:val="0"/>
                <w:sz w:val="22"/>
              </w:rPr>
              <w:t>20,5 %</w:t>
            </w:r>
          </w:p>
        </w:tc>
      </w:tr>
      <w:tr>
        <w:tc>
          <w:tcPr>
            <w:tcW w:type="dxa" w:w="2192"/>
          </w:tcPr>
          <w:p>
            <w:r/>
            <w:r>
              <w:rPr>
                <w:rFonts w:ascii="Times New Roman" w:hAnsi="Times New Roman"/>
                <w:b w:val="0"/>
                <w:sz w:val="22"/>
              </w:rPr>
              <w:t>FOR_FÅ_ORDRER</w:t>
            </w:r>
          </w:p>
        </w:tc>
        <w:tc>
          <w:tcPr>
            <w:tcW w:type="dxa" w:w="2192"/>
          </w:tcPr>
          <w:p>
            <w:r/>
            <w:r>
              <w:rPr>
                <w:rFonts w:ascii="Times New Roman" w:hAnsi="Times New Roman"/>
                <w:b w:val="0"/>
                <w:sz w:val="22"/>
              </w:rPr>
              <w:t>FREQ_AVVIK &lt; −0,5</w:t>
            </w:r>
          </w:p>
        </w:tc>
        <w:tc>
          <w:tcPr>
            <w:tcW w:type="dxa" w:w="2192"/>
          </w:tcPr>
          <w:p>
            <w:r/>
            <w:r>
              <w:rPr>
                <w:rFonts w:ascii="Times New Roman" w:hAnsi="Times New Roman"/>
                <w:b w:val="0"/>
                <w:sz w:val="22"/>
              </w:rPr>
              <w:t>31</w:t>
            </w:r>
          </w:p>
        </w:tc>
        <w:tc>
          <w:tcPr>
            <w:tcW w:type="dxa" w:w="2192"/>
          </w:tcPr>
          <w:p>
            <w:r/>
            <w:r>
              <w:rPr>
                <w:rFonts w:ascii="Times New Roman" w:hAnsi="Times New Roman"/>
                <w:b w:val="0"/>
                <w:sz w:val="22"/>
              </w:rPr>
              <w:t>6,4 %</w:t>
            </w:r>
          </w:p>
        </w:tc>
      </w:tr>
      <w:tr>
        <w:tc>
          <w:tcPr>
            <w:tcW w:type="dxa" w:w="2192"/>
          </w:tcPr>
          <w:p>
            <w:r/>
            <w:r>
              <w:rPr>
                <w:rFonts w:ascii="Times New Roman" w:hAnsi="Times New Roman"/>
                <w:b/>
                <w:sz w:val="22"/>
              </w:rPr>
              <w:t>Totalt analysert</w:t>
            </w:r>
          </w:p>
        </w:tc>
        <w:tc>
          <w:tcPr>
            <w:tcW w:type="dxa" w:w="2192"/>
          </w:tcPr>
          <w:p>
            <w:r/>
          </w:p>
        </w:tc>
        <w:tc>
          <w:tcPr>
            <w:tcW w:type="dxa" w:w="2192"/>
          </w:tcPr>
          <w:p>
            <w:r/>
            <w:r>
              <w:rPr>
                <w:rFonts w:ascii="Times New Roman" w:hAnsi="Times New Roman"/>
                <w:b/>
                <w:sz w:val="22"/>
              </w:rPr>
              <w:t>487</w:t>
            </w:r>
          </w:p>
        </w:tc>
        <w:tc>
          <w:tcPr>
            <w:tcW w:type="dxa" w:w="2192"/>
          </w:tcPr>
          <w:p>
            <w:r/>
            <w:r>
              <w:rPr>
                <w:rFonts w:ascii="Times New Roman" w:hAnsi="Times New Roman"/>
                <w:b/>
                <w:sz w:val="22"/>
              </w:rPr>
              <w:t>100 %</w:t>
            </w:r>
          </w:p>
        </w:tc>
      </w:tr>
      <w:tr>
        <w:tc>
          <w:tcPr>
            <w:tcW w:type="dxa" w:w="2192"/>
          </w:tcPr>
          <w:p>
            <w:r/>
            <w:r>
              <w:rPr>
                <w:rFonts w:ascii="Times New Roman" w:hAnsi="Times New Roman"/>
                <w:b w:val="0"/>
                <w:sz w:val="22"/>
              </w:rPr>
              <w:t>Samlet ΔTC (alle 487)</w:t>
            </w:r>
          </w:p>
        </w:tc>
        <w:tc>
          <w:tcPr>
            <w:tcW w:type="dxa" w:w="2192"/>
          </w:tcPr>
          <w:p>
            <w:r/>
          </w:p>
        </w:tc>
        <w:tc>
          <w:tcPr>
            <w:tcW w:type="dxa" w:w="2192"/>
          </w:tcPr>
          <w:p>
            <w:r/>
            <w:r>
              <w:rPr>
                <w:rFonts w:ascii="Times New Roman" w:hAnsi="Times New Roman"/>
                <w:b/>
                <w:sz w:val="22"/>
              </w:rPr>
              <w:t>kr 2 333 441 / år</w:t>
            </w:r>
          </w:p>
        </w:tc>
        <w:tc>
          <w:tcPr>
            <w:tcW w:type="dxa" w:w="2192"/>
          </w:tcPr>
          <w:p>
            <w:r/>
          </w:p>
        </w:tc>
      </w:tr>
    </w:tbl>
    <w:p>
      <w:pPr>
        <w:spacing w:line="360" w:lineRule="auto"/>
        <w:jc w:val="both"/>
      </w:pPr>
      <w:r>
        <w:rPr>
          <w:rFonts w:ascii="Times New Roman" w:hAnsi="Times New Roman" w:cs="Times New Roman"/>
          <w:sz w:val="24"/>
        </w:rPr>
        <w:t>Av de 487 artiklene med tilstrekkelig data for EOQ-beregning har 356 artikler (73,1 %) en faktisk ordrefrekvens som overskrider EOQ-optimal frekvens med mer enn 50 % (</w:t>
      </w:r>
      <m:oMath>
        <m:sSub>
          <m:e>
            <m:r>
              <m:t>f</m:t>
            </m:r>
          </m:e>
          <m:sub>
            <m:r>
              <m:rPr>
                <m:nor/>
              </m:rPr>
              <m:t>obs</m:t>
            </m:r>
          </m:sub>
        </m:sSub>
        <m:r>
          <m:t>&gt;1</m:t>
        </m:r>
        <m:r>
          <m:t>,</m:t>
        </m:r>
        <m:r>
          <m:t>5·</m:t>
        </m:r>
        <m:sSup>
          <m:e>
            <m:r>
              <m:t>f</m:t>
            </m:r>
          </m:e>
          <m:sup>
            <m:r>
              <m:t>*</m:t>
            </m:r>
          </m:sup>
        </m:sSup>
      </m:oMath>
      <w:r>
        <w:rPr>
          <w:rFonts w:ascii="Times New Roman" w:hAnsi="Times New Roman" w:cs="Times New Roman"/>
          <w:sz w:val="24"/>
        </w:rPr>
        <w:t xml:space="preserve">), og er klassifisert som FOR\_MANGE\_ORDRER. 100 artikler (20,5 %) opererer innenfor akseptabelt avvik (OK), og 31 artikler (6,4 %) bestiller sjeldnere enn EOQ-optimalt (FOR\_FÅ\_ORDRER). Den høye andelen FOR\_MANGE\_ORDRER indikerer at bestillingspraksisen ved LGORT 3001 avviker vesentlig fra EOQ-optimalt nivå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jc w:val="both"/>
      </w:pPr>
      <w:r>
        <w:rPr>
          <w:rFonts w:ascii="Times New Roman" w:hAnsi="Times New Roman" w:cs="Times New Roman"/>
          <w:sz w:val="24"/>
        </w:rPr>
        <w:t xml:space="preserve">Det samlede teoretiske totalkostnadsavviket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realiserbare besparelsespotensialet, da kun artikler i OVERFØR\_HVFS-kategorien inngår i besparelsesberegningen (se avsnitt 7.6). Fordelingen av FREQ\_AVVIK er illustrert i Figur 8 i kapittel 6.</w:t>
      </w:r>
    </w:p>
    <w:p>
      <w:pPr>
        <w:pStyle w:val="Overskrift2"/>
      </w:pPr>
      <w:r>
        <w:rPr>
          <w:rFonts w:ascii="Times New Roman" w:hAnsi="Times New Roman"/>
          <w:color w:val="000000"/>
          <w:sz w:val="32"/>
        </w:rPr>
        <w:t>7.4 K-means klyngeresultater</w:t>
      </w:r>
    </w:p>
    <w:p>
      <w:pPr>
        <w:spacing w:line="360" w:lineRule="auto"/>
        <w:jc w:val="both"/>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n=389</m:t>
        </m:r>
      </m:oMath>
      <w:r>
        <w:rPr>
          <w:rFonts w:ascii="Times New Roman" w:hAnsi="Times New Roman" w:cs="Times New Roman"/>
          <w:sz w:val="24"/>
        </w:rPr>
        <w:t>) var 0,383, og på testdataene (</w:t>
      </w:r>
      <m:oMath>
        <m:r>
          <m:t>n=98</m:t>
        </m:r>
      </m:oMath>
      <w:r>
        <w:rPr>
          <w:rFonts w:ascii="Times New Roman" w:hAnsi="Times New Roman" w:cs="Times New Roman"/>
          <w:sz w:val="24"/>
        </w:rPr>
        <w:t>) var 0,368. Differansen mellom trenings- og testresultat er 0,015, noe som ikke indikerer vesentlig overfit. Klyngeprofiler er presentert i Tabell 12.</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K-means klyngeprofiler: gjennomsnittsverdier per klynge for de tre featurene (K = 3,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b w:val="0"/>
                <w:sz w:val="22"/>
              </w:rPr>
              <w:t>1</w:t>
            </w:r>
          </w:p>
        </w:tc>
        <w:tc>
          <w:tcPr>
            <w:tcW w:type="dxa" w:w="1461"/>
          </w:tcPr>
          <w:p>
            <w:r/>
            <w:r>
              <w:rPr>
                <w:rFonts w:ascii="Times New Roman" w:hAnsi="Times New Roman"/>
                <w:b w:val="0"/>
                <w:sz w:val="22"/>
              </w:rPr>
              <w:t>31</w:t>
            </w:r>
          </w:p>
        </w:tc>
        <w:tc>
          <w:tcPr>
            <w:tcW w:type="dxa" w:w="1461"/>
          </w:tcPr>
          <w:p>
            <w:r/>
            <w:r>
              <w:rPr>
                <w:rFonts w:ascii="Times New Roman" w:hAnsi="Times New Roman"/>
                <w:b w:val="0"/>
                <w:sz w:val="22"/>
              </w:rPr>
              <w:t>1,05</w:t>
            </w:r>
          </w:p>
        </w:tc>
        <w:tc>
          <w:tcPr>
            <w:tcW w:type="dxa" w:w="1461"/>
          </w:tcPr>
          <w:p>
            <w:r/>
            <w:r>
              <w:rPr>
                <w:rFonts w:ascii="Times New Roman" w:hAnsi="Times New Roman"/>
                <w:b w:val="0"/>
                <w:sz w:val="22"/>
              </w:rPr>
              <w:t>150</w:t>
            </w:r>
          </w:p>
        </w:tc>
        <w:tc>
          <w:tcPr>
            <w:tcW w:type="dxa" w:w="1461"/>
          </w:tcPr>
          <w:p>
            <w:r/>
            <w:r>
              <w:rPr>
                <w:rFonts w:ascii="Times New Roman" w:hAnsi="Times New Roman"/>
                <w:b w:val="0"/>
                <w:sz w:val="22"/>
              </w:rPr>
              <w:t>4 999</w:t>
            </w:r>
          </w:p>
        </w:tc>
        <w:tc>
          <w:tcPr>
            <w:tcW w:type="dxa" w:w="1461"/>
          </w:tcPr>
          <w:p>
            <w:r/>
            <w:r>
              <w:rPr>
                <w:rFonts w:ascii="Times New Roman" w:hAnsi="Times New Roman"/>
                <w:b w:val="0"/>
                <w:sz w:val="22"/>
              </w:rPr>
              <w:t>Lav verdi, høy variasjon</w:t>
            </w:r>
          </w:p>
        </w:tc>
      </w:tr>
      <w:tr>
        <w:tc>
          <w:tcPr>
            <w:tcW w:type="dxa" w:w="1461"/>
          </w:tcPr>
          <w:p>
            <w:r/>
            <w:r>
              <w:rPr>
                <w:rFonts w:ascii="Times New Roman" w:hAnsi="Times New Roman"/>
                <w:b w:val="0"/>
                <w:sz w:val="22"/>
              </w:rPr>
              <w:t>2</w:t>
            </w:r>
          </w:p>
        </w:tc>
        <w:tc>
          <w:tcPr>
            <w:tcW w:type="dxa" w:w="1461"/>
          </w:tcPr>
          <w:p>
            <w:r/>
            <w:r>
              <w:rPr>
                <w:rFonts w:ascii="Times New Roman" w:hAnsi="Times New Roman"/>
                <w:b w:val="0"/>
                <w:sz w:val="22"/>
              </w:rPr>
              <w:t>175</w:t>
            </w:r>
          </w:p>
        </w:tc>
        <w:tc>
          <w:tcPr>
            <w:tcW w:type="dxa" w:w="1461"/>
          </w:tcPr>
          <w:p>
            <w:r/>
            <w:r>
              <w:rPr>
                <w:rFonts w:ascii="Times New Roman" w:hAnsi="Times New Roman"/>
                <w:b w:val="0"/>
                <w:sz w:val="22"/>
              </w:rPr>
              <w:t>1,59</w:t>
            </w:r>
          </w:p>
        </w:tc>
        <w:tc>
          <w:tcPr>
            <w:tcW w:type="dxa" w:w="1461"/>
          </w:tcPr>
          <w:p>
            <w:r/>
            <w:r>
              <w:rPr>
                <w:rFonts w:ascii="Times New Roman" w:hAnsi="Times New Roman"/>
                <w:b w:val="0"/>
                <w:sz w:val="22"/>
              </w:rPr>
              <w:t>79 658</w:t>
            </w:r>
          </w:p>
        </w:tc>
        <w:tc>
          <w:tcPr>
            <w:tcW w:type="dxa" w:w="1461"/>
          </w:tcPr>
          <w:p>
            <w:r/>
            <w:r>
              <w:rPr>
                <w:rFonts w:ascii="Times New Roman" w:hAnsi="Times New Roman"/>
                <w:b w:val="0"/>
                <w:sz w:val="22"/>
              </w:rPr>
              <w:t>1 199</w:t>
            </w:r>
          </w:p>
        </w:tc>
        <w:tc>
          <w:tcPr>
            <w:tcW w:type="dxa" w:w="1461"/>
          </w:tcPr>
          <w:p>
            <w:r/>
            <w:r>
              <w:rPr>
                <w:rFonts w:ascii="Times New Roman" w:hAnsi="Times New Roman"/>
                <w:b w:val="0"/>
                <w:sz w:val="22"/>
              </w:rPr>
              <w:t>Middels verdi, svært variabelt</w:t>
            </w:r>
          </w:p>
        </w:tc>
      </w:tr>
      <w:tr>
        <w:tc>
          <w:tcPr>
            <w:tcW w:type="dxa" w:w="1461"/>
          </w:tcPr>
          <w:p>
            <w:r/>
            <w:r>
              <w:rPr>
                <w:rFonts w:ascii="Times New Roman" w:hAnsi="Times New Roman"/>
                <w:b w:val="0"/>
                <w:sz w:val="22"/>
              </w:rPr>
              <w:t>3 (K_OVERFØR)</w:t>
            </w:r>
          </w:p>
        </w:tc>
        <w:tc>
          <w:tcPr>
            <w:tcW w:type="dxa" w:w="1461"/>
          </w:tcPr>
          <w:p>
            <w:r/>
            <w:r>
              <w:rPr>
                <w:rFonts w:ascii="Times New Roman" w:hAnsi="Times New Roman"/>
                <w:b w:val="0"/>
                <w:sz w:val="22"/>
              </w:rPr>
              <w:t>281</w:t>
            </w:r>
          </w:p>
        </w:tc>
        <w:tc>
          <w:tcPr>
            <w:tcW w:type="dxa" w:w="1461"/>
          </w:tcPr>
          <w:p>
            <w:r/>
            <w:r>
              <w:rPr>
                <w:rFonts w:ascii="Times New Roman" w:hAnsi="Times New Roman"/>
                <w:b w:val="0"/>
                <w:sz w:val="22"/>
              </w:rPr>
              <w:t>0,47</w:t>
            </w:r>
          </w:p>
        </w:tc>
        <w:tc>
          <w:tcPr>
            <w:tcW w:type="dxa" w:w="1461"/>
          </w:tcPr>
          <w:p>
            <w:r/>
            <w:r>
              <w:rPr>
                <w:rFonts w:ascii="Times New Roman" w:hAnsi="Times New Roman"/>
                <w:b w:val="0"/>
                <w:sz w:val="22"/>
              </w:rPr>
              <w:t>167 267</w:t>
            </w:r>
          </w:p>
        </w:tc>
        <w:tc>
          <w:tcPr>
            <w:tcW w:type="dxa" w:w="1461"/>
          </w:tcPr>
          <w:p>
            <w:r/>
            <w:r>
              <w:rPr>
                <w:rFonts w:ascii="Times New Roman" w:hAnsi="Times New Roman"/>
                <w:b w:val="0"/>
                <w:sz w:val="22"/>
              </w:rPr>
              <w:t>7 005</w:t>
            </w:r>
          </w:p>
        </w:tc>
        <w:tc>
          <w:tcPr>
            <w:tcW w:type="dxa" w:w="1461"/>
          </w:tcPr>
          <w:p>
            <w:r/>
            <w:r>
              <w:rPr>
                <w:rFonts w:ascii="Times New Roman" w:hAnsi="Times New Roman"/>
                <w:b w:val="0"/>
                <w:sz w:val="22"/>
              </w:rPr>
              <w:t>Høy verdi, stabilt, høyt avvik</w:t>
            </w:r>
          </w:p>
        </w:tc>
      </w:tr>
    </w:tbl>
    <w:p>
      <w:pPr>
        <w:spacing w:line="360" w:lineRule="auto"/>
        <w:jc w:val="both"/>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jc w:val="both"/>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10 i kapittel 6.</w:t>
      </w:r>
    </w:p>
    <w:p>
      <w:pPr>
        <w:pStyle w:val="Overskrift2"/>
      </w:pPr>
      <w:r>
        <w:rPr>
          <w:rFonts w:ascii="Times New Roman" w:hAnsi="Times New Roman"/>
          <w:color w:val="000000"/>
          <w:sz w:val="32"/>
        </w:rPr>
        <w:t>7.5 Regelmotor og HVFS-anbefalinger</w:t>
      </w:r>
    </w:p>
    <w:p>
      <w:pPr>
        <w:spacing w:line="360" w:lineRule="auto"/>
        <w:jc w:val="both"/>
      </w:pPr>
      <w:r>
        <w:rPr>
          <w:rFonts w:ascii="Times New Roman" w:hAnsi="Times New Roman" w:cs="Times New Roman"/>
          <w:sz w:val="24"/>
        </w:rPr>
        <w:t>Regelmotoren produserte en anbefaling for samtlige 709 artikler. Fordelingen er presentert i Tabell 13.</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HVFS-anbefalinger fra regelmotor: fordeling per kategori (n = 709,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145</w:t>
            </w:r>
          </w:p>
        </w:tc>
        <w:tc>
          <w:tcPr>
            <w:tcW w:type="dxa" w:w="2192"/>
          </w:tcPr>
          <w:p>
            <w:r/>
            <w:r>
              <w:rPr>
                <w:rFonts w:ascii="Times New Roman" w:hAnsi="Times New Roman"/>
                <w:b w:val="0"/>
                <w:sz w:val="22"/>
              </w:rPr>
              <w:t>20,5 %</w:t>
            </w:r>
          </w:p>
        </w:tc>
        <w:tc>
          <w:tcPr>
            <w:tcW w:type="dxa" w:w="2192"/>
          </w:tcPr>
          <w:p>
            <w:r/>
            <w:r>
              <w:rPr>
                <w:rFonts w:ascii="Times New Roman" w:hAnsi="Times New Roman"/>
                <w:b w:val="0"/>
                <w:sz w:val="22"/>
              </w:rPr>
              <w:t>Anbefales overført til HVFS</w:t>
            </w:r>
          </w:p>
        </w:tc>
      </w:tr>
      <w:tr>
        <w:tc>
          <w:tcPr>
            <w:tcW w:type="dxa" w:w="2192"/>
          </w:tcPr>
          <w:p>
            <w:r/>
            <w:r>
              <w:rPr>
                <w:rFonts w:ascii="Times New Roman" w:hAnsi="Times New Roman"/>
                <w:b w:val="0"/>
                <w:sz w:val="22"/>
              </w:rPr>
              <w:t>BEHOLD_LOKALT</w:t>
            </w:r>
          </w:p>
        </w:tc>
        <w:tc>
          <w:tcPr>
            <w:tcW w:type="dxa" w:w="2192"/>
          </w:tcPr>
          <w:p>
            <w:r/>
            <w:r>
              <w:rPr>
                <w:rFonts w:ascii="Times New Roman" w:hAnsi="Times New Roman"/>
                <w:b w:val="0"/>
                <w:sz w:val="22"/>
              </w:rPr>
              <w:t>257</w:t>
            </w:r>
          </w:p>
        </w:tc>
        <w:tc>
          <w:tcPr>
            <w:tcW w:type="dxa" w:w="2192"/>
          </w:tcPr>
          <w:p>
            <w:r/>
            <w:r>
              <w:rPr>
                <w:rFonts w:ascii="Times New Roman" w:hAnsi="Times New Roman"/>
                <w:b w:val="0"/>
                <w:sz w:val="22"/>
              </w:rPr>
              <w:t>36,2 %</w:t>
            </w:r>
          </w:p>
        </w:tc>
        <w:tc>
          <w:tcPr>
            <w:tcW w:type="dxa" w:w="2192"/>
          </w:tcPr>
          <w:p>
            <w:r/>
            <w:r>
              <w:rPr>
                <w:rFonts w:ascii="Times New Roman" w:hAnsi="Times New Roman"/>
                <w:b w:val="0"/>
                <w:sz w:val="22"/>
              </w:rPr>
              <w:t>Beholdes lokalt (Z-klasse eller CY)</w:t>
            </w:r>
          </w:p>
        </w:tc>
      </w:tr>
      <w:tr>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284</w:t>
            </w:r>
          </w:p>
        </w:tc>
        <w:tc>
          <w:tcPr>
            <w:tcW w:type="dxa" w:w="2192"/>
          </w:tcPr>
          <w:p>
            <w:r/>
            <w:r>
              <w:rPr>
                <w:rFonts w:ascii="Times New Roman" w:hAnsi="Times New Roman"/>
                <w:b w:val="0"/>
                <w:sz w:val="22"/>
              </w:rPr>
              <w:t>40,1 %</w:t>
            </w:r>
          </w:p>
        </w:tc>
        <w:tc>
          <w:tcPr>
            <w:tcW w:type="dxa" w:w="2192"/>
          </w:tcPr>
          <w:p>
            <w:r/>
            <w:r>
              <w:rPr>
                <w:rFonts w:ascii="Times New Roman" w:hAnsi="Times New Roman"/>
                <w:b w:val="0"/>
                <w:sz w:val="22"/>
              </w:rPr>
              <w:t>Krever manuell vurdering</w:t>
            </w:r>
          </w:p>
        </w:tc>
      </w:tr>
      <w:tr>
        <w:tc>
          <w:tcPr>
            <w:tcW w:type="dxa" w:w="2192"/>
          </w:tcPr>
          <w:p>
            <w:r/>
            <w:r>
              <w:rPr>
                <w:rFonts w:ascii="Times New Roman" w:hAnsi="Times New Roman"/>
                <w:b w:val="0"/>
                <w:sz w:val="22"/>
              </w:rPr>
              <w:t>MANGLER_DATA</w:t>
            </w:r>
          </w:p>
        </w:tc>
        <w:tc>
          <w:tcPr>
            <w:tcW w:type="dxa" w:w="2192"/>
          </w:tcPr>
          <w:p>
            <w:r/>
            <w:r>
              <w:rPr>
                <w:rFonts w:ascii="Times New Roman" w:hAnsi="Times New Roman"/>
                <w:b w:val="0"/>
                <w:sz w:val="22"/>
              </w:rPr>
              <w:t>23</w:t>
            </w:r>
          </w:p>
        </w:tc>
        <w:tc>
          <w:tcPr>
            <w:tcW w:type="dxa" w:w="2192"/>
          </w:tcPr>
          <w:p>
            <w:r/>
            <w:r>
              <w:rPr>
                <w:rFonts w:ascii="Times New Roman" w:hAnsi="Times New Roman"/>
                <w:b w:val="0"/>
                <w:sz w:val="22"/>
              </w:rPr>
              <w:t>3,2 %</w:t>
            </w:r>
          </w:p>
        </w:tc>
        <w:tc>
          <w:tcPr>
            <w:tcW w:type="dxa" w:w="2192"/>
          </w:tcPr>
          <w:p>
            <w:r/>
            <w:r>
              <w:rPr>
                <w:rFonts w:ascii="Times New Roman" w:hAnsi="Times New Roman"/>
                <w:b w:val="0"/>
                <w:sz w:val="22"/>
              </w:rPr>
              <w:t>Utilstrekkelig data for klassifisering</w:t>
            </w:r>
          </w:p>
        </w:tc>
      </w:tr>
      <w:tr>
        <w:tc>
          <w:tcPr>
            <w:tcW w:type="dxa" w:w="2192"/>
          </w:tcPr>
          <w:p>
            <w:r/>
            <w:r>
              <w:rPr>
                <w:rFonts w:ascii="Times New Roman" w:hAnsi="Times New Roman"/>
                <w:b/>
                <w:sz w:val="22"/>
              </w:rPr>
              <w:t>Totalt</w:t>
            </w:r>
          </w:p>
        </w:tc>
        <w:tc>
          <w:tcPr>
            <w:tcW w:type="dxa" w:w="2192"/>
          </w:tcPr>
          <w:p>
            <w:r/>
            <w:r>
              <w:rPr>
                <w:rFonts w:ascii="Times New Roman" w:hAnsi="Times New Roman"/>
                <w:b/>
                <w:sz w:val="22"/>
              </w:rPr>
              <w:t>709</w:t>
            </w:r>
          </w:p>
        </w:tc>
        <w:tc>
          <w:tcPr>
            <w:tcW w:type="dxa" w:w="2192"/>
          </w:tcPr>
          <w:p>
            <w:r/>
            <w:r>
              <w:rPr>
                <w:rFonts w:ascii="Times New Roman" w:hAnsi="Times New Roman"/>
                <w:b/>
                <w:sz w:val="22"/>
              </w:rPr>
              <w:t>100 %</w:t>
            </w:r>
          </w:p>
        </w:tc>
        <w:tc>
          <w:tcPr>
            <w:tcW w:type="dxa" w:w="2192"/>
          </w:tcPr>
          <w:p>
            <w:r/>
          </w:p>
        </w:tc>
      </w:tr>
    </w:tbl>
    <w:p>
      <w:pPr>
        <w:spacing w:line="360" w:lineRule="auto"/>
        <w:jc w:val="both"/>
      </w:pPr>
      <w:r>
        <w:rPr>
          <w:rFonts w:ascii="Times New Roman" w:hAnsi="Times New Roman" w:cs="Times New Roman"/>
          <w:sz w:val="24"/>
        </w:rPr>
        <w:t>145 artikler (20,5 %) anbefales overført til HVFS. Denne gruppen består av artikler som tilfredsstiller ett eller flere av de positive overføringsskriteriene: R3 fanget 71 artikler (A/B + X + FOR\_MANGE\_ORDRER), R4 fanget 18 artikler (A/B + X + K\_OVERFØR), og R5 fanget 56 artikler (A/B + Y + K\_OVERFØR). Av de 145 overførte artiklene har 117 status FOR\_MANGE\_ORDRER og inngår dermed i besparelsesberegningen i avsnitt 7.6. De resterende 28 artiklene (alle 18 fra R4 og 10 fra R5) inngår ikke i besparelsesgrunnlaget fordi FOR\_MANGE\_ORDRER-flagget ikke er aktivert, men de anbefales overført fordi kombinasjonen av ABC/XYZ-profil og K\_OVERFØR-klyngetilhørighet oppfyller APL-egnethetskriteriet for sentralisering, jf. kap. 5.5.</w:t>
      </w:r>
    </w:p>
    <w:p>
      <w:pPr>
        <w:spacing w:line="360" w:lineRule="auto"/>
        <w:jc w:val="both"/>
      </w:pPr>
      <w:r>
        <w:rPr>
          <w:rFonts w:ascii="Times New Roman" w:hAnsi="Times New Roman" w:cs="Times New Roman"/>
          <w:sz w:val="24"/>
        </w:rPr>
        <w:t>257 artikler (36,2 %) beholdes lokalt, primært grunnet Z-klassifisering (R1: 143 artikler) eller CY-profil (R2: 114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For å gjøre gjennomgangen håndterbar anbefales en prioritert tilnærming: (a) start med CX-artiklene, som har stabilt forbruk og lav verdi og i mange tilfeller kan overføres med begrenset risiko; (b) gjennomgå deretter A/B-artikler med K\_OVERFØR-signal som ikke fanges av R3–R5; (c) adresser til slutt artiklene med blandede signaler. 23 artikler (3,2 %) mangler tilstrekkelig data for klassifisering – dette omfatter de 22 artiklene uten XYZ-klassifisering pluss én artikkel som mangler verdidata men har XYZ. Fordelingen er visualisert i Figur 12 i kapittel 6.</w:t>
      </w:r>
    </w:p>
    <w:p>
      <w:pPr>
        <w:pStyle w:val="Overskrift2"/>
      </w:pPr>
      <w:r>
        <w:rPr>
          <w:rFonts w:ascii="Times New Roman" w:hAnsi="Times New Roman"/>
          <w:color w:val="000000"/>
          <w:sz w:val="32"/>
        </w:rPr>
        <w:t>7.6 Besparelse og sensitivitet</w:t>
      </w:r>
    </w:p>
    <w:p>
      <w:pPr>
        <w:spacing w:line="360" w:lineRule="auto"/>
        <w:jc w:val="both"/>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Besparelsesestimater for tre scenarier: 117 artikler (OVERFØR\_HVFS ∩ FOR\_MANGE\_ORDRER), S = 750 NOK.</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b w:val="0"/>
                <w:sz w:val="22"/>
              </w:rPr>
              <w:t>Worst case</w:t>
            </w:r>
          </w:p>
        </w:tc>
        <w:tc>
          <w:tcPr>
            <w:tcW w:type="dxa" w:w="2923"/>
          </w:tcPr>
          <w:p>
            <w:r/>
            <w:r>
              <w:rPr>
                <w:rFonts w:ascii="Times New Roman" w:hAnsi="Times New Roman"/>
                <w:b w:val="0"/>
                <w:sz w:val="22"/>
              </w:rPr>
              <w:t>50 %</w:t>
            </w:r>
          </w:p>
        </w:tc>
        <w:tc>
          <w:tcPr>
            <w:tcW w:type="dxa" w:w="2923"/>
          </w:tcPr>
          <w:p>
            <w:r/>
            <w:r>
              <w:rPr>
                <w:rFonts w:ascii="Times New Roman" w:hAnsi="Times New Roman"/>
                <w:b w:val="0"/>
                <w:sz w:val="22"/>
              </w:rPr>
              <w:t>301 010</w:t>
            </w:r>
          </w:p>
        </w:tc>
      </w:tr>
      <w:tr>
        <w:tc>
          <w:tcPr>
            <w:tcW w:type="dxa" w:w="2923"/>
          </w:tcPr>
          <w:p>
            <w:r/>
            <w:r>
              <w:rPr>
                <w:rFonts w:ascii="Times New Roman" w:hAnsi="Times New Roman"/>
                <w:b/>
                <w:sz w:val="22"/>
              </w:rPr>
              <w:t>Base case</w:t>
            </w:r>
          </w:p>
        </w:tc>
        <w:tc>
          <w:tcPr>
            <w:tcW w:type="dxa" w:w="2923"/>
          </w:tcPr>
          <w:p>
            <w:r/>
            <w:r>
              <w:rPr>
                <w:rFonts w:ascii="Times New Roman" w:hAnsi="Times New Roman"/>
                <w:b/>
                <w:sz w:val="22"/>
              </w:rPr>
              <w:t>75 %</w:t>
            </w:r>
          </w:p>
        </w:tc>
        <w:tc>
          <w:tcPr>
            <w:tcW w:type="dxa" w:w="2923"/>
          </w:tcPr>
          <w:p>
            <w:r/>
            <w:r>
              <w:rPr>
                <w:rFonts w:ascii="Times New Roman" w:hAnsi="Times New Roman"/>
                <w:b/>
                <w:sz w:val="22"/>
              </w:rPr>
              <w:t>451 515</w:t>
            </w:r>
          </w:p>
        </w:tc>
      </w:tr>
      <w:tr>
        <w:tc>
          <w:tcPr>
            <w:tcW w:type="dxa" w:w="2923"/>
          </w:tcPr>
          <w:p>
            <w:r/>
            <w:r>
              <w:rPr>
                <w:rFonts w:ascii="Times New Roman" w:hAnsi="Times New Roman"/>
                <w:b w:val="0"/>
                <w:sz w:val="22"/>
              </w:rPr>
              <w:t>Best case</w:t>
            </w:r>
          </w:p>
        </w:tc>
        <w:tc>
          <w:tcPr>
            <w:tcW w:type="dxa" w:w="2923"/>
          </w:tcPr>
          <w:p>
            <w:r/>
            <w:r>
              <w:rPr>
                <w:rFonts w:ascii="Times New Roman" w:hAnsi="Times New Roman"/>
                <w:b w:val="0"/>
                <w:sz w:val="22"/>
              </w:rPr>
              <w:t>100 %</w:t>
            </w:r>
          </w:p>
        </w:tc>
        <w:tc>
          <w:tcPr>
            <w:tcW w:type="dxa" w:w="2923"/>
          </w:tcPr>
          <w:p>
            <w:r/>
            <w:r>
              <w:rPr>
                <w:rFonts w:ascii="Times New Roman" w:hAnsi="Times New Roman"/>
                <w:b w:val="0"/>
                <w:sz w:val="22"/>
              </w:rPr>
              <w:t>602 020</w:t>
            </w:r>
          </w:p>
        </w:tc>
      </w:tr>
    </w:tbl>
    <w:p>
      <w:pPr>
        <w:spacing w:line="360" w:lineRule="auto"/>
        <w:jc w:val="both"/>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jc w:val="both"/>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Besparelsesestimatet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jc w:val="both"/>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jc w:val="both"/>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jc w:val="both"/>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jc w:val="both"/>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 At 73,1 % av EOQ-analyserte artikler klassifiseres som FOR\_MANGE\_ORDRER er konsistent med Pujawan (2004), som viser at suboptimale partistørrelser er utbredt og kan forplante seg som ordrevariabilitet i forsyningskjeden. Suryaputri et al. (2022) bekrefter at kryssmatrisen ABC/XYZ gir merverdi utover enkeltkriterieanalyse for lagersegmentering, noe som understøtter valget om å kombinere klassifiseringsdimensjonene.</w:t>
      </w:r>
    </w:p>
    <w:p>
      <w:pPr>
        <w:spacing w:line="360" w:lineRule="auto"/>
        <w:jc w:val="both"/>
      </w:pPr>
      <w:r>
        <w:rPr>
          <w:rFonts w:ascii="Times New Roman" w:hAnsi="Times New Roman" w:cs="Times New Roman"/>
          <w:sz w:val="24"/>
        </w:rPr>
        <w:t>Tabell 15 oppsummerer de sentrale funnene fra denne studien sett opp mot forventninger fra litteraturen.</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Sammenstilling av egne resultater mot funn i eksisterende litteratur.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b w:val="0"/>
                <w:sz w:val="22"/>
              </w:rPr>
              <w:t>A-klasse andel</w:t>
            </w:r>
          </w:p>
        </w:tc>
        <w:tc>
          <w:tcPr>
            <w:tcW w:type="dxa" w:w="1754"/>
          </w:tcPr>
          <w:p>
            <w:r/>
            <w:r>
              <w:rPr>
                <w:rFonts w:ascii="Times New Roman" w:hAnsi="Times New Roman"/>
                <w:b w:val="0"/>
                <w:sz w:val="22"/>
              </w:rPr>
              <w:t>25,7 % av artikler = 80 % av verdi</w:t>
            </w:r>
          </w:p>
        </w:tc>
        <w:tc>
          <w:tcPr>
            <w:tcW w:type="dxa" w:w="1754"/>
          </w:tcPr>
          <w:p>
            <w:r/>
            <w:r>
              <w:rPr>
                <w:rFonts w:ascii="Times New Roman" w:hAnsi="Times New Roman"/>
                <w:b w:val="0"/>
                <w:sz w:val="22"/>
              </w:rPr>
              <w:t>Typisk 20–25 % etter Pareto</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Gupta et al. (2007)</w:t>
            </w:r>
          </w:p>
        </w:tc>
      </w:tr>
      <w:tr>
        <w:tc>
          <w:tcPr>
            <w:tcW w:type="dxa" w:w="1754"/>
          </w:tcPr>
          <w:p>
            <w:r/>
            <w:r>
              <w:rPr>
                <w:rFonts w:ascii="Times New Roman" w:hAnsi="Times New Roman"/>
                <w:b w:val="0"/>
                <w:sz w:val="22"/>
              </w:rPr>
              <w:t>XYZ-samsvar med SAP ZZXYZ</w:t>
            </w:r>
          </w:p>
        </w:tc>
        <w:tc>
          <w:tcPr>
            <w:tcW w:type="dxa" w:w="1754"/>
          </w:tcPr>
          <w:p>
            <w:r/>
            <w:r>
              <w:rPr>
                <w:rFonts w:ascii="Times New Roman" w:hAnsi="Times New Roman"/>
                <w:b w:val="0"/>
                <w:sz w:val="22"/>
              </w:rPr>
              <w:t>33 % (125/375)</w:t>
            </w:r>
          </w:p>
        </w:tc>
        <w:tc>
          <w:tcPr>
            <w:tcW w:type="dxa" w:w="1754"/>
          </w:tcPr>
          <w:p>
            <w:r/>
            <w:r>
              <w:rPr>
                <w:rFonts w:ascii="Times New Roman" w:hAnsi="Times New Roman"/>
                <w:b w:val="0"/>
                <w:sz w:val="22"/>
              </w:rPr>
              <w:t>Statisk klassifisering divergerer over tid</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van Kampen et al. (2012)</w:t>
            </w:r>
          </w:p>
        </w:tc>
      </w:tr>
      <w:tr>
        <w:tc>
          <w:tcPr>
            <w:tcW w:type="dxa" w:w="1754"/>
          </w:tcPr>
          <w:p>
            <w:r/>
            <w:r>
              <w:rPr>
                <w:rFonts w:ascii="Times New Roman" w:hAnsi="Times New Roman"/>
                <w:b w:val="0"/>
                <w:sz w:val="22"/>
              </w:rPr>
              <w:t>X-artikler andel</w:t>
            </w:r>
          </w:p>
        </w:tc>
        <w:tc>
          <w:tcPr>
            <w:tcW w:type="dxa" w:w="1754"/>
          </w:tcPr>
          <w:p>
            <w:r/>
            <w:r>
              <w:rPr>
                <w:rFonts w:ascii="Times New Roman" w:hAnsi="Times New Roman"/>
                <w:b w:val="0"/>
                <w:sz w:val="22"/>
              </w:rPr>
              <w:t>50,9 % (350 av 687)</w:t>
            </w:r>
          </w:p>
        </w:tc>
        <w:tc>
          <w:tcPr>
            <w:tcW w:type="dxa" w:w="1754"/>
          </w:tcPr>
          <w:p>
            <w:r/>
            <w:r>
              <w:rPr>
                <w:rFonts w:ascii="Times New Roman" w:hAnsi="Times New Roman"/>
                <w:b w:val="0"/>
                <w:sz w:val="22"/>
              </w:rPr>
              <w:t>Stabile artikler utgjør gjerne flertallet</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Nowotyńska (2013)</w:t>
            </w:r>
          </w:p>
        </w:tc>
      </w:tr>
      <w:tr>
        <w:tc>
          <w:tcPr>
            <w:tcW w:type="dxa" w:w="1754"/>
          </w:tcPr>
          <w:p>
            <w:r/>
            <w:r>
              <w:rPr>
                <w:rFonts w:ascii="Times New Roman" w:hAnsi="Times New Roman"/>
                <w:b w:val="0"/>
                <w:sz w:val="22"/>
              </w:rPr>
              <w:t>K-means silhouette</w:t>
            </w:r>
          </w:p>
        </w:tc>
        <w:tc>
          <w:tcPr>
            <w:tcW w:type="dxa" w:w="1754"/>
          </w:tcPr>
          <w:p>
            <w:r/>
            <w:r>
              <w:rPr>
                <w:rFonts w:ascii="Times New Roman" w:hAnsi="Times New Roman"/>
                <w:b w:val="0"/>
                <w:sz w:val="22"/>
              </w:rPr>
              <w:t>0,383 (tren) / 0,368 (test)</w:t>
            </w:r>
          </w:p>
        </w:tc>
        <w:tc>
          <w:tcPr>
            <w:tcW w:type="dxa" w:w="1754"/>
          </w:tcPr>
          <w:p>
            <w:r/>
            <w:r>
              <w:rPr>
                <w:rFonts w:ascii="Times New Roman" w:hAnsi="Times New Roman"/>
                <w:b w:val="0"/>
                <w:sz w:val="22"/>
              </w:rPr>
              <w:t>&gt; 0,3 akseptabelt for eksplorativ analyse</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Ketkar &amp; Vaidya (2014)</w:t>
            </w:r>
          </w:p>
        </w:tc>
      </w:tr>
      <w:tr>
        <w:tc>
          <w:tcPr>
            <w:tcW w:type="dxa" w:w="1754"/>
          </w:tcPr>
          <w:p>
            <w:r/>
            <w:r>
              <w:rPr>
                <w:rFonts w:ascii="Times New Roman" w:hAnsi="Times New Roman"/>
                <w:b w:val="0"/>
                <w:sz w:val="22"/>
              </w:rPr>
              <w:t>Besparelse (base case)</w:t>
            </w:r>
          </w:p>
        </w:tc>
        <w:tc>
          <w:tcPr>
            <w:tcW w:type="dxa" w:w="1754"/>
          </w:tcPr>
          <w:p>
            <w:r/>
            <w:r>
              <w:rPr>
                <w:rFonts w:ascii="Times New Roman" w:hAnsi="Times New Roman"/>
                <w:b w:val="0"/>
                <w:sz w:val="22"/>
              </w:rPr>
              <w:t>kr 451 515/år (g = 75 %)</w:t>
            </w:r>
          </w:p>
        </w:tc>
        <w:tc>
          <w:tcPr>
            <w:tcW w:type="dxa" w:w="1754"/>
          </w:tcPr>
          <w:p>
            <w:r/>
            <w:r>
              <w:rPr>
                <w:rFonts w:ascii="Times New Roman" w:hAnsi="Times New Roman"/>
                <w:b w:val="0"/>
                <w:sz w:val="22"/>
              </w:rPr>
              <w:t>Moderate gevinster ved ordreoptimalisering</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Moons et al. (2019)</w:t>
            </w:r>
          </w:p>
        </w:tc>
      </w:tr>
      <w:tr>
        <w:tc>
          <w:tcPr>
            <w:tcW w:type="dxa" w:w="1754"/>
          </w:tcPr>
          <w:p>
            <w:r/>
            <w:r>
              <w:rPr>
                <w:rFonts w:ascii="Times New Roman" w:hAnsi="Times New Roman"/>
                <w:b w:val="0"/>
                <w:sz w:val="22"/>
              </w:rPr>
              <w:t>FOR_MANGE_ORDRER</w:t>
            </w:r>
          </w:p>
        </w:tc>
        <w:tc>
          <w:tcPr>
            <w:tcW w:type="dxa" w:w="1754"/>
          </w:tcPr>
          <w:p>
            <w:r/>
            <w:r>
              <w:rPr>
                <w:rFonts w:ascii="Times New Roman" w:hAnsi="Times New Roman"/>
                <w:b w:val="0"/>
                <w:sz w:val="22"/>
              </w:rPr>
              <w:t>73,1 % (356/487)</w:t>
            </w:r>
          </w:p>
        </w:tc>
        <w:tc>
          <w:tcPr>
            <w:tcW w:type="dxa" w:w="1754"/>
          </w:tcPr>
          <w:p>
            <w:r/>
            <w:r>
              <w:rPr>
                <w:rFonts w:ascii="Times New Roman" w:hAnsi="Times New Roman"/>
                <w:b w:val="0"/>
                <w:sz w:val="22"/>
              </w:rPr>
              <w:t>Suboptimal bestilling utbredt i sykehus</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Volland et al. (2017)</w:t>
            </w:r>
          </w:p>
        </w:tc>
      </w:tr>
      <w:tr>
        <w:tc>
          <w:tcPr>
            <w:tcW w:type="dxa" w:w="1754"/>
          </w:tcPr>
          <w:p>
            <w:r/>
            <w:r>
              <w:rPr>
                <w:rFonts w:ascii="Times New Roman" w:hAnsi="Times New Roman"/>
                <w:b w:val="0"/>
                <w:sz w:val="22"/>
              </w:rPr>
              <w:t>ABC/XYZ-matrise</w:t>
            </w:r>
          </w:p>
        </w:tc>
        <w:tc>
          <w:tcPr>
            <w:tcW w:type="dxa" w:w="1754"/>
          </w:tcPr>
          <w:p>
            <w:r/>
            <w:r>
              <w:rPr>
                <w:rFonts w:ascii="Times New Roman" w:hAnsi="Times New Roman"/>
                <w:b w:val="0"/>
                <w:sz w:val="22"/>
              </w:rPr>
              <w:t>9-felts kryssklassifisering</w:t>
            </w:r>
          </w:p>
        </w:tc>
        <w:tc>
          <w:tcPr>
            <w:tcW w:type="dxa" w:w="1754"/>
          </w:tcPr>
          <w:p>
            <w:r/>
            <w:r>
              <w:rPr>
                <w:rFonts w:ascii="Times New Roman" w:hAnsi="Times New Roman"/>
                <w:b w:val="0"/>
                <w:sz w:val="22"/>
              </w:rPr>
              <w:t>Gir økt segmenteringsverdi</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Suryaputri et al. (2022)</w:t>
            </w:r>
          </w:p>
        </w:tc>
      </w:tr>
      <w:tr>
        <w:tc>
          <w:tcPr>
            <w:tcW w:type="dxa" w:w="1754"/>
          </w:tcPr>
          <w:p>
            <w:r/>
            <w:r>
              <w:rPr>
                <w:rFonts w:ascii="Times New Roman" w:hAnsi="Times New Roman"/>
                <w:b w:val="0"/>
                <w:sz w:val="22"/>
              </w:rPr>
              <w:t>K-means merverdi</w:t>
            </w:r>
          </w:p>
        </w:tc>
        <w:tc>
          <w:tcPr>
            <w:tcW w:type="dxa" w:w="1754"/>
          </w:tcPr>
          <w:p>
            <w:r/>
            <w:r>
              <w:rPr>
                <w:rFonts w:ascii="Times New Roman" w:hAnsi="Times New Roman"/>
                <w:b w:val="0"/>
                <w:sz w:val="22"/>
              </w:rPr>
              <w:t>Begrenset – bekrefter ABC/XYZ</w:t>
            </w:r>
          </w:p>
        </w:tc>
        <w:tc>
          <w:tcPr>
            <w:tcW w:type="dxa" w:w="1754"/>
          </w:tcPr>
          <w:p>
            <w:r/>
            <w:r>
              <w:rPr>
                <w:rFonts w:ascii="Times New Roman" w:hAnsi="Times New Roman"/>
                <w:b w:val="0"/>
                <w:sz w:val="22"/>
              </w:rPr>
              <w:t>Klyngeanalyse komplementær, men ofte bekreftende</w:t>
            </w:r>
          </w:p>
        </w:tc>
        <w:tc>
          <w:tcPr>
            <w:tcW w:type="dxa" w:w="1754"/>
          </w:tcPr>
          <w:p>
            <w:r/>
            <w:r>
              <w:rPr>
                <w:rFonts w:ascii="Times New Roman" w:hAnsi="Times New Roman"/>
                <w:b w:val="0"/>
                <w:sz w:val="22"/>
              </w:rPr>
              <w:t>Delvis</w:t>
            </w:r>
          </w:p>
        </w:tc>
        <w:tc>
          <w:tcPr>
            <w:tcW w:type="dxa" w:w="1754"/>
          </w:tcPr>
          <w:p>
            <w:r/>
            <w:r>
              <w:rPr>
                <w:rFonts w:ascii="Times New Roman" w:hAnsi="Times New Roman"/>
                <w:b w:val="0"/>
                <w:sz w:val="22"/>
              </w:rPr>
              <w:t>Srinivasan &amp; Moon (1999)</w:t>
            </w:r>
          </w:p>
        </w:tc>
      </w:tr>
    </w:tbl>
    <w:p>
      <w:pPr>
        <w:pStyle w:val="Overskrift2"/>
      </w:pPr>
      <w:r>
        <w:rPr>
          <w:rFonts w:ascii="Times New Roman" w:hAnsi="Times New Roman"/>
          <w:color w:val="000000"/>
          <w:sz w:val="32"/>
        </w:rPr>
        <w:t>8.2 Metodekritikk</w:t>
      </w:r>
    </w:p>
    <w:p>
      <w:pPr>
        <w:spacing w:line="360" w:lineRule="auto"/>
        <w:jc w:val="both"/>
      </w:pPr>
      <w:r>
        <w:rPr>
          <w:rFonts w:ascii="Times New Roman" w:hAnsi="Times New Roman" w:cs="Times New Roman"/>
          <w:sz w:val="24"/>
        </w:rPr>
        <w:t>SAP S/4HANA-data fra SE16H er operasjonelle systemdata. Transaksjonsdataene (MSEG, EKBE) registreres automatisk ved hvert varemottak, lageruttak og bestilling, og er ikke gjenstand for hukommelsesfeil eller sosial ønskverdighet, noe som gir dem høy reliabilitet sammenlignet med spørreundersøkelsesdata (Saha &amp; Ray, 2019). Stamdata (MARA, MBEW) er imidlertid manuelt vedlikeholdt og kan inneholde feil i prisregistrering eller klassifisering. For de 204 artiklene der ABC-verdien er beregnet fra STPRS (D-03), vil eventuelle prisavvik direkte påvirke klassifiseringen.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jc w:val="both"/>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jc w:val="both"/>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pPr>
        <w:spacing w:line="360" w:lineRule="auto"/>
        <w:jc w:val="both"/>
      </w:pPr>
      <w:r>
        <w:rPr>
          <w:rFonts w:ascii="Times New Roman" w:hAnsi="Times New Roman" w:cs="Times New Roman"/>
          <w:sz w:val="24"/>
        </w:rPr>
        <w:t>EOQ-modellen forutsetter deterministisk og stasjonær etterspørsel (Wilson-formelen). Analysen anvender EOQ på de 350 X-artiklene (</w:t>
      </w:r>
      <m:oMath>
        <m:r>
          <m:t>CV&lt;0,5</m:t>
        </m:r>
      </m:oMath>
      <w:r>
        <w:rPr>
          <w:rFonts w:ascii="Times New Roman" w:hAnsi="Times New Roman" w:cs="Times New Roman"/>
          <w:sz w:val="24"/>
        </w:rPr>
        <w:t xml:space="preserve">), men det er ikke gjennomført en formell stasjonaritets- eller normalitetstest for disse artiklenes etterspørselsserier. For artiklene med størst </w:t>
      </w:r>
      <m:oMath>
        <m:r>
          <m:t>ΔTC</m:t>
        </m:r>
      </m:oMath>
      <w:r>
        <w:rPr>
          <w:rFonts w:ascii="Times New Roman" w:hAnsi="Times New Roman" w:cs="Times New Roman"/>
          <w:sz w:val="24"/>
        </w:rPr>
        <w:t xml:space="preserve"> – som utgjør grunnlaget for besparelsesestimatet – representerer dette en potensiell intern validitetstrussel: dersom etterspørselen er sesongavhengig eller har trend, vil den optimale ordrefrekvensen </w:t>
      </w:r>
      <m:oMath>
        <m:sSup>
          <m:e>
            <m:r>
              <m:t>f</m:t>
            </m:r>
          </m:e>
          <m:sup>
            <m:r>
              <m:t>*</m:t>
            </m:r>
          </m:sup>
        </m:sSup>
      </m:oMath>
      <w:r>
        <w:rPr>
          <w:rFonts w:ascii="Times New Roman" w:hAnsi="Times New Roman" w:cs="Times New Roman"/>
          <w:sz w:val="24"/>
        </w:rPr>
        <w:t xml:space="preserve"> avvike fra Wilson-estimatet. Hautaniemi og Pirttilä (1999) påpeker at EOQ-baserte beregninger er mest pålitelige for artikler med lav variabilitet, noe som understøtter valget om å begrense analysen til X-klassen, men en formell stasjonaritetstest (f.eks. augmented Dickey–Fuller) ville styrket den interne validiteten ytterligere.</w:t>
      </w:r>
    </w:p>
    <w:p>
      <w:pPr>
        <w:spacing w:line="360" w:lineRule="auto"/>
        <w:jc w:val="both"/>
      </w:pPr>
      <w:r>
        <w:rPr>
          <w:rFonts w:ascii="Times New Roman" w:hAnsi="Times New Roman" w:cs="Times New Roman"/>
          <w:sz w:val="24"/>
        </w:rPr>
        <w:t xml:space="preserve">Besparelsesestimatet </w:t>
      </w:r>
      <m:oMath>
        <m:sSub>
          <m:e>
            <m:r>
              <m:t>B</m:t>
            </m:r>
          </m:e>
          <m:sub>
            <m:r>
              <m:rPr>
                <m:nor/>
              </m:rPr>
              <m:t>HVFS</m:t>
            </m:r>
          </m:sub>
        </m:sSub>
        <m:r>
          <m:t>=∑ΔT</m:t>
        </m:r>
        <m:sSub>
          <m:e>
            <m:r>
              <m:t>C</m:t>
            </m:r>
          </m:e>
          <m:sub>
            <m:r>
              <m:t>i</m:t>
            </m:r>
          </m:sub>
        </m:sSub>
        <m:r>
          <m:t>·g</m:t>
        </m:r>
      </m:oMath>
      <w:r>
        <w:rPr>
          <w:rFonts w:ascii="Times New Roman" w:hAnsi="Times New Roman" w:cs="Times New Roman"/>
          <w:sz w:val="24"/>
        </w:rPr>
        <w:t xml:space="preserve"> fanger utelukkende transaksjonskostnadsavviket fra suboptimal ordrefrekvens for de 117 artiklene i skjæringspunktet OVERFØR\_HVFS </w:t>
      </w:r>
      <m:oMath>
        <m:r>
          <m:t>∩</m:t>
        </m:r>
      </m:oMath>
      <w:r>
        <w:rPr>
          <w:rFonts w:ascii="Times New Roman" w:hAnsi="Times New Roman" w:cs="Times New Roman"/>
          <w:sz w:val="24"/>
        </w:rPr>
        <w:t xml:space="preserve"> FOR\_MANGE\_ORDRER. Tre kostnadselementer er eksplisitt utenfor modellens rekkevidde: (1) redusert lokal lagerkapitalbinding ved overføring – en positiv gevinst som ikke er kvantifisert, men som Kelle et al. (2012) anslår til 5–15 % av lagerverdien for sentraliserte artikler; (2) transportkostnader fra HVFS til avdeling via APL-modellen, som representerer en motpost og må kartlegges i implementeringsfasen; og (3) engangskostnader for SAP MM-konfigurering, leverandørforhandlinger og prosessomstilling. Estimatet er dermed et konservativt transaksjonskostnadsestimat som ikke omfatter den fulle netto besparelseseffekten av sentralisering.</w:t>
      </w:r>
    </w:p>
    <w:p>
      <w:pPr>
        <w:spacing w:line="360" w:lineRule="auto"/>
        <w:jc w:val="both"/>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regelmotor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nøktern: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jc w:val="both"/>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jc w:val="both"/>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jc w:val="both"/>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jc w:val="both"/>
      </w:pPr>
      <w:r>
        <w:rPr>
          <w:rFonts w:ascii="Times New Roman" w:hAnsi="Times New Roman" w:cs="Times New Roman"/>
          <w:sz w:val="24"/>
        </w:rPr>
        <w:t>For LIBRA-prosjektet spesifikt innebærer resultatene at det foreligger et forslag til et kvantitativt, reproduserbart beslutningsgrunnlag som potensielt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pStyle w:val="Overskrift2"/>
      </w:pPr>
      <w:r>
        <w:rPr>
          <w:rFonts w:ascii="Times New Roman" w:hAnsi="Times New Roman"/>
          <w:color w:val="000000"/>
          <w:sz w:val="32"/>
        </w:rPr>
        <w:t>8.4 Svakheter og begrensninger</w:t>
      </w:r>
    </w:p>
    <w:p>
      <w:pPr>
        <w:spacing w:line="360" w:lineRule="auto"/>
        <w:jc w:val="both"/>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en scenarioparameter, ikke en empirisk prognose. Verdien </w:t>
      </w:r>
      <m:oMath>
        <m:r>
          <m:t>g=75</m:t>
        </m:r>
        <m:r>
          <m:t>%</m:t>
        </m:r>
      </m:oMath>
      <w:r>
        <w:rPr>
          <w:rFonts w:ascii="Times New Roman" w:hAnsi="Times New Roman" w:cs="Times New Roman"/>
          <w:sz w:val="24"/>
        </w:rPr>
        <w:t xml:space="preserve"> (base case) er en ekspertantagelse uten direkte empirisk belegg fra sykehuslogistikk, og representerer den viktigste enkeltusikkerheten i besparelsesestimatet. Tilsvarende er ordrekostnad </w:t>
      </w:r>
      <m:oMath>
        <m:r>
          <m:t>S=750</m:t>
        </m:r>
      </m:oMath>
      <w:r>
        <w:rPr>
          <w:rFonts w:ascii="Times New Roman" w:hAnsi="Times New Roman" w:cs="Times New Roman"/>
          <w:sz w:val="24"/>
        </w:rPr>
        <w:t xml:space="preserve"> NOK basert på internasjonal litteratur og ikke empirisk estimert for Helse Bergen; en ABC-kalkyle (Activity-Based Costing) av faktisk ordrekostnad ville styrket estimatets presisjon. Den faktiske gevinsten avhenger av gjennomføringskvalitet, leverandørenes kapasitet og Helse Bergens evne til å revidere SAP-parametere. Sensitivitetsanalysen over 27 scenarier synliggjør bredden i usikkerhetsintervallet.</w:t>
      </w:r>
    </w:p>
    <w:p>
      <w:pPr>
        <w:spacing w:line="360" w:lineRule="auto"/>
        <w:jc w:val="both"/>
      </w:pPr>
      <w:r>
        <w:rPr>
          <w:rFonts w:ascii="Times New Roman" w:hAnsi="Times New Roman" w:cs="Times New Roman"/>
          <w:sz w:val="24"/>
        </w:rPr>
        <w:t>Standardverdien for leveringstid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jc w:val="both"/>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 K-means-klyngens rolle i regelmotoren er begrenset: fordi K\_OVERFØR per definisjon er klyngen med lavest CV og høyest verdi, overlapper den i stor grad med artikler som allerede identifiseres via ABC/XYZ-reglene (R3). K-means fungerer dermed primært som et bekreftende støttefilter snarere enn som et uavhengig empirisk signal – en form for bekreftelsestendens som bør erkjennes.</w:t>
      </w:r>
    </w:p>
    <w:p>
      <w:pPr>
        <w:spacing w:line="360" w:lineRule="auto"/>
        <w:jc w:val="both"/>
      </w:pPr>
      <w:r>
        <w:rPr>
          <w:rFonts w:ascii="Times New Roman" w:hAnsi="Times New Roman" w:cs="Times New Roman"/>
          <w:sz w:val="24"/>
        </w:rPr>
        <w:t>For 204 artikler uten EKPO-data er ABC-verdien beregnet fra D_ANNUAL × UNIT_PRICE. Dersom standardprisen avviker fra faktisk innkjøpspris, vil ABC-rangeringen for disse artiklene være upresis.</w:t>
      </w:r>
    </w:p>
    <w:p>
      <w:pPr>
        <w:spacing w:line="360" w:lineRule="auto"/>
        <w:jc w:val="both"/>
      </w:pPr>
      <w:r>
        <w:rPr>
          <w:rFonts w:ascii="Times New Roman" w:hAnsi="Times New Roman" w:cs="Times New Roman"/>
          <w:sz w:val="24"/>
        </w:rPr>
        <w:t>Modellen inkluderer ikke en eksplisitt kritikalitetsdimensjon som VED (Vital, Essential, Desirable). I sykehuslogistikk er kritikalitet en primær styringsparameter (Gupta et al., 2007; Gurumurthy et al., 2021), og fraværet innebærer at OVERFØR-anbefalingen kan omfatte artikler der leveringssvikt har alvorlige pasientkonsekvenser. Pilotvalideringen (anbefaling 1, kap. 9.2) bør eksplisitt inkludere en klinisk kritikalitetsvurdering som supplement til de kvantitative signalene.</w:t>
      </w:r>
    </w:p>
    <w:p>
      <w:pPr>
        <w:spacing w:line="360" w:lineRule="auto"/>
        <w:jc w:val="both"/>
      </w:pPr>
      <w:r>
        <w:rPr>
          <w:rFonts w:ascii="Times New Roman" w:hAnsi="Times New Roman" w:cs="Times New Roman"/>
          <w:sz w:val="24"/>
        </w:rPr>
        <w:t>Studien benytter kun K-means som klyngealgoritme. En sammenligning med hierarkisk klynging eller DBSCAN ville styrket tilliten til klyngeresultatene, særlig gitt at silhouette-scoren (0,383) indikerer moderat separasjon.</w:t>
      </w:r>
    </w:p>
    <w:p>
      <w:pPr>
        <w:spacing w:line="360" w:lineRule="auto"/>
        <w:jc w:val="both"/>
      </w:pPr>
      <w:r>
        <w:rPr>
          <w:rFonts w:ascii="Times New Roman" w:hAnsi="Times New Roman" w:cs="Times New Roman"/>
          <w:sz w:val="24"/>
        </w:rPr>
        <w:t>Besparelsesestimatet er beregnet analytisk. En Monte Carlo-simulering av bestillingsfrekvensendringer for de største overføringskandidatene ville gitt et dynamisk estimat som fanger samspillet mellom ordrefrekvens, lagernivå og servicenivå over tid.</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jc w:val="both"/>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bør overføres til HVFS, og hva er det estimerte besparelsespotensialet?</w:t>
      </w:r>
    </w:p>
    <w:p>
      <w:pPr>
        <w:spacing w:line="360" w:lineRule="auto"/>
        <w:jc w:val="both"/>
      </w:pPr>
      <w:r>
        <w:rPr>
          <w:rFonts w:ascii="Times New Roman" w:hAnsi="Times New Roman" w:cs="Times New Roman"/>
          <w:sz w:val="24"/>
        </w:rPr>
        <w:t xml:space="preserve">Studien viser at en strukturert kombinasjon av ABC-analyse, XYZ-klassifisering, EOQ-avviksanalyse og K-means klyngeanalyse – sammenstilt i regelmotoren – gir et strukturert beslutningsgrunnlag for å prioritere overføringskandidater direkte fra SAP-transaksjonsdata. Av de 709 aktive artiklene i LGORT 3001 identifiserer regelmotoren </w:t>
      </w:r>
      <w:r>
        <w:rPr>
          <w:rFonts w:ascii="Times New Roman" w:hAnsi="Times New Roman" w:cs="Times New Roman"/>
          <w:b/>
          <w:sz w:val="24"/>
        </w:rPr>
        <w:t>145 artikler</w:t>
      </w:r>
      <w:r>
        <w:rPr>
          <w:rFonts w:ascii="Times New Roman" w:hAnsi="Times New Roman" w:cs="Times New Roman"/>
          <w:sz w:val="24"/>
        </w:rPr>
        <w:t xml:space="preserve"> (20,5 %) som prioriterte overføringskandidater til HVFS. Disse artiklene kjennetegnes ved høy verdi (A- eller B-klasse), stabilt forbruksmønster (X- eller Y-klasse) og dokumentert overbestilling eller klyngetilhørighet som indikerer ineffektiv ordrepraksis. Anbefalingene er ikke eksternt validert mot innkjøpsfaglig skjønn, og bør betraktes som et rangert beslutningsunderlag – ikke som verifiserte beslutningsregler.</w:t>
      </w:r>
    </w:p>
    <w:p>
      <w:pPr>
        <w:spacing w:line="360" w:lineRule="auto"/>
        <w:jc w:val="both"/>
      </w:pPr>
      <w:r>
        <w:rPr>
          <w:rFonts w:ascii="Times New Roman" w:hAnsi="Times New Roman" w:cs="Times New Roman"/>
          <w:sz w:val="24"/>
        </w:rPr>
        <w:t>Besparelsespotensialet er estimert som et scenariobasert intervall, ikke som et enkelt punktestimat, fordi nøkkelparametrene S, h og g ikke er kalibrert mot lokalt observerte kostnader. For de 117 artiklene i skjæringspunktet OVERFØR\_HVFS og FOR\_MANGE\_ORDRER gir base case (</w:t>
      </w:r>
      <m:oMath>
        <m:r>
          <m:t>g=75</m:t>
        </m:r>
      </m:oMath>
      <w:r>
        <w:rPr>
          <w:rFonts w:ascii="Times New Roman" w:hAnsi="Times New Roman" w:cs="Times New Roman"/>
          <w:sz w:val="24"/>
        </w:rPr>
        <w:t xml:space="preserve">) et estimat på </w:t>
      </w:r>
      <w:r>
        <w:rPr>
          <w:rFonts w:ascii="Times New Roman" w:hAnsi="Times New Roman" w:cs="Times New Roman"/>
          <w:b/>
          <w:sz w:val="24"/>
        </w:rPr>
        <w:t>kr 451 515 per år</w:t>
      </w:r>
      <w:r>
        <w:rPr>
          <w:rFonts w:ascii="Times New Roman" w:hAnsi="Times New Roman" w:cs="Times New Roman"/>
          <w:sz w:val="24"/>
        </w:rPr>
        <w:t>, mens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Sensitivitetsanalysen over 27 parameterkombinasjoner – med variasjon i S, h og </w:t>
      </w:r>
      <m:oMath>
        <m:sSub>
          <m:e>
            <m:r>
              <m:t>τ</m:t>
            </m:r>
          </m:e>
          <m:sub>
            <m:r>
              <m:t>f</m:t>
            </m:r>
          </m:sub>
        </m:sSub>
      </m:oMath>
      <w:r>
        <w:rPr>
          <w:rFonts w:ascii="Times New Roman" w:hAnsi="Times New Roman" w:cs="Times New Roman"/>
          <w:sz w:val="24"/>
        </w:rPr>
        <w:t xml:space="preserve"> – viser at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varierer mellom kr 176 374 og kr 763 903 per år avhengig av parametervalg. Estimatene forblir positive og vesentlige over alle 27 scenarier, men den brede spennvidden understreker at det faktiske besparelsesnivået avhenger av lokale kostnadsforhold som ikke er empirisk fastslått i denne studien.</w:t>
      </w:r>
    </w:p>
    <w:p>
      <w:pPr>
        <w:spacing w:line="360" w:lineRule="auto"/>
        <w:jc w:val="both"/>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gir et strukturert beslutningsgrunnlag for LIBRA-prosjektets videre gjennomføring. Verktøyets primære verdi er systematisk prioritering og triage av artikkelporteføljen – den endelige overføringsbeslutningen krever innkjøpsfaglig og klinisk validering.</w:t>
      </w:r>
    </w:p>
    <w:p>
      <w:pPr>
        <w:pStyle w:val="Overskrift2"/>
      </w:pPr>
      <w:r>
        <w:rPr>
          <w:rFonts w:ascii="Times New Roman" w:hAnsi="Times New Roman"/>
          <w:color w:val="000000"/>
          <w:sz w:val="32"/>
        </w:rPr>
        <w:t>9.2 Anbefalinger til Helse Bergen</w:t>
      </w:r>
    </w:p>
    <w:p>
      <w:pPr>
        <w:spacing w:line="360" w:lineRule="auto"/>
        <w:jc w:val="both"/>
      </w:pPr>
      <w:r>
        <w:rPr>
          <w:rFonts w:ascii="Times New Roman" w:hAnsi="Times New Roman" w:cs="Times New Roman"/>
          <w:sz w:val="24"/>
        </w:rPr>
        <w:t>Basert på studiens funn rettes følgende fire anbefalinger til Helse Bergen og Helse Vest IKT:</w:t>
      </w:r>
    </w:p>
    <w:p>
      <w:pPr>
        <w:spacing w:line="360" w:lineRule="auto"/>
        <w:jc w:val="both"/>
      </w:pPr>
      <w:r>
        <w:rPr>
          <w:rFonts w:ascii="Times New Roman" w:hAnsi="Times New Roman" w:cs="Times New Roman"/>
          <w:b/>
          <w:sz w:val="24"/>
        </w:rPr>
        <w:t>1. Iverksett pilotoverføring for K_OVERFØR-klyngen og AX/BX-artiklene.</w:t>
      </w:r>
    </w:p>
    <w:p>
      <w:pPr>
        <w:spacing w:line="360" w:lineRule="auto"/>
        <w:jc w:val="both"/>
      </w:pPr>
      <w:r>
        <w:rPr>
          <w:rFonts w:ascii="Times New Roman" w:hAnsi="Times New Roman" w:cs="Times New Roman"/>
          <w:sz w:val="24"/>
        </w:rPr>
        <w:t>De 145 artiklene som er identifisert som prioriterte overføringskandidater bør ikke overføres samlet i én operasjon. En pilotfase bør prioritere artiklene i skjæringspunktet mellom K_OVERFØR-klyngen og AX/BX-kategoriene, da disse har den sterkeste kombinasjonen av analysesignaler og lavest forbruksvariasjon. Pilotvalideringen bør suppleres med en klinisk kritikalitetsvurdering (jf. avsnitt 8.4) for å sikre at ingen artikler med høy pasientrisiko overføres uten tilstrekkelig forsyningssikkerhet. En gradvis overføring gir mulighet til å verifisere at HVFS og NorEngros håndterer artiklene i henhold til APL-leveransemodellen før hele porteføljen flyttes.</w:t>
      </w:r>
    </w:p>
    <w:p>
      <w:pPr>
        <w:spacing w:line="360" w:lineRule="auto"/>
        <w:jc w:val="both"/>
      </w:pPr>
      <w:r>
        <w:rPr>
          <w:rFonts w:ascii="Times New Roman" w:hAnsi="Times New Roman" w:cs="Times New Roman"/>
          <w:b/>
          <w:sz w:val="24"/>
        </w:rPr>
        <w:t>2. Gjennomgå de 284 artiklene i VURDER NÆRMERE manuelt.</w:t>
      </w:r>
    </w:p>
    <w:p>
      <w:pPr>
        <w:spacing w:line="360" w:lineRule="auto"/>
        <w:jc w:val="both"/>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jc w:val="both"/>
      </w:pPr>
      <w:r>
        <w:rPr>
          <w:rFonts w:ascii="Times New Roman" w:hAnsi="Times New Roman" w:cs="Times New Roman"/>
          <w:b/>
          <w:sz w:val="24"/>
        </w:rPr>
        <w:t>3. Oppdater SAP MM-parametere for overførte artikler.</w:t>
      </w:r>
    </w:p>
    <w:p>
      <w:pPr>
        <w:spacing w:line="360" w:lineRule="auto"/>
        <w:jc w:val="both"/>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jc w:val="both"/>
      </w:pPr>
      <w:r>
        <w:rPr>
          <w:rFonts w:ascii="Times New Roman" w:hAnsi="Times New Roman" w:cs="Times New Roman"/>
          <w:b/>
          <w:sz w:val="24"/>
        </w:rPr>
        <w:t>4. Evaluer gevinstrealisering etter 12 måneder.</w:t>
      </w:r>
    </w:p>
    <w:p>
      <w:pPr>
        <w:spacing w:line="360" w:lineRule="auto"/>
        <w:jc w:val="both"/>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jc w:val="both"/>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240" w:lineRule="auto" w:after="120"/>
        <w:ind w:left="720" w:hanging="720"/>
        <w:jc w:val="both"/>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240" w:lineRule="auto" w:after="120"/>
        <w:ind w:left="720" w:hanging="720"/>
        <w:jc w:val="both"/>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240" w:lineRule="auto" w:after="120"/>
        <w:ind w:left="720" w:hanging="720"/>
        <w:jc w:val="both"/>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240" w:lineRule="auto" w:after="120"/>
        <w:ind w:left="720" w:hanging="720"/>
        <w:jc w:val="both"/>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240" w:lineRule="auto" w:after="120"/>
        <w:ind w:left="720" w:hanging="720"/>
        <w:jc w:val="both"/>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240" w:lineRule="auto" w:after="120"/>
        <w:ind w:left="720" w:hanging="720"/>
        <w:jc w:val="both"/>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240" w:lineRule="auto" w:after="120"/>
        <w:ind w:left="720" w:hanging="720"/>
        <w:jc w:val="both"/>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240" w:lineRule="auto" w:after="120"/>
        <w:ind w:left="720" w:hanging="720"/>
        <w:jc w:val="both"/>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240" w:lineRule="auto" w:after="120"/>
        <w:ind w:left="720" w:hanging="720"/>
        <w:jc w:val="both"/>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240" w:lineRule="auto" w:after="120"/>
        <w:ind w:left="720" w:hanging="720"/>
        <w:jc w:val="both"/>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240" w:lineRule="auto" w:after="120"/>
        <w:ind w:left="720" w:hanging="720"/>
        <w:jc w:val="both"/>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240" w:lineRule="auto" w:after="120"/>
        <w:ind w:left="720" w:hanging="720"/>
        <w:jc w:val="both"/>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240" w:lineRule="auto" w:after="120"/>
        <w:ind w:left="720" w:hanging="720"/>
        <w:jc w:val="both"/>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240" w:lineRule="auto" w:after="120"/>
        <w:ind w:left="720" w:hanging="720"/>
        <w:jc w:val="both"/>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240" w:lineRule="auto" w:after="120"/>
        <w:ind w:left="720" w:hanging="720"/>
        <w:jc w:val="both"/>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 https://jmlr.org/papers/v12/pedregosa11a.html</w:t>
      </w:r>
    </w:p>
    <w:p>
      <w:pPr>
        <w:spacing w:line="240" w:lineRule="auto" w:after="120"/>
        <w:ind w:left="720" w:hanging="720"/>
        <w:jc w:val="both"/>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240" w:lineRule="auto" w:after="120"/>
        <w:ind w:left="720" w:hanging="720"/>
        <w:jc w:val="both"/>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[Upublisert undervisningsmateriell]. Høgskolen i Molde.</w:t>
      </w:r>
    </w:p>
    <w:p>
      <w:pPr>
        <w:spacing w:line="240" w:lineRule="auto" w:after="120"/>
        <w:ind w:left="720" w:hanging="720"/>
        <w:jc w:val="both"/>
      </w:pPr>
      <w:r>
        <w:rPr>
          <w:rFonts w:ascii="Times New Roman" w:hAnsi="Times New Roman" w:cs="Times New Roman"/>
          <w:sz w:val="24"/>
        </w:rPr>
        <w:t xml:space="preserve">Rousseeuw, P. J. (1987). Silhouettes: A graphical aid to the interpretation and validation of cluster analysis. </w:t>
      </w:r>
      <w:r>
        <w:rPr>
          <w:rFonts w:ascii="Times New Roman" w:hAnsi="Times New Roman" w:cs="Times New Roman"/>
          <w:i/>
          <w:sz w:val="24"/>
        </w:rPr>
        <w:t>Journal of Computational and Applied Mathematics</w:t>
      </w:r>
      <w:r>
        <w:rPr>
          <w:rFonts w:ascii="Times New Roman" w:hAnsi="Times New Roman" w:cs="Times New Roman"/>
          <w:sz w:val="24"/>
        </w:rPr>
        <w:t xml:space="preserve">, </w:t>
      </w:r>
      <w:r>
        <w:rPr>
          <w:rFonts w:ascii="Times New Roman" w:hAnsi="Times New Roman" w:cs="Times New Roman"/>
          <w:i/>
          <w:sz w:val="24"/>
        </w:rPr>
        <w:t>20</w:t>
      </w:r>
      <w:r>
        <w:rPr>
          <w:rFonts w:ascii="Times New Roman" w:hAnsi="Times New Roman" w:cs="Times New Roman"/>
          <w:sz w:val="24"/>
        </w:rPr>
        <w:t>, 53–65. https://doi.org/10.1016/0377-0427(87)90125-7</w:t>
      </w:r>
    </w:p>
    <w:p>
      <w:pPr>
        <w:spacing w:line="240" w:lineRule="auto" w:after="120"/>
        <w:ind w:left="720" w:hanging="720"/>
        <w:jc w:val="both"/>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240" w:lineRule="auto" w:after="120"/>
        <w:ind w:left="720" w:hanging="720"/>
        <w:jc w:val="both"/>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240" w:lineRule="auto" w:after="120"/>
        <w:ind w:left="720" w:hanging="720"/>
        <w:jc w:val="both"/>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240" w:lineRule="auto" w:after="120"/>
        <w:ind w:left="720" w:hanging="720"/>
        <w:jc w:val="both"/>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240" w:lineRule="auto" w:after="120"/>
        <w:ind w:left="720" w:hanging="720"/>
        <w:jc w:val="both"/>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240" w:lineRule="auto" w:after="120"/>
        <w:ind w:left="720" w:hanging="720"/>
        <w:jc w:val="both"/>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jc w:val="both"/>
      </w:pPr>
      <w:r>
        <w:rPr>
          <w:rFonts w:ascii="Times New Roman" w:hAnsi="Times New Roman" w:cs="Times New Roman"/>
          <w:sz w:val="24"/>
        </w:rPr>
        <w:t>Se Tabell 4 i avsnitt 4.2 for fullstendig oversikt over de 14 SAP S/4HANA-tabellene. Alle datavalgsbeslutninger (D-01 til D-08) er dokumentert i Tabell 5 i hovedteksten.</w:t>
      </w:r>
    </w:p>
    <w:p>
      <w:pPr>
        <w:pStyle w:val="Overskrift2"/>
      </w:pPr>
      <w:r>
        <w:rPr>
          <w:rFonts w:ascii="Times New Roman" w:hAnsi="Times New Roman"/>
          <w:color w:val="000000"/>
          <w:sz w:val="32"/>
        </w:rPr>
        <w:t>Vedlegg B – Python-analyseverktøy</w:t>
      </w:r>
    </w:p>
    <w:p>
      <w:pPr>
        <w:spacing w:line="360" w:lineRule="auto"/>
        <w:jc w:val="both"/>
      </w:pPr>
      <w:r>
        <w:rPr>
          <w:rFonts w:ascii="Times New Roman" w:hAnsi="Times New Roman" w:cs="Times New Roman"/>
          <w:sz w:val="24"/>
        </w:rPr>
        <w:t>Analyseverktøyet er implementert i Python 3.13 og består av to hovedkomponenter:</w:t>
      </w:r>
    </w:p>
    <w:p>
      <w:pPr>
        <w:spacing w:line="360" w:lineRule="auto"/>
        <w:jc w:val="both"/>
      </w:pPr>
      <w:r>
        <w:rPr>
          <w:rFonts w:ascii="Times New Roman" w:hAnsi="Times New Roman" w:cs="Times New Roman"/>
          <w:b/>
          <w:sz w:val="24"/>
        </w:rPr>
        <w:t>Hovedscript:</w:t>
      </w:r>
      <w:r>
        <w:rPr>
          <w:rFonts w:ascii="Times New Roman" w:hAnsi="Times New Roman" w:cs="Times New Roman"/>
          <w:sz w:val="24"/>
        </w:rPr>
        <w:t xml:space="preserve"> </w:t>
      </w:r>
      <w:r>
        <w:rPr>
          <w:rFonts w:ascii="Consolas" w:hAnsi="Consolas" w:cs="Consolas"/>
          <w:sz w:val="20"/>
          <w:shd w:val="clear" w:color="auto" w:fill="F4F4F4"/>
        </w:rPr>
        <w:t>LOG650_analyse_v2_7.py</w:t>
      </w:r>
      <w:r>
        <w:rPr>
          <w:rFonts w:ascii="Times New Roman" w:hAnsi="Times New Roman" w:cs="Times New Roman"/>
          <w:sz w:val="24"/>
        </w:rPr>
        <w:t xml:space="preserve"> – deterministisk analysepipeline som leser MASTERFILE V1.xlsx og produserer alle klassifiseringer, K-means-modellen, regelmotoranbefalinger og besparelsesestimater. Outputformat: Excel (LOG650_Resultater.xlsx) med separate ark for hvert analysesteg.</w:t>
      </w:r>
    </w:p>
    <w:p>
      <w:pPr>
        <w:spacing w:line="360" w:lineRule="auto"/>
        <w:jc w:val="both"/>
      </w:pPr>
      <w:r>
        <w:rPr>
          <w:rFonts w:ascii="Times New Roman" w:hAnsi="Times New Roman" w:cs="Times New Roman"/>
          <w:b/>
          <w:sz w:val="24"/>
        </w:rPr>
        <w:t>Figurscripts:</w:t>
      </w:r>
      <w:r>
        <w:rPr>
          <w:rFonts w:ascii="Times New Roman" w:hAnsi="Times New Roman" w:cs="Times New Roman"/>
          <w:sz w:val="24"/>
        </w:rPr>
        <w:t xml:space="preserve"> 12 separate Python-scripts (</w:t>
      </w:r>
      <w:r>
        <w:rPr>
          <w:rFonts w:ascii="Consolas" w:hAnsi="Consolas" w:cs="Consolas"/>
          <w:sz w:val="20"/>
          <w:shd w:val="clear" w:color="auto" w:fill="F4F4F4"/>
        </w:rPr>
        <w:t>plot_*.py</w:t>
      </w:r>
      <w:r>
        <w:rPr>
          <w:rFonts w:ascii="Times New Roman" w:hAnsi="Times New Roman" w:cs="Times New Roman"/>
          <w:sz w:val="24"/>
        </w:rPr>
        <w:t>) som genererer figurene Fig00–Fig11 i konsistent stil (serif-font, 300 dpi, felles fargepalett).</w:t>
      </w:r>
    </w:p>
    <w:p>
      <w:pPr>
        <w:spacing w:line="360" w:lineRule="auto"/>
        <w:jc w:val="both"/>
      </w:pPr>
      <w:r>
        <w:rPr>
          <w:rFonts w:ascii="Times New Roman" w:hAnsi="Times New Roman" w:cs="Times New Roman"/>
          <w:b/>
          <w:sz w:val="24"/>
        </w:rPr>
        <w:t>Nøkkelbibliotek:</w:t>
      </w:r>
      <w:r>
        <w:rPr>
          <w:rFonts w:ascii="Times New Roman" w:hAnsi="Times New Roman" w:cs="Times New Roman"/>
          <w:sz w:val="24"/>
        </w:rPr>
        <w:t xml:space="preserve"> pandas 2.2.2 (datastrukturer), numpy 1.26.4 (numeriske beregninger), scikit-learn 1.4.2 (KMeans, StandardScaler, silhouette\_score, train\_test\_split), matplotlib 3.8.4 (visualisering), openpyxl 3.1.2 (Excel-lesing), xlsxwriter 3.2.0 (Excel-skriving).</w:t>
      </w:r>
    </w:p>
    <w:p>
      <w:pPr>
        <w:spacing w:line="360" w:lineRule="auto"/>
        <w:jc w:val="both"/>
      </w:pPr>
      <w:r>
        <w:rPr>
          <w:rFonts w:ascii="Times New Roman" w:hAnsi="Times New Roman" w:cs="Times New Roman"/>
          <w:b/>
          <w:sz w:val="24"/>
        </w:rPr>
        <w:t>Reproduserbarhet:</w:t>
      </w:r>
      <w:r>
        <w:rPr>
          <w:rFonts w:ascii="Times New Roman" w:hAnsi="Times New Roman" w:cs="Times New Roman"/>
          <w:sz w:val="24"/>
        </w:rPr>
        <w:t xml:space="preserve"> Alle scripts bruker </w:t>
      </w:r>
      <w:r>
        <w:rPr>
          <w:rFonts w:ascii="Consolas" w:hAnsi="Consolas" w:cs="Consolas"/>
          <w:sz w:val="20"/>
          <w:shd w:val="clear" w:color="auto" w:fill="F4F4F4"/>
        </w:rPr>
        <w:t>random_state=42</w:t>
      </w:r>
      <w:r>
        <w:rPr>
          <w:rFonts w:ascii="Times New Roman" w:hAnsi="Times New Roman" w:cs="Times New Roman"/>
          <w:sz w:val="24"/>
        </w:rPr>
        <w:t xml:space="preserve"> for deterministisk output. Gjentatt kjøring med samme inputdata gir identiske resultater.</w:t>
      </w:r>
    </w:p>
    <w:p>
      <w:pPr>
        <w:spacing w:line="360" w:lineRule="auto"/>
        <w:jc w:val="both"/>
      </w:pPr>
      <w:r>
        <w:rPr>
          <w:rFonts w:ascii="Times New Roman" w:hAnsi="Times New Roman" w:cs="Times New Roman"/>
          <w:sz w:val="24"/>
        </w:rPr>
        <w:t>Fullstendig kildekode er tilgjengelig i prosjektets GitHub-repository.</w:t>
      </w:r>
    </w:p>
    <w:p>
      <w:pPr>
        <w:pStyle w:val="Overskrift2"/>
      </w:pPr>
      <w:r>
        <w:rPr>
          <w:rFonts w:ascii="Times New Roman" w:hAnsi="Times New Roman"/>
          <w:color w:val="000000"/>
          <w:sz w:val="32"/>
        </w:rPr>
        <w:t>Vedlegg C – Erklæring om bruk av kunstig intelligens</w:t>
      </w:r>
    </w:p>
    <w:p>
      <w:pPr>
        <w:spacing w:line="360" w:lineRule="auto"/>
        <w:jc w:val="both"/>
      </w:pPr>
      <w:r>
        <w:rPr>
          <w:rFonts w:ascii="Times New Roman" w:hAnsi="Times New Roman" w:cs="Times New Roman"/>
          <w:sz w:val="24"/>
        </w:rPr>
        <w:t>I denne rapporten er KI-verktøyet Claude brukt som støtteverktøy i tre deler av arbeidet, i samsvar med Høgskolen i Molde sine retningslinjer for bruk av KI på hjemmeeksamen.</w:t>
      </w:r>
    </w:p>
    <w:p>
      <w:pPr>
        <w:spacing w:line="360" w:lineRule="auto"/>
        <w:jc w:val="both"/>
      </w:pPr>
      <w:r>
        <w:rPr>
          <w:rFonts w:ascii="Times New Roman" w:hAnsi="Times New Roman" w:cs="Times New Roman"/>
          <w:b/>
          <w:sz w:val="24"/>
        </w:rPr>
        <w:t>1. Kode og algoritmer.</w:t>
      </w:r>
      <w:r>
        <w:rPr>
          <w:rFonts w:ascii="Times New Roman" w:hAnsi="Times New Roman" w:cs="Times New Roman"/>
          <w:sz w:val="24"/>
        </w:rPr>
        <w:t xml:space="preserve"> Claude ble brukt til kodestøtte og feilsøking i Python-scriptet (</w:t>
      </w:r>
      <w:r>
        <w:rPr>
          <w:rFonts w:ascii="Consolas" w:hAnsi="Consolas" w:cs="Consolas"/>
          <w:sz w:val="20"/>
          <w:shd w:val="clear" w:color="auto" w:fill="F4F4F4"/>
        </w:rPr>
        <w:t>LOG650_analyse_v2_7.py</w:t>
      </w:r>
      <w:r>
        <w:rPr>
          <w:rFonts w:ascii="Times New Roman" w:hAnsi="Times New Roman" w:cs="Times New Roman"/>
          <w:sz w:val="24"/>
        </w:rPr>
        <w:t xml:space="preserve">) som implementerer ABC-, XYZ-, EOQ- og K-means-analysen. Verktøyet ble brukt til å forstå kodelogikk, feilsøke syntaksfeil og generere foreløpige kodeutdrag som senere ble tilpasset og integrert. All kode er gjennomgått, testet og modifisert av forfatteren for å sikre korrekthet. Den endelige implementasjonen, tolkningen av resultater og presentasjonen av numeriske verdier er forfatterens ansvar. Alle scripts bruker </w:t>
      </w:r>
      <w:r>
        <w:rPr>
          <w:rFonts w:ascii="Consolas" w:hAnsi="Consolas" w:cs="Consolas"/>
          <w:sz w:val="20"/>
          <w:shd w:val="clear" w:color="auto" w:fill="F4F4F4"/>
        </w:rPr>
        <w:t>random_state=42</w:t>
      </w:r>
      <w:r>
        <w:rPr>
          <w:rFonts w:ascii="Times New Roman" w:hAnsi="Times New Roman" w:cs="Times New Roman"/>
          <w:sz w:val="24"/>
        </w:rPr>
        <w:t xml:space="preserve"> for deterministisk og reproduserbar output.</w:t>
      </w:r>
    </w:p>
    <w:p>
      <w:pPr>
        <w:spacing w:line="360" w:lineRule="auto"/>
        <w:jc w:val="both"/>
      </w:pPr>
      <w:r>
        <w:rPr>
          <w:rFonts w:ascii="Times New Roman" w:hAnsi="Times New Roman" w:cs="Times New Roman"/>
          <w:b/>
          <w:sz w:val="24"/>
        </w:rPr>
        <w:t>2. Figurer og tabeller.</w:t>
      </w:r>
      <w:r>
        <w:rPr>
          <w:rFonts w:ascii="Times New Roman" w:hAnsi="Times New Roman" w:cs="Times New Roman"/>
          <w:sz w:val="24"/>
        </w:rPr>
        <w:t xml:space="preserve"> Alle 12 figurer (Fig00–Fig11) er generert med matplotlib-scripts der Claude bidro til utforming av layout, fargepalett og aksetitler. Figurene er basert på analyseresultater produsert av Python-scriptet fra SAP-kildedata – KI-verktøyet har ikke produsert eller modifisert noen dataverdier. Hver figur er merket «Generert med støtte fra Claude» i bildeteksten. Tabeller er formatert med støtte fra Claude, men alle verdier kommer direkte fra analysescriptet.</w:t>
      </w:r>
    </w:p>
    <w:p>
      <w:pPr>
        <w:spacing w:line="360" w:lineRule="auto"/>
        <w:jc w:val="both"/>
      </w:pPr>
      <w:r>
        <w:rPr>
          <w:rFonts w:ascii="Times New Roman" w:hAnsi="Times New Roman" w:cs="Times New Roman"/>
          <w:b/>
          <w:sz w:val="24"/>
        </w:rPr>
        <w:t>3. Tekststrukturering og språklig bearbeiding.</w:t>
      </w:r>
      <w:r>
        <w:rPr>
          <w:rFonts w:ascii="Times New Roman" w:hAnsi="Times New Roman" w:cs="Times New Roman"/>
          <w:sz w:val="24"/>
        </w:rPr>
        <w:t xml:space="preserve"> Claude ble brukt til å strukturere rapportteksten og forbedre språklig klarhet. Verktøyet foreslo disposisjon, avsnittsinndeling og formuleringer som forfatteren vurderte kritisk og reviderte. Alle faglige påstander, argumenter og konklusjoner er forfatterens egne. Claude er ikke brukt som fagkilde og er ikke sitert som belegg for faglige påstander.</w:t>
      </w:r>
    </w:p>
    <w:p>
      <w:pPr>
        <w:spacing w:line="360" w:lineRule="auto"/>
        <w:jc w:val="both"/>
      </w:pPr>
      <w:r>
        <w:rPr>
          <w:rFonts w:ascii="Times New Roman" w:hAnsi="Times New Roman" w:cs="Times New Roman"/>
          <w:b/>
          <w:sz w:val="24"/>
        </w:rPr>
        <w:t>4. Refleksjon over KI-brukens påvirkning.</w:t>
      </w:r>
      <w:r>
        <w:rPr>
          <w:rFonts w:ascii="Times New Roman" w:hAnsi="Times New Roman" w:cs="Times New Roman"/>
          <w:sz w:val="24"/>
        </w:rPr>
        <w:t xml:space="preserve"> Bruken av Claude påvirket arbeidsprosessen på to vesentlige måter. For det første akselererte kodestøtten iterasjonshastigheten i Python-utviklingen, noe som muliggjorde flere eksperimentelle kjøringer og raskere feilsøking enn manuell utvikling alene ville tillatt. For det andre bidro den språklige bearbeidingen til mer konsise formuleringer, men krevde aktiv overvåking for å unngå at faglig presisjon gikk tapt til fordel for språklig eleganse. Den analytiske retningen – valg av metoder, regelutforming og tolkning av resultater – er ikke påvirket av KI-verktøyet.</w:t>
      </w:r>
    </w:p>
    <w:p>
      <w:pPr>
        <w:spacing w:line="360" w:lineRule="auto"/>
        <w:jc w:val="both"/>
      </w:pPr>
      <w:r>
        <w:rPr>
          <w:rFonts w:ascii="Times New Roman" w:hAnsi="Times New Roman" w:cs="Times New Roman"/>
          <w:b/>
          <w:sz w:val="24"/>
        </w:rPr>
        <w:t>Avgrensning.</w:t>
      </w:r>
      <w:r>
        <w:rPr>
          <w:rFonts w:ascii="Times New Roman" w:hAnsi="Times New Roman" w:cs="Times New Roman"/>
          <w:sz w:val="24"/>
        </w:rPr>
        <w:t xml:space="preserve"> Rådata fra SAP ble ikke lagt inn i KI-verktøyet. Alle datatransformasjoner er dokumentert i D-01–D-08 (avsnitt 4.3) og kjørt lokalt i Python. Ingen pasientdata eller personopplysninger er brukt i studien.</w:t>
      </w:r>
    </w:p>
    <w:p>
      <w:pPr>
        <w:spacing w:line="360" w:lineRule="auto"/>
        <w:jc w:val="both"/>
      </w:pPr>
      <w:r>
        <w:rPr>
          <w:rFonts w:ascii="Times New Roman" w:hAnsi="Times New Roman" w:cs="Times New Roman"/>
          <w:b/>
          <w:sz w:val="24"/>
        </w:rPr>
        <w:t>Signatur:</w:t>
      </w:r>
    </w:p>
    <w:p>
      <w:pPr>
        <w:spacing w:line="360" w:lineRule="auto"/>
        <w:jc w:val="both"/>
      </w:pPr>
      <w:r>
        <w:rPr>
          <w:rFonts w:ascii="Times New Roman" w:hAnsi="Times New Roman" w:cs="Times New Roman"/>
          <w:sz w:val="24"/>
        </w:rPr>
        <w:t>Sted og dato: \_\_\_\_\_\_\_\_\_\_\_\_\_\_\_\_\_\_\_\_\_\_\_\_</w:t>
      </w:r>
    </w:p>
    <w:p>
      <w:pPr>
        <w:spacing w:line="360" w:lineRule="auto"/>
        <w:jc w:val="both"/>
      </w:pPr>
      <w:r>
        <w:rPr>
          <w:rFonts w:ascii="Times New Roman" w:hAnsi="Times New Roman" w:cs="Times New Roman"/>
          <w:sz w:val="24"/>
        </w:rPr>
        <w:t>Navn: \_\_\_\_\_\_\_\_\_\_\_\_\_\_\_\_\_\_\_\_\_\_\_\_</w:t>
      </w:r>
    </w:p>
    <w:p>
      <w:pPr>
        <w:spacing w:line="360" w:lineRule="auto"/>
        <w:jc w:val="both"/>
      </w:pPr>
      <w:r>
        <w:rPr>
          <w:rFonts w:ascii="Times New Roman" w:hAnsi="Times New Roman" w:cs="Times New Roman"/>
          <w:sz w:val="24"/>
        </w:rPr>
        <w:t>Studentnummer: \_\_\_\_\_\_\_\_\_\_\_\_\_\_\_\_\_\_\_\_\_\_\_\_</w:t>
      </w:r>
    </w:p>
    <w:p>
      <w:pPr>
        <w:spacing w:line="360" w:lineRule="auto"/>
        <w:jc w:val="both"/>
      </w:pPr>
      <w:r>
        <w:rPr>
          <w:rFonts w:ascii="Times New Roman" w:hAnsi="Times New Roman" w:cs="Times New Roman"/>
          <w:sz w:val="24"/>
        </w:rPr>
        <w:t>Jeg bekrefter at opplysningene ovenfor er korrekte, og at all bruk av kunstig intelligens i dette arbeidet er beskrevet fullstendig og ærlig.</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jc w:val="both"/>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