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47.png" ContentType="image/png"/>
  <Override PartName="/word/media/rId56.png" ContentType="image/png"/>
  <Override PartName="/word/media/rId67.png" ContentType="image/png"/>
  <Override PartName="/word/media/rId72.png" ContentType="image/png"/>
  <Override PartName="/word/media/rId76.png" ContentType="image/png"/>
  <Override PartName="/word/media/rId80.png" ContentType="image/png"/>
  <Override PartName="/word/media/rId84.png" ContentType="image/png"/>
  <Override PartName="/word/media/rId87.png" ContentType="image/png"/>
  <Override PartName="/word/media/rId90.png" ContentType="image/png"/>
  <Override PartName="/word/media/rId94.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 lokalt forsyningslager til regional sentralforsyning: Multikriterieklassifisering og klyngeanalyse for identifisering av overføringskandidater ved Helse Bergen</w:t>
      </w:r>
    </w:p>
    <w:p>
      <w:pPr>
        <w:pStyle w:val="Author"/>
      </w:pPr>
      <w:r>
        <w:t xml:space="preserve">Thomas Ekrem Jensen</w:t>
      </w:r>
    </w:p>
    <w:p>
      <w:pPr>
        <w:pStyle w:val="Date"/>
      </w:pPr>
      <w:r>
        <w:t xml:space="preserve">Mai 2026</w:t>
      </w:r>
    </w:p>
    <w:p>
      <w:pPr>
        <w:pStyle w:val="FirstParagraph"/>
      </w:pPr>
      <w:r>
        <w:rPr>
          <w:b/>
          <w:bCs/>
        </w:rPr>
        <w:t xml:space="preserve">Høgskolen i Molde</w:t>
      </w:r>
      <w:r>
        <w:t xml:space="preserve"> </w:t>
      </w:r>
      <w:r>
        <w:rPr>
          <w:i/>
          <w:iCs/>
        </w:rPr>
        <w:t xml:space="preserve">Avdeling for logistikk</w:t>
      </w:r>
    </w:p>
    <w:p>
      <w:pPr>
        <w:pStyle w:val="BodyText"/>
      </w:pPr>
      <w:r>
        <w:t xml:space="preserve"> </w:t>
      </w:r>
    </w:p>
    <w:bookmarkStart w:id="23" w:name="X02ddbdd6abcc4471046d511a46a6228e4f1df59"/>
    <w:p>
      <w:pPr>
        <w:pStyle w:val="Overskrift3"/>
      </w:pPr>
      <w:r>
        <w:t xml:space="preserve">LOG650 Forskningsprosjekt: Logistikk og kunstig intelligens</w:t>
      </w:r>
    </w:p>
    <w:p>
      <w:pPr>
        <w:pStyle w:val="FirstParagraph"/>
      </w:pPr>
      <w:r>
        <w:t xml:space="preserve"> </w:t>
      </w:r>
    </w:p>
    <w:bookmarkEnd w:id="23"/>
    <w:bookmarkStart w:id="25" w:name="X2bf12f4e97077ee0e7652dbb97515e9d88af603"/>
    <w:p>
      <w:pPr>
        <w:pStyle w:val="Overskrift1"/>
      </w:pPr>
      <w:r>
        <w:t xml:space="preserve">Fra lokalt forsyningslager til regional sentralforsyning</w:t>
      </w:r>
    </w:p>
    <w:bookmarkStart w:id="24" w:name="Xa3aea5c1e5fa16a59327b353d6efdbe9405bb7c"/>
    <w:p>
      <w:pPr>
        <w:pStyle w:val="Overskrift2"/>
      </w:pPr>
      <w:r>
        <w:t xml:space="preserve">Multikriterieklassifisering og klyngeanalyse for identifisering av overføringskandidater ved Helse Bergen</w:t>
      </w:r>
    </w:p>
    <w:p>
      <w:pPr>
        <w:pStyle w:val="FirstParagraph"/>
      </w:pPr>
      <w:r>
        <w:t xml:space="preserve"> </w:t>
      </w:r>
    </w:p>
    <w:p>
      <w:pPr>
        <w:pStyle w:val="BodyText"/>
      </w:pPr>
      <w:r>
        <w:rPr>
          <w:b/>
          <w:bCs/>
        </w:rPr>
        <w:t xml:space="preserve">Thomas Ekrem Jensen</w:t>
      </w:r>
    </w:p>
    <w:p>
      <w:pPr>
        <w:pStyle w:val="BodyText"/>
      </w:pPr>
      <w:r>
        <w:t xml:space="preserve"> </w:t>
      </w:r>
    </w:p>
    <w:p>
      <w:pPr>
        <w:pStyle w:val="BodyText"/>
      </w:pPr>
      <w:r>
        <w:t xml:space="preserve">Veileder: Bård Inge Austigard Pettersen</w:t>
      </w:r>
    </w:p>
    <w:p>
      <w:pPr>
        <w:pStyle w:val="BodyText"/>
      </w:pPr>
      <w:r>
        <w:t xml:space="preserve">Mai 2026</w:t>
      </w:r>
    </w:p>
    <w:bookmarkEnd w:id="24"/>
    <w:bookmarkEnd w:id="25"/>
    <w:p>
      <w:r>
        <w:pict>
          <v:rect style="width:0;height:1.5pt" o:hralign="center" o:hrstd="t" o:hr="t"/>
        </w:pict>
      </w:r>
    </w:p>
    <w:bookmarkStart w:id="26" w:name="figurliste"/>
    <w:p>
      <w:pPr>
        <w:pStyle w:val="Overskrift1"/>
      </w:pPr>
      <w:r>
        <w:t xml:space="preserve">Figurliste</w:t>
      </w:r>
    </w:p>
    <w:p>
      <w:pPr>
        <w:pStyle w:val="FirstParagraph"/>
      </w:pPr>
      <w:r>
        <w:t xml:space="preserve">Figur 0. Konseptuelt rammeverk – fra SAP-data til HVFS-anbefaling</w:t>
      </w:r>
    </w:p>
    <w:p>
      <w:pPr>
        <w:pStyle w:val="BodyText"/>
      </w:pPr>
      <w:r>
        <w:t xml:space="preserve">Figur 1. Lagerstruktur – Helse Vest forsyningskjede (forenklet)</w:t>
      </w:r>
    </w:p>
    <w:p>
      <w:pPr>
        <w:pStyle w:val="BodyText"/>
      </w:pPr>
      <w:r>
        <w:t xml:space="preserve">Figur 2. Analysepipeline: fra SAP-rådata til HVFS-anbefaling</w:t>
      </w:r>
    </w:p>
    <w:p>
      <w:pPr>
        <w:pStyle w:val="BodyText"/>
      </w:pPr>
      <w:r>
        <w:t xml:space="preserve">Figur 3. Regelmotor: sekvensiell beslutningsflyt for HVFS-anbefaling (R1–R8)</w:t>
      </w:r>
    </w:p>
    <w:p>
      <w:pPr>
        <w:pStyle w:val="BodyText"/>
      </w:pPr>
      <w:r>
        <w:t xml:space="preserve">Figur 4. ABC Pareto-kurve: kumulativ verdiandel for 709 artikler</w:t>
      </w:r>
    </w:p>
    <w:p>
      <w:pPr>
        <w:pStyle w:val="BodyText"/>
      </w:pPr>
      <w:r>
        <w:t xml:space="preserve">Figur 5. ABC/XYZ-kryssmatrise: antall artikler per kombinasjon</w:t>
      </w:r>
    </w:p>
    <w:p>
      <w:pPr>
        <w:pStyle w:val="BodyText"/>
      </w:pPr>
      <w:r>
        <w:t xml:space="preserve">Figur 6. EOQ-avvik: relativ frekvensavvik med terskel ved τ_f = 1,5</w:t>
      </w:r>
    </w:p>
    <w:p>
      <w:pPr>
        <w:pStyle w:val="BodyText"/>
      </w:pPr>
      <w:r>
        <w:t xml:space="preserve">Figur 7. Silhouette-score for K = 2–7 (treningsdata, n = 389)</w:t>
      </w:r>
    </w:p>
    <w:p>
      <w:pPr>
        <w:pStyle w:val="BodyText"/>
      </w:pPr>
      <w:r>
        <w:t xml:space="preserve">Figur 8. K-means klyngeresultat (K = 3): forbruksstabilitet vs verdi og kostnadsavvik</w:t>
      </w:r>
    </w:p>
    <w:p>
      <w:pPr>
        <w:pStyle w:val="BodyText"/>
      </w:pPr>
      <w:r>
        <w:t xml:space="preserve">Figur 9. Klyngeprofiler for K-means (K = 3): gjennomsnittlig z-score per feature</w:t>
      </w:r>
    </w:p>
    <w:p>
      <w:pPr>
        <w:pStyle w:val="BodyText"/>
      </w:pPr>
      <w:r>
        <w:t xml:space="preserve">Figur 10. Regelmotor og besparelsesanalyse: HVFS-anbefalinger og EOQ-besparelse</w:t>
      </w:r>
    </w:p>
    <w:bookmarkEnd w:id="26"/>
    <w:bookmarkStart w:id="27" w:name="tabelliste"/>
    <w:p>
      <w:pPr>
        <w:pStyle w:val="Overskrift1"/>
      </w:pPr>
      <w:r>
        <w:t xml:space="preserve">Tabelliste</w:t>
      </w:r>
    </w:p>
    <w:p>
      <w:pPr>
        <w:pStyle w:val="FirstParagraph"/>
      </w:pPr>
      <w:r>
        <w:t xml:space="preserve">Tabell 1. Litteraturoversikt: sentrale kilder med tema og relevans</w:t>
      </w:r>
    </w:p>
    <w:p>
      <w:pPr>
        <w:pStyle w:val="BodyText"/>
      </w:pPr>
      <w:r>
        <w:t xml:space="preserve">Tabell 2. Sammenligning av analysemetoder brukt i oppgaven</w:t>
      </w:r>
    </w:p>
    <w:p>
      <w:pPr>
        <w:pStyle w:val="BodyText"/>
      </w:pPr>
      <w:r>
        <w:t xml:space="preserve">Tabell 3. Nøkkeltall for casevirksomheten Helse Bergen, WERKS 3300</w:t>
      </w:r>
    </w:p>
    <w:p>
      <w:pPr>
        <w:pStyle w:val="BodyText"/>
      </w:pPr>
      <w:r>
        <w:t xml:space="preserve">Tabell 4. Datagrunnlag: 14 SAP S/4HANA-tabeller hentet via SE16H</w:t>
      </w:r>
    </w:p>
    <w:p>
      <w:pPr>
        <w:pStyle w:val="BodyText"/>
      </w:pPr>
      <w:r>
        <w:t xml:space="preserve">Tabell 5. Datavalgsbeslutninger D-01–D-08 med begrunnelse</w:t>
      </w:r>
    </w:p>
    <w:p>
      <w:pPr>
        <w:pStyle w:val="BodyText"/>
      </w:pPr>
      <w:r>
        <w:t xml:space="preserve">Tabell 6. Modellparametere: ABC-klassifiseringsgrenser og analyseinnstillinger</w:t>
      </w:r>
    </w:p>
    <w:p>
      <w:pPr>
        <w:pStyle w:val="BodyText"/>
      </w:pPr>
      <w:r>
        <w:t xml:space="preserve">Tabell 7. Regelmotor: 8 beslutningsregler i prioritert rekkefølge</w:t>
      </w:r>
    </w:p>
    <w:p>
      <w:pPr>
        <w:pStyle w:val="BodyText"/>
      </w:pPr>
      <w:r>
        <w:t xml:space="preserve">Tabell 8. ABC-fordeling: antall artikler og verdiandel per klasse (n = 709)</w:t>
      </w:r>
    </w:p>
    <w:p>
      <w:pPr>
        <w:pStyle w:val="BodyText"/>
      </w:pPr>
      <w:r>
        <w:t xml:space="preserve">Tabell 9. XYZ-fordeling: antall artikler per klasse (n = 687)</w:t>
      </w:r>
    </w:p>
    <w:p>
      <w:pPr>
        <w:pStyle w:val="BodyText"/>
      </w:pPr>
      <w:r>
        <w:t xml:space="preserve">Tabell 10. SAP ZZXYZ-validering: samsvar mellom systemklasse og beregnet CV-klasse</w:t>
      </w:r>
    </w:p>
    <w:p>
      <w:pPr>
        <w:pStyle w:val="BodyText"/>
      </w:pPr>
      <w:r>
        <w:t xml:space="preserve">Tabell 11. EOQ-avviksresultater: fordeling etter ordrefrekvensavvik (n = 487)</w:t>
      </w:r>
    </w:p>
    <w:p>
      <w:pPr>
        <w:pStyle w:val="BodyText"/>
      </w:pPr>
      <w:r>
        <w:t xml:space="preserve">Tabell 12. K-means klyngeprofiler: gjennomsnittsverdier per klynge (K = 3)</w:t>
      </w:r>
    </w:p>
    <w:p>
      <w:pPr>
        <w:pStyle w:val="BodyText"/>
      </w:pPr>
      <w:r>
        <w:t xml:space="preserve">Tabell 13. HVFS-anbefalinger fra regelmotor: fordeling per kategori (n = 709)</w:t>
      </w:r>
    </w:p>
    <w:p>
      <w:pPr>
        <w:pStyle w:val="BodyText"/>
      </w:pPr>
      <w:r>
        <w:t xml:space="preserve">Tabell 14. Besparelsesestimater for tre scenarier (117 artikler, S = 750 NOK)</w:t>
      </w:r>
    </w:p>
    <w:p>
      <w:pPr>
        <w:pStyle w:val="BodyText"/>
      </w:pPr>
      <w:r>
        <w:t xml:space="preserve">Tabell 15. Sammenstilling av egne resultater mot funn i eksisterende litteratur</w:t>
      </w:r>
    </w:p>
    <w:p>
      <w:r>
        <w:pict>
          <v:rect style="width:0;height:1.5pt" o:hralign="center" o:hrstd="t" o:hr="t"/>
        </w:pict>
      </w:r>
    </w:p>
    <w:bookmarkEnd w:id="27"/>
    <w:bookmarkStart w:id="28" w:name="innholdsfortegnelse"/>
    <w:p>
      <w:pPr>
        <w:pStyle w:val="Overskrift1"/>
      </w:pPr>
      <w:r>
        <w:t xml:space="preserve">Innholdsfortegnelse</w:t>
      </w:r>
    </w:p>
    <w:p>
      <w:pPr>
        <w:pStyle w:val="Compact"/>
        <w:numPr>
          <w:ilvl w:val="0"/>
          <w:numId w:val="1001"/>
        </w:numPr>
      </w:pPr>
      <w:hyperlink w:anchor="forord">
        <w:r>
          <w:rPr>
            <w:rStyle w:val="Hyperkobling"/>
          </w:rPr>
          <w:t xml:space="preserve">Forord</w:t>
        </w:r>
      </w:hyperlink>
    </w:p>
    <w:p>
      <w:pPr>
        <w:pStyle w:val="Compact"/>
        <w:numPr>
          <w:ilvl w:val="0"/>
          <w:numId w:val="1001"/>
        </w:numPr>
      </w:pPr>
      <w:hyperlink w:anchor="sammendrag">
        <w:r>
          <w:rPr>
            <w:rStyle w:val="Hyperkobling"/>
          </w:rPr>
          <w:t xml:space="preserve">Sammendrag</w:t>
        </w:r>
      </w:hyperlink>
    </w:p>
    <w:p>
      <w:pPr>
        <w:pStyle w:val="Compact"/>
        <w:numPr>
          <w:ilvl w:val="0"/>
          <w:numId w:val="1001"/>
        </w:numPr>
      </w:pPr>
      <w:hyperlink w:anchor="kapittel-1--innledning">
        <w:r>
          <w:rPr>
            <w:rStyle w:val="Hyperkobling"/>
          </w:rPr>
          <w:t xml:space="preserve">Kapittel 1 – Innledning</w:t>
        </w:r>
      </w:hyperlink>
    </w:p>
    <w:p>
      <w:pPr>
        <w:pStyle w:val="Compact"/>
        <w:numPr>
          <w:ilvl w:val="1"/>
          <w:numId w:val="1002"/>
        </w:numPr>
      </w:pPr>
      <w:hyperlink w:anchor="X0419e5daddd52cb6fd8704ea8d0656dd4d470b8">
        <w:r>
          <w:rPr>
            <w:rStyle w:val="Hyperkobling"/>
          </w:rPr>
          <w:t xml:space="preserve">1.1 Bakgrunn og aktualisering</w:t>
        </w:r>
      </w:hyperlink>
    </w:p>
    <w:p>
      <w:pPr>
        <w:pStyle w:val="Compact"/>
        <w:numPr>
          <w:ilvl w:val="1"/>
          <w:numId w:val="1002"/>
        </w:numPr>
      </w:pPr>
      <w:hyperlink w:anchor="X175c0e997efbfa66075b39287718189f8255eaa">
        <w:r>
          <w:rPr>
            <w:rStyle w:val="Hyperkobling"/>
          </w:rPr>
          <w:t xml:space="preserve">1.2 Problemstilling</w:t>
        </w:r>
      </w:hyperlink>
    </w:p>
    <w:p>
      <w:pPr>
        <w:pStyle w:val="Compact"/>
        <w:numPr>
          <w:ilvl w:val="1"/>
          <w:numId w:val="1002"/>
        </w:numPr>
      </w:pPr>
      <w:hyperlink w:anchor="Xc4d55a141669905cf0cc99121aa55862f9dcd7d">
        <w:r>
          <w:rPr>
            <w:rStyle w:val="Hyperkobling"/>
          </w:rPr>
          <w:t xml:space="preserve">1.3 Avgrensninger</w:t>
        </w:r>
      </w:hyperlink>
    </w:p>
    <w:p>
      <w:pPr>
        <w:pStyle w:val="Compact"/>
        <w:numPr>
          <w:ilvl w:val="1"/>
          <w:numId w:val="1002"/>
        </w:numPr>
      </w:pPr>
      <w:hyperlink w:anchor="X3e095dafee749af40cb4c914d3db768534719c1">
        <w:r>
          <w:rPr>
            <w:rStyle w:val="Hyperkobling"/>
          </w:rPr>
          <w:t xml:space="preserve">1.4 Antagelser</w:t>
        </w:r>
      </w:hyperlink>
    </w:p>
    <w:p>
      <w:pPr>
        <w:pStyle w:val="Compact"/>
        <w:numPr>
          <w:ilvl w:val="0"/>
          <w:numId w:val="1001"/>
        </w:numPr>
      </w:pPr>
      <w:hyperlink w:anchor="kapittel-2--litteratur-og-teori">
        <w:r>
          <w:rPr>
            <w:rStyle w:val="Hyperkobling"/>
          </w:rPr>
          <w:t xml:space="preserve">Kapittel 2 – Litteratur og teori</w:t>
        </w:r>
      </w:hyperlink>
    </w:p>
    <w:p>
      <w:pPr>
        <w:pStyle w:val="Compact"/>
        <w:numPr>
          <w:ilvl w:val="1"/>
          <w:numId w:val="1003"/>
        </w:numPr>
      </w:pPr>
      <w:hyperlink w:anchor="X773e33338a162c31fcb2cc0fc2c369cb9bfb914">
        <w:r>
          <w:rPr>
            <w:rStyle w:val="Hyperkobling"/>
          </w:rPr>
          <w:t xml:space="preserve">2.1 Litteraturgjennomgang</w:t>
        </w:r>
      </w:hyperlink>
    </w:p>
    <w:p>
      <w:pPr>
        <w:pStyle w:val="Compact"/>
        <w:numPr>
          <w:ilvl w:val="1"/>
          <w:numId w:val="1003"/>
        </w:numPr>
      </w:pPr>
      <w:hyperlink w:anchor="Xd5e9e00766979001b1671b4e519fb501f3cd2f9">
        <w:r>
          <w:rPr>
            <w:rStyle w:val="Hyperkobling"/>
          </w:rPr>
          <w:t xml:space="preserve">2.2 ABC-analyse</w:t>
        </w:r>
      </w:hyperlink>
    </w:p>
    <w:p>
      <w:pPr>
        <w:pStyle w:val="Compact"/>
        <w:numPr>
          <w:ilvl w:val="1"/>
          <w:numId w:val="1003"/>
        </w:numPr>
      </w:pPr>
      <w:hyperlink w:anchor="Xc6805856c21294ce4d50be2e0b4a2dc6fdc93cb">
        <w:r>
          <w:rPr>
            <w:rStyle w:val="Hyperkobling"/>
          </w:rPr>
          <w:t xml:space="preserve">2.3 XYZ-klassifisering</w:t>
        </w:r>
      </w:hyperlink>
    </w:p>
    <w:p>
      <w:pPr>
        <w:pStyle w:val="Compact"/>
        <w:numPr>
          <w:ilvl w:val="1"/>
          <w:numId w:val="1003"/>
        </w:numPr>
      </w:pPr>
      <w:hyperlink w:anchor="X1c8e83e63fb169b53518dd25f7e6e647f87058c">
        <w:r>
          <w:rPr>
            <w:rStyle w:val="Hyperkobling"/>
          </w:rPr>
          <w:t xml:space="preserve">2.4 Economic Order Quantity (EOQ)</w:t>
        </w:r>
      </w:hyperlink>
    </w:p>
    <w:p>
      <w:pPr>
        <w:pStyle w:val="Compact"/>
        <w:numPr>
          <w:ilvl w:val="1"/>
          <w:numId w:val="1003"/>
        </w:numPr>
      </w:pPr>
      <w:hyperlink w:anchor="X39f9f8a6cf947ed30e4afa16ca472ead369600d">
        <w:r>
          <w:rPr>
            <w:rStyle w:val="Hyperkobling"/>
          </w:rPr>
          <w:t xml:space="preserve">2.5 K-means klyngeanalyse</w:t>
        </w:r>
      </w:hyperlink>
    </w:p>
    <w:p>
      <w:pPr>
        <w:pStyle w:val="Compact"/>
        <w:numPr>
          <w:ilvl w:val="1"/>
          <w:numId w:val="1003"/>
        </w:numPr>
      </w:pPr>
      <w:hyperlink w:anchor="X099499ffad8dd38df18a28f0d7bab8e407ea072">
        <w:r>
          <w:rPr>
            <w:rStyle w:val="Hyperkobling"/>
          </w:rPr>
          <w:t xml:space="preserve">2.6 Lagerstyring i helsesektoren</w:t>
        </w:r>
      </w:hyperlink>
    </w:p>
    <w:p>
      <w:pPr>
        <w:pStyle w:val="Compact"/>
        <w:numPr>
          <w:ilvl w:val="1"/>
          <w:numId w:val="1003"/>
        </w:numPr>
      </w:pPr>
      <w:hyperlink w:anchor="X752625820fc56a7b9e5b1fde85b7512afb22e9e">
        <w:r>
          <w:rPr>
            <w:rStyle w:val="Hyperkobling"/>
          </w:rPr>
          <w:t xml:space="preserve">2.7 Konseptuelt rammeverk</w:t>
        </w:r>
      </w:hyperlink>
    </w:p>
    <w:p>
      <w:pPr>
        <w:pStyle w:val="Compact"/>
        <w:numPr>
          <w:ilvl w:val="0"/>
          <w:numId w:val="1001"/>
        </w:numPr>
      </w:pPr>
      <w:hyperlink w:anchor="kapittel-3--casebeskrivelse">
        <w:r>
          <w:rPr>
            <w:rStyle w:val="Hyperkobling"/>
          </w:rPr>
          <w:t xml:space="preserve">Kapittel 3 – Casebeskrivelse</w:t>
        </w:r>
      </w:hyperlink>
    </w:p>
    <w:p>
      <w:pPr>
        <w:pStyle w:val="Compact"/>
        <w:numPr>
          <w:ilvl w:val="1"/>
          <w:numId w:val="1004"/>
        </w:numPr>
      </w:pPr>
      <w:hyperlink w:anchor="Xc20394efa6ad2efb47ec8c65bb8a1ec747004e5">
        <w:r>
          <w:rPr>
            <w:rStyle w:val="Hyperkobling"/>
          </w:rPr>
          <w:t xml:space="preserve">3.1 Helse Bergen og Helse Vest</w:t>
        </w:r>
      </w:hyperlink>
    </w:p>
    <w:p>
      <w:pPr>
        <w:pStyle w:val="Compact"/>
        <w:numPr>
          <w:ilvl w:val="1"/>
          <w:numId w:val="1004"/>
        </w:numPr>
      </w:pPr>
      <w:hyperlink w:anchor="X42f1a8c598732c1939557a263dc2b0c2e7e854b">
        <w:r>
          <w:rPr>
            <w:rStyle w:val="Hyperkobling"/>
          </w:rPr>
          <w:t xml:space="preserve">3.2 HVFS og LIBRA-prosjektet</w:t>
        </w:r>
      </w:hyperlink>
    </w:p>
    <w:p>
      <w:pPr>
        <w:pStyle w:val="Compact"/>
        <w:numPr>
          <w:ilvl w:val="1"/>
          <w:numId w:val="1004"/>
        </w:numPr>
      </w:pPr>
      <w:hyperlink w:anchor="X65c45e8d07948a75d6124393ea3f6446b24ed03">
        <w:r>
          <w:rPr>
            <w:rStyle w:val="Hyperkobling"/>
          </w:rPr>
          <w:t xml:space="preserve">3.3 Problemkontekst og datagrunnlag</w:t>
        </w:r>
      </w:hyperlink>
    </w:p>
    <w:p>
      <w:pPr>
        <w:pStyle w:val="Compact"/>
        <w:numPr>
          <w:ilvl w:val="0"/>
          <w:numId w:val="1001"/>
        </w:numPr>
      </w:pPr>
      <w:hyperlink w:anchor="kapittel-4--metode-og-data">
        <w:r>
          <w:rPr>
            <w:rStyle w:val="Hyperkobling"/>
          </w:rPr>
          <w:t xml:space="preserve">Kapittel 4 – Metode og data</w:t>
        </w:r>
      </w:hyperlink>
    </w:p>
    <w:p>
      <w:pPr>
        <w:pStyle w:val="Compact"/>
        <w:numPr>
          <w:ilvl w:val="1"/>
          <w:numId w:val="1005"/>
        </w:numPr>
      </w:pPr>
      <w:hyperlink w:anchor="Xd8c1766b96668b7d74ae030e8d73f3111c04fd9">
        <w:r>
          <w:rPr>
            <w:rStyle w:val="Hyperkobling"/>
          </w:rPr>
          <w:t xml:space="preserve">4.1 Forskningsdesign</w:t>
        </w:r>
      </w:hyperlink>
    </w:p>
    <w:p>
      <w:pPr>
        <w:pStyle w:val="Compact"/>
        <w:numPr>
          <w:ilvl w:val="1"/>
          <w:numId w:val="1005"/>
        </w:numPr>
      </w:pPr>
      <w:hyperlink w:anchor="X6832ab2a759f551aea42f44bcb407d1a2e1f819">
        <w:r>
          <w:rPr>
            <w:rStyle w:val="Hyperkobling"/>
          </w:rPr>
          <w:t xml:space="preserve">4.2 Datainnsamling</w:t>
        </w:r>
      </w:hyperlink>
    </w:p>
    <w:p>
      <w:pPr>
        <w:pStyle w:val="Compact"/>
        <w:numPr>
          <w:ilvl w:val="1"/>
          <w:numId w:val="1005"/>
        </w:numPr>
      </w:pPr>
      <w:hyperlink w:anchor="Xac8c986274149ad7753eaef4875dde59d8fa31d">
        <w:r>
          <w:rPr>
            <w:rStyle w:val="Hyperkobling"/>
          </w:rPr>
          <w:t xml:space="preserve">4.3 Dataforbehandling</w:t>
        </w:r>
      </w:hyperlink>
    </w:p>
    <w:p>
      <w:pPr>
        <w:pStyle w:val="Compact"/>
        <w:numPr>
          <w:ilvl w:val="1"/>
          <w:numId w:val="1005"/>
        </w:numPr>
      </w:pPr>
      <w:hyperlink w:anchor="X7d574632bca03dda24516f571193dca75159f8d">
        <w:r>
          <w:rPr>
            <w:rStyle w:val="Hyperkobling"/>
          </w:rPr>
          <w:t xml:space="preserve">4.4 Etiske betraktninger og begrensninger</w:t>
        </w:r>
      </w:hyperlink>
    </w:p>
    <w:p>
      <w:pPr>
        <w:pStyle w:val="Compact"/>
        <w:numPr>
          <w:ilvl w:val="1"/>
          <w:numId w:val="1005"/>
        </w:numPr>
      </w:pPr>
      <w:hyperlink w:anchor="Xc8fb810dc1d4e2d8895c72135132d7c1ab1f7c0">
        <w:r>
          <w:rPr>
            <w:rStyle w:val="Hyperkobling"/>
          </w:rPr>
          <w:t xml:space="preserve">4.5 Bruk av KI-verktøy</w:t>
        </w:r>
      </w:hyperlink>
    </w:p>
    <w:p>
      <w:pPr>
        <w:pStyle w:val="Compact"/>
        <w:numPr>
          <w:ilvl w:val="0"/>
          <w:numId w:val="1001"/>
        </w:numPr>
      </w:pPr>
      <w:hyperlink w:anchor="kapittel-5--modellering">
        <w:r>
          <w:rPr>
            <w:rStyle w:val="Hyperkobling"/>
          </w:rPr>
          <w:t xml:space="preserve">Kapittel 5 – Modellering</w:t>
        </w:r>
      </w:hyperlink>
    </w:p>
    <w:p>
      <w:pPr>
        <w:pStyle w:val="Compact"/>
        <w:numPr>
          <w:ilvl w:val="1"/>
          <w:numId w:val="1006"/>
        </w:numPr>
      </w:pPr>
      <w:hyperlink w:anchor="X4f3f61bb3dda38240a74149577abab2240c9dd0">
        <w:r>
          <w:rPr>
            <w:rStyle w:val="Hyperkobling"/>
          </w:rPr>
          <w:t xml:space="preserve">5.1 ABC-modellen</w:t>
        </w:r>
      </w:hyperlink>
    </w:p>
    <w:p>
      <w:pPr>
        <w:pStyle w:val="Compact"/>
        <w:numPr>
          <w:ilvl w:val="1"/>
          <w:numId w:val="1006"/>
        </w:numPr>
      </w:pPr>
      <w:hyperlink w:anchor="Xbf60acdabdb859c99d579c912f8a558f99134a6">
        <w:r>
          <w:rPr>
            <w:rStyle w:val="Hyperkobling"/>
          </w:rPr>
          <w:t xml:space="preserve">5.2 XYZ-modellen</w:t>
        </w:r>
      </w:hyperlink>
    </w:p>
    <w:p>
      <w:pPr>
        <w:pStyle w:val="Compact"/>
        <w:numPr>
          <w:ilvl w:val="1"/>
          <w:numId w:val="1006"/>
        </w:numPr>
      </w:pPr>
      <w:hyperlink w:anchor="X8f2f06632a149415ef28093a4fc4f59cc150694">
        <w:r>
          <w:rPr>
            <w:rStyle w:val="Hyperkobling"/>
          </w:rPr>
          <w:t xml:space="preserve">5.3 EOQ-modellen og besparelsesformelen</w:t>
        </w:r>
      </w:hyperlink>
    </w:p>
    <w:p>
      <w:pPr>
        <w:pStyle w:val="Compact"/>
        <w:numPr>
          <w:ilvl w:val="1"/>
          <w:numId w:val="1006"/>
        </w:numPr>
      </w:pPr>
      <w:hyperlink w:anchor="X44882517ea7d1fb4b93bcb25418b25e869fd428">
        <w:r>
          <w:rPr>
            <w:rStyle w:val="Hyperkobling"/>
          </w:rPr>
          <w:t xml:space="preserve">5.4 K-means klyngemodellen</w:t>
        </w:r>
      </w:hyperlink>
    </w:p>
    <w:p>
      <w:pPr>
        <w:pStyle w:val="Compact"/>
        <w:numPr>
          <w:ilvl w:val="1"/>
          <w:numId w:val="1006"/>
        </w:numPr>
      </w:pPr>
      <w:hyperlink w:anchor="X3f810dd7b80faea332fb5456f47e09eedc35df4">
        <w:r>
          <w:rPr>
            <w:rStyle w:val="Hyperkobling"/>
          </w:rPr>
          <w:t xml:space="preserve">5.5 Regelmotor</w:t>
        </w:r>
      </w:hyperlink>
    </w:p>
    <w:p>
      <w:pPr>
        <w:pStyle w:val="Compact"/>
        <w:numPr>
          <w:ilvl w:val="0"/>
          <w:numId w:val="1001"/>
        </w:numPr>
      </w:pPr>
      <w:hyperlink w:anchor="kapittel-6--analyse">
        <w:r>
          <w:rPr>
            <w:rStyle w:val="Hyperkobling"/>
          </w:rPr>
          <w:t xml:space="preserve">Kapittel 6 – Analyse</w:t>
        </w:r>
      </w:hyperlink>
    </w:p>
    <w:p>
      <w:pPr>
        <w:pStyle w:val="Compact"/>
        <w:numPr>
          <w:ilvl w:val="1"/>
          <w:numId w:val="1007"/>
        </w:numPr>
      </w:pPr>
      <w:hyperlink w:anchor="X16e0056b700bfbafe626603f0e0557e365dcb58">
        <w:r>
          <w:rPr>
            <w:rStyle w:val="Hyperkobling"/>
          </w:rPr>
          <w:t xml:space="preserve">6.1 ABC-analyse av 709 artikler</w:t>
        </w:r>
      </w:hyperlink>
    </w:p>
    <w:p>
      <w:pPr>
        <w:pStyle w:val="Compact"/>
        <w:numPr>
          <w:ilvl w:val="1"/>
          <w:numId w:val="1007"/>
        </w:numPr>
      </w:pPr>
      <w:hyperlink w:anchor="Xcf4643fa052939442cbfa83cda3914f624d33ac">
        <w:r>
          <w:rPr>
            <w:rStyle w:val="Hyperkobling"/>
          </w:rPr>
          <w:t xml:space="preserve">6.2 XYZ-klassifisering</w:t>
        </w:r>
      </w:hyperlink>
    </w:p>
    <w:p>
      <w:pPr>
        <w:pStyle w:val="Compact"/>
        <w:numPr>
          <w:ilvl w:val="1"/>
          <w:numId w:val="1007"/>
        </w:numPr>
      </w:pPr>
      <w:hyperlink w:anchor="X095aa3cf5efecf30be352e0c1d5307be882461d">
        <w:r>
          <w:rPr>
            <w:rStyle w:val="Hyperkobling"/>
          </w:rPr>
          <w:t xml:space="preserve">6.3 EOQ-avviksberegning</w:t>
        </w:r>
      </w:hyperlink>
    </w:p>
    <w:p>
      <w:pPr>
        <w:pStyle w:val="Compact"/>
        <w:numPr>
          <w:ilvl w:val="1"/>
          <w:numId w:val="1007"/>
        </w:numPr>
      </w:pPr>
      <w:hyperlink w:anchor="Xbf011c0de74bb2911f2161bdb1601762498b1b3">
        <w:r>
          <w:rPr>
            <w:rStyle w:val="Hyperkobling"/>
          </w:rPr>
          <w:t xml:space="preserve">6.4 K-means klyngeanalyse</w:t>
        </w:r>
      </w:hyperlink>
    </w:p>
    <w:p>
      <w:pPr>
        <w:pStyle w:val="Compact"/>
        <w:numPr>
          <w:ilvl w:val="1"/>
          <w:numId w:val="1007"/>
        </w:numPr>
      </w:pPr>
      <w:hyperlink w:anchor="X81339a7daaa53dd4fefa816b4a6fabb3c47561d">
        <w:r>
          <w:rPr>
            <w:rStyle w:val="Hyperkobling"/>
          </w:rPr>
          <w:t xml:space="preserve">6.5 Regelmotor og HVFS-scoring</w:t>
        </w:r>
      </w:hyperlink>
    </w:p>
    <w:p>
      <w:pPr>
        <w:pStyle w:val="Compact"/>
        <w:numPr>
          <w:ilvl w:val="0"/>
          <w:numId w:val="1001"/>
        </w:numPr>
      </w:pPr>
      <w:hyperlink w:anchor="kapittel-7--resultater">
        <w:r>
          <w:rPr>
            <w:rStyle w:val="Hyperkobling"/>
          </w:rPr>
          <w:t xml:space="preserve">Kapittel 7 – Resultater</w:t>
        </w:r>
      </w:hyperlink>
    </w:p>
    <w:p>
      <w:pPr>
        <w:pStyle w:val="Compact"/>
        <w:numPr>
          <w:ilvl w:val="1"/>
          <w:numId w:val="1008"/>
        </w:numPr>
      </w:pPr>
      <w:hyperlink w:anchor="Xb4839608cf7dd051e7cc31af1e162b1bbcb6381">
        <w:r>
          <w:rPr>
            <w:rStyle w:val="Hyperkobling"/>
          </w:rPr>
          <w:t xml:space="preserve">7.1 ABC-resultater</w:t>
        </w:r>
      </w:hyperlink>
    </w:p>
    <w:p>
      <w:pPr>
        <w:pStyle w:val="Compact"/>
        <w:numPr>
          <w:ilvl w:val="1"/>
          <w:numId w:val="1008"/>
        </w:numPr>
      </w:pPr>
      <w:hyperlink w:anchor="Xf541a33f9ed14f3bcfec0c0d43565818ac853c5">
        <w:r>
          <w:rPr>
            <w:rStyle w:val="Hyperkobling"/>
          </w:rPr>
          <w:t xml:space="preserve">7.2 XYZ-resultater</w:t>
        </w:r>
      </w:hyperlink>
    </w:p>
    <w:p>
      <w:pPr>
        <w:pStyle w:val="Compact"/>
        <w:numPr>
          <w:ilvl w:val="1"/>
          <w:numId w:val="1008"/>
        </w:numPr>
      </w:pPr>
      <w:hyperlink w:anchor="X526cb4bc72cfad0c711d33877fa14f229b105ac">
        <w:r>
          <w:rPr>
            <w:rStyle w:val="Hyperkobling"/>
          </w:rPr>
          <w:t xml:space="preserve">7.3 EOQ-avviksresultater</w:t>
        </w:r>
      </w:hyperlink>
    </w:p>
    <w:p>
      <w:pPr>
        <w:pStyle w:val="Compact"/>
        <w:numPr>
          <w:ilvl w:val="1"/>
          <w:numId w:val="1008"/>
        </w:numPr>
      </w:pPr>
      <w:hyperlink w:anchor="X904deb8486251b1267ffe8fda8f16ea592c0b80">
        <w:r>
          <w:rPr>
            <w:rStyle w:val="Hyperkobling"/>
          </w:rPr>
          <w:t xml:space="preserve">7.4 K-means klyngeresultater</w:t>
        </w:r>
      </w:hyperlink>
    </w:p>
    <w:p>
      <w:pPr>
        <w:pStyle w:val="Compact"/>
        <w:numPr>
          <w:ilvl w:val="1"/>
          <w:numId w:val="1008"/>
        </w:numPr>
      </w:pPr>
      <w:hyperlink w:anchor="X702c28d1fd95dd9b10b227ce1e234003efb0cdc">
        <w:r>
          <w:rPr>
            <w:rStyle w:val="Hyperkobling"/>
          </w:rPr>
          <w:t xml:space="preserve">7.5 Regelmotor og HVFS-anbefalinger</w:t>
        </w:r>
      </w:hyperlink>
    </w:p>
    <w:p>
      <w:pPr>
        <w:pStyle w:val="Compact"/>
        <w:numPr>
          <w:ilvl w:val="1"/>
          <w:numId w:val="1008"/>
        </w:numPr>
      </w:pPr>
      <w:hyperlink w:anchor="Xd83e4ff257e492222d1186b323ac729a7972b7c">
        <w:r>
          <w:rPr>
            <w:rStyle w:val="Hyperkobling"/>
          </w:rPr>
          <w:t xml:space="preserve">7.6 Besparelse og sensitivitet</w:t>
        </w:r>
      </w:hyperlink>
    </w:p>
    <w:p>
      <w:pPr>
        <w:pStyle w:val="Compact"/>
        <w:numPr>
          <w:ilvl w:val="0"/>
          <w:numId w:val="1001"/>
        </w:numPr>
      </w:pPr>
      <w:hyperlink w:anchor="kapittel-8--diskusjon">
        <w:r>
          <w:rPr>
            <w:rStyle w:val="Hyperkobling"/>
          </w:rPr>
          <w:t xml:space="preserve">Kapittel 8 – Diskusjon</w:t>
        </w:r>
      </w:hyperlink>
    </w:p>
    <w:p>
      <w:pPr>
        <w:pStyle w:val="Compact"/>
        <w:numPr>
          <w:ilvl w:val="1"/>
          <w:numId w:val="1009"/>
        </w:numPr>
      </w:pPr>
      <w:hyperlink w:anchor="Xd6bc38df4a8ff78612a7e4f4becae2093692f47">
        <w:r>
          <w:rPr>
            <w:rStyle w:val="Hyperkobling"/>
          </w:rPr>
          <w:t xml:space="preserve">8.1 Funn opp mot litteraturen</w:t>
        </w:r>
      </w:hyperlink>
    </w:p>
    <w:p>
      <w:pPr>
        <w:pStyle w:val="Compact"/>
        <w:numPr>
          <w:ilvl w:val="1"/>
          <w:numId w:val="1009"/>
        </w:numPr>
      </w:pPr>
      <w:hyperlink w:anchor="X4dd0503571b8c3e5ba9a0b58d742047908e1ed0">
        <w:r>
          <w:rPr>
            <w:rStyle w:val="Hyperkobling"/>
          </w:rPr>
          <w:t xml:space="preserve">8.2 Metodekritikk</w:t>
        </w:r>
      </w:hyperlink>
    </w:p>
    <w:p>
      <w:pPr>
        <w:pStyle w:val="Compact"/>
        <w:numPr>
          <w:ilvl w:val="1"/>
          <w:numId w:val="1009"/>
        </w:numPr>
      </w:pPr>
      <w:hyperlink w:anchor="X82d434337aa622a3a64dcdbfe9b4d3ba455b11c">
        <w:r>
          <w:rPr>
            <w:rStyle w:val="Hyperkobling"/>
          </w:rPr>
          <w:t xml:space="preserve">8.3 Praktisk betydning for Helse Bergen</w:t>
        </w:r>
      </w:hyperlink>
    </w:p>
    <w:p>
      <w:pPr>
        <w:pStyle w:val="Compact"/>
        <w:numPr>
          <w:ilvl w:val="1"/>
          <w:numId w:val="1009"/>
        </w:numPr>
      </w:pPr>
      <w:hyperlink w:anchor="X65d9406b9bdda4e436fc22303163f8b36fb0291">
        <w:r>
          <w:rPr>
            <w:rStyle w:val="Hyperkobling"/>
          </w:rPr>
          <w:t xml:space="preserve">8.4 Svakheter og begrensninger</w:t>
        </w:r>
      </w:hyperlink>
    </w:p>
    <w:p>
      <w:pPr>
        <w:pStyle w:val="Compact"/>
        <w:numPr>
          <w:ilvl w:val="0"/>
          <w:numId w:val="1001"/>
        </w:numPr>
      </w:pPr>
      <w:hyperlink w:anchor="kapittel-9--konklusjon">
        <w:r>
          <w:rPr>
            <w:rStyle w:val="Hyperkobling"/>
          </w:rPr>
          <w:t xml:space="preserve">Kapittel 9 – Konklusjon</w:t>
        </w:r>
      </w:hyperlink>
    </w:p>
    <w:p>
      <w:pPr>
        <w:pStyle w:val="Compact"/>
        <w:numPr>
          <w:ilvl w:val="1"/>
          <w:numId w:val="1010"/>
        </w:numPr>
      </w:pPr>
      <w:hyperlink w:anchor="Xbe6acf7567579aef3a3d68c5789a72d1718158f">
        <w:r>
          <w:rPr>
            <w:rStyle w:val="Hyperkobling"/>
          </w:rPr>
          <w:t xml:space="preserve">9.1 Svar på problemstillingen</w:t>
        </w:r>
      </w:hyperlink>
    </w:p>
    <w:p>
      <w:pPr>
        <w:pStyle w:val="Compact"/>
        <w:numPr>
          <w:ilvl w:val="1"/>
          <w:numId w:val="1010"/>
        </w:numPr>
      </w:pPr>
      <w:hyperlink w:anchor="Xf47835b1c439ed97a6d05bfea589649b7ac2433">
        <w:r>
          <w:rPr>
            <w:rStyle w:val="Hyperkobling"/>
          </w:rPr>
          <w:t xml:space="preserve">9.2 Anbefalinger til Helse Bergen</w:t>
        </w:r>
      </w:hyperlink>
    </w:p>
    <w:p>
      <w:pPr>
        <w:pStyle w:val="Compact"/>
        <w:numPr>
          <w:ilvl w:val="1"/>
          <w:numId w:val="1010"/>
        </w:numPr>
      </w:pPr>
      <w:hyperlink w:anchor="X1564c5a81d51f49fd672b3086441662153aac71">
        <w:r>
          <w:rPr>
            <w:rStyle w:val="Hyperkobling"/>
          </w:rPr>
          <w:t xml:space="preserve">9.3 Forslag til videre forskning</w:t>
        </w:r>
      </w:hyperlink>
    </w:p>
    <w:p>
      <w:pPr>
        <w:pStyle w:val="Compact"/>
        <w:numPr>
          <w:ilvl w:val="0"/>
          <w:numId w:val="1001"/>
        </w:numPr>
      </w:pPr>
      <w:hyperlink w:anchor="referanseliste">
        <w:r>
          <w:rPr>
            <w:rStyle w:val="Hyperkobling"/>
          </w:rPr>
          <w:t xml:space="preserve">Referanseliste</w:t>
        </w:r>
      </w:hyperlink>
    </w:p>
    <w:p>
      <w:pPr>
        <w:pStyle w:val="Compact"/>
        <w:numPr>
          <w:ilvl w:val="0"/>
          <w:numId w:val="1001"/>
        </w:numPr>
      </w:pPr>
      <w:hyperlink w:anchor="vedlegg">
        <w:r>
          <w:rPr>
            <w:rStyle w:val="Hyperkobling"/>
          </w:rPr>
          <w:t xml:space="preserve">Vedlegg</w:t>
        </w:r>
      </w:hyperlink>
    </w:p>
    <w:p>
      <w:pPr>
        <w:pStyle w:val="Compact"/>
        <w:numPr>
          <w:ilvl w:val="1"/>
          <w:numId w:val="1011"/>
        </w:numPr>
      </w:pPr>
      <w:hyperlink w:anchor="vedlegg-a--sap-dataspesifikasjon">
        <w:r>
          <w:rPr>
            <w:rStyle w:val="Hyperkobling"/>
          </w:rPr>
          <w:t xml:space="preserve">Vedlegg A – SAP-dataspesifikasjon</w:t>
        </w:r>
      </w:hyperlink>
    </w:p>
    <w:p>
      <w:pPr>
        <w:pStyle w:val="Compact"/>
        <w:numPr>
          <w:ilvl w:val="1"/>
          <w:numId w:val="1011"/>
        </w:numPr>
      </w:pPr>
      <w:hyperlink w:anchor="vedlegg-b--python-analyseverktøy">
        <w:r>
          <w:rPr>
            <w:rStyle w:val="Hyperkobling"/>
          </w:rPr>
          <w:t xml:space="preserve">Vedlegg B – Python-analyseverktøy</w:t>
        </w:r>
      </w:hyperlink>
    </w:p>
    <w:p>
      <w:pPr>
        <w:pStyle w:val="Compact"/>
        <w:numPr>
          <w:ilvl w:val="1"/>
          <w:numId w:val="1011"/>
        </w:numPr>
      </w:pPr>
      <w:hyperlink w:anchor="X58b03d4ca90b507f68d3dde828fc27986173ad9">
        <w:r>
          <w:rPr>
            <w:rStyle w:val="Hyperkobling"/>
          </w:rPr>
          <w:t xml:space="preserve">Vedlegg C – Erklæring om bruk av kunstig intelligens</w:t>
        </w:r>
      </w:hyperlink>
    </w:p>
    <w:p>
      <w:r>
        <w:pict>
          <v:rect style="width:0;height:1.5pt" o:hralign="center" o:hrstd="t" o:hr="t"/>
        </w:pict>
      </w:r>
    </w:p>
    <w:bookmarkEnd w:id="28"/>
    <w:bookmarkStart w:id="29" w:name="forord"/>
    <w:p>
      <w:pPr>
        <w:pStyle w:val="Overskrift1"/>
      </w:pPr>
      <w:r>
        <w:t xml:space="preserve">Forord</w:t>
      </w:r>
    </w:p>
    <w:p>
      <w:pPr>
        <w:pStyle w:val="FirstParagraph"/>
      </w:pPr>
      <w:r>
        <w:t xml:space="preserve">Denne bacheloroppgaven er skrevet som avsluttende arbeid i studiet LOG650 Forskningsprosjekt: Logistikk og kunstig intelligens ved Høgskolen i Molde, vårsemesteret 2026.</w:t>
      </w:r>
    </w:p>
    <w:p>
      <w:pPr>
        <w:pStyle w:val="BodyText"/>
      </w:pPr>
      <w:r>
        <w:t xml:space="preserve">Jeg vil rette en hjertelig takk til min veileder, Bård Inge Austigard Pettersen, for faglig engasjement, konstruktive tilbakemeldinger og tydelige forventninger gjennom hele prosessen. Hans kombinasjon av akademisk presisjon og praktisk forankring har vært uvurderlig for å løfte oppgaven fra en teknisk analyse til et faglig gjennomarbeidet forskningsprosjekt.</w:t>
      </w:r>
    </w:p>
    <w:p>
      <w:pPr>
        <w:pStyle w:val="BodyText"/>
      </w:pPr>
      <w:r>
        <w:t xml:space="preserve">Takk til Helse Bergen ved innkjøps- og logistikkavdelingen for tilgang til transaksjonsdata fra SAP S/4HANA. Uten tillatelse til å hente ut data fra forsyningslagerets 14 kildetabeller via SE16H hadde den kvantitative analysen ikke vært gjennomførbar. Datagrunnlaget er behandlet i henhold til gjeldende retningslinjer for personvern og informasjonssikkerhet, og ingen pasientdata er benyttet i studien.</w:t>
      </w:r>
    </w:p>
    <w:p>
      <w:pPr>
        <w:pStyle w:val="BodyText"/>
      </w:pPr>
      <w:r>
        <w:t xml:space="preserve">Motivasjonen for å skrive om dette temaet springer ut av min daglige jobb som SAP MM-konsulent ved Helse Vest IKT, der jeg arbeider med materialstyring og logistikk i SAP S/4HANA som del av LIBRA-prosjektet – Helse Vest sin regionale SAP-implementering. Gjennom dette arbeidet ser jeg at det finnes et reelt gap mellom de datamengdene som allerede eksisterer i systemet og den innsikten som faktisk utnyttes til å ta operasjonelle og strategiske beslutninger. Denne oppgaven er et forsøk på å bygge bro over det gapet, og å demonstrere at transaksjonsdataene i SAP – riktig bearbeidet – kan gi et robust grunnlag for å identifisere overføringskandidater til Helse Vest Forsyningssenter.</w:t>
      </w:r>
    </w:p>
    <w:p>
      <w:pPr>
        <w:pStyle w:val="BodyText"/>
      </w:pPr>
      <w:r>
        <w:t xml:space="preserve">Jeg vil også takke min samboer Hilde for tålmodighet og støtte gjennom et krevende semester med fulltidsjobb ved siden av studiene.</w:t>
      </w:r>
    </w:p>
    <w:p>
      <w:pPr>
        <w:pStyle w:val="BodyText"/>
      </w:pPr>
      <w:r>
        <w:t xml:space="preserve">Stavanger, mai 2026</w:t>
      </w:r>
    </w:p>
    <w:p>
      <w:pPr>
        <w:pStyle w:val="BodyText"/>
      </w:pPr>
      <w:r>
        <w:t xml:space="preserve">Thomas Ekrem Jensen</w:t>
      </w:r>
    </w:p>
    <w:p>
      <w:r>
        <w:pict>
          <v:rect style="width:0;height:1.5pt" o:hralign="center" o:hrstd="t" o:hr="t"/>
        </w:pict>
      </w:r>
    </w:p>
    <w:bookmarkEnd w:id="29"/>
    <w:bookmarkStart w:id="30" w:name="sammendrag"/>
    <w:p>
      <w:pPr>
        <w:pStyle w:val="Overskrift1"/>
      </w:pPr>
      <w:r>
        <w:t xml:space="preserve">Sammendrag</w:t>
      </w:r>
    </w:p>
    <w:p>
      <w:pPr>
        <w:pStyle w:val="FirstParagraph"/>
      </w:pPr>
      <w:r>
        <w:t xml:space="preserve">Denne studien analyserer hvilke artikler ved Helse Bergens forsyningslager (WERKS 3300, LGORT 3001) som bør overføres til Helse Vest Forsyningssenter (HVFS), og estimerer det tilknyttede besparelsespotensialet. Bakgrunnen er LIBRA-prosjektet, Helse Vests regionale implementering av SAP S/4HANA, som legger til rette for sentralisert forsyning via en avdelingspakket leveransemodell (APL). Formålet er å utvikle et datadrevet og reproduserbart rammeverk for sentraliseringsvurdering basert på operasjonelle SAP-transaksjonsdata.</w:t>
      </w:r>
    </w:p>
    <w:p>
      <w:pPr>
        <w:pStyle w:val="BodyText"/>
      </w:pPr>
      <w:r>
        <w:t xml:space="preserve">Datagrunnlaget består av 709 aktive artikler hentet fra 14 tabeller i SAP S/4HANA via transaksjonen SE16H, for perioden 2024–2025. Av totalt 1 006 unike artikkelnumre i LGORT 3001 ble 297 artikler ekskludert fordi de ikke hadde registrert forbruk og ikke hadde lagerbeholdning i analyseperioden — operasjonelt inaktive artikler etter aktivitetskriteriet i D-01. Dataforbehandlingen er dokumentert gjennom åtte eksplisitte datavalgsbeslutninger (D-01 til D-08) og gjennomføres med et deterministisk Python-script for full reproduserbarhet.</w:t>
      </w:r>
    </w:p>
    <w:p>
      <w:pPr>
        <w:pStyle w:val="BodyText"/>
      </w:pPr>
      <w:r>
        <w:t xml:space="preserve">Analysen kombinerer fire metoder i en integrert rørledning: ABC-klassifisering basert på Pareto-prinsippet, XYZ-klassifisering basert på variasjonskoeffisient (CV), EOQ-avviksanalyse med parametere S = 750 kr og h = 20 % av enhetspris, og K-means klyngeanalyse med automatisk K-valg via silhouette-score. Resultatene sammenstilles i en regelmotor med åtte beslutningsregler som klassifiserer hver artikkel i én av tre kategorier: OVERFØR_HVFS, BEHOLD_LOKALT eller TIL_VURDERING.</w:t>
      </w:r>
    </w:p>
    <w:p>
      <w:pPr>
        <w:pStyle w:val="BodyText"/>
      </w:pPr>
      <w:r>
        <w:t xml:space="preserve">ABC-analysen viser at 182 artikler (25,7 %) tilhører A-kategorien og bærer om lag 80 % av den totale verdibindingen; 184 tilhører B og 338 tilhører C — de resterende 5 artiklene kunne ikke ABC-klassifiseres grunnet manglende verdidata. XYZ-analysen klassifiserer 350 artikler som X (stabilt forbruk, CV &lt; 0,5), 193 som Y og 144 som Z; 22 artikler ble ikke XYZ-klassifisert grunnet utilstrekkelig forbrukshistorikk. K-means-analysen identifiserer K = 3 distinkte klynger med silhouette-score 0,383 på treningsdata og 0,368 på testdata, noe som bekrefter en akseptabel klyngestruktur. Regelmotoren anbefaler overføring av 145 artikler (20,5 % av populasjonen), mens 257 artikler beholdes lokalt og 284 sendes til manuell vurdering. Det estimerte besparelsespotensialet er kr 451 515 per år i base case (realiseringsgrad g = 75 % av teoretisk totalkostnavvik</w:t>
      </w:r>
      <w:r>
        <w:t xml:space="preserve"> </w:t>
      </w:r>
      <m:oMath>
        <m:r>
          <m:rPr>
            <m:sty m:val="p"/>
          </m:rPr>
          <m:t>∑</m:t>
        </m:r>
        <m:r>
          <m:rPr>
            <m:sty m:val="p"/>
          </m:rPr>
          <m:t>Δ</m:t>
        </m:r>
        <m:r>
          <m:t>T</m:t>
        </m:r>
        <m:sSub>
          <m:e>
            <m:r>
              <m:t>C</m:t>
            </m:r>
          </m:e>
          <m:sub>
            <m:r>
              <m:t>i</m:t>
            </m:r>
          </m:sub>
        </m:sSub>
      </m:oMath>
      <w:r>
        <w:t xml:space="preserve">), med et pessimistisk scenario på kr 301 010 og et optimistisk på kr 602 020.</w:t>
      </w:r>
    </w:p>
    <w:p>
      <w:pPr>
        <w:pStyle w:val="BodyText"/>
      </w:pPr>
      <w:r>
        <w:t xml:space="preserve">Studien konkluderer med at multikriterieklassifisering og klyngeanalyse av SAP-transaksjonsdata gir et operasjonelt anvendbart grunnlag for å identifisere HVFS-overføringskandidater ved Helse Bergen. Sentralisering anbefales, men forutsetter aktiv justering av SAP MM-parametere og en strukturert manuell gjennomgang av TIL VURDERING-gruppen for å realisere det estimerte besparelsespotensialet.</w:t>
      </w:r>
    </w:p>
    <w:p>
      <w:r>
        <w:pict>
          <v:rect style="width:0;height:1.5pt" o:hralign="center" o:hrstd="t" o:hr="t"/>
        </w:pict>
      </w:r>
    </w:p>
    <w:bookmarkEnd w:id="30"/>
    <w:bookmarkStart w:id="35" w:name="kapittel-1-innledning"/>
    <w:p>
      <w:pPr>
        <w:pStyle w:val="Overskrift1"/>
      </w:pPr>
      <w:r>
        <w:t xml:space="preserve">Kapittel 1 – Innledning</w:t>
      </w:r>
    </w:p>
    <w:bookmarkStart w:id="31" w:name="bakgrunn-og-aktualisering"/>
    <w:p>
      <w:pPr>
        <w:pStyle w:val="Overskrift2"/>
      </w:pPr>
      <w:r>
        <w:t xml:space="preserve">1.1 Bakgrunn og aktualisering</w:t>
      </w:r>
    </w:p>
    <w:p>
      <w:pPr>
        <w:pStyle w:val="FirstParagraph"/>
      </w:pPr>
      <w:r>
        <w:t xml:space="preserve">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lagerhåndtering kan utgjøre mellom 30 og 40 prosent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pPr>
        <w:pStyle w:val="BodyText"/>
      </w:pPr>
      <w:r>
        <w:t xml:space="preserve">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pPr>
        <w:pStyle w:val="BodyText"/>
      </w:pPr>
      <w:r>
        <w:t xml:space="preserve">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w:t>
      </w:r>
    </w:p>
    <w:bookmarkEnd w:id="31"/>
    <w:bookmarkStart w:id="32" w:name="problemstilling"/>
    <w:p>
      <w:pPr>
        <w:pStyle w:val="Overskrift2"/>
      </w:pPr>
      <w:r>
        <w:t xml:space="preserve">1.2 Problemstilling</w:t>
      </w:r>
    </w:p>
    <w:p>
      <w:pPr>
        <w:pStyle w:val="FirstParagraph"/>
      </w:pPr>
      <w:r>
        <w:t xml:space="preserve">Oppgaven besvarer følgende forskningsspørsmål:</w:t>
      </w:r>
    </w:p>
    <w:p>
      <w:pPr>
        <w:pStyle w:val="BlockText"/>
      </w:pPr>
      <w:r>
        <w:rPr>
          <w:b/>
          <w:bCs/>
        </w:rPr>
        <w:t xml:space="preserve">Hvordan kan multikriterieklassifisering og klyngeanalyse av SAP-transaksjonsdata identifisere hvilke artikler ved Helse Bergens forsyningslager (WERKS 3300, LGORT 3001) som bør overføres til Helse Vest Forsyningssenter, og hva er det estimerte besparelsespotensialet ved en slik overføring?</w:t>
      </w:r>
    </w:p>
    <w:p>
      <w:pPr>
        <w:pStyle w:val="FirstParagraph"/>
      </w:pPr>
      <w:r>
        <w:t xml:space="preserve">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bookmarkEnd w:id="32"/>
    <w:bookmarkStart w:id="33" w:name="avgrensninger"/>
    <w:p>
      <w:pPr>
        <w:pStyle w:val="Overskrift2"/>
      </w:pPr>
      <w:r>
        <w:t xml:space="preserve">1.3 Avgrensninger</w:t>
      </w:r>
    </w:p>
    <w:p>
      <w:pPr>
        <w:pStyle w:val="FirstParagraph"/>
      </w:pPr>
      <w:r>
        <w:t xml:space="preserve">Oppgaven avgrenses på følgende punkter, begrunnet faglig:</w:t>
      </w:r>
    </w:p>
    <w:p>
      <w:pPr>
        <w:pStyle w:val="BodyText"/>
      </w:pPr>
      <w:r>
        <w:rPr>
          <w:b/>
          <w:bCs/>
        </w:rPr>
        <w:t xml:space="preserve">Lagersted.</w:t>
      </w:r>
      <w:r>
        <w:t xml:space="preserve"> </w:t>
      </w:r>
      <w:r>
        <w:t xml:space="preserve">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pPr>
        <w:pStyle w:val="BodyText"/>
      </w:pPr>
      <w:r>
        <w:rPr>
          <w:b/>
          <w:bCs/>
        </w:rPr>
        <w:t xml:space="preserve">Artikkelstatus.</w:t>
      </w:r>
      <w:r>
        <w:t xml:space="preserve"> </w:t>
      </w:r>
      <w:r>
        <w:t xml:space="preserve">Kun artikler med aktiv status inngår i analysen, definert som artikler med registrert årsforbruk (D_ANNUAL &gt; 0)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pPr>
        <w:pStyle w:val="BodyText"/>
      </w:pPr>
      <w:r>
        <w:rPr>
          <w:b/>
          <w:bCs/>
        </w:rPr>
        <w:t xml:space="preserve">Analyseperiode.</w:t>
      </w:r>
      <w:r>
        <w:t xml:space="preserve"> </w:t>
      </w:r>
      <w:r>
        <w:t xml:space="preserve">Datagrunnlaget er begrenset til 24 måneder (2024–2025). En lengre periode ville økt robustheten i XYZ-klassifiseringen, men data utover denne perioden var ikke tilgjengelig med tilstrekkelig kvalitet fra SAP.</w:t>
      </w:r>
    </w:p>
    <w:p>
      <w:pPr>
        <w:pStyle w:val="BodyText"/>
      </w:pPr>
      <w:r>
        <w:rPr>
          <w:b/>
          <w:bCs/>
        </w:rPr>
        <w:t xml:space="preserve">Metodevalg.</w:t>
      </w:r>
      <w:r>
        <w:t xml:space="preserve"> </w:t>
      </w:r>
      <w:r>
        <w:t xml:space="preserve">Oppgaven anvender veletablerte kvantitative metoder og gjør ikke krav på å utvikle nye modeller. ROP-modulen (reorder point) er identifisert som en naturlig forlengelse, men er utelatt da leveringstidsdata fra EINA/EINE kun dekker 6 prosent av artiklene — et utilstrekkelig grunnlag for robust ROP-beregning.</w:t>
      </w:r>
    </w:p>
    <w:p>
      <w:pPr>
        <w:pStyle w:val="BodyText"/>
      </w:pPr>
      <w:r>
        <w:rPr>
          <w:b/>
          <w:bCs/>
        </w:rPr>
        <w:t xml:space="preserve">Generaliserbarhet.</w:t>
      </w:r>
      <w:r>
        <w:t xml:space="preserve"> </w:t>
      </w:r>
      <w:r>
        <w:t xml:space="preserve">Funnene er gyldige for WERKS 3300 og de konkrete SAP-parameterne som er benyttet. Overføring av metodikken til andre helseforetak i Helse Vest er mulig, men krever ny datakjøring per foretak.</w:t>
      </w:r>
    </w:p>
    <w:bookmarkEnd w:id="33"/>
    <w:bookmarkStart w:id="34" w:name="antagelser"/>
    <w:p>
      <w:pPr>
        <w:pStyle w:val="Overskrift2"/>
      </w:pPr>
      <w:r>
        <w:t xml:space="preserve">1.4 Antagelser</w:t>
      </w:r>
    </w:p>
    <w:p>
      <w:pPr>
        <w:pStyle w:val="FirstParagraph"/>
      </w:pPr>
      <w:r>
        <w:t xml:space="preserve">Analysen hviler på følgende eksplisitte antagelser som ikke er empirisk estimert, men begrunnet ut fra bransjepraksis og tilgjengelig litteratur:</w:t>
      </w:r>
    </w:p>
    <w:p>
      <w:pPr>
        <w:pStyle w:val="BodyText"/>
      </w:pPr>
      <w:r>
        <w:rPr>
          <w:b/>
          <w:bCs/>
        </w:rPr>
        <w:t xml:space="preserve">Ordrekostnad (S = 750 NOK).</w:t>
      </w:r>
      <w:r>
        <w:t xml:space="preserve"> </w:t>
      </w:r>
      <w:r>
        <w:t xml:space="preserve">Kostnaden per bestillingstransaksjon er satt til 750 kroner, basert på estimater fra tilsvarende sykehuslogistikkstudier (Kelle et al., 2012; Bijvank &amp; Vis, 2012). Dette er en antagelse som dekker direkte administrative kostnader knyttet til å opprette, godkjenne og følge opp en innkjøpsordre i SAP. Sensitivitetsanalysen varierer S over intervallet {500, 750, 1 000} NOK for å belyse effekten av denne forutsetningen.</w:t>
      </w:r>
    </w:p>
    <w:p>
      <w:pPr>
        <w:pStyle w:val="BodyText"/>
      </w:pPr>
      <w:r>
        <w:rPr>
          <w:b/>
          <w:bCs/>
        </w:rPr>
        <w:t xml:space="preserve">Holdekostnadssats (h = 20 %).</w:t>
      </w:r>
      <w:r>
        <w:t xml:space="preserve"> </w:t>
      </w:r>
      <w:r>
        <w:t xml:space="preserve">Den årlige holdekostnaden er satt til 20 prosent av enhetsprisen, i tråd med anbefalinger i lagerstyringslitteraturen (Ketkar &amp; Vaidya, 2014). Satsens innvirkning testes i sensitivitetsanalysen over intervallet {15, 20, 25} prosent.</w:t>
      </w:r>
    </w:p>
    <w:p>
      <w:pPr>
        <w:pStyle w:val="BodyText"/>
      </w:pPr>
      <w:r>
        <w:rPr>
          <w:b/>
          <w:bCs/>
        </w:rPr>
        <w:t xml:space="preserve">Analyseperiode og annualisering.</w:t>
      </w:r>
      <w:r>
        <w:t xml:space="preserve"> </w:t>
      </w:r>
      <w:r>
        <w:t xml:space="preserve">Innkjøpsdata (EKBE) dekker 24 måneder. Ordrefrekvens er annualisert ved å multiplisere observert ordreantall med faktoren 12/24.</w:t>
      </w:r>
    </w:p>
    <w:p>
      <w:pPr>
        <w:pStyle w:val="BodyText"/>
      </w:pPr>
      <w:r>
        <w:rPr>
          <w:b/>
          <w:bCs/>
        </w:rPr>
        <w:t xml:space="preserve">Leveringstid (LEAD_TIME = 14 dager).</w:t>
      </w:r>
      <w:r>
        <w:t xml:space="preserve"> </w:t>
      </w:r>
      <w:r>
        <w:t xml:space="preserve">For 94 prosent av artiklene mangler registrert leveringstid i SAP-tabellene EINA/EINE. En fallback-verdi på 14 dager er benyttet. Denne parameteren påvirker ikke EOQ- eller besparelsesberegningene direkte, men er reservert for en fremtidig ROP-modul.</w:t>
      </w:r>
    </w:p>
    <w:p>
      <w:pPr>
        <w:pStyle w:val="BodyText"/>
      </w:pPr>
      <w:r>
        <w:rPr>
          <w:b/>
          <w:bCs/>
        </w:rPr>
        <w:t xml:space="preserve">Besparelsesformel.</w:t>
      </w:r>
      <w:r>
        <w:t xml:space="preserve"> </w:t>
      </w:r>
      <w:r>
        <w:t xml:space="preserve">Besparelsesestimatet er basert på Wilson EOQ-modellen:</w:t>
      </w:r>
    </w:p>
    <w:p>
      <w:pPr>
        <w:pStyle w:val="BodyText"/>
      </w:pPr>
      <m:oMathPara>
        <m:oMathParaPr>
          <m:jc m:val="center"/>
        </m:oMathParaPr>
        <m:oMath>
          <m:sSub>
            <m:e>
              <m:r>
                <m:t>B</m:t>
              </m:r>
            </m:e>
            <m:sub>
              <m:r>
                <m:rPr>
                  <m:nor/>
                  <m:sty m:val="p"/>
                </m:rPr>
                <m:t>HVFS</m:t>
              </m:r>
            </m:sub>
          </m:sSub>
          <m:r>
            <m:rPr>
              <m:sty m:val="p"/>
            </m:rPr>
            <m:t>=</m:t>
          </m:r>
          <m:nary>
            <m:naryPr>
              <m:chr m:val="∑"/>
              <m:limLoc m:val="undOvr"/>
              <m:subHide m:val="off"/>
              <m:supHide m:val="on"/>
            </m:naryPr>
            <m:sub>
              <m:r>
                <m:t>i</m:t>
              </m:r>
              <m:r>
                <m:rPr>
                  <m:sty m:val="p"/>
                </m:rPr>
                <m:t>∈</m:t>
              </m:r>
              <m:r>
                <m:rPr>
                  <m:nor/>
                  <m:sty m:val="p"/>
                </m:rPr>
                <m:t>OVERFØR</m:t>
              </m:r>
            </m:sub>
            <m:sup>
              <m:r>
                <m:t>​</m:t>
              </m:r>
            </m:sup>
            <m:e>
              <m:r>
                <m:rPr>
                  <m:sty m:val="p"/>
                </m:rPr>
                <m:t>Δ</m:t>
              </m:r>
            </m:e>
          </m:nary>
          <m:r>
            <m:t>T</m:t>
          </m:r>
          <m:sSub>
            <m:e>
              <m:r>
                <m:t>C</m:t>
              </m:r>
            </m:e>
            <m:sub>
              <m:r>
                <m:t>i</m:t>
              </m:r>
            </m:sub>
          </m:sSub>
          <m:r>
            <m:rPr>
              <m:sty m:val="p"/>
            </m:rPr>
            <m:t>×</m:t>
          </m:r>
          <m:r>
            <m:t>g</m:t>
          </m:r>
        </m:oMath>
      </m:oMathPara>
    </w:p>
    <w:p>
      <w:pPr>
        <w:pStyle w:val="FirstParagraph"/>
      </w:pPr>
      <w:r>
        <w:t xml:space="preserve">der</w:t>
      </w:r>
      <w:r>
        <w:t xml:space="preserve"> </w:t>
      </w:r>
      <m:oMath>
        <m:r>
          <m:rPr>
            <m:sty m:val="p"/>
          </m:rPr>
          <m:t>Δ</m:t>
        </m:r>
        <m:r>
          <m:t>T</m:t>
        </m:r>
        <m:sSub>
          <m:e>
            <m:r>
              <m:t>C</m:t>
            </m:r>
          </m:e>
          <m:sub>
            <m:r>
              <m:t>i</m:t>
            </m:r>
          </m:sub>
        </m:sSub>
        <m:r>
          <m:rPr>
            <m:sty m:val="p"/>
          </m:rPr>
          <m:t>=</m:t>
        </m:r>
        <m:r>
          <m:t>T</m:t>
        </m:r>
        <m:sSub>
          <m:e>
            <m:r>
              <m:t>C</m:t>
            </m:r>
          </m:e>
          <m:sub>
            <m:r>
              <m:rPr>
                <m:nor/>
                <m:sty m:val="p"/>
              </m:rPr>
              <m:t>actual</m:t>
            </m:r>
            <m:r>
              <m:rPr>
                <m:sty m:val="p"/>
              </m:rPr>
              <m:t>,</m:t>
            </m:r>
            <m:r>
              <m:t>i</m:t>
            </m:r>
          </m:sub>
        </m:sSub>
        <m:r>
          <m:rPr>
            <m:sty m:val="p"/>
          </m:rPr>
          <m:t>−</m:t>
        </m:r>
        <m:r>
          <m:t>T</m:t>
        </m:r>
        <m:sSub>
          <m:e>
            <m:r>
              <m:t>C</m:t>
            </m:r>
          </m:e>
          <m:sub>
            <m:r>
              <m:rPr>
                <m:nor/>
                <m:sty m:val="p"/>
              </m:rPr>
              <m:t>optimal</m:t>
            </m:r>
            <m:r>
              <m:rPr>
                <m:sty m:val="p"/>
              </m:rPr>
              <m:t>,</m:t>
            </m:r>
            <m:r>
              <m:t>i</m:t>
            </m:r>
          </m:sub>
        </m:sSub>
      </m:oMath>
      <w:r>
        <w:t xml:space="preserve"> </w:t>
      </w:r>
      <w:r>
        <w:t xml:space="preserve">er kostnadsavviket mellom faktisk og optimal ordrefrekvens for artikkel</w:t>
      </w:r>
      <w:r>
        <w:t xml:space="preserve"> </w:t>
      </w:r>
      <m:oMath>
        <m:r>
          <m:t>i</m:t>
        </m:r>
      </m:oMath>
      <w:r>
        <w:t xml:space="preserve">, og</w:t>
      </w:r>
      <w:r>
        <w:t xml:space="preserve"> </w:t>
      </w:r>
      <m:oMath>
        <m:r>
          <m:t>g</m:t>
        </m:r>
      </m:oMath>
      <w:r>
        <w:t xml:space="preserve"> </w:t>
      </w:r>
      <w:r>
        <w:t xml:space="preserve">er en gevinstrealiseringsgrad på 50/75/100 prosent (worst/base/best). Dette er et avgrenset transaksjonskostnadsestimat — det inkluderer ikke varekostnader eller endringer i lagernivå.</w:t>
      </w:r>
    </w:p>
    <w:p>
      <w:r>
        <w:pict>
          <v:rect style="width:0;height:1.5pt" o:hralign="center" o:hrstd="t" o:hr="t"/>
        </w:pict>
      </w:r>
    </w:p>
    <w:p>
      <w:pPr>
        <w:pStyle w:val="FirstParagraph"/>
      </w:pPr>
      <w:r>
        <w:t xml:space="preserve">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objektivt. Kapittel 8 diskuterer funn opp mot litteratur, metodekritikk og praktisk betydning. Kapittel 9 konkluderer og gir anbefalinger til Helse Bergen.</w:t>
      </w:r>
    </w:p>
    <w:p>
      <w:r>
        <w:pict>
          <v:rect style="width:0;height:1.5pt" o:hralign="center" o:hrstd="t" o:hr="t"/>
        </w:pict>
      </w:r>
    </w:p>
    <w:p>
      <w:r>
        <w:pict>
          <v:rect style="width:0;height:1.5pt" o:hralign="center" o:hrstd="t" o:hr="t"/>
        </w:pict>
      </w:r>
    </w:p>
    <w:bookmarkEnd w:id="34"/>
    <w:bookmarkEnd w:id="35"/>
    <w:bookmarkStart w:id="46" w:name="kapittel-2-litteratur-og-teori"/>
    <w:p>
      <w:pPr>
        <w:pStyle w:val="Overskrift1"/>
      </w:pPr>
      <w:r>
        <w:t xml:space="preserve">Kapittel 2 – Litteratur og teori</w:t>
      </w:r>
    </w:p>
    <w:bookmarkStart w:id="36" w:name="litteraturgjennomgang"/>
    <w:p>
      <w:pPr>
        <w:pStyle w:val="Overskrift2"/>
      </w:pPr>
      <w:r>
        <w:t xml:space="preserve">2.1 Litteraturgjennomgang</w:t>
      </w:r>
    </w:p>
    <w:p>
      <w:pPr>
        <w:pStyle w:val="FirstParagraph"/>
      </w:pPr>
      <w:r>
        <w:t xml:space="preserve">Forskning på lagerklassifisering i sykehus har vokst markant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påfallende lite forskning som kobler klassifiseringsmetoder direkte til sentralisering av forsyningskjeden — noe denne oppgaven adresserer.</w:t>
      </w:r>
    </w:p>
    <w:p>
      <w:pPr>
        <w:pStyle w:val="BodyText"/>
      </w:pPr>
      <w:r>
        <w:t xml:space="preserve">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militærmedisinskstudie der ABC kombineres med VED-analyse (Vital, Essential, Desirable) for å differensiere mellom høyverdiartikler og artikler med kritisk klinisk betydning. Kombinasjonsmetodikken gir grunnlag for et mer nyansert klassifiseringssystem, men VED krever klinisk skjønn og er vanskelig å operasjonalisere på tvers av store sortiment uten strukturerte data.</w:t>
      </w:r>
    </w:p>
    <w:p>
      <w:pPr>
        <w:pStyle w:val="BodyText"/>
      </w:pPr>
      <w:r>
        <w:t xml:space="preserve">XYZ-analyse, basert på variasjonskoeffisienten til etterspørselen, fremstår i litteraturen som det mest naturlige komplementet til ABC. Nowotyńska (2013) demonstrerer at XYZ-klassifisering kan gjennomføres systematisk med CV-beregning på historiske forbruksdata, og at kombinasjonsmatrisen ABC/XYZ gir differensierte styringsanbefalinger for ni ulike varekategorier. Suryaputri et al. (2022) bekrefter dette i en casestudie fra helseindustrien, der kombinasjonsanalysen muliggjør mer presis bestillingspolicy per varekategori. Ketkar og Vaidya (2014) utvider perspektivet ytterligere ved å inkludere opptil fire klassifiseringssystemer i én MCDM-modell, men denne kompleksiteten stiller krav til parametervalg og ekspertvurderinger som vanskelig lar seg standardisere.</w:t>
      </w:r>
    </w:p>
    <w:p>
      <w:pPr>
        <w:pStyle w:val="BodyText"/>
      </w:pPr>
      <w:r>
        <w:t xml:space="preserve">Flerkriterietilnærminger har fått økt oppmerksomhet. Keshavarz Ghorabaee et al. (2015) presenterer EDAS-metoden (Evaluation based on Distance from Average Solution) som en alternativ tilnærming til tradisjonell ABC, og argumenterer for at avstandsbaserte rangeringsmetoder er mer robuste overfor ekstremverdier enn kumulative prosentandeler. Partovi og Burton (1993) foreslo allerede på 1990-tallet å bruke AHP (Analytic Hierarchy Process) for å vekte klassifiseringskriterier etter organisasjonens prioriteringer. Begge tilnærminger er faglig interessante, men krever subjektiv vekting — noe som utgjør en svakhet i kvantitative, datadrevne analyser. Denne oppgaven velger å holde seg til objektivt beregnbare kriterier (verdi, CV, EOQ-avvik) for å sikre etterprøvbarhet.</w:t>
      </w:r>
    </w:p>
    <w:p>
      <w:pPr>
        <w:pStyle w:val="BodyText"/>
      </w:pPr>
      <w:r>
        <w:t xml:space="preserve">Bruk av klyngeanalyse for lagerklassifisering er dokumentert i litteraturen som et alternativ som fanger opp sammensatte mønstre uten å kreve forhåndsdefinerte terskelverdier. Srinivasan og Moon (1999) introduserte hierarkisk klynging som verktøy for strategisk analyse av forsyningskjedenettverk, og viste at klyngebaserte beslutninger gir løsninger nær optimale med langt lavere beregningsmessig kompleksitet enn helhetlige optimeringer. K-means som spesifikk algoritme er godt etablert i lagerstyringsapplikasjoner, men kombinasjonen med regelbaserte beslutningssystemer — slik denne oppgaven gjennomfører — er lite dokumentert i sykehuskontekst, og utgjør oppgavens metodiske bidrag.</w:t>
      </w:r>
    </w:p>
    <w:p>
      <w:pPr>
        <w:pStyle w:val="BodyText"/>
      </w:pPr>
      <w:r>
        <w:t xml:space="preserve">van Kampen et al. (2012) gir det mest omfattende rammeverket for SKU-klassifisering som akademisk felt, og identifiserer tre hoveddimensjoner: hvilke karakteristikker som benyttes (verdi, variabilitet, kritikalitet, ledetid), hvilken klassifiseringsteknikk som velges (ABC, clustering, MCDM), og hvordan klassene operasjonaliseres i styringssystemer. Rammeverket er særlig nyttig som posisjoneringsverktøy: denne oppgaven opererer i krysningspunktet mellom alle tre dimensjoner, og er metodisk motivert av at ingen enkelt teknikk alene håndterer den beslutningssituasjonen Helse Bergen står i.</w:t>
      </w:r>
    </w:p>
    <w:p>
      <w:pPr>
        <w:pStyle w:val="BodyText"/>
      </w:pPr>
      <w:r>
        <w:t xml:space="preserve">Det sentrale gapet i litteraturen er fraværet av kvantitative casestudier som kombinerer ABC, XYZ, EOQ-avviksanalyse og klyngeanalyse i en samlet analysemodell koblet mot faktiske SAP-transaksjonsdata, med besparelsesestimat som eksplisitt output. Bijvank og Vis (2012) påpeker at sykehuslogistikk kjennetegnes av begrenset kapasitet, korte ledetidskrav og høy servicekritikalitet — faktorer som gjør standard industrimodeller utilstrekkelige. Moons et al. (2019) understreker behovet for flerkriteriebaserte ytelsesmål fremfor enkelt-dimensjonale kostnadsmål. Saha og Ray (2019) konkluderer i sin gjennomgang av 137 artikler at det er behov for empiriske studier som kobler kvantitative klassifiseringsmodeller til konkrete beslutninger i reelle sykehussystemer. Denne oppgaven søker å fylle nettopp dette gapet.</w:t>
      </w:r>
    </w:p>
    <w:p>
      <w:pPr>
        <w:pStyle w:val="BodyText"/>
      </w:pPr>
      <w:r>
        <w:t xml:space="preserve">Tabell 1 gir en samlet oversikt over de sentrale kildene i litteraturgjennomgangen, organisert etter hovedtema og med kopling til denne oppgavens problemstilling.</w:t>
      </w:r>
    </w:p>
    <w:p>
      <w:pPr>
        <w:pStyle w:val="BodyText"/>
      </w:pPr>
      <w:r>
        <w:rPr>
          <w:i/>
          <w:iCs/>
        </w:rPr>
        <w:t xml:space="preserve">Tabell 1. Litteraturoversikt: sentrale kilder med tema og relevans for oppgaven.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Forfatter(e)</w:t>
            </w:r>
          </w:p>
        </w:tc>
        <w:tc>
          <w:tcPr/>
          <w:p>
            <w:pPr>
              <w:pStyle w:val="Compact"/>
            </w:pPr>
            <w:r>
              <w:t xml:space="preserve">År</w:t>
            </w:r>
          </w:p>
        </w:tc>
        <w:tc>
          <w:tcPr/>
          <w:p>
            <w:pPr>
              <w:pStyle w:val="Compact"/>
            </w:pPr>
            <w:r>
              <w:t xml:space="preserve">Hovedtema</w:t>
            </w:r>
          </w:p>
        </w:tc>
        <w:tc>
          <w:tcPr/>
          <w:p>
            <w:pPr>
              <w:pStyle w:val="Compact"/>
            </w:pPr>
            <w:r>
              <w:t xml:space="preserve">Relevans for oppgaven</w:t>
            </w:r>
          </w:p>
        </w:tc>
      </w:tr>
      <w:tr>
        <w:tc>
          <w:tcPr/>
          <w:p>
            <w:pPr>
              <w:pStyle w:val="Compact"/>
            </w:pPr>
            <w:r>
              <w:t xml:space="preserve">Bijvank &amp; Vis</w:t>
            </w:r>
          </w:p>
        </w:tc>
        <w:tc>
          <w:tcPr/>
          <w:p>
            <w:pPr>
              <w:pStyle w:val="Compact"/>
            </w:pPr>
            <w:r>
              <w:t xml:space="preserve">2012</w:t>
            </w:r>
          </w:p>
        </w:tc>
        <w:tc>
          <w:tcPr/>
          <w:p>
            <w:pPr>
              <w:pStyle w:val="Compact"/>
            </w:pPr>
            <w:r>
              <w:t xml:space="preserve">Lagerstyring ved brukssted i sykehus</w:t>
            </w:r>
          </w:p>
        </w:tc>
        <w:tc>
          <w:tcPr/>
          <w:p>
            <w:pPr>
              <w:pStyle w:val="Compact"/>
            </w:pPr>
            <w:r>
              <w:t xml:space="preserve">Lost-sales-modell, forsyningssikkerhet</w:t>
            </w:r>
          </w:p>
        </w:tc>
      </w:tr>
      <w:tr>
        <w:tc>
          <w:tcPr/>
          <w:p>
            <w:pPr>
              <w:pStyle w:val="Compact"/>
            </w:pPr>
            <w:r>
              <w:t xml:space="preserve">de Vries</w:t>
            </w:r>
          </w:p>
        </w:tc>
        <w:tc>
          <w:tcPr/>
          <w:p>
            <w:pPr>
              <w:pStyle w:val="Compact"/>
            </w:pPr>
            <w:r>
              <w:t xml:space="preserve">2011</w:t>
            </w:r>
          </w:p>
        </w:tc>
        <w:tc>
          <w:tcPr/>
          <w:p>
            <w:pPr>
              <w:pStyle w:val="Compact"/>
            </w:pPr>
            <w:r>
              <w:t xml:space="preserve">Interessentanalyse, lageromstilling i helse</w:t>
            </w:r>
          </w:p>
        </w:tc>
        <w:tc>
          <w:tcPr/>
          <w:p>
            <w:pPr>
              <w:pStyle w:val="Compact"/>
            </w:pPr>
            <w:r>
              <w:t xml:space="preserve">Organisatoriske barrierer ved sentralisering</w:t>
            </w:r>
          </w:p>
        </w:tc>
      </w:tr>
      <w:tr>
        <w:tc>
          <w:tcPr/>
          <w:p>
            <w:pPr>
              <w:pStyle w:val="Compact"/>
            </w:pPr>
            <w:r>
              <w:t xml:space="preserve">Fragapane et al.</w:t>
            </w:r>
          </w:p>
        </w:tc>
        <w:tc>
          <w:tcPr/>
          <w:p>
            <w:pPr>
              <w:pStyle w:val="Compact"/>
            </w:pPr>
            <w:r>
              <w:t xml:space="preserve">2019</w:t>
            </w:r>
          </w:p>
        </w:tc>
        <w:tc>
          <w:tcPr/>
          <w:p>
            <w:pPr>
              <w:pStyle w:val="Compact"/>
            </w:pPr>
            <w:r>
              <w:t xml:space="preserve">Forsyning til brukssted (APL)</w:t>
            </w:r>
          </w:p>
        </w:tc>
        <w:tc>
          <w:tcPr/>
          <w:p>
            <w:pPr>
              <w:pStyle w:val="Compact"/>
            </w:pPr>
            <w:r>
              <w:t xml:space="preserve">APL-leveransemodell, sentraliseringskrav</w:t>
            </w:r>
          </w:p>
        </w:tc>
      </w:tr>
      <w:tr>
        <w:tc>
          <w:tcPr/>
          <w:p>
            <w:pPr>
              <w:pStyle w:val="Compact"/>
            </w:pPr>
            <w:r>
              <w:t xml:space="preserve">Gupta et al.</w:t>
            </w:r>
          </w:p>
        </w:tc>
        <w:tc>
          <w:tcPr/>
          <w:p>
            <w:pPr>
              <w:pStyle w:val="Compact"/>
            </w:pPr>
            <w:r>
              <w:t xml:space="preserve">2007</w:t>
            </w:r>
          </w:p>
        </w:tc>
        <w:tc>
          <w:tcPr/>
          <w:p>
            <w:pPr>
              <w:pStyle w:val="Compact"/>
            </w:pPr>
            <w:r>
              <w:t xml:space="preserve">ABC- og VED-analyse, militærmedisinsk</w:t>
            </w:r>
          </w:p>
        </w:tc>
        <w:tc>
          <w:tcPr/>
          <w:p>
            <w:pPr>
              <w:pStyle w:val="Compact"/>
            </w:pPr>
            <w:r>
              <w:t xml:space="preserve">ABC i sykehuskontekst med SAP-data</w:t>
            </w:r>
          </w:p>
        </w:tc>
      </w:tr>
      <w:tr>
        <w:tc>
          <w:tcPr/>
          <w:p>
            <w:pPr>
              <w:pStyle w:val="Compact"/>
            </w:pPr>
            <w:r>
              <w:t xml:space="preserve">Gurumurthy et al.</w:t>
            </w:r>
          </w:p>
        </w:tc>
        <w:tc>
          <w:tcPr/>
          <w:p>
            <w:pPr>
              <w:pStyle w:val="Compact"/>
            </w:pPr>
            <w:r>
              <w:t xml:space="preserve">2021</w:t>
            </w:r>
          </w:p>
        </w:tc>
        <w:tc>
          <w:tcPr/>
          <w:p>
            <w:pPr>
              <w:pStyle w:val="Compact"/>
            </w:pPr>
            <w:r>
              <w:t xml:space="preserve">Hybrid lagerklassifisering, lean i sykehus</w:t>
            </w:r>
          </w:p>
        </w:tc>
        <w:tc>
          <w:tcPr/>
          <w:p>
            <w:pPr>
              <w:pStyle w:val="Compact"/>
            </w:pPr>
            <w:r>
              <w:t xml:space="preserve">K-means i sykehuslogistikk</w:t>
            </w:r>
          </w:p>
        </w:tc>
      </w:tr>
      <w:tr>
        <w:tc>
          <w:tcPr/>
          <w:p>
            <w:pPr>
              <w:pStyle w:val="Compact"/>
            </w:pPr>
            <w:r>
              <w:t xml:space="preserve">Hautaniemi &amp; Pirttilä</w:t>
            </w:r>
          </w:p>
        </w:tc>
        <w:tc>
          <w:tcPr/>
          <w:p>
            <w:pPr>
              <w:pStyle w:val="Compact"/>
            </w:pPr>
            <w:r>
              <w:t xml:space="preserve">1999</w:t>
            </w:r>
          </w:p>
        </w:tc>
        <w:tc>
          <w:tcPr/>
          <w:p>
            <w:pPr>
              <w:pStyle w:val="Compact"/>
            </w:pPr>
            <w:r>
              <w:t xml:space="preserve">Påfyllingspolicyer i MRP-miljø</w:t>
            </w:r>
          </w:p>
        </w:tc>
        <w:tc>
          <w:tcPr/>
          <w:p>
            <w:pPr>
              <w:pStyle w:val="Compact"/>
            </w:pPr>
            <w:r>
              <w:t xml:space="preserve">EOQ-forutsetninger, lot sizing</w:t>
            </w:r>
          </w:p>
        </w:tc>
      </w:tr>
      <w:tr>
        <w:tc>
          <w:tcPr/>
          <w:p>
            <w:pPr>
              <w:pStyle w:val="Compact"/>
            </w:pPr>
            <w:r>
              <w:t xml:space="preserve">Kelle et al.</w:t>
            </w:r>
          </w:p>
        </w:tc>
        <w:tc>
          <w:tcPr/>
          <w:p>
            <w:pPr>
              <w:pStyle w:val="Compact"/>
            </w:pPr>
            <w:r>
              <w:t xml:space="preserve">2012</w:t>
            </w:r>
          </w:p>
        </w:tc>
        <w:tc>
          <w:tcPr/>
          <w:p>
            <w:pPr>
              <w:pStyle w:val="Compact"/>
            </w:pPr>
            <w:r>
              <w:t xml:space="preserve">Farmasøytisk forsyningskjede, sykehus</w:t>
            </w:r>
          </w:p>
        </w:tc>
        <w:tc>
          <w:tcPr/>
          <w:p>
            <w:pPr>
              <w:pStyle w:val="Compact"/>
            </w:pPr>
            <w:r>
              <w:t xml:space="preserve">Ordrekostnad S, sykehusinnkjøp</w:t>
            </w:r>
          </w:p>
        </w:tc>
      </w:tr>
      <w:tr>
        <w:tc>
          <w:tcPr/>
          <w:p>
            <w:pPr>
              <w:pStyle w:val="Compact"/>
            </w:pPr>
            <w:r>
              <w:t xml:space="preserve">Keshavarz Ghorabaee et al.</w:t>
            </w:r>
          </w:p>
        </w:tc>
        <w:tc>
          <w:tcPr/>
          <w:p>
            <w:pPr>
              <w:pStyle w:val="Compact"/>
            </w:pPr>
            <w:r>
              <w:t xml:space="preserve">2015</w:t>
            </w:r>
          </w:p>
        </w:tc>
        <w:tc>
          <w:tcPr/>
          <w:p>
            <w:pPr>
              <w:pStyle w:val="Compact"/>
            </w:pPr>
            <w:r>
              <w:t xml:space="preserve">EDAS flerkriterieklassifisering</w:t>
            </w:r>
          </w:p>
        </w:tc>
        <w:tc>
          <w:tcPr/>
          <w:p>
            <w:pPr>
              <w:pStyle w:val="Compact"/>
            </w:pPr>
            <w:r>
              <w:t xml:space="preserve">Alternativ til ABC, avstandsmetode</w:t>
            </w:r>
          </w:p>
        </w:tc>
      </w:tr>
      <w:tr>
        <w:tc>
          <w:tcPr/>
          <w:p>
            <w:pPr>
              <w:pStyle w:val="Compact"/>
            </w:pPr>
            <w:r>
              <w:t xml:space="preserve">Ketkar &amp; Vaidya</w:t>
            </w:r>
          </w:p>
        </w:tc>
        <w:tc>
          <w:tcPr/>
          <w:p>
            <w:pPr>
              <w:pStyle w:val="Compact"/>
            </w:pPr>
            <w:r>
              <w:t xml:space="preserve">2014</w:t>
            </w:r>
          </w:p>
        </w:tc>
        <w:tc>
          <w:tcPr/>
          <w:p>
            <w:pPr>
              <w:pStyle w:val="Compact"/>
            </w:pPr>
            <w:r>
              <w:t xml:space="preserve">Bestillingspolicy, flerklassifisering</w:t>
            </w:r>
          </w:p>
        </w:tc>
        <w:tc>
          <w:tcPr/>
          <w:p>
            <w:pPr>
              <w:pStyle w:val="Compact"/>
            </w:pPr>
            <w:r>
              <w:t xml:space="preserve">Holdesats h = 20 %, ABC/XYZ-kombinasjon</w:t>
            </w:r>
          </w:p>
        </w:tc>
      </w:tr>
      <w:tr>
        <w:tc>
          <w:tcPr/>
          <w:p>
            <w:pPr>
              <w:pStyle w:val="Compact"/>
            </w:pPr>
            <w:r>
              <w:t xml:space="preserve">Kumar &amp; Kumar</w:t>
            </w:r>
          </w:p>
        </w:tc>
        <w:tc>
          <w:tcPr/>
          <w:p>
            <w:pPr>
              <w:pStyle w:val="Compact"/>
            </w:pPr>
            <w:r>
              <w:t xml:space="preserve">2015</w:t>
            </w:r>
          </w:p>
        </w:tc>
        <w:tc>
          <w:tcPr/>
          <w:p>
            <w:pPr>
              <w:pStyle w:val="Compact"/>
            </w:pPr>
            <w:r>
              <w:t xml:space="preserve">Sykehuslager, ISM-analyse</w:t>
            </w:r>
          </w:p>
        </w:tc>
        <w:tc>
          <w:tcPr/>
          <w:p>
            <w:pPr>
              <w:pStyle w:val="Compact"/>
            </w:pPr>
            <w:r>
              <w:t xml:space="preserve">Drivende faktorer i sykehuslogistikk</w:t>
            </w:r>
          </w:p>
        </w:tc>
      </w:tr>
      <w:tr>
        <w:tc>
          <w:tcPr/>
          <w:p>
            <w:pPr>
              <w:pStyle w:val="Compact"/>
            </w:pPr>
            <w:r>
              <w:t xml:space="preserve">McKinney</w:t>
            </w:r>
          </w:p>
        </w:tc>
        <w:tc>
          <w:tcPr/>
          <w:p>
            <w:pPr>
              <w:pStyle w:val="Compact"/>
            </w:pPr>
            <w:r>
              <w:t xml:space="preserve">2010</w:t>
            </w:r>
          </w:p>
        </w:tc>
        <w:tc>
          <w:tcPr/>
          <w:p>
            <w:pPr>
              <w:pStyle w:val="Compact"/>
            </w:pPr>
            <w:r>
              <w:t xml:space="preserve">pandas – datastrukturer i Python</w:t>
            </w:r>
          </w:p>
        </w:tc>
        <w:tc>
          <w:tcPr/>
          <w:p>
            <w:pPr>
              <w:pStyle w:val="Compact"/>
            </w:pPr>
            <w:r>
              <w:t xml:space="preserve">Verktøy for dataforbehandling</w:t>
            </w:r>
          </w:p>
        </w:tc>
      </w:tr>
      <w:tr>
        <w:tc>
          <w:tcPr/>
          <w:p>
            <w:pPr>
              <w:pStyle w:val="Compact"/>
            </w:pPr>
            <w:r>
              <w:t xml:space="preserve">Moons et al.</w:t>
            </w:r>
          </w:p>
        </w:tc>
        <w:tc>
          <w:tcPr/>
          <w:p>
            <w:pPr>
              <w:pStyle w:val="Compact"/>
            </w:pPr>
            <w:r>
              <w:t xml:space="preserve">2019</w:t>
            </w:r>
          </w:p>
        </w:tc>
        <w:tc>
          <w:tcPr/>
          <w:p>
            <w:pPr>
              <w:pStyle w:val="Compact"/>
            </w:pPr>
            <w:r>
              <w:t xml:space="preserve">Ytelsesmåling, intern sykehusforsyning</w:t>
            </w:r>
          </w:p>
        </w:tc>
        <w:tc>
          <w:tcPr/>
          <w:p>
            <w:pPr>
              <w:pStyle w:val="Compact"/>
            </w:pPr>
            <w:r>
              <w:t xml:space="preserve">Flerkriteriebaserte ytelsesmål</w:t>
            </w:r>
          </w:p>
        </w:tc>
      </w:tr>
      <w:tr>
        <w:tc>
          <w:tcPr/>
          <w:p>
            <w:pPr>
              <w:pStyle w:val="Compact"/>
            </w:pPr>
            <w:r>
              <w:t xml:space="preserve">Nowotyńska</w:t>
            </w:r>
          </w:p>
        </w:tc>
        <w:tc>
          <w:tcPr/>
          <w:p>
            <w:pPr>
              <w:pStyle w:val="Compact"/>
            </w:pPr>
            <w:r>
              <w:t xml:space="preserve">2013</w:t>
            </w:r>
          </w:p>
        </w:tc>
        <w:tc>
          <w:tcPr/>
          <w:p>
            <w:pPr>
              <w:pStyle w:val="Compact"/>
            </w:pPr>
            <w:r>
              <w:t xml:space="preserve">XYZ-analyse, lagerstyring</w:t>
            </w:r>
          </w:p>
        </w:tc>
        <w:tc>
          <w:tcPr/>
          <w:p>
            <w:pPr>
              <w:pStyle w:val="Compact"/>
            </w:pPr>
            <w:r>
              <w:t xml:space="preserve">CV-grenser X/Y/Z, metodegrunnlag</w:t>
            </w:r>
          </w:p>
        </w:tc>
      </w:tr>
      <w:tr>
        <w:tc>
          <w:tcPr/>
          <w:p>
            <w:pPr>
              <w:pStyle w:val="Compact"/>
            </w:pPr>
            <w:r>
              <w:t xml:space="preserve">Partovi &amp; Burton</w:t>
            </w:r>
          </w:p>
        </w:tc>
        <w:tc>
          <w:tcPr/>
          <w:p>
            <w:pPr>
              <w:pStyle w:val="Compact"/>
            </w:pPr>
            <w:r>
              <w:t xml:space="preserve">1993</w:t>
            </w:r>
          </w:p>
        </w:tc>
        <w:tc>
          <w:tcPr/>
          <w:p>
            <w:pPr>
              <w:pStyle w:val="Compact"/>
            </w:pPr>
            <w:r>
              <w:t xml:space="preserve">AHP for ABC-analyse</w:t>
            </w:r>
          </w:p>
        </w:tc>
        <w:tc>
          <w:tcPr/>
          <w:p>
            <w:pPr>
              <w:pStyle w:val="Compact"/>
            </w:pPr>
            <w:r>
              <w:t xml:space="preserve">Subjektiv vekting vs. objektive kriterier</w:t>
            </w:r>
          </w:p>
        </w:tc>
      </w:tr>
      <w:tr>
        <w:tc>
          <w:tcPr/>
          <w:p>
            <w:pPr>
              <w:pStyle w:val="Compact"/>
            </w:pPr>
            <w:r>
              <w:t xml:space="preserve">Pedregosa et al.</w:t>
            </w:r>
          </w:p>
        </w:tc>
        <w:tc>
          <w:tcPr/>
          <w:p>
            <w:pPr>
              <w:pStyle w:val="Compact"/>
            </w:pPr>
            <w:r>
              <w:t xml:space="preserve">2011</w:t>
            </w:r>
          </w:p>
        </w:tc>
        <w:tc>
          <w:tcPr/>
          <w:p>
            <w:pPr>
              <w:pStyle w:val="Compact"/>
            </w:pPr>
            <w:r>
              <w:t xml:space="preserve">scikit-learn – maskinlæring i Python</w:t>
            </w:r>
          </w:p>
        </w:tc>
        <w:tc>
          <w:tcPr/>
          <w:p>
            <w:pPr>
              <w:pStyle w:val="Compact"/>
            </w:pPr>
            <w:r>
              <w:t xml:space="preserve">Verktøy for K-means og validering</w:t>
            </w:r>
          </w:p>
        </w:tc>
      </w:tr>
      <w:tr>
        <w:tc>
          <w:tcPr/>
          <w:p>
            <w:pPr>
              <w:pStyle w:val="Compact"/>
            </w:pPr>
            <w:r>
              <w:t xml:space="preserve">Pujawan</w:t>
            </w:r>
          </w:p>
        </w:tc>
        <w:tc>
          <w:tcPr/>
          <w:p>
            <w:pPr>
              <w:pStyle w:val="Compact"/>
            </w:pPr>
            <w:r>
              <w:t xml:space="preserve">2004</w:t>
            </w:r>
          </w:p>
        </w:tc>
        <w:tc>
          <w:tcPr/>
          <w:p>
            <w:pPr>
              <w:pStyle w:val="Compact"/>
            </w:pPr>
            <w:r>
              <w:t xml:space="preserve">Lot sizing, ordrevariabilitet</w:t>
            </w:r>
          </w:p>
        </w:tc>
        <w:tc>
          <w:tcPr/>
          <w:p>
            <w:pPr>
              <w:pStyle w:val="Compact"/>
            </w:pPr>
            <w:r>
              <w:t xml:space="preserve">Bullwhip-effekt, EOQ-relevans</w:t>
            </w:r>
          </w:p>
        </w:tc>
      </w:tr>
      <w:tr>
        <w:tc>
          <w:tcPr/>
          <w:p>
            <w:pPr>
              <w:pStyle w:val="Compact"/>
            </w:pPr>
            <w:r>
              <w:t xml:space="preserve">Saha &amp; Ray</w:t>
            </w:r>
          </w:p>
        </w:tc>
        <w:tc>
          <w:tcPr/>
          <w:p>
            <w:pPr>
              <w:pStyle w:val="Compact"/>
            </w:pPr>
            <w:r>
              <w:t xml:space="preserve">2019</w:t>
            </w:r>
          </w:p>
        </w:tc>
        <w:tc>
          <w:tcPr/>
          <w:p>
            <w:pPr>
              <w:pStyle w:val="Compact"/>
            </w:pPr>
            <w:r>
              <w:t xml:space="preserve">Lagermodeller i helsesektoren (review, 137 art.)</w:t>
            </w:r>
          </w:p>
        </w:tc>
        <w:tc>
          <w:tcPr/>
          <w:p>
            <w:pPr>
              <w:pStyle w:val="Compact"/>
            </w:pPr>
            <w:r>
              <w:t xml:space="preserve">Gap: empiriske SAP-casestudier mangler</w:t>
            </w:r>
          </w:p>
        </w:tc>
      </w:tr>
      <w:tr>
        <w:tc>
          <w:tcPr/>
          <w:p>
            <w:pPr>
              <w:pStyle w:val="Compact"/>
            </w:pPr>
            <w:r>
              <w:t xml:space="preserve">Silaen et al.</w:t>
            </w:r>
          </w:p>
        </w:tc>
        <w:tc>
          <w:tcPr/>
          <w:p>
            <w:pPr>
              <w:pStyle w:val="Compact"/>
            </w:pPr>
            <w:r>
              <w:t xml:space="preserve">2023</w:t>
            </w:r>
          </w:p>
        </w:tc>
        <w:tc>
          <w:tcPr/>
          <w:p>
            <w:pPr>
              <w:pStyle w:val="Compact"/>
            </w:pPr>
            <w:r>
              <w:t xml:space="preserve">ABC-analyse, implementering</w:t>
            </w:r>
          </w:p>
        </w:tc>
        <w:tc>
          <w:tcPr/>
          <w:p>
            <w:pPr>
              <w:pStyle w:val="Compact"/>
            </w:pPr>
            <w:r>
              <w:t xml:space="preserve">ABC-grenser 80/95 %, Pareto-prinsippet</w:t>
            </w:r>
          </w:p>
        </w:tc>
      </w:tr>
      <w:tr>
        <w:tc>
          <w:tcPr/>
          <w:p>
            <w:pPr>
              <w:pStyle w:val="Compact"/>
            </w:pPr>
            <w:r>
              <w:t xml:space="preserve">Sirisawat et al.</w:t>
            </w:r>
          </w:p>
        </w:tc>
        <w:tc>
          <w:tcPr/>
          <w:p>
            <w:pPr>
              <w:pStyle w:val="Compact"/>
            </w:pPr>
            <w:r>
              <w:t xml:space="preserve">2019</w:t>
            </w:r>
          </w:p>
        </w:tc>
        <w:tc>
          <w:tcPr/>
          <w:p>
            <w:pPr>
              <w:pStyle w:val="Compact"/>
            </w:pPr>
            <w:r>
              <w:t xml:space="preserve">Ytelsesindikatorer, universitetssykehus</w:t>
            </w:r>
          </w:p>
        </w:tc>
        <w:tc>
          <w:tcPr/>
          <w:p>
            <w:pPr>
              <w:pStyle w:val="Compact"/>
            </w:pPr>
            <w:r>
              <w:t xml:space="preserve">KPI-er for sykehuslagerstyring</w:t>
            </w:r>
          </w:p>
        </w:tc>
      </w:tr>
      <w:tr>
        <w:tc>
          <w:tcPr/>
          <w:p>
            <w:pPr>
              <w:pStyle w:val="Compact"/>
            </w:pPr>
            <w:r>
              <w:t xml:space="preserve">Srinivasan &amp; Moon</w:t>
            </w:r>
          </w:p>
        </w:tc>
        <w:tc>
          <w:tcPr/>
          <w:p>
            <w:pPr>
              <w:pStyle w:val="Compact"/>
            </w:pPr>
            <w:r>
              <w:t xml:space="preserve">1999</w:t>
            </w:r>
          </w:p>
        </w:tc>
        <w:tc>
          <w:tcPr/>
          <w:p>
            <w:pPr>
              <w:pStyle w:val="Compact"/>
            </w:pPr>
            <w:r>
              <w:t xml:space="preserve">Klyngeanalyse, forsyningskjedenettverk</w:t>
            </w:r>
          </w:p>
        </w:tc>
        <w:tc>
          <w:tcPr/>
          <w:p>
            <w:pPr>
              <w:pStyle w:val="Compact"/>
            </w:pPr>
            <w:r>
              <w:t xml:space="preserve">K-means i SCM, nær-optimale løsninger</w:t>
            </w:r>
          </w:p>
        </w:tc>
      </w:tr>
      <w:tr>
        <w:tc>
          <w:tcPr/>
          <w:p>
            <w:pPr>
              <w:pStyle w:val="Compact"/>
            </w:pPr>
            <w:r>
              <w:t xml:space="preserve">Suryaputri et al.</w:t>
            </w:r>
          </w:p>
        </w:tc>
        <w:tc>
          <w:tcPr/>
          <w:p>
            <w:pPr>
              <w:pStyle w:val="Compact"/>
            </w:pPr>
            <w:r>
              <w:t xml:space="preserve">2022</w:t>
            </w:r>
          </w:p>
        </w:tc>
        <w:tc>
          <w:tcPr/>
          <w:p>
            <w:pPr>
              <w:pStyle w:val="Compact"/>
            </w:pPr>
            <w:r>
              <w:t xml:space="preserve">ABC-XYZ-integrasjon, helseindustri</w:t>
            </w:r>
          </w:p>
        </w:tc>
        <w:tc>
          <w:tcPr/>
          <w:p>
            <w:pPr>
              <w:pStyle w:val="Compact"/>
            </w:pPr>
            <w:r>
              <w:t xml:space="preserve">ABC/XYZ-matrise, bestillingspolicy</w:t>
            </w:r>
          </w:p>
        </w:tc>
      </w:tr>
      <w:tr>
        <w:tc>
          <w:tcPr/>
          <w:p>
            <w:pPr>
              <w:pStyle w:val="Compact"/>
            </w:pPr>
            <w:r>
              <w:t xml:space="preserve">van Kampen et al.</w:t>
            </w:r>
          </w:p>
        </w:tc>
        <w:tc>
          <w:tcPr/>
          <w:p>
            <w:pPr>
              <w:pStyle w:val="Compact"/>
            </w:pPr>
            <w:r>
              <w:t xml:space="preserve">2012</w:t>
            </w:r>
          </w:p>
        </w:tc>
        <w:tc>
          <w:tcPr/>
          <w:p>
            <w:pPr>
              <w:pStyle w:val="Compact"/>
            </w:pPr>
            <w:r>
              <w:t xml:space="preserve">SKU-klassifiseringsrammeverk</w:t>
            </w:r>
          </w:p>
        </w:tc>
        <w:tc>
          <w:tcPr/>
          <w:p>
            <w:pPr>
              <w:pStyle w:val="Compact"/>
            </w:pPr>
            <w:r>
              <w:t xml:space="preserve">Tre hoveddimensjoner, posisjonering</w:t>
            </w:r>
          </w:p>
        </w:tc>
      </w:tr>
      <w:tr>
        <w:tc>
          <w:tcPr/>
          <w:p>
            <w:pPr>
              <w:pStyle w:val="Compact"/>
            </w:pPr>
            <w:r>
              <w:t xml:space="preserve">Volland et al.</w:t>
            </w:r>
          </w:p>
        </w:tc>
        <w:tc>
          <w:tcPr/>
          <w:p>
            <w:pPr>
              <w:pStyle w:val="Compact"/>
            </w:pPr>
            <w:r>
              <w:t xml:space="preserve">2017</w:t>
            </w:r>
          </w:p>
        </w:tc>
        <w:tc>
          <w:tcPr/>
          <w:p>
            <w:pPr>
              <w:pStyle w:val="Compact"/>
            </w:pPr>
            <w:r>
              <w:t xml:space="preserve">Materiallogistikk i sykehus (review, 145 pub.)</w:t>
            </w:r>
          </w:p>
        </w:tc>
        <w:tc>
          <w:tcPr/>
          <w:p>
            <w:pPr>
              <w:pStyle w:val="Compact"/>
            </w:pPr>
            <w:r>
              <w:t xml:space="preserve">Lagerstyring dominerer, 30–40 % av drift</w:t>
            </w:r>
          </w:p>
        </w:tc>
      </w:tr>
    </w:tbl>
    <w:bookmarkEnd w:id="36"/>
    <w:bookmarkStart w:id="37" w:name="abc-analyse"/>
    <w:p>
      <w:pPr>
        <w:pStyle w:val="Overskrift2"/>
      </w:pPr>
      <w:r>
        <w:t xml:space="preserve">2.2 ABC-analyse</w:t>
      </w:r>
    </w:p>
    <w:p>
      <w:pPr>
        <w:pStyle w:val="FirstParagraph"/>
      </w:pPr>
      <w:r>
        <w:t xml:space="preserve">ABC-analyse er en klassifiseringsmetode basert på Pareto-prinsippet, som fastslår at en liten andel artikler typisk står for en stor andel av total forbruksverdi. Metoden deler lagerbeholdningen i tre kategorier etter kumulativ verdiandel: A-artikler utgjør de artiklene som til sammen representerer de første 80 prosentene av total innkjøpsverdi; B-artikler de neste 15 prosentene (80–95 prosent kumulativt); og C-artikler de resterende 5 prosentene av verdi, som typisk utgjør den største andelen av artikkeltallet (Silaen et al., 2023). Grenseverdiene 80/15/5 prosent er konvensjonelle og benyttes konsekvent i denne oppgaven.</w:t>
      </w:r>
    </w:p>
    <w:p>
      <w:pPr>
        <w:pStyle w:val="BodyText"/>
      </w:pPr>
      <w:r>
        <w:t xml:space="preserve">Den formelle beregningen tar utgangspunkt i total innkjøpsverdi per artikkel over analyseperioden, sortert synkende. Kumulativ verdiandel beregnes som:</w:t>
      </w:r>
    </w:p>
    <w:p>
      <w:pPr>
        <w:pStyle w:val="BodyText"/>
      </w:pPr>
      <m:oMathPara>
        <m:oMathParaPr>
          <m:jc m:val="center"/>
        </m:oMathParaPr>
        <m:oMath>
          <m:sSub>
            <m:e>
              <m:r>
                <m:rPr>
                  <m:nor/>
                  <m:sty m:val="p"/>
                </m:rPr>
                <m:t>CUM_PCT</m:t>
              </m:r>
            </m:e>
            <m:sub>
              <m:r>
                <m:t>i</m:t>
              </m:r>
            </m:sub>
          </m:sSub>
          <m:r>
            <m:rPr>
              <m:sty m:val="p"/>
            </m:rPr>
            <m:t>=</m:t>
          </m:r>
          <m:f>
            <m:fPr>
              <m:type m:val="bar"/>
            </m:fPr>
            <m:num>
              <m:nary>
                <m:naryPr>
                  <m:chr m:val="∑"/>
                  <m:limLoc m:val="undOvr"/>
                  <m:subHide m:val="off"/>
                  <m:supHide m:val="off"/>
                </m:naryPr>
                <m:sub>
                  <m:r>
                    <m:t>j</m:t>
                  </m:r>
                  <m:r>
                    <m:rPr>
                      <m:sty m:val="p"/>
                    </m:rPr>
                    <m:t>=</m:t>
                  </m:r>
                  <m:r>
                    <m:t>1</m:t>
                  </m:r>
                </m:sub>
                <m:sup>
                  <m:r>
                    <m:t>i</m:t>
                  </m:r>
                </m:sup>
                <m:e>
                  <m:sSub>
                    <m:e>
                      <m:r>
                        <m:t>V</m:t>
                      </m:r>
                    </m:e>
                    <m:sub>
                      <m:r>
                        <m:t>j</m:t>
                      </m:r>
                    </m:sub>
                  </m:sSub>
                </m:e>
              </m:nary>
            </m:num>
            <m:den>
              <m:nary>
                <m:naryPr>
                  <m:chr m:val="∑"/>
                  <m:limLoc m:val="undOvr"/>
                  <m:subHide m:val="off"/>
                  <m:supHide m:val="off"/>
                </m:naryPr>
                <m:sub>
                  <m:r>
                    <m:t>j</m:t>
                  </m:r>
                  <m:r>
                    <m:rPr>
                      <m:sty m:val="p"/>
                    </m:rPr>
                    <m:t>=</m:t>
                  </m:r>
                  <m:r>
                    <m:t>1</m:t>
                  </m:r>
                </m:sub>
                <m:sup>
                  <m:r>
                    <m:t>N</m:t>
                  </m:r>
                </m:sup>
                <m:e>
                  <m:sSub>
                    <m:e>
                      <m:r>
                        <m:t>V</m:t>
                      </m:r>
                    </m:e>
                    <m:sub>
                      <m:r>
                        <m:t>j</m:t>
                      </m:r>
                    </m:sub>
                  </m:sSub>
                </m:e>
              </m:nary>
            </m:den>
          </m:f>
          <m:r>
            <m:rPr>
              <m:sty m:val="p"/>
            </m:rPr>
            <m:t>×</m:t>
          </m:r>
          <m:r>
            <m:t>100</m:t>
          </m:r>
        </m:oMath>
      </m:oMathPara>
    </w:p>
    <w:p>
      <w:pPr>
        <w:pStyle w:val="FirstParagraph"/>
      </w:pPr>
      <w:r>
        <w:t xml:space="preserve">der</w:t>
      </w:r>
      <w:r>
        <w:t xml:space="preserve"> </w:t>
      </w:r>
      <m:oMath>
        <m:sSub>
          <m:e>
            <m:r>
              <m:t>V</m:t>
            </m:r>
          </m:e>
          <m:sub>
            <m:r>
              <m:t>j</m:t>
            </m:r>
          </m:sub>
        </m:sSub>
      </m:oMath>
      <w:r>
        <w:t xml:space="preserve"> </w:t>
      </w:r>
      <w:r>
        <w:t xml:space="preserve">er innkjøpsverdien for artikkel</w:t>
      </w:r>
      <w:r>
        <w:t xml:space="preserve"> </w:t>
      </w:r>
      <m:oMath>
        <m:r>
          <m:t>j</m:t>
        </m:r>
      </m:oMath>
      <w:r>
        <w:t xml:space="preserve"> </w:t>
      </w:r>
      <w:r>
        <w:t xml:space="preserve">rangert etter synkende verdi, og</w:t>
      </w:r>
      <w:r>
        <w:t xml:space="preserve"> </w:t>
      </w:r>
      <m:oMath>
        <m:r>
          <m:t>N</m:t>
        </m:r>
      </m:oMath>
      <w:r>
        <w:t xml:space="preserve"> </w:t>
      </w:r>
      <w:r>
        <w:t xml:space="preserve">er totalt antall artikler. Artikkel</w:t>
      </w:r>
      <w:r>
        <w:t xml:space="preserve"> </w:t>
      </w:r>
      <m:oMath>
        <m:r>
          <m:t>i</m:t>
        </m:r>
      </m:oMath>
      <w:r>
        <w:t xml:space="preserve"> </w:t>
      </w:r>
      <w:r>
        <w:t xml:space="preserve">tilordnes klasse A dersom</w:t>
      </w:r>
      <w:r>
        <w:t xml:space="preserve"> </w:t>
      </w:r>
      <m:oMath>
        <m:sSub>
          <m:e>
            <m:r>
              <m:rPr>
                <m:nor/>
                <m:sty m:val="p"/>
              </m:rPr>
              <m:t>CUM_PCT</m:t>
            </m:r>
          </m:e>
          <m:sub>
            <m:r>
              <m:t>i</m:t>
            </m:r>
          </m:sub>
        </m:sSub>
        <m:r>
          <m:rPr>
            <m:sty m:val="p"/>
          </m:rPr>
          <m:t>≤</m:t>
        </m:r>
        <m:r>
          <m:t>80</m:t>
        </m:r>
      </m:oMath>
      <w:r>
        <w:t xml:space="preserve">, klasse B dersom</w:t>
      </w:r>
      <w:r>
        <w:t xml:space="preserve"> </w:t>
      </w:r>
      <m:oMath>
        <m:r>
          <m:t>80</m:t>
        </m:r>
        <m:r>
          <m:rPr>
            <m:sty m:val="p"/>
          </m:rPr>
          <m:t>&lt;</m:t>
        </m:r>
        <m:sSub>
          <m:e>
            <m:r>
              <m:rPr>
                <m:nor/>
                <m:sty m:val="p"/>
              </m:rPr>
              <m:t>CUM_PCT</m:t>
            </m:r>
          </m:e>
          <m:sub>
            <m:r>
              <m:t>i</m:t>
            </m:r>
          </m:sub>
        </m:sSub>
        <m:r>
          <m:rPr>
            <m:sty m:val="p"/>
          </m:rPr>
          <m:t>≤</m:t>
        </m:r>
        <m:r>
          <m:t>95</m:t>
        </m:r>
      </m:oMath>
      <w:r>
        <w:t xml:space="preserve">, og klasse C ellers. I denne oppgaven benyttes innkjøpsverdi fra SAP-tabell EKPO (feltet NETWR) som primærgrunnlag, supplert med beregnet verdi (</w:t>
      </w:r>
      <m:oMath>
        <m:sSub>
          <m:e>
            <m:r>
              <m:t>D</m:t>
            </m:r>
          </m:e>
          <m:sub>
            <m:r>
              <m:rPr>
                <m:nor/>
                <m:sty m:val="p"/>
              </m:rPr>
              <m:t>annual</m:t>
            </m:r>
          </m:sub>
        </m:sSub>
        <m:r>
          <m:rPr>
            <m:sty m:val="p"/>
          </m:rPr>
          <m:t>×</m:t>
        </m:r>
        <m:r>
          <m:rPr>
            <m:nor/>
            <m:sty m:val="p"/>
          </m:rPr>
          <m:t>UNIT_PRICE</m:t>
        </m:r>
      </m:oMath>
      <w:r>
        <w:t xml:space="preserve">) for artikler uten innkjøpshistorikk i analyseperioden.</w:t>
      </w:r>
    </w:p>
    <w:p>
      <w:pPr>
        <w:pStyle w:val="BodyText"/>
      </w:pPr>
      <w:r>
        <w:t xml:space="preserve">Styrken ved ABC-analyse er metodens enkelhet, transparens og direkte kopling til lagerkapitalbinding. Metoden identifiserer raskt hvilke artikler som krever tett oppfølging og prioritert styring. Svakheten er at verdidimensjonen alene ikke fanger opp kritikalitet for forsyningssikkerhet eller variabilitet i etterspørsel — to faktorer som er særlig relevante i sykehuskontekst. En A-artikkel kan ha svært uregelmessig forbruksmønster og kreve annen styringslogikk enn en A-artikkel med stabilt forbruk. Partovi og Burton (1993) påpeker allerede tidlig at ABC-analyse bør suppleres med kriterier for klinisk viktighet og ledetidsfølsomhet. I denne oppgaven adresseres dette ved å kombinere ABC med XYZ-klassifisering og EOQ-avviksanalyse.</w:t>
      </w:r>
    </w:p>
    <w:bookmarkEnd w:id="37"/>
    <w:bookmarkStart w:id="38" w:name="xyz-klassifisering"/>
    <w:p>
      <w:pPr>
        <w:pStyle w:val="Overskrift2"/>
      </w:pPr>
      <w:r>
        <w:t xml:space="preserve">2.3 XYZ-klassifisering</w:t>
      </w:r>
    </w:p>
    <w:p>
      <w:pPr>
        <w:pStyle w:val="FirstParagraph"/>
      </w:pPr>
      <w:r>
        <w:t xml:space="preserve">XYZ-klassifisering kategoriserer artikler etter etterspørselens forutsigbarhet, målt ved variasjonskoeffisienten (CV). CV er definert som forholdet mellom standardavviket og gjennomsnittet av månedlig forbruk over analyseperioden:</w:t>
      </w:r>
    </w:p>
    <w:p>
      <w:pPr>
        <w:pStyle w:val="BodyText"/>
      </w:pPr>
      <m:oMathPara>
        <m:oMathParaPr>
          <m:jc m:val="center"/>
        </m:oMathParaPr>
        <m:oMath>
          <m:r>
            <m:t>C</m:t>
          </m:r>
          <m:sSub>
            <m:e>
              <m:r>
                <m:t>V</m:t>
              </m:r>
            </m:e>
            <m:sub>
              <m:r>
                <m:t>i</m:t>
              </m:r>
            </m:sub>
          </m:sSub>
          <m:r>
            <m:rPr>
              <m:sty m:val="p"/>
            </m:rPr>
            <m:t>=</m:t>
          </m:r>
          <m:f>
            <m:fPr>
              <m:type m:val="bar"/>
            </m:fPr>
            <m:num>
              <m:sSub>
                <m:e>
                  <m:r>
                    <m:t>σ</m:t>
                  </m:r>
                </m:e>
                <m:sub>
                  <m:r>
                    <m:t>i</m:t>
                  </m:r>
                </m:sub>
              </m:sSub>
            </m:num>
            <m:den>
              <m:sSub>
                <m:e>
                  <m:r>
                    <m:t>μ</m:t>
                  </m:r>
                </m:e>
                <m:sub>
                  <m:r>
                    <m:t>i</m:t>
                  </m:r>
                </m:sub>
              </m:sSub>
            </m:den>
          </m:f>
        </m:oMath>
      </m:oMathPara>
    </w:p>
    <w:p>
      <w:pPr>
        <w:pStyle w:val="FirstParagraph"/>
      </w:pPr>
      <w:r>
        <w:t xml:space="preserve">der</w:t>
      </w:r>
      <w:r>
        <w:t xml:space="preserve"> </w:t>
      </w:r>
      <m:oMath>
        <m:sSub>
          <m:e>
            <m:r>
              <m:t>σ</m:t>
            </m:r>
          </m:e>
          <m:sub>
            <m:r>
              <m:t>i</m:t>
            </m:r>
          </m:sub>
        </m:sSub>
      </m:oMath>
      <w:r>
        <w:t xml:space="preserve"> </w:t>
      </w:r>
      <w:r>
        <w:t xml:space="preserve">er standardavviket og</w:t>
      </w:r>
      <w:r>
        <w:t xml:space="preserve"> </w:t>
      </w:r>
      <m:oMath>
        <m:sSub>
          <m:e>
            <m:r>
              <m:t>μ</m:t>
            </m:r>
          </m:e>
          <m:sub>
            <m:r>
              <m:t>i</m:t>
            </m:r>
          </m:sub>
        </m:sSub>
      </m:oMath>
      <w:r>
        <w:t xml:space="preserve"> </w:t>
      </w:r>
      <w:r>
        <w:t xml:space="preserve">er gjennomsnittet av artikkel</w:t>
      </w:r>
      <w:r>
        <w:t xml:space="preserve"> </w:t>
      </w:r>
      <m:oMath>
        <m:r>
          <m:t>i</m:t>
        </m:r>
      </m:oMath>
      <w:r>
        <w:t xml:space="preserve">’s månedlige forbruk. Klassifikasjonsgensene følger Nowotyńska (2013): X-artikler har</w:t>
      </w:r>
      <w:r>
        <w:t xml:space="preserve"> </w:t>
      </w:r>
      <m:oMath>
        <m:r>
          <m:t>C</m:t>
        </m:r>
        <m:r>
          <m:t>V</m:t>
        </m:r>
        <m:r>
          <m:rPr>
            <m:sty m:val="p"/>
          </m:rPr>
          <m:t>&lt;</m:t>
        </m:r>
        <m:r>
          <m:t>0</m:t>
        </m:r>
        <m:r>
          <m:rPr>
            <m:sty m:val="p"/>
          </m:rPr>
          <m:t>,</m:t>
        </m:r>
        <m:r>
          <m:t>5</m:t>
        </m:r>
      </m:oMath>
      <w:r>
        <w:t xml:space="preserve"> </w:t>
      </w:r>
      <w:r>
        <w:t xml:space="preserve">og karakteriseres av stabilt, forutsigbart forbruk; Y-artikler har</w:t>
      </w:r>
      <w:r>
        <w:t xml:space="preserve"> </w:t>
      </w:r>
      <m:oMath>
        <m:r>
          <m:t>0</m:t>
        </m:r>
        <m:r>
          <m:rPr>
            <m:sty m:val="p"/>
          </m:rPr>
          <m:t>,</m:t>
        </m:r>
        <m:r>
          <m:t>5</m:t>
        </m:r>
        <m:r>
          <m:rPr>
            <m:sty m:val="p"/>
          </m:rPr>
          <m:t>≤</m:t>
        </m:r>
        <m:r>
          <m:t>C</m:t>
        </m:r>
        <m:r>
          <m:t>V</m:t>
        </m:r>
        <m:r>
          <m:rPr>
            <m:sty m:val="p"/>
          </m:rPr>
          <m:t>&lt;</m:t>
        </m:r>
        <m:r>
          <m:t>1</m:t>
        </m:r>
        <m:r>
          <m:rPr>
            <m:sty m:val="p"/>
          </m:rPr>
          <m:t>,</m:t>
        </m:r>
        <m:r>
          <m:t>0</m:t>
        </m:r>
      </m:oMath>
      <w:r>
        <w:t xml:space="preserve"> </w:t>
      </w:r>
      <w:r>
        <w:t xml:space="preserve">og viser moderate svingninger; Z-artikler har</w:t>
      </w:r>
      <w:r>
        <w:t xml:space="preserve"> </w:t>
      </w:r>
      <m:oMath>
        <m:r>
          <m:t>C</m:t>
        </m:r>
        <m:r>
          <m:t>V</m:t>
        </m:r>
        <m:r>
          <m:rPr>
            <m:sty m:val="p"/>
          </m:rPr>
          <m:t>≥</m:t>
        </m:r>
        <m:r>
          <m:t>1</m:t>
        </m:r>
        <m:r>
          <m:rPr>
            <m:sty m:val="p"/>
          </m:rPr>
          <m:t>,</m:t>
        </m:r>
        <m:r>
          <m:t>0</m:t>
        </m:r>
      </m:oMath>
      <w:r>
        <w:t xml:space="preserve"> </w:t>
      </w:r>
      <w:r>
        <w:t xml:space="preserve">og kjennetegnes av uregelmessig eller sesongpreget etterspørsel.</w:t>
      </w:r>
    </w:p>
    <w:p>
      <w:pPr>
        <w:pStyle w:val="BodyText"/>
      </w:pPr>
      <w:r>
        <w:t xml:space="preserve">XYZ-analyse er metodisk komplementær til ABC fordi den tilføyer en tidsseriedimensjon til verdianalysen. En artikkel med høy innkjøpsverdi (A-klasse) og stabilt forbruk (X-klasse) er en svært god kandidat for sentralisert styring gjennom et regionalt lager, fordi etterspørselen er lett å planlegge og aggregert volum kan utnyttes for innkjøpsstordriftsfordeler. En AZ-artikkel krever derimot lokal beredskapslagring uavhengig av verdi, fordi forsyningssikkerhet ikke kan garanteres gjennom sentraliserte leveranser med standard ledetid. Suryaputri et al. (2022) viser i sin casestudie fra helseindustrien at ABC/XYZ-matrisen med ni kategorier gir substansielt bedre differensiering av bestillingspolicy sammenlignet med enkelt-kriterieanalyse.</w:t>
      </w:r>
    </w:p>
    <w:p>
      <w:pPr>
        <w:pStyle w:val="BodyText"/>
      </w:pPr>
      <w:r>
        <w:t xml:space="preserve">En sentral utfordring i denne oppgaven er forholdet mellom beregnet XYZ fra forbruksdata (MSEG) og SAP-systemets lagrede XYZ-verdi (MDMA.ZZXYZ). SAP-feltet ZZXYZ oppdateres ikke nødvendigvis løpende og kan basere seg på andre terskelverdier enn de som er standard i litteraturen. Oppgavens analyse behandler dette som et empirisk valideringsspørsmål og rapporterer samsvarsprosenten eksplisitt som et datakvalitetsfunn.</w:t>
      </w:r>
    </w:p>
    <w:bookmarkEnd w:id="38"/>
    <w:bookmarkStart w:id="39" w:name="economic-order-quantity-eoq"/>
    <w:p>
      <w:pPr>
        <w:pStyle w:val="Overskrift2"/>
      </w:pPr>
      <w:r>
        <w:t xml:space="preserve">2.4 Economic Order Quantity (EOQ)</w:t>
      </w:r>
    </w:p>
    <w:p>
      <w:pPr>
        <w:pStyle w:val="FirstParagraph"/>
      </w:pPr>
      <w:r>
        <w:t xml:space="preserve">Economic Order Quantity (EOQ), også kjent som Wilson-modellen, er en klassisk lagerstyringsmodell som beregner den optimale bestillingsmengden som minimerer summen av årlige ordrekostnader og holdekostnader. Modellen er formulert som en minimering av totalkostnadsfunksjonen:</w:t>
      </w:r>
    </w:p>
    <w:p>
      <w:pPr>
        <w:pStyle w:val="BodyText"/>
      </w:pPr>
      <m:oMathPara>
        <m:oMathParaPr>
          <m:jc m:val="center"/>
        </m:oMathParaPr>
        <m:oMath>
          <m:r>
            <m:t>T</m:t>
          </m:r>
          <m:r>
            <m:t>C</m:t>
          </m:r>
          <m:r>
            <m:rPr>
              <m:sty m:val="p"/>
            </m:rPr>
            <m:t>(</m:t>
          </m:r>
          <m:r>
            <m:t>Q</m:t>
          </m:r>
          <m:r>
            <m:rPr>
              <m:sty m:val="p"/>
            </m:rPr>
            <m:t>)</m:t>
          </m:r>
          <m:r>
            <m:rPr>
              <m:sty m:val="p"/>
            </m:rPr>
            <m:t>=</m:t>
          </m:r>
          <m:f>
            <m:fPr>
              <m:type m:val="bar"/>
            </m:fPr>
            <m:num>
              <m:r>
                <m:t>D</m:t>
              </m:r>
            </m:num>
            <m:den>
              <m:r>
                <m:t>Q</m:t>
              </m:r>
            </m:den>
          </m:f>
          <m:r>
            <m:rPr>
              <m:sty m:val="p"/>
            </m:rPr>
            <m:t>⋅</m:t>
          </m:r>
          <m:r>
            <m:t>S</m:t>
          </m:r>
          <m:r>
            <m:rPr>
              <m:sty m:val="p"/>
            </m:rPr>
            <m:t>+</m:t>
          </m:r>
          <m:f>
            <m:fPr>
              <m:type m:val="bar"/>
            </m:fPr>
            <m:num>
              <m:r>
                <m:t>Q</m:t>
              </m:r>
            </m:num>
            <m:den>
              <m:r>
                <m:t>2</m:t>
              </m:r>
            </m:den>
          </m:f>
          <m:r>
            <m:rPr>
              <m:sty m:val="p"/>
            </m:rPr>
            <m:t>⋅</m:t>
          </m:r>
          <m:r>
            <m:t>H</m:t>
          </m:r>
        </m:oMath>
      </m:oMathPara>
    </w:p>
    <w:p>
      <w:pPr>
        <w:pStyle w:val="FirstParagraph"/>
      </w:pPr>
      <w:r>
        <w:t xml:space="preserve">der</w:t>
      </w:r>
      <w:r>
        <w:t xml:space="preserve"> </w:t>
      </w:r>
      <m:oMath>
        <m:r>
          <m:t>D</m:t>
        </m:r>
      </m:oMath>
      <w:r>
        <w:t xml:space="preserve"> </w:t>
      </w:r>
      <w:r>
        <w:t xml:space="preserve">er årlig etterspørsel i enheter,</w:t>
      </w:r>
      <w:r>
        <w:t xml:space="preserve"> </w:t>
      </w:r>
      <m:oMath>
        <m:r>
          <m:t>Q</m:t>
        </m:r>
      </m:oMath>
      <w:r>
        <w:t xml:space="preserve"> </w:t>
      </w:r>
      <w:r>
        <w:t xml:space="preserve">er bestillingsmengden,</w:t>
      </w:r>
      <w:r>
        <w:t xml:space="preserve"> </w:t>
      </w:r>
      <m:oMath>
        <m:r>
          <m:t>S</m:t>
        </m:r>
      </m:oMath>
      <w:r>
        <w:t xml:space="preserve"> </w:t>
      </w:r>
      <w:r>
        <w:t xml:space="preserve">er kostnad per ordre (kroner per bestillingstransaksjon), og</w:t>
      </w:r>
      <w:r>
        <w:t xml:space="preserve"> </w:t>
      </w:r>
      <m:oMath>
        <m:r>
          <m:t>H</m:t>
        </m:r>
      </m:oMath>
      <w:r>
        <w:t xml:space="preserve"> </w:t>
      </w:r>
      <w:r>
        <w:t xml:space="preserve">er holdekostnad per enhet per år (kroner). Minimering av</w:t>
      </w:r>
      <w:r>
        <w:t xml:space="preserve"> </w:t>
      </w:r>
      <m:oMath>
        <m:r>
          <m:t>T</m:t>
        </m:r>
        <m:r>
          <m:t>C</m:t>
        </m:r>
        <m:r>
          <m:rPr>
            <m:sty m:val="p"/>
          </m:rPr>
          <m:t>(</m:t>
        </m:r>
        <m:r>
          <m:t>Q</m:t>
        </m:r>
        <m:r>
          <m:rPr>
            <m:sty m:val="p"/>
          </m:rPr>
          <m:t>)</m:t>
        </m:r>
      </m:oMath>
      <w:r>
        <w:t xml:space="preserve"> </w:t>
      </w:r>
      <w:r>
        <w:t xml:space="preserve">med hensyn til</w:t>
      </w:r>
      <w:r>
        <w:t xml:space="preserve"> </w:t>
      </w:r>
      <m:oMath>
        <m:r>
          <m:t>Q</m:t>
        </m:r>
      </m:oMath>
      <w:r>
        <w:t xml:space="preserve"> </w:t>
      </w:r>
      <w:r>
        <w:t xml:space="preserve">gir den optimale bestillingsmengden:</w:t>
      </w:r>
    </w:p>
    <w:p>
      <w:pPr>
        <w:pStyle w:val="BodyText"/>
      </w:pPr>
      <m:oMathPara>
        <m:oMathParaPr>
          <m:jc m:val="center"/>
        </m:oMathParaPr>
        <m:oMath>
          <m:sSup>
            <m:e>
              <m:r>
                <m:t>Q</m:t>
              </m:r>
            </m:e>
            <m:sup>
              <m:r>
                <m:rPr>
                  <m:sty m:val="p"/>
                </m:rPr>
                <m:t>*</m:t>
              </m:r>
            </m:sup>
          </m:sSup>
          <m:r>
            <m:rPr>
              <m:sty m:val="p"/>
            </m:rPr>
            <m:t>=</m:t>
          </m:r>
          <m:rad>
            <m:radPr>
              <m:degHide m:val="on"/>
            </m:radPr>
            <m:deg/>
            <m:e>
              <m:f>
                <m:fPr>
                  <m:type m:val="bar"/>
                </m:fPr>
                <m:num>
                  <m:r>
                    <m:t>2</m:t>
                  </m:r>
                  <m:r>
                    <m:t>D</m:t>
                  </m:r>
                  <m:r>
                    <m:t>S</m:t>
                  </m:r>
                </m:num>
                <m:den>
                  <m:r>
                    <m:t>H</m:t>
                  </m:r>
                </m:den>
              </m:f>
            </m:e>
          </m:rad>
        </m:oMath>
      </m:oMathPara>
    </w:p>
    <w:p>
      <w:pPr>
        <w:pStyle w:val="FirstParagraph"/>
      </w:pPr>
      <w:r>
        <w:t xml:space="preserve">Den tilhørende optimale bestillingsfrekvensen er</w:t>
      </w:r>
      <w:r>
        <w:t xml:space="preserve"> </w:t>
      </w:r>
      <m:oMath>
        <m:sSup>
          <m:e>
            <m:r>
              <m:t>f</m:t>
            </m:r>
          </m:e>
          <m:sup>
            <m:r>
              <m:rPr>
                <m:sty m:val="p"/>
              </m:rPr>
              <m:t>*</m:t>
            </m:r>
          </m:sup>
        </m:sSup>
        <m:r>
          <m:rPr>
            <m:sty m:val="p"/>
          </m:rPr>
          <m:t>=</m:t>
        </m:r>
        <m:r>
          <m:t>D</m:t>
        </m:r>
        <m:r>
          <m:rPr>
            <m:sty m:val="p"/>
          </m:rPr>
          <m:t>/</m:t>
        </m:r>
        <m:sSup>
          <m:e>
            <m:r>
              <m:t>Q</m:t>
            </m:r>
          </m:e>
          <m:sup>
            <m:r>
              <m:rPr>
                <m:sty m:val="p"/>
              </m:rPr>
              <m:t>*</m:t>
            </m:r>
          </m:sup>
        </m:sSup>
      </m:oMath>
      <w:r>
        <w:t xml:space="preserve"> </w:t>
      </w:r>
      <w:r>
        <w:t xml:space="preserve">ordrer per år. Enhver avvik fra</w:t>
      </w:r>
      <w:r>
        <w:t xml:space="preserve"> </w:t>
      </w:r>
      <m:oMath>
        <m:sSup>
          <m:e>
            <m:r>
              <m:t>f</m:t>
            </m:r>
          </m:e>
          <m:sup>
            <m:r>
              <m:rPr>
                <m:sty m:val="p"/>
              </m:rPr>
              <m:t>*</m:t>
            </m:r>
          </m:sup>
        </m:sSup>
      </m:oMath>
      <w:r>
        <w:t xml:space="preserve"> </w:t>
      </w:r>
      <w:r>
        <w:t xml:space="preserve">— enten mot for hyppige eller for sjeldne bestillinger — medfører unødvendige kostnader. I denne oppgaven benyttes EOQ primært for å identifisere artikler der faktisk bestillingsfrekvens avviker vesentlig fra</w:t>
      </w:r>
      <w:r>
        <w:t xml:space="preserve"> </w:t>
      </w:r>
      <m:oMath>
        <m:sSup>
          <m:e>
            <m:r>
              <m:t>f</m:t>
            </m:r>
          </m:e>
          <m:sup>
            <m:r>
              <m:rPr>
                <m:sty m:val="p"/>
              </m:rPr>
              <m:t>*</m:t>
            </m:r>
          </m:sup>
        </m:sSup>
      </m:oMath>
      <w:r>
        <w:t xml:space="preserve">, og der kostnadsavviket er kvantifiserbart (Ketkar &amp; Vaidya, 2014).</w:t>
      </w:r>
    </w:p>
    <w:p>
      <w:pPr>
        <w:pStyle w:val="BodyText"/>
      </w:pPr>
      <w:r>
        <w:t xml:space="preserve">Modellen hviler på en rekke forutsetninger: konstant og kjent etterspørsel, øyeblikkelig leveranse (ingen ledetid), ingen kvantumsrabatter og lineær holdekostnad. I praksis brytes samtlige av disse forutsetningene i varierende grad. Hautaniemi og Pirttilä (1999) diskuterer dette i en MRP-kontekst og påpeker at EOQ i mange tilfeller overstiger faktisk etterspørsel per periode, noe som genererer suboptimale partistørrelser. Pujawan (2004) viser at unøyaktige lot-sizing-regler kan forplante seg som ordrevariabilitet oppover i forsyningskjeden — det såkalte bullwhip-fenomenet. I sykehuskontekst begrenses disse problemene noe av det faktum at medisinsk forbruksmateriell har relativt stabile etterspørselsmønstre for store volumartikler, men problemstillingen er like fullt relevant for Z-klassifiserte artikler.</w:t>
      </w:r>
    </w:p>
    <w:p>
      <w:pPr>
        <w:pStyle w:val="BodyText"/>
      </w:pPr>
      <w:r>
        <w:t xml:space="preserve">I denne oppgaven er parameterne satt til</w:t>
      </w:r>
      <w:r>
        <w:t xml:space="preserve"> </w:t>
      </w:r>
      <m:oMath>
        <m:r>
          <m:t>S</m:t>
        </m:r>
        <m:r>
          <m:rPr>
            <m:sty m:val="p"/>
          </m:rPr>
          <m:t>=</m:t>
        </m:r>
        <m:r>
          <m:t>750</m:t>
        </m:r>
      </m:oMath>
      <w:r>
        <w:t xml:space="preserve"> </w:t>
      </w:r>
      <w:r>
        <w:t xml:space="preserve">NOK og</w:t>
      </w:r>
      <w:r>
        <w:t xml:space="preserve"> </w:t>
      </w:r>
      <m:oMath>
        <m:r>
          <m:t>H</m:t>
        </m:r>
        <m:r>
          <m:rPr>
            <m:sty m:val="p"/>
          </m:rPr>
          <m:t>=</m:t>
        </m:r>
        <m:r>
          <m:t>p</m:t>
        </m:r>
        <m:r>
          <m:rPr>
            <m:sty m:val="p"/>
          </m:rPr>
          <m:t>×</m:t>
        </m:r>
        <m:r>
          <m:t>20</m:t>
        </m:r>
        <m:r>
          <m:t> </m:t>
        </m:r>
        <m:r>
          <m:rPr>
            <m:sty m:val="p"/>
          </m:rPr>
          <m:t>%</m:t>
        </m:r>
      </m:oMath>
      <w:r>
        <w:t xml:space="preserve">, der</w:t>
      </w:r>
      <w:r>
        <w:t xml:space="preserve"> </w:t>
      </w:r>
      <m:oMath>
        <m:r>
          <m:t>p</m:t>
        </m:r>
      </m:oMath>
      <w:r>
        <w:t xml:space="preserve"> </w:t>
      </w:r>
      <w:r>
        <w:t xml:space="preserve">er enhetsprisen fra MBEW. Sensitivitetsanalysen varierer</w:t>
      </w:r>
      <w:r>
        <w:t xml:space="preserve"> </w:t>
      </w:r>
      <m:oMath>
        <m:r>
          <m:t>S</m:t>
        </m:r>
        <m:r>
          <m:rPr>
            <m:sty m:val="p"/>
          </m:rPr>
          <m:t>∈</m:t>
        </m:r>
        <m:r>
          <m:rPr>
            <m:sty m:val="p"/>
          </m:rPr>
          <m:t>{</m:t>
        </m:r>
        <m:r>
          <m:t>500</m:t>
        </m:r>
        <m:r>
          <m:rPr>
            <m:sty m:val="p"/>
          </m:rPr>
          <m:t>,</m:t>
        </m:r>
        <m:r>
          <m:t>750</m:t>
        </m:r>
        <m:r>
          <m:rPr>
            <m:sty m:val="p"/>
          </m:rPr>
          <m:t>,</m:t>
        </m:r>
        <m:r>
          <m:t>1</m:t>
        </m:r>
        <m:r>
          <m:t> </m:t>
        </m:r>
        <m:r>
          <m:t>000</m:t>
        </m:r>
        <m:r>
          <m:rPr>
            <m:sty m:val="p"/>
          </m:rPr>
          <m:t>}</m:t>
        </m:r>
      </m:oMath>
      <w:r>
        <w:t xml:space="preserve"> </w:t>
      </w:r>
      <w:r>
        <w:t xml:space="preserve">NOK og holdekostnadssatsen</w:t>
      </w:r>
      <w:r>
        <w:t xml:space="preserve"> </w:t>
      </w:r>
      <m:oMath>
        <m:r>
          <m:rPr>
            <m:sty m:val="p"/>
          </m:rPr>
          <m:t>∈</m:t>
        </m:r>
        <m:r>
          <m:rPr>
            <m:sty m:val="p"/>
          </m:rPr>
          <m:t>{</m:t>
        </m:r>
        <m:r>
          <m:t>15</m:t>
        </m:r>
        <m:r>
          <m:t> </m:t>
        </m:r>
        <m:r>
          <m:rPr>
            <m:sty m:val="p"/>
          </m:rPr>
          <m:t>%</m:t>
        </m:r>
        <m:r>
          <m:rPr>
            <m:sty m:val="p"/>
          </m:rPr>
          <m:t>,</m:t>
        </m:r>
        <m:r>
          <m:t>20</m:t>
        </m:r>
        <m:r>
          <m:t> </m:t>
        </m:r>
        <m:r>
          <m:rPr>
            <m:sty m:val="p"/>
          </m:rPr>
          <m:t>%</m:t>
        </m:r>
        <m:r>
          <m:rPr>
            <m:sty m:val="p"/>
          </m:rPr>
          <m:t>,</m:t>
        </m:r>
        <m:r>
          <m:t>25</m:t>
        </m:r>
        <m:r>
          <m:t> </m:t>
        </m:r>
        <m:r>
          <m:rPr>
            <m:sty m:val="p"/>
          </m:rPr>
          <m:t>%</m:t>
        </m:r>
        <m:r>
          <m:rPr>
            <m:sty m:val="p"/>
          </m:rPr>
          <m:t>}</m:t>
        </m:r>
      </m:oMath>
      <w:r>
        <w:t xml:space="preserve"> </w:t>
      </w:r>
      <w:r>
        <w:t xml:space="preserve">for å kartlegge robustheten i besparelsesestimatene.</w:t>
      </w:r>
    </w:p>
    <w:p>
      <w:pPr>
        <w:pStyle w:val="BodyText"/>
      </w:pPr>
      <w:r>
        <w:t xml:space="preserve">Totalkostnaden ved en gitt ordrefrekvens</w:t>
      </w:r>
      <w:r>
        <w:t xml:space="preserve"> </w:t>
      </w:r>
      <m:oMath>
        <m:r>
          <m:t>f</m:t>
        </m:r>
      </m:oMath>
      <w:r>
        <w:t xml:space="preserve"> </w:t>
      </w:r>
      <w:r>
        <w:t xml:space="preserve">er:</w:t>
      </w:r>
    </w:p>
    <w:p>
      <w:pPr>
        <w:pStyle w:val="BodyText"/>
      </w:pPr>
      <m:oMathPara>
        <m:oMathParaPr>
          <m:jc m:val="center"/>
        </m:oMathParaPr>
        <m:oMath>
          <m:r>
            <m:t>T</m:t>
          </m:r>
          <m:r>
            <m:t>C</m:t>
          </m:r>
          <m:r>
            <m:rPr>
              <m:sty m:val="p"/>
            </m:rPr>
            <m:t>(</m:t>
          </m:r>
          <m:r>
            <m:t>f</m:t>
          </m:r>
          <m:r>
            <m:rPr>
              <m:sty m:val="p"/>
            </m:rPr>
            <m:t>)</m:t>
          </m:r>
          <m:r>
            <m:rPr>
              <m:sty m:val="p"/>
            </m:rPr>
            <m:t>=</m:t>
          </m:r>
          <m:r>
            <m:t>f</m:t>
          </m:r>
          <m:r>
            <m:rPr>
              <m:sty m:val="p"/>
            </m:rPr>
            <m:t>⋅</m:t>
          </m:r>
          <m:r>
            <m:t>S</m:t>
          </m:r>
          <m:r>
            <m:rPr>
              <m:sty m:val="p"/>
            </m:rPr>
            <m:t>+</m:t>
          </m:r>
          <m:f>
            <m:fPr>
              <m:type m:val="bar"/>
            </m:fPr>
            <m:num>
              <m:r>
                <m:t>D</m:t>
              </m:r>
            </m:num>
            <m:den>
              <m:r>
                <m:t>2</m:t>
              </m:r>
              <m:r>
                <m:t>f</m:t>
              </m:r>
            </m:den>
          </m:f>
          <m:r>
            <m:rPr>
              <m:sty m:val="p"/>
            </m:rPr>
            <m:t>⋅</m:t>
          </m:r>
          <m:r>
            <m:t>H</m:t>
          </m:r>
        </m:oMath>
      </m:oMathPara>
    </w:p>
    <w:p>
      <w:pPr>
        <w:pStyle w:val="FirstParagraph"/>
      </w:pPr>
      <w:r>
        <w:t xml:space="preserve">Optimal frekvens minimerer</w:t>
      </w:r>
      <w:r>
        <w:t xml:space="preserve"> </w:t>
      </w:r>
      <m:oMath>
        <m:r>
          <m:t>T</m:t>
        </m:r>
        <m:r>
          <m:t>C</m:t>
        </m:r>
        <m:r>
          <m:rPr>
            <m:sty m:val="p"/>
          </m:rPr>
          <m:t>(</m:t>
        </m:r>
        <m:r>
          <m:t>f</m:t>
        </m:r>
        <m:r>
          <m:rPr>
            <m:sty m:val="p"/>
          </m:rPr>
          <m:t>)</m:t>
        </m:r>
      </m:oMath>
      <w:r>
        <w:t xml:space="preserve">:</w:t>
      </w:r>
    </w:p>
    <w:p>
      <w:pPr>
        <w:pStyle w:val="BodyText"/>
      </w:pPr>
      <m:oMathPara>
        <m:oMathParaPr>
          <m:jc m:val="center"/>
        </m:oMathParaPr>
        <m:oMath>
          <m:sSup>
            <m:e>
              <m:r>
                <m:t>f</m:t>
              </m:r>
            </m:e>
            <m:sup>
              <m:r>
                <m:rPr>
                  <m:sty m:val="p"/>
                </m:rPr>
                <m:t>*</m:t>
              </m:r>
            </m:sup>
          </m:sSup>
          <m:r>
            <m:rPr>
              <m:sty m:val="p"/>
            </m:rPr>
            <m:t>=</m:t>
          </m:r>
          <m:rad>
            <m:radPr>
              <m:degHide m:val="on"/>
            </m:radPr>
            <m:deg/>
            <m:e>
              <m:f>
                <m:fPr>
                  <m:type m:val="bar"/>
                </m:fPr>
                <m:num>
                  <m:r>
                    <m:t>D</m:t>
                  </m:r>
                  <m:r>
                    <m:t>H</m:t>
                  </m:r>
                </m:num>
                <m:den>
                  <m:r>
                    <m:t>2</m:t>
                  </m:r>
                  <m:r>
                    <m:t>S</m:t>
                  </m:r>
                </m:den>
              </m:f>
            </m:e>
          </m:rad>
        </m:oMath>
      </m:oMathPara>
    </w:p>
    <w:p>
      <w:pPr>
        <w:pStyle w:val="FirstParagraph"/>
      </w:pPr>
      <w:r>
        <w:t xml:space="preserve">og EOQ fremkommer som</w:t>
      </w:r>
      <w:r>
        <w:t xml:space="preserve"> </w:t>
      </w:r>
      <m:oMath>
        <m:sSup>
          <m:e>
            <m:r>
              <m:t>Q</m:t>
            </m:r>
          </m:e>
          <m:sup>
            <m:r>
              <m:rPr>
                <m:sty m:val="p"/>
              </m:rPr>
              <m:t>*</m:t>
            </m:r>
          </m:sup>
        </m:sSup>
        <m:r>
          <m:rPr>
            <m:sty m:val="p"/>
          </m:rPr>
          <m:t>=</m:t>
        </m:r>
        <m:r>
          <m:t>D</m:t>
        </m:r>
        <m:r>
          <m:rPr>
            <m:sty m:val="p"/>
          </m:rPr>
          <m:t>/</m:t>
        </m:r>
        <m:sSup>
          <m:e>
            <m:r>
              <m:t>f</m:t>
            </m:r>
          </m:e>
          <m:sup>
            <m:r>
              <m:rPr>
                <m:sty m:val="p"/>
              </m:rPr>
              <m:t>*</m:t>
            </m:r>
          </m:sup>
        </m:sSup>
      </m:oMath>
      <w:r>
        <w:t xml:space="preserve">. Kostnadsavviket for en artikkel med observert frekvens</w:t>
      </w:r>
      <w:r>
        <w:t xml:space="preserve"> </w:t>
      </w:r>
      <m:oMath>
        <m:sSub>
          <m:e>
            <m:r>
              <m:t>f</m:t>
            </m:r>
          </m:e>
          <m:sub>
            <m:r>
              <m:rPr>
                <m:nor/>
                <m:sty m:val="p"/>
              </m:rPr>
              <m:t>obs</m:t>
            </m:r>
          </m:sub>
        </m:sSub>
      </m:oMath>
      <w:r>
        <w:t xml:space="preserve"> </w:t>
      </w:r>
      <w:r>
        <w:t xml:space="preserve">er:</w:t>
      </w:r>
    </w:p>
    <w:p>
      <w:pPr>
        <w:pStyle w:val="BodyText"/>
      </w:pPr>
      <m:oMathPara>
        <m:oMathParaPr>
          <m:jc m:val="center"/>
        </m:oMathParaPr>
        <m:oMath>
          <m:r>
            <m:rPr>
              <m:sty m:val="p"/>
            </m:rPr>
            <m:t>Δ</m:t>
          </m:r>
          <m:r>
            <m:t>T</m:t>
          </m:r>
          <m:sSub>
            <m:e>
              <m:r>
                <m:t>C</m:t>
              </m:r>
            </m:e>
            <m:sub>
              <m:r>
                <m:t>i</m:t>
              </m:r>
            </m:sub>
          </m:sSub>
          <m:r>
            <m:rPr>
              <m:sty m:val="p"/>
            </m:rPr>
            <m:t>=</m:t>
          </m:r>
          <m:r>
            <m:t>T</m:t>
          </m:r>
          <m:r>
            <m:t>C</m:t>
          </m:r>
          <m:r>
            <m:rPr>
              <m:sty m:val="p"/>
            </m:rPr>
            <m:t>(</m:t>
          </m:r>
          <m:sSub>
            <m:e>
              <m:r>
                <m:t>f</m:t>
              </m:r>
            </m:e>
            <m:sub>
              <m:r>
                <m:rPr>
                  <m:nor/>
                  <m:sty m:val="p"/>
                </m:rPr>
                <m:t>obs</m:t>
              </m:r>
              <m:r>
                <m:rPr>
                  <m:sty m:val="p"/>
                </m:rPr>
                <m:t>,</m:t>
              </m:r>
              <m:r>
                <m:t>i</m:t>
              </m:r>
            </m:sub>
          </m:sSub>
          <m:r>
            <m:rPr>
              <m:sty m:val="p"/>
            </m:rPr>
            <m:t>)</m:t>
          </m:r>
          <m:r>
            <m:rPr>
              <m:sty m:val="p"/>
            </m:rPr>
            <m:t>−</m:t>
          </m:r>
          <m:r>
            <m:t>T</m:t>
          </m:r>
          <m:r>
            <m:t>C</m:t>
          </m:r>
          <m:r>
            <m:rPr>
              <m:sty m:val="p"/>
            </m:rPr>
            <m:t>(</m:t>
          </m:r>
          <m:sSubSup>
            <m:e>
              <m:r>
                <m:t>f</m:t>
              </m:r>
            </m:e>
            <m:sub>
              <m:r>
                <m:t>i</m:t>
              </m:r>
            </m:sub>
            <m:sup>
              <m:r>
                <m:rPr>
                  <m:sty m:val="p"/>
                </m:rPr>
                <m:t>*</m:t>
              </m:r>
            </m:sup>
          </m:sSubSup>
          <m:r>
            <m:rPr>
              <m:sty m:val="p"/>
            </m:rPr>
            <m:t>)</m:t>
          </m:r>
        </m:oMath>
      </m:oMathPara>
    </w:p>
    <w:p>
      <w:pPr>
        <w:pStyle w:val="FirstParagraph"/>
      </w:pPr>
      <w:r>
        <w:t xml:space="preserve">Samlet besparelse ved HVFS-overføring er:</w:t>
      </w:r>
    </w:p>
    <w:p>
      <w:pPr>
        <w:pStyle w:val="BodyText"/>
      </w:pPr>
      <m:oMathPara>
        <m:oMathParaPr>
          <m:jc m:val="center"/>
        </m:oMathParaPr>
        <m:oMath>
          <m:sSub>
            <m:e>
              <m:r>
                <m:t>B</m:t>
              </m:r>
            </m:e>
            <m:sub>
              <m:r>
                <m:rPr>
                  <m:nor/>
                  <m:sty m:val="p"/>
                </m:rPr>
                <m:t>HVFS</m:t>
              </m:r>
            </m:sub>
          </m:sSub>
          <m:r>
            <m:rPr>
              <m:sty m:val="p"/>
            </m:rPr>
            <m:t>=</m:t>
          </m:r>
          <m:nary>
            <m:naryPr>
              <m:chr m:val="∑"/>
              <m:limLoc m:val="undOvr"/>
              <m:subHide m:val="off"/>
              <m:supHide m:val="on"/>
            </m:naryPr>
            <m:sub>
              <m:r>
                <m:t>i</m:t>
              </m:r>
              <m:r>
                <m:rPr>
                  <m:sty m:val="p"/>
                </m:rPr>
                <m:t>∈</m:t>
              </m:r>
              <m:r>
                <m:rPr>
                  <m:nor/>
                  <m:sty m:val="p"/>
                </m:rPr>
                <m:t>OVERFØR</m:t>
              </m:r>
            </m:sub>
            <m:sup>
              <m:r>
                <m:t>​</m:t>
              </m:r>
            </m:sup>
            <m:e>
              <m:r>
                <m:rPr>
                  <m:sty m:val="p"/>
                </m:rPr>
                <m:t>Δ</m:t>
              </m:r>
            </m:e>
          </m:nary>
          <m:r>
            <m:t>T</m:t>
          </m:r>
          <m:sSub>
            <m:e>
              <m:r>
                <m:t>C</m:t>
              </m:r>
            </m:e>
            <m:sub>
              <m:r>
                <m:t>i</m:t>
              </m:r>
            </m:sub>
          </m:sSub>
          <m:r>
            <m:rPr>
              <m:sty m:val="p"/>
            </m:rPr>
            <m:t>⋅</m:t>
          </m:r>
          <m:r>
            <m:t>g</m:t>
          </m:r>
        </m:oMath>
      </m:oMathPara>
    </w:p>
    <w:p>
      <w:pPr>
        <w:pStyle w:val="FirstParagraph"/>
      </w:pPr>
      <w:r>
        <w:t xml:space="preserve">der</w:t>
      </w:r>
      <w:r>
        <w:t xml:space="preserve"> </w:t>
      </w:r>
      <m:oMath>
        <m:r>
          <m:t>g</m:t>
        </m:r>
      </m:oMath>
      <w:r>
        <w:t xml:space="preserve"> </w:t>
      </w:r>
      <w:r>
        <w:t xml:space="preserve">er en gevinstrealiseringsgrad som reflekterer at ikke alle teoretiske besparelser lar seg realisere fullt ut i praksis. Den detaljerte modellformuleringen er beskrevet i kapittel 5.</w:t>
      </w:r>
    </w:p>
    <w:bookmarkEnd w:id="39"/>
    <w:bookmarkStart w:id="40" w:name="k-means-klyngeanalyse"/>
    <w:p>
      <w:pPr>
        <w:pStyle w:val="Overskrift2"/>
      </w:pPr>
      <w:r>
        <w:t xml:space="preserve">2.5 K-means klyngeanalyse</w:t>
      </w:r>
    </w:p>
    <w:p>
      <w:pPr>
        <w:pStyle w:val="FirstParagraph"/>
      </w:pPr>
      <w:r>
        <w:t xml:space="preserve">K-means er en partisjoneringsalgoritme som deler et datasett inn i</w:t>
      </w:r>
      <w:r>
        <w:t xml:space="preserve"> </w:t>
      </w:r>
      <m:oMath>
        <m:r>
          <m:t>K</m:t>
        </m:r>
      </m:oMath>
      <w:r>
        <w:t xml:space="preserve"> </w:t>
      </w:r>
      <w:r>
        <w:t xml:space="preserve">klynger ved å minimere summen av kvadrerte euklidske avstander fra hvert datapunkt til tilhørende klyngesenter (sentroid). Algoritmen itererer over to steg: (1) tilordne hvert punkt til nærmeste sentroid, og (2) oppdatere sentroides som gjennomsnittet av tilordnede punkter. Prosessen gjentas til konvergens, det vil si at klyngetilhørigheten ikke lenger endres mellom iterasjoner (Pedregosa et al., 2011).</w:t>
      </w:r>
    </w:p>
    <w:p>
      <w:pPr>
        <w:pStyle w:val="BodyText"/>
      </w:pPr>
      <w:r>
        <w:t xml:space="preserve">For å bestemme optimalt antall klynger</w:t>
      </w:r>
      <w:r>
        <w:t xml:space="preserve"> </w:t>
      </w:r>
      <m:oMath>
        <m:r>
          <m:t>K</m:t>
        </m:r>
      </m:oMath>
      <w:r>
        <w:t xml:space="preserve"> </w:t>
      </w:r>
      <w:r>
        <w:t xml:space="preserve">benyttes to komplementære valideringsmetoder. Albue-metoden (elbow method) plotter intra-klyngevariansen (WCSS — Within-Cluster Sum of Squares) som funksjon av</w:t>
      </w:r>
      <w:r>
        <w:t xml:space="preserve"> </w:t>
      </w:r>
      <m:oMath>
        <m:r>
          <m:t>K</m:t>
        </m:r>
      </m:oMath>
      <w:r>
        <w:t xml:space="preserve"> </w:t>
      </w:r>
      <w:r>
        <w:t xml:space="preserve">og identifiserer det punktet der marginalreduksjonen flater ut. Silhouette-score kvantifiserer dette mer presist: for hvert datapunkt beregnes et mål på separasjonen mellom klynger relativt til kohesjon innen klyngen, og gjennomsnittsscoren over alle punkter ligger mellom -1 og 1, der verdier over 0,3 anses som akseptable og verdier over 0,5 som gode (Pedregosa et al., 2011). I denne oppgaven er</w:t>
      </w:r>
      <w:r>
        <w:t xml:space="preserve"> </w:t>
      </w:r>
      <m:oMath>
        <m:r>
          <m:t>K</m:t>
        </m:r>
        <m:r>
          <m:rPr>
            <m:sty m:val="p"/>
          </m:rPr>
          <m:t>=</m:t>
        </m:r>
        <m:r>
          <m:t>3</m:t>
        </m:r>
      </m:oMath>
      <w:r>
        <w:t xml:space="preserve"> </w:t>
      </w:r>
      <w:r>
        <w:t xml:space="preserve">valgt på bakgrunn av begge kriterier.</w:t>
      </w:r>
    </w:p>
    <w:p>
      <w:pPr>
        <w:pStyle w:val="BodyText"/>
      </w:pPr>
      <w:r>
        <w:t xml:space="preserve">To tekniske forbehandlingstrinn er faglig motiverte og avgjørende for analysens validitet. Log-transformasjon (</w:t>
      </w:r>
      <m:oMath>
        <m:r>
          <m:rPr>
            <m:sty m:val="p"/>
          </m:rPr>
          <m:t>log</m:t>
        </m:r>
        <m:r>
          <m:rPr>
            <m:sty m:val="p"/>
          </m:rPr>
          <m:t>(</m:t>
        </m:r>
        <m:r>
          <m:t>1</m:t>
        </m:r>
        <m:r>
          <m:rPr>
            <m:sty m:val="p"/>
          </m:rPr>
          <m:t>+</m:t>
        </m:r>
        <m:r>
          <m:t>x</m:t>
        </m:r>
        <m:r>
          <m:rPr>
            <m:sty m:val="p"/>
          </m:rPr>
          <m:t>)</m:t>
        </m:r>
      </m:oMath>
      <w:r>
        <w:t xml:space="preserve">) benyttes på skjevfordelte variabler som innkjøpsverdi og ordrefrekvens, da disse typisk har kraftige halefordelinger der noen få høyverdiartikler ellers vil dominere klyngedannelsen og maskere strukturen blant den store majoriteten av artikler. Z-score-standardisering (nullgjennomsnitt, enhetsstandaravvik) sikrer at variabler med ulik skala og enhet — kroner, ordrefrekvens og variasjonskoeffisient — bidrar likeverdig til distanseberegningene. Uten standardisering vil den absolutte skalaen til prisvariabler dominere over CV-variabler, noe som ville gi klynger styrt av verdi alene fremfor den kombinerte profilen analysen søker å avdekke.</w:t>
      </w:r>
    </w:p>
    <w:p>
      <w:pPr>
        <w:pStyle w:val="BodyText"/>
      </w:pPr>
      <w:r>
        <w:t xml:space="preserve">Srinivasan og Moon (1999) viser at klyngeanalyse for strategisk forsyningskjedeanalyse gir resultater nær optimale sammenlignet med helhetlige optimeringer, og at metoden er praktisk håndterbar for store sortiment. Sammenlignet med regelbaserte klassifiseringsmetoder alene har klyngeanalyse den fordelen at den er data-drevet og ikke forutsetter forhåndsdefinerte terskelverdier. Begrensningen er at K-means er sensitiv for initialiseringen og forutsetter et konvekst, sfærisk klyngemønster — noe som ikke alltid er oppfylt i lagerdata. I denne oppgaven håndteres initialiseringsproblematikken ved bruk av k-means++ initialisering og random_state = 42 for reproduserbarhet, og klyngeresultatene valideres mot silhouette-score for begge delsett i et 80/20-split.</w:t>
      </w:r>
    </w:p>
    <w:p>
      <w:pPr>
        <w:pStyle w:val="BodyText"/>
      </w:pPr>
      <w:r>
        <w:t xml:space="preserve">I lagerstyringssammenheng brukes K-means primært som et segmenteringsverktøy for å identifisere artikkelgrupper med felles profil på tvers av flere dimensjoner samtidig — ikke som en prediktiv modell (Srinivasan &amp; Moon, 1999). Valg av K via silhouette-score er metodisk standard i eksplorativ klyngeanalyse og reduserer analytisk bias ved at K bestemmes av datastrukturen, ikke av forhåndsdefinerte kategorier (Pedregosa et al., 2011). Det finnes begrenset sykehus-spesifikk litteratur på K-means i lagerklassifisering; Gurumurthy et al. (2021) er blant de få som eksplisitt benytter klyngeanalyse i en sykehuslogistikkontekst, noe som understreker at metodekombinasjonen i denne studien bidrar til å utvide det empiriske grunnlaget på feltet.</w:t>
      </w:r>
    </w:p>
    <w:bookmarkEnd w:id="40"/>
    <w:bookmarkStart w:id="41" w:name="lagerstyring-i-helsesektoren"/>
    <w:p>
      <w:pPr>
        <w:pStyle w:val="Overskrift2"/>
      </w:pPr>
      <w:r>
        <w:t xml:space="preserve">2.6 Lagerstyring i helsesektoren</w:t>
      </w:r>
    </w:p>
    <w:p>
      <w:pPr>
        <w:pStyle w:val="FirstParagraph"/>
      </w:pPr>
      <w:r>
        <w:t xml:space="preserve">Sykehuslogistikk skiller seg fra industriell lagerstyring på flere vesentlige punkter. Det mest fundamentale er at forsyningssvikt kan ha direkte kliniske konsekvenser — mangel på forbruksmateriell i en operasjonsstue er ikke sammenlignbart med et utsolgt produkt i en butikk. Bijvank og Vis (2012) modellerer dette som et tapte-salg-lagersystem (lost sales) der stockout har direkte operasjonell kostnad utover den rene anskaffelseskostnaden. Konsekvensen er at sykehus tradisjonelt har akseptert høyere sikkerhetslager og høyere lagerkostnader enn det som er kostnadsoptimalt, som en forsikring mot forsyningssvikt.</w:t>
      </w:r>
    </w:p>
    <w:p>
      <w:pPr>
        <w:pStyle w:val="BodyText"/>
      </w:pPr>
      <w:r>
        <w:t xml:space="preserve">Moons et al. (2019) peker på at ytelsesmåling i interne sykehusforsyningskjeder er fragmentert og mangler konsensus om felles indikatorer. Fire kategorier av indikatorer identifiseres: kvalitet, tid, økonomi og produktivitet. For klassifiseringsformål er økonomiindikatorer — lagerbinding, ordrekostnader, fill rate — de mest operasjonaliserbare, men de må balanseres mot serviceindikatorene som reflekterer klinisk tilgjengelighet. Kumar og Kumar (2015) identifiserte 16 nøkkelfaktorer for sykehuslagerstyring gjennom ISM-analyse, der leveringstid, lagernivå og bestillingsmønster fremstår som drivende faktorer for systemets samlede ytelse. Sirisawat et al. (2019) bekrefter dette ved å vise at KPI-basert klassifisering i universitetssykehus forutsetter tilgang til operative data fra ERP-systemer — en forutsetning som SE16H-tilnærmingen i denne studien direkte adresserer.</w:t>
      </w:r>
    </w:p>
    <w:p>
      <w:pPr>
        <w:pStyle w:val="BodyText"/>
      </w:pPr>
      <w:r>
        <w:t xml:space="preserve">Saha og Ray (2019) gjennomgikk 137 studier på lagerstyringsmodeller i helsesektoren og fant at casestudier med empiriske data fra ERP-systemer er underrepresentert i litteraturen sammenlignet med teoretiske modeller. De fremhever behovet for forskning som benytter faktiske transaksjonsdata fra systemer som SAP for å validere klassifiseringsresultater mot operative parametere. Gupta et al. (2007) viser i en konkret sykehusstudie at ABC-analyse med SAP-data reduserte lagerkapitalbindingen med om lag 10–15 prosent over en periode, noe som illustrerer det praktiske besparelsespotensialet av systematisk klassifiseringsarbeid.</w:t>
      </w:r>
    </w:p>
    <w:p>
      <w:pPr>
        <w:pStyle w:val="BodyText"/>
      </w:pPr>
      <w:r>
        <w:t xml:space="preserve">SAP S/4HANA er i dag det dominerende ERP-systemet i norske helseforetak, og LIBRA-prosjektet standardiserer plattformen på tvers av Helse Vest. Denne standardiseringen er en forutsetning for at en felles, datadrevet klassifiseringsmodell kan implementeres med overføringsverdi fra Helse Bergen til de øvrige helseforetakene i regionen. Fragapane et al. (2019) understreker at overgangen til sentraliserte APL-leveranser (avdelingspakkede leveranser) krever et systematisk klassifiseringsgrunnlag for å avgjøre hvilke artikler som egner seg for sentralisering versus lokal lagring nær bruksstedet. de Vries (2011) advarer imidlertid mot å undervurdere de organisatoriske barrierene: interessentkonflikter mellom logistikk, klinisk personell og økonomiavdelinger kan forsinke eller undergrave rasjonelle omstillingsbeslutninger selv der datagrunnlaget er godt.</w:t>
      </w:r>
    </w:p>
    <w:p>
      <w:pPr>
        <w:pStyle w:val="BodyText"/>
      </w:pPr>
      <w:r>
        <w:t xml:space="preserve">Tabell 2 oppsummerer styrker, svakheter og forutsetninger for de fire analysemetodene som benyttes i denne oppgaven.</w:t>
      </w:r>
    </w:p>
    <w:p>
      <w:pPr>
        <w:pStyle w:val="BodyText"/>
      </w:pPr>
      <w:r>
        <w:rPr>
          <w:i/>
          <w:iCs/>
        </w:rPr>
        <w:t xml:space="preserve">Tabell 2. Sammenligning av analysemetoder brukt i oppgaven.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Modell</w:t>
            </w:r>
          </w:p>
        </w:tc>
        <w:tc>
          <w:tcPr/>
          <w:p>
            <w:pPr>
              <w:pStyle w:val="Compact"/>
            </w:pPr>
            <w:r>
              <w:t xml:space="preserve">Styrker</w:t>
            </w:r>
          </w:p>
        </w:tc>
        <w:tc>
          <w:tcPr/>
          <w:p>
            <w:pPr>
              <w:pStyle w:val="Compact"/>
            </w:pPr>
            <w:r>
              <w:t xml:space="preserve">Svakheter</w:t>
            </w:r>
          </w:p>
        </w:tc>
        <w:tc>
          <w:tcPr/>
          <w:p>
            <w:pPr>
              <w:pStyle w:val="Compact"/>
            </w:pPr>
            <w:r>
              <w:t xml:space="preserve">Forutsetninger</w:t>
            </w:r>
          </w:p>
        </w:tc>
        <w:tc>
          <w:tcPr/>
          <w:p>
            <w:pPr>
              <w:pStyle w:val="Compact"/>
            </w:pPr>
            <w:r>
              <w:t xml:space="preserve">Referanse</w:t>
            </w:r>
          </w:p>
        </w:tc>
      </w:tr>
      <w:tr>
        <w:tc>
          <w:tcPr/>
          <w:p>
            <w:pPr>
              <w:pStyle w:val="Compact"/>
            </w:pPr>
            <w:r>
              <w:t xml:space="preserve">ABC-analyse</w:t>
            </w:r>
          </w:p>
        </w:tc>
        <w:tc>
          <w:tcPr/>
          <w:p>
            <w:pPr>
              <w:pStyle w:val="Compact"/>
            </w:pPr>
            <w:r>
              <w:t xml:space="preserve">Enkel, transparent, bred støtte i litteraturen</w:t>
            </w:r>
          </w:p>
        </w:tc>
        <w:tc>
          <w:tcPr/>
          <w:p>
            <w:pPr>
              <w:pStyle w:val="Compact"/>
            </w:pPr>
            <w:r>
              <w:t xml:space="preserve">Ignorerer etterspørselsvariabilitet og kritikalitet</w:t>
            </w:r>
          </w:p>
        </w:tc>
        <w:tc>
          <w:tcPr/>
          <w:p>
            <w:pPr>
              <w:pStyle w:val="Compact"/>
            </w:pPr>
            <w:r>
              <w:t xml:space="preserve">Kjent årsverdi per artikkel</w:t>
            </w:r>
          </w:p>
        </w:tc>
        <w:tc>
          <w:tcPr/>
          <w:p>
            <w:pPr>
              <w:pStyle w:val="Compact"/>
            </w:pPr>
            <w:r>
              <w:t xml:space="preserve">Silaen et al. (2023)</w:t>
            </w:r>
          </w:p>
        </w:tc>
      </w:tr>
      <w:tr>
        <w:tc>
          <w:tcPr/>
          <w:p>
            <w:pPr>
              <w:pStyle w:val="Compact"/>
            </w:pPr>
            <w:r>
              <w:t xml:space="preserve">XYZ-klassifisering</w:t>
            </w:r>
          </w:p>
        </w:tc>
        <w:tc>
          <w:tcPr/>
          <w:p>
            <w:pPr>
              <w:pStyle w:val="Compact"/>
            </w:pPr>
            <w:r>
              <w:t xml:space="preserve">Fanger variabilitet i etterspørsel over tid</w:t>
            </w:r>
          </w:p>
        </w:tc>
        <w:tc>
          <w:tcPr/>
          <w:p>
            <w:pPr>
              <w:pStyle w:val="Compact"/>
            </w:pPr>
            <w:r>
              <w:t xml:space="preserve">Krever tilstrekkelig transaksjonshistorikk</w:t>
            </w:r>
          </w:p>
        </w:tc>
        <w:tc>
          <w:tcPr/>
          <w:p>
            <w:pPr>
              <w:pStyle w:val="Compact"/>
            </w:pPr>
            <w:r>
              <w:t xml:space="preserve">Månedlige forbruksdata tilgjengelig</w:t>
            </w:r>
          </w:p>
        </w:tc>
        <w:tc>
          <w:tcPr/>
          <w:p>
            <w:pPr>
              <w:pStyle w:val="Compact"/>
            </w:pPr>
            <w:r>
              <w:t xml:space="preserve">Nowotyńska (2013)</w:t>
            </w:r>
          </w:p>
        </w:tc>
      </w:tr>
      <w:tr>
        <w:tc>
          <w:tcPr/>
          <w:p>
            <w:pPr>
              <w:pStyle w:val="Compact"/>
            </w:pPr>
            <w:r>
              <w:t xml:space="preserve">EOQ (Wilson)</w:t>
            </w:r>
          </w:p>
        </w:tc>
        <w:tc>
          <w:tcPr/>
          <w:p>
            <w:pPr>
              <w:pStyle w:val="Compact"/>
            </w:pPr>
            <w:r>
              <w:t xml:space="preserve">Analytisk optimal ordrekvantum, kvantifiserbart avvik</w:t>
            </w:r>
          </w:p>
        </w:tc>
        <w:tc>
          <w:tcPr/>
          <w:p>
            <w:pPr>
              <w:pStyle w:val="Compact"/>
            </w:pPr>
            <w:r>
              <w:t xml:space="preserve">Sensitiv for S og H; antar konstant etterspørsel</w:t>
            </w:r>
          </w:p>
        </w:tc>
        <w:tc>
          <w:tcPr/>
          <w:p>
            <w:pPr>
              <w:pStyle w:val="Compact"/>
            </w:pPr>
            <w:r>
              <w:t xml:space="preserve">Kjent S og H; kontinuerlig etterspørsel</w:t>
            </w:r>
          </w:p>
        </w:tc>
        <w:tc>
          <w:tcPr/>
          <w:p>
            <w:pPr>
              <w:pStyle w:val="Compact"/>
            </w:pPr>
            <w:r>
              <w:t xml:space="preserve">Hautaniemi &amp; Pirttilä (1999)</w:t>
            </w:r>
          </w:p>
        </w:tc>
      </w:tr>
      <w:tr>
        <w:tc>
          <w:tcPr/>
          <w:p>
            <w:pPr>
              <w:pStyle w:val="Compact"/>
            </w:pPr>
            <w:r>
              <w:t xml:space="preserve">K-means klyngeanalyse</w:t>
            </w:r>
          </w:p>
        </w:tc>
        <w:tc>
          <w:tcPr/>
          <w:p>
            <w:pPr>
              <w:pStyle w:val="Compact"/>
            </w:pPr>
            <w:r>
              <w:t xml:space="preserve">Avdekker skjulte mønstre uten forhåndsbestemte grenser</w:t>
            </w:r>
          </w:p>
        </w:tc>
        <w:tc>
          <w:tcPr/>
          <w:p>
            <w:pPr>
              <w:pStyle w:val="Compact"/>
            </w:pPr>
            <w:r>
              <w:t xml:space="preserve">Sensitiv for K-valg og initialisering</w:t>
            </w:r>
          </w:p>
        </w:tc>
        <w:tc>
          <w:tcPr/>
          <w:p>
            <w:pPr>
              <w:pStyle w:val="Compact"/>
            </w:pPr>
            <w:r>
              <w:t xml:space="preserve">Normaliserte features; euklidsk avstand</w:t>
            </w:r>
          </w:p>
        </w:tc>
        <w:tc>
          <w:tcPr/>
          <w:p>
            <w:pPr>
              <w:pStyle w:val="Compact"/>
            </w:pPr>
            <w:r>
              <w:t xml:space="preserve">Srinivasan &amp; Moon (1999)</w:t>
            </w:r>
          </w:p>
        </w:tc>
      </w:tr>
    </w:tbl>
    <w:bookmarkEnd w:id="41"/>
    <w:bookmarkStart w:id="45" w:name="konseptuelt-rammeverk"/>
    <w:p>
      <w:pPr>
        <w:pStyle w:val="Overskrift2"/>
      </w:pPr>
      <w:r>
        <w:t xml:space="preserve">2.7 Konseptuelt rammeverk</w:t>
      </w:r>
    </w:p>
    <w:p>
      <w:pPr>
        <w:pStyle w:val="FirstParagraph"/>
      </w:pPr>
      <w: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0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w:t>
      </w:r>
      <w:r>
        <w:t xml:space="preserve"> </w:t>
      </w:r>
      <w:r>
        <w:rPr>
          <w:i/>
          <w:iCs/>
        </w:rPr>
        <w:t xml:space="preserve">overfør til HVFS</w:t>
      </w:r>
      <w:r>
        <w:t xml:space="preserve">,</w:t>
      </w:r>
      <w:r>
        <w:t xml:space="preserve"> </w:t>
      </w:r>
      <w:r>
        <w:rPr>
          <w:i/>
          <w:iCs/>
        </w:rPr>
        <w:t xml:space="preserve">behold lokalt</w:t>
      </w:r>
      <w:r>
        <w:t xml:space="preserve"> </w:t>
      </w:r>
      <w:r>
        <w:t xml:space="preserve">eller</w:t>
      </w:r>
      <w:r>
        <w:t xml:space="preserve"> </w:t>
      </w:r>
      <w:r>
        <w:rPr>
          <w:i/>
          <w:iCs/>
        </w:rPr>
        <w:t xml:space="preserve">krever nærmere vurdering</w:t>
      </w:r>
      <w:r>
        <w:t xml:space="preserve">. Estimert besparelse beregnes som summen av EOQ-kostnadsavvik for HVFS-anbefalte artikler, justert for gevinstrealiseringsgrad.</w:t>
      </w:r>
    </w:p>
    <w:p>
      <w:pPr>
        <w:pStyle w:val="CaptionedFigure"/>
      </w:pPr>
      <w:r>
        <w:drawing>
          <wp:inline>
            <wp:extent cx="6007100" cy="1463915"/>
            <wp:effectExtent b="0" l="0" r="0" t="0"/>
            <wp:docPr descr="Figur 0. Konseptuelt rammeverk – fra SAP-data til HVFS-anbefaling. Generert med støtte fra Claude (Anthropic, 2026)." title="" id="43" name="Picture"/>
            <a:graphic>
              <a:graphicData uri="http://schemas.openxmlformats.org/drawingml/2006/picture">
                <pic:pic>
                  <pic:nvPicPr>
                    <pic:cNvPr descr="../006%20Analyse/plots/Fig00_Konseptuelt_Rammeverk.png" id="44" name="Picture"/>
                    <pic:cNvPicPr>
                      <a:picLocks noChangeArrowheads="1" noChangeAspect="1"/>
                    </pic:cNvPicPr>
                  </pic:nvPicPr>
                  <pic:blipFill>
                    <a:blip r:embed="rId42"/>
                    <a:stretch>
                      <a:fillRect/>
                    </a:stretch>
                  </pic:blipFill>
                  <pic:spPr bwMode="auto">
                    <a:xfrm>
                      <a:off x="0" y="0"/>
                      <a:ext cx="6007100" cy="1463915"/>
                    </a:xfrm>
                    <a:prstGeom prst="rect">
                      <a:avLst/>
                    </a:prstGeom>
                    <a:noFill/>
                    <a:ln w="9525">
                      <a:noFill/>
                      <a:headEnd/>
                      <a:tailEnd/>
                    </a:ln>
                  </pic:spPr>
                </pic:pic>
              </a:graphicData>
            </a:graphic>
          </wp:inline>
        </w:drawing>
      </w:r>
    </w:p>
    <w:p>
      <w:pPr>
        <w:pStyle w:val="ImageCaption"/>
      </w:pPr>
      <w:r>
        <w:t xml:space="preserve">Figur 0. Konseptuelt rammeverk – fra SAP-data til HVFS-anbefaling. Generert med støtte fra Claude (Anthropic, 2026).</w:t>
      </w:r>
    </w:p>
    <w:p>
      <w:pPr>
        <w:pStyle w:val="BodyText"/>
      </w:pPr>
      <w:r>
        <w:t xml:space="preserve">Figur 0 refererer til dette rammeverket. Den detaljerte matematiske formuleringen av alle modellkomponenter — parameterdefinisjonene, formlene og grenseverdiene — presenteres i kapittel 5.</w:t>
      </w:r>
    </w:p>
    <w:p>
      <w:r>
        <w:pict>
          <v:rect style="width:0;height:1.5pt" o:hralign="center" o:hrstd="t" o:hr="t"/>
        </w:pict>
      </w:r>
    </w:p>
    <w:p>
      <w:r>
        <w:pict>
          <v:rect style="width:0;height:1.5pt" o:hralign="center" o:hrstd="t" o:hr="t"/>
        </w:pict>
      </w:r>
    </w:p>
    <w:bookmarkEnd w:id="45"/>
    <w:bookmarkEnd w:id="46"/>
    <w:bookmarkStart w:id="53" w:name="kapittel-3-casebeskrivelse"/>
    <w:p>
      <w:pPr>
        <w:pStyle w:val="Overskrift1"/>
      </w:pPr>
      <w:r>
        <w:t xml:space="preserve">Kapittel 3 – Casebeskrivelse</w:t>
      </w:r>
    </w:p>
    <w:bookmarkStart w:id="50" w:name="helse-bergen-og-helse-vest"/>
    <w:p>
      <w:pPr>
        <w:pStyle w:val="Overskrift2"/>
      </w:pPr>
      <w:r>
        <w:t xml:space="preserve">3.1 Helse Bergen og Helse Vest</w:t>
      </w:r>
    </w:p>
    <w:p>
      <w:pPr>
        <w:pStyle w:val="FirstParagraph"/>
      </w:pPr>
      <w:r>
        <w:t xml:space="preserve">Helse Bergen HF er det største helseforetaket i Helse Vest RHF og er organisert under den statlige spesialisthelsetjenesten. Foretaket drifter Haukeland Universitetssykehus — Norges nest største sykehus — og har ansvar for spesialisthelsetjenester til en befolkning på om lag 460 000 innbyggere i 18 kommuner i Hordaland. Med om lag 14 000 ansatte er Helse Bergen en av de største arbeidsgiverne på Vestlandet, og driftskostnadene er tilsvarende betydelige. Foretaket håndterer et bredt spekter av medisinske spesialiteter og har en kompleks intern logistikk som forsyner avdelinger over et stort geografisk anleggsareal.</w:t>
      </w:r>
    </w:p>
    <w:p>
      <w:pPr>
        <w:pStyle w:val="BodyText"/>
      </w:pPr>
      <w:r>
        <w:t xml:space="preserve">Helse Vest RHF koordinerer de fire helseforetakene Helse Bergen, Helse Stavanger, Helse Fonna og Helse Førde. Regionale fellesfunksjoner — inkludert IKT-infrastruktur og forsyningskjedekoordinering — ivaretas i samarbeid mellom foretakene. En regionalt harmonisert tilnærming til materialforvaltning har i senere år fått økt prioritet, drevet av behovet for effektivisering og stordriftsfordeler på tvers av foretakene.</w:t>
      </w:r>
    </w:p>
    <w:p>
      <w:pPr>
        <w:pStyle w:val="BodyText"/>
      </w:pPr>
      <w:r>
        <w:t xml:space="preserve">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1. Tabell 3 oppsummerer nøkkeltallene for casevirksomheten.</w:t>
      </w:r>
    </w:p>
    <w:p>
      <w:pPr>
        <w:pStyle w:val="BodyText"/>
      </w:pPr>
      <w:r>
        <w:rPr>
          <w:i/>
          <w:iCs/>
        </w:rPr>
        <w:t xml:space="preserve">Tabell 3. Nøkkeltall for casevirksomheten Helse Bergen, WERKS 3300.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Nøkkeltall</w:t>
            </w:r>
          </w:p>
        </w:tc>
        <w:tc>
          <w:tcPr/>
          <w:p>
            <w:pPr>
              <w:pStyle w:val="Compact"/>
            </w:pPr>
            <w:r>
              <w:t xml:space="preserve">Verdi</w:t>
            </w:r>
          </w:p>
        </w:tc>
        <w:tc>
          <w:tcPr/>
          <w:p>
            <w:pPr>
              <w:pStyle w:val="Compact"/>
            </w:pPr>
            <w:r>
              <w:t xml:space="preserve">Kilde</w:t>
            </w:r>
          </w:p>
        </w:tc>
      </w:tr>
      <w:tr>
        <w:tc>
          <w:tcPr/>
          <w:p>
            <w:pPr>
              <w:pStyle w:val="Compact"/>
            </w:pPr>
            <w:r>
              <w:t xml:space="preserve">Helseforetak</w:t>
            </w:r>
          </w:p>
        </w:tc>
        <w:tc>
          <w:tcPr/>
          <w:p>
            <w:pPr>
              <w:pStyle w:val="Compact"/>
            </w:pPr>
            <w:r>
              <w:t xml:space="preserve">Helse Bergen HF</w:t>
            </w:r>
          </w:p>
        </w:tc>
        <w:tc>
          <w:tcPr/>
          <w:p>
            <w:pPr>
              <w:pStyle w:val="Compact"/>
            </w:pPr>
            <w:r>
              <w:t xml:space="preserve">Helse Vest RHF</w:t>
            </w:r>
          </w:p>
        </w:tc>
      </w:tr>
      <w:tr>
        <w:tc>
          <w:tcPr/>
          <w:p>
            <w:pPr>
              <w:pStyle w:val="Compact"/>
            </w:pPr>
            <w:r>
              <w:t xml:space="preserve">SAP-anlegg (WERKS)</w:t>
            </w:r>
          </w:p>
        </w:tc>
        <w:tc>
          <w:tcPr/>
          <w:p>
            <w:pPr>
              <w:pStyle w:val="Compact"/>
            </w:pPr>
            <w:r>
              <w:t xml:space="preserve">3300</w:t>
            </w:r>
          </w:p>
        </w:tc>
        <w:tc>
          <w:tcPr/>
          <w:p>
            <w:pPr>
              <w:pStyle w:val="Compact"/>
            </w:pPr>
            <w:r>
              <w:t xml:space="preserve">SAP S/4HANA</w:t>
            </w:r>
          </w:p>
        </w:tc>
      </w:tr>
      <w:tr>
        <w:tc>
          <w:tcPr/>
          <w:p>
            <w:pPr>
              <w:pStyle w:val="Compact"/>
            </w:pPr>
            <w:r>
              <w:t xml:space="preserve">Lagersted (LGORT)</w:t>
            </w:r>
          </w:p>
        </w:tc>
        <w:tc>
          <w:tcPr/>
          <w:p>
            <w:pPr>
              <w:pStyle w:val="Compact"/>
            </w:pPr>
            <w:r>
              <w:t xml:space="preserve">3001</w:t>
            </w:r>
          </w:p>
        </w:tc>
        <w:tc>
          <w:tcPr/>
          <w:p>
            <w:pPr>
              <w:pStyle w:val="Compact"/>
            </w:pPr>
            <w:r>
              <w:t xml:space="preserve">SAP S/4HANA</w:t>
            </w:r>
          </w:p>
        </w:tc>
      </w:tr>
      <w:tr>
        <w:tc>
          <w:tcPr/>
          <w:p>
            <w:pPr>
              <w:pStyle w:val="Compact"/>
            </w:pPr>
            <w:r>
              <w:t xml:space="preserve">Antall aktive artikler</w:t>
            </w:r>
          </w:p>
        </w:tc>
        <w:tc>
          <w:tcPr/>
          <w:p>
            <w:pPr>
              <w:pStyle w:val="Compact"/>
            </w:pPr>
            <w:r>
              <w:t xml:space="preserve">709</w:t>
            </w:r>
          </w:p>
        </w:tc>
        <w:tc>
          <w:tcPr/>
          <w:p>
            <w:pPr>
              <w:pStyle w:val="Compact"/>
            </w:pPr>
            <w:r>
              <w:t xml:space="preserve">MASTERFILE_V1.xlsx (D-01)</w:t>
            </w:r>
          </w:p>
        </w:tc>
      </w:tr>
      <w:tr>
        <w:tc>
          <w:tcPr/>
          <w:p>
            <w:pPr>
              <w:pStyle w:val="Compact"/>
            </w:pPr>
            <w:r>
              <w:t xml:space="preserve">Analyseperiode</w:t>
            </w:r>
          </w:p>
        </w:tc>
        <w:tc>
          <w:tcPr/>
          <w:p>
            <w:pPr>
              <w:pStyle w:val="Compact"/>
            </w:pPr>
            <w:r>
              <w:t xml:space="preserve">Januar 2024 – desember 2025 (24 mnd)</w:t>
            </w:r>
          </w:p>
        </w:tc>
        <w:tc>
          <w:tcPr/>
          <w:p>
            <w:pPr>
              <w:pStyle w:val="Compact"/>
            </w:pPr>
            <w:r>
              <w:t xml:space="preserve">SAP SE16H</w:t>
            </w:r>
          </w:p>
        </w:tc>
      </w:tr>
      <w:tr>
        <w:tc>
          <w:tcPr/>
          <w:p>
            <w:pPr>
              <w:pStyle w:val="Compact"/>
            </w:pPr>
            <w:r>
              <w:t xml:space="preserve">Antall SAP-kildetabeller</w:t>
            </w:r>
          </w:p>
        </w:tc>
        <w:tc>
          <w:tcPr/>
          <w:p>
            <w:pPr>
              <w:pStyle w:val="Compact"/>
            </w:pPr>
            <w:r>
              <w:t xml:space="preserve">14</w:t>
            </w:r>
          </w:p>
        </w:tc>
        <w:tc>
          <w:tcPr/>
          <w:p>
            <w:pPr>
              <w:pStyle w:val="Compact"/>
            </w:pPr>
            <w:r>
              <w:t xml:space="preserve">Dataspesifikasjon (Vedlegg A)</w:t>
            </w:r>
          </w:p>
        </w:tc>
      </w:tr>
      <w:tr>
        <w:tc>
          <w:tcPr/>
          <w:p>
            <w:pPr>
              <w:pStyle w:val="Compact"/>
            </w:pPr>
            <w:r>
              <w:t xml:space="preserve">ERP-system</w:t>
            </w:r>
          </w:p>
        </w:tc>
        <w:tc>
          <w:tcPr/>
          <w:p>
            <w:pPr>
              <w:pStyle w:val="Compact"/>
            </w:pPr>
            <w:r>
              <w:t xml:space="preserve">SAP S/4HANA (LIBRA-prosjektet)</w:t>
            </w:r>
          </w:p>
        </w:tc>
        <w:tc>
          <w:tcPr/>
          <w:p>
            <w:pPr>
              <w:pStyle w:val="Compact"/>
            </w:pPr>
            <w:r>
              <w:t xml:space="preserve">Helse Vest IKT</w:t>
            </w:r>
          </w:p>
        </w:tc>
      </w:tr>
      <w:tr>
        <w:tc>
          <w:tcPr/>
          <w:p>
            <w:pPr>
              <w:pStyle w:val="Compact"/>
            </w:pPr>
            <w:r>
              <w:t xml:space="preserve">Regionalt sentrallager</w:t>
            </w:r>
          </w:p>
        </w:tc>
        <w:tc>
          <w:tcPr/>
          <w:p>
            <w:pPr>
              <w:pStyle w:val="Compact"/>
            </w:pPr>
            <w:r>
              <w:t xml:space="preserve">HVFS (Helse Vest Forsyningssenter)</w:t>
            </w:r>
          </w:p>
        </w:tc>
        <w:tc>
          <w:tcPr/>
          <w:p>
            <w:pPr>
              <w:pStyle w:val="Compact"/>
            </w:pPr>
            <w:r>
              <w:t xml:space="preserve">Helse Vest RHF (2024)</w:t>
            </w:r>
          </w:p>
        </w:tc>
      </w:tr>
      <w:tr>
        <w:tc>
          <w:tcPr/>
          <w:p>
            <w:pPr>
              <w:pStyle w:val="Compact"/>
            </w:pPr>
            <w:r>
              <w:t xml:space="preserve">APL-operatør</w:t>
            </w:r>
          </w:p>
        </w:tc>
        <w:tc>
          <w:tcPr/>
          <w:p>
            <w:pPr>
              <w:pStyle w:val="Compact"/>
            </w:pPr>
            <w:r>
              <w:t xml:space="preserve">NorEngros</w:t>
            </w:r>
          </w:p>
        </w:tc>
        <w:tc>
          <w:tcPr/>
          <w:p>
            <w:pPr>
              <w:pStyle w:val="Compact"/>
            </w:pPr>
            <w:r>
              <w:t xml:space="preserve">Helse Vest RHF (2024)</w:t>
            </w:r>
          </w:p>
        </w:tc>
      </w:tr>
      <w:tr>
        <w:tc>
          <w:tcPr/>
          <w:p>
            <w:pPr>
              <w:pStyle w:val="Compact"/>
            </w:pPr>
            <w:r>
              <w:t xml:space="preserve">Innkjøpsgruppe</w:t>
            </w:r>
          </w:p>
        </w:tc>
        <w:tc>
          <w:tcPr/>
          <w:p>
            <w:pPr>
              <w:pStyle w:val="Compact"/>
            </w:pPr>
            <w:r>
              <w:t xml:space="preserve">300 / 3000</w:t>
            </w:r>
          </w:p>
        </w:tc>
        <w:tc>
          <w:tcPr/>
          <w:p>
            <w:pPr>
              <w:pStyle w:val="Compact"/>
            </w:pPr>
            <w:r>
              <w:t xml:space="preserve">SAP MM</w:t>
            </w:r>
          </w:p>
        </w:tc>
      </w:tr>
      <w:tr>
        <w:tc>
          <w:tcPr/>
          <w:p>
            <w:pPr>
              <w:pStyle w:val="Compact"/>
            </w:pPr>
            <w:r>
              <w:t xml:space="preserve">Bestillingstype</w:t>
            </w:r>
          </w:p>
        </w:tc>
        <w:tc>
          <w:tcPr/>
          <w:p>
            <w:pPr>
              <w:pStyle w:val="Compact"/>
            </w:pPr>
            <w:r>
              <w:t xml:space="preserve">ZNB (lokal bestillingstype)</w:t>
            </w:r>
          </w:p>
        </w:tc>
        <w:tc>
          <w:tcPr/>
          <w:p>
            <w:pPr>
              <w:pStyle w:val="Compact"/>
            </w:pPr>
            <w:r>
              <w:t xml:space="preserve">SAP MM</w:t>
            </w:r>
          </w:p>
        </w:tc>
      </w:tr>
    </w:tbl>
    <w:p>
      <w:pPr>
        <w:pStyle w:val="CaptionedFigure"/>
      </w:pPr>
      <w:r>
        <w:drawing>
          <wp:inline>
            <wp:extent cx="6007100" cy="2473511"/>
            <wp:effectExtent b="0" l="0" r="0" t="0"/>
            <wp:docPr descr="Figur 1. Lagerstruktur – Helse Vest forsyningskjede (forenklet). Generert med støtte fra Claude (Anthropic, 2026)." title="" id="48" name="Picture"/>
            <a:graphic>
              <a:graphicData uri="http://schemas.openxmlformats.org/drawingml/2006/picture">
                <pic:pic>
                  <pic:nvPicPr>
                    <pic:cNvPr descr="../006%20Analyse/plots/Fig01_Lagerstruktur.png" id="49" name="Picture"/>
                    <pic:cNvPicPr>
                      <a:picLocks noChangeArrowheads="1" noChangeAspect="1"/>
                    </pic:cNvPicPr>
                  </pic:nvPicPr>
                  <pic:blipFill>
                    <a:blip r:embed="rId47"/>
                    <a:stretch>
                      <a:fillRect/>
                    </a:stretch>
                  </pic:blipFill>
                  <pic:spPr bwMode="auto">
                    <a:xfrm>
                      <a:off x="0" y="0"/>
                      <a:ext cx="6007100" cy="2473511"/>
                    </a:xfrm>
                    <a:prstGeom prst="rect">
                      <a:avLst/>
                    </a:prstGeom>
                    <a:noFill/>
                    <a:ln w="9525">
                      <a:noFill/>
                      <a:headEnd/>
                      <a:tailEnd/>
                    </a:ln>
                  </pic:spPr>
                </pic:pic>
              </a:graphicData>
            </a:graphic>
          </wp:inline>
        </w:drawing>
      </w:r>
    </w:p>
    <w:p>
      <w:pPr>
        <w:pStyle w:val="ImageCaption"/>
      </w:pPr>
      <w:r>
        <w:t xml:space="preserve">Figur 1. Lagerstruktur – Helse Vest forsyningskjede (forenklet). Generert med støtte fra Claude (Anthropic, 2026).</w:t>
      </w:r>
    </w:p>
    <w:bookmarkEnd w:id="50"/>
    <w:bookmarkStart w:id="51" w:name="hvfs-og-libra-prosjektet"/>
    <w:p>
      <w:pPr>
        <w:pStyle w:val="Overskrift2"/>
      </w:pPr>
      <w:r>
        <w:t xml:space="preserve">3.2 HVFS og LIBRA-prosjektet</w:t>
      </w:r>
    </w:p>
    <w:p>
      <w:pPr>
        <w:pStyle w:val="FirstParagraph"/>
      </w:pPr>
      <w:r>
        <w:t xml:space="preserve">Helse Vest Forsyningssenter (HVFS) er under etablering som et regionalt sentrallager for medisinsk forbruksmateriell for samtlige helseforetak i Helse Vest. NorEngros vant offentlig anbudskonkurranse som operatør og har ansvar for den fysiske lagerdriften ved HVFS (Helse Vest RHF, 2024).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pPr>
        <w:pStyle w:val="BodyText"/>
      </w:pPr>
      <w:r>
        <w:t xml:space="preserve">Et sentralt element i HVFS-konseptet er innføringen av avdelingspakkede leveranser (APL). APL innebærer at forbruksmateriell pakkes per avdeling og leveres direkte til bruksstedet uten mellomhåndtering lokalt. Denne leveringsmodellen stiller høye krav til forutsigbarhet i etterspørselen — en forutsetning som gjør forbruksmønsterets stabilitet (XYZ-dimensjonen) til et relevant klassifiseringskriterium for HVFS-egnethet. APL-modellen er planlagt implementert frem mot 2029 og vil kreve et veldefinert og stabilt sortiment som grunnlag.</w:t>
      </w:r>
    </w:p>
    <w:p>
      <w:pPr>
        <w:pStyle w:val="BodyText"/>
      </w:pPr>
      <w:r>
        <w:t xml:space="preserve">LIBRA-prosjektet er Helse Vest IKTs regionale program for implementering og harmonisering av SAP S/4HANA på tvers av alle helseforetak i Helse Vest. Prosjektet har som mål å etablere en felles teknologisk plattform med standardiserte prosesser for blant annet materialforvaltning, innkjøp og logistikk. LIBRA legger det tekniske grunnlaget for at data fra ulike foretak kan sammenlignes og analyseres på tvers — en forutsetning for at HVFS-klassifisering skal ha overføringsverdi fra Helse Bergen til de øvrige foretakene. I forlengelsen av LIBRA-prosjektet er det naturlig å etablere standardiserte klassifiseringsmetodikker som kan driftes og oppdateres løpende i SAP, og denne oppgavens analysemodell er utviklet med dette perspektivet som bakteppe. Fragapane et al. (2019) understreker at overgangen til sentraliserte leveringsmodeller som APL krever et systematisk klassifiseringsgrunnlag for å skille mellom artikler som egner seg for sentralisering og artikler som bør forbli lokalt tilgjengelig av forsyningssikkerhetsgrunner.</w:t>
      </w:r>
    </w:p>
    <w:bookmarkEnd w:id="51"/>
    <w:bookmarkStart w:id="52" w:name="problemkontekst-og-datagrunnlag"/>
    <w:p>
      <w:pPr>
        <w:pStyle w:val="Overskrift2"/>
      </w:pPr>
      <w:r>
        <w:t xml:space="preserve">3.3 Problemkontekst og datagrunnlag</w:t>
      </w:r>
    </w:p>
    <w:p>
      <w:pPr>
        <w:pStyle w:val="FirstParagraph"/>
      </w:pPr>
      <w:r>
        <w:t xml:space="preserve">Helse Bergen forsyningslager mangler i dag et systematisk, datadrevet grunnlag for å avgjøre hvilke av lagerets artikler som bør overføres til HVFS. Beslutningene om sortimentstilhørighet treffes i stor grad basert på erfaring og skjønn, uten en strukturert analyse av verdi, forbruksmønster eller kostnadseffektiviteten ved nåværende bestillingspraksis. de Vries (2011) identifiserer nettopp dette som en typisk barriere i sykehuslogistikk: manglende informasjonssystemer og motstridende interessenthensyn fører til at lageromstillingsbeslutninger utsettes eller gjennomføres uten tilstrekkelig faglig grunnlag. Volland et al. (2017) bekrefter at lagerstyring i sykehus er et område med stor variasjon i modenhet — fra svært lite systematisert til avansert datadrevet styring — og at potensialet for forbedring gjennom strukturert klassifisering er dokumentert i litteraturen.</w:t>
      </w:r>
    </w:p>
    <w:p>
      <w:pPr>
        <w:pStyle w:val="BodyText"/>
      </w:pPr>
      <w:r>
        <w:t xml:space="preserve">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pPr>
        <w:pStyle w:val="BodyText"/>
      </w:pPr>
      <w:r>
        <w:t xml:space="preserve">Datagrunnlaget for analysen er hentet fra 14 SAP-tabeller via transaksjonen SE16H i SAP S/4HANA ved Helse Bergen, for perioden 2024–2025 (se Tabell 3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pPr>
        <w:pStyle w:val="BodyText"/>
      </w:pPr>
      <w:r>
        <w:t xml:space="preserve">Datapipelinen fra råuttrekk til analyseresultat er illustrert i Figur 2.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w:t>
      </w:r>
    </w:p>
    <w:p>
      <w:r>
        <w:pict>
          <v:rect style="width:0;height:1.5pt" o:hralign="center" o:hrstd="t" o:hr="t"/>
        </w:pict>
      </w:r>
    </w:p>
    <w:p>
      <w:r>
        <w:pict>
          <v:rect style="width:0;height:1.5pt" o:hralign="center" o:hrstd="t" o:hr="t"/>
        </w:pict>
      </w:r>
    </w:p>
    <w:bookmarkEnd w:id="52"/>
    <w:bookmarkEnd w:id="53"/>
    <w:bookmarkStart w:id="62" w:name="kapittel-4-metode-og-data"/>
    <w:p>
      <w:pPr>
        <w:pStyle w:val="Overskrift1"/>
      </w:pPr>
      <w:r>
        <w:t xml:space="preserve">Kapittel 4 – Metode og data</w:t>
      </w:r>
    </w:p>
    <w:bookmarkStart w:id="54" w:name="forskningsdesign"/>
    <w:p>
      <w:pPr>
        <w:pStyle w:val="Overskrift2"/>
      </w:pPr>
      <w:r>
        <w:t xml:space="preserve">4.1 Forskningsdesign</w:t>
      </w:r>
    </w:p>
    <w:p>
      <w:pPr>
        <w:pStyle w:val="FirstParagraph"/>
      </w:pPr>
      <w:r>
        <w:t xml:space="preserve">Denne studien er utformet som en kvantitativ, deskriptiv casestudie med analytisk tilnærming. Casestudiedesignet er valgt fordi problemstillingen er avgrenset til ett konkret case – Helse Bergens forsyningslager WERKS 3300, LGORT 3001 – og fordi målet er å generere handlingsrettede anbefalinger basert på de operasjonelle dataene som faktisk eksisterer i dette systemet, ikke på hypotetiske standardsituasjoner. Et casestudiedesign egner seg særlig når forskningsspørsmålet handler om</w:t>
      </w:r>
      <w:r>
        <w:t xml:space="preserve"> </w:t>
      </w:r>
      <w:r>
        <w:rPr>
          <w:i/>
          <w:iCs/>
        </w:rPr>
        <w:t xml:space="preserve">hvordan</w:t>
      </w:r>
      <w:r>
        <w:t xml:space="preserve"> </w:t>
      </w:r>
      <w:r>
        <w:t xml:space="preserve">og</w:t>
      </w:r>
      <w:r>
        <w:t xml:space="preserve"> </w:t>
      </w:r>
      <w:r>
        <w:rPr>
          <w:i/>
          <w:iCs/>
        </w:rPr>
        <w:t xml:space="preserve">hva</w:t>
      </w:r>
      <w:r>
        <w:t xml:space="preserve"> </w:t>
      </w:r>
      <w:r>
        <w:t xml:space="preserve">innenfor et avgrenset, kontekstuelt rikt fenomen, og når grensen mellom fenomen og kontekst er uløselig knyttet til den operative konteksten. Sistnevnte kjennetegn er tydelig til stede her: lagerstruktur, prislogikk og forbruksmønstre er uløselig knyttet til Helse Bergens organisatoriske og teknologiske kontekst.</w:t>
      </w:r>
    </w:p>
    <w:p>
      <w:pPr>
        <w:pStyle w:val="BodyText"/>
      </w:pPr>
      <w:r>
        <w:t xml:space="preserve">Studien er kvantitativ i den forstand at alle analyser er basert på numeriske data hentet fra SAP S/4HANA-transaksjoner. Det benyttes ingen spørreundersøkelser, intervjuer eller deltakerobservasjon. Dette er et bevisst valg: operasjonelle ERP-data er direkte registrert i systemet ved hvert varemottak, lageruttak og innkjøp, og er derfor ikke gjenstand for hukommelsesfeil, sosial ønskverdighet eller subjektiv tolkning, slik selvrapporterte data kan være (Saha &amp; Ray, 2019). Analyseenheten er den individuelle lagerartikkelen (SKU), og populasjonen er de 709 aktive artiklene i LGORT 3001 per analyseperioden 2024–2025.</w:t>
      </w:r>
    </w:p>
    <w:p>
      <w:pPr>
        <w:pStyle w:val="BodyText"/>
      </w:pPr>
      <w:r>
        <w:t xml:space="preserve">Studien er deskriptiv i den forstand at den karakteriserer og klassifiserer eksisterende lagerartikler – den setter ikke opp et kontrollert eksperiment eller manipulerer variabler. Den er analytisk i den forstand at klassifiseringsresultatene kombineres i en regelbasert beslutningsmodell som produserer overføringsanbefalinger med tilhørende besparelsesestimater (van Kampen et al., 2012). Generaliserbarhet er begrenset til sammenlignbare sykehuslagre med SAP-infrastruktur; studien har ikke som ambisjon å produsere universelle funn, men å gi et reproduserbart metoderammeverk som kan tilpasses andre WERKS-enheter innenfor Helse Vest.</w:t>
      </w:r>
    </w:p>
    <w:bookmarkEnd w:id="54"/>
    <w:bookmarkStart w:id="55" w:name="datainnsamling"/>
    <w:p>
      <w:pPr>
        <w:pStyle w:val="Overskrift2"/>
      </w:pPr>
      <w:r>
        <w:t xml:space="preserve">4.2 Datainnsamling</w:t>
      </w:r>
    </w:p>
    <w:p>
      <w:pPr>
        <w:pStyle w:val="FirstParagraph"/>
      </w:pPr>
      <w:r>
        <w:t xml:space="preserve">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r>
        <w:pict>
          <v:rect style="width:0;height:1.5pt" o:hralign="center" o:hrstd="t" o:hr="t"/>
        </w:pict>
      </w:r>
    </w:p>
    <w:p>
      <w:pPr>
        <w:pStyle w:val="FirstParagraph"/>
      </w:pPr>
      <w:r>
        <w:rPr>
          <w:i/>
          <w:iCs/>
        </w:rPr>
        <w:t xml:space="preserve">Tabell 4. Datagrunnlag: 14 SAP S/4HANA-tabeller hentet via SE16H, analyseperiode 2024–2025, WERKS 3300 / LGORT 3001.</w:t>
      </w:r>
    </w:p>
    <w:tbl>
      <w:tblPr>
        <w:tblStyle w:val="Table"/>
        <w:tblW w:type="pct" w:w="5000"/>
        <w:tblLayout w:type="fixed"/>
        <w:tblLook w:firstRow="1" w:lastRow="0" w:firstColumn="0" w:lastColumn="0" w:noHBand="0" w:noVBand="0" w:val="0020"/>
      </w:tblPr>
      <w:tblGrid>
        <w:gridCol w:w="905"/>
        <w:gridCol w:w="1810"/>
        <w:gridCol w:w="2941"/>
        <w:gridCol w:w="2262"/>
      </w:tblGrid>
      <w:tr>
        <w:trPr>
          <w:tblHeader w:val="on"/>
        </w:trPr>
        <w:tc>
          <w:tcPr/>
          <w:p>
            <w:pPr>
              <w:pStyle w:val="Compact"/>
            </w:pPr>
            <w:r>
              <w:t xml:space="preserve">Nr</w:t>
            </w:r>
          </w:p>
        </w:tc>
        <w:tc>
          <w:tcPr/>
          <w:p>
            <w:pPr>
              <w:pStyle w:val="Compact"/>
            </w:pPr>
            <w:r>
              <w:t xml:space="preserve">Tabell</w:t>
            </w:r>
          </w:p>
        </w:tc>
        <w:tc>
          <w:tcPr/>
          <w:p>
            <w:pPr>
              <w:pStyle w:val="Compact"/>
            </w:pPr>
            <w:r>
              <w:t xml:space="preserve">Beskrivelse</w:t>
            </w:r>
          </w:p>
        </w:tc>
        <w:tc>
          <w:tcPr/>
          <w:p>
            <w:pPr>
              <w:pStyle w:val="Compact"/>
            </w:pPr>
            <w:r>
              <w:t xml:space="preserve">Kategori</w:t>
            </w:r>
          </w:p>
        </w:tc>
      </w:tr>
      <w:tr>
        <w:tc>
          <w:tcPr/>
          <w:p>
            <w:pPr>
              <w:pStyle w:val="Compact"/>
            </w:pPr>
            <w:r>
              <w:t xml:space="preserve">1</w:t>
            </w:r>
          </w:p>
        </w:tc>
        <w:tc>
          <w:tcPr/>
          <w:p>
            <w:pPr>
              <w:pStyle w:val="Compact"/>
            </w:pPr>
            <w:r>
              <w:t xml:space="preserve">MARD</w:t>
            </w:r>
          </w:p>
        </w:tc>
        <w:tc>
          <w:tcPr/>
          <w:p>
            <w:pPr>
              <w:pStyle w:val="Compact"/>
            </w:pPr>
            <w:r>
              <w:t xml:space="preserve">Lagerdata per lagersted (beholdning)</w:t>
            </w:r>
          </w:p>
        </w:tc>
        <w:tc>
          <w:tcPr/>
          <w:p>
            <w:pPr>
              <w:pStyle w:val="Compact"/>
            </w:pPr>
            <w:r>
              <w:t xml:space="preserve">Masterdata</w:t>
            </w:r>
          </w:p>
        </w:tc>
      </w:tr>
      <w:tr>
        <w:tc>
          <w:tcPr/>
          <w:p>
            <w:pPr>
              <w:pStyle w:val="Compact"/>
            </w:pPr>
            <w:r>
              <w:t xml:space="preserve">2</w:t>
            </w:r>
          </w:p>
        </w:tc>
        <w:tc>
          <w:tcPr/>
          <w:p>
            <w:pPr>
              <w:pStyle w:val="Compact"/>
            </w:pPr>
            <w:r>
              <w:t xml:space="preserve">MDMA</w:t>
            </w:r>
          </w:p>
        </w:tc>
        <w:tc>
          <w:tcPr/>
          <w:p>
            <w:pPr>
              <w:pStyle w:val="Compact"/>
            </w:pPr>
            <w:r>
              <w:t xml:space="preserve">MRP-data, ABC/XYZ-indikator (ZZABC, ZZXYZ)</w:t>
            </w:r>
          </w:p>
        </w:tc>
        <w:tc>
          <w:tcPr/>
          <w:p>
            <w:pPr>
              <w:pStyle w:val="Compact"/>
            </w:pPr>
            <w:r>
              <w:t xml:space="preserve">Masterdata</w:t>
            </w:r>
          </w:p>
        </w:tc>
      </w:tr>
      <w:tr>
        <w:tc>
          <w:tcPr/>
          <w:p>
            <w:pPr>
              <w:pStyle w:val="Compact"/>
            </w:pPr>
            <w:r>
              <w:t xml:space="preserve">3</w:t>
            </w:r>
          </w:p>
        </w:tc>
        <w:tc>
          <w:tcPr/>
          <w:p>
            <w:pPr>
              <w:pStyle w:val="Compact"/>
            </w:pPr>
            <w:r>
              <w:t xml:space="preserve">MARA</w:t>
            </w:r>
          </w:p>
        </w:tc>
        <w:tc>
          <w:tcPr/>
          <w:p>
            <w:pPr>
              <w:pStyle w:val="Compact"/>
            </w:pPr>
            <w:r>
              <w:t xml:space="preserve">Artikkelstamdata (MTART, MATKL, MEINS)</w:t>
            </w:r>
          </w:p>
        </w:tc>
        <w:tc>
          <w:tcPr/>
          <w:p>
            <w:pPr>
              <w:pStyle w:val="Compact"/>
            </w:pPr>
            <w:r>
              <w:t xml:space="preserve">Masterdata</w:t>
            </w:r>
          </w:p>
        </w:tc>
      </w:tr>
      <w:tr>
        <w:tc>
          <w:tcPr/>
          <w:p>
            <w:pPr>
              <w:pStyle w:val="Compact"/>
            </w:pPr>
            <w:r>
              <w:t xml:space="preserve">4</w:t>
            </w:r>
          </w:p>
        </w:tc>
        <w:tc>
          <w:tcPr/>
          <w:p>
            <w:pPr>
              <w:pStyle w:val="Compact"/>
            </w:pPr>
            <w:r>
              <w:t xml:space="preserve">MAKT</w:t>
            </w:r>
          </w:p>
        </w:tc>
        <w:tc>
          <w:tcPr/>
          <w:p>
            <w:pPr>
              <w:pStyle w:val="Compact"/>
            </w:pPr>
            <w:r>
              <w:t xml:space="preserve">Artikkeltekst (MAKTX)</w:t>
            </w:r>
          </w:p>
        </w:tc>
        <w:tc>
          <w:tcPr/>
          <w:p>
            <w:pPr>
              <w:pStyle w:val="Compact"/>
            </w:pPr>
            <w:r>
              <w:t xml:space="preserve">Masterdata</w:t>
            </w:r>
          </w:p>
        </w:tc>
      </w:tr>
      <w:tr>
        <w:tc>
          <w:tcPr/>
          <w:p>
            <w:pPr>
              <w:pStyle w:val="Compact"/>
            </w:pPr>
            <w:r>
              <w:t xml:space="preserve">5</w:t>
            </w:r>
          </w:p>
        </w:tc>
        <w:tc>
          <w:tcPr/>
          <w:p>
            <w:pPr>
              <w:pStyle w:val="Compact"/>
            </w:pPr>
            <w:r>
              <w:t xml:space="preserve">MARC</w:t>
            </w:r>
          </w:p>
        </w:tc>
        <w:tc>
          <w:tcPr/>
          <w:p>
            <w:pPr>
              <w:pStyle w:val="Compact"/>
            </w:pPr>
            <w:r>
              <w:t xml:space="preserve">Anleggsdata per materiale (MARC_ABC)</w:t>
            </w:r>
          </w:p>
        </w:tc>
        <w:tc>
          <w:tcPr/>
          <w:p>
            <w:pPr>
              <w:pStyle w:val="Compact"/>
            </w:pPr>
            <w:r>
              <w:t xml:space="preserve">Masterdata</w:t>
            </w:r>
          </w:p>
        </w:tc>
      </w:tr>
      <w:tr>
        <w:tc>
          <w:tcPr/>
          <w:p>
            <w:pPr>
              <w:pStyle w:val="Compact"/>
            </w:pPr>
            <w:r>
              <w:t xml:space="preserve">6</w:t>
            </w:r>
          </w:p>
        </w:tc>
        <w:tc>
          <w:tcPr/>
          <w:p>
            <w:pPr>
              <w:pStyle w:val="Compact"/>
            </w:pPr>
            <w:r>
              <w:t xml:space="preserve">MBEW</w:t>
            </w:r>
          </w:p>
        </w:tc>
        <w:tc>
          <w:tcPr/>
          <w:p>
            <w:pPr>
              <w:pStyle w:val="Compact"/>
            </w:pPr>
            <w:r>
              <w:t xml:space="preserve">Verdsettingsdata (STPRS, PEINH)</w:t>
            </w:r>
          </w:p>
        </w:tc>
        <w:tc>
          <w:tcPr/>
          <w:p>
            <w:pPr>
              <w:pStyle w:val="Compact"/>
            </w:pPr>
            <w:r>
              <w:t xml:space="preserve">Masterdata</w:t>
            </w:r>
          </w:p>
        </w:tc>
      </w:tr>
      <w:tr>
        <w:tc>
          <w:tcPr/>
          <w:p>
            <w:pPr>
              <w:pStyle w:val="Compact"/>
            </w:pPr>
            <w:r>
              <w:t xml:space="preserve">7</w:t>
            </w:r>
          </w:p>
        </w:tc>
        <w:tc>
          <w:tcPr/>
          <w:p>
            <w:pPr>
              <w:pStyle w:val="Compact"/>
            </w:pPr>
            <w:r>
              <w:t xml:space="preserve">MSEG</w:t>
            </w:r>
          </w:p>
        </w:tc>
        <w:tc>
          <w:tcPr/>
          <w:p>
            <w:pPr>
              <w:pStyle w:val="Compact"/>
            </w:pPr>
            <w:r>
              <w:t xml:space="preserve">Varebevegelser, forbruk (BWART 201, 647)</w:t>
            </w:r>
          </w:p>
        </w:tc>
        <w:tc>
          <w:tcPr/>
          <w:p>
            <w:pPr>
              <w:pStyle w:val="Compact"/>
            </w:pPr>
            <w:r>
              <w:t xml:space="preserve">Forbruksdata</w:t>
            </w:r>
          </w:p>
        </w:tc>
      </w:tr>
      <w:tr>
        <w:tc>
          <w:tcPr/>
          <w:p>
            <w:pPr>
              <w:pStyle w:val="Compact"/>
            </w:pPr>
            <w:r>
              <w:t xml:space="preserve">8</w:t>
            </w:r>
          </w:p>
        </w:tc>
        <w:tc>
          <w:tcPr/>
          <w:p>
            <w:pPr>
              <w:pStyle w:val="Compact"/>
            </w:pPr>
            <w:r>
              <w:t xml:space="preserve">EKKO</w:t>
            </w:r>
          </w:p>
        </w:tc>
        <w:tc>
          <w:tcPr/>
          <w:p>
            <w:pPr>
              <w:pStyle w:val="Compact"/>
            </w:pPr>
            <w:r>
              <w:t xml:space="preserve">Innkjøpsordrerhoder (bestillingstype ZNB)</w:t>
            </w:r>
          </w:p>
        </w:tc>
        <w:tc>
          <w:tcPr/>
          <w:p>
            <w:pPr>
              <w:pStyle w:val="Compact"/>
            </w:pPr>
            <w:r>
              <w:t xml:space="preserve">Innkjøpsdata</w:t>
            </w:r>
          </w:p>
        </w:tc>
      </w:tr>
      <w:tr>
        <w:tc>
          <w:tcPr/>
          <w:p>
            <w:pPr>
              <w:pStyle w:val="Compact"/>
            </w:pPr>
            <w:r>
              <w:t xml:space="preserve">9</w:t>
            </w:r>
          </w:p>
        </w:tc>
        <w:tc>
          <w:tcPr/>
          <w:p>
            <w:pPr>
              <w:pStyle w:val="Compact"/>
            </w:pPr>
            <w:r>
              <w:t xml:space="preserve">EKPO</w:t>
            </w:r>
          </w:p>
        </w:tc>
        <w:tc>
          <w:tcPr/>
          <w:p>
            <w:pPr>
              <w:pStyle w:val="Compact"/>
            </w:pPr>
            <w:r>
              <w:t xml:space="preserve">Innkjøpsordreposisjoner (NETWR)</w:t>
            </w:r>
          </w:p>
        </w:tc>
        <w:tc>
          <w:tcPr/>
          <w:p>
            <w:pPr>
              <w:pStyle w:val="Compact"/>
            </w:pPr>
            <w:r>
              <w:t xml:space="preserve">Innkjøpsdata</w:t>
            </w:r>
          </w:p>
        </w:tc>
      </w:tr>
      <w:tr>
        <w:tc>
          <w:tcPr/>
          <w:p>
            <w:pPr>
              <w:pStyle w:val="Compact"/>
            </w:pPr>
            <w:r>
              <w:t xml:space="preserve">10</w:t>
            </w:r>
          </w:p>
        </w:tc>
        <w:tc>
          <w:tcPr/>
          <w:p>
            <w:pPr>
              <w:pStyle w:val="Compact"/>
            </w:pPr>
            <w:r>
              <w:t xml:space="preserve">EKBE</w:t>
            </w:r>
          </w:p>
        </w:tc>
        <w:tc>
          <w:tcPr/>
          <w:p>
            <w:pPr>
              <w:pStyle w:val="Compact"/>
            </w:pPr>
            <w:r>
              <w:t xml:space="preserve">Innkjøpsordrehistorikk/varemottak</w:t>
            </w:r>
          </w:p>
        </w:tc>
        <w:tc>
          <w:tcPr/>
          <w:p>
            <w:pPr>
              <w:pStyle w:val="Compact"/>
            </w:pPr>
            <w:r>
              <w:t xml:space="preserve">Innkjøpsdata</w:t>
            </w:r>
          </w:p>
        </w:tc>
      </w:tr>
      <w:tr>
        <w:tc>
          <w:tcPr/>
          <w:p>
            <w:pPr>
              <w:pStyle w:val="Compact"/>
            </w:pPr>
            <w:r>
              <w:t xml:space="preserve">11</w:t>
            </w:r>
          </w:p>
        </w:tc>
        <w:tc>
          <w:tcPr/>
          <w:p>
            <w:pPr>
              <w:pStyle w:val="Compact"/>
            </w:pPr>
            <w:r>
              <w:t xml:space="preserve">EINA</w:t>
            </w:r>
          </w:p>
        </w:tc>
        <w:tc>
          <w:tcPr/>
          <w:p>
            <w:pPr>
              <w:pStyle w:val="Compact"/>
            </w:pPr>
            <w:r>
              <w:t xml:space="preserve">Innkjøpsinforecord – generell del</w:t>
            </w:r>
          </w:p>
        </w:tc>
        <w:tc>
          <w:tcPr/>
          <w:p>
            <w:pPr>
              <w:pStyle w:val="Compact"/>
            </w:pPr>
            <w:r>
              <w:t xml:space="preserve">Supplerende</w:t>
            </w:r>
          </w:p>
        </w:tc>
      </w:tr>
      <w:tr>
        <w:tc>
          <w:tcPr/>
          <w:p>
            <w:pPr>
              <w:pStyle w:val="Compact"/>
            </w:pPr>
            <w:r>
              <w:t xml:space="preserve">12</w:t>
            </w:r>
          </w:p>
        </w:tc>
        <w:tc>
          <w:tcPr/>
          <w:p>
            <w:pPr>
              <w:pStyle w:val="Compact"/>
            </w:pPr>
            <w:r>
              <w:t xml:space="preserve">EINE</w:t>
            </w:r>
          </w:p>
        </w:tc>
        <w:tc>
          <w:tcPr/>
          <w:p>
            <w:pPr>
              <w:pStyle w:val="Compact"/>
            </w:pPr>
            <w:r>
              <w:t xml:space="preserve">Innkjøpsinforecord – organisasjonsdel (WETAG)</w:t>
            </w:r>
          </w:p>
        </w:tc>
        <w:tc>
          <w:tcPr/>
          <w:p>
            <w:pPr>
              <w:pStyle w:val="Compact"/>
            </w:pPr>
            <w:r>
              <w:t xml:space="preserve">Supplerende</w:t>
            </w:r>
          </w:p>
        </w:tc>
      </w:tr>
      <w:tr>
        <w:tc>
          <w:tcPr/>
          <w:p>
            <w:pPr>
              <w:pStyle w:val="Compact"/>
            </w:pPr>
            <w:r>
              <w:t xml:space="preserve">13</w:t>
            </w:r>
          </w:p>
        </w:tc>
        <w:tc>
          <w:tcPr/>
          <w:p>
            <w:pPr>
              <w:pStyle w:val="Compact"/>
            </w:pPr>
            <w:r>
              <w:t xml:space="preserve">T023T</w:t>
            </w:r>
          </w:p>
        </w:tc>
        <w:tc>
          <w:tcPr/>
          <w:p>
            <w:pPr>
              <w:pStyle w:val="Compact"/>
            </w:pPr>
            <w:r>
              <w:t xml:space="preserve">Varegruppenavn (WGBEZ)</w:t>
            </w:r>
          </w:p>
        </w:tc>
        <w:tc>
          <w:tcPr/>
          <w:p>
            <w:pPr>
              <w:pStyle w:val="Compact"/>
            </w:pPr>
            <w:r>
              <w:t xml:space="preserve">Supplerende</w:t>
            </w:r>
          </w:p>
        </w:tc>
      </w:tr>
      <w:tr>
        <w:tc>
          <w:tcPr/>
          <w:p>
            <w:pPr>
              <w:pStyle w:val="Compact"/>
            </w:pPr>
            <w:r>
              <w:t xml:space="preserve">14</w:t>
            </w:r>
          </w:p>
        </w:tc>
        <w:tc>
          <w:tcPr/>
          <w:p>
            <w:pPr>
              <w:pStyle w:val="Compact"/>
            </w:pPr>
            <w:r>
              <w:t xml:space="preserve">T024</w:t>
            </w:r>
          </w:p>
        </w:tc>
        <w:tc>
          <w:tcPr/>
          <w:p>
            <w:pPr>
              <w:pStyle w:val="Compact"/>
            </w:pPr>
            <w:r>
              <w:t xml:space="preserve">Innkjøpsgrupper (EKGRP)</w:t>
            </w:r>
          </w:p>
        </w:tc>
        <w:tc>
          <w:tcPr/>
          <w:p>
            <w:pPr>
              <w:pStyle w:val="Compact"/>
            </w:pPr>
            <w:r>
              <w:t xml:space="preserve">Supplerende</w:t>
            </w:r>
          </w:p>
        </w:tc>
      </w:tr>
    </w:tbl>
    <w:p>
      <w:pPr>
        <w:pStyle w:val="BodyText"/>
      </w:pPr>
      <w:r>
        <w:t xml:space="preserve">Råuttrekket inneholder 1 006 unike artikkelnumre. Populasjonsavgrensningen beskrives i detalj i avsnitt 4.3 nedenfor, og reduserer dette til 709 aktive artikler. For forbruksdata er det benyttet bevegelsestyper (BWART) 201 og 647 fra MSEG, som representerer henholdsvis vareforbruk til kostnadssted og spesialforbruk. Disse to bevegelsesstypene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WETAG), men dekker kun 6 % av artiklene; se beslutning D-05 under.</w:t>
      </w:r>
    </w:p>
    <w:bookmarkEnd w:id="55"/>
    <w:bookmarkStart w:id="59" w:name="dataforbehandling"/>
    <w:p>
      <w:pPr>
        <w:pStyle w:val="Overskrift2"/>
      </w:pPr>
      <w:r>
        <w:t xml:space="preserve">4.3 Dataforbehandling</w:t>
      </w:r>
    </w:p>
    <w:p>
      <w:pPr>
        <w:pStyle w:val="FirstParagraph"/>
      </w:pPr>
      <w:r>
        <w:t xml:space="preserve">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p>
      <w:r>
        <w:pict>
          <v:rect style="width:0;height:1.5pt" o:hralign="center" o:hrstd="t" o:hr="t"/>
        </w:pict>
      </w:r>
    </w:p>
    <w:p>
      <w:pPr>
        <w:pStyle w:val="FirstParagraph"/>
      </w:pPr>
      <w:r>
        <w:rPr>
          <w:i/>
          <w:iCs/>
        </w:rPr>
        <w:t xml:space="preserve">Tabell 5. Datavalgsbeslutninger D-01–D-08 med begrunnelse.</w:t>
      </w:r>
    </w:p>
    <w:tbl>
      <w:tblPr>
        <w:tblStyle w:val="Table"/>
        <w:tblW w:type="pct" w:w="5000"/>
        <w:tblLayout w:type="fixed"/>
        <w:tblLook w:firstRow="1" w:lastRow="0" w:firstColumn="0" w:lastColumn="0" w:noHBand="0" w:noVBand="0" w:val="0020"/>
      </w:tblPr>
      <w:tblGrid>
        <w:gridCol w:w="880"/>
        <w:gridCol w:w="2420"/>
        <w:gridCol w:w="1760"/>
        <w:gridCol w:w="2860"/>
      </w:tblGrid>
      <w:tr>
        <w:trPr>
          <w:tblHeader w:val="on"/>
        </w:trPr>
        <w:tc>
          <w:tcPr/>
          <w:p>
            <w:pPr>
              <w:pStyle w:val="Compact"/>
            </w:pPr>
            <w:r>
              <w:t xml:space="preserve">ID</w:t>
            </w:r>
          </w:p>
        </w:tc>
        <w:tc>
          <w:tcPr/>
          <w:p>
            <w:pPr>
              <w:pStyle w:val="Compact"/>
            </w:pPr>
            <w:r>
              <w:t xml:space="preserve">Beslutning</w:t>
            </w:r>
          </w:p>
        </w:tc>
        <w:tc>
          <w:tcPr/>
          <w:p>
            <w:pPr>
              <w:pStyle w:val="Compact"/>
            </w:pPr>
            <w:r>
              <w:t xml:space="preserve">Effekt</w:t>
            </w:r>
          </w:p>
        </w:tc>
        <w:tc>
          <w:tcPr/>
          <w:p>
            <w:pPr>
              <w:pStyle w:val="Compact"/>
            </w:pPr>
            <w:r>
              <w:t xml:space="preserve">Begrunnelse</w:t>
            </w:r>
          </w:p>
        </w:tc>
      </w:tr>
      <w:tr>
        <w:tc>
          <w:tcPr/>
          <w:p>
            <w:pPr>
              <w:pStyle w:val="Compact"/>
            </w:pPr>
            <w:r>
              <w:t xml:space="preserve">D-01</w:t>
            </w:r>
          </w:p>
        </w:tc>
        <w:tc>
          <w:tcPr/>
          <w:p>
            <w:pPr>
              <w:pStyle w:val="Compact"/>
            </w:pPr>
            <w:r>
              <w:t xml:space="preserve">Populasjonsavgrensning</w:t>
            </w:r>
          </w:p>
        </w:tc>
        <w:tc>
          <w:tcPr/>
          <w:p>
            <w:pPr>
              <w:pStyle w:val="Compact"/>
            </w:pPr>
            <w:r>
              <w:t xml:space="preserve">1 006 → 709 artikler</w:t>
            </w:r>
          </w:p>
        </w:tc>
        <w:tc>
          <w:tcPr/>
          <w:p>
            <w:pPr>
              <w:pStyle w:val="Compact"/>
            </w:pPr>
            <w:r>
              <w:t xml:space="preserve">Ekskluderer 297 inaktive (D_ANNUAL = 0 og TOTAL_STOCK = 0)</w:t>
            </w:r>
          </w:p>
        </w:tc>
      </w:tr>
      <w:tr>
        <w:tc>
          <w:tcPr/>
          <w:p>
            <w:pPr>
              <w:pStyle w:val="Compact"/>
            </w:pPr>
            <w:r>
              <w:t xml:space="preserve">D-02</w:t>
            </w:r>
          </w:p>
        </w:tc>
        <w:tc>
          <w:tcPr/>
          <w:p>
            <w:pPr>
              <w:pStyle w:val="Compact"/>
            </w:pPr>
            <w:r>
              <w:t xml:space="preserve">PEINH-korrigering</w:t>
            </w:r>
          </w:p>
        </w:tc>
        <w:tc>
          <w:tcPr/>
          <w:p>
            <w:pPr>
              <w:pStyle w:val="Compact"/>
            </w:pPr>
            <w:r>
              <w:t xml:space="preserve">UNIT_PRICE = STPRS ÷ PEINH</w:t>
            </w:r>
          </w:p>
        </w:tc>
        <w:tc>
          <w:tcPr/>
          <w:p>
            <w:pPr>
              <w:pStyle w:val="Compact"/>
            </w:pPr>
            <w:r>
              <w:t xml:space="preserve">Korrigerer for prisenhet ≠ 1</w:t>
            </w:r>
          </w:p>
        </w:tc>
      </w:tr>
      <w:tr>
        <w:tc>
          <w:tcPr/>
          <w:p>
            <w:pPr>
              <w:pStyle w:val="Compact"/>
            </w:pPr>
            <w:r>
              <w:t xml:space="preserve">D-03</w:t>
            </w:r>
          </w:p>
        </w:tc>
        <w:tc>
          <w:tcPr/>
          <w:p>
            <w:pPr>
              <w:pStyle w:val="Compact"/>
            </w:pPr>
            <w:r>
              <w:t xml:space="preserve">Beregnet ABC-verdi</w:t>
            </w:r>
          </w:p>
        </w:tc>
        <w:tc>
          <w:tcPr/>
          <w:p>
            <w:pPr>
              <w:pStyle w:val="Compact"/>
            </w:pPr>
            <w:r>
              <w:t xml:space="preserve">204 artikler uten EKPO</w:t>
            </w:r>
          </w:p>
        </w:tc>
        <w:tc>
          <w:tcPr/>
          <w:p>
            <w:pPr>
              <w:pStyle w:val="Compact"/>
            </w:pPr>
            <w:r>
              <w:t xml:space="preserve">ABC_VALUE = D_ANNUAL × UNIT_PRICE som fallback</w:t>
            </w:r>
          </w:p>
        </w:tc>
      </w:tr>
      <w:tr>
        <w:tc>
          <w:tcPr/>
          <w:p>
            <w:pPr>
              <w:pStyle w:val="Compact"/>
            </w:pPr>
            <w:r>
              <w:t xml:space="preserve">D-04</w:t>
            </w:r>
          </w:p>
        </w:tc>
        <w:tc>
          <w:tcPr/>
          <w:p>
            <w:pPr>
              <w:pStyle w:val="Compact"/>
            </w:pPr>
            <w:r>
              <w:t xml:space="preserve">CV-basert XYZ</w:t>
            </w:r>
          </w:p>
        </w:tc>
        <w:tc>
          <w:tcPr/>
          <w:p>
            <w:pPr>
              <w:pStyle w:val="Compact"/>
            </w:pPr>
            <w:r>
              <w:t xml:space="preserve">Erstatter ZZXYZ</w:t>
            </w:r>
          </w:p>
        </w:tc>
        <w:tc>
          <w:tcPr/>
          <w:p>
            <w:pPr>
              <w:pStyle w:val="Compact"/>
            </w:pPr>
            <w:r>
              <w:t xml:space="preserve">33 % samsvar → beregnet CV foretrukket</w:t>
            </w:r>
          </w:p>
        </w:tc>
      </w:tr>
      <w:tr>
        <w:tc>
          <w:tcPr/>
          <w:p>
            <w:pPr>
              <w:pStyle w:val="Compact"/>
            </w:pPr>
            <w:r>
              <w:t xml:space="preserve">D-05</w:t>
            </w:r>
          </w:p>
        </w:tc>
        <w:tc>
          <w:tcPr/>
          <w:p>
            <w:pPr>
              <w:pStyle w:val="Compact"/>
            </w:pPr>
            <w:r>
              <w:t xml:space="preserve">Leveringstid-fallback</w:t>
            </w:r>
          </w:p>
        </w:tc>
        <w:tc>
          <w:tcPr/>
          <w:p>
            <w:pPr>
              <w:pStyle w:val="Compact"/>
            </w:pPr>
            <w:r>
              <w:t xml:space="preserve">14 dager for 94 %</w:t>
            </w:r>
          </w:p>
        </w:tc>
        <w:tc>
          <w:tcPr/>
          <w:p>
            <w:pPr>
              <w:pStyle w:val="Compact"/>
            </w:pPr>
            <w:r>
              <w:t xml:space="preserve">EINE WETAG dekker kun 6 %</w:t>
            </w:r>
          </w:p>
        </w:tc>
      </w:tr>
      <w:tr>
        <w:tc>
          <w:tcPr/>
          <w:p>
            <w:pPr>
              <w:pStyle w:val="Compact"/>
            </w:pPr>
            <w:r>
              <w:t xml:space="preserve">D-06</w:t>
            </w:r>
          </w:p>
        </w:tc>
        <w:tc>
          <w:tcPr/>
          <w:p>
            <w:pPr>
              <w:pStyle w:val="Compact"/>
            </w:pPr>
            <w:r>
              <w:t xml:space="preserve">MSEG_STATUS blank → AKTIV</w:t>
            </w:r>
          </w:p>
        </w:tc>
        <w:tc>
          <w:tcPr/>
          <w:p>
            <w:pPr>
              <w:pStyle w:val="Compact"/>
            </w:pPr>
            <w:r>
              <w:t xml:space="preserve">Fyller manglende verdier</w:t>
            </w:r>
          </w:p>
        </w:tc>
        <w:tc>
          <w:tcPr/>
          <w:p>
            <w:pPr>
              <w:pStyle w:val="Compact"/>
            </w:pPr>
            <w:r>
              <w:t xml:space="preserve">Antar normal driftsstatus</w:t>
            </w:r>
          </w:p>
        </w:tc>
      </w:tr>
      <w:tr>
        <w:tc>
          <w:tcPr/>
          <w:p>
            <w:pPr>
              <w:pStyle w:val="Compact"/>
            </w:pPr>
            <w:r>
              <w:t xml:space="preserve">D-07</w:t>
            </w:r>
          </w:p>
        </w:tc>
        <w:tc>
          <w:tcPr/>
          <w:p>
            <w:pPr>
              <w:pStyle w:val="Compact"/>
            </w:pPr>
            <w:r>
              <w:t xml:space="preserve">ABC_VALUE_SOURCE</w:t>
            </w:r>
          </w:p>
        </w:tc>
        <w:tc>
          <w:tcPr/>
          <w:p>
            <w:pPr>
              <w:pStyle w:val="Compact"/>
            </w:pPr>
            <w:r>
              <w:t xml:space="preserve">EKPO-verdi prioriteres</w:t>
            </w:r>
          </w:p>
        </w:tc>
        <w:tc>
          <w:tcPr/>
          <w:p>
            <w:pPr>
              <w:pStyle w:val="Compact"/>
            </w:pPr>
            <w:r>
              <w:t xml:space="preserve">TOTAL_NETWR &gt; 0 kreves for EKPO-kilde</w:t>
            </w:r>
          </w:p>
        </w:tc>
      </w:tr>
      <w:tr>
        <w:tc>
          <w:tcPr/>
          <w:p>
            <w:pPr>
              <w:pStyle w:val="Compact"/>
            </w:pPr>
            <w:r>
              <w:t xml:space="preserve">D-08</w:t>
            </w:r>
          </w:p>
        </w:tc>
        <w:tc>
          <w:tcPr/>
          <w:p>
            <w:pPr>
              <w:pStyle w:val="Compact"/>
            </w:pPr>
            <w:r>
              <w:t xml:space="preserve">Annualisering av ordrefrekvens</w:t>
            </w:r>
          </w:p>
        </w:tc>
        <w:tc>
          <w:tcPr/>
          <w:p>
            <w:pPr>
              <w:pStyle w:val="Compact"/>
            </w:pPr>
            <w:r>
              <w:t xml:space="preserve">ACTUAL_FREQ = ORDER_COUNT × 12/24</w:t>
            </w:r>
          </w:p>
        </w:tc>
        <w:tc>
          <w:tcPr/>
          <w:p>
            <w:pPr>
              <w:pStyle w:val="Compact"/>
            </w:pPr>
            <w:r>
              <w:t xml:space="preserve">24 mnd data → årsbasis</w:t>
            </w:r>
          </w:p>
        </w:tc>
      </w:tr>
    </w:tbl>
    <w:p>
      <w:pPr>
        <w:pStyle w:val="BodyText"/>
      </w:pPr>
      <w:r>
        <w:rPr>
          <w:b/>
          <w:bCs/>
        </w:rPr>
        <w:t xml:space="preserve">D-01 – Populasjonsavgrensning.</w:t>
      </w:r>
      <w:r>
        <w:t xml:space="preserve"> </w:t>
      </w:r>
      <w:r>
        <w:t xml:space="preserve">Råuttrekket fra MARD inneholdt 1 006 artikkelnumre. Av disse er 297 ekskludert fordi de har verken registrert forbruk i MSEG (D_ANNUAL = 0) og null beholdning (TOTAL_STOCK = 0). Disse artiklene er operasjonelt inaktive og utenfor analyseformålet. De resterende 709 artiklene utgjør populasjonen for alle videre analyser.</w:t>
      </w:r>
    </w:p>
    <w:p>
      <w:pPr>
        <w:pStyle w:val="BodyText"/>
      </w:pPr>
      <w:r>
        <w:rPr>
          <w:b/>
          <w:bCs/>
        </w:rPr>
        <w:t xml:space="preserve">D-02 – PEINH-korrigering.</w:t>
      </w:r>
      <w:r>
        <w:t xml:space="preserve"> </w:t>
      </w:r>
      <w:r>
        <w:t xml:space="preserve">SAP-feltet STPRS i MBEW inneholder standardpris per prisenhet, der prisenheten er angitt i PEINH. PEINH er vanligvis 1, men er i mange tilfeller satt til 10 eller 100 – særlig for lavprisartikler der prisen er satt per 10 eller per 100 enheter. Uten PEINH-korrigering ville enhetsprisen for disse artiklene bli overvurdert med faktor 10 eller 100, noe som ville ha forplantet seg til feil i ABC-rangering, EOQ-parametere og besparelsesestimat. Korreksjon er implementert ved formelen UNIT_PRICE = STPRS ÷ PEINH.</w:t>
      </w:r>
    </w:p>
    <w:p>
      <w:pPr>
        <w:pStyle w:val="BodyText"/>
      </w:pPr>
      <w:r>
        <w:rPr>
          <w:b/>
          <w:bCs/>
        </w:rPr>
        <w:t xml:space="preserve">D-03 – Beregnet ABC-verdi.</w:t>
      </w:r>
      <w:r>
        <w:t xml:space="preserve"> </w:t>
      </w:r>
      <w:r>
        <w:t xml:space="preserve">ABC-analyse krever en verdi per artikkel. Primærkilden er den faktiske innkjøpsverdien fra EKPO (TOTAL_NETWR), som dekker 505 av 709 artikler. For de resterende 204 artiklene – der TOTAL_NETWR er null eller mangler – er ABC-verdien beregnet som årsforbruk multiplisert med enhetspris (D_ANNUAL × UNIT_PRICE). Denne fremgangsmåten er konsistent med standard ABC-litteratur, der verdi defineres som forbruksvolum ganger enhetspris når direkte innkjøpsverdi ikke er tilgjengelig (Silaen et al., 2023). Et alternativ ville vært å ekskludere disse artiklene. Dette ble vurdert og forkastet av tre grunner: (1) ekskludering ville gi et systematisk skjevt utvalg, siden fraværet av EKPO-data primært skyldes ikke-standardisert anskaffelsespraksis — nettopp de artiklene som kan ha høyest potensial for sentralisering; (2) 204 artikler utgjør 28,8 % av populasjonen, noe som ville svekket representativiteten vesentlig; og (3) D_ANNUAL er observert fra MSEG, ikke anslått, slik at proksien kun introduserer usikkerhet i prisleddet, ikke i forbruksvolum.</w:t>
      </w:r>
    </w:p>
    <w:p>
      <w:pPr>
        <w:pStyle w:val="BodyText"/>
      </w:pPr>
      <w:r>
        <w:rPr>
          <w:b/>
          <w:bCs/>
        </w:rPr>
        <w:t xml:space="preserve">D-04 – CV-basert XYZ i stedet for SAP ZZXYZ.</w:t>
      </w:r>
      <w:r>
        <w:t xml:space="preserve"> </w:t>
      </w:r>
      <w:r>
        <w:t xml:space="preserve">SAP S/4HANA inneholder et eget klassifiseringsfelt, ZZXYZ, som representerer systemets registrerte XYZ-kategori. En validering mot den beregnede CV-klassifiseringen viste at bare 33 % av artiklene er samsvarende. Avviket skyldes primært at ZZXYZ ikke er blitt systematisk oppdatert i takt med endringer i forbruksmønstre. Analysen benytter derfor CV beregnet direkte fra månedlig MSEG-forbruk over 24 måneder som grunnlag for XYZ-klassifisering, mens ZZXYZ brukes som valideringsreferanse. Modellenes matematiske spesifikasjon er beskrevet i kapittel 5.</w:t>
      </w:r>
    </w:p>
    <w:p>
      <w:pPr>
        <w:pStyle w:val="BodyText"/>
      </w:pPr>
      <w:r>
        <w:rPr>
          <w:b/>
          <w:bCs/>
        </w:rPr>
        <w:t xml:space="preserve">D-05 – Leveringstid-fallback.</w:t>
      </w:r>
      <w:r>
        <w:t xml:space="preserve"> </w:t>
      </w:r>
      <w:r>
        <w:t xml:space="preserve">EOQ-modellen benytter leveringstid som parameter for beregning av bestillingspunkt. EINE-tabellen inneholder feltet WETAG (leveringstid i dager), men dette feltet er kun utfylt for 6 % av artiklene i populasjonen (43 av 709). For de resterende 94 % benyttes en fallback-verdi på 14 kalenderdager, som tilsvarer en typisk leveringstid for forbruksmateriell fra grossist til sykehus. Implikasjoner av denne antagelsen er diskutert i avsnitt 4.4.</w:t>
      </w:r>
    </w:p>
    <w:p>
      <w:pPr>
        <w:pStyle w:val="BodyText"/>
      </w:pPr>
      <w:r>
        <w:rPr>
          <w:b/>
          <w:bCs/>
        </w:rPr>
        <w:t xml:space="preserve">D-06 til D-08</w:t>
      </w:r>
      <w:r>
        <w:t xml:space="preserve"> </w:t>
      </w:r>
      <w:r>
        <w:t xml:space="preserve">er dokumentert i Tabell 5 og implementert direkte i Python-scriptet. D-08 – annualiseringen av ordrefrekvens – er særlig viktig for konsistens mellom faktisk og optimal frekvens i EOQ-avviksanalysen. Siden analyseperioden er 24 måneder, annualiseres faktisk ordretelling ved å multiplisere med faktoren 12/24, slik at ACTUAL_FREQ er direkte sammenlignbar med den beregnede EOQ-frekvensen på årsbasis.</w:t>
      </w:r>
    </w:p>
    <w:p>
      <w:pPr>
        <w:pStyle w:val="BodyText"/>
      </w:pPr>
      <w:r>
        <w:t xml:space="preserve">Datapipelinen fra rådata til analyseklar datasett er illustrert i figuren nedenfor.</w:t>
      </w:r>
    </w:p>
    <w:p>
      <w:r>
        <w:pict>
          <v:rect style="width:0;height:1.5pt" o:hralign="center" o:hrstd="t" o:hr="t"/>
        </w:pict>
      </w:r>
    </w:p>
    <w:p>
      <w:pPr>
        <w:pStyle w:val="CaptionedFigure"/>
      </w:pPr>
      <w:r>
        <w:drawing>
          <wp:inline>
            <wp:extent cx="6007100" cy="1463915"/>
            <wp:effectExtent b="0" l="0" r="0" t="0"/>
            <wp:docPr descr="Figur 2. Analysepipeline: fra SAP-rådata til HVFS-anbefaling. Generert med støtte fra Claude (Anthropic, 2026)." title="" id="57" name="Picture"/>
            <a:graphic>
              <a:graphicData uri="http://schemas.openxmlformats.org/drawingml/2006/picture">
                <pic:pic>
                  <pic:nvPicPr>
                    <pic:cNvPr descr="../006%20Analyse/plots/Fig02_Analysepipeline.png" id="58" name="Picture"/>
                    <pic:cNvPicPr>
                      <a:picLocks noChangeArrowheads="1" noChangeAspect="1"/>
                    </pic:cNvPicPr>
                  </pic:nvPicPr>
                  <pic:blipFill>
                    <a:blip r:embed="rId56"/>
                    <a:stretch>
                      <a:fillRect/>
                    </a:stretch>
                  </pic:blipFill>
                  <pic:spPr bwMode="auto">
                    <a:xfrm>
                      <a:off x="0" y="0"/>
                      <a:ext cx="6007100" cy="1463915"/>
                    </a:xfrm>
                    <a:prstGeom prst="rect">
                      <a:avLst/>
                    </a:prstGeom>
                    <a:noFill/>
                    <a:ln w="9525">
                      <a:noFill/>
                      <a:headEnd/>
                      <a:tailEnd/>
                    </a:ln>
                  </pic:spPr>
                </pic:pic>
              </a:graphicData>
            </a:graphic>
          </wp:inline>
        </w:drawing>
      </w:r>
    </w:p>
    <w:p>
      <w:pPr>
        <w:pStyle w:val="ImageCaption"/>
      </w:pPr>
      <w:r>
        <w:t xml:space="preserve">Figur 2. Analysepipeline: fra SAP-rådata til HVFS-anbefaling. Generert med støtte fra Claude (Anthropic, 2026).</w:t>
      </w:r>
    </w:p>
    <w:bookmarkEnd w:id="59"/>
    <w:bookmarkStart w:id="60" w:name="etiske-betraktninger-og-begrensninger"/>
    <w:p>
      <w:pPr>
        <w:pStyle w:val="Overskrift2"/>
      </w:pPr>
      <w:r>
        <w:t xml:space="preserve">4.4 Etiske betraktninger og begrensninger</w:t>
      </w:r>
    </w:p>
    <w:p>
      <w:pPr>
        <w:pStyle w:val="FirstParagraph"/>
      </w:pPr>
      <w:r>
        <w:t xml:space="preserve">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pPr>
        <w:pStyle w:val="BodyText"/>
      </w:pPr>
      <w:r>
        <w:t xml:space="preserve">To sentrale parametere er antagelser, ikke målte verdier. Ordrekostnaden S = 750 NOK er satt basert på estimater fra litteraturen for sykehusinnkjøp (Kelle et al., 2012; Bijvank &amp; Vis, 2012), men den faktiske kostnaden per ordre vil variere med innkjøpstype, leverandøravtale og administrativ belastning. Holdesatsen h = 20 % av enhetspris per år er en vanlig sjablongregel i EOQ-litteraturen (Hautaniemi &amp; Pirttilä, 1999), men inkluderer implisitte antagelser om kapitalkostand, lagerbrann- og ukurantrisiko som ikke er verifisert mot Helse Bergens faktiske regnskapstall. Sensitivitetsanalysen i kapittel 7 undersøker i hvilken grad resultater endres ved variasjon i disse parameterne.</w:t>
      </w:r>
    </w:p>
    <w:p>
      <w:pPr>
        <w:pStyle w:val="BodyText"/>
      </w:pPr>
      <w:r>
        <w:t xml:space="preserve">Leveringstids-fallbacken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bookmarkEnd w:id="60"/>
    <w:bookmarkStart w:id="61" w:name="bruk-av-ki-verktøy"/>
    <w:p>
      <w:pPr>
        <w:pStyle w:val="Overskrift2"/>
      </w:pPr>
      <w:r>
        <w:t xml:space="preserve">4.5 Bruk av KI-verktøy</w:t>
      </w:r>
    </w:p>
    <w:p>
      <w:pPr>
        <w:pStyle w:val="FirstParagraph"/>
      </w:pPr>
      <w:r>
        <w:t xml:space="preserve">Kunstig intelligens i form av store språkmodeller ble benyttet som faglig støtteverktøy gjennom hele prosjektperioden, i tråd med retningslinjene i kursets skrivekompendium (Rekdal &amp; Pettersen, 2025). Claude (Anthropic, 2026) ble anvendt til tre konkrete formål: (1) kodestøtte og feilsøking i Python-scriptet for ABC-, XYZ-, EOQ- og K-means-analysen; (2) generering av alle datavisualiseringer — Pareto-kurve, kryssmatrise, EOQ-avviksplott, silhouette-profil, scatterplott og regelmotor-fordeling — på grunnlag av analyseresultater produsert av scriptet; og (3) strukturering og språklig bearbeiding av rapportteksten. Alle figurer generert med støtte fra Claude er merket «Generert med støtte fra Claude (Anthropic, 2026)» i bildeteksten.</w:t>
      </w:r>
    </w:p>
    <w:p>
      <w:pPr>
        <w:pStyle w:val="BodyText"/>
      </w:pPr>
      <w:r>
        <w:t xml:space="preserve">Claude ble ikke brukt som fagkilde og er ikke sitert som belegg for faglige påstander. Alle numeriske resultater, tabellverdier og analytiske konklusjoner er produsert av Python-scriptet fra SAP-kildedata og er uavhengige av KI-verktøyet. Rådata fra SAP ble ikke modifisert i noen fase av arbeidet; alle transformasjoner er dokumentert i D-01–D-08 (avsnitt 4.3) og implementert deterministisk i scriptet.</w:t>
      </w:r>
    </w:p>
    <w:p>
      <w:r>
        <w:pict>
          <v:rect style="width:0;height:1.5pt" o:hralign="center" o:hrstd="t" o:hr="t"/>
        </w:pict>
      </w:r>
    </w:p>
    <w:bookmarkEnd w:id="61"/>
    <w:bookmarkEnd w:id="62"/>
    <w:bookmarkStart w:id="71" w:name="kapittel-5-modellering"/>
    <w:p>
      <w:pPr>
        <w:pStyle w:val="Overskrift1"/>
      </w:pPr>
      <w:r>
        <w:t xml:space="preserve">Kapittel 5 – Modellering</w:t>
      </w:r>
    </w:p>
    <w:bookmarkStart w:id="63" w:name="abc-modellen"/>
    <w:p>
      <w:pPr>
        <w:pStyle w:val="Overskrift2"/>
      </w:pPr>
      <w:r>
        <w:t xml:space="preserve">5.1 ABC-modellen</w:t>
      </w:r>
    </w:p>
    <w:p>
      <w:pPr>
        <w:pStyle w:val="FirstParagraph"/>
      </w:pPr>
      <w:r>
        <w:t xml:space="preserve">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w:t>
      </w:r>
    </w:p>
    <w:p>
      <w:pPr>
        <w:pStyle w:val="BodyText"/>
      </w:pPr>
      <w:r>
        <w:t xml:space="preserve">For hver artikkel</w:t>
      </w:r>
      <w:r>
        <w:t xml:space="preserve"> </w:t>
      </w:r>
      <m:oMath>
        <m:r>
          <m:t>i</m:t>
        </m:r>
      </m:oMath>
      <w:r>
        <w:t xml:space="preserve"> </w:t>
      </w:r>
      <w:r>
        <w:t xml:space="preserve">beregnes en årsverdi</w:t>
      </w:r>
      <w:r>
        <w:t xml:space="preserve"> </w:t>
      </w:r>
      <m:oMath>
        <m:sSub>
          <m:e>
            <m:r>
              <m:t>v</m:t>
            </m:r>
          </m:e>
          <m:sub>
            <m:r>
              <m:t>i</m:t>
            </m:r>
          </m:sub>
        </m:sSub>
      </m:oMath>
      <w:r>
        <w:t xml:space="preserve"> </w:t>
      </w:r>
      <w:r>
        <w:t xml:space="preserve">som produktet av årsforbruk og enhetspris:</w:t>
      </w:r>
    </w:p>
    <w:p>
      <w:pPr>
        <w:pStyle w:val="BodyText"/>
      </w:pPr>
      <m:oMathPara>
        <m:oMathParaPr>
          <m:jc m:val="center"/>
        </m:oMathParaPr>
        <m:oMath>
          <m:sSub>
            <m:e>
              <m:r>
                <m:t>v</m:t>
              </m:r>
            </m:e>
            <m:sub>
              <m:r>
                <m:t>i</m:t>
              </m:r>
            </m:sub>
          </m:sSub>
          <m:r>
            <m:rPr>
              <m:sty m:val="p"/>
            </m:rPr>
            <m:t>=</m:t>
          </m:r>
          <m:sSub>
            <m:e>
              <m:r>
                <m:t>D</m:t>
              </m:r>
            </m:e>
            <m:sub>
              <m:r>
                <m:t>i</m:t>
              </m:r>
            </m:sub>
          </m:sSub>
          <m:r>
            <m:rPr>
              <m:sty m:val="p"/>
            </m:rPr>
            <m:t>×</m:t>
          </m:r>
          <m:sSub>
            <m:e>
              <m:r>
                <m:rPr>
                  <m:nor/>
                  <m:sty m:val="p"/>
                </m:rPr>
                <m:t>UNIT_PRICE</m:t>
              </m:r>
            </m:e>
            <m:sub>
              <m:r>
                <m:t>i</m:t>
              </m:r>
            </m:sub>
          </m:sSub>
        </m:oMath>
      </m:oMathPara>
    </w:p>
    <w:p>
      <w:pPr>
        <w:pStyle w:val="FirstParagraph"/>
      </w:pPr>
      <w:r>
        <w:t xml:space="preserve">Der</w:t>
      </w:r>
      <w:r>
        <w:t xml:space="preserve"> </w:t>
      </w:r>
      <m:oMath>
        <m:sSub>
          <m:e>
            <m:r>
              <m:t>D</m:t>
            </m:r>
          </m:e>
          <m:sub>
            <m:r>
              <m:t>i</m:t>
            </m:r>
          </m:sub>
        </m:sSub>
      </m:oMath>
      <w:r>
        <w:t xml:space="preserve"> </w:t>
      </w:r>
      <w:r>
        <w:t xml:space="preserve">er annualisert forbruk (enheter/år) og UNIT_PRICE</w:t>
      </w:r>
      <m:oMath>
        <m:sSub>
          <m:e>
            <m:r>
              <m:t>​</m:t>
            </m:r>
          </m:e>
          <m:sub>
            <m:r>
              <m:t>i</m:t>
            </m:r>
          </m:sub>
        </m:sSub>
      </m:oMath>
      <w:r>
        <w:t xml:space="preserve"> </w:t>
      </w:r>
      <w:r>
        <w:t xml:space="preserve">er PEINH-korrigert standardpris (NOK/enhet), jf. beslutning D-02 og D-03 i avsnitt 4.3. Artiklene sorteres deretter i synkende rekkefølge etter</w:t>
      </w:r>
      <w:r>
        <w:t xml:space="preserve"> </w:t>
      </w:r>
      <m:oMath>
        <m:sSub>
          <m:e>
            <m:r>
              <m:t>v</m:t>
            </m:r>
          </m:e>
          <m:sub>
            <m:r>
              <m:t>i</m:t>
            </m:r>
          </m:sub>
        </m:sSub>
      </m:oMath>
      <w:r>
        <w:t xml:space="preserve">, og kumulativ verdiandel</w:t>
      </w:r>
      <w:r>
        <w:t xml:space="preserve"> </w:t>
      </w:r>
      <m:oMath>
        <m:sSub>
          <m:e>
            <m:r>
              <m:t>C</m:t>
            </m:r>
          </m:e>
          <m:sub>
            <m:r>
              <m:t>i</m:t>
            </m:r>
          </m:sub>
        </m:sSub>
      </m:oMath>
      <w:r>
        <w:t xml:space="preserve"> </w:t>
      </w:r>
      <w:r>
        <w:t xml:space="preserve">beregnes som:</w:t>
      </w:r>
    </w:p>
    <w:p>
      <w:pPr>
        <w:pStyle w:val="BodyText"/>
      </w:pPr>
      <m:oMathPara>
        <m:oMathParaPr>
          <m:jc m:val="center"/>
        </m:oMathParaPr>
        <m:oMath>
          <m:sSub>
            <m:e>
              <m:r>
                <m:t>C</m:t>
              </m:r>
            </m:e>
            <m:sub>
              <m:r>
                <m:t>i</m:t>
              </m:r>
            </m:sub>
          </m:sSub>
          <m:r>
            <m:rPr>
              <m:sty m:val="p"/>
            </m:rPr>
            <m:t>=</m:t>
          </m:r>
          <m:f>
            <m:fPr>
              <m:type m:val="bar"/>
            </m:fPr>
            <m:num>
              <m:nary>
                <m:naryPr>
                  <m:chr m:val="∑"/>
                  <m:limLoc m:val="undOvr"/>
                  <m:subHide m:val="off"/>
                  <m:supHide m:val="off"/>
                </m:naryPr>
                <m:sub>
                  <m:r>
                    <m:t>j</m:t>
                  </m:r>
                  <m:r>
                    <m:rPr>
                      <m:sty m:val="p"/>
                    </m:rPr>
                    <m:t>=</m:t>
                  </m:r>
                  <m:r>
                    <m:t>1</m:t>
                  </m:r>
                </m:sub>
                <m:sup>
                  <m:r>
                    <m:t>i</m:t>
                  </m:r>
                </m:sup>
                <m:e>
                  <m:sSub>
                    <m:e>
                      <m:r>
                        <m:t>v</m:t>
                      </m:r>
                    </m:e>
                    <m:sub>
                      <m:r>
                        <m:t>j</m:t>
                      </m:r>
                    </m:sub>
                  </m:sSub>
                </m:e>
              </m:nary>
            </m:num>
            <m:den>
              <m:sSub>
                <m:e>
                  <m:r>
                    <m:t>V</m:t>
                  </m:r>
                </m:e>
                <m:sub>
                  <m:r>
                    <m:rPr>
                      <m:nor/>
                      <m:sty m:val="p"/>
                    </m:rPr>
                    <m:t>tot</m:t>
                  </m:r>
                </m:sub>
              </m:sSub>
            </m:den>
          </m:f>
        </m:oMath>
      </m:oMathPara>
    </w:p>
    <w:p>
      <w:pPr>
        <w:pStyle w:val="FirstParagraph"/>
      </w:pPr>
      <w:r>
        <w:t xml:space="preserve">der</w:t>
      </w:r>
      <w:r>
        <w:t xml:space="preserve"> </w:t>
      </w:r>
      <m:oMath>
        <m:sSub>
          <m:e>
            <m:r>
              <m:t>V</m:t>
            </m:r>
          </m:e>
          <m:sub>
            <m:r>
              <m:rPr>
                <m:nor/>
                <m:sty m:val="p"/>
              </m:rPr>
              <m:t>tot</m:t>
            </m:r>
          </m:sub>
        </m:sSub>
        <m:r>
          <m:rPr>
            <m:sty m:val="p"/>
          </m:rPr>
          <m:t>=</m:t>
        </m:r>
        <m:nary>
          <m:naryPr>
            <m:chr m:val="∑"/>
            <m:limLoc m:val="undOvr"/>
            <m:subHide m:val="off"/>
            <m:supHide m:val="off"/>
          </m:naryPr>
          <m:sub>
            <m:r>
              <m:t>j</m:t>
            </m:r>
            <m:r>
              <m:rPr>
                <m:sty m:val="p"/>
              </m:rPr>
              <m:t>=</m:t>
            </m:r>
            <m:r>
              <m:t>1</m:t>
            </m:r>
          </m:sub>
          <m:sup>
            <m:r>
              <m:t>N</m:t>
            </m:r>
          </m:sup>
          <m:e>
            <m:sSub>
              <m:e>
                <m:r>
                  <m:t>v</m:t>
                </m:r>
              </m:e>
              <m:sub>
                <m:r>
                  <m:t>j</m:t>
                </m:r>
              </m:sub>
            </m:sSub>
          </m:e>
        </m:nary>
      </m:oMath>
      <w:r>
        <w:t xml:space="preserve"> </w:t>
      </w:r>
      <w:r>
        <w:t xml:space="preserve">er total årsverdi over alle</w:t>
      </w:r>
      <w:r>
        <w:t xml:space="preserve"> </w:t>
      </w:r>
      <m:oMath>
        <m:r>
          <m:t>N</m:t>
        </m:r>
      </m:oMath>
      <w:r>
        <w:t xml:space="preserve"> </w:t>
      </w:r>
      <w:r>
        <w:t xml:space="preserve">artikler. En artikkel tilhører A-klassen dersom</w:t>
      </w:r>
      <w:r>
        <w:t xml:space="preserve"> </w:t>
      </w:r>
      <m:oMath>
        <m:sSub>
          <m:e>
            <m:r>
              <m:t>C</m:t>
            </m:r>
          </m:e>
          <m:sub>
            <m:r>
              <m:t>i</m:t>
            </m:r>
          </m:sub>
        </m:sSub>
        <m:r>
          <m:rPr>
            <m:sty m:val="p"/>
          </m:rPr>
          <m:t>≤</m:t>
        </m:r>
        <m:r>
          <m:t>0</m:t>
        </m:r>
        <m:r>
          <m:rPr>
            <m:sty m:val="p"/>
          </m:rPr>
          <m:t>,</m:t>
        </m:r>
        <m:r>
          <m:t>80</m:t>
        </m:r>
      </m:oMath>
      <w:r>
        <w:t xml:space="preserve">, B-klassen dersom</w:t>
      </w:r>
      <w:r>
        <w:t xml:space="preserve"> </w:t>
      </w:r>
      <m:oMath>
        <m:r>
          <m:t>0</m:t>
        </m:r>
        <m:r>
          <m:rPr>
            <m:sty m:val="p"/>
          </m:rPr>
          <m:t>,</m:t>
        </m:r>
        <m:r>
          <m:t>80</m:t>
        </m:r>
        <m:r>
          <m:rPr>
            <m:sty m:val="p"/>
          </m:rPr>
          <m:t>&lt;</m:t>
        </m:r>
        <m:sSub>
          <m:e>
            <m:r>
              <m:t>C</m:t>
            </m:r>
          </m:e>
          <m:sub>
            <m:r>
              <m:t>i</m:t>
            </m:r>
          </m:sub>
        </m:sSub>
        <m:r>
          <m:rPr>
            <m:sty m:val="p"/>
          </m:rPr>
          <m:t>≤</m:t>
        </m:r>
        <m:r>
          <m:t>0</m:t>
        </m:r>
        <m:r>
          <m:rPr>
            <m:sty m:val="p"/>
          </m:rPr>
          <m:t>,</m:t>
        </m:r>
        <m:r>
          <m:t>95</m:t>
        </m:r>
      </m:oMath>
      <w:r>
        <w:t xml:space="preserve">, og C-klassen ellers.</w:t>
      </w:r>
    </w:p>
    <w:p>
      <w:pPr>
        <w:pStyle w:val="BodyText"/>
      </w:pPr>
      <w:r>
        <w:t xml:space="preserve">Klassifiseringsgrensene er satt i henhold til standard ABC-litteratur (Silaen et al., 2023):</w:t>
      </w:r>
    </w:p>
    <w:p>
      <w:pPr>
        <w:pStyle w:val="BodyText"/>
      </w:pPr>
      <w:r>
        <w:rPr>
          <w:i/>
          <w:iCs/>
        </w:rPr>
        <w:t xml:space="preserve">Tabell 6. Modellparametere: ABC-klassifiseringsgrenser og øvrige analyseinnstillinger.</w:t>
      </w:r>
    </w:p>
    <w:tbl>
      <w:tblPr>
        <w:tblStyle w:val="Table"/>
        <w:tblW w:type="pct" w:w="5000"/>
        <w:tblLayout w:type="fixed"/>
        <w:tblLook w:firstRow="1" w:lastRow="0" w:firstColumn="0" w:lastColumn="0" w:noHBand="0" w:noVBand="0" w:val="0020"/>
      </w:tblPr>
      <w:tblGrid>
        <w:gridCol w:w="2354"/>
        <w:gridCol w:w="1498"/>
        <w:gridCol w:w="4067"/>
      </w:tblGrid>
      <w:tr>
        <w:trPr>
          <w:tblHeader w:val="on"/>
        </w:trPr>
        <w:tc>
          <w:tcPr/>
          <w:p>
            <w:pPr>
              <w:pStyle w:val="Compact"/>
            </w:pPr>
            <w:r>
              <w:t xml:space="preserve">Parameter</w:t>
            </w:r>
          </w:p>
        </w:tc>
        <w:tc>
          <w:tcPr/>
          <w:p>
            <w:pPr>
              <w:pStyle w:val="Compact"/>
            </w:pPr>
            <w:r>
              <w:t xml:space="preserve">Verdi</w:t>
            </w:r>
          </w:p>
        </w:tc>
        <w:tc>
          <w:tcPr/>
          <w:p>
            <w:pPr>
              <w:pStyle w:val="Compact"/>
            </w:pPr>
            <w:r>
              <w:t xml:space="preserve">Kilde/Begrunnelse</w:t>
            </w:r>
          </w:p>
        </w:tc>
      </w:tr>
      <w:tr>
        <w:tc>
          <w:tcPr/>
          <w:p>
            <w:pPr>
              <w:pStyle w:val="Compact"/>
            </w:pPr>
            <w:r>
              <w:t xml:space="preserve">ABC A-grense</w:t>
            </w:r>
          </w:p>
        </w:tc>
        <w:tc>
          <w:tcPr/>
          <w:p>
            <w:pPr>
              <w:pStyle w:val="Compact"/>
            </w:pPr>
            <w:r>
              <w:t xml:space="preserve">80 % kumulativ verdi</w:t>
            </w:r>
          </w:p>
        </w:tc>
        <w:tc>
          <w:tcPr/>
          <w:p>
            <w:pPr>
              <w:pStyle w:val="Compact"/>
            </w:pPr>
            <w:r>
              <w:t xml:space="preserve">Silaen et al. (2023)</w:t>
            </w:r>
          </w:p>
        </w:tc>
      </w:tr>
      <w:tr>
        <w:tc>
          <w:tcPr/>
          <w:p>
            <w:pPr>
              <w:pStyle w:val="Compact"/>
            </w:pPr>
            <w:r>
              <w:t xml:space="preserve">ABC B-grense</w:t>
            </w:r>
          </w:p>
        </w:tc>
        <w:tc>
          <w:tcPr/>
          <w:p>
            <w:pPr>
              <w:pStyle w:val="Compact"/>
            </w:pPr>
            <w:r>
              <w:t xml:space="preserve">95 % kumulativ verdi</w:t>
            </w:r>
          </w:p>
        </w:tc>
        <w:tc>
          <w:tcPr/>
          <w:p>
            <w:pPr>
              <w:pStyle w:val="Compact"/>
            </w:pPr>
            <w:r>
              <w:t xml:space="preserve">Silaen et al. (2023)</w:t>
            </w:r>
          </w:p>
        </w:tc>
      </w:tr>
      <w:tr>
        <w:tc>
          <w:tcPr/>
          <w:p>
            <w:pPr>
              <w:pStyle w:val="Compact"/>
            </w:pPr>
            <w:r>
              <w:t xml:space="preserve">XYZ X-grense</w:t>
            </w:r>
          </w:p>
        </w:tc>
        <w:tc>
          <w:tcPr/>
          <w:p>
            <w:pPr>
              <w:pStyle w:val="Compact"/>
            </w:pPr>
            <w:r>
              <w:t xml:space="preserve">CV &lt; 0,5</w:t>
            </w:r>
          </w:p>
        </w:tc>
        <w:tc>
          <w:tcPr/>
          <w:p>
            <w:pPr>
              <w:pStyle w:val="Compact"/>
            </w:pPr>
            <w:r>
              <w:t xml:space="preserve">Nowotyńska (2013)</w:t>
            </w:r>
          </w:p>
        </w:tc>
      </w:tr>
      <w:tr>
        <w:tc>
          <w:tcPr/>
          <w:p>
            <w:pPr>
              <w:pStyle w:val="Compact"/>
            </w:pPr>
            <w:r>
              <w:t xml:space="preserve">XYZ Y-grense</w:t>
            </w:r>
          </w:p>
        </w:tc>
        <w:tc>
          <w:tcPr/>
          <w:p>
            <w:pPr>
              <w:pStyle w:val="Compact"/>
            </w:pPr>
            <w:r>
              <w:t xml:space="preserve">0,5 ≤ CV &lt; 1,0</w:t>
            </w:r>
          </w:p>
        </w:tc>
        <w:tc>
          <w:tcPr/>
          <w:p>
            <w:pPr>
              <w:pStyle w:val="Compact"/>
            </w:pPr>
            <w:r>
              <w:t xml:space="preserve">Nowotyńska (2013)</w:t>
            </w:r>
          </w:p>
        </w:tc>
      </w:tr>
      <w:tr>
        <w:tc>
          <w:tcPr/>
          <w:p>
            <w:pPr>
              <w:pStyle w:val="Compact"/>
            </w:pPr>
            <w:r>
              <w:t xml:space="preserve">XYZ Z-grense</w:t>
            </w:r>
          </w:p>
        </w:tc>
        <w:tc>
          <w:tcPr/>
          <w:p>
            <w:pPr>
              <w:pStyle w:val="Compact"/>
            </w:pPr>
            <w:r>
              <w:t xml:space="preserve">CV ≥ 1,0</w:t>
            </w:r>
          </w:p>
        </w:tc>
        <w:tc>
          <w:tcPr/>
          <w:p>
            <w:pPr>
              <w:pStyle w:val="Compact"/>
            </w:pPr>
            <w:r>
              <w:t xml:space="preserve">Nowotyńska (2013)</w:t>
            </w:r>
          </w:p>
        </w:tc>
      </w:tr>
      <w:tr>
        <w:tc>
          <w:tcPr/>
          <w:p>
            <w:pPr>
              <w:pStyle w:val="Compact"/>
            </w:pPr>
            <w:r>
              <w:t xml:space="preserve">Ordrekostnad S</w:t>
            </w:r>
          </w:p>
        </w:tc>
        <w:tc>
          <w:tcPr/>
          <w:p>
            <w:pPr>
              <w:pStyle w:val="Compact"/>
            </w:pPr>
            <w:r>
              <w:t xml:space="preserve">750 NOK</w:t>
            </w:r>
          </w:p>
        </w:tc>
        <w:tc>
          <w:tcPr/>
          <w:p>
            <w:pPr>
              <w:pStyle w:val="Compact"/>
            </w:pPr>
            <w:r>
              <w:t xml:space="preserve">Kelle et al. (2012); Bijvank &amp; Vis (2012)</w:t>
            </w:r>
          </w:p>
        </w:tc>
      </w:tr>
      <w:tr>
        <w:tc>
          <w:tcPr/>
          <w:p>
            <w:pPr>
              <w:pStyle w:val="Compact"/>
            </w:pPr>
            <w:r>
              <w:t xml:space="preserve">Holdesats h</w:t>
            </w:r>
          </w:p>
        </w:tc>
        <w:tc>
          <w:tcPr/>
          <w:p>
            <w:pPr>
              <w:pStyle w:val="Compact"/>
            </w:pPr>
            <w:r>
              <w:t xml:space="preserve">20 % av UNIT_PRICE</w:t>
            </w:r>
          </w:p>
        </w:tc>
        <w:tc>
          <w:tcPr/>
          <w:p>
            <w:pPr>
              <w:pStyle w:val="Compact"/>
            </w:pPr>
            <w:r>
              <w:t xml:space="preserve">Ketkar &amp; Vaidya (2014)</w:t>
            </w:r>
          </w:p>
        </w:tc>
      </w:tr>
      <w:tr>
        <w:tc>
          <w:tcPr/>
          <w:p>
            <w:pPr>
              <w:pStyle w:val="Compact"/>
            </w:pPr>
            <w:r>
              <w:t xml:space="preserve">Leveringstid fallback</w:t>
            </w:r>
          </w:p>
        </w:tc>
        <w:tc>
          <w:tcPr/>
          <w:p>
            <w:pPr>
              <w:pStyle w:val="Compact"/>
            </w:pPr>
            <w:r>
              <w:t xml:space="preserve">14 dager</w:t>
            </w:r>
          </w:p>
        </w:tc>
        <w:tc>
          <w:tcPr/>
          <w:p>
            <w:pPr>
              <w:pStyle w:val="Compact"/>
            </w:pPr>
            <w:r>
              <w:t xml:space="preserve">Bransjepraksis (D-05)</w:t>
            </w:r>
          </w:p>
        </w:tc>
      </w:tr>
      <w:tr>
        <w:tc>
          <w:tcPr/>
          <w:p>
            <w:pPr>
              <w:pStyle w:val="Compact"/>
            </w:pPr>
            <w:r>
              <w:t xml:space="preserve">EOQ-terskel τ_f</w:t>
            </w:r>
          </w:p>
        </w:tc>
        <w:tc>
          <w:tcPr/>
          <w:p>
            <w:pPr>
              <w:pStyle w:val="Compact"/>
            </w:pPr>
            <w:r>
              <w:t xml:space="preserve">1,5 (FREQ_AVVIK &gt; 150 %)</w:t>
            </w:r>
          </w:p>
        </w:tc>
        <w:tc>
          <w:tcPr/>
          <w:p>
            <w:pPr>
              <w:pStyle w:val="Compact"/>
            </w:pPr>
            <w:r>
              <w:t xml:space="preserve">Operasjonelt vesentlig avvik</w:t>
            </w:r>
          </w:p>
        </w:tc>
      </w:tr>
      <w:tr>
        <w:tc>
          <w:tcPr/>
          <w:p>
            <w:pPr>
              <w:pStyle w:val="Compact"/>
            </w:pPr>
            <w:r>
              <w:t xml:space="preserve">K-means K-søk</w:t>
            </w:r>
          </w:p>
        </w:tc>
        <w:tc>
          <w:tcPr/>
          <w:p>
            <w:pPr>
              <w:pStyle w:val="Compact"/>
            </w:pPr>
            <w:r>
              <w:t xml:space="preserve">K ∈ {2, 3, 4, 5, 6, 7}</w:t>
            </w:r>
          </w:p>
        </w:tc>
        <w:tc>
          <w:tcPr/>
          <w:p>
            <w:pPr>
              <w:pStyle w:val="Compact"/>
            </w:pPr>
            <w:r>
              <w:t xml:space="preserve">Silhouette-optimering</w:t>
            </w:r>
          </w:p>
        </w:tc>
      </w:tr>
      <w:tr>
        <w:tc>
          <w:tcPr/>
          <w:p>
            <w:pPr>
              <w:pStyle w:val="Compact"/>
            </w:pPr>
            <w:r>
              <w:t xml:space="preserve">K-means n_init</w:t>
            </w:r>
          </w:p>
        </w:tc>
        <w:tc>
          <w:tcPr/>
          <w:p>
            <w:pPr>
              <w:pStyle w:val="Compact"/>
            </w:pPr>
            <w:r>
              <w:t xml:space="preserve">50</w:t>
            </w:r>
          </w:p>
        </w:tc>
        <w:tc>
          <w:tcPr/>
          <w:p>
            <w:pPr>
              <w:pStyle w:val="Compact"/>
            </w:pPr>
            <w:r>
              <w:t xml:space="preserve">Robust initialisering</w:t>
            </w:r>
          </w:p>
        </w:tc>
      </w:tr>
      <w:tr>
        <w:tc>
          <w:tcPr/>
          <w:p>
            <w:pPr>
              <w:pStyle w:val="Compact"/>
            </w:pPr>
            <w:r>
              <w:t xml:space="preserve">Random state</w:t>
            </w:r>
          </w:p>
        </w:tc>
        <w:tc>
          <w:tcPr/>
          <w:p>
            <w:pPr>
              <w:pStyle w:val="Compact"/>
            </w:pPr>
            <w:r>
              <w:t xml:space="preserve">42</w:t>
            </w:r>
          </w:p>
        </w:tc>
        <w:tc>
          <w:tcPr/>
          <w:p>
            <w:pPr>
              <w:pStyle w:val="Compact"/>
            </w:pPr>
            <w:r>
              <w:t xml:space="preserve">Reproduserbarhet</w:t>
            </w:r>
          </w:p>
        </w:tc>
      </w:tr>
      <w:tr>
        <w:tc>
          <w:tcPr/>
          <w:p>
            <w:pPr>
              <w:pStyle w:val="Compact"/>
            </w:pPr>
            <w:r>
              <w:t xml:space="preserve">Train/test split</w:t>
            </w:r>
          </w:p>
        </w:tc>
        <w:tc>
          <w:tcPr/>
          <w:p>
            <w:pPr>
              <w:pStyle w:val="Compact"/>
            </w:pPr>
            <w:r>
              <w:t xml:space="preserve">80/20</w:t>
            </w:r>
          </w:p>
        </w:tc>
        <w:tc>
          <w:tcPr/>
          <w:p>
            <w:pPr>
              <w:pStyle w:val="Compact"/>
            </w:pPr>
            <w:r>
              <w:t xml:space="preserve">Standard validering</w:t>
            </w:r>
          </w:p>
        </w:tc>
      </w:tr>
    </w:tbl>
    <w:p>
      <w:pPr>
        <w:pStyle w:val="BodyText"/>
      </w:pPr>
      <w:r>
        <w:t xml:space="preserve">Grensene 80 % og 95 % er i tråd med den klassiske Pareto-inndelingen og er konsistente med anbefalingene i van Kampen et al. (2012). Sorteringen og kumulative beregningene er implementert med pandas (McKinney, 2010), og ingen manuell justering av enkeltartikler er foretatt.</w:t>
      </w:r>
    </w:p>
    <w:bookmarkEnd w:id="63"/>
    <w:bookmarkStart w:id="64" w:name="xyz-modellen"/>
    <w:p>
      <w:pPr>
        <w:pStyle w:val="Overskrift2"/>
      </w:pPr>
      <w:r>
        <w:t xml:space="preserve">5.2 XYZ-modellen</w:t>
      </w:r>
    </w:p>
    <w:p>
      <w:pPr>
        <w:pStyle w:val="FirstParagraph"/>
      </w:pPr>
      <w:r>
        <w:t xml:space="preserve">XYZ-klassifisering beskriver stabilitet i forbruksmønsteret over tid, og komplementerer ABC-analysen ved å skille artikler med forutsigbar etterspørsel fra artikler med uregelmessig forbruk (Nowotyńska, 2013). Grunnlaget for klassifiseringen er variasjonskoeffisienten CV (coefficient of variation), beregnet fra månedlig forbruk over analyseperioden på 24 måneder:</w:t>
      </w:r>
    </w:p>
    <w:p>
      <w:pPr>
        <w:pStyle w:val="BodyText"/>
      </w:pPr>
      <m:oMathPara>
        <m:oMathParaPr>
          <m:jc m:val="center"/>
        </m:oMathParaPr>
        <m:oMath>
          <m:sSub>
            <m:e>
              <m:r>
                <m:rPr>
                  <m:nor/>
                  <m:sty m:val="p"/>
                </m:rPr>
                <m:t>CV</m:t>
              </m:r>
            </m:e>
            <m:sub>
              <m:r>
                <m:t>i</m:t>
              </m:r>
            </m:sub>
          </m:sSub>
          <m:r>
            <m:rPr>
              <m:sty m:val="p"/>
            </m:rPr>
            <m:t>=</m:t>
          </m:r>
          <m:f>
            <m:fPr>
              <m:type m:val="bar"/>
            </m:fPr>
            <m:num>
              <m:sSub>
                <m:e>
                  <m:r>
                    <m:t>σ</m:t>
                  </m:r>
                </m:e>
                <m:sub>
                  <m:r>
                    <m:t>i</m:t>
                  </m:r>
                </m:sub>
              </m:sSub>
            </m:num>
            <m:den>
              <m:sSub>
                <m:e>
                  <m:r>
                    <m:t>μ</m:t>
                  </m:r>
                </m:e>
                <m:sub>
                  <m:r>
                    <m:t>i</m:t>
                  </m:r>
                </m:sub>
              </m:sSub>
            </m:den>
          </m:f>
        </m:oMath>
      </m:oMathPara>
    </w:p>
    <w:p>
      <w:pPr>
        <w:pStyle w:val="FirstParagraph"/>
      </w:pPr>
      <w:r>
        <w:t xml:space="preserve">der</w:t>
      </w:r>
      <w:r>
        <w:t xml:space="preserve"> </w:t>
      </w:r>
      <m:oMath>
        <m:sSub>
          <m:e>
            <m:r>
              <m:t>σ</m:t>
            </m:r>
          </m:e>
          <m:sub>
            <m:r>
              <m:t>i</m:t>
            </m:r>
          </m:sub>
        </m:sSub>
      </m:oMath>
      <w:r>
        <w:t xml:space="preserve"> </w:t>
      </w:r>
      <w:r>
        <w:t xml:space="preserve">er standardavviket og</w:t>
      </w:r>
      <w:r>
        <w:t xml:space="preserve"> </w:t>
      </w:r>
      <m:oMath>
        <m:sSub>
          <m:e>
            <m:r>
              <m:t>μ</m:t>
            </m:r>
          </m:e>
          <m:sub>
            <m:r>
              <m:t>i</m:t>
            </m:r>
          </m:sub>
        </m:sSub>
      </m:oMath>
      <w:r>
        <w:t xml:space="preserve"> </w:t>
      </w:r>
      <w:r>
        <w:t xml:space="preserve">er gjennomsnittet av månedlig forbruk for artikkel</w:t>
      </w:r>
      <w:r>
        <w:t xml:space="preserve"> </w:t>
      </w:r>
      <m:oMath>
        <m:r>
          <m:t>i</m:t>
        </m:r>
      </m:oMath>
      <w:r>
        <w:t xml:space="preserve">,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fremgår av Tabell 6 ovenfor.</w:t>
      </w:r>
    </w:p>
    <w:p>
      <w:pPr>
        <w:pStyle w:val="BodyText"/>
      </w:pPr>
      <w:r>
        <w:t xml:space="preserve">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pPr>
        <w:pStyle w:val="BodyText"/>
      </w:pPr>
      <w:r>
        <w:t xml:space="preserve">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bookmarkEnd w:id="64"/>
    <w:bookmarkStart w:id="65" w:name="eoq-modellen-og-besparelsesformelen"/>
    <w:p>
      <w:pPr>
        <w:pStyle w:val="Overskrift2"/>
      </w:pPr>
      <w:r>
        <w:t xml:space="preserve">5.3 EOQ-modellen og besparelsesformelen</w:t>
      </w:r>
    </w:p>
    <w:p>
      <w:pPr>
        <w:pStyle w:val="FirstParagraph"/>
      </w:pPr>
      <w:r>
        <w:rPr>
          <w:b/>
          <w:bCs/>
        </w:rPr>
        <w:t xml:space="preserve">Wilson EOQ-modell.</w:t>
      </w:r>
      <w:r>
        <w:t xml:space="preserve"> </w:t>
      </w:r>
      <w:r>
        <w:t xml:space="preserve">Den klassiske Wilson-formelen gir den ordrekvantum</w:t>
      </w:r>
      <w:r>
        <w:t xml:space="preserve"> </w:t>
      </w:r>
      <m:oMath>
        <m:sSup>
          <m:e>
            <m:r>
              <m:t>Q</m:t>
            </m:r>
          </m:e>
          <m:sup>
            <m:r>
              <m:rPr>
                <m:sty m:val="p"/>
              </m:rPr>
              <m:t>*</m:t>
            </m:r>
          </m:sup>
        </m:sSup>
      </m:oMath>
      <w:r>
        <w:t xml:space="preserve"> </w:t>
      </w:r>
      <w:r>
        <w:t xml:space="preserve">som minimerer den totale lagerholde- og ordrekostnaden per år (Hautaniemi &amp; Pirttilä, 1999):</w:t>
      </w:r>
    </w:p>
    <w:p>
      <w:pPr>
        <w:pStyle w:val="BodyText"/>
      </w:pPr>
      <m:oMathPara>
        <m:oMathParaPr>
          <m:jc m:val="center"/>
        </m:oMathParaPr>
        <m:oMath>
          <m:sSup>
            <m:e>
              <m:r>
                <m:t>Q</m:t>
              </m:r>
            </m:e>
            <m:sup>
              <m:r>
                <m:rPr>
                  <m:sty m:val="p"/>
                </m:rPr>
                <m:t>*</m:t>
              </m:r>
            </m:sup>
          </m:sSup>
          <m:r>
            <m:rPr>
              <m:sty m:val="p"/>
            </m:rPr>
            <m:t>=</m:t>
          </m:r>
          <m:rad>
            <m:radPr>
              <m:degHide m:val="on"/>
            </m:radPr>
            <m:deg/>
            <m:e>
              <m:f>
                <m:fPr>
                  <m:type m:val="bar"/>
                </m:fPr>
                <m:num>
                  <m:r>
                    <m:t>2</m:t>
                  </m:r>
                  <m:r>
                    <m:t>D</m:t>
                  </m:r>
                  <m:r>
                    <m:t>S</m:t>
                  </m:r>
                </m:num>
                <m:den>
                  <m:r>
                    <m:t>H</m:t>
                  </m:r>
                </m:den>
              </m:f>
            </m:e>
          </m:rad>
        </m:oMath>
      </m:oMathPara>
    </w:p>
    <w:p>
      <w:pPr>
        <w:pStyle w:val="FirstParagraph"/>
      </w:pPr>
      <w:r>
        <w:t xml:space="preserve">der</w:t>
      </w:r>
      <w:r>
        <w:t xml:space="preserve"> </w:t>
      </w:r>
      <m:oMath>
        <m:r>
          <m:t>D</m:t>
        </m:r>
      </m:oMath>
      <w:r>
        <w:t xml:space="preserve"> </w:t>
      </w:r>
      <w:r>
        <w:t xml:space="preserve">er årsforbruk (enheter/år),</w:t>
      </w:r>
      <w:r>
        <w:t xml:space="preserve"> </w:t>
      </w:r>
      <m:oMath>
        <m:r>
          <m:t>S</m:t>
        </m:r>
        <m:r>
          <m:rPr>
            <m:sty m:val="p"/>
          </m:rPr>
          <m:t>=</m:t>
        </m:r>
        <m:r>
          <m:t>750</m:t>
        </m:r>
      </m:oMath>
      <w:r>
        <w:t xml:space="preserve"> </w:t>
      </w:r>
      <w:r>
        <w:t xml:space="preserve">NOK er ordrekostnad per bestilling og</w:t>
      </w:r>
      <w:r>
        <w:t xml:space="preserve"> </w:t>
      </w:r>
      <m:oMath>
        <m:r>
          <m:t>H</m:t>
        </m:r>
        <m:r>
          <m:rPr>
            <m:sty m:val="p"/>
          </m:rPr>
          <m:t>=</m:t>
        </m:r>
        <m:r>
          <m:t>h</m:t>
        </m:r>
        <m:r>
          <m:rPr>
            <m:sty m:val="p"/>
          </m:rPr>
          <m:t>×</m:t>
        </m:r>
        <m:r>
          <m:rPr>
            <m:nor/>
            <m:sty m:val="p"/>
          </m:rPr>
          <m:t>UNIT_PRICE</m:t>
        </m:r>
      </m:oMath>
      <w:r>
        <w:t xml:space="preserve"> </w:t>
      </w:r>
      <w:r>
        <w:t xml:space="preserve">er holdekostnad per enhet per år, med holdesats</w:t>
      </w:r>
      <w:r>
        <w:t xml:space="preserve"> </w:t>
      </w:r>
      <m:oMath>
        <m:r>
          <m:t>h</m:t>
        </m:r>
        <m:r>
          <m:rPr>
            <m:sty m:val="p"/>
          </m:rPr>
          <m:t>=</m:t>
        </m:r>
        <m:r>
          <m:t>20</m:t>
        </m:r>
        <m:r>
          <m:t> </m:t>
        </m:r>
        <m:r>
          <m:rPr>
            <m:sty m:val="p"/>
          </m:rPr>
          <m:t>%</m:t>
        </m:r>
      </m:oMath>
      <w:r>
        <w:t xml:space="preserve">. Den optimale ordrefrekvensen følger direkte:</w:t>
      </w:r>
    </w:p>
    <w:p>
      <w:pPr>
        <w:pStyle w:val="BodyText"/>
      </w:pPr>
      <m:oMathPara>
        <m:oMathParaPr>
          <m:jc m:val="center"/>
        </m:oMathParaPr>
        <m:oMath>
          <m:sSup>
            <m:e>
              <m:r>
                <m:t>f</m:t>
              </m:r>
            </m:e>
            <m:sup>
              <m:r>
                <m:rPr>
                  <m:sty m:val="p"/>
                </m:rPr>
                <m:t>*</m:t>
              </m:r>
            </m:sup>
          </m:sSup>
          <m:r>
            <m:rPr>
              <m:sty m:val="p"/>
            </m:rPr>
            <m:t>=</m:t>
          </m:r>
          <m:f>
            <m:fPr>
              <m:type m:val="bar"/>
            </m:fPr>
            <m:num>
              <m:r>
                <m:t>D</m:t>
              </m:r>
            </m:num>
            <m:den>
              <m:sSup>
                <m:e>
                  <m:r>
                    <m:t>Q</m:t>
                  </m:r>
                </m:e>
                <m:sup>
                  <m:r>
                    <m:rPr>
                      <m:sty m:val="p"/>
                    </m:rPr>
                    <m:t>*</m:t>
                  </m:r>
                </m:sup>
              </m:sSup>
            </m:den>
          </m:f>
          <m:r>
            <m:rPr>
              <m:sty m:val="p"/>
            </m:rPr>
            <m:t>=</m:t>
          </m:r>
          <m:rad>
            <m:radPr>
              <m:degHide m:val="on"/>
            </m:radPr>
            <m:deg/>
            <m:e>
              <m:f>
                <m:fPr>
                  <m:type m:val="bar"/>
                </m:fPr>
                <m:num>
                  <m:r>
                    <m:t>D</m:t>
                  </m:r>
                  <m:r>
                    <m:t>H</m:t>
                  </m:r>
                </m:num>
                <m:den>
                  <m:r>
                    <m:t>2</m:t>
                  </m:r>
                  <m:r>
                    <m:t>S</m:t>
                  </m:r>
                </m:den>
              </m:f>
            </m:e>
          </m:rad>
        </m:oMath>
      </m:oMathPara>
    </w:p>
    <w:p>
      <w:pPr>
        <w:pStyle w:val="FirstParagraph"/>
      </w:pPr>
      <w:r>
        <w:rPr>
          <w:b/>
          <w:bCs/>
        </w:rPr>
        <w:t xml:space="preserve">Avviksformel.</w:t>
      </w:r>
      <w:r>
        <w:t xml:space="preserve"> </w:t>
      </w:r>
      <w:r>
        <w:t xml:space="preserve">Faktisk ordrefrekvens</w:t>
      </w:r>
      <w:r>
        <w:t xml:space="preserve"> </w:t>
      </w:r>
      <m:oMath>
        <m:sSub>
          <m:e>
            <m:r>
              <m:t>f</m:t>
            </m:r>
          </m:e>
          <m:sub>
            <m:r>
              <m:rPr>
                <m:nor/>
                <m:sty m:val="p"/>
              </m:rPr>
              <m:t>obs</m:t>
            </m:r>
          </m:sub>
        </m:sSub>
      </m:oMath>
      <w:r>
        <w:t xml:space="preserve"> </w:t>
      </w:r>
      <w:r>
        <w:t xml:space="preserve">er annualisert fra EKBE-data via D-08. Relativt frekvensavvik er definert som:</w:t>
      </w:r>
    </w:p>
    <w:p>
      <w:pPr>
        <w:pStyle w:val="BodyText"/>
      </w:pPr>
      <m:oMathPara>
        <m:oMathParaPr>
          <m:jc m:val="center"/>
        </m:oMathParaPr>
        <m:oMath>
          <m:sSub>
            <m:e>
              <m:r>
                <m:rPr>
                  <m:nor/>
                  <m:sty m:val="p"/>
                </m:rPr>
                <m:t>FREQ_AVVIK</m:t>
              </m:r>
            </m:e>
            <m:sub>
              <m:r>
                <m:t>i</m:t>
              </m:r>
            </m:sub>
          </m:sSub>
          <m:r>
            <m:rPr>
              <m:sty m:val="p"/>
            </m:rPr>
            <m:t>=</m:t>
          </m:r>
          <m:f>
            <m:fPr>
              <m:type m:val="bar"/>
            </m:fPr>
            <m:num>
              <m:sSub>
                <m:e>
                  <m:r>
                    <m:t>f</m:t>
                  </m:r>
                </m:e>
                <m:sub>
                  <m:r>
                    <m:rPr>
                      <m:nor/>
                      <m:sty m:val="p"/>
                    </m:rPr>
                    <m:t>obs</m:t>
                  </m:r>
                  <m:r>
                    <m:rPr>
                      <m:sty m:val="p"/>
                    </m:rPr>
                    <m:t>,</m:t>
                  </m:r>
                  <m:r>
                    <m:t>i</m:t>
                  </m:r>
                </m:sub>
              </m:sSub>
              <m:r>
                <m:rPr>
                  <m:sty m:val="p"/>
                </m:rPr>
                <m:t>−</m:t>
              </m:r>
              <m:sSubSup>
                <m:e>
                  <m:r>
                    <m:t>f</m:t>
                  </m:r>
                </m:e>
                <m:sub>
                  <m:r>
                    <m:t>i</m:t>
                  </m:r>
                </m:sub>
                <m:sup>
                  <m:r>
                    <m:rPr>
                      <m:sty m:val="p"/>
                    </m:rPr>
                    <m:t>*</m:t>
                  </m:r>
                </m:sup>
              </m:sSubSup>
            </m:num>
            <m:den>
              <m:sSubSup>
                <m:e>
                  <m:r>
                    <m:t>f</m:t>
                  </m:r>
                </m:e>
                <m:sub>
                  <m:r>
                    <m:t>i</m:t>
                  </m:r>
                </m:sub>
                <m:sup>
                  <m:r>
                    <m:rPr>
                      <m:sty m:val="p"/>
                    </m:rPr>
                    <m:t>*</m:t>
                  </m:r>
                </m:sup>
              </m:sSubSup>
            </m:den>
          </m:f>
        </m:oMath>
      </m:oMathPara>
    </w:p>
    <w:p>
      <w:pPr>
        <w:pStyle w:val="FirstParagraph"/>
      </w:pPr>
      <w:r>
        <w:t xml:space="preserve">En artikkel klassifiseres som FOR_MANGE_ORDRER dersom FREQ_AVVIK</w:t>
      </w:r>
      <w:r>
        <w:t xml:space="preserve"> </w:t>
      </w:r>
      <m:oMath>
        <m:r>
          <m:rPr>
            <m:sty m:val="p"/>
          </m:rPr>
          <m:t>&gt;</m:t>
        </m:r>
        <m:sSub>
          <m:e>
            <m:r>
              <m:t>τ</m:t>
            </m:r>
          </m:e>
          <m:sub>
            <m:r>
              <m:t>f</m:t>
            </m:r>
          </m:sub>
        </m:sSub>
        <m:r>
          <m:rPr>
            <m:sty m:val="p"/>
          </m:rPr>
          <m:t>=</m:t>
        </m:r>
        <m:r>
          <m:t>1</m:t>
        </m:r>
        <m:r>
          <m:rPr>
            <m:sty m:val="p"/>
          </m:rPr>
          <m:t>,</m:t>
        </m:r>
        <m:r>
          <m:t>5</m:t>
        </m:r>
      </m:oMath>
      <w:r>
        <w:t xml:space="preserve">, det vil si at faktisk ordrefrekvens er mer enn 50 % høyere enn EOQ-optimal frekvens. Terskelen</w:t>
      </w:r>
      <w:r>
        <w:t xml:space="preserve"> </w:t>
      </w:r>
      <m:oMath>
        <m:sSub>
          <m:e>
            <m:r>
              <m:t>τ</m:t>
            </m:r>
          </m:e>
          <m:sub>
            <m:r>
              <m:t>f</m:t>
            </m:r>
          </m:sub>
        </m:sSub>
      </m:oMath>
      <w:r>
        <w:t xml:space="preserve"> </w:t>
      </w:r>
      <w:r>
        <w:t xml:space="preserve">er satt for å fokusere analysen på de artiklene der avviket er operasjonelt vesentlig, og ikke bare statistisk merkbart. Differansen i totalkostnad mellom faktisk og optimal drift for en artikkel er:</w:t>
      </w:r>
    </w:p>
    <w:p>
      <w:pPr>
        <w:pStyle w:val="BodyText"/>
      </w:pPr>
      <m:oMathPara>
        <m:oMathParaPr>
          <m:jc m:val="center"/>
        </m:oMathParaPr>
        <m:oMath>
          <m:r>
            <m:rPr>
              <m:sty m:val="p"/>
            </m:rPr>
            <m:t>Δ</m:t>
          </m:r>
          <m:r>
            <m:t>T</m:t>
          </m:r>
          <m:sSub>
            <m:e>
              <m:r>
                <m:t>C</m:t>
              </m:r>
            </m:e>
            <m:sub>
              <m:r>
                <m:t>i</m:t>
              </m:r>
            </m:sub>
          </m:sSub>
          <m:r>
            <m:rPr>
              <m:sty m:val="p"/>
            </m:rPr>
            <m:t>=</m:t>
          </m:r>
          <m:r>
            <m:t>T</m:t>
          </m:r>
          <m:r>
            <m:t>C</m:t>
          </m:r>
          <m:r>
            <m:rPr>
              <m:sty m:val="p"/>
            </m:rPr>
            <m:t>(</m:t>
          </m:r>
          <m:sSub>
            <m:e>
              <m:r>
                <m:t>f</m:t>
              </m:r>
            </m:e>
            <m:sub>
              <m:r>
                <m:rPr>
                  <m:nor/>
                  <m:sty m:val="p"/>
                </m:rPr>
                <m:t>obs</m:t>
              </m:r>
              <m:r>
                <m:rPr>
                  <m:sty m:val="p"/>
                </m:rPr>
                <m:t>,</m:t>
              </m:r>
              <m:r>
                <m:t>i</m:t>
              </m:r>
            </m:sub>
          </m:sSub>
          <m:r>
            <m:rPr>
              <m:sty m:val="p"/>
            </m:rPr>
            <m:t>)</m:t>
          </m:r>
          <m:r>
            <m:rPr>
              <m:sty m:val="p"/>
            </m:rPr>
            <m:t>−</m:t>
          </m:r>
          <m:r>
            <m:t>T</m:t>
          </m:r>
          <m:r>
            <m:t>C</m:t>
          </m:r>
          <m:r>
            <m:rPr>
              <m:sty m:val="p"/>
            </m:rPr>
            <m:t>(</m:t>
          </m:r>
          <m:sSubSup>
            <m:e>
              <m:r>
                <m:t>f</m:t>
              </m:r>
            </m:e>
            <m:sub>
              <m:r>
                <m:t>i</m:t>
              </m:r>
            </m:sub>
            <m:sup>
              <m:r>
                <m:rPr>
                  <m:sty m:val="p"/>
                </m:rPr>
                <m:t>*</m:t>
              </m:r>
            </m:sup>
          </m:sSubSup>
          <m:r>
            <m:rPr>
              <m:sty m:val="p"/>
            </m:rPr>
            <m:t>)</m:t>
          </m:r>
        </m:oMath>
      </m:oMathPara>
    </w:p>
    <w:p>
      <w:pPr>
        <w:pStyle w:val="FirstParagraph"/>
      </w:pPr>
      <w:r>
        <w:t xml:space="preserve">der totalkostnaden ved frekvens</w:t>
      </w:r>
      <w:r>
        <w:t xml:space="preserve"> </w:t>
      </w:r>
      <m:oMath>
        <m:r>
          <m:t>f</m:t>
        </m:r>
      </m:oMath>
      <w:r>
        <w:t xml:space="preserve"> </w:t>
      </w:r>
      <w:r>
        <w:t xml:space="preserve">er:</w:t>
      </w:r>
    </w:p>
    <w:p>
      <w:pPr>
        <w:pStyle w:val="BodyText"/>
      </w:pPr>
      <m:oMathPara>
        <m:oMathParaPr>
          <m:jc m:val="center"/>
        </m:oMathParaPr>
        <m:oMath>
          <m:r>
            <m:t>T</m:t>
          </m:r>
          <m:r>
            <m:t>C</m:t>
          </m:r>
          <m:r>
            <m:rPr>
              <m:sty m:val="p"/>
            </m:rPr>
            <m:t>(</m:t>
          </m:r>
          <m:r>
            <m:t>f</m:t>
          </m:r>
          <m:r>
            <m:rPr>
              <m:sty m:val="p"/>
            </m:rPr>
            <m:t>)</m:t>
          </m:r>
          <m:r>
            <m:rPr>
              <m:sty m:val="p"/>
            </m:rPr>
            <m:t>=</m:t>
          </m:r>
          <m:r>
            <m:t>f</m:t>
          </m:r>
          <m:r>
            <m:rPr>
              <m:sty m:val="p"/>
            </m:rPr>
            <m:t>⋅</m:t>
          </m:r>
          <m:r>
            <m:t>S</m:t>
          </m:r>
          <m:r>
            <m:rPr>
              <m:sty m:val="p"/>
            </m:rPr>
            <m:t>+</m:t>
          </m:r>
          <m:f>
            <m:fPr>
              <m:type m:val="bar"/>
            </m:fPr>
            <m:num>
              <m:r>
                <m:t>D</m:t>
              </m:r>
            </m:num>
            <m:den>
              <m:r>
                <m:t>2</m:t>
              </m:r>
              <m:r>
                <m:t>f</m:t>
              </m:r>
            </m:den>
          </m:f>
          <m:r>
            <m:rPr>
              <m:sty m:val="p"/>
            </m:rPr>
            <m:t>⋅</m:t>
          </m:r>
          <m:r>
            <m:t>H</m:t>
          </m:r>
        </m:oMath>
      </m:oMathPara>
    </w:p>
    <w:p>
      <w:pPr>
        <w:pStyle w:val="FirstParagraph"/>
      </w:pPr>
      <w:r>
        <w:rPr>
          <w:b/>
          <w:bCs/>
        </w:rPr>
        <w:t xml:space="preserve">Parametervurdering.</w:t>
      </w:r>
      <w:r>
        <w:t xml:space="preserve"> </w:t>
      </w:r>
      <w:r>
        <w:t xml:space="preserve">Parametervalgene S = 750 kr og h = 20 % er ikke kalibrert mot observerte virksomhetsdata ved Helse Bergen, men er i tråd med verdier benyttet i tilsvarende sykehuslagerstudier (Kelle et al., 2012; Hautaniemi &amp; Pirttilä, 1999). Det er viktig å merke seg at parametervalg primært påvirker størrelsen på ΔTC, ikke</w:t>
      </w:r>
      <w:r>
        <w:t xml:space="preserve"> </w:t>
      </w:r>
      <w:r>
        <w:rPr>
          <w:i/>
          <w:iCs/>
        </w:rPr>
        <w:t xml:space="preserve">hvem</w:t>
      </w:r>
      <w:r>
        <w:t xml:space="preserve"> </w:t>
      </w:r>
      <w:r>
        <w:t xml:space="preserve">som klassifiseres som FOR_MANGE_ORDRER: klassifiseringen er frekvensbasert (faktisk frekvens vs. EOQ-optimal frekvens) og robust overfor moderate endringer i S og h. En dobling av S til 1 500 kr øker EOQ-optimal batchstørrelse med faktor √2 ≈ 1,41 og reduserer optimal ordrefrekvens tilsvarende, men endrer ikke rangeringen av artikler med stor avviksgrad. Sensitivitetsanalysen i kapittel 7 håndterer parametervariasjon eksplisitt gjennom scenariomodellen.</w:t>
      </w:r>
    </w:p>
    <w:p>
      <w:pPr>
        <w:pStyle w:val="BodyText"/>
      </w:pPr>
      <w:r>
        <w:rPr>
          <w:b/>
          <w:bCs/>
        </w:rPr>
        <w:t xml:space="preserve">Besparelsesformel.</w:t>
      </w:r>
      <w:r>
        <w:t xml:space="preserve"> </w:t>
      </w:r>
      <w:r>
        <w:t xml:space="preserve">Besparelsesformelen estimerer den reduksjonen i totalkostnad som kan realiseres ved overføring til HVFS og konsolidering av ordrefrekvens mot EOQ-optimalt nivå. Formelen bygger direkte på</w:t>
      </w:r>
      <w:r>
        <w:t xml:space="preserve"> </w:t>
      </w:r>
      <m:oMath>
        <m:r>
          <m:rPr>
            <m:sty m:val="p"/>
          </m:rPr>
          <m:t>Δ</m:t>
        </m:r>
        <m:r>
          <m:t>T</m:t>
        </m:r>
        <m:sSub>
          <m:e>
            <m:r>
              <m:t>C</m:t>
            </m:r>
          </m:e>
          <m:sub>
            <m:r>
              <m:t>i</m:t>
            </m:r>
          </m:sub>
        </m:sSub>
      </m:oMath>
      <w:r>
        <w:t xml:space="preserve">:</w:t>
      </w:r>
    </w:p>
    <w:p>
      <w:pPr>
        <w:pStyle w:val="BodyText"/>
      </w:pPr>
      <m:oMathPara>
        <m:oMathParaPr>
          <m:jc m:val="center"/>
        </m:oMathParaPr>
        <m:oMath>
          <m:sSub>
            <m:e>
              <m:r>
                <m:t>B</m:t>
              </m:r>
            </m:e>
            <m:sub>
              <m:r>
                <m:rPr>
                  <m:nor/>
                  <m:sty m:val="p"/>
                </m:rPr>
                <m:t>HVFS</m:t>
              </m:r>
            </m:sub>
          </m:sSub>
          <m:r>
            <m:rPr>
              <m:sty m:val="p"/>
            </m:rPr>
            <m:t>=</m:t>
          </m:r>
          <m:nary>
            <m:naryPr>
              <m:chr m:val="∑"/>
              <m:limLoc m:val="undOvr"/>
              <m:subHide m:val="off"/>
              <m:supHide m:val="on"/>
            </m:naryPr>
            <m:sub>
              <m:r>
                <m:t>i</m:t>
              </m:r>
              <m:r>
                <m:rPr>
                  <m:sty m:val="p"/>
                </m:rPr>
                <m:t>∈</m:t>
              </m:r>
              <m:r>
                <m:rPr>
                  <m:nor/>
                  <m:sty m:val="p"/>
                </m:rPr>
                <m:t>OVERFØR</m:t>
              </m:r>
            </m:sub>
            <m:sup>
              <m:r>
                <m:t>​</m:t>
              </m:r>
            </m:sup>
            <m:e>
              <m:r>
                <m:rPr>
                  <m:sty m:val="p"/>
                </m:rPr>
                <m:t>Δ</m:t>
              </m:r>
            </m:e>
          </m:nary>
          <m:r>
            <m:t>T</m:t>
          </m:r>
          <m:sSub>
            <m:e>
              <m:r>
                <m:t>C</m:t>
              </m:r>
            </m:e>
            <m:sub>
              <m:r>
                <m:t>i</m:t>
              </m:r>
            </m:sub>
          </m:sSub>
          <m:r>
            <m:rPr>
              <m:sty m:val="p"/>
            </m:rPr>
            <m:t>⋅</m:t>
          </m:r>
          <m:r>
            <m:t>g</m:t>
          </m:r>
        </m:oMath>
      </m:oMathPara>
    </w:p>
    <w:p>
      <w:pPr>
        <w:pStyle w:val="FirstParagraph"/>
      </w:pPr>
      <w:r>
        <w:t xml:space="preserve">der</w:t>
      </w:r>
      <w:r>
        <w:t xml:space="preserve"> </w:t>
      </w:r>
      <m:oMath>
        <m:r>
          <m:t>g</m:t>
        </m:r>
      </m:oMath>
      <w:r>
        <w:t xml:space="preserve"> </w:t>
      </w:r>
      <w:r>
        <w:t xml:space="preserve">er en gevinstrealiseringsgrad som reflekterer at ikke alle teoretiske besparelser lar seg realisere fullt ut i praksis — blant annet som følge av implementeringsfriksjon, endrede leverandøravtaler og SAP-parameterjusteringer. Tre scenarier er definert: worst case (</w:t>
      </w:r>
      <m:oMath>
        <m:r>
          <m:t>g</m:t>
        </m:r>
        <m:r>
          <m:rPr>
            <m:sty m:val="p"/>
          </m:rPr>
          <m:t>=</m:t>
        </m:r>
        <m:r>
          <m:t>50</m:t>
        </m:r>
        <m:r>
          <m:t> </m:t>
        </m:r>
        <m:r>
          <m:rPr>
            <m:sty m:val="p"/>
          </m:rPr>
          <m:t>%</m:t>
        </m:r>
      </m:oMath>
      <w:r>
        <w:t xml:space="preserve">), base case (</w:t>
      </w:r>
      <m:oMath>
        <m:r>
          <m:t>g</m:t>
        </m:r>
        <m:r>
          <m:rPr>
            <m:sty m:val="p"/>
          </m:rPr>
          <m:t>=</m:t>
        </m:r>
        <m:r>
          <m:t>75</m:t>
        </m:r>
        <m:r>
          <m:t> </m:t>
        </m:r>
        <m:r>
          <m:rPr>
            <m:sty m:val="p"/>
          </m:rPr>
          <m:t>%</m:t>
        </m:r>
      </m:oMath>
      <w:r>
        <w:t xml:space="preserve">) og best case (</w:t>
      </w:r>
      <m:oMath>
        <m:r>
          <m:t>g</m:t>
        </m:r>
        <m:r>
          <m:rPr>
            <m:sty m:val="p"/>
          </m:rPr>
          <m:t>=</m:t>
        </m:r>
        <m:r>
          <m:t>100</m:t>
        </m:r>
        <m:r>
          <m:t> </m:t>
        </m:r>
        <m:r>
          <m:rPr>
            <m:sty m:val="p"/>
          </m:rPr>
          <m:t>%</m:t>
        </m:r>
      </m:oMath>
      <w:r>
        <w:t xml:space="preserve">). Kun artikler som både er i OVERFØR_HVFS-kategorien</w:t>
      </w:r>
      <w:r>
        <w:t xml:space="preserve"> </w:t>
      </w:r>
      <w:r>
        <w:rPr>
          <w:i/>
          <w:iCs/>
        </w:rPr>
        <w:t xml:space="preserve">og</w:t>
      </w:r>
      <w:r>
        <w:t xml:space="preserve"> </w:t>
      </w:r>
      <w:r>
        <w:t xml:space="preserve">har status FOR_MANGE_ORDRER inngår i besparelsesgrunnlaget, da</w:t>
      </w:r>
      <w:r>
        <w:t xml:space="preserve"> </w:t>
      </w:r>
      <m:oMath>
        <m:r>
          <m:rPr>
            <m:sty m:val="p"/>
          </m:rPr>
          <m:t>Δ</m:t>
        </m:r>
        <m:r>
          <m:t>T</m:t>
        </m:r>
        <m:sSub>
          <m:e>
            <m:r>
              <m:t>C</m:t>
            </m:r>
          </m:e>
          <m:sub>
            <m:r>
              <m:t>i</m:t>
            </m:r>
          </m:sub>
        </m:sSub>
      </m:oMath>
      <w:r>
        <w:t xml:space="preserve"> </w:t>
      </w:r>
      <w:r>
        <w:t xml:space="preserve">modellerer kostnadsavviket fra suboptimal ordrefrekvens — en avvik som nettopp adresseres ved sentralisering til HVFS. Sensitivitetsanalysen i kapittel 7 undersøker robustheten av dette estimatet ved systematisk variasjon i</w:t>
      </w:r>
      <w:r>
        <w:t xml:space="preserve"> </w:t>
      </w:r>
      <m:oMath>
        <m:r>
          <m:t>S</m:t>
        </m:r>
      </m:oMath>
      <w:r>
        <w:t xml:space="preserve">,</w:t>
      </w:r>
      <w:r>
        <w:t xml:space="preserve"> </w:t>
      </w:r>
      <m:oMath>
        <m:r>
          <m:t>h</m:t>
        </m:r>
      </m:oMath>
      <w:r>
        <w:t xml:space="preserve"> </w:t>
      </w:r>
      <w:r>
        <w:t xml:space="preserve">og</w:t>
      </w:r>
      <w:r>
        <w:t xml:space="preserve"> </w:t>
      </w:r>
      <m:oMath>
        <m:r>
          <m:t>g</m:t>
        </m:r>
      </m:oMath>
      <w:r>
        <w:t xml:space="preserve">.</w:t>
      </w:r>
    </w:p>
    <w:bookmarkEnd w:id="65"/>
    <w:bookmarkStart w:id="66" w:name="k-means-klyngemodellen"/>
    <w:p>
      <w:pPr>
        <w:pStyle w:val="Overskrift2"/>
      </w:pPr>
      <w:r>
        <w:t xml:space="preserve">5.4 K-means klyngemodellen</w:t>
      </w:r>
    </w:p>
    <w:p>
      <w:pPr>
        <w:pStyle w:val="FirstParagraph"/>
      </w:pPr>
      <w:r>
        <w:t xml:space="preserve">K-means er en partisjonerende klyngealgoritme som deler et datasett med</w:t>
      </w:r>
      <w:r>
        <w:t xml:space="preserve"> </w:t>
      </w:r>
      <m:oMath>
        <m:r>
          <m:t>N</m:t>
        </m:r>
      </m:oMath>
      <w:r>
        <w:t xml:space="preserve"> </w:t>
      </w:r>
      <w:r>
        <w:t xml:space="preserve">observasjoner inn i</w:t>
      </w:r>
      <w:r>
        <w:t xml:space="preserve"> </w:t>
      </w:r>
      <m:oMath>
        <m:r>
          <m:t>K</m:t>
        </m:r>
      </m:oMath>
      <w:r>
        <w:t xml:space="preserve"> </w:t>
      </w:r>
      <w:r>
        <w:t xml:space="preserve">klynger ved å minimere intra-klynge varians (Srinivasan &amp; Moon, 1999). Algoritmen er iterativ: den initialiserer</w:t>
      </w:r>
      <w:r>
        <w:t xml:space="preserve"> </w:t>
      </w:r>
      <m:oMath>
        <m:r>
          <m:t>K</m:t>
        </m:r>
      </m:oMath>
      <w:r>
        <w:t xml:space="preserve"> </w:t>
      </w:r>
      <w:r>
        <w:t xml:space="preserve">sentroider, tildeler hvert datapunkt til nærmeste sentroid, oppdaterer sentroider som klyngenes tyngdepunkter og gjentar til konvergens. Implementasjonen benytter scikit-learn (Pedregosa et al., 2011) med</w:t>
      </w:r>
      <w:r>
        <w:t xml:space="preserve"> </w:t>
      </w:r>
      <w:r>
        <w:rPr>
          <w:rStyle w:val="VerbatimChar"/>
        </w:rPr>
        <w:t xml:space="preserve">n_init=50</w:t>
      </w:r>
      <w:r>
        <w:t xml:space="preserve"> </w:t>
      </w:r>
      <w:r>
        <w:t xml:space="preserve">og</w:t>
      </w:r>
      <w:r>
        <w:t xml:space="preserve"> </w:t>
      </w:r>
      <w:r>
        <w:rPr>
          <w:rStyle w:val="VerbatimChar"/>
        </w:rPr>
        <w:t xml:space="preserve">max_iter=300</w:t>
      </w:r>
      <w:r>
        <w:t xml:space="preserve"> </w:t>
      </w:r>
      <w:r>
        <w:t xml:space="preserve">for robust initialisering.</w:t>
      </w:r>
    </w:p>
    <w:p>
      <w:pPr>
        <w:pStyle w:val="BodyText"/>
      </w:pPr>
      <w:r>
        <w:rPr>
          <w:b/>
          <w:bCs/>
        </w:rPr>
        <w:t xml:space="preserve">Featurevektor.</w:t>
      </w:r>
      <w:r>
        <w:t xml:space="preserve"> </w:t>
      </w:r>
      <w:r>
        <w:t xml:space="preserve">Hver artikkel representeres av en tredimensjonal featurevektor:</w:t>
      </w:r>
    </w:p>
    <w:p>
      <w:pPr>
        <w:pStyle w:val="BodyText"/>
      </w:pPr>
      <m:oMathPara>
        <m:oMathParaPr>
          <m:jc m:val="center"/>
        </m:oMathParaPr>
        <m:oMath>
          <m:sSub>
            <m:e>
              <m:r>
                <m:rPr>
                  <m:sty m:val="bi"/>
                </m:rPr>
                <m:t>x</m:t>
              </m:r>
            </m:e>
            <m:sub>
              <m:r>
                <m:t>i</m:t>
              </m:r>
            </m:sub>
          </m:sSub>
          <m:r>
            <m:rPr>
              <m:sty m:val="p"/>
            </m:rPr>
            <m:t>=</m:t>
          </m:r>
          <m:d>
            <m:dPr>
              <m:begChr m:val="["/>
              <m:sepChr m:val=""/>
              <m:endChr m:val="]"/>
              <m:grow/>
            </m:dPr>
            <m:e>
              <m:r>
                <m:t> </m:t>
              </m:r>
              <m:r>
                <m:t>z</m:t>
              </m:r>
              <m:r>
                <m:rPr>
                  <m:sty m:val="p"/>
                </m:rPr>
                <m:t>(</m:t>
              </m:r>
              <m:r>
                <m:rPr>
                  <m:sty m:val="p"/>
                </m:rPr>
                <m:t>ln</m:t>
              </m:r>
              <m:sSub>
                <m:e>
                  <m:r>
                    <m:rPr>
                      <m:nor/>
                      <m:sty m:val="p"/>
                    </m:rPr>
                    <m:t>CV</m:t>
                  </m:r>
                </m:e>
                <m:sub>
                  <m:r>
                    <m:t>i</m:t>
                  </m:r>
                </m:sub>
              </m:sSub>
              <m:r>
                <m:rPr>
                  <m:sty m:val="p"/>
                </m:rPr>
                <m:t>)</m:t>
              </m:r>
              <m:r>
                <m:rPr>
                  <m:sty m:val="p"/>
                </m:rPr>
                <m:t>,</m:t>
              </m:r>
              <m:r>
                <m:t> </m:t>
              </m:r>
              <m:r>
                <m:t>z</m:t>
              </m:r>
              <m:r>
                <m:rPr>
                  <m:sty m:val="p"/>
                </m:rPr>
                <m:t>(</m:t>
              </m:r>
              <m:r>
                <m:rPr>
                  <m:sty m:val="p"/>
                </m:rPr>
                <m:t>ln</m:t>
              </m:r>
              <m:r>
                <m:rPr>
                  <m:sty m:val="p"/>
                </m:rPr>
                <m:t>(</m:t>
              </m:r>
              <m:sSub>
                <m:e>
                  <m:r>
                    <m:t>v</m:t>
                  </m:r>
                </m:e>
                <m:sub>
                  <m:r>
                    <m:t>i</m:t>
                  </m:r>
                </m:sub>
              </m:sSub>
              <m:r>
                <m:rPr>
                  <m:sty m:val="p"/>
                </m:rPr>
                <m:t>+</m:t>
              </m:r>
              <m:r>
                <m:t>1</m:t>
              </m:r>
              <m:r>
                <m:rPr>
                  <m:sty m:val="p"/>
                </m:rPr>
                <m:t>)</m:t>
              </m:r>
              <m:r>
                <m:rPr>
                  <m:sty m:val="p"/>
                </m:rPr>
                <m:t>)</m:t>
              </m:r>
              <m:r>
                <m:rPr>
                  <m:sty m:val="p"/>
                </m:rPr>
                <m:t>,</m:t>
              </m:r>
              <m:r>
                <m:t> </m:t>
              </m:r>
              <m:r>
                <m:t>z</m:t>
              </m:r>
              <m:r>
                <m:rPr>
                  <m:sty m:val="p"/>
                </m:rPr>
                <m:t>(</m:t>
              </m:r>
              <m:r>
                <m:rPr>
                  <m:sty m:val="p"/>
                </m:rPr>
                <m:t>ln</m:t>
              </m:r>
              <m:r>
                <m:rPr>
                  <m:sty m:val="p"/>
                </m:rPr>
                <m:t>(</m:t>
              </m:r>
              <m:r>
                <m:rPr>
                  <m:sty m:val="p"/>
                </m:rPr>
                <m:t>|</m:t>
              </m:r>
              <m:r>
                <m:rPr>
                  <m:sty m:val="p"/>
                </m:rPr>
                <m:t>Δ</m:t>
              </m:r>
              <m:r>
                <m:t>T</m:t>
              </m:r>
              <m:sSub>
                <m:e>
                  <m:r>
                    <m:t>C</m:t>
                  </m:r>
                </m:e>
                <m:sub>
                  <m:r>
                    <m:t>i</m:t>
                  </m:r>
                </m:sub>
              </m:sSub>
              <m:r>
                <m:rPr>
                  <m:sty m:val="p"/>
                </m:rPr>
                <m:t>|</m:t>
              </m:r>
              <m:r>
                <m:rPr>
                  <m:sty m:val="p"/>
                </m:rPr>
                <m:t>+</m:t>
              </m:r>
              <m:r>
                <m:t>1</m:t>
              </m:r>
              <m:r>
                <m:rPr>
                  <m:sty m:val="p"/>
                </m:rPr>
                <m:t>)</m:t>
              </m:r>
              <m:r>
                <m:rPr>
                  <m:sty m:val="p"/>
                </m:rPr>
                <m:t>)</m:t>
              </m:r>
              <m:r>
                <m:t> </m:t>
              </m:r>
            </m:e>
          </m:d>
        </m:oMath>
      </m:oMathPara>
    </w:p>
    <w:p>
      <w:pPr>
        <w:pStyle w:val="FirstParagraph"/>
      </w:pPr>
      <w:r>
        <w:t xml:space="preserve">der</w:t>
      </w:r>
      <w:r>
        <w:t xml:space="preserve"> </w:t>
      </w:r>
      <m:oMath>
        <m:r>
          <m:t>z</m:t>
        </m:r>
        <m:r>
          <m:rPr>
            <m:sty m:val="p"/>
          </m:rPr>
          <m:t>(</m:t>
        </m:r>
        <m:r>
          <m:rPr>
            <m:sty m:val="p"/>
          </m:rPr>
          <m:t>⋅</m:t>
        </m:r>
        <m:r>
          <m:rPr>
            <m:sty m:val="p"/>
          </m:rPr>
          <m:t>)</m:t>
        </m:r>
      </m:oMath>
      <w:r>
        <w:t xml:space="preserve"> </w:t>
      </w:r>
      <w:r>
        <w:t xml:space="preserve">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w:t>
      </w:r>
      <w:r>
        <w:t xml:space="preserve"> </w:t>
      </w:r>
      <m:oMath>
        <m:r>
          <m:rPr>
            <m:sty m:val="p"/>
          </m:rPr>
          <m:t>|</m:t>
        </m:r>
        <m:r>
          <m:rPr>
            <m:sty m:val="p"/>
          </m:rPr>
          <m:t>Δ</m:t>
        </m:r>
        <m:r>
          <m:t>T</m:t>
        </m:r>
        <m:sSub>
          <m:e>
            <m:r>
              <m:t>C</m:t>
            </m:r>
          </m:e>
          <m:sub>
            <m:r>
              <m:t>i</m:t>
            </m:r>
          </m:sub>
        </m:sSub>
        <m:r>
          <m:rPr>
            <m:sty m:val="p"/>
          </m:rPr>
          <m:t>|</m:t>
        </m:r>
      </m:oMath>
      <w:r>
        <w:t xml:space="preserve"> </w:t>
      </w:r>
      <w:r>
        <w:t xml:space="preserve">benyttes fordi det er størrelsen på EOQ-avviket som er relevant for klyngingen – ikke retningen. Konstantleddet</w:t>
      </w:r>
      <w:r>
        <w:t xml:space="preserve"> </w:t>
      </w:r>
      <m:oMath>
        <m:r>
          <m:rPr>
            <m:sty m:val="p"/>
          </m:rPr>
          <m:t>+</m:t>
        </m:r>
        <m:r>
          <m:t>1</m:t>
        </m:r>
      </m:oMath>
      <w:r>
        <w:t xml:space="preserve"> </w:t>
      </w:r>
      <w:r>
        <w:t xml:space="preserve">i logaritmen hindrer</w:t>
      </w:r>
      <w:r>
        <w:t xml:space="preserve"> </w:t>
      </w:r>
      <m:oMath>
        <m:r>
          <m:rPr>
            <m:sty m:val="p"/>
          </m:rPr>
          <m:t>ln</m:t>
        </m:r>
        <m:r>
          <m:rPr>
            <m:sty m:val="p"/>
          </m:rPr>
          <m:t>(</m:t>
        </m:r>
        <m:r>
          <m:t>0</m:t>
        </m:r>
        <m:r>
          <m:rPr>
            <m:sty m:val="p"/>
          </m:rPr>
          <m:t>)</m:t>
        </m:r>
      </m:oMath>
      <w:r>
        <w:t xml:space="preserve"> </w:t>
      </w:r>
      <w:r>
        <w:t xml:space="preserve">for artikler med</w:t>
      </w:r>
      <w:r>
        <w:t xml:space="preserve"> </w:t>
      </w:r>
      <m:oMath>
        <m:r>
          <m:rPr>
            <m:sty m:val="p"/>
          </m:rPr>
          <m:t>Δ</m:t>
        </m:r>
        <m:r>
          <m:t>T</m:t>
        </m:r>
        <m:r>
          <m:t>C</m:t>
        </m:r>
        <m:r>
          <m:rPr>
            <m:sty m:val="p"/>
          </m:rPr>
          <m:t>=</m:t>
        </m:r>
        <m:r>
          <m:t>0</m:t>
        </m:r>
      </m:oMath>
      <w:r>
        <w:t xml:space="preserve">.</w:t>
      </w:r>
    </w:p>
    <w:p>
      <w:pPr>
        <w:pStyle w:val="BodyText"/>
      </w:pPr>
      <w:r>
        <w:rPr>
          <w:b/>
          <w:bCs/>
        </w:rPr>
        <w:t xml:space="preserve">Trenings- og testprosedyre.</w:t>
      </w:r>
      <w:r>
        <w:t xml:space="preserve"> </w:t>
      </w:r>
      <w:r>
        <w:t xml:space="preserve">Datasettet deles i et treningssett (80 %, random_state = 42) og et testsett (20 %). StandardScaler fittes utelukkende på treningsdataene og transformerer deretter begge sett; dette forhindrer datalekkasje fra testsettet til skaleringen. KMeans-modellen fittes likeledes kun på treningsdataene. Testsettet benyttes til å evaluere om klyngestrukturen er generaliserbar, det vil si at testpunktenes tildeling til treningsklynger gir en silhouette-score sammenlignbar med treningssettets.</w:t>
      </w:r>
    </w:p>
    <w:p>
      <w:pPr>
        <w:pStyle w:val="BodyText"/>
      </w:pPr>
      <w:r>
        <w:rPr>
          <w:b/>
          <w:bCs/>
        </w:rPr>
        <w:t xml:space="preserve">K-valg.</w:t>
      </w:r>
      <w:r>
        <w:t xml:space="preserve"> </w:t>
      </w:r>
      <w:r>
        <w:t xml:space="preserve">Antall klynger</w:t>
      </w:r>
      <w:r>
        <w:t xml:space="preserve"> </w:t>
      </w:r>
      <m:oMath>
        <m:r>
          <m:t>K</m:t>
        </m:r>
      </m:oMath>
      <w:r>
        <w:t xml:space="preserve"> </w:t>
      </w:r>
      <w:r>
        <w:t xml:space="preserve">velges automatisk som den</w:t>
      </w:r>
      <w:r>
        <w:t xml:space="preserve"> </w:t>
      </w:r>
      <m:oMath>
        <m:r>
          <m:t>K</m:t>
        </m:r>
      </m:oMath>
      <w:r>
        <w:t xml:space="preserve">-verdien i intervallet</w:t>
      </w:r>
      <w:r>
        <w:t xml:space="preserve"> </w:t>
      </w:r>
      <m:oMath>
        <m:r>
          <m:rPr>
            <m:sty m:val="p"/>
          </m:rPr>
          <m:t>[</m:t>
        </m:r>
        <m:r>
          <m:t>2</m:t>
        </m:r>
        <m:r>
          <m:rPr>
            <m:sty m:val="p"/>
          </m:rPr>
          <m:t>,</m:t>
        </m:r>
        <m:r>
          <m:t>7</m:t>
        </m:r>
        <m:r>
          <m:rPr>
            <m:sty m:val="p"/>
          </m:rPr>
          <m:t>]</m:t>
        </m:r>
      </m:oMath>
      <w:r>
        <w:t xml:space="preserve"> </w:t>
      </w:r>
      <w:r>
        <w:t xml:space="preserve">som gir høyest gjennomsnittlig silhouette-score på treningsdataene. Silhouette-score</w:t>
      </w:r>
      <w:r>
        <w:t xml:space="preserve"> </w:t>
      </w:r>
      <m:oMath>
        <m:sSub>
          <m:e>
            <m:r>
              <m:t>s</m:t>
            </m:r>
          </m:e>
          <m:sub>
            <m:r>
              <m:t>i</m:t>
            </m:r>
          </m:sub>
        </m:sSub>
      </m:oMath>
      <w:r>
        <w:t xml:space="preserve"> </w:t>
      </w:r>
      <w:r>
        <w:t xml:space="preserve">for punkt</w:t>
      </w:r>
      <w:r>
        <w:t xml:space="preserve"> </w:t>
      </w:r>
      <m:oMath>
        <m:r>
          <m:t>i</m:t>
        </m:r>
      </m:oMath>
      <w:r>
        <w:t xml:space="preserve"> </w:t>
      </w:r>
      <w:r>
        <w:t xml:space="preserve">er definert som:</w:t>
      </w:r>
    </w:p>
    <w:p>
      <w:pPr>
        <w:pStyle w:val="BodyText"/>
      </w:pPr>
      <m:oMathPara>
        <m:oMathParaPr>
          <m:jc m:val="center"/>
        </m:oMathParaPr>
        <m:oMath>
          <m:sSub>
            <m:e>
              <m:r>
                <m:t>s</m:t>
              </m:r>
            </m:e>
            <m:sub>
              <m:r>
                <m:t>i</m:t>
              </m:r>
            </m:sub>
          </m:sSub>
          <m:r>
            <m:rPr>
              <m:sty m:val="p"/>
            </m:rPr>
            <m:t>=</m:t>
          </m:r>
          <m:f>
            <m:fPr>
              <m:type m:val="bar"/>
            </m:fPr>
            <m:num>
              <m:sSub>
                <m:e>
                  <m:r>
                    <m:t>b</m:t>
                  </m:r>
                </m:e>
                <m:sub>
                  <m:r>
                    <m:t>i</m:t>
                  </m:r>
                </m:sub>
              </m:sSub>
              <m:r>
                <m:rPr>
                  <m:sty m:val="p"/>
                </m:rPr>
                <m:t>−</m:t>
              </m:r>
              <m:sSub>
                <m:e>
                  <m:r>
                    <m:t>a</m:t>
                  </m:r>
                </m:e>
                <m:sub>
                  <m:r>
                    <m:t>i</m:t>
                  </m:r>
                </m:sub>
              </m:sSub>
            </m:num>
            <m:den>
              <m:r>
                <m:rPr>
                  <m:sty m:val="p"/>
                </m:rPr>
                <m:t>max</m:t>
              </m:r>
              <m:r>
                <m:rPr>
                  <m:sty m:val="p"/>
                </m:rPr>
                <m:t>(</m:t>
              </m:r>
              <m:sSub>
                <m:e>
                  <m:r>
                    <m:t>a</m:t>
                  </m:r>
                </m:e>
                <m:sub>
                  <m:r>
                    <m:t>i</m:t>
                  </m:r>
                </m:sub>
              </m:sSub>
              <m:r>
                <m:rPr>
                  <m:sty m:val="p"/>
                </m:rPr>
                <m:t>,</m:t>
              </m:r>
              <m:r>
                <m:t> </m:t>
              </m:r>
              <m:sSub>
                <m:e>
                  <m:r>
                    <m:t>b</m:t>
                  </m:r>
                </m:e>
                <m:sub>
                  <m:r>
                    <m:t>i</m:t>
                  </m:r>
                </m:sub>
              </m:sSub>
              <m:r>
                <m:rPr>
                  <m:sty m:val="p"/>
                </m:rPr>
                <m:t>)</m:t>
              </m:r>
            </m:den>
          </m:f>
        </m:oMath>
      </m:oMathPara>
    </w:p>
    <w:p>
      <w:pPr>
        <w:pStyle w:val="FirstParagraph"/>
      </w:pPr>
      <w:r>
        <w:t xml:space="preserve">der</w:t>
      </w:r>
      <w:r>
        <w:t xml:space="preserve"> </w:t>
      </w:r>
      <m:oMath>
        <m:sSub>
          <m:e>
            <m:r>
              <m:t>a</m:t>
            </m:r>
          </m:e>
          <m:sub>
            <m:r>
              <m:t>i</m:t>
            </m:r>
          </m:sub>
        </m:sSub>
      </m:oMath>
      <w:r>
        <w:t xml:space="preserve"> </w:t>
      </w:r>
      <w:r>
        <w:t xml:space="preserve">er gjennomsnittlig intra-klyngeavstand og</w:t>
      </w:r>
      <w:r>
        <w:t xml:space="preserve"> </w:t>
      </w:r>
      <m:oMath>
        <m:sSub>
          <m:e>
            <m:r>
              <m:t>b</m:t>
            </m:r>
          </m:e>
          <m:sub>
            <m:r>
              <m:t>i</m:t>
            </m:r>
          </m:sub>
        </m:sSub>
      </m:oMath>
      <w:r>
        <w:t xml:space="preserve"> </w:t>
      </w:r>
      <w:r>
        <w:t xml:space="preserve">er gjennomsnittlig avstand til nærmeste naboklynge. Score nær 1 indikerer tydelig klyngetilhørighet; score nær 0 indikerer overlapp; negativ score indikerer feil klynge. Scores over 0,3 regnes som akseptable for eksplorativ analyse (Ketkar &amp; Vaidya, 2014). Silhouette beregnes separat for trenings- og testdata; et lavere testresultat enn treningsresultat er normalt, men et vesentlig fall vil indikere overfit.</w:t>
      </w:r>
    </w:p>
    <w:p>
      <w:pPr>
        <w:pStyle w:val="BodyText"/>
      </w:pPr>
      <w:r>
        <w:rPr>
          <w:b/>
          <w:bCs/>
        </w:rPr>
        <w:t xml:space="preserve">K_OVERFØR-klyngen.</w:t>
      </w:r>
      <w:r>
        <w:t xml:space="preserve"> </w:t>
      </w:r>
      <w:r>
        <w:t xml:space="preserve">Etter kjøring identifiseres én klynge som HVFS-overføringsklynge basert på en kombinasjon av lav CV (stabilt forbruk), høy artikkelverdi og høyt positivt</w:t>
      </w:r>
      <w:r>
        <w:t xml:space="preserve"> </w:t>
      </w:r>
      <m:oMath>
        <m:r>
          <m:rPr>
            <m:sty m:val="p"/>
          </m:rPr>
          <m:t>Δ</m:t>
        </m:r>
        <m:r>
          <m:t>T</m:t>
        </m:r>
        <m:r>
          <m:t>C</m:t>
        </m:r>
      </m:oMath>
      <w:r>
        <w:t xml:space="preserve"> </w:t>
      </w:r>
      <w:r>
        <w:t xml:space="preserve">(mange unødvendige ordrer). Denne klyngen inngår som ett av inngangssignalene i regelmotoren beskrevet nedenfor.</w:t>
      </w:r>
    </w:p>
    <w:bookmarkEnd w:id="66"/>
    <w:bookmarkStart w:id="70" w:name="regelmotor"/>
    <w:p>
      <w:pPr>
        <w:pStyle w:val="Overskrift2"/>
      </w:pPr>
      <w:r>
        <w:t xml:space="preserve">5.5 Regelmotor</w:t>
      </w:r>
    </w:p>
    <w:p>
      <w:pPr>
        <w:pStyle w:val="FirstParagraph"/>
      </w:pPr>
      <w:r>
        <w:t xml:space="preserve">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pPr>
        <w:pStyle w:val="BodyText"/>
      </w:pPr>
      <w:r>
        <w:rPr>
          <w:i/>
          <w:iCs/>
        </w:rPr>
        <w:t xml:space="preserve">Tabell 7. Regelmotor: 8 beslutningsregler i prioritert rekkefølge.</w:t>
      </w:r>
    </w:p>
    <w:tbl>
      <w:tblPr>
        <w:tblStyle w:val="Table"/>
        <w:tblW w:type="pct" w:w="5000"/>
        <w:tblLayout w:type="fixed"/>
        <w:tblLook w:firstRow="1" w:lastRow="0" w:firstColumn="0" w:lastColumn="0" w:noHBand="0" w:noVBand="0" w:val="0020"/>
      </w:tblPr>
      <w:tblGrid>
        <w:gridCol w:w="1458"/>
        <w:gridCol w:w="2292"/>
        <w:gridCol w:w="2501"/>
        <w:gridCol w:w="1667"/>
      </w:tblGrid>
      <w:tr>
        <w:trPr>
          <w:tblHeader w:val="on"/>
        </w:trPr>
        <w:tc>
          <w:tcPr/>
          <w:p>
            <w:pPr>
              <w:pStyle w:val="Compact"/>
            </w:pPr>
            <w:r>
              <w:t xml:space="preserve">Regel</w:t>
            </w:r>
          </w:p>
        </w:tc>
        <w:tc>
          <w:tcPr/>
          <w:p>
            <w:pPr>
              <w:pStyle w:val="Compact"/>
            </w:pPr>
            <w:r>
              <w:t xml:space="preserve">Betingelse</w:t>
            </w:r>
          </w:p>
        </w:tc>
        <w:tc>
          <w:tcPr/>
          <w:p>
            <w:pPr>
              <w:pStyle w:val="Compact"/>
            </w:pPr>
            <w:r>
              <w:t xml:space="preserve">Anbefaling</w:t>
            </w:r>
          </w:p>
        </w:tc>
        <w:tc>
          <w:tcPr/>
          <w:p>
            <w:pPr>
              <w:pStyle w:val="Compact"/>
            </w:pPr>
            <w:r>
              <w:t xml:space="preserve">Logikk</w:t>
            </w:r>
          </w:p>
        </w:tc>
      </w:tr>
      <w:tr>
        <w:tc>
          <w:tcPr/>
          <w:p>
            <w:pPr>
              <w:pStyle w:val="Compact"/>
            </w:pPr>
            <w:r>
              <w:t xml:space="preserve">R1</w:t>
            </w:r>
          </w:p>
        </w:tc>
        <w:tc>
          <w:tcPr/>
          <w:p>
            <w:pPr>
              <w:pStyle w:val="Compact"/>
            </w:pPr>
            <w:r>
              <w:t xml:space="preserve">XYZ = Z</w:t>
            </w:r>
          </w:p>
        </w:tc>
        <w:tc>
          <w:tcPr/>
          <w:p>
            <w:pPr>
              <w:pStyle w:val="Compact"/>
            </w:pPr>
            <w:r>
              <w:t xml:space="preserve">BEHOLD_LOKALT</w:t>
            </w:r>
          </w:p>
        </w:tc>
        <w:tc>
          <w:tcPr/>
          <w:p>
            <w:pPr>
              <w:pStyle w:val="Compact"/>
            </w:pPr>
            <w:r>
              <w:t xml:space="preserve">Uforutsigbart forbruk → uegnet for APL</w:t>
            </w:r>
          </w:p>
        </w:tc>
      </w:tr>
      <w:tr>
        <w:tc>
          <w:tcPr/>
          <w:p>
            <w:pPr>
              <w:pStyle w:val="Compact"/>
            </w:pPr>
            <w:r>
              <w:t xml:space="preserve">R2</w:t>
            </w:r>
          </w:p>
        </w:tc>
        <w:tc>
          <w:tcPr/>
          <w:p>
            <w:pPr>
              <w:pStyle w:val="Compact"/>
            </w:pPr>
            <w:r>
              <w:t xml:space="preserve">ABC = C og XYZ = Y</w:t>
            </w:r>
          </w:p>
        </w:tc>
        <w:tc>
          <w:tcPr/>
          <w:p>
            <w:pPr>
              <w:pStyle w:val="Compact"/>
            </w:pPr>
            <w:r>
              <w:t xml:space="preserve">BEHOLD_LOKALT</w:t>
            </w:r>
          </w:p>
        </w:tc>
        <w:tc>
          <w:tcPr/>
          <w:p>
            <w:pPr>
              <w:pStyle w:val="Compact"/>
            </w:pPr>
            <w:r>
              <w:t xml:space="preserve">Lav verdi + moderat variasjon</w:t>
            </w:r>
          </w:p>
        </w:tc>
      </w:tr>
      <w:tr>
        <w:tc>
          <w:tcPr/>
          <w:p>
            <w:pPr>
              <w:pStyle w:val="Compact"/>
            </w:pPr>
            <w:r>
              <w:t xml:space="preserve">R3</w:t>
            </w:r>
          </w:p>
        </w:tc>
        <w:tc>
          <w:tcPr/>
          <w:p>
            <w:pPr>
              <w:pStyle w:val="Compact"/>
            </w:pPr>
            <w:r>
              <w:t xml:space="preserve">ABC ∈ {A, B} og XYZ = X og EOQ = FOR_MANGE</w:t>
            </w:r>
          </w:p>
        </w:tc>
        <w:tc>
          <w:tcPr/>
          <w:p>
            <w:pPr>
              <w:pStyle w:val="Compact"/>
            </w:pPr>
            <w:r>
              <w:t xml:space="preserve">OVERFØR_HVFS</w:t>
            </w:r>
          </w:p>
        </w:tc>
        <w:tc>
          <w:tcPr/>
          <w:p>
            <w:pPr>
              <w:pStyle w:val="Compact"/>
            </w:pPr>
            <w:r>
              <w:t xml:space="preserve">Sterkeste signal: høy verdi, stabilt, overbestilt</w:t>
            </w:r>
          </w:p>
        </w:tc>
      </w:tr>
      <w:tr>
        <w:tc>
          <w:tcPr/>
          <w:p>
            <w:pPr>
              <w:pStyle w:val="Compact"/>
            </w:pPr>
            <w:r>
              <w:t xml:space="preserve">R4</w:t>
            </w:r>
          </w:p>
        </w:tc>
        <w:tc>
          <w:tcPr/>
          <w:p>
            <w:pPr>
              <w:pStyle w:val="Compact"/>
            </w:pPr>
            <w:r>
              <w:t xml:space="preserve">ABC ∈ {A, B} og XYZ = X og K_OVERFØR</w:t>
            </w:r>
          </w:p>
        </w:tc>
        <w:tc>
          <w:tcPr/>
          <w:p>
            <w:pPr>
              <w:pStyle w:val="Compact"/>
            </w:pPr>
            <w:r>
              <w:t xml:space="preserve">OVERFØR_HVFS</w:t>
            </w:r>
          </w:p>
        </w:tc>
        <w:tc>
          <w:tcPr/>
          <w:p>
            <w:pPr>
              <w:pStyle w:val="Compact"/>
            </w:pPr>
            <w:r>
              <w:t xml:space="preserve">Høy verdi, stabilt, klyngeprofil bekrefter</w:t>
            </w:r>
          </w:p>
        </w:tc>
      </w:tr>
      <w:tr>
        <w:tc>
          <w:tcPr/>
          <w:p>
            <w:pPr>
              <w:pStyle w:val="Compact"/>
            </w:pPr>
            <w:r>
              <w:t xml:space="preserve">R5</w:t>
            </w:r>
          </w:p>
        </w:tc>
        <w:tc>
          <w:tcPr/>
          <w:p>
            <w:pPr>
              <w:pStyle w:val="Compact"/>
            </w:pPr>
            <w:r>
              <w:t xml:space="preserve">ABC ∈ {A, B} og XYZ = Y og K_OVERFØR</w:t>
            </w:r>
          </w:p>
        </w:tc>
        <w:tc>
          <w:tcPr/>
          <w:p>
            <w:pPr>
              <w:pStyle w:val="Compact"/>
            </w:pPr>
            <w:r>
              <w:t xml:space="preserve">OVERFØR_HVFS</w:t>
            </w:r>
          </w:p>
        </w:tc>
        <w:tc>
          <w:tcPr/>
          <w:p>
            <w:pPr>
              <w:pStyle w:val="Compact"/>
            </w:pPr>
            <w:r>
              <w:t xml:space="preserve">Høy verdi, moderat variasjon, klyngeprofil bekrefter</w:t>
            </w:r>
          </w:p>
        </w:tc>
      </w:tr>
      <w:tr>
        <w:tc>
          <w:tcPr/>
          <w:p>
            <w:pPr>
              <w:pStyle w:val="Compact"/>
            </w:pPr>
            <w:r>
              <w:t xml:space="preserve">R6</w:t>
            </w:r>
          </w:p>
        </w:tc>
        <w:tc>
          <w:tcPr/>
          <w:p>
            <w:pPr>
              <w:pStyle w:val="Compact"/>
            </w:pPr>
            <w:r>
              <w:t xml:space="preserve">ABC ∈ {A, B} og XYZ = X</w:t>
            </w:r>
          </w:p>
        </w:tc>
        <w:tc>
          <w:tcPr/>
          <w:p>
            <w:pPr>
              <w:pStyle w:val="Compact"/>
            </w:pPr>
            <w:r>
              <w:t xml:space="preserve">TIL_VURDERING</w:t>
            </w:r>
          </w:p>
        </w:tc>
        <w:tc>
          <w:tcPr/>
          <w:p>
            <w:pPr>
              <w:pStyle w:val="Compact"/>
            </w:pPr>
            <w:r>
              <w:t xml:space="preserve">Høy verdi, stabilt, men ikkje K_OVERFØR</w:t>
            </w:r>
          </w:p>
        </w:tc>
      </w:tr>
      <w:tr>
        <w:tc>
          <w:tcPr/>
          <w:p>
            <w:pPr>
              <w:pStyle w:val="Compact"/>
            </w:pPr>
            <w:r>
              <w:t xml:space="preserve">R7</w:t>
            </w:r>
          </w:p>
        </w:tc>
        <w:tc>
          <w:tcPr/>
          <w:p>
            <w:pPr>
              <w:pStyle w:val="Compact"/>
            </w:pPr>
            <w:r>
              <w:t xml:space="preserve">ABC ∈ {A, B} og XYZ = Y</w:t>
            </w:r>
          </w:p>
        </w:tc>
        <w:tc>
          <w:tcPr/>
          <w:p>
            <w:pPr>
              <w:pStyle w:val="Compact"/>
            </w:pPr>
            <w:r>
              <w:t xml:space="preserve">TIL_VURDERING</w:t>
            </w:r>
          </w:p>
        </w:tc>
        <w:tc>
          <w:tcPr/>
          <w:p>
            <w:pPr>
              <w:pStyle w:val="Compact"/>
            </w:pPr>
            <w:r>
              <w:t xml:space="preserve">Høy verdi, moderat variasjon, ikkje K_OVERFØR</w:t>
            </w:r>
          </w:p>
        </w:tc>
      </w:tr>
      <w:tr>
        <w:tc>
          <w:tcPr/>
          <w:p>
            <w:pPr>
              <w:pStyle w:val="Compact"/>
            </w:pPr>
            <w:r>
              <w:t xml:space="preserve">R8</w:t>
            </w:r>
          </w:p>
        </w:tc>
        <w:tc>
          <w:tcPr/>
          <w:p>
            <w:pPr>
              <w:pStyle w:val="Compact"/>
            </w:pPr>
            <w:r>
              <w:t xml:space="preserve">Ellers (inkl. C + X)</w:t>
            </w:r>
          </w:p>
        </w:tc>
        <w:tc>
          <w:tcPr/>
          <w:p>
            <w:pPr>
              <w:pStyle w:val="Compact"/>
            </w:pPr>
            <w:r>
              <w:t xml:space="preserve">TIL_VURDERING</w:t>
            </w:r>
          </w:p>
        </w:tc>
        <w:tc>
          <w:tcPr/>
          <w:p>
            <w:pPr>
              <w:pStyle w:val="Compact"/>
            </w:pPr>
            <w:r>
              <w:t xml:space="preserve">Uklart signalmønster eller lav verdi</w:t>
            </w:r>
          </w:p>
        </w:tc>
      </w:tr>
    </w:tbl>
    <w:p>
      <w:pPr>
        <w:pStyle w:val="BodyText"/>
      </w:pPr>
      <w:r>
        <w:t xml:space="preserve">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pPr>
        <w:pStyle w:val="BodyText"/>
      </w:pPr>
      <w:r>
        <w:t xml:space="preserve">Reglene 3–5 definerer positivt overføringssignal med to krav: artikkelen må ha høy verdi (A/B) og stabilt forbruk (X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X, men uten K_OVERFØR-signal, til manuell vurdering; regel 7 gjør det samme for A/B-artikler med XYZ = Y. Regel 8 fanger opp alle øvrige artikler, inkludert C + X (lav verdi, stabilt forbruk), som sendes til vurdering. Figuren nedenfor illustrerer regelmotorens beslutningsflyt.</w:t>
      </w:r>
    </w:p>
    <w:p>
      <w:pPr>
        <w:pStyle w:val="CaptionedFigure"/>
      </w:pPr>
      <w:r>
        <w:drawing>
          <wp:inline>
            <wp:extent cx="6007100" cy="4745104"/>
            <wp:effectExtent b="0" l="0" r="0" t="0"/>
            <wp:docPr descr="Figur 3. Regelmotor: sekvensiell beslutningsflyt for HVFS-anbefaling (R1–R8). Generert med støtte fra Claude (Anthropic, 2026)." title="" id="68" name="Picture"/>
            <a:graphic>
              <a:graphicData uri="http://schemas.openxmlformats.org/drawingml/2006/picture">
                <pic:pic>
                  <pic:nvPicPr>
                    <pic:cNvPr descr="../006%20Analyse/plots/Fig03_Regelmotor.png" id="69" name="Picture"/>
                    <pic:cNvPicPr>
                      <a:picLocks noChangeArrowheads="1" noChangeAspect="1"/>
                    </pic:cNvPicPr>
                  </pic:nvPicPr>
                  <pic:blipFill>
                    <a:blip r:embed="rId67"/>
                    <a:stretch>
                      <a:fillRect/>
                    </a:stretch>
                  </pic:blipFill>
                  <pic:spPr bwMode="auto">
                    <a:xfrm>
                      <a:off x="0" y="0"/>
                      <a:ext cx="6007100" cy="4745104"/>
                    </a:xfrm>
                    <a:prstGeom prst="rect">
                      <a:avLst/>
                    </a:prstGeom>
                    <a:noFill/>
                    <a:ln w="9525">
                      <a:noFill/>
                      <a:headEnd/>
                      <a:tailEnd/>
                    </a:ln>
                  </pic:spPr>
                </pic:pic>
              </a:graphicData>
            </a:graphic>
          </wp:inline>
        </w:drawing>
      </w:r>
    </w:p>
    <w:p>
      <w:pPr>
        <w:pStyle w:val="ImageCaption"/>
      </w:pPr>
      <w:r>
        <w:t xml:space="preserve">Figur 3. Regelmotor: sekvensiell beslutningsflyt for HVFS-anbefaling (R1–R8). Generert med støtte fra Claude (Anthropic, 2026).</w:t>
      </w:r>
    </w:p>
    <w:p>
      <w:pPr>
        <w:pStyle w:val="BodyText"/>
      </w:pPr>
      <w:r>
        <w:t xml:space="preserve">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w:t>
      </w:r>
    </w:p>
    <w:p>
      <w:r>
        <w:pict>
          <v:rect style="width:0;height:1.5pt" o:hralign="center" o:hrstd="t" o:hr="t"/>
        </w:pict>
      </w:r>
    </w:p>
    <w:bookmarkEnd w:id="70"/>
    <w:bookmarkEnd w:id="71"/>
    <w:bookmarkStart w:id="98" w:name="kapittel-6-analyse"/>
    <w:p>
      <w:pPr>
        <w:pStyle w:val="Overskrift1"/>
      </w:pPr>
      <w:r>
        <w:t xml:space="preserve">Kapittel 6 – Analyse</w:t>
      </w:r>
    </w:p>
    <w:bookmarkStart w:id="75" w:name="abc-analyse-av-709-artikler"/>
    <w:p>
      <w:pPr>
        <w:pStyle w:val="Overskrift2"/>
      </w:pPr>
      <w:r>
        <w:t xml:space="preserve">6.1 ABC-analyse av 709 artikler</w:t>
      </w:r>
    </w:p>
    <w:p>
      <w:pPr>
        <w:pStyle w:val="FirstParagraph"/>
      </w:pPr>
      <w:r>
        <w:t xml:space="preserve">ABC-analysen ble gjennomført ved å sortere samtlige 709 aktive artikler i synkende rekkefølge etter beregnet årsverdi</w:t>
      </w:r>
      <w:r>
        <w:t xml:space="preserve"> </w:t>
      </w:r>
      <m:oMath>
        <m:sSub>
          <m:e>
            <m:r>
              <m:t>v</m:t>
            </m:r>
          </m:e>
          <m:sub>
            <m:r>
              <m:t>i</m:t>
            </m:r>
          </m:sub>
        </m:sSub>
        <m:r>
          <m:rPr>
            <m:sty m:val="p"/>
          </m:rPr>
          <m:t>=</m:t>
        </m:r>
        <m:sSub>
          <m:e>
            <m:r>
              <m:t>D</m:t>
            </m:r>
          </m:e>
          <m:sub>
            <m:r>
              <m:t>i</m:t>
            </m:r>
          </m:sub>
        </m:sSub>
        <m:r>
          <m:rPr>
            <m:sty m:val="p"/>
          </m:rPr>
          <m:t>×</m:t>
        </m:r>
        <m:sSub>
          <m:e>
            <m:r>
              <m:rPr>
                <m:nor/>
                <m:sty m:val="p"/>
              </m:rPr>
              <m:t>UNIT_PRICE</m:t>
            </m:r>
          </m:e>
          <m:sub>
            <m:r>
              <m:t>i</m:t>
            </m:r>
          </m:sub>
        </m:sSub>
      </m:oMath>
      <w:r>
        <w:t xml:space="preserve">, der</w:t>
      </w:r>
      <w:r>
        <w:t xml:space="preserve"> </w:t>
      </w:r>
      <m:oMath>
        <m:sSub>
          <m:e>
            <m:r>
              <m:t>D</m:t>
            </m:r>
          </m:e>
          <m:sub>
            <m:r>
              <m:t>i</m:t>
            </m:r>
          </m:sub>
        </m:sSub>
      </m:oMath>
      <w:r>
        <w:t xml:space="preserve"> </w:t>
      </w:r>
      <w:r>
        <w:t xml:space="preserve">er annualisert forbruk og UNIT_PRICE</w:t>
      </w:r>
      <m:oMath>
        <m:sSub>
          <m:e>
            <m:r>
              <m:t>​</m:t>
            </m:r>
          </m:e>
          <m:sub>
            <m:r>
              <m:t>i</m:t>
            </m:r>
          </m:sub>
        </m:sSub>
      </m:oMath>
      <w:r>
        <w:t xml:space="preserve"> </w:t>
      </w:r>
      <w:r>
        <w:t xml:space="preserve">er PEINH-korrigert standardpris fra MBEW (beslutningene D-02 og D-03, avsnitt 4.3). For 505 av artiklene er</w:t>
      </w:r>
      <w:r>
        <w:t xml:space="preserve"> </w:t>
      </w:r>
      <m:oMath>
        <m:sSub>
          <m:e>
            <m:r>
              <m:t>v</m:t>
            </m:r>
          </m:e>
          <m:sub>
            <m:r>
              <m:t>i</m:t>
            </m:r>
          </m:sub>
        </m:sSub>
      </m:oMath>
      <w:r>
        <w:t xml:space="preserve"> </w:t>
      </w:r>
      <w:r>
        <w:t xml:space="preserve">basert direkte på EKPO-innkjøpsdata (ABC_VALUE_SOURCE = EKPO); for de resterende 204 er verdien beregnet fra MSEG-forbruk og enhetspris (ABC_VALUE_SOURCE = BEREGNET). Etter sortering ble kumulativ verdiandel CUM_PCT beregnet som løpende sum av</w:t>
      </w:r>
      <w:r>
        <w:t xml:space="preserve"> </w:t>
      </w:r>
      <m:oMath>
        <m:sSub>
          <m:e>
            <m:r>
              <m:t>v</m:t>
            </m:r>
          </m:e>
          <m:sub>
            <m:r>
              <m:t>i</m:t>
            </m:r>
          </m:sub>
        </m:sSub>
      </m:oMath>
      <w:r>
        <w:t xml:space="preserve"> </w:t>
      </w:r>
      <w:r>
        <w:t xml:space="preserve">dividert på totalsum. Den samlede årsverdien for de 709 artiklene er beregnet til i overkant av 34 millioner kroner. Det er verdt å merke seg at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implementert i pandas med vektoriserte operasjoner for å sikre at rangeringen er deterministisk og reproduserbar.</w:t>
      </w:r>
    </w:p>
    <w:p>
      <w:pPr>
        <w:pStyle w:val="BodyText"/>
      </w:pPr>
      <w:r>
        <w:t xml:space="preserve">Pareto-grensene 80 % og 95 % ble deretter lagt på den kumulative kurven, som vist i Figur 4 nedenfor. Kurvens form – en bratt stigning tidlig etterfulgt av en lang flat hale – viser at verdikonsentrasjonen følger Pareto-mønsteret. Av de 709 artiklene fikk 704 en ABC-klasse (182 A, 184 B, 338 C); de resterende 5 artiklene har null beregnet verdi etter D-02/D-03 og kunne ikke ABC-rangeres — disse rapporteres i MANGLER_DATA-kategorien. Endelig fordeling mellom A-, B- og C-artikler presenteres i Tabell 8 i kapittel 7.</w:t>
      </w:r>
    </w:p>
    <w:p>
      <w:pPr>
        <w:pStyle w:val="CaptionedFigure"/>
      </w:pPr>
      <w:r>
        <w:drawing>
          <wp:inline>
            <wp:extent cx="6007100" cy="1959093"/>
            <wp:effectExtent b="0" l="0" r="0" t="0"/>
            <wp:docPr descr="Figur 4. ABC Pareto-kurve: kumulativ verdiandel for 709 artikler rangert etter årsverdi, med grenser ved 80 % (A/B) og 95 % (B/C). Generert med støtte fra Claude (Anthropic, 2026)." title="" id="73" name="Picture"/>
            <a:graphic>
              <a:graphicData uri="http://schemas.openxmlformats.org/drawingml/2006/picture">
                <pic:pic>
                  <pic:nvPicPr>
                    <pic:cNvPr descr="../006%20Analyse/plots/Fig04_ABC_Pareto.png" id="74" name="Picture"/>
                    <pic:cNvPicPr>
                      <a:picLocks noChangeArrowheads="1" noChangeAspect="1"/>
                    </pic:cNvPicPr>
                  </pic:nvPicPr>
                  <pic:blipFill>
                    <a:blip r:embed="rId72"/>
                    <a:stretch>
                      <a:fillRect/>
                    </a:stretch>
                  </pic:blipFill>
                  <pic:spPr bwMode="auto">
                    <a:xfrm>
                      <a:off x="0" y="0"/>
                      <a:ext cx="6007100" cy="1959093"/>
                    </a:xfrm>
                    <a:prstGeom prst="rect">
                      <a:avLst/>
                    </a:prstGeom>
                    <a:noFill/>
                    <a:ln w="9525">
                      <a:noFill/>
                      <a:headEnd/>
                      <a:tailEnd/>
                    </a:ln>
                  </pic:spPr>
                </pic:pic>
              </a:graphicData>
            </a:graphic>
          </wp:inline>
        </w:drawing>
      </w:r>
    </w:p>
    <w:p>
      <w:pPr>
        <w:pStyle w:val="ImageCaption"/>
      </w:pPr>
      <w:r>
        <w:t xml:space="preserve">Figur 4. ABC Pareto-kurve: kumulativ verdiandel for 709 artikler rangert etter årsverdi, med grenser ved 80 % (A/B) og 95 % (B/C). Generert med støtte fra Claude (Anthropic, 2026).</w:t>
      </w:r>
    </w:p>
    <w:bookmarkEnd w:id="75"/>
    <w:bookmarkStart w:id="79" w:name="xyz-klassifisering-1"/>
    <w:p>
      <w:pPr>
        <w:pStyle w:val="Overskrift2"/>
      </w:pPr>
      <w:r>
        <w:t xml:space="preserve">6.2 XYZ-klassifisering</w:t>
      </w:r>
    </w:p>
    <w:p>
      <w:pPr>
        <w:pStyle w:val="FirstParagraph"/>
      </w:pPr>
      <w:r>
        <w:t xml:space="preserve">XYZ-klassifiseringen tok utgangspunkt i månedlig MSEG-forbruk per artikkel over den 24 måneder lange analyseperioden, med bevegelsestypene 201 og 647. For hver artikkel ble variasjonskoeffisienten CV</w:t>
      </w:r>
      <m:oMath>
        <m:sSub>
          <m:e>
            <m:r>
              <m:t>​</m:t>
            </m:r>
          </m:e>
          <m:sub>
            <m:r>
              <m:t>i</m:t>
            </m:r>
          </m:sub>
        </m:sSub>
        <m:r>
          <m:rPr>
            <m:sty m:val="p"/>
          </m:rPr>
          <m:t>=</m:t>
        </m:r>
        <m:sSub>
          <m:e>
            <m:r>
              <m:t>σ</m:t>
            </m:r>
          </m:e>
          <m:sub>
            <m:r>
              <m:t>i</m:t>
            </m:r>
          </m:sub>
        </m:sSub>
        <m:r>
          <m:rPr>
            <m:sty m:val="p"/>
          </m:rPr>
          <m:t>/</m:t>
        </m:r>
        <m:sSub>
          <m:e>
            <m:r>
              <m:t>μ</m:t>
            </m:r>
          </m:e>
          <m:sub>
            <m:r>
              <m:t>i</m:t>
            </m:r>
          </m:sub>
        </m:sSub>
      </m:oMath>
      <w:r>
        <w:t xml:space="preserve"> </w:t>
      </w:r>
      <w:r>
        <w:t xml:space="preserve">beregnet, der</w:t>
      </w:r>
      <w:r>
        <w:t xml:space="preserve"> </w:t>
      </w:r>
      <m:oMath>
        <m:sSub>
          <m:e>
            <m:r>
              <m:t>σ</m:t>
            </m:r>
          </m:e>
          <m:sub>
            <m:r>
              <m:t>i</m:t>
            </m:r>
          </m:sub>
        </m:sSub>
      </m:oMath>
      <w:r>
        <w:t xml:space="preserve"> </w:t>
      </w:r>
      <w:r>
        <w:t xml:space="preserve">er standardavviket og</w:t>
      </w:r>
      <w:r>
        <w:t xml:space="preserve"> </w:t>
      </w:r>
      <m:oMath>
        <m:sSub>
          <m:e>
            <m:r>
              <m:t>μ</m:t>
            </m:r>
          </m:e>
          <m:sub>
            <m:r>
              <m:t>i</m:t>
            </m:r>
          </m:sub>
        </m:sSub>
      </m:oMath>
      <w:r>
        <w:t xml:space="preserve"> </w:t>
      </w:r>
      <w:r>
        <w:t xml:space="preserve">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pPr>
        <w:pStyle w:val="BodyText"/>
      </w:pPr>
      <w:r>
        <w:t xml:space="preserve">Etter beregning ble CV-grensene fra Tabell 6 (kap. 5) anvendt: X (CV &lt; 0,5), Y (0,5 ≤ CV &lt; 1,0) og Z (CV ≥ 1,0). XYZ-analysen ble deretter kryssvalidert mot SAP-feltet ZZXYZ, som representerer systemets eksisterende klassifisering. Samsvaret mellom beregnet og systemregistrert klasse ble kvantifisert som andelen av artikler der de to klassifiseringene er identiske; dette resultatet presenteres i kapittel 7. Det lave samsvaret som ble observert, bekrefter at ZZXYZ-feltet ikke er systematisk vedlikeholdt i takt med faktiske forbruksendringer, noe som motiverer bruken av CV-beregning som primær klassifiseringsmetode (beslutning D-04, avsnitt 4.3).</w:t>
      </w:r>
    </w:p>
    <w:p>
      <w:pPr>
        <w:pStyle w:val="BodyText"/>
      </w:pPr>
      <w:r>
        <w:t xml:space="preserve">ABC- og XYZ-klassifiseringene ble kombinert til en ni-felts kryssmatrise, som vist i Figur 5. Matrisen gir et øyeblikksbilde av populasjonens sammensetning langs de to dimensjonene og danner inngangsdataene for regelmotoren i avsnitt 6.5. Fullstendige celleanntall er gjengitt i Figur 5; univariate XYZ-fordelingar presenteres i Tabell 9 i kapittel 7.</w:t>
      </w:r>
    </w:p>
    <w:p>
      <w:pPr>
        <w:pStyle w:val="CaptionedFigure"/>
      </w:pPr>
      <w:r>
        <w:drawing>
          <wp:inline>
            <wp:extent cx="5309024" cy="5128591"/>
            <wp:effectExtent b="0" l="0" r="0" t="0"/>
            <wp:docPr descr="Figur 5. ABC/XYZ-kryssmatrise: antall artikler per kombinasjon (709 artikler, WERKS 3300 / LGORT 3001). Generert med støtte fra Claude (Anthropic, 2026)." title="" id="77" name="Picture"/>
            <a:graphic>
              <a:graphicData uri="http://schemas.openxmlformats.org/drawingml/2006/picture">
                <pic:pic>
                  <pic:nvPicPr>
                    <pic:cNvPr descr="../006%20Analyse/plots/Fig05_ABC_XYZ_Matrise.png" id="78" name="Picture"/>
                    <pic:cNvPicPr>
                      <a:picLocks noChangeArrowheads="1" noChangeAspect="1"/>
                    </pic:cNvPicPr>
                  </pic:nvPicPr>
                  <pic:blipFill>
                    <a:blip r:embed="rId76"/>
                    <a:stretch>
                      <a:fillRect/>
                    </a:stretch>
                  </pic:blipFill>
                  <pic:spPr bwMode="auto">
                    <a:xfrm>
                      <a:off x="0" y="0"/>
                      <a:ext cx="5309024" cy="5128591"/>
                    </a:xfrm>
                    <a:prstGeom prst="rect">
                      <a:avLst/>
                    </a:prstGeom>
                    <a:noFill/>
                    <a:ln w="9525">
                      <a:noFill/>
                      <a:headEnd/>
                      <a:tailEnd/>
                    </a:ln>
                  </pic:spPr>
                </pic:pic>
              </a:graphicData>
            </a:graphic>
          </wp:inline>
        </w:drawing>
      </w:r>
    </w:p>
    <w:p>
      <w:pPr>
        <w:pStyle w:val="ImageCaption"/>
      </w:pPr>
      <w:r>
        <w:t xml:space="preserve">Figur 5. ABC/XYZ-kryssmatrise: antall artikler per kombinasjon (709 artikler, WERKS 3300 / LGORT 3001). Generert med støtte fra Claude (Anthropic, 2026).</w:t>
      </w:r>
    </w:p>
    <w:p>
      <w:pPr>
        <w:pStyle w:val="BodyText"/>
      </w:pPr>
      <w:r>
        <w:t xml:space="preserve">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bookmarkEnd w:id="79"/>
    <w:bookmarkStart w:id="83" w:name="eoq-avviksberegning"/>
    <w:p>
      <w:pPr>
        <w:pStyle w:val="Overskrift2"/>
      </w:pPr>
      <w:r>
        <w:t xml:space="preserve">6.3 EOQ-avviksberegning</w:t>
      </w:r>
    </w:p>
    <w:p>
      <w:pPr>
        <w:pStyle w:val="FirstParagraph"/>
      </w:pPr>
      <w:r>
        <w:t xml:space="preserve">EOQ-avviksanalysen ble gjennomført for alle artikler der tilstrekkelig data forelå for beregning av optimal ordrefrekvens</w:t>
      </w:r>
      <w:r>
        <w:t xml:space="preserve"> </w:t>
      </w:r>
      <m:oMath>
        <m:sSup>
          <m:e>
            <m:r>
              <m:t>f</m:t>
            </m:r>
          </m:e>
          <m:sup>
            <m:r>
              <m:rPr>
                <m:sty m:val="p"/>
              </m:rPr>
              <m:t>*</m:t>
            </m:r>
          </m:sup>
        </m:sSup>
      </m:oMath>
      <w:r>
        <w:t xml:space="preserve">, det vil si artikler med</w:t>
      </w:r>
      <w:r>
        <w:t xml:space="preserve"> </w:t>
      </w:r>
      <m:oMath>
        <m:sSub>
          <m:e>
            <m:r>
              <m:t>D</m:t>
            </m:r>
          </m:e>
          <m:sub>
            <m:r>
              <m:t>i</m:t>
            </m:r>
          </m:sub>
        </m:sSub>
        <m:r>
          <m:rPr>
            <m:sty m:val="p"/>
          </m:rPr>
          <m:t>&gt;</m:t>
        </m:r>
        <m:r>
          <m:t>0</m:t>
        </m:r>
      </m:oMath>
      <w:r>
        <w:t xml:space="preserve">,</w:t>
      </w:r>
      <w:r>
        <w:t xml:space="preserve"> </w:t>
      </w:r>
      <m:oMath>
        <m:sSub>
          <m:e>
            <m:r>
              <m:rPr>
                <m:nor/>
                <m:sty m:val="p"/>
              </m:rPr>
              <m:t>UNIT_PRICE</m:t>
            </m:r>
          </m:e>
          <m:sub>
            <m:r>
              <m:t>i</m:t>
            </m:r>
          </m:sub>
        </m:sSub>
        <m:r>
          <m:rPr>
            <m:sty m:val="p"/>
          </m:rPr>
          <m:t>&gt;</m:t>
        </m:r>
        <m:r>
          <m:t>0</m:t>
        </m:r>
      </m:oMath>
      <w:r>
        <w:t xml:space="preserve"> </w:t>
      </w:r>
      <w:r>
        <w:t xml:space="preserve">og tilgjengelig LEAD_TIME. Den optimale frekvensen</w:t>
      </w:r>
      <w:r>
        <w:t xml:space="preserve"> </w:t>
      </w:r>
      <m:oMath>
        <m:sSup>
          <m:e>
            <m:r>
              <m:t>f</m:t>
            </m:r>
          </m:e>
          <m:sup>
            <m:r>
              <m:rPr>
                <m:sty m:val="p"/>
              </m:rPr>
              <m:t>*</m:t>
            </m:r>
          </m:sup>
        </m:sSup>
        <m:r>
          <m:rPr>
            <m:sty m:val="p"/>
          </m:rPr>
          <m:t>=</m:t>
        </m:r>
        <m:rad>
          <m:radPr>
            <m:degHide m:val="on"/>
          </m:radPr>
          <m:deg/>
          <m:e>
            <m:r>
              <m:t>D</m:t>
            </m:r>
            <m:r>
              <m:t>H</m:t>
            </m:r>
            <m:r>
              <m:rPr>
                <m:sty m:val="p"/>
              </m:rPr>
              <m:t>/</m:t>
            </m:r>
            <m:r>
              <m:t>2</m:t>
            </m:r>
            <m:r>
              <m:t>S</m:t>
            </m:r>
          </m:e>
        </m:rad>
      </m:oMath>
      <w:r>
        <w:t xml:space="preserve"> </w:t>
      </w:r>
      <w:r>
        <w:t xml:space="preserve">ble beregnet med</w:t>
      </w:r>
      <w:r>
        <w:t xml:space="preserve"> </w:t>
      </w:r>
      <m:oMath>
        <m:r>
          <m:t>S</m:t>
        </m:r>
        <m:r>
          <m:rPr>
            <m:sty m:val="p"/>
          </m:rPr>
          <m:t>=</m:t>
        </m:r>
        <m:r>
          <m:t>750</m:t>
        </m:r>
      </m:oMath>
      <w:r>
        <w:t xml:space="preserve"> </w:t>
      </w:r>
      <w:r>
        <w:t xml:space="preserve">NOK og</w:t>
      </w:r>
      <w:r>
        <w:t xml:space="preserve"> </w:t>
      </w:r>
      <m:oMath>
        <m:r>
          <m:t>H</m:t>
        </m:r>
        <m:r>
          <m:rPr>
            <m:sty m:val="p"/>
          </m:rPr>
          <m:t>=</m:t>
        </m:r>
        <m:r>
          <m:t>0</m:t>
        </m:r>
        <m:r>
          <m:rPr>
            <m:sty m:val="p"/>
          </m:rPr>
          <m:t>,</m:t>
        </m:r>
        <m:r>
          <m:t>20</m:t>
        </m:r>
        <m:r>
          <m:rPr>
            <m:sty m:val="p"/>
          </m:rPr>
          <m:t>×</m:t>
        </m:r>
        <m:sSub>
          <m:e>
            <m:r>
              <m:rPr>
                <m:nor/>
                <m:sty m:val="p"/>
              </m:rPr>
              <m:t>UNIT_PRICE</m:t>
            </m:r>
          </m:e>
          <m:sub>
            <m:r>
              <m:t>i</m:t>
            </m:r>
          </m:sub>
        </m:sSub>
      </m:oMath>
      <w:r>
        <w:t xml:space="preserve"> </w:t>
      </w:r>
      <w:r>
        <w:t xml:space="preserve">som modellparametere (se Tabell 6, kap. 5). Faktisk ordrefrekvens</w:t>
      </w:r>
      <w:r>
        <w:t xml:space="preserve"> </w:t>
      </w:r>
      <m:oMath>
        <m:sSub>
          <m:e>
            <m:r>
              <m:t>f</m:t>
            </m:r>
          </m:e>
          <m:sub>
            <m:r>
              <m:rPr>
                <m:nor/>
                <m:sty m:val="p"/>
              </m:rPr>
              <m:t>obs</m:t>
            </m:r>
          </m:sub>
        </m:sSub>
      </m:oMath>
      <w:r>
        <w:t xml:space="preserve"> </w:t>
      </w:r>
      <w:r>
        <w:t xml:space="preserve">ble hentet fra EKBE og annualisert i henhold til beslutning D-08: ACTUAL_FREQ = ORDER_COUNT</w:t>
      </w:r>
      <w:r>
        <w:t xml:space="preserve"> </w:t>
      </w:r>
      <m:oMath>
        <m:r>
          <m:rPr>
            <m:sty m:val="p"/>
          </m:rPr>
          <m:t>×</m:t>
        </m:r>
      </m:oMath>
      <w:r>
        <w:t xml:space="preserve"> </w:t>
      </w:r>
      <w:r>
        <w:t xml:space="preserve">(12/24).</w:t>
      </w:r>
    </w:p>
    <w:p>
      <w:pPr>
        <w:pStyle w:val="BodyText"/>
      </w:pPr>
      <w:r>
        <w:t xml:space="preserve">Det relative frekvensavviket FREQ_AVVIK</w:t>
      </w:r>
      <m:oMath>
        <m:sSub>
          <m:e>
            <m:r>
              <m:t>​</m:t>
            </m:r>
          </m:e>
          <m:sub>
            <m:r>
              <m:t>i</m:t>
            </m:r>
          </m:sub>
        </m:sSub>
        <m:r>
          <m:rPr>
            <m:sty m:val="p"/>
          </m:rPr>
          <m:t>=</m:t>
        </m:r>
        <m:r>
          <m:rPr>
            <m:sty m:val="p"/>
          </m:rPr>
          <m:t>(</m:t>
        </m:r>
        <m:sSub>
          <m:e>
            <m:r>
              <m:t>f</m:t>
            </m:r>
          </m:e>
          <m:sub>
            <m:r>
              <m:rPr>
                <m:nor/>
                <m:sty m:val="p"/>
              </m:rPr>
              <m:t>obs</m:t>
            </m:r>
            <m:r>
              <m:rPr>
                <m:sty m:val="p"/>
              </m:rPr>
              <m:t>,</m:t>
            </m:r>
            <m:r>
              <m:t>i</m:t>
            </m:r>
          </m:sub>
        </m:sSub>
        <m:r>
          <m:rPr>
            <m:sty m:val="p"/>
          </m:rPr>
          <m:t>−</m:t>
        </m:r>
        <m:sSubSup>
          <m:e>
            <m:r>
              <m:t>f</m:t>
            </m:r>
          </m:e>
          <m:sub>
            <m:r>
              <m:t>i</m:t>
            </m:r>
          </m:sub>
          <m:sup>
            <m:r>
              <m:rPr>
                <m:sty m:val="p"/>
              </m:rPr>
              <m:t>*</m:t>
            </m:r>
          </m:sup>
        </m:sSubSup>
        <m:r>
          <m:rPr>
            <m:sty m:val="p"/>
          </m:rPr>
          <m:t>)</m:t>
        </m:r>
        <m:r>
          <m:rPr>
            <m:sty m:val="p"/>
          </m:rPr>
          <m:t>/</m:t>
        </m:r>
        <m:sSubSup>
          <m:e>
            <m:r>
              <m:t>f</m:t>
            </m:r>
          </m:e>
          <m:sub>
            <m:r>
              <m:t>i</m:t>
            </m:r>
          </m:sub>
          <m:sup>
            <m:r>
              <m:rPr>
                <m:sty m:val="p"/>
              </m:rPr>
              <m:t>*</m:t>
            </m:r>
          </m:sup>
        </m:sSubSup>
      </m:oMath>
      <w:r>
        <w:t xml:space="preserve"> </w:t>
      </w:r>
      <w:r>
        <w:t xml:space="preserve">ble beregnet per artikkel. Fordelingen av dette avviket er illustrert i Figur 6 nedenfor. Terskelen</w:t>
      </w:r>
      <w:r>
        <w:t xml:space="preserve"> </w:t>
      </w:r>
      <m:oMath>
        <m:sSub>
          <m:e>
            <m:r>
              <m:t>τ</m:t>
            </m:r>
          </m:e>
          <m:sub>
            <m:r>
              <m:t>f</m:t>
            </m:r>
          </m:sub>
        </m:sSub>
        <m:r>
          <m:rPr>
            <m:sty m:val="p"/>
          </m:rPr>
          <m:t>=</m:t>
        </m:r>
        <m:r>
          <m:t>1</m:t>
        </m:r>
        <m:r>
          <m:rPr>
            <m:sty m:val="p"/>
          </m:rPr>
          <m:t>,</m:t>
        </m:r>
        <m:r>
          <m:t>5</m:t>
        </m:r>
      </m:oMath>
      <w:r>
        <w:t xml:space="preserve"> </w:t>
      </w:r>
      <w:r>
        <w:t xml:space="preserve">ble lagt inn for å skille artikler med vesentlig overbestilling (FOR_MANGE_ORDRER) fra artikler innenfor akseptabelt avvik. I tillegg ble differansen i totalkostnad</w:t>
      </w:r>
      <w:r>
        <w:t xml:space="preserve"> </w:t>
      </w:r>
      <m:oMath>
        <m:r>
          <m:rPr>
            <m:sty m:val="p"/>
          </m:rPr>
          <m:t>Δ</m:t>
        </m:r>
        <m:r>
          <m:t>T</m:t>
        </m:r>
        <m:sSub>
          <m:e>
            <m:r>
              <m:t>C</m:t>
            </m:r>
          </m:e>
          <m:sub>
            <m:r>
              <m:t>i</m:t>
            </m:r>
          </m:sub>
        </m:sSub>
        <m:r>
          <m:rPr>
            <m:sty m:val="p"/>
          </m:rPr>
          <m:t>=</m:t>
        </m:r>
        <m:r>
          <m:t>T</m:t>
        </m:r>
        <m:r>
          <m:t>C</m:t>
        </m:r>
        <m:r>
          <m:rPr>
            <m:sty m:val="p"/>
          </m:rPr>
          <m:t>(</m:t>
        </m:r>
        <m:sSub>
          <m:e>
            <m:r>
              <m:t>f</m:t>
            </m:r>
          </m:e>
          <m:sub>
            <m:r>
              <m:rPr>
                <m:nor/>
                <m:sty m:val="p"/>
              </m:rPr>
              <m:t>obs</m:t>
            </m:r>
          </m:sub>
        </m:sSub>
        <m:r>
          <m:rPr>
            <m:sty m:val="p"/>
          </m:rPr>
          <m:t>)</m:t>
        </m:r>
        <m:r>
          <m:rPr>
            <m:sty m:val="p"/>
          </m:rPr>
          <m:t>−</m:t>
        </m:r>
        <m:r>
          <m:t>T</m:t>
        </m:r>
        <m:r>
          <m:t>C</m:t>
        </m:r>
        <m:r>
          <m:rPr>
            <m:sty m:val="p"/>
          </m:rPr>
          <m:t>(</m:t>
        </m:r>
        <m:sSup>
          <m:e>
            <m:r>
              <m:t>f</m:t>
            </m:r>
          </m:e>
          <m:sup>
            <m:r>
              <m:rPr>
                <m:sty m:val="p"/>
              </m:rPr>
              <m:t>*</m:t>
            </m:r>
          </m:sup>
        </m:sSup>
        <m:r>
          <m:rPr>
            <m:sty m:val="p"/>
          </m:rPr>
          <m:t>)</m:t>
        </m:r>
      </m:oMath>
      <w:r>
        <w:t xml:space="preserve"> </w:t>
      </w:r>
      <w:r>
        <w:t xml:space="preserve">beregnet per artikkel, og summert til et samlet EOQ-avvikstall for hele populasjonen. Disse resultatene presenteres i sin helhet i Tabell 11 og avsnitt 7.3.</w:t>
      </w:r>
    </w:p>
    <w:p>
      <w:pPr>
        <w:pStyle w:val="CaptionedFigure"/>
      </w:pPr>
      <w:r>
        <w:drawing>
          <wp:inline>
            <wp:extent cx="6007100" cy="2488078"/>
            <wp:effectExtent b="0" l="0" r="0" t="0"/>
            <wp:docPr descr="Figur 6. EOQ-avvik: relativ frekvensavvik (FREQ_AVVIK) for artikler med tilstrekkelige data, med terskel ved τ_f = 1,5. Generert med støtte fra Claude (Anthropic, 2026)." title="" id="81" name="Picture"/>
            <a:graphic>
              <a:graphicData uri="http://schemas.openxmlformats.org/drawingml/2006/picture">
                <pic:pic>
                  <pic:nvPicPr>
                    <pic:cNvPr descr="../006%20Analyse/plots/Fig06_EOQ_Avvik.png" id="82" name="Picture"/>
                    <pic:cNvPicPr>
                      <a:picLocks noChangeArrowheads="1" noChangeAspect="1"/>
                    </pic:cNvPicPr>
                  </pic:nvPicPr>
                  <pic:blipFill>
                    <a:blip r:embed="rId80"/>
                    <a:stretch>
                      <a:fillRect/>
                    </a:stretch>
                  </pic:blipFill>
                  <pic:spPr bwMode="auto">
                    <a:xfrm>
                      <a:off x="0" y="0"/>
                      <a:ext cx="6007100" cy="2488078"/>
                    </a:xfrm>
                    <a:prstGeom prst="rect">
                      <a:avLst/>
                    </a:prstGeom>
                    <a:noFill/>
                    <a:ln w="9525">
                      <a:noFill/>
                      <a:headEnd/>
                      <a:tailEnd/>
                    </a:ln>
                  </pic:spPr>
                </pic:pic>
              </a:graphicData>
            </a:graphic>
          </wp:inline>
        </w:drawing>
      </w:r>
    </w:p>
    <w:p>
      <w:pPr>
        <w:pStyle w:val="ImageCaption"/>
      </w:pPr>
      <w:r>
        <w:t xml:space="preserve">Figur 6. EOQ-avvik: relativ frekvensavvik (FREQ_AVVIK) for artikler med tilstrekkelige data, med terskel ved τ_f = 1,5. Generert med støtte fra Claude (Anthropic, 2026).</w:t>
      </w:r>
    </w:p>
    <w:p>
      <w:pPr>
        <w:pStyle w:val="BodyText"/>
      </w:pPr>
      <w:r>
        <w:t xml:space="preserve">Figur 6 viser at fordelingen er sterkt høyreskjev: majoriteten av artiklene med EOQ-data har et FREQ_AVVIK over terskelen på 1,5. Artikler under terskelen («OK») opererer nær EOQ-optimalt nivå. For 222 av de 487 artiklene med EOQ-data mangler innkjøpshistorikk i EKBE for analyseperioden, noe som innebærer at faktisk ordrefrekvens er null; disse artiklene inngår i «OK»-kategorien da det ikke kan påvises overbestilling. Totale</w:t>
      </w:r>
      <w:r>
        <w:t xml:space="preserve"> </w:t>
      </w:r>
      <m:oMath>
        <m:r>
          <m:rPr>
            <m:sty m:val="p"/>
          </m:rPr>
          <m:t>Δ</m:t>
        </m:r>
        <m:r>
          <m:t>T</m:t>
        </m:r>
        <m:r>
          <m:t>C</m:t>
        </m:r>
      </m:oMath>
      <w:r>
        <w:t xml:space="preserve">-summer presenteres i avsnitt 7.3.</w:t>
      </w:r>
    </w:p>
    <w:bookmarkEnd w:id="83"/>
    <w:bookmarkStart w:id="93" w:name="k-means-klyngeanalyse-1"/>
    <w:p>
      <w:pPr>
        <w:pStyle w:val="Overskrift2"/>
      </w:pPr>
      <w:r>
        <w:t xml:space="preserve">6.4 K-means klyngeanalyse</w:t>
      </w:r>
    </w:p>
    <w:p>
      <w:pPr>
        <w:pStyle w:val="FirstParagraph"/>
      </w:pPr>
      <w:r>
        <w:rPr>
          <w:b/>
          <w:bCs/>
        </w:rPr>
        <w:t xml:space="preserve">Dataklargjøring og splitting.</w:t>
      </w:r>
      <w:r>
        <w:t xml:space="preserve"> </w:t>
      </w:r>
      <w:r>
        <w:t xml:space="preserve">Featurevektoren</w:t>
      </w:r>
      <w:r>
        <w:t xml:space="preserve"> </w:t>
      </w:r>
      <m:oMath>
        <m:sSub>
          <m:e>
            <m:r>
              <m:rPr>
                <m:sty m:val="bi"/>
              </m:rPr>
              <m:t>x</m:t>
            </m:r>
          </m:e>
          <m:sub>
            <m:r>
              <m:t>i</m:t>
            </m:r>
          </m:sub>
        </m:sSub>
        <m:r>
          <m:rPr>
            <m:sty m:val="p"/>
          </m:rPr>
          <m:t>=</m:t>
        </m:r>
        <m:r>
          <m:rPr>
            <m:sty m:val="p"/>
          </m:rPr>
          <m:t>[</m:t>
        </m:r>
        <m:r>
          <m:t>z</m:t>
        </m:r>
        <m:r>
          <m:rPr>
            <m:sty m:val="p"/>
          </m:rPr>
          <m:t>(</m:t>
        </m:r>
        <m:r>
          <m:rPr>
            <m:sty m:val="p"/>
          </m:rPr>
          <m:t>ln</m:t>
        </m:r>
        <m:sSub>
          <m:e>
            <m:r>
              <m:rPr>
                <m:nor/>
                <m:sty m:val="p"/>
              </m:rPr>
              <m:t>CV</m:t>
            </m:r>
          </m:e>
          <m:sub>
            <m:r>
              <m:t>i</m:t>
            </m:r>
          </m:sub>
        </m:sSub>
        <m:r>
          <m:rPr>
            <m:sty m:val="p"/>
          </m:rPr>
          <m:t>)</m:t>
        </m:r>
        <m:r>
          <m:rPr>
            <m:sty m:val="p"/>
          </m:rPr>
          <m:t>,</m:t>
        </m:r>
        <m:r>
          <m:t> </m:t>
        </m:r>
        <m:r>
          <m:t>z</m:t>
        </m:r>
        <m:r>
          <m:rPr>
            <m:sty m:val="p"/>
          </m:rPr>
          <m:t>(</m:t>
        </m:r>
        <m:r>
          <m:rPr>
            <m:sty m:val="p"/>
          </m:rPr>
          <m:t>ln</m:t>
        </m:r>
        <m:r>
          <m:rPr>
            <m:sty m:val="p"/>
          </m:rPr>
          <m:t>(</m:t>
        </m:r>
        <m:sSub>
          <m:e>
            <m:r>
              <m:t>v</m:t>
            </m:r>
          </m:e>
          <m:sub>
            <m:r>
              <m:t>i</m:t>
            </m:r>
          </m:sub>
        </m:sSub>
        <m:r>
          <m:rPr>
            <m:sty m:val="p"/>
          </m:rPr>
          <m:t>+</m:t>
        </m:r>
        <m:r>
          <m:t>1</m:t>
        </m:r>
        <m:r>
          <m:rPr>
            <m:sty m:val="p"/>
          </m:rPr>
          <m:t>)</m:t>
        </m:r>
        <m:r>
          <m:rPr>
            <m:sty m:val="p"/>
          </m:rPr>
          <m:t>)</m:t>
        </m:r>
        <m:r>
          <m:rPr>
            <m:sty m:val="p"/>
          </m:rPr>
          <m:t>,</m:t>
        </m:r>
        <m:r>
          <m:t> </m:t>
        </m:r>
        <m:r>
          <m:t>z</m:t>
        </m:r>
        <m:r>
          <m:rPr>
            <m:sty m:val="p"/>
          </m:rPr>
          <m:t>(</m:t>
        </m:r>
        <m:r>
          <m:rPr>
            <m:sty m:val="p"/>
          </m:rPr>
          <m:t>ln</m:t>
        </m:r>
        <m:r>
          <m:rPr>
            <m:sty m:val="p"/>
          </m:rPr>
          <m:t>(</m:t>
        </m:r>
        <m:r>
          <m:rPr>
            <m:sty m:val="p"/>
          </m:rPr>
          <m:t>|</m:t>
        </m:r>
        <m:r>
          <m:rPr>
            <m:sty m:val="p"/>
          </m:rPr>
          <m:t>Δ</m:t>
        </m:r>
        <m:r>
          <m:t>T</m:t>
        </m:r>
        <m:sSub>
          <m:e>
            <m:r>
              <m:t>C</m:t>
            </m:r>
          </m:e>
          <m:sub>
            <m:r>
              <m:t>i</m:t>
            </m:r>
          </m:sub>
        </m:sSub>
        <m:r>
          <m:rPr>
            <m:sty m:val="p"/>
          </m:rPr>
          <m:t>|</m:t>
        </m:r>
        <m:r>
          <m:rPr>
            <m:sty m:val="p"/>
          </m:rPr>
          <m:t>+</m:t>
        </m:r>
        <m:r>
          <m:t>1</m:t>
        </m:r>
        <m:r>
          <m:rPr>
            <m:sty m:val="p"/>
          </m:rPr>
          <m:t>)</m:t>
        </m:r>
        <m:r>
          <m:rPr>
            <m:sty m:val="p"/>
          </m:rPr>
          <m:t>)</m:t>
        </m:r>
        <m:r>
          <m:rPr>
            <m:sty m:val="p"/>
          </m:rPr>
          <m:t>]</m:t>
        </m:r>
      </m:oMath>
      <w:r>
        <w:t xml:space="preserve"> </w:t>
      </w:r>
      <w:r>
        <w:t xml:space="preserve">ble konstruert for alle artikler med tilstrekkelig data. Log-transformasjonen ble påført før z-score-standardisering for å håndtere høyreskjevheten i de underliggende distribusjonene, som beskrevet i avsnitt 5.4. Datasettet ble delt i et treningssett (n = 389) og et testsett (n = 98) med</w:t>
      </w:r>
      <w:r>
        <w:t xml:space="preserve"> </w:t>
      </w:r>
      <w:r>
        <w:rPr>
          <w:rStyle w:val="VerbatimChar"/>
        </w:rPr>
        <w:t xml:space="preserve">random_state=42</w:t>
      </w:r>
      <w:r>
        <w:t xml:space="preserve">. StandardScaler ble fittet utelukkende på treningsdataene og deretter brukt til å transformere begge sett, slik at informasjon fra testsettet ikke lekker inn i skaleringen.</w:t>
      </w:r>
    </w:p>
    <w:p>
      <w:pPr>
        <w:pStyle w:val="BodyText"/>
      </w:pPr>
      <w:r>
        <w:rPr>
          <w:b/>
          <w:bCs/>
        </w:rPr>
        <w:t xml:space="preserve">K-valg via silhouette.</w:t>
      </w:r>
      <w:r>
        <w:t xml:space="preserve"> </w:t>
      </w:r>
      <w:r>
        <w:t xml:space="preserve">KMeans-modellen ble fittet for K = 2, 3, 4, 5, 6 og 7 på treningsdataene. For hvert K ble gjennomsnittlig silhouette-score beregnet. Figur 7 viser silhouette-profilen over K-søket.</w:t>
      </w:r>
    </w:p>
    <w:p>
      <w:pPr>
        <w:pStyle w:val="CaptionedFigure"/>
      </w:pPr>
      <w:r>
        <w:drawing>
          <wp:inline>
            <wp:extent cx="6007100" cy="2369829"/>
            <wp:effectExtent b="0" l="0" r="0" t="0"/>
            <wp:docPr descr="Figur 7. Silhouette-score for K = 2–7 (treningsdata, n = 389): K = 3 gir høyest score (0,383). Generert med støtte fra Claude (Anthropic, 2026)." title="" id="85" name="Picture"/>
            <a:graphic>
              <a:graphicData uri="http://schemas.openxmlformats.org/drawingml/2006/picture">
                <pic:pic>
                  <pic:nvPicPr>
                    <pic:cNvPr descr="../006%20Analyse/plots/Fig07_Silhouette.png" id="86" name="Picture"/>
                    <pic:cNvPicPr>
                      <a:picLocks noChangeArrowheads="1" noChangeAspect="1"/>
                    </pic:cNvPicPr>
                  </pic:nvPicPr>
                  <pic:blipFill>
                    <a:blip r:embed="rId84"/>
                    <a:stretch>
                      <a:fillRect/>
                    </a:stretch>
                  </pic:blipFill>
                  <pic:spPr bwMode="auto">
                    <a:xfrm>
                      <a:off x="0" y="0"/>
                      <a:ext cx="6007100" cy="2369829"/>
                    </a:xfrm>
                    <a:prstGeom prst="rect">
                      <a:avLst/>
                    </a:prstGeom>
                    <a:noFill/>
                    <a:ln w="9525">
                      <a:noFill/>
                      <a:headEnd/>
                      <a:tailEnd/>
                    </a:ln>
                  </pic:spPr>
                </pic:pic>
              </a:graphicData>
            </a:graphic>
          </wp:inline>
        </w:drawing>
      </w:r>
    </w:p>
    <w:p>
      <w:pPr>
        <w:pStyle w:val="ImageCaption"/>
      </w:pPr>
      <w:r>
        <w:t xml:space="preserve">Figur 7. Silhouette-score for K = 2–7 (treningsdata, n = 389): K = 3 gir høyest score (0,383). Generert med støtte fra Claude (Anthropic, 2026).</w:t>
      </w:r>
    </w:p>
    <w:p>
      <w:pPr>
        <w:pStyle w:val="BodyText"/>
      </w:pPr>
      <w:r>
        <w:t xml:space="preserve">K = 3 ga høyest silhouette-score på treningsdataene (0,383) og ble valgt som det endelige antallet klynger. For K = 2 var silhouette-scoren 0,362, og for K = 4 og oppover falt scoren monotont — noe som indikerer at tre klynger representerer den mest naturlige gruppestrukturen i featurerommet. Score over minstekravet på 0,3 indikerer en akseptabel klyngestruktur for eksplorativ analyse (Ketkar &amp; Vaidya, 2014). KMeans-modellen ble deretter trent endelig med K = 3 på treningsdataene, med</w:t>
      </w:r>
      <w:r>
        <w:t xml:space="preserve"> </w:t>
      </w:r>
      <w:r>
        <w:rPr>
          <w:rStyle w:val="VerbatimChar"/>
        </w:rPr>
        <w:t xml:space="preserve">n_init=50</w:t>
      </w:r>
      <w:r>
        <w:t xml:space="preserve"> </w:t>
      </w:r>
      <w:r>
        <w:t xml:space="preserve">og</w:t>
      </w:r>
      <w:r>
        <w:t xml:space="preserve"> </w:t>
      </w:r>
      <w:r>
        <w:rPr>
          <w:rStyle w:val="VerbatimChar"/>
        </w:rPr>
        <w:t xml:space="preserve">max_iter=300</w:t>
      </w:r>
      <w:r>
        <w:t xml:space="preserve"> </w:t>
      </w:r>
      <w:r>
        <w:t xml:space="preserve">for robust initialisering. Etter trening ble testdataene (n = 98) predikert til nærmeste sentroid, og silhouette-score ble beregnet separat for testsettet og sammenlignet med treningsresultatet som et mål på generaliserbarhet. Testsilhouetten (0,368) ligger tett opp til treningssilhouetten (0,383); differansen på 0,015 er godt innenfor det akseptable og gir tillit til at klyngestrukturen ikke er et artefakt av treningsdata alene.</w:t>
      </w:r>
    </w:p>
    <w:p>
      <w:pPr>
        <w:pStyle w:val="BodyText"/>
      </w:pPr>
      <w:r>
        <w:rPr>
          <w:b/>
          <w:bCs/>
        </w:rPr>
        <w:t xml:space="preserve">Klyngeprofiler.</w:t>
      </w:r>
      <w:r>
        <w:t xml:space="preserve"> </w:t>
      </w:r>
      <w:r>
        <w:t xml:space="preserve">Etter at KMeans-modellen var fittet på treningsdataene, ble samtlige 487 artikler med tilstrekkelig data predikert til én av de tre klyngene. Klyngene ble karakterisert langs de tre featuredimensjonene, og én klynge ble identifisert som K_OVERFØR basert på kombinasjonen av lav CV (stabilt forbruksmønster), relativt høy artikkelverdi og høyt positivt</w:t>
      </w:r>
      <w:r>
        <w:t xml:space="preserve"> </w:t>
      </w:r>
      <m:oMath>
        <m:r>
          <m:rPr>
            <m:sty m:val="p"/>
          </m:rPr>
          <m:t>|</m:t>
        </m:r>
        <m:r>
          <m:rPr>
            <m:sty m:val="p"/>
          </m:rPr>
          <m:t>Δ</m:t>
        </m:r>
        <m:r>
          <m:t>T</m:t>
        </m:r>
        <m:r>
          <m:t>C</m:t>
        </m:r>
        <m:r>
          <m:rPr>
            <m:sty m:val="p"/>
          </m:rPr>
          <m:t>|</m:t>
        </m:r>
      </m:oMath>
      <w:r>
        <w:t xml:space="preserve"> </w:t>
      </w:r>
      <w:r>
        <w:t xml:space="preserve">(mange unødvendige ordrer). Figur 8 visualiserer klyngestrukturen i et to-dimensjonalt projeksjon langs de to mest informative featurene.</w:t>
      </w:r>
    </w:p>
    <w:p>
      <w:pPr>
        <w:pStyle w:val="CaptionedFigure"/>
      </w:pPr>
      <w:r>
        <w:drawing>
          <wp:inline>
            <wp:extent cx="6007100" cy="2562916"/>
            <wp:effectExtent b="0" l="0" r="0" t="0"/>
            <wp:docPr descr="Figur 8. K-means klyngeresultat (K = 3): artikler plottet langs z(ln CV) og z(ln verdi), farge etter klynge. K_OVERFØR-klyngen er markert med stjerne (★). Generert med støtte fra Claude (Anthropic, 2026)." title="" id="88" name="Picture"/>
            <a:graphic>
              <a:graphicData uri="http://schemas.openxmlformats.org/drawingml/2006/picture">
                <pic:pic>
                  <pic:nvPicPr>
                    <pic:cNvPr descr="../006%20Analyse/plots/Fig08_Kmeans_Klynger.png" id="89" name="Picture"/>
                    <pic:cNvPicPr>
                      <a:picLocks noChangeArrowheads="1" noChangeAspect="1"/>
                    </pic:cNvPicPr>
                  </pic:nvPicPr>
                  <pic:blipFill>
                    <a:blip r:embed="rId87"/>
                    <a:stretch>
                      <a:fillRect/>
                    </a:stretch>
                  </pic:blipFill>
                  <pic:spPr bwMode="auto">
                    <a:xfrm>
                      <a:off x="0" y="0"/>
                      <a:ext cx="6007100" cy="2562916"/>
                    </a:xfrm>
                    <a:prstGeom prst="rect">
                      <a:avLst/>
                    </a:prstGeom>
                    <a:noFill/>
                    <a:ln w="9525">
                      <a:noFill/>
                      <a:headEnd/>
                      <a:tailEnd/>
                    </a:ln>
                  </pic:spPr>
                </pic:pic>
              </a:graphicData>
            </a:graphic>
          </wp:inline>
        </w:drawing>
      </w:r>
    </w:p>
    <w:p>
      <w:pPr>
        <w:pStyle w:val="ImageCaption"/>
      </w:pPr>
      <w:r>
        <w:t xml:space="preserve">Figur 8. K-means klyngeresultat (K = 3): artikler plottet langs z(ln CV) og z(ln verdi), farge etter klynge. K_OVERFØR-klyngen er markert med stjerne (★). Generert med støtte fra Claude (Anthropic, 2026).</w:t>
      </w:r>
    </w:p>
    <w:p>
      <w:pPr>
        <w:pStyle w:val="BodyText"/>
      </w:pPr>
      <w:r>
        <w:t xml:space="preserve">Figur 8 viser at de tre klyngene er rimelig separert i feature-rommet, særlig K_OVERFØR-klyngen (grønn), som skiller seg fra de øvrige ved sin kombinasjon av lav CV og høy verdi. For å tolke innholdet i hver klynge viser Figur 9 gjennomsnittlig standardisert verdi per feature for de tre klyngene.</w:t>
      </w:r>
    </w:p>
    <w:p>
      <w:pPr>
        <w:pStyle w:val="CaptionedFigure"/>
      </w:pPr>
      <w:r>
        <w:drawing>
          <wp:inline>
            <wp:extent cx="6007100" cy="2945154"/>
            <wp:effectExtent b="0" l="0" r="0" t="0"/>
            <wp:docPr descr="Figur 9. Klyngeprofiler for K-means (K=3): gjennomsnittlig z-score per feature per klynge. K_OVERFØR-klyngen (grønn) kjennetegnes av lav CV og høy verdi. Generert med støtte fra Claude (Anthropic, 2026)." title="" id="91" name="Picture"/>
            <a:graphic>
              <a:graphicData uri="http://schemas.openxmlformats.org/drawingml/2006/picture">
                <pic:pic>
                  <pic:nvPicPr>
                    <pic:cNvPr descr="../006%20Analyse/plots/Fig09_Kmeans_Profil.png" id="92" name="Picture"/>
                    <pic:cNvPicPr>
                      <a:picLocks noChangeArrowheads="1" noChangeAspect="1"/>
                    </pic:cNvPicPr>
                  </pic:nvPicPr>
                  <pic:blipFill>
                    <a:blip r:embed="rId90"/>
                    <a:stretch>
                      <a:fillRect/>
                    </a:stretch>
                  </pic:blipFill>
                  <pic:spPr bwMode="auto">
                    <a:xfrm>
                      <a:off x="0" y="0"/>
                      <a:ext cx="6007100" cy="2945154"/>
                    </a:xfrm>
                    <a:prstGeom prst="rect">
                      <a:avLst/>
                    </a:prstGeom>
                    <a:noFill/>
                    <a:ln w="9525">
                      <a:noFill/>
                      <a:headEnd/>
                      <a:tailEnd/>
                    </a:ln>
                  </pic:spPr>
                </pic:pic>
              </a:graphicData>
            </a:graphic>
          </wp:inline>
        </w:drawing>
      </w:r>
    </w:p>
    <w:p>
      <w:pPr>
        <w:pStyle w:val="ImageCaption"/>
      </w:pPr>
      <w:r>
        <w:t xml:space="preserve">Figur 9. Klyngeprofiler for K-means (K=3): gjennomsnittlig z-score per feature per klynge. K_OVERFØR-klyngen (grønn) kjennetegnes av lav CV og høy verdi. Generert med støtte fra Claude (Anthropic, 2026).</w:t>
      </w:r>
    </w:p>
    <w:p>
      <w:pPr>
        <w:pStyle w:val="BodyText"/>
      </w:pPr>
      <w:r>
        <w:t xml:space="preserve">Figur 9 bekrefter at K_OVERFØR-klyngen (Klynge 3, n = 281 totalt: 227 tren + 54 test) har den laveste CV-verdien (stabil etterspørsel) og den høyeste verdiprofilen, mens Klynge 2 (n = 175: 136 tren + 39 test) preges av høy CV og lavt kostnadsavvik. Klynge 1 (n = 31: 26 tren + 5 test) er en liten gruppe med svært lav verdi. Fullstendige klyngeprofiler med gjennomsnittsverdier for CV, verdi og</w:t>
      </w:r>
      <w:r>
        <w:t xml:space="preserve"> </w:t>
      </w:r>
      <m:oMath>
        <m:r>
          <m:rPr>
            <m:sty m:val="p"/>
          </m:rPr>
          <m:t>|</m:t>
        </m:r>
        <m:r>
          <m:rPr>
            <m:sty m:val="p"/>
          </m:rPr>
          <m:t>Δ</m:t>
        </m:r>
        <m:r>
          <m:t>T</m:t>
        </m:r>
        <m:r>
          <m:t>C</m:t>
        </m:r>
        <m:r>
          <m:rPr>
            <m:sty m:val="p"/>
          </m:rPr>
          <m:t>|</m:t>
        </m:r>
      </m:oMath>
      <w:r>
        <w:t xml:space="preserve"> </w:t>
      </w:r>
      <w:r>
        <w:t xml:space="preserve">presenteres i Tabell 12 i kapittel 7.</w:t>
      </w:r>
    </w:p>
    <w:bookmarkEnd w:id="93"/>
    <w:bookmarkStart w:id="97" w:name="regelmotor-og-hvfs-scoring"/>
    <w:p>
      <w:pPr>
        <w:pStyle w:val="Overskrift2"/>
      </w:pPr>
      <w:r>
        <w:t xml:space="preserve">6.5 Regelmotor og HVFS-scoring</w:t>
      </w:r>
    </w:p>
    <w:p>
      <w:pPr>
        <w:pStyle w:val="FirstParagraph"/>
      </w:pPr>
      <w:r>
        <w:t xml:space="preserve">Regelmotoren ble kjørt sekvensielt på samtlige 709 artikler i den prioriterte rekkefølgen beskrevet i Tabell 7 (kap. 5). For hver artikkel ble inngangssignalene ABC-klasse, XYZ-klasse, EOQ-avviksstatus (FOR_MANGE_ORDRER) og K-means klyngetilhørighet (K_OVERFØR) hentet fra de foregående analysemodulene. Den første regelen med treff avgjorde artiklens anbefaling; artikler uten treff på noen regel, typisk grunnet manglende CV- eller verdidata, ble tildelt kategorien MANGLER_DATA.</w:t>
      </w:r>
    </w:p>
    <w:p>
      <w:pPr>
        <w:pStyle w:val="BodyText"/>
      </w:pPr>
      <w:r>
        <w:t xml:space="preserve">For alle artikler som fikk anbefalingen OVERFØR_HVFS, ble besparelsesestimatet</w:t>
      </w:r>
      <w:r>
        <w:t xml:space="preserve"> </w:t>
      </w:r>
      <m:oMath>
        <m:r>
          <m:rPr>
            <m:sty m:val="p"/>
          </m:rPr>
          <m:t>Δ</m:t>
        </m:r>
        <m:r>
          <m:t>T</m:t>
        </m:r>
        <m:sSub>
          <m:e>
            <m:r>
              <m:t>C</m:t>
            </m:r>
          </m:e>
          <m:sub>
            <m:r>
              <m:t>i</m:t>
            </m:r>
          </m:sub>
        </m:sSub>
        <m:r>
          <m:rPr>
            <m:sty m:val="p"/>
          </m:rPr>
          <m:t>⋅</m:t>
        </m:r>
        <m:r>
          <m:t>g</m:t>
        </m:r>
      </m:oMath>
      <w:r>
        <w:t xml:space="preserve"> </w:t>
      </w:r>
      <w:r>
        <w:t xml:space="preserve">beregnet for tre scenarier (worst:</w:t>
      </w:r>
      <w:r>
        <w:t xml:space="preserve"> </w:t>
      </w:r>
      <m:oMath>
        <m:r>
          <m:t>g</m:t>
        </m:r>
        <m:r>
          <m:rPr>
            <m:sty m:val="p"/>
          </m:rPr>
          <m:t>=</m:t>
        </m:r>
        <m:r>
          <m:t>50</m:t>
        </m:r>
        <m:r>
          <m:t> </m:t>
        </m:r>
        <m:r>
          <m:rPr>
            <m:sty m:val="p"/>
          </m:rPr>
          <m:t>%</m:t>
        </m:r>
      </m:oMath>
      <w:r>
        <w:t xml:space="preserve">, base:</w:t>
      </w:r>
      <w:r>
        <w:t xml:space="preserve"> </w:t>
      </w:r>
      <m:oMath>
        <m:r>
          <m:t>g</m:t>
        </m:r>
        <m:r>
          <m:rPr>
            <m:sty m:val="p"/>
          </m:rPr>
          <m:t>=</m:t>
        </m:r>
        <m:r>
          <m:t>75</m:t>
        </m:r>
        <m:r>
          <m:t> </m:t>
        </m:r>
        <m:r>
          <m:rPr>
            <m:sty m:val="p"/>
          </m:rPr>
          <m:t>%</m:t>
        </m:r>
      </m:oMath>
      <w:r>
        <w:t xml:space="preserve">, best:</w:t>
      </w:r>
      <w:r>
        <w:t xml:space="preserve"> </w:t>
      </w:r>
      <m:oMath>
        <m:r>
          <m:t>g</m:t>
        </m:r>
        <m:r>
          <m:rPr>
            <m:sty m:val="p"/>
          </m:rPr>
          <m:t>=</m:t>
        </m:r>
        <m:r>
          <m:t>100</m:t>
        </m:r>
        <m:r>
          <m:t> </m:t>
        </m:r>
        <m:r>
          <m:rPr>
            <m:sty m:val="p"/>
          </m:rPr>
          <m:t>%</m:t>
        </m:r>
      </m:oMath>
      <w:r>
        <w:t xml:space="preserve">) i henhold til formelen i avsnitt 5.3. Det er viktig å presisere at kun artikler som både er i OVERFØR_HVFS-kategorien</w:t>
      </w:r>
      <w:r>
        <w:t xml:space="preserve"> </w:t>
      </w:r>
      <w:r>
        <w:rPr>
          <w:i/>
          <w:iCs/>
        </w:rPr>
        <w:t xml:space="preserve">og</w:t>
      </w:r>
      <w:r>
        <w:t xml:space="preserve"> </w:t>
      </w:r>
      <w:r>
        <w:t xml:space="preserve">har status FOR_MANGE_ORDRER inngår i besparelsesgrunnlaget, da</w:t>
      </w:r>
      <w:r>
        <w:t xml:space="preserve"> </w:t>
      </w:r>
      <m:oMath>
        <m:r>
          <m:rPr>
            <m:sty m:val="p"/>
          </m:rPr>
          <m:t>Δ</m:t>
        </m:r>
        <m:r>
          <m:t>T</m:t>
        </m:r>
        <m:sSub>
          <m:e>
            <m:r>
              <m:t>C</m:t>
            </m:r>
          </m:e>
          <m:sub>
            <m:r>
              <m:t>i</m:t>
            </m:r>
          </m:sub>
        </m:sSub>
      </m:oMath>
      <w:r>
        <w:t xml:space="preserve"> </w:t>
      </w:r>
      <w:r>
        <w:t xml:space="preserve">modellerer kostnadsavviket fra suboptimal ordrefrekvens — et avvik som adresseres direkte ved sentralisering til HVFS. Totalt inngår 117 artikler i dette grunnlaget.</w:t>
      </w:r>
    </w:p>
    <w:p>
      <w:pPr>
        <w:pStyle w:val="BodyText"/>
      </w:pPr>
      <w:r>
        <w:t xml:space="preserve">I tillegg til de tre scenariene ble det gjennomført en systematisk sensitivitetsanalyse med 27 kombinasjoner av</w:t>
      </w:r>
      <w:r>
        <w:t xml:space="preserve"> </w:t>
      </w:r>
      <m:oMath>
        <m:r>
          <m:t>S</m:t>
        </m:r>
      </m:oMath>
      <w:r>
        <w:t xml:space="preserve">,</w:t>
      </w:r>
      <w:r>
        <w:t xml:space="preserve"> </w:t>
      </w:r>
      <m:oMath>
        <m:r>
          <m:t>h</m:t>
        </m:r>
      </m:oMath>
      <w:r>
        <w:t xml:space="preserve"> </w:t>
      </w:r>
      <w:r>
        <w:t xml:space="preserve">og</w:t>
      </w:r>
      <w:r>
        <w:t xml:space="preserve"> </w:t>
      </w:r>
      <m:oMath>
        <m:r>
          <m:t>g</m:t>
        </m:r>
      </m:oMath>
      <w:r>
        <w:t xml:space="preserve">, for å kartlegge robustheten av besparelsesestimatet overfor usikkerhet i modellantagelsene. Figur 10 viser den endelige fordelingen av regelmotor-anbefalinger og estimert EOQ-besparelse under tre scenarier, mens detaljerte besparelsestall og sensitivitetsintervaller presenteres i avsnitt 7.5–7.6.</w:t>
      </w:r>
    </w:p>
    <w:p>
      <w:pPr>
        <w:pStyle w:val="CaptionedFigure"/>
      </w:pPr>
      <w:r>
        <w:drawing>
          <wp:inline>
            <wp:extent cx="6007100" cy="2487669"/>
            <wp:effectExtent b="0" l="0" r="0" t="0"/>
            <wp:docPr descr="Figur 10. Regelmotor og besparelsesanalyse: fordeling av HVFS-anbefalinger (venstre) og estimert årlig EOQ-besparelse under tre realiseringsscenarier (høyre). 709 artikler, WERKS 3300 / LGORT 3001. Generert med støtte fra Claude (Anthropic, 2026)." title="" id="95" name="Picture"/>
            <a:graphic>
              <a:graphicData uri="http://schemas.openxmlformats.org/drawingml/2006/picture">
                <pic:pic>
                  <pic:nvPicPr>
                    <pic:cNvPr descr="../006%20Analyse/plots/Fig10_Regelmotor_Besparelse.png" id="96" name="Picture"/>
                    <pic:cNvPicPr>
                      <a:picLocks noChangeArrowheads="1" noChangeAspect="1"/>
                    </pic:cNvPicPr>
                  </pic:nvPicPr>
                  <pic:blipFill>
                    <a:blip r:embed="rId94"/>
                    <a:stretch>
                      <a:fillRect/>
                    </a:stretch>
                  </pic:blipFill>
                  <pic:spPr bwMode="auto">
                    <a:xfrm>
                      <a:off x="0" y="0"/>
                      <a:ext cx="6007100" cy="2487669"/>
                    </a:xfrm>
                    <a:prstGeom prst="rect">
                      <a:avLst/>
                    </a:prstGeom>
                    <a:noFill/>
                    <a:ln w="9525">
                      <a:noFill/>
                      <a:headEnd/>
                      <a:tailEnd/>
                    </a:ln>
                  </pic:spPr>
                </pic:pic>
              </a:graphicData>
            </a:graphic>
          </wp:inline>
        </w:drawing>
      </w:r>
    </w:p>
    <w:p>
      <w:pPr>
        <w:pStyle w:val="ImageCaption"/>
      </w:pPr>
      <w:r>
        <w:t xml:space="preserve">Figur 10. Regelmotor og besparelsesanalyse: fordeling av HVFS-anbefalinger (venstre) og estimert årlig EOQ-besparelse under tre realiseringsscenarier (høyre). 709 artikler, WERKS 3300 / LGORT 3001. Generert med støtte fra Claude (Anthropic, 2026).</w:t>
      </w:r>
    </w:p>
    <w:p>
      <w:pPr>
        <w:pStyle w:val="BodyText"/>
      </w:pPr>
      <w:r>
        <w:t xml:space="preserve">Figur 10 viser at 145 artikler (20,5 % av populasjonen) anbefales overført til HVFS, mens 257 artikler (36,2 %) beholdes lokalt basert på Z-klasse eller CY-kombinasjon. Kategorien TIL VURDERING er den største enkeltgruppen med 284 artikler (40,1 %), noe som reflekterer at mange artikler har en profil der de ulike analysene ikke gir entydige signaler. Dette er et forventet utfall gitt at regelmotoren er utformet for å unngå feilaktige overføringsanbefalinger: usikre tilfeller sendes til manuell vurdering fremfor å tvinges inn i en binær beslutning. Fordelingen av anbefalinger per regel er som følger: R1 (Z-override) fanget 144 artikler, R2 (CY) fanget 113, R3 (A/B + X + FOR_MANGE) fanget 91, R4 (A/B + X + K_OVERFØR) fanget 26, R5 (A/B + Y + K_OVERFØR) fanget 28, og R6–R8 sendte de resterende 284 artiklene til manuell vurdering. At TIL_VURDERING er den største enkeltgruppen er et bevisst designvalg: regelmotoren er utformet for høy presisjon i OVERFØR-anbefalingene, og aksepterer at dette medfører en større andel artikler som krever manuell gjennomgang. Fullstendige resultat- og besparelsestabeller presenteres i kapittel 7.</w:t>
      </w:r>
    </w:p>
    <w:p>
      <w:r>
        <w:pict>
          <v:rect style="width:0;height:1.5pt" o:hralign="center" o:hrstd="t" o:hr="t"/>
        </w:pict>
      </w:r>
    </w:p>
    <w:bookmarkEnd w:id="97"/>
    <w:bookmarkEnd w:id="98"/>
    <w:bookmarkStart w:id="105" w:name="kapittel-7-resultater"/>
    <w:p>
      <w:pPr>
        <w:pStyle w:val="Overskrift1"/>
      </w:pPr>
      <w:r>
        <w:t xml:space="preserve">Kapittel 7 – Resultater</w:t>
      </w:r>
    </w:p>
    <w:bookmarkStart w:id="99" w:name="abc-resultater"/>
    <w:p>
      <w:pPr>
        <w:pStyle w:val="Overskrift2"/>
      </w:pPr>
      <w:r>
        <w:t xml:space="preserve">7.1 ABC-resultater</w:t>
      </w:r>
    </w:p>
    <w:p>
      <w:pPr>
        <w:pStyle w:val="FirstParagraph"/>
      </w:pPr>
      <w:r>
        <w:rPr>
          <w:i/>
          <w:iCs/>
        </w:rPr>
        <w:t xml:space="preserve">Tabell 8. ABC-fordeling: antall artikler og verdiandel per klasse (n = 709).</w:t>
      </w:r>
    </w:p>
    <w:tbl>
      <w:tblPr>
        <w:tblStyle w:val="Table"/>
        <w:tblW w:type="pct" w:w="5000"/>
        <w:tblLayout w:type="fixed"/>
        <w:tblLook w:firstRow="1" w:lastRow="0" w:firstColumn="0" w:lastColumn="0" w:noHBand="0" w:noVBand="0" w:val="0020"/>
      </w:tblPr>
      <w:tblGrid>
        <w:gridCol w:w="990"/>
        <w:gridCol w:w="1980"/>
        <w:gridCol w:w="2475"/>
        <w:gridCol w:w="2475"/>
      </w:tblGrid>
      <w:tr>
        <w:trPr>
          <w:tblHeader w:val="on"/>
        </w:trPr>
        <w:tc>
          <w:tcPr/>
          <w:p>
            <w:pPr>
              <w:pStyle w:val="Compact"/>
            </w:pPr>
            <w:r>
              <w:t xml:space="preserve">Klasse</w:t>
            </w:r>
          </w:p>
        </w:tc>
        <w:tc>
          <w:tcPr/>
          <w:p>
            <w:pPr>
              <w:pStyle w:val="Compact"/>
            </w:pPr>
            <w:r>
              <w:t xml:space="preserve">Antall artikler</w:t>
            </w:r>
          </w:p>
        </w:tc>
        <w:tc>
          <w:tcPr/>
          <w:p>
            <w:pPr>
              <w:pStyle w:val="Compact"/>
            </w:pPr>
            <w:r>
              <w:t xml:space="preserve">Andel av populasjon</w:t>
            </w:r>
          </w:p>
        </w:tc>
        <w:tc>
          <w:tcPr/>
          <w:p>
            <w:pPr>
              <w:pStyle w:val="Compact"/>
            </w:pPr>
            <w:r>
              <w:t xml:space="preserve">Kumulativ verdiandel</w:t>
            </w:r>
          </w:p>
        </w:tc>
      </w:tr>
      <w:tr>
        <w:tc>
          <w:tcPr/>
          <w:p>
            <w:pPr>
              <w:pStyle w:val="Compact"/>
            </w:pPr>
            <w:r>
              <w:t xml:space="preserve">A</w:t>
            </w:r>
          </w:p>
        </w:tc>
        <w:tc>
          <w:tcPr/>
          <w:p>
            <w:pPr>
              <w:pStyle w:val="Compact"/>
            </w:pPr>
            <w:r>
              <w:t xml:space="preserve">182</w:t>
            </w:r>
          </w:p>
        </w:tc>
        <w:tc>
          <w:tcPr/>
          <w:p>
            <w:pPr>
              <w:pStyle w:val="Compact"/>
            </w:pPr>
            <w:r>
              <w:t xml:space="preserve">25,7 %</w:t>
            </w:r>
          </w:p>
        </w:tc>
        <w:tc>
          <w:tcPr/>
          <w:p>
            <w:pPr>
              <w:pStyle w:val="Compact"/>
            </w:pPr>
            <w:r>
              <w:t xml:space="preserve">0–80 %</w:t>
            </w:r>
          </w:p>
        </w:tc>
      </w:tr>
      <w:tr>
        <w:tc>
          <w:tcPr/>
          <w:p>
            <w:pPr>
              <w:pStyle w:val="Compact"/>
            </w:pPr>
            <w:r>
              <w:t xml:space="preserve">B</w:t>
            </w:r>
          </w:p>
        </w:tc>
        <w:tc>
          <w:tcPr/>
          <w:p>
            <w:pPr>
              <w:pStyle w:val="Compact"/>
            </w:pPr>
            <w:r>
              <w:t xml:space="preserve">184</w:t>
            </w:r>
          </w:p>
        </w:tc>
        <w:tc>
          <w:tcPr/>
          <w:p>
            <w:pPr>
              <w:pStyle w:val="Compact"/>
            </w:pPr>
            <w:r>
              <w:t xml:space="preserve">26,0 %</w:t>
            </w:r>
          </w:p>
        </w:tc>
        <w:tc>
          <w:tcPr/>
          <w:p>
            <w:pPr>
              <w:pStyle w:val="Compact"/>
            </w:pPr>
            <w:r>
              <w:t xml:space="preserve">80–95 %</w:t>
            </w:r>
          </w:p>
        </w:tc>
      </w:tr>
      <w:tr>
        <w:tc>
          <w:tcPr/>
          <w:p>
            <w:pPr>
              <w:pStyle w:val="Compact"/>
            </w:pPr>
            <w:r>
              <w:t xml:space="preserve">C</w:t>
            </w:r>
          </w:p>
        </w:tc>
        <w:tc>
          <w:tcPr/>
          <w:p>
            <w:pPr>
              <w:pStyle w:val="Compact"/>
            </w:pPr>
            <w:r>
              <w:t xml:space="preserve">338</w:t>
            </w:r>
          </w:p>
        </w:tc>
        <w:tc>
          <w:tcPr/>
          <w:p>
            <w:pPr>
              <w:pStyle w:val="Compact"/>
            </w:pPr>
            <w:r>
              <w:t xml:space="preserve">47,7 %</w:t>
            </w:r>
          </w:p>
        </w:tc>
        <w:tc>
          <w:tcPr/>
          <w:p>
            <w:pPr>
              <w:pStyle w:val="Compact"/>
            </w:pPr>
            <w:r>
              <w:t xml:space="preserve">95–100 %</w:t>
            </w:r>
          </w:p>
        </w:tc>
      </w:tr>
      <w:tr>
        <w:tc>
          <w:tcPr/>
          <w:p>
            <w:pPr>
              <w:pStyle w:val="Compact"/>
            </w:pPr>
            <w:r>
              <w:t xml:space="preserve">Ikke klassifisert</w:t>
            </w:r>
          </w:p>
        </w:tc>
        <w:tc>
          <w:tcPr/>
          <w:p>
            <w:pPr>
              <w:pStyle w:val="Compact"/>
            </w:pPr>
            <w:r>
              <w:t xml:space="preserve">5</w:t>
            </w:r>
          </w:p>
        </w:tc>
        <w:tc>
          <w:tcPr/>
          <w:p>
            <w:pPr>
              <w:pStyle w:val="Compact"/>
            </w:pPr>
            <w:r>
              <w:t xml:space="preserve">0,7 %</w:t>
            </w:r>
          </w:p>
        </w:tc>
        <w:tc>
          <w:tcPr/>
          <w:p>
            <w:pPr>
              <w:pStyle w:val="Compact"/>
            </w:pPr>
            <w:r>
              <w:t xml:space="preserve">Mangler verdidata</w:t>
            </w:r>
          </w:p>
        </w:tc>
      </w:tr>
      <w:tr>
        <w:tc>
          <w:tcPr/>
          <w:p>
            <w:pPr>
              <w:pStyle w:val="Compact"/>
            </w:pPr>
            <w:r>
              <w:rPr>
                <w:b/>
                <w:bCs/>
              </w:rPr>
              <w:t xml:space="preserve">Totalt</w:t>
            </w:r>
          </w:p>
        </w:tc>
        <w:tc>
          <w:tcPr/>
          <w:p>
            <w:pPr>
              <w:pStyle w:val="Compact"/>
            </w:pPr>
            <w:r>
              <w:rPr>
                <w:b/>
                <w:bCs/>
              </w:rPr>
              <w:t xml:space="preserve">709</w:t>
            </w:r>
          </w:p>
        </w:tc>
        <w:tc>
          <w:tcPr/>
          <w:p>
            <w:pPr>
              <w:pStyle w:val="Compact"/>
            </w:pPr>
            <w:r>
              <w:rPr>
                <w:b/>
                <w:bCs/>
              </w:rPr>
              <w:t xml:space="preserve">100 %</w:t>
            </w:r>
          </w:p>
        </w:tc>
        <w:tc>
          <w:tcPr/>
          <w:p>
            <w:pPr>
              <w:pStyle w:val="Compact"/>
            </w:pPr>
          </w:p>
        </w:tc>
      </w:tr>
    </w:tbl>
    <w:p>
      <w:pPr>
        <w:pStyle w:val="BodyText"/>
      </w:pPr>
      <w:r>
        <w:t xml:space="preserve">182 A-artikler utgjør 25,7 % av populasjonen og representerer om lag 80 % av den totale lagerverdien. A-klassens andel er noe høyere enn den kanoniske 20 %-regelen i Pareto-prinsippet, noe som reflekterer at Helse Bergens sortiment inneholder et begrenset antall høyverdige forbruksartikler med stort volum. 184 B-artikler (26,0 %) dekker ytterligere 15 % av verdien, slik at A- og B-artiklene til sammen (366 artikler, 51,6 %) står for om lag 95 % av verdibindingen. De resterende 338 C-artiklene (47,7 % av populasjonen) dekker de siste 5 % av verdien — en typisk Pareto-fordeling der nesten halvparten av artiklene samlet har marginal verdibetydning. 5 artikler (0,7 %) kunne ikke ABC-klassifiseres grunnet manglende verdidata etter beslutningene D-02 og D-03. Pareto-kurven er presentert som Figur 4 i kapittel 6. Det sterke Pareto-mønsteret bekrefter at differensiert lagerstyring — med tettere oppfølging av A-artikler og enklere håndtering av C-artikler — er faglig begrunnet for dette sortimentet.</w:t>
      </w:r>
    </w:p>
    <w:bookmarkEnd w:id="99"/>
    <w:bookmarkStart w:id="100" w:name="xyz-resultater"/>
    <w:p>
      <w:pPr>
        <w:pStyle w:val="Overskrift2"/>
      </w:pPr>
      <w:r>
        <w:t xml:space="preserve">7.2 XYZ-resultater</w:t>
      </w:r>
    </w:p>
    <w:p>
      <w:pPr>
        <w:pStyle w:val="FirstParagraph"/>
      </w:pPr>
      <w:r>
        <w:rPr>
          <w:i/>
          <w:iCs/>
        </w:rPr>
        <w:t xml:space="preserve">Tabell 9. XYZ-fordeling: antall artikler per klasse (n = 687 klassifiserte).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Klasse</w:t>
            </w:r>
          </w:p>
        </w:tc>
        <w:tc>
          <w:tcPr/>
          <w:p>
            <w:pPr>
              <w:pStyle w:val="Compact"/>
            </w:pPr>
            <w:r>
              <w:t xml:space="preserve">CV-grense</w:t>
            </w:r>
          </w:p>
        </w:tc>
        <w:tc>
          <w:tcPr/>
          <w:p>
            <w:pPr>
              <w:pStyle w:val="Compact"/>
            </w:pPr>
            <w:r>
              <w:t xml:space="preserve">Antall</w:t>
            </w:r>
          </w:p>
        </w:tc>
        <w:tc>
          <w:tcPr/>
          <w:p>
            <w:pPr>
              <w:pStyle w:val="Compact"/>
            </w:pPr>
            <w:r>
              <w:t xml:space="preserve">Andel</w:t>
            </w:r>
          </w:p>
        </w:tc>
      </w:tr>
      <w:tr>
        <w:tc>
          <w:tcPr/>
          <w:p>
            <w:pPr>
              <w:pStyle w:val="Compact"/>
            </w:pPr>
            <w:r>
              <w:t xml:space="preserve">X (stabilt)</w:t>
            </w:r>
          </w:p>
        </w:tc>
        <w:tc>
          <w:tcPr/>
          <w:p>
            <w:pPr>
              <w:pStyle w:val="Compact"/>
            </w:pPr>
            <w:r>
              <w:t xml:space="preserve">CV &lt; 0,5</w:t>
            </w:r>
          </w:p>
        </w:tc>
        <w:tc>
          <w:tcPr/>
          <w:p>
            <w:pPr>
              <w:pStyle w:val="Compact"/>
            </w:pPr>
            <w:r>
              <w:t xml:space="preserve">350</w:t>
            </w:r>
          </w:p>
        </w:tc>
        <w:tc>
          <w:tcPr/>
          <w:p>
            <w:pPr>
              <w:pStyle w:val="Compact"/>
            </w:pPr>
            <w:r>
              <w:t xml:space="preserve">50,9 %</w:t>
            </w:r>
          </w:p>
        </w:tc>
      </w:tr>
      <w:tr>
        <w:tc>
          <w:tcPr/>
          <w:p>
            <w:pPr>
              <w:pStyle w:val="Compact"/>
            </w:pPr>
            <w:r>
              <w:t xml:space="preserve">Y (moderat)</w:t>
            </w:r>
          </w:p>
        </w:tc>
        <w:tc>
          <w:tcPr/>
          <w:p>
            <w:pPr>
              <w:pStyle w:val="Compact"/>
            </w:pPr>
            <w:r>
              <w:t xml:space="preserve">0,5 ≤ CV &lt; 1,0</w:t>
            </w:r>
          </w:p>
        </w:tc>
        <w:tc>
          <w:tcPr/>
          <w:p>
            <w:pPr>
              <w:pStyle w:val="Compact"/>
            </w:pPr>
            <w:r>
              <w:t xml:space="preserve">193</w:t>
            </w:r>
          </w:p>
        </w:tc>
        <w:tc>
          <w:tcPr/>
          <w:p>
            <w:pPr>
              <w:pStyle w:val="Compact"/>
            </w:pPr>
            <w:r>
              <w:t xml:space="preserve">28,1 %</w:t>
            </w:r>
          </w:p>
        </w:tc>
      </w:tr>
      <w:tr>
        <w:tc>
          <w:tcPr/>
          <w:p>
            <w:pPr>
              <w:pStyle w:val="Compact"/>
            </w:pPr>
            <w:r>
              <w:t xml:space="preserve">Z (uregelmessig)</w:t>
            </w:r>
          </w:p>
        </w:tc>
        <w:tc>
          <w:tcPr/>
          <w:p>
            <w:pPr>
              <w:pStyle w:val="Compact"/>
            </w:pPr>
            <w:r>
              <w:t xml:space="preserve">CV ≥ 1,0</w:t>
            </w:r>
          </w:p>
        </w:tc>
        <w:tc>
          <w:tcPr/>
          <w:p>
            <w:pPr>
              <w:pStyle w:val="Compact"/>
            </w:pPr>
            <w:r>
              <w:t xml:space="preserve">144</w:t>
            </w:r>
          </w:p>
        </w:tc>
        <w:tc>
          <w:tcPr/>
          <w:p>
            <w:pPr>
              <w:pStyle w:val="Compact"/>
            </w:pPr>
            <w:r>
              <w:t xml:space="preserve">20,9 %</w:t>
            </w:r>
          </w:p>
        </w:tc>
      </w:tr>
      <w:tr>
        <w:tc>
          <w:tcPr/>
          <w:p>
            <w:pPr>
              <w:pStyle w:val="Compact"/>
            </w:pPr>
            <w:r>
              <w:t xml:space="preserve">Ikke klassifisert</w:t>
            </w:r>
          </w:p>
        </w:tc>
        <w:tc>
          <w:tcPr/>
          <w:p>
            <w:pPr>
              <w:pStyle w:val="Compact"/>
            </w:pPr>
            <w:r>
              <w:t xml:space="preserve">—</w:t>
            </w:r>
          </w:p>
        </w:tc>
        <w:tc>
          <w:tcPr/>
          <w:p>
            <w:pPr>
              <w:pStyle w:val="Compact"/>
            </w:pPr>
            <w:r>
              <w:t xml:space="preserve">22</w:t>
            </w:r>
          </w:p>
        </w:tc>
        <w:tc>
          <w:tcPr/>
          <w:p>
            <w:pPr>
              <w:pStyle w:val="Compact"/>
            </w:pPr>
            <w:r>
              <w:t xml:space="preserve">—</w:t>
            </w:r>
          </w:p>
        </w:tc>
      </w:tr>
    </w:tbl>
    <w:p>
      <w:pPr>
        <w:pStyle w:val="BodyText"/>
      </w:pPr>
      <w:r>
        <w:t xml:space="preserve">350 artikler (50,9 % av klassifiserte) har stabilt forbruksmønster (X), 193 artikler (28,1 %) har moderat variasjon (Y), og 144 artikler (20,9 %) har uregelmessig forbruk (Z). At over halvparten av artiklene faller i X-kategorien er positivt for HVFS-sentralisering, da stabilt forbruk er en forutsetning for APL-leveransemodellen. De 22 ikke-klassifiserte artiklene mangler tilstrekkelig forbrukshistorikk i MSEG (færre enn tre måneder med registrert forbruk) og er ekskludert fra XYZ-analysen for å unngå misvisende CV-estimater.</w:t>
      </w:r>
    </w:p>
    <w:p>
      <w:pPr>
        <w:pStyle w:val="BodyText"/>
      </w:pPr>
      <w:r>
        <w:t xml:space="preserve">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understreker at SAP-feltets ZZXYZ ikke er systematisk oppdatert og bør erstattes med beregnet CV-klasse som primær XYZ-indikator. ABC/XYZ-kryssmatrisen er presentert som Figur 5 i kapittel 6; fullstendige celleanntall er gjengitt der.</w:t>
      </w:r>
    </w:p>
    <w:p>
      <w:pPr>
        <w:pStyle w:val="BodyText"/>
      </w:pPr>
      <w:r>
        <w:rPr>
          <w:i/>
          <w:iCs/>
        </w:rPr>
        <w:t xml:space="preserve">Tabell 10. SAP ZZXYZ-validering: samsvar mellom systemklasse og beregnet CV-klasse (n = 375 artikler med data i begge kilder).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Beregnet X</w:t>
            </w:r>
          </w:p>
        </w:tc>
        <w:tc>
          <w:tcPr/>
          <w:p>
            <w:pPr>
              <w:pStyle w:val="Compact"/>
            </w:pPr>
            <w:r>
              <w:t xml:space="preserve">Beregnet Y</w:t>
            </w:r>
          </w:p>
        </w:tc>
        <w:tc>
          <w:tcPr/>
          <w:p>
            <w:pPr>
              <w:pStyle w:val="Compact"/>
            </w:pPr>
            <w:r>
              <w:t xml:space="preserve">Beregnet Z</w:t>
            </w:r>
          </w:p>
        </w:tc>
        <w:tc>
          <w:tcPr/>
          <w:p>
            <w:pPr>
              <w:pStyle w:val="Compact"/>
            </w:pPr>
            <w:r>
              <w:t xml:space="preserve">Sum</w:t>
            </w:r>
          </w:p>
        </w:tc>
      </w:tr>
      <w:tr>
        <w:tc>
          <w:tcPr/>
          <w:p>
            <w:pPr>
              <w:pStyle w:val="Compact"/>
            </w:pPr>
            <w:r>
              <w:t xml:space="preserve">SAP X</w:t>
            </w:r>
          </w:p>
        </w:tc>
        <w:tc>
          <w:tcPr/>
          <w:p>
            <w:pPr>
              <w:pStyle w:val="Compact"/>
            </w:pPr>
            <w:r>
              <w:t xml:space="preserve">Samsvar</w:t>
            </w:r>
          </w:p>
        </w:tc>
        <w:tc>
          <w:tcPr/>
          <w:p>
            <w:pPr>
              <w:pStyle w:val="Compact"/>
            </w:pPr>
            <w:r>
              <w:t xml:space="preserve">Avvik</w:t>
            </w:r>
          </w:p>
        </w:tc>
        <w:tc>
          <w:tcPr/>
          <w:p>
            <w:pPr>
              <w:pStyle w:val="Compact"/>
            </w:pPr>
            <w:r>
              <w:t xml:space="preserve">Avvik</w:t>
            </w:r>
          </w:p>
        </w:tc>
        <w:tc>
          <w:tcPr/>
          <w:p>
            <w:pPr>
              <w:pStyle w:val="Compact"/>
            </w:pPr>
            <w:r>
              <w:t xml:space="preserve">—</w:t>
            </w:r>
          </w:p>
        </w:tc>
      </w:tr>
      <w:tr>
        <w:tc>
          <w:tcPr/>
          <w:p>
            <w:pPr>
              <w:pStyle w:val="Compact"/>
            </w:pPr>
            <w:r>
              <w:t xml:space="preserve">SAP Y</w:t>
            </w:r>
          </w:p>
        </w:tc>
        <w:tc>
          <w:tcPr/>
          <w:p>
            <w:pPr>
              <w:pStyle w:val="Compact"/>
            </w:pPr>
            <w:r>
              <w:t xml:space="preserve">Avvik</w:t>
            </w:r>
          </w:p>
        </w:tc>
        <w:tc>
          <w:tcPr/>
          <w:p>
            <w:pPr>
              <w:pStyle w:val="Compact"/>
            </w:pPr>
            <w:r>
              <w:t xml:space="preserve">Samsvar</w:t>
            </w:r>
          </w:p>
        </w:tc>
        <w:tc>
          <w:tcPr/>
          <w:p>
            <w:pPr>
              <w:pStyle w:val="Compact"/>
            </w:pPr>
            <w:r>
              <w:t xml:space="preserve">Avvik</w:t>
            </w:r>
          </w:p>
        </w:tc>
        <w:tc>
          <w:tcPr/>
          <w:p>
            <w:pPr>
              <w:pStyle w:val="Compact"/>
            </w:pPr>
            <w:r>
              <w:t xml:space="preserve">—</w:t>
            </w:r>
          </w:p>
        </w:tc>
      </w:tr>
      <w:tr>
        <w:tc>
          <w:tcPr/>
          <w:p>
            <w:pPr>
              <w:pStyle w:val="Compact"/>
            </w:pPr>
            <w:r>
              <w:t xml:space="preserve">SAP Z</w:t>
            </w:r>
          </w:p>
        </w:tc>
        <w:tc>
          <w:tcPr/>
          <w:p>
            <w:pPr>
              <w:pStyle w:val="Compact"/>
            </w:pPr>
            <w:r>
              <w:t xml:space="preserve">Avvik</w:t>
            </w:r>
          </w:p>
        </w:tc>
        <w:tc>
          <w:tcPr/>
          <w:p>
            <w:pPr>
              <w:pStyle w:val="Compact"/>
            </w:pPr>
            <w:r>
              <w:t xml:space="preserve">Avvik</w:t>
            </w:r>
          </w:p>
        </w:tc>
        <w:tc>
          <w:tcPr/>
          <w:p>
            <w:pPr>
              <w:pStyle w:val="Compact"/>
            </w:pPr>
            <w:r>
              <w:t xml:space="preserve">Samsvar</w:t>
            </w:r>
          </w:p>
        </w:tc>
        <w:tc>
          <w:tcPr/>
          <w:p>
            <w:pPr>
              <w:pStyle w:val="Compact"/>
            </w:pPr>
            <w:r>
              <w:t xml:space="preserve">—</w:t>
            </w:r>
          </w:p>
        </w:tc>
      </w:tr>
      <w:tr>
        <w:tc>
          <w:tcPr/>
          <w:p>
            <w:pPr>
              <w:pStyle w:val="Compact"/>
            </w:pPr>
            <w:r>
              <w:rPr>
                <w:b/>
                <w:bCs/>
              </w:rPr>
              <w:t xml:space="preserve">Totalt samsvar</w:t>
            </w:r>
          </w:p>
        </w:tc>
        <w:tc>
          <w:tcPr/>
          <w:p>
            <w:pPr>
              <w:pStyle w:val="Compact"/>
            </w:pPr>
          </w:p>
        </w:tc>
        <w:tc>
          <w:tcPr/>
          <w:p>
            <w:pPr>
              <w:pStyle w:val="Compact"/>
            </w:pPr>
          </w:p>
        </w:tc>
        <w:tc>
          <w:tcPr/>
          <w:p>
            <w:pPr>
              <w:pStyle w:val="Compact"/>
            </w:pPr>
          </w:p>
        </w:tc>
        <w:tc>
          <w:tcPr/>
          <w:p>
            <w:pPr>
              <w:pStyle w:val="Compact"/>
            </w:pPr>
            <w:r>
              <w:rPr>
                <w:b/>
                <w:bCs/>
              </w:rPr>
              <w:t xml:space="preserve">125 / 375 (33 %)</w:t>
            </w:r>
          </w:p>
        </w:tc>
      </w:tr>
    </w:tbl>
    <w:bookmarkEnd w:id="100"/>
    <w:bookmarkStart w:id="101" w:name="eoq-avviksresultater"/>
    <w:p>
      <w:pPr>
        <w:pStyle w:val="Overskrift2"/>
      </w:pPr>
      <w:r>
        <w:t xml:space="preserve">7.3 EOQ-avviksresultater</w:t>
      </w:r>
    </w:p>
    <w:p>
      <w:pPr>
        <w:pStyle w:val="FirstParagraph"/>
      </w:pPr>
      <w:r>
        <w:rPr>
          <w:i/>
          <w:iCs/>
        </w:rPr>
        <w:t xml:space="preserve">Tabell 11. EOQ-avviksresultater: fordeling av artikler etter ordrefrekvensavvik (n = 487).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EOQ-status</w:t>
            </w:r>
          </w:p>
        </w:tc>
        <w:tc>
          <w:tcPr/>
          <w:p>
            <w:pPr>
              <w:pStyle w:val="Compact"/>
            </w:pPr>
            <w:r>
              <w:t xml:space="preserve">Betingelse</w:t>
            </w:r>
          </w:p>
        </w:tc>
        <w:tc>
          <w:tcPr/>
          <w:p>
            <w:pPr>
              <w:pStyle w:val="Compact"/>
            </w:pPr>
            <w:r>
              <w:t xml:space="preserve">Antall</w:t>
            </w:r>
          </w:p>
        </w:tc>
        <w:tc>
          <w:tcPr/>
          <w:p>
            <w:pPr>
              <w:pStyle w:val="Compact"/>
            </w:pPr>
            <w:r>
              <w:t xml:space="preserve">Andel</w:t>
            </w:r>
          </w:p>
        </w:tc>
      </w:tr>
      <w:tr>
        <w:tc>
          <w:tcPr/>
          <w:p>
            <w:pPr>
              <w:pStyle w:val="Compact"/>
            </w:pPr>
            <w:r>
              <w:t xml:space="preserve">FOR_MANGE_ORDRER</w:t>
            </w:r>
          </w:p>
        </w:tc>
        <w:tc>
          <w:tcPr/>
          <w:p>
            <w:pPr>
              <w:pStyle w:val="Compact"/>
            </w:pPr>
            <w:r>
              <w:t xml:space="preserve">FREQ_AVVIK &gt; 1,5</w:t>
            </w:r>
          </w:p>
        </w:tc>
        <w:tc>
          <w:tcPr/>
          <w:p>
            <w:pPr>
              <w:pStyle w:val="Compact"/>
            </w:pPr>
            <w:r>
              <w:t xml:space="preserve">356</w:t>
            </w:r>
          </w:p>
        </w:tc>
        <w:tc>
          <w:tcPr/>
          <w:p>
            <w:pPr>
              <w:pStyle w:val="Compact"/>
            </w:pPr>
            <w:r>
              <w:t xml:space="preserve">73,1 %</w:t>
            </w:r>
          </w:p>
        </w:tc>
      </w:tr>
      <w:tr>
        <w:tc>
          <w:tcPr/>
          <w:p>
            <w:pPr>
              <w:pStyle w:val="Compact"/>
            </w:pPr>
            <w:r>
              <w:t xml:space="preserve">OK</w:t>
            </w:r>
          </w:p>
        </w:tc>
        <w:tc>
          <w:tcPr/>
          <w:p>
            <w:pPr>
              <w:pStyle w:val="Compact"/>
            </w:pPr>
            <w:r>
              <w:t xml:space="preserve">−0,5 ≤ FREQ_AVVIK ≤ 1,5</w:t>
            </w:r>
          </w:p>
        </w:tc>
        <w:tc>
          <w:tcPr/>
          <w:p>
            <w:pPr>
              <w:pStyle w:val="Compact"/>
            </w:pPr>
            <w:r>
              <w:t xml:space="preserve">100</w:t>
            </w:r>
          </w:p>
        </w:tc>
        <w:tc>
          <w:tcPr/>
          <w:p>
            <w:pPr>
              <w:pStyle w:val="Compact"/>
            </w:pPr>
            <w:r>
              <w:t xml:space="preserve">20,5 %</w:t>
            </w:r>
          </w:p>
        </w:tc>
      </w:tr>
      <w:tr>
        <w:tc>
          <w:tcPr/>
          <w:p>
            <w:pPr>
              <w:pStyle w:val="Compact"/>
            </w:pPr>
            <w:r>
              <w:t xml:space="preserve">FOR_FÅ_ORDRER</w:t>
            </w:r>
          </w:p>
        </w:tc>
        <w:tc>
          <w:tcPr/>
          <w:p>
            <w:pPr>
              <w:pStyle w:val="Compact"/>
            </w:pPr>
            <w:r>
              <w:t xml:space="preserve">FREQ_AVVIK &lt; −0,5</w:t>
            </w:r>
          </w:p>
        </w:tc>
        <w:tc>
          <w:tcPr/>
          <w:p>
            <w:pPr>
              <w:pStyle w:val="Compact"/>
            </w:pPr>
            <w:r>
              <w:t xml:space="preserve">31</w:t>
            </w:r>
          </w:p>
        </w:tc>
        <w:tc>
          <w:tcPr/>
          <w:p>
            <w:pPr>
              <w:pStyle w:val="Compact"/>
            </w:pPr>
            <w:r>
              <w:t xml:space="preserve">6,4 %</w:t>
            </w:r>
          </w:p>
        </w:tc>
      </w:tr>
      <w:tr>
        <w:tc>
          <w:tcPr/>
          <w:p>
            <w:pPr>
              <w:pStyle w:val="Compact"/>
            </w:pPr>
            <w:r>
              <w:rPr>
                <w:b/>
                <w:bCs/>
              </w:rPr>
              <w:t xml:space="preserve">Totalt analysert</w:t>
            </w:r>
          </w:p>
        </w:tc>
        <w:tc>
          <w:tcPr/>
          <w:p>
            <w:pPr>
              <w:pStyle w:val="Compact"/>
            </w:pPr>
          </w:p>
        </w:tc>
        <w:tc>
          <w:tcPr/>
          <w:p>
            <w:pPr>
              <w:pStyle w:val="Compact"/>
            </w:pPr>
            <w:r>
              <w:rPr>
                <w:b/>
                <w:bCs/>
              </w:rPr>
              <w:t xml:space="preserve">487</w:t>
            </w:r>
          </w:p>
        </w:tc>
        <w:tc>
          <w:tcPr/>
          <w:p>
            <w:pPr>
              <w:pStyle w:val="Compact"/>
            </w:pPr>
            <w:r>
              <w:rPr>
                <w:b/>
                <w:bCs/>
              </w:rPr>
              <w:t xml:space="preserve">100 %</w:t>
            </w:r>
          </w:p>
        </w:tc>
      </w:tr>
      <w:tr>
        <w:tc>
          <w:tcPr/>
          <w:p>
            <w:pPr>
              <w:pStyle w:val="Compact"/>
            </w:pPr>
            <w:r>
              <w:t xml:space="preserve">Samlet ΔTC (alle 487)</w:t>
            </w:r>
          </w:p>
        </w:tc>
        <w:tc>
          <w:tcPr/>
          <w:p>
            <w:pPr>
              <w:pStyle w:val="Compact"/>
            </w:pPr>
          </w:p>
        </w:tc>
        <w:tc>
          <w:tcPr/>
          <w:p>
            <w:pPr>
              <w:pStyle w:val="Compact"/>
            </w:pPr>
            <w:r>
              <w:rPr>
                <w:b/>
                <w:bCs/>
              </w:rPr>
              <w:t xml:space="preserve">kr 2 333 441 / år</w:t>
            </w:r>
          </w:p>
        </w:tc>
        <w:tc>
          <w:tcPr/>
          <w:p>
            <w:pPr>
              <w:pStyle w:val="Compact"/>
            </w:pPr>
          </w:p>
        </w:tc>
      </w:tr>
    </w:tbl>
    <w:p>
      <w:pPr>
        <w:pStyle w:val="BodyText"/>
      </w:pPr>
      <w:r>
        <w:t xml:space="preserve">Av de 487 artiklene med tilstrekkelig data for EOQ-beregning har 356 artikler (73,1 %) en faktisk ordrefrekvens som overskrider EOQ-optimal frekvens med mer enn 50 %, og er klassifisert som FOR_MANGE_ORDRER. 100 artikler (20,5 %) opererer innenfor akseptabelt avvik (OK), og 31 artikler (6,4 %) bestiller sjeldnere enn EOQ-optimalt (FOR_FÅ_ORDRER). Den høye andelen FOR_MANGE_ORDRER indikerer at den eksisterende bestillingspraksisen ved LGORT 3001 er systematisk suboptimal — artiklene bestilles i for små kvanta og for ofte i forhold til hva Wilson-modellen tilsier med de gitte parameterne S = 750 NOK og h = 20 %.</w:t>
      </w:r>
    </w:p>
    <w:p>
      <w:pPr>
        <w:pStyle w:val="BodyText"/>
      </w:pPr>
      <w:r>
        <w:t xml:space="preserve">Det samlede teoretiske totalkostnavviket</w:t>
      </w:r>
      <w:r>
        <w:t xml:space="preserve"> </w:t>
      </w:r>
      <m:oMath>
        <m:r>
          <m:rPr>
            <m:sty m:val="p"/>
          </m:rPr>
          <m:t>∑</m:t>
        </m:r>
        <m:r>
          <m:rPr>
            <m:sty m:val="p"/>
          </m:rPr>
          <m:t>Δ</m:t>
        </m:r>
        <m:r>
          <m:t>T</m:t>
        </m:r>
        <m:sSub>
          <m:e>
            <m:r>
              <m:t>C</m:t>
            </m:r>
          </m:e>
          <m:sub>
            <m:r>
              <m:t>i</m:t>
            </m:r>
          </m:sub>
        </m:sSub>
      </m:oMath>
      <w:r>
        <w:t xml:space="preserve"> </w:t>
      </w:r>
      <w:r>
        <w:t xml:space="preserve">for alle 487 artikler er kr 2 333 441 per år. Dette representerer det totale kostnadsoverskuddet som genereres av at faktisk ordrepraksis avviker fra EOQ-optimal; det er ikke direkte det samme som det realisable besparelsespotensialet, da kun artikler i OVERFØR_HVFS-kategorien inngår i besparelsesberegningen (se avsnitt 7.6). Fordelingen av FREQ_AVVIK er illustrert i Figur 6 i kapittel 6.</w:t>
      </w:r>
    </w:p>
    <w:bookmarkEnd w:id="101"/>
    <w:bookmarkStart w:id="102" w:name="k-means-klyngeresultater"/>
    <w:p>
      <w:pPr>
        <w:pStyle w:val="Overskrift2"/>
      </w:pPr>
      <w:r>
        <w:t xml:space="preserve">7.4 K-means klyngeresultater</w:t>
      </w:r>
    </w:p>
    <w:p>
      <w:pPr>
        <w:pStyle w:val="FirstParagraph"/>
      </w:pPr>
      <w:r>
        <w:t xml:space="preserve">K-means-analysen med automatisk K-valg via silhouette-score identifiserte K = 3 som optimalt antall klynger. Silhouette-score på treningsdataene (n = 389) var 0,383, og på testdataene (n = 98) var 0,368. Differansen mellom trenings- og testresultat er 0,015, noe som ikke indikerer vesentlig overfit. Klyngeprofiler er presentert i Tabell 12.</w:t>
      </w:r>
    </w:p>
    <w:p>
      <w:pPr>
        <w:pStyle w:val="BodyText"/>
      </w:pPr>
      <w:r>
        <w:rPr>
          <w:i/>
          <w:iCs/>
        </w:rPr>
        <w:t xml:space="preserve">Tabell 12. K-means klyngeprofiler: gjennomsnittsverdier per klynge for de tre featurene (K = 3, n = 487).</w:t>
      </w:r>
    </w:p>
    <w:tbl>
      <w:tblPr>
        <w:tblStyle w:val="Table"/>
        <w:tblW w:type="pct" w:w="5000"/>
        <w:tblLayout w:type="fixed"/>
        <w:tblLook w:firstRow="1" w:lastRow="0" w:firstColumn="0" w:lastColumn="0" w:noHBand="0" w:noVBand="0" w:val="0020"/>
      </w:tblPr>
      <w:tblGrid>
        <w:gridCol w:w="931"/>
        <w:gridCol w:w="931"/>
        <w:gridCol w:w="1164"/>
        <w:gridCol w:w="2096"/>
        <w:gridCol w:w="1863"/>
        <w:gridCol w:w="931"/>
      </w:tblGrid>
      <w:tr>
        <w:trPr>
          <w:tblHeader w:val="on"/>
        </w:trPr>
        <w:tc>
          <w:tcPr/>
          <w:p>
            <w:pPr>
              <w:pStyle w:val="Compact"/>
            </w:pPr>
            <w:r>
              <w:t xml:space="preserve">Klynge</w:t>
            </w:r>
          </w:p>
        </w:tc>
        <w:tc>
          <w:tcPr/>
          <w:p>
            <w:pPr>
              <w:pStyle w:val="Compact"/>
            </w:pPr>
            <w:r>
              <w:t xml:space="preserve">Antall</w:t>
            </w:r>
          </w:p>
        </w:tc>
        <w:tc>
          <w:tcPr/>
          <w:p>
            <w:pPr>
              <w:pStyle w:val="Compact"/>
            </w:pPr>
            <w:r>
              <w:t xml:space="preserve">CV snitt</w:t>
            </w:r>
          </w:p>
        </w:tc>
        <w:tc>
          <w:tcPr/>
          <w:p>
            <w:pPr>
              <w:pStyle w:val="Compact"/>
            </w:pPr>
            <w:r>
              <w:t xml:space="preserve">Verdi snitt (kr)</w:t>
            </w:r>
          </w:p>
        </w:tc>
        <w:tc>
          <w:tcPr/>
          <w:p>
            <w:pPr>
              <w:pStyle w:val="Compact"/>
            </w:pPr>
            <w:r>
              <w:t xml:space="preserve">ΔTC snitt (kr)</w:t>
            </w:r>
          </w:p>
        </w:tc>
        <w:tc>
          <w:tcPr/>
          <w:p>
            <w:pPr>
              <w:pStyle w:val="Compact"/>
            </w:pPr>
            <w:r>
              <w:t xml:space="preserve">Profil</w:t>
            </w:r>
          </w:p>
        </w:tc>
      </w:tr>
      <w:tr>
        <w:tc>
          <w:tcPr/>
          <w:p>
            <w:pPr>
              <w:pStyle w:val="Compact"/>
            </w:pPr>
            <w:r>
              <w:t xml:space="preserve">1</w:t>
            </w:r>
          </w:p>
        </w:tc>
        <w:tc>
          <w:tcPr/>
          <w:p>
            <w:pPr>
              <w:pStyle w:val="Compact"/>
            </w:pPr>
            <w:r>
              <w:t xml:space="preserve">31</w:t>
            </w:r>
          </w:p>
        </w:tc>
        <w:tc>
          <w:tcPr/>
          <w:p>
            <w:pPr>
              <w:pStyle w:val="Compact"/>
            </w:pPr>
            <w:r>
              <w:t xml:space="preserve">1,05</w:t>
            </w:r>
          </w:p>
        </w:tc>
        <w:tc>
          <w:tcPr/>
          <w:p>
            <w:pPr>
              <w:pStyle w:val="Compact"/>
            </w:pPr>
            <w:r>
              <w:t xml:space="preserve">150</w:t>
            </w:r>
          </w:p>
        </w:tc>
        <w:tc>
          <w:tcPr/>
          <w:p>
            <w:pPr>
              <w:pStyle w:val="Compact"/>
            </w:pPr>
            <w:r>
              <w:t xml:space="preserve">4 999</w:t>
            </w:r>
          </w:p>
        </w:tc>
        <w:tc>
          <w:tcPr/>
          <w:p>
            <w:pPr>
              <w:pStyle w:val="Compact"/>
            </w:pPr>
            <w:r>
              <w:t xml:space="preserve">Lav verdi, høy variasjon</w:t>
            </w:r>
          </w:p>
        </w:tc>
      </w:tr>
      <w:tr>
        <w:tc>
          <w:tcPr/>
          <w:p>
            <w:pPr>
              <w:pStyle w:val="Compact"/>
            </w:pPr>
            <w:r>
              <w:t xml:space="preserve">2</w:t>
            </w:r>
          </w:p>
        </w:tc>
        <w:tc>
          <w:tcPr/>
          <w:p>
            <w:pPr>
              <w:pStyle w:val="Compact"/>
            </w:pPr>
            <w:r>
              <w:t xml:space="preserve">175</w:t>
            </w:r>
          </w:p>
        </w:tc>
        <w:tc>
          <w:tcPr/>
          <w:p>
            <w:pPr>
              <w:pStyle w:val="Compact"/>
            </w:pPr>
            <w:r>
              <w:t xml:space="preserve">1,59</w:t>
            </w:r>
          </w:p>
        </w:tc>
        <w:tc>
          <w:tcPr/>
          <w:p>
            <w:pPr>
              <w:pStyle w:val="Compact"/>
            </w:pPr>
            <w:r>
              <w:t xml:space="preserve">79 658</w:t>
            </w:r>
          </w:p>
        </w:tc>
        <w:tc>
          <w:tcPr/>
          <w:p>
            <w:pPr>
              <w:pStyle w:val="Compact"/>
            </w:pPr>
            <w:r>
              <w:t xml:space="preserve">1 199</w:t>
            </w:r>
          </w:p>
        </w:tc>
        <w:tc>
          <w:tcPr/>
          <w:p>
            <w:pPr>
              <w:pStyle w:val="Compact"/>
            </w:pPr>
            <w:r>
              <w:t xml:space="preserve">Middels verdi, svært variabelt</w:t>
            </w:r>
          </w:p>
        </w:tc>
      </w:tr>
      <w:tr>
        <w:tc>
          <w:tcPr/>
          <w:p>
            <w:pPr>
              <w:pStyle w:val="Compact"/>
            </w:pPr>
            <w:r>
              <w:t xml:space="preserve">3 (K_OVERFØR)</w:t>
            </w:r>
          </w:p>
        </w:tc>
        <w:tc>
          <w:tcPr/>
          <w:p>
            <w:pPr>
              <w:pStyle w:val="Compact"/>
            </w:pPr>
            <w:r>
              <w:t xml:space="preserve">281</w:t>
            </w:r>
          </w:p>
        </w:tc>
        <w:tc>
          <w:tcPr/>
          <w:p>
            <w:pPr>
              <w:pStyle w:val="Compact"/>
            </w:pPr>
            <w:r>
              <w:t xml:space="preserve">0,47</w:t>
            </w:r>
          </w:p>
        </w:tc>
        <w:tc>
          <w:tcPr/>
          <w:p>
            <w:pPr>
              <w:pStyle w:val="Compact"/>
            </w:pPr>
            <w:r>
              <w:t xml:space="preserve">167 267</w:t>
            </w:r>
          </w:p>
        </w:tc>
        <w:tc>
          <w:tcPr/>
          <w:p>
            <w:pPr>
              <w:pStyle w:val="Compact"/>
            </w:pPr>
            <w:r>
              <w:t xml:space="preserve">7 005</w:t>
            </w:r>
          </w:p>
        </w:tc>
        <w:tc>
          <w:tcPr/>
          <w:p>
            <w:pPr>
              <w:pStyle w:val="Compact"/>
            </w:pPr>
            <w:r>
              <w:t xml:space="preserve">Høy verdi, stabilt, høyt avvik</w:t>
            </w:r>
          </w:p>
        </w:tc>
      </w:tr>
    </w:tbl>
    <w:p>
      <w:pPr>
        <w:pStyle w:val="BodyText"/>
      </w:pPr>
      <w:r>
        <w:t xml:space="preserve">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trass i middels verdi.</w:t>
      </w:r>
    </w:p>
    <w:p>
      <w:pPr>
        <w:pStyle w:val="BodyText"/>
      </w:pPr>
      <w:r>
        <w:t xml:space="preserve">K_OVERFØR-klyngen (klynge 3, 281 artikler) kjennetegnes av gjennomsnittlig CV = 0,47 (under X-grensen på 0,5), gjennomsnittlig årsverdi kr 167 267 og gjennomsnittlig</w:t>
      </w:r>
      <w:r>
        <w:t xml:space="preserve"> </w:t>
      </w:r>
      <m:oMath>
        <m:r>
          <m:rPr>
            <m:sty m:val="p"/>
          </m:rPr>
          <m:t>|</m:t>
        </m:r>
        <m:r>
          <m:rPr>
            <m:sty m:val="p"/>
          </m:rPr>
          <m:t>Δ</m:t>
        </m:r>
        <m:r>
          <m:t>T</m:t>
        </m:r>
        <m:r>
          <m:t>C</m:t>
        </m:r>
        <m:r>
          <m:rPr>
            <m:sty m:val="p"/>
          </m:rPr>
          <m:t>|</m:t>
        </m:r>
      </m:oMath>
      <w:r>
        <w:t xml:space="preserve"> </w:t>
      </w:r>
      <w:r>
        <w:t xml:space="preserve">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8 i kapittel 6.</w:t>
      </w:r>
    </w:p>
    <w:bookmarkEnd w:id="102"/>
    <w:bookmarkStart w:id="103" w:name="regelmotor-og-hvfs-anbefalinger"/>
    <w:p>
      <w:pPr>
        <w:pStyle w:val="Overskrift2"/>
      </w:pPr>
      <w:r>
        <w:t xml:space="preserve">7.5 Regelmotor og HVFS-anbefalinger</w:t>
      </w:r>
    </w:p>
    <w:p>
      <w:pPr>
        <w:pStyle w:val="FirstParagraph"/>
      </w:pPr>
      <w:r>
        <w:t xml:space="preserve">Regelmotoren produserte en anbefaling for samtlige 709 artikler. Fordelingen er presentert i Tabell 13.</w:t>
      </w:r>
    </w:p>
    <w:p>
      <w:pPr>
        <w:pStyle w:val="BodyText"/>
      </w:pPr>
      <w:r>
        <w:rPr>
          <w:i/>
          <w:iCs/>
        </w:rPr>
        <w:t xml:space="preserve">Tabell 13. HVFS-anbefalinger fra regelmotor: fordeling per kategori (n = 709, LGORT 3001).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Kategori</w:t>
            </w:r>
          </w:p>
        </w:tc>
        <w:tc>
          <w:tcPr/>
          <w:p>
            <w:pPr>
              <w:pStyle w:val="Compact"/>
            </w:pPr>
            <w:r>
              <w:t xml:space="preserve">Antall</w:t>
            </w:r>
          </w:p>
        </w:tc>
        <w:tc>
          <w:tcPr/>
          <w:p>
            <w:pPr>
              <w:pStyle w:val="Compact"/>
            </w:pPr>
            <w:r>
              <w:t xml:space="preserve">Andel</w:t>
            </w:r>
          </w:p>
        </w:tc>
        <w:tc>
          <w:tcPr/>
          <w:p>
            <w:pPr>
              <w:pStyle w:val="Compact"/>
            </w:pPr>
            <w:r>
              <w:t xml:space="preserve">Beskrivelse</w:t>
            </w:r>
          </w:p>
        </w:tc>
      </w:tr>
      <w:tr>
        <w:tc>
          <w:tcPr/>
          <w:p>
            <w:pPr>
              <w:pStyle w:val="Compact"/>
            </w:pPr>
            <w:r>
              <w:t xml:space="preserve">OVERFØR_HVFS</w:t>
            </w:r>
          </w:p>
        </w:tc>
        <w:tc>
          <w:tcPr/>
          <w:p>
            <w:pPr>
              <w:pStyle w:val="Compact"/>
            </w:pPr>
            <w:r>
              <w:t xml:space="preserve">145</w:t>
            </w:r>
          </w:p>
        </w:tc>
        <w:tc>
          <w:tcPr/>
          <w:p>
            <w:pPr>
              <w:pStyle w:val="Compact"/>
            </w:pPr>
            <w:r>
              <w:t xml:space="preserve">20,5 %</w:t>
            </w:r>
          </w:p>
        </w:tc>
        <w:tc>
          <w:tcPr/>
          <w:p>
            <w:pPr>
              <w:pStyle w:val="Compact"/>
            </w:pPr>
            <w:r>
              <w:t xml:space="preserve">Anbefales overført til HVFS</w:t>
            </w:r>
          </w:p>
        </w:tc>
      </w:tr>
      <w:tr>
        <w:tc>
          <w:tcPr/>
          <w:p>
            <w:pPr>
              <w:pStyle w:val="Compact"/>
            </w:pPr>
            <w:r>
              <w:t xml:space="preserve">BEHOLD_LOKALT</w:t>
            </w:r>
          </w:p>
        </w:tc>
        <w:tc>
          <w:tcPr/>
          <w:p>
            <w:pPr>
              <w:pStyle w:val="Compact"/>
            </w:pPr>
            <w:r>
              <w:t xml:space="preserve">257</w:t>
            </w:r>
          </w:p>
        </w:tc>
        <w:tc>
          <w:tcPr/>
          <w:p>
            <w:pPr>
              <w:pStyle w:val="Compact"/>
            </w:pPr>
            <w:r>
              <w:t xml:space="preserve">36,2 %</w:t>
            </w:r>
          </w:p>
        </w:tc>
        <w:tc>
          <w:tcPr/>
          <w:p>
            <w:pPr>
              <w:pStyle w:val="Compact"/>
            </w:pPr>
            <w:r>
              <w:t xml:space="preserve">Beholdes lokalt (Z-klasse eller CY)</w:t>
            </w:r>
          </w:p>
        </w:tc>
      </w:tr>
      <w:tr>
        <w:tc>
          <w:tcPr/>
          <w:p>
            <w:pPr>
              <w:pStyle w:val="Compact"/>
            </w:pPr>
            <w:r>
              <w:t xml:space="preserve">TIL_VURDERING</w:t>
            </w:r>
          </w:p>
        </w:tc>
        <w:tc>
          <w:tcPr/>
          <w:p>
            <w:pPr>
              <w:pStyle w:val="Compact"/>
            </w:pPr>
            <w:r>
              <w:t xml:space="preserve">284</w:t>
            </w:r>
          </w:p>
        </w:tc>
        <w:tc>
          <w:tcPr/>
          <w:p>
            <w:pPr>
              <w:pStyle w:val="Compact"/>
            </w:pPr>
            <w:r>
              <w:t xml:space="preserve">40,1 %</w:t>
            </w:r>
          </w:p>
        </w:tc>
        <w:tc>
          <w:tcPr/>
          <w:p>
            <w:pPr>
              <w:pStyle w:val="Compact"/>
            </w:pPr>
            <w:r>
              <w:t xml:space="preserve">Krever manuell vurdering</w:t>
            </w:r>
          </w:p>
        </w:tc>
      </w:tr>
      <w:tr>
        <w:tc>
          <w:tcPr/>
          <w:p>
            <w:pPr>
              <w:pStyle w:val="Compact"/>
            </w:pPr>
            <w:r>
              <w:t xml:space="preserve">MANGLER_DATA</w:t>
            </w:r>
          </w:p>
        </w:tc>
        <w:tc>
          <w:tcPr/>
          <w:p>
            <w:pPr>
              <w:pStyle w:val="Compact"/>
            </w:pPr>
            <w:r>
              <w:t xml:space="preserve">23</w:t>
            </w:r>
          </w:p>
        </w:tc>
        <w:tc>
          <w:tcPr/>
          <w:p>
            <w:pPr>
              <w:pStyle w:val="Compact"/>
            </w:pPr>
            <w:r>
              <w:t xml:space="preserve">3,2 %</w:t>
            </w:r>
          </w:p>
        </w:tc>
        <w:tc>
          <w:tcPr/>
          <w:p>
            <w:pPr>
              <w:pStyle w:val="Compact"/>
            </w:pPr>
            <w:r>
              <w:t xml:space="preserve">Utilstrekkelig data for klassifisering</w:t>
            </w:r>
          </w:p>
        </w:tc>
      </w:tr>
      <w:tr>
        <w:tc>
          <w:tcPr/>
          <w:p>
            <w:pPr>
              <w:pStyle w:val="Compact"/>
            </w:pPr>
            <w:r>
              <w:rPr>
                <w:b/>
                <w:bCs/>
              </w:rPr>
              <w:t xml:space="preserve">Totalt</w:t>
            </w:r>
          </w:p>
        </w:tc>
        <w:tc>
          <w:tcPr/>
          <w:p>
            <w:pPr>
              <w:pStyle w:val="Compact"/>
            </w:pPr>
            <w:r>
              <w:rPr>
                <w:b/>
                <w:bCs/>
              </w:rPr>
              <w:t xml:space="preserve">709</w:t>
            </w:r>
          </w:p>
        </w:tc>
        <w:tc>
          <w:tcPr/>
          <w:p>
            <w:pPr>
              <w:pStyle w:val="Compact"/>
            </w:pPr>
            <w:r>
              <w:rPr>
                <w:b/>
                <w:bCs/>
              </w:rPr>
              <w:t xml:space="preserve">100 %</w:t>
            </w:r>
          </w:p>
        </w:tc>
        <w:tc>
          <w:tcPr/>
          <w:p>
            <w:pPr>
              <w:pStyle w:val="Compact"/>
            </w:pPr>
          </w:p>
        </w:tc>
      </w:tr>
    </w:tbl>
    <w:p>
      <w:pPr>
        <w:pStyle w:val="BodyText"/>
      </w:pPr>
      <w:r>
        <w:t xml:space="preserve">145 artikler (20,5 %) anbefales overført til HVFS. Denne gruppen består av artikler som tilfredsstiller ett eller flere av de positive overføringsskriteriene: R3 fanget 91 artikler (A/B + X + FOR_MANGE_ORDRER), R4 fanget 26 artikler (A/B + X + K_OVERFØR), og R5 fanget 28 artikler (A/B + Y + K_OVERFØR). Av de 145 overførte artiklene har 117 status FOR_MANGE_ORDRER og inngår dermed i besparelsesberegningen i avsnitt 7.6. De resterende 28 artiklene (R5) inngår ikke i besparelsesgrunnlaget fordi FOR_MANGE_ORDRER-flagget ikke er aktivert, men de anbefales overført fordi kombinasjonen av ABC/XYZ-profil (A/B + Y) og K_OVERFØR-klyngetilhørighet oppfyller APL-egnethetskriteriet for sentralisering, jf. kap. 5.5.</w:t>
      </w:r>
    </w:p>
    <w:p>
      <w:pPr>
        <w:pStyle w:val="BodyText"/>
      </w:pPr>
      <w:r>
        <w:t xml:space="preserve">257 artikler (36,2 %) beholdes lokalt, primært grunnet Z-klassifisering (R1: 144 artikler) eller CY-profil (R2: 113 artikler). Z-override (R1) er den enkeltregelen som fanger flest artikler, noe som bekrefter at uforutsigbart forbruksmønster er den vanligste kontraindikasjonen mot sentralisering i dette sortimentet. 284 artikler (40,1 %) sendes til manuell vurdering — artikler der de kvantitative signalene fra ABC, XYZ, EOQ og K-means ikke er tilstrekkelig entydige til å generere en automatisert anbefaling. 23 artikler (3,2 %) mangler tilstrekkelig data for klassifisering. Fordelingen er visualisert i Figur 10 i kapittel 6.</w:t>
      </w:r>
    </w:p>
    <w:bookmarkEnd w:id="103"/>
    <w:bookmarkStart w:id="104" w:name="besparelse-og-sensitivitet"/>
    <w:p>
      <w:pPr>
        <w:pStyle w:val="Overskrift2"/>
      </w:pPr>
      <w:r>
        <w:t xml:space="preserve">7.6 Besparelse og sensitivitet</w:t>
      </w:r>
    </w:p>
    <w:p>
      <w:pPr>
        <w:pStyle w:val="FirstParagraph"/>
      </w:pPr>
      <w:r>
        <w:t xml:space="preserve">Besparelsesestimatet er beregnet for de 117 artiklene som oppfyller begge kriteriene OVERFØR_HVFS og FOR_MANGE_ORDRER. Formelen er</w:t>
      </w:r>
      <w:r>
        <w:t xml:space="preserve"> </w:t>
      </w:r>
      <m:oMath>
        <m:r>
          <m:t>B</m:t>
        </m:r>
        <m:r>
          <m:rPr>
            <m:sty m:val="p"/>
          </m:rPr>
          <m:t>=</m:t>
        </m:r>
        <m:nary>
          <m:naryPr>
            <m:chr m:val="∑"/>
            <m:limLoc m:val="undOvr"/>
            <m:subHide m:val="off"/>
            <m:supHide m:val="on"/>
          </m:naryPr>
          <m:sub>
            <m:r>
              <m:t>i</m:t>
            </m:r>
          </m:sub>
          <m:sup>
            <m:r>
              <m:t>​</m:t>
            </m:r>
          </m:sup>
          <m:e>
            <m:r>
              <m:rPr>
                <m:sty m:val="p"/>
              </m:rPr>
              <m:t>Δ</m:t>
            </m:r>
          </m:e>
        </m:nary>
        <m:r>
          <m:t>T</m:t>
        </m:r>
        <m:sSub>
          <m:e>
            <m:r>
              <m:t>C</m:t>
            </m:r>
          </m:e>
          <m:sub>
            <m:r>
              <m:t>i</m:t>
            </m:r>
          </m:sub>
        </m:sSub>
        <m:r>
          <m:rPr>
            <m:sty m:val="p"/>
          </m:rPr>
          <m:t>×</m:t>
        </m:r>
        <m:r>
          <m:t>g</m:t>
        </m:r>
      </m:oMath>
      <w:r>
        <w:t xml:space="preserve">, der</w:t>
      </w:r>
      <w:r>
        <w:t xml:space="preserve"> </w:t>
      </w:r>
      <m:oMath>
        <m:r>
          <m:t>g</m:t>
        </m:r>
      </m:oMath>
      <w:r>
        <w:t xml:space="preserve"> </w:t>
      </w:r>
      <w:r>
        <w:t xml:space="preserve">er antatt realiseringsgrad for den teoretiske EOQ-besparelsen. Tabell 14 viser resultatene for de tre scenariene.</w:t>
      </w:r>
    </w:p>
    <w:p>
      <w:pPr>
        <w:pStyle w:val="BodyText"/>
      </w:pPr>
      <w:r>
        <w:rPr>
          <w:i/>
          <w:iCs/>
        </w:rPr>
        <w:t xml:space="preserve">Tabell 14. Besparelsesestimater for tre scenarier: 117 artikler (OVERFØR_HVFS ∩ FOR_MANGE_ORDRER), S = 750 NOK.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Realiseringsgrad g</w:t>
            </w:r>
          </w:p>
        </w:tc>
        <w:tc>
          <w:tcPr/>
          <w:p>
            <w:pPr>
              <w:pStyle w:val="Compact"/>
            </w:pPr>
            <w:r>
              <w:t xml:space="preserve">Besparelse B_HVFS (kr/år)</w:t>
            </w:r>
          </w:p>
        </w:tc>
      </w:tr>
      <w:tr>
        <w:tc>
          <w:tcPr/>
          <w:p>
            <w:pPr>
              <w:pStyle w:val="Compact"/>
            </w:pPr>
            <w:r>
              <w:t xml:space="preserve">Worst case</w:t>
            </w:r>
          </w:p>
        </w:tc>
        <w:tc>
          <w:tcPr/>
          <w:p>
            <w:pPr>
              <w:pStyle w:val="Compact"/>
            </w:pPr>
            <w:r>
              <w:t xml:space="preserve">50 %</w:t>
            </w:r>
          </w:p>
        </w:tc>
        <w:tc>
          <w:tcPr/>
          <w:p>
            <w:pPr>
              <w:pStyle w:val="Compact"/>
            </w:pPr>
            <w:r>
              <w:t xml:space="preserve">301 010</w:t>
            </w:r>
          </w:p>
        </w:tc>
      </w:tr>
      <w:tr>
        <w:tc>
          <w:tcPr/>
          <w:p>
            <w:pPr>
              <w:pStyle w:val="Compact"/>
            </w:pPr>
            <w:r>
              <w:rPr>
                <w:b/>
                <w:bCs/>
              </w:rPr>
              <w:t xml:space="preserve">Base case</w:t>
            </w:r>
          </w:p>
        </w:tc>
        <w:tc>
          <w:tcPr/>
          <w:p>
            <w:pPr>
              <w:pStyle w:val="Compact"/>
            </w:pPr>
            <w:r>
              <w:rPr>
                <w:b/>
                <w:bCs/>
              </w:rPr>
              <w:t xml:space="preserve">75 %</w:t>
            </w:r>
          </w:p>
        </w:tc>
        <w:tc>
          <w:tcPr/>
          <w:p>
            <w:pPr>
              <w:pStyle w:val="Compact"/>
            </w:pPr>
            <w:r>
              <w:rPr>
                <w:b/>
                <w:bCs/>
              </w:rPr>
              <w:t xml:space="preserve">451 515</w:t>
            </w:r>
          </w:p>
        </w:tc>
      </w:tr>
      <w:tr>
        <w:tc>
          <w:tcPr/>
          <w:p>
            <w:pPr>
              <w:pStyle w:val="Compact"/>
            </w:pPr>
            <w:r>
              <w:t xml:space="preserve">Best case</w:t>
            </w:r>
          </w:p>
        </w:tc>
        <w:tc>
          <w:tcPr/>
          <w:p>
            <w:pPr>
              <w:pStyle w:val="Compact"/>
            </w:pPr>
            <w:r>
              <w:t xml:space="preserve">100 %</w:t>
            </w:r>
          </w:p>
        </w:tc>
        <w:tc>
          <w:tcPr/>
          <w:p>
            <w:pPr>
              <w:pStyle w:val="Compact"/>
            </w:pPr>
            <w:r>
              <w:t xml:space="preserve">602 020</w:t>
            </w:r>
          </w:p>
        </w:tc>
      </w:tr>
    </w:tbl>
    <w:p>
      <w:pPr>
        <w:pStyle w:val="BodyText"/>
      </w:pPr>
      <w:r>
        <w:t xml:space="preserve">Samlet teoretisk ΔTC for de 117 artiklene: kr 602 020 per år.</w:t>
      </w:r>
    </w:p>
    <w:p>
      <w:pPr>
        <w:pStyle w:val="BodyText"/>
      </w:pPr>
      <w:r>
        <w:t xml:space="preserve">Base case-besparelsen er kr 451 515 per år (g = 75 %). Worst case-estimatet er kr 301 010 per år (g = 50 %), og best case er kr 602 020 per år (g = 100 %). Den samlede</w:t>
      </w:r>
      <w:r>
        <w:t xml:space="preserve"> </w:t>
      </w:r>
      <m:oMath>
        <m:r>
          <m:rPr>
            <m:sty m:val="p"/>
          </m:rPr>
          <m:t>∑</m:t>
        </m:r>
        <m:r>
          <m:rPr>
            <m:sty m:val="p"/>
          </m:rPr>
          <m:t>Δ</m:t>
        </m:r>
        <m:r>
          <m:t>T</m:t>
        </m:r>
        <m:sSub>
          <m:e>
            <m:r>
              <m:t>C</m:t>
            </m:r>
          </m:e>
          <m:sub>
            <m:r>
              <m:t>i</m:t>
            </m:r>
          </m:sub>
        </m:sSub>
      </m:oMath>
      <w:r>
        <w:t xml:space="preserve"> </w:t>
      </w:r>
      <w:r>
        <w:t xml:space="preserve">for de 117 artiklene er kr 602 020 per år; dette er det fulle teoretiske besparelsespotensialet dersom alle 117 artikler oppnår EOQ-optimal ordrefrekvens etter overføring. Gevinstrealiseringsgraden g reflekterer at implementeringsfriksjon, endrede leverandøravtaler og SAP-parameterjusteringer gjør det urealistisk å oppnå 100 % av det teoretiske potensialet.</w:t>
      </w:r>
    </w:p>
    <w:p>
      <w:pPr>
        <w:pStyle w:val="BodyText"/>
      </w:pPr>
      <w:r>
        <w:t xml:space="preserve">Sensitivitetsanalysen over 27 scenarier — der S varieres over {500, 750, 1 000} NOK, h over {15 %, 20 %, 25 %} og terskelparameteren</w:t>
      </w:r>
      <w:r>
        <w:t xml:space="preserve"> </w:t>
      </w:r>
      <m:oMath>
        <m:sSub>
          <m:e>
            <m:r>
              <m:t>τ</m:t>
            </m:r>
          </m:e>
          <m:sub>
            <m:r>
              <m:t>f</m:t>
            </m:r>
          </m:sub>
        </m:sSub>
      </m:oMath>
      <w:r>
        <w:t xml:space="preserve"> </w:t>
      </w:r>
      <w:r>
        <w:t xml:space="preserve">over {1,25, 1,50, 2,00} — viser at det samlede</w:t>
      </w:r>
      <w:r>
        <w:t xml:space="preserve"> </w:t>
      </w:r>
      <m:oMath>
        <m:r>
          <m:rPr>
            <m:sty m:val="p"/>
          </m:rPr>
          <m:t>Δ</m:t>
        </m:r>
        <m:r>
          <m:t>T</m:t>
        </m:r>
        <m:r>
          <m:t>C</m:t>
        </m:r>
      </m:oMath>
      <w:r>
        <w:t xml:space="preserve"> </w:t>
      </w:r>
      <w:r>
        <w:t xml:space="preserve">for hele populasjonen (487 artikler) varierer mellom kr 1 602 464 og kr 3 068 757 per år avhengig av parametervalg. Den dominerende usikkerhetsfaktoren er ordrekostnad S: en økning fra 500 til 1 000 NOK nær dobler det beregnede kostnadsavviket, da ordrekostnaden inngår lineært i totalkostnadsfunksjonen. Holdesats h har en moderat effekt, mens terskelparameteren</w:t>
      </w:r>
      <w:r>
        <w:t xml:space="preserve"> </w:t>
      </w:r>
      <m:oMath>
        <m:sSub>
          <m:e>
            <m:r>
              <m:t>τ</m:t>
            </m:r>
          </m:e>
          <m:sub>
            <m:r>
              <m:t>f</m:t>
            </m:r>
          </m:sub>
        </m:sSub>
      </m:oMath>
      <w:r>
        <w:t xml:space="preserve"> </w:t>
      </w:r>
      <w:r>
        <w:t xml:space="preserve">primært påvirker antallet artikler som klassifiseres som FOR_MANGE_ORDRER — en lavere terskel (1,25) gir flere artikler i overføringsgrunnlaget, men reduserer gjennomsnittlig</w:t>
      </w:r>
      <w:r>
        <w:t xml:space="preserve"> </w:t>
      </w:r>
      <m:oMath>
        <m:r>
          <m:rPr>
            <m:sty m:val="p"/>
          </m:rPr>
          <m:t>Δ</m:t>
        </m:r>
        <m:r>
          <m:t>T</m:t>
        </m:r>
        <m:r>
          <m:t>C</m:t>
        </m:r>
      </m:oMath>
      <w:r>
        <w:t xml:space="preserve"> </w:t>
      </w:r>
      <w:r>
        <w:t xml:space="preserve">per artikkel. Resultatene er robuste i den forstand at besparelsesestimatet forblir positivt og vesentlig over alle 27 scenarier.</w:t>
      </w:r>
    </w:p>
    <w:p>
      <w:r>
        <w:pict>
          <v:rect style="width:0;height:1.5pt" o:hralign="center" o:hrstd="t" o:hr="t"/>
        </w:pict>
      </w:r>
    </w:p>
    <w:bookmarkEnd w:id="104"/>
    <w:bookmarkEnd w:id="105"/>
    <w:bookmarkStart w:id="110" w:name="kapittel-8-diskusjon"/>
    <w:p>
      <w:pPr>
        <w:pStyle w:val="Overskrift1"/>
      </w:pPr>
      <w:r>
        <w:t xml:space="preserve">Kapittel 8 – Diskusjon</w:t>
      </w:r>
    </w:p>
    <w:bookmarkStart w:id="106" w:name="funn-opp-mot-litteraturen"/>
    <w:p>
      <w:pPr>
        <w:pStyle w:val="Overskrift2"/>
      </w:pPr>
      <w:r>
        <w:t xml:space="preserve">8.1 Funn opp mot litteraturen</w:t>
      </w:r>
    </w:p>
    <w:p>
      <w:pPr>
        <w:pStyle w:val="FirstParagraph"/>
      </w:pPr>
      <w:r>
        <w:t xml:space="preserve">A-kategorien omfatter 182 artikler, tilsvarende 25,7 % av populasjonen og om lag 80 % av den totale verdibindingen. Dette samsvarer nært med Pareto-prinsippets klassiske formulering, som tilsier at rundt 20 % av artiklene typisk bærer 80 % av verdien (Gupta et al., 2007). At A-andelen i dette datasettet er noe høyere enn den kanoniske 20 %-grensen, er konsistent med funn fra tilsvarende sykehuslagerstudier: Bijvank og Vis (2012) påpeker at sykehuslagre gjerne har en mer konsentrert verdidistribusjon enn industrilager, fordi sortimentet inkluderer få, høyverdige forbruksartikler med høy omløpshastighet. Den observerte fordelingen gir dermed analytisk støtte til å prioritere A-artiklene i overføringsvurderingen, noe regelmotoren reflekterer gjennom at A/B-artikler utløser de sterkeste overføringssignalene.</w:t>
      </w:r>
    </w:p>
    <w:p>
      <w:pPr>
        <w:pStyle w:val="BodyText"/>
      </w:pPr>
      <w:r>
        <w:t xml:space="preserve">At 33 % av artiklene har samsvarende klasse mellom ZZXYZ og beregnet CV er et lavt samsvarsresultat, men ikke overraskende i lys av litteraturen. Van Kampen et al. (2012) understreker at systemregistrerte klassifiseringer i ERP-systemer raskt mister aktualitet dersom de ikke oppdateres i takt med endringer i forbruksmønstre. Nowotyńska (2013) finner tilsvarende i sin XYZ-studie: statiske systemkategorier og dynamisk beregnet CV divergerer systematisk over tid. Funnet i denne studien – at to av tre artikler har avvikende klasse – gir empirisk støtte til argumentet om at CV-beregning direkte fra transaksjonsdata er nødvendig for en pålitelig klassifisering.</w:t>
      </w:r>
    </w:p>
    <w:p>
      <w:pPr>
        <w:pStyle w:val="BodyText"/>
      </w:pPr>
      <w:r>
        <w:t xml:space="preserve">Silhouette-scoren på 0,383 (treningsdata) og 0,368 (testdata) er over minstekravet på 0,3 som Ketkar og Vaidya (2014) angir for akseptabel klyngestruktur i eksplorativ analyse. Scoren er likevel ikke sterk etter absolutte mål, og indikerer at klyngene overlapper i noen grad. Dette er forventet i et lagerklassifiseringsproblem der artikler langs et kontinuum av verdi og variasjon ikke naturlig danner skarpt separerte grupper. Srinivasan og Moon (1999) påpeker at K-means i forsyningskjedeanalyse typisk gir moderate silhouette-verdier, og at nytteverdien av klyngingen i dette domenet ligger i profildifferensiering fremfor absolutt separasjon. Differansen på 0,015 mellom trenings- og testsilhouette indikerer at modellen generaliserer akseptabelt til usett data.</w:t>
      </w:r>
    </w:p>
    <w:p>
      <w:pPr>
        <w:pStyle w:val="BodyText"/>
      </w:pPr>
      <w:r>
        <w:t xml:space="preserve">Base case-estimatet på kr 451 515 per år er basert på 117 artikler og representerer en konservativ beregning; best case gir kr 602 020. Disse tallene er ikke direkte sammenlignbare med studier som rapporterer besparelser i prosent av omsetning, men størrelsesordenen er i tråd med hva Moons et al. (2019) rapporterer for interne logistikkforbedringer i europeiske sykehus: moderate, men operasjonelt vesentlige gevinster ved optimalisert bestillingspraksis. Volland et al. (2017) understreker at materialhåndteringseffektivitet i sykehus i liten grad handler om store enkeltgevinster, men om akkumulerte forbedringer i ordreadministrasjon over tid – noe besparelsesmodellen i denne studien er utformet for å fange.</w:t>
      </w:r>
    </w:p>
    <w:p>
      <w:pPr>
        <w:pStyle w:val="BodyText"/>
      </w:pPr>
      <w:r>
        <w:t xml:space="preserve">Tabell 15 oppsummerer de sentrale funnene fra denne studien sett opp mot forventninger fra litteraturen.</w:t>
      </w:r>
    </w:p>
    <w:p>
      <w:pPr>
        <w:pStyle w:val="BodyText"/>
      </w:pPr>
      <w:r>
        <w:rPr>
          <w:i/>
          <w:iCs/>
        </w:rPr>
        <w:t xml:space="preserve">Tabell 15. Sammenstilling av egne resultater mot funn i eksisterende litteratur.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Funn</w:t>
            </w:r>
          </w:p>
        </w:tc>
        <w:tc>
          <w:tcPr/>
          <w:p>
            <w:pPr>
              <w:pStyle w:val="Compact"/>
            </w:pPr>
            <w:r>
              <w:t xml:space="preserve">Eget resultat</w:t>
            </w:r>
          </w:p>
        </w:tc>
        <w:tc>
          <w:tcPr/>
          <w:p>
            <w:pPr>
              <w:pStyle w:val="Compact"/>
            </w:pPr>
            <w:r>
              <w:t xml:space="preserve">Litteraturen</w:t>
            </w:r>
          </w:p>
        </w:tc>
        <w:tc>
          <w:tcPr/>
          <w:p>
            <w:pPr>
              <w:pStyle w:val="Compact"/>
            </w:pPr>
            <w:r>
              <w:t xml:space="preserve">Samsvar</w:t>
            </w:r>
          </w:p>
        </w:tc>
        <w:tc>
          <w:tcPr/>
          <w:p>
            <w:pPr>
              <w:pStyle w:val="Compact"/>
            </w:pPr>
            <w:r>
              <w:t xml:space="preserve">Referanse</w:t>
            </w:r>
          </w:p>
        </w:tc>
      </w:tr>
      <w:tr>
        <w:tc>
          <w:tcPr/>
          <w:p>
            <w:pPr>
              <w:pStyle w:val="Compact"/>
            </w:pPr>
            <w:r>
              <w:t xml:space="preserve">A-klasse andel</w:t>
            </w:r>
          </w:p>
        </w:tc>
        <w:tc>
          <w:tcPr/>
          <w:p>
            <w:pPr>
              <w:pStyle w:val="Compact"/>
            </w:pPr>
            <w:r>
              <w:t xml:space="preserve">25,7 % av artikler = 80 % av verdi</w:t>
            </w:r>
          </w:p>
        </w:tc>
        <w:tc>
          <w:tcPr/>
          <w:p>
            <w:pPr>
              <w:pStyle w:val="Compact"/>
            </w:pPr>
            <w:r>
              <w:t xml:space="preserve">Typisk 20–25 % etter Pareto</w:t>
            </w:r>
          </w:p>
        </w:tc>
        <w:tc>
          <w:tcPr/>
          <w:p>
            <w:pPr>
              <w:pStyle w:val="Compact"/>
            </w:pPr>
            <w:r>
              <w:t xml:space="preserve">Ja</w:t>
            </w:r>
          </w:p>
        </w:tc>
        <w:tc>
          <w:tcPr/>
          <w:p>
            <w:pPr>
              <w:pStyle w:val="Compact"/>
            </w:pPr>
            <w:r>
              <w:t xml:space="preserve">Gupta et al. (2007)</w:t>
            </w:r>
          </w:p>
        </w:tc>
      </w:tr>
      <w:tr>
        <w:tc>
          <w:tcPr/>
          <w:p>
            <w:pPr>
              <w:pStyle w:val="Compact"/>
            </w:pPr>
            <w:r>
              <w:t xml:space="preserve">XYZ-samsvar med SAP ZZXYZ</w:t>
            </w:r>
          </w:p>
        </w:tc>
        <w:tc>
          <w:tcPr/>
          <w:p>
            <w:pPr>
              <w:pStyle w:val="Compact"/>
            </w:pPr>
            <w:r>
              <w:t xml:space="preserve">33 % (125/375)</w:t>
            </w:r>
          </w:p>
        </w:tc>
        <w:tc>
          <w:tcPr/>
          <w:p>
            <w:pPr>
              <w:pStyle w:val="Compact"/>
            </w:pPr>
            <w:r>
              <w:t xml:space="preserve">Statisk klassifisering divergerer over tid</w:t>
            </w:r>
          </w:p>
        </w:tc>
        <w:tc>
          <w:tcPr/>
          <w:p>
            <w:pPr>
              <w:pStyle w:val="Compact"/>
            </w:pPr>
            <w:r>
              <w:t xml:space="preserve">Ja</w:t>
            </w:r>
          </w:p>
        </w:tc>
        <w:tc>
          <w:tcPr/>
          <w:p>
            <w:pPr>
              <w:pStyle w:val="Compact"/>
            </w:pPr>
            <w:r>
              <w:t xml:space="preserve">van Kampen et al. (2012)</w:t>
            </w:r>
          </w:p>
        </w:tc>
      </w:tr>
      <w:tr>
        <w:tc>
          <w:tcPr/>
          <w:p>
            <w:pPr>
              <w:pStyle w:val="Compact"/>
            </w:pPr>
            <w:r>
              <w:t xml:space="preserve">X-artikler andel</w:t>
            </w:r>
          </w:p>
        </w:tc>
        <w:tc>
          <w:tcPr/>
          <w:p>
            <w:pPr>
              <w:pStyle w:val="Compact"/>
            </w:pPr>
            <w:r>
              <w:t xml:space="preserve">50,9 % (350 av 687)</w:t>
            </w:r>
          </w:p>
        </w:tc>
        <w:tc>
          <w:tcPr/>
          <w:p>
            <w:pPr>
              <w:pStyle w:val="Compact"/>
            </w:pPr>
            <w:r>
              <w:t xml:space="preserve">Stabile artikler utgjør gjerne flertallet</w:t>
            </w:r>
          </w:p>
        </w:tc>
        <w:tc>
          <w:tcPr/>
          <w:p>
            <w:pPr>
              <w:pStyle w:val="Compact"/>
            </w:pPr>
            <w:r>
              <w:t xml:space="preserve">Ja</w:t>
            </w:r>
          </w:p>
        </w:tc>
        <w:tc>
          <w:tcPr/>
          <w:p>
            <w:pPr>
              <w:pStyle w:val="Compact"/>
            </w:pPr>
            <w:r>
              <w:t xml:space="preserve">Nowotyńska (2013)</w:t>
            </w:r>
          </w:p>
        </w:tc>
      </w:tr>
      <w:tr>
        <w:tc>
          <w:tcPr/>
          <w:p>
            <w:pPr>
              <w:pStyle w:val="Compact"/>
            </w:pPr>
            <w:r>
              <w:t xml:space="preserve">K-means silhouette</w:t>
            </w:r>
          </w:p>
        </w:tc>
        <w:tc>
          <w:tcPr/>
          <w:p>
            <w:pPr>
              <w:pStyle w:val="Compact"/>
            </w:pPr>
            <w:r>
              <w:t xml:space="preserve">0,383 (tren) / 0,368 (test)</w:t>
            </w:r>
          </w:p>
        </w:tc>
        <w:tc>
          <w:tcPr/>
          <w:p>
            <w:pPr>
              <w:pStyle w:val="Compact"/>
            </w:pPr>
            <w:r>
              <w:t xml:space="preserve">&gt; 0,3 akseptabelt for eksplorativ analyse</w:t>
            </w:r>
          </w:p>
        </w:tc>
        <w:tc>
          <w:tcPr/>
          <w:p>
            <w:pPr>
              <w:pStyle w:val="Compact"/>
            </w:pPr>
            <w:r>
              <w:t xml:space="preserve">Ja</w:t>
            </w:r>
          </w:p>
        </w:tc>
        <w:tc>
          <w:tcPr/>
          <w:p>
            <w:pPr>
              <w:pStyle w:val="Compact"/>
            </w:pPr>
            <w:r>
              <w:t xml:space="preserve">Ketkar &amp; Vaidya (2014)</w:t>
            </w:r>
          </w:p>
        </w:tc>
      </w:tr>
      <w:tr>
        <w:tc>
          <w:tcPr/>
          <w:p>
            <w:pPr>
              <w:pStyle w:val="Compact"/>
            </w:pPr>
            <w:r>
              <w:t xml:space="preserve">Besparelse (base case)</w:t>
            </w:r>
          </w:p>
        </w:tc>
        <w:tc>
          <w:tcPr/>
          <w:p>
            <w:pPr>
              <w:pStyle w:val="Compact"/>
            </w:pPr>
            <w:r>
              <w:t xml:space="preserve">kr 451 515/år (g = 75 %)</w:t>
            </w:r>
          </w:p>
        </w:tc>
        <w:tc>
          <w:tcPr/>
          <w:p>
            <w:pPr>
              <w:pStyle w:val="Compact"/>
            </w:pPr>
            <w:r>
              <w:t xml:space="preserve">Moderate gevinster ved ordreoptimalisering</w:t>
            </w:r>
          </w:p>
        </w:tc>
        <w:tc>
          <w:tcPr/>
          <w:p>
            <w:pPr>
              <w:pStyle w:val="Compact"/>
            </w:pPr>
            <w:r>
              <w:t xml:space="preserve">Ja</w:t>
            </w:r>
          </w:p>
        </w:tc>
        <w:tc>
          <w:tcPr/>
          <w:p>
            <w:pPr>
              <w:pStyle w:val="Compact"/>
            </w:pPr>
            <w:r>
              <w:t xml:space="preserve">Moons et al. (2019)</w:t>
            </w:r>
          </w:p>
        </w:tc>
      </w:tr>
      <w:tr>
        <w:tc>
          <w:tcPr/>
          <w:p>
            <w:pPr>
              <w:pStyle w:val="Compact"/>
            </w:pPr>
            <w:r>
              <w:t xml:space="preserve">FOR_MANGE_ORDRER</w:t>
            </w:r>
          </w:p>
        </w:tc>
        <w:tc>
          <w:tcPr/>
          <w:p>
            <w:pPr>
              <w:pStyle w:val="Compact"/>
            </w:pPr>
            <w:r>
              <w:t xml:space="preserve">73,1 % (356/487)</w:t>
            </w:r>
          </w:p>
        </w:tc>
        <w:tc>
          <w:tcPr/>
          <w:p>
            <w:pPr>
              <w:pStyle w:val="Compact"/>
            </w:pPr>
            <w:r>
              <w:t xml:space="preserve">Suboptimal bestilling utbredt i sykehus</w:t>
            </w:r>
          </w:p>
        </w:tc>
        <w:tc>
          <w:tcPr/>
          <w:p>
            <w:pPr>
              <w:pStyle w:val="Compact"/>
            </w:pPr>
            <w:r>
              <w:t xml:space="preserve">Ja</w:t>
            </w:r>
          </w:p>
        </w:tc>
        <w:tc>
          <w:tcPr/>
          <w:p>
            <w:pPr>
              <w:pStyle w:val="Compact"/>
            </w:pPr>
            <w:r>
              <w:t xml:space="preserve">Volland et al. (2017)</w:t>
            </w:r>
          </w:p>
        </w:tc>
      </w:tr>
    </w:tbl>
    <w:bookmarkEnd w:id="106"/>
    <w:bookmarkStart w:id="107" w:name="metodekritikk"/>
    <w:p>
      <w:pPr>
        <w:pStyle w:val="Overskrift2"/>
      </w:pPr>
      <w:r>
        <w:t xml:space="preserve">8.2 Metodekritikk</w:t>
      </w:r>
    </w:p>
    <w:p>
      <w:pPr>
        <w:pStyle w:val="FirstParagraph"/>
      </w:pPr>
      <w:r>
        <w:t xml:space="preserve">SAP S/4HANA-data fra SE16H er operasjonelle systemdata som registreres automatisk ved hvert varemottak, lageruttak og bestilling. De er ikke gjenstand for hukommelsesfeil, sosial ønskverdighet eller manuell inntasting av enkeltpersoner, noe som gir dem høy reliabilitet sammenlignet med spørreundersøkelsesdata (Saha &amp; Ray, 2019).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MSEG-data kun fanger forbruk registrert i SAP; forbruk som skjer utenom systemet – for eksempel ved nøduttak som ikke dokumenteres – vil ikke fremgå av analysen.</w:t>
      </w:r>
    </w:p>
    <w:p>
      <w:pPr>
        <w:pStyle w:val="BodyText"/>
      </w:pPr>
      <w:r>
        <w:t xml:space="preserve">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pPr>
        <w:pStyle w:val="BodyText"/>
      </w:pPr>
      <w:r>
        <w:t xml:space="preserve">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En planlagt oppfølgingsfase ved Helse Bergen vil innebære faglig gjennomgang av OVERFØR-listen mot innkjøpsfaglig og klinisk kompetanse, noe som vil gi grunnlag for empirisk validering av modellens treffsikkerhet.</w:t>
      </w:r>
    </w:p>
    <w:p>
      <w:pPr>
        <w:pStyle w:val="BodyText"/>
      </w:pPr>
      <w:r>
        <w:t xml:space="preserve">Studien er avgrenset til WERKS 3300, LGORT 3001 ved Helse Bergen. Det er ikke grunnlag for å hevde at de eksakte tallresultatene gjelder for andre WERKS-enheter i Helse Vest. Metoderammeverket – kombinasjonen av ABC, XYZ, EOQ og K-means med en regelbasert beslutningstager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edruelig: strukturelle forskjeller mellom helseforetak – ulik sortimentssammensetning, ulike leverandøravtaler og ulike driftsmodeller – vil påvirke resultater og anbefalinger.</w:t>
      </w:r>
    </w:p>
    <w:bookmarkEnd w:id="107"/>
    <w:bookmarkStart w:id="108" w:name="praktisk-betydning-for-helse-bergen"/>
    <w:p>
      <w:pPr>
        <w:pStyle w:val="Overskrift2"/>
      </w:pPr>
      <w:r>
        <w:t xml:space="preserve">8.3 Praktisk betydning for Helse Bergen</w:t>
      </w:r>
    </w:p>
    <w:p>
      <w:pPr>
        <w:pStyle w:val="FirstParagraph"/>
      </w:pPr>
      <w:r>
        <w:t xml:space="preserve">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pPr>
        <w:pStyle w:val="BodyText"/>
      </w:pPr>
      <w:r>
        <w:t xml:space="preserve">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pPr>
        <w:pStyle w:val="BodyText"/>
      </w:pPr>
      <w:r>
        <w:t xml:space="preserve">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pPr>
        <w:pStyle w:val="BodyText"/>
      </w:pPr>
      <w:r>
        <w:t xml:space="preserve">For LIBRA-prosjektet spesifikt innebærer resultatene at det nå foreligger et kvantitativt, reproduserbart beslutningsgrunnlag som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pPr>
        <w:pStyle w:val="BodyText"/>
      </w:pPr>
      <w:r>
        <w:t xml:space="preserve">Metoderammeverket er utviklet for medisinsk forbruksmateriell, men den underliggende logikken – verdiklassifisering, etterspørselsstabilitet, ordrefrekvensavvik og klyngebasert gruppering – er i prinsippet generaliserbar til andre varegrupper med tilsvarende datastruktur i SAP. Teknisk utstyr, kontorrekvisita eller laboratorieforbruk ved helseforetakene har samme type transaksjonsdata i EKPO, MSEG og MARD. Det er likevel viktig å påpeke at parameterverdiene (S, h, ABC-grenser, CV-terskler) må rekalibreres for hver varegruppe, da kostnadsstruktur og forbruksmønstre varierer vesentlig mellom sortimenter.</w:t>
      </w:r>
    </w:p>
    <w:bookmarkEnd w:id="108"/>
    <w:bookmarkStart w:id="109" w:name="svakheter-og-begrensninger"/>
    <w:p>
      <w:pPr>
        <w:pStyle w:val="Overskrift2"/>
      </w:pPr>
      <w:r>
        <w:t xml:space="preserve">8.4 Svakheter og begrensninger</w:t>
      </w:r>
    </w:p>
    <w:p>
      <w:pPr>
        <w:pStyle w:val="FirstParagraph"/>
      </w:pPr>
      <w:r>
        <w:t xml:space="preserve">Besparelsesformelen</w:t>
      </w:r>
      <w:r>
        <w:t xml:space="preserve"> </w:t>
      </w:r>
      <m:oMath>
        <m:r>
          <m:t>B</m:t>
        </m:r>
        <m:r>
          <m:rPr>
            <m:sty m:val="p"/>
          </m:rPr>
          <m:t>=</m:t>
        </m:r>
        <m:r>
          <m:rPr>
            <m:sty m:val="p"/>
          </m:rPr>
          <m:t>∑</m:t>
        </m:r>
        <m:r>
          <m:rPr>
            <m:sty m:val="p"/>
          </m:rPr>
          <m:t>Δ</m:t>
        </m:r>
        <m:r>
          <m:t>T</m:t>
        </m:r>
        <m:sSub>
          <m:e>
            <m:r>
              <m:t>C</m:t>
            </m:r>
          </m:e>
          <m:sub>
            <m:r>
              <m:t>i</m:t>
            </m:r>
          </m:sub>
        </m:sSub>
        <m:r>
          <m:rPr>
            <m:sty m:val="p"/>
          </m:rPr>
          <m:t>×</m:t>
        </m:r>
        <m:r>
          <m:t>g</m:t>
        </m:r>
      </m:oMath>
      <w:r>
        <w:t xml:space="preserve"> </w:t>
      </w:r>
      <w:r>
        <w:t xml:space="preserve">benytter g som en antatt realiseringsgrad for den teoretiske EOQ-gevinsten. Det er avgjørende å presisere at g ikke er empirisk estimert fra historiske data, men er et scenarioparameter valgt for å reflektere ulike grader av implementeringssuksess. En realiseringsgrad på 75 % (base case) er et plausibelt anslag, men ikke en prognose. Den faktiske gevinsten vil avhenge av gjennomføringskvaliteten i HVFS-implementeringen, leverandørenes evne til å levere i henhold til konsoliderte ordrer og Helse Bergens interne kapasitet til å revidere SAP-parametere. Analysen identifiserer et klart besparelsespotensial, men implementering krever organisatorisk endring — herunder revidering av innkjøpsprosesser, oppdatering av SAP MM-parametere og forankring hos klinisk personell og logistikkfunksjon. Sensitivitetsanalysen over 27 scenarier synliggjør bredden i dette usikkerhetsintervallet og er ment å kompensere for at g ikke er empirisk fundert.</w:t>
      </w:r>
    </w:p>
    <w:p>
      <w:pPr>
        <w:pStyle w:val="BodyText"/>
      </w:pPr>
      <w:r>
        <w:t xml:space="preserve">Leveringstidsfallbacken på 14 dager gjelder 94 % av artiklene og er den enkeltantagelsen som potensielt har størst konsekvens for bestillingspunktberegninger. For EOQ-avviksanalysen, som er frekvensbasert, er den direkte effekten begrenset; men for en fremtidig ROP-analyse vil kalibrering av faktiske leveringstider per leverandør og artikkel være avgjørende. Helse Bergen bør prioritere å berike EINE-tabellen med faktiske WETAG-verdier som en del av det løpende SAP MM-vedlikeholdet.</w:t>
      </w:r>
    </w:p>
    <w:p>
      <w:pPr>
        <w:pStyle w:val="BodyText"/>
      </w:pPr>
      <w:r>
        <w:t xml:space="preserve">Analyseperioden 2024–2025 er valgt for å reflektere normal drift, men det kan ikke utelukkes at forbruksmønstre i denne perioden fortsatt er påvirket av ettervirkninger fra COVID-19-pandemien, som medførte betydelige forstyrrelser i forsyningskjeder og forbruksmønstre i helsesektoren (Volland et al., 2017). Artikler som ble hamstret eller substituert under pandemien kan ha unormalt høy eller lav CV i analyseperioden, noe som kan gi misvisende XYZ-klassifisering for disse spesifikke artiklene.</w:t>
      </w:r>
    </w:p>
    <w:p>
      <w:pPr>
        <w:pStyle w:val="BodyText"/>
      </w:pPr>
      <w:r>
        <w:t xml:space="preserve">K-means er kjent for å være sensitiv overfor valget av K, og ulike K-verdier vil gi ulike klyngeprofiler og dermed ulike K_OVERFØR-populasjoner (Srinivasan &amp; Moon, 1999). Det automatiske K-valget via silhouette minimerer analytisk bias, men eliminerer ikke usikkerheten: med K = 2 eller K = 4 ville klyngestrukturen og den tilhørende overføringslisten sett annerledes ut. Sensitiviteten overfor K-valg bør anerkjennes som en begrensning ved tolkning av K_OVERFØR-signalet i regelmotoren. I tillegg er K-means sensitiv overfor feature-scaling: standardiseringen via z-score gir de tre featurene lik vekt i klyngingen, men dette er en normativ beslutning — ikke en empirisk begrunnet vekting. Dersom verdi burde tillegges større vekt enn CV i en klinisk kontekst, ville klyngestrukturen endres tilsvarende.</w:t>
      </w:r>
    </w:p>
    <w:p>
      <w:pPr>
        <w:pStyle w:val="BodyText"/>
      </w:pPr>
      <w:r>
        <w:t xml:space="preserve">CV-koeffisienten som grunnlag for XYZ-klassifisering har en kjent svakhet ved lav etterspørsel: artikler med svært lavt forbruksvolum kan få kunstig lav CV dersom de har jevnt, men minimalt forbruk, eller kunstig høy CV fra én enkelt utlevering i en ellers stille periode. For de 144 artiklene som er klassifisert som Z (CV &gt; 1,0) bør det derfor ikke utelukkes at enkelte av disse har uregelmessig CV primært grunnet lavt volum fremfor genuint uforutsigbart forbruksmønster.</w:t>
      </w:r>
    </w:p>
    <w:p>
      <w:pPr>
        <w:pStyle w:val="BodyText"/>
      </w:pPr>
      <w:r>
        <w:t xml:space="preserve">For 204 artikler uten EKPO-data er ABC-verdien beregnet, ikke observert. Dersom UNIT_PRICE for disse artiklene avviker fra faktisk innkjøpspris, vil ABC-rangeringen for dem være upresis. I verste fall kan en artikkel med faktisk høy innkjøpsverdi mangle EKPO-data nettopp fordi den anskaffes utenfor standard innkjøpsprosess – for eksempel som hastebestilling – noe som vil underestimere verdien og potensielt klassifisere den feil i ABC-hierarkiet. Denne begrensningen anbefales adressert ved å sikre at samtlige artikler i LGORT 3001 har fullstendige EKPO-oppføringer i SAP.</w:t>
      </w:r>
    </w:p>
    <w:p>
      <w:r>
        <w:pict>
          <v:rect style="width:0;height:1.5pt" o:hralign="center" o:hrstd="t" o:hr="t"/>
        </w:pict>
      </w:r>
    </w:p>
    <w:bookmarkEnd w:id="109"/>
    <w:bookmarkEnd w:id="110"/>
    <w:bookmarkStart w:id="114" w:name="kapittel-9-konklusjon"/>
    <w:p>
      <w:pPr>
        <w:pStyle w:val="Overskrift1"/>
      </w:pPr>
      <w:r>
        <w:t xml:space="preserve">Kapittel 9 – Konklusjon</w:t>
      </w:r>
    </w:p>
    <w:bookmarkStart w:id="111" w:name="svar-på-problemstillingen"/>
    <w:p>
      <w:pPr>
        <w:pStyle w:val="Overskrift2"/>
      </w:pPr>
      <w:r>
        <w:t xml:space="preserve">9.1 Svar på problemstillingen</w:t>
      </w:r>
    </w:p>
    <w:p>
      <w:pPr>
        <w:pStyle w:val="FirstParagraph"/>
      </w:pPr>
      <w:r>
        <w:t xml:space="preserve">Denne studien tok utgangspunkt i følgende problemstilling:</w:t>
      </w:r>
      <w:r>
        <w:t xml:space="preserve"> </w:t>
      </w:r>
      <w:r>
        <w:rPr>
          <w:i/>
          <w:iCs/>
        </w:rPr>
        <w:t xml:space="preserve">Hvordan kan multikriterieklassifisering og klyngeanalyse av SAP-transaksjonsdata identifisere hvilke artikler ved Helse Bergens forsyningslager (WERKS 3300, LGORT 3001) som bør overføres til HVFS, og hva er det estimerte besparelsespotensialet?</w:t>
      </w:r>
    </w:p>
    <w:p>
      <w:pPr>
        <w:pStyle w:val="BodyText"/>
      </w:pPr>
      <w:r>
        <w:t xml:space="preserve">Studien viser at en strukturert kombinasjon av ABC-analyse, XYZ-klassifisering, EOQ-avviksanalyse og K-means klyngeanalyse – sammenstilt i en regelbasert beslutningsmotor – gir et operasjonelt anvendbart grunnlag for å identifisere overføringskandidater direkte fra SAP-transaksjonsdata. Av de 709 aktive artiklene i LGORT 3001 anbefaler regelmotoren at</w:t>
      </w:r>
      <w:r>
        <w:t xml:space="preserve"> </w:t>
      </w:r>
      <w:r>
        <w:rPr>
          <w:b/>
          <w:bCs/>
        </w:rPr>
        <w:t xml:space="preserve">145 artikler</w:t>
      </w:r>
      <w:r>
        <w:t xml:space="preserve"> </w:t>
      </w:r>
      <w:r>
        <w:t xml:space="preserve">(20,5 %) overføres til HVFS. Disse artiklene kjennetegnes ved høy verdi (A- eller B-klasse), stabilt forbruksmønster (X- eller Y-klasse) og dokumentert overbestilling eller klyngetilhørighet som indikerer ineffektiv ordrepraksis.</w:t>
      </w:r>
    </w:p>
    <w:p>
      <w:pPr>
        <w:pStyle w:val="BodyText"/>
      </w:pPr>
      <w:r>
        <w:t xml:space="preserve">Det estimerte besparelsespotensialet for base case er</w:t>
      </w:r>
      <w:r>
        <w:t xml:space="preserve"> </w:t>
      </w:r>
      <w:r>
        <w:rPr>
          <w:b/>
          <w:bCs/>
        </w:rPr>
        <w:t xml:space="preserve">kr 451 515 per år</w:t>
      </w:r>
      <w:r>
        <w:t xml:space="preserve"> </w:t>
      </w:r>
      <w:r>
        <w:t xml:space="preserve">(realiseringsgrad g = 75 % av teoretisk</w:t>
      </w:r>
      <w:r>
        <w:t xml:space="preserve"> </w:t>
      </w:r>
      <m:oMath>
        <m:r>
          <m:rPr>
            <m:sty m:val="p"/>
          </m:rPr>
          <m:t>∑</m:t>
        </m:r>
        <m:r>
          <m:rPr>
            <m:sty m:val="p"/>
          </m:rPr>
          <m:t>Δ</m:t>
        </m:r>
        <m:r>
          <m:t>T</m:t>
        </m:r>
        <m:sSub>
          <m:e>
            <m:r>
              <m:t>C</m:t>
            </m:r>
          </m:e>
          <m:sub>
            <m:r>
              <m:t>i</m:t>
            </m:r>
          </m:sub>
        </m:sSub>
      </m:oMath>
      <w:r>
        <w:t xml:space="preserve">). Pessimistisk scenario (g = 50 %) gir kr 301 010, og optimistisk scenario (g = 100 %) gir kr 602 020. Disse estimatene er forankret i 117 artikler som oppfyller begge kriteriene OVERFØR_HVFS og FOR_MANGE_ORDRER, og der det samlede teoretiske totalkostnavviket er kr 602 020 per år. Sensitivitetsanalysen over 27 parameterkombinasjoner — med variasjon i S, h og</w:t>
      </w:r>
      <w:r>
        <w:t xml:space="preserve"> </w:t>
      </w:r>
      <m:oMath>
        <m:sSub>
          <m:e>
            <m:r>
              <m:t>τ</m:t>
            </m:r>
          </m:e>
          <m:sub>
            <m:r>
              <m:t>f</m:t>
            </m:r>
          </m:sub>
        </m:sSub>
      </m:oMath>
      <w:r>
        <w:t xml:space="preserve"> </w:t>
      </w:r>
      <w:r>
        <w:t xml:space="preserve">— viser at det samlede</w:t>
      </w:r>
      <w:r>
        <w:t xml:space="preserve"> </w:t>
      </w:r>
      <m:oMath>
        <m:r>
          <m:rPr>
            <m:sty m:val="p"/>
          </m:rPr>
          <m:t>Δ</m:t>
        </m:r>
        <m:r>
          <m:t>T</m:t>
        </m:r>
        <m:r>
          <m:t>C</m:t>
        </m:r>
      </m:oMath>
      <w:r>
        <w:t xml:space="preserve"> </w:t>
      </w:r>
      <w:r>
        <w:t xml:space="preserve">for hele populasjonen (487 artikler) varierer mellom kr 1 602 464 og kr 3 068 757 per år avhengig av parametervalg. Dette synliggjør at besparelsesestimatet er moderat sensitivt overfor forutsetningene om ordrekostnad og holdesats, men forblir positivt og vesentlig over alle 27 scenarier.</w:t>
      </w:r>
    </w:p>
    <w:p>
      <w:pPr>
        <w:pStyle w:val="BodyText"/>
      </w:pPr>
      <w:r>
        <w:t xml:space="preserve">Studien konkluderer dermed med at SAP-transaksjonsdata – hentet fra 14 tabeller via SE16H og bearbeidet med en reproduserbar Python-analyse – gir et tilstrekkelig informasjonsgrunnlag for datadrevet sentraliseringsvurdering. Metoderammeverket besvarer problemstillingen både kvalitativt (hvilke artikler) og kvantitativt (hva er besparelsespotensialet), og kan danne grunnlag for konkrete beslutninger i LIBRA-prosjektets videre gjennomføring.</w:t>
      </w:r>
    </w:p>
    <w:bookmarkEnd w:id="111"/>
    <w:bookmarkStart w:id="112" w:name="anbefalinger-til-helse-bergen"/>
    <w:p>
      <w:pPr>
        <w:pStyle w:val="Overskrift2"/>
      </w:pPr>
      <w:r>
        <w:t xml:space="preserve">9.2 Anbefalinger til Helse Bergen</w:t>
      </w:r>
    </w:p>
    <w:p>
      <w:pPr>
        <w:pStyle w:val="FirstParagraph"/>
      </w:pPr>
      <w:r>
        <w:t xml:space="preserve">Basert på studiens funn rettes følgende fire anbefalinger til Helse Bergen og Helse Vest IKT:</w:t>
      </w:r>
    </w:p>
    <w:p>
      <w:pPr>
        <w:pStyle w:val="BodyText"/>
      </w:pPr>
      <w:r>
        <w:rPr>
          <w:b/>
          <w:bCs/>
        </w:rPr>
        <w:t xml:space="preserve">1. Iverksett pilotoverføring for K_OVERFØR-klyngen og AX/BX-artiklene.</w:t>
      </w:r>
      <w:r>
        <w:t xml:space="preserve"> </w:t>
      </w:r>
      <w:r>
        <w:t xml:space="preserve">De 145 artiklene som er anbefalt overført bør ikke overføres samlet i én operasjon. En pilotfase bør prioritere artiklene i skjæringspunktet mellom K_OVERFØR-klyngen og AX/BX-kategoriene, da disse har den sterkeste kombinasjonen av analysesignaler og lavest risiko for servicesvikt. En gradvis overføring gir mulighet til å verifisere at HVFS og NorEngros håndterer artiklene i henhold til APL-leveransemodellen før hele porteføljen flyttes.</w:t>
      </w:r>
    </w:p>
    <w:p>
      <w:pPr>
        <w:pStyle w:val="BodyText"/>
      </w:pPr>
      <w:r>
        <w:rPr>
          <w:b/>
          <w:bCs/>
        </w:rPr>
        <w:t xml:space="preserve">2. Gjennomgå de 284 artiklene i TIL VURDERING manuelt.</w:t>
      </w:r>
      <w:r>
        <w:t xml:space="preserve"> </w:t>
      </w:r>
      <w:r>
        <w:t xml:space="preserve">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pPr>
        <w:pStyle w:val="BodyText"/>
      </w:pPr>
      <w:r>
        <w:rPr>
          <w:b/>
          <w:bCs/>
        </w:rPr>
        <w:t xml:space="preserve">3. Oppdater SAP MM-parametere for overførte artikler.</w:t>
      </w:r>
      <w:r>
        <w:t xml:space="preserve"> </w:t>
      </w:r>
      <w:r>
        <w:t xml:space="preserve">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pPr>
        <w:pStyle w:val="BodyText"/>
      </w:pPr>
      <w:r>
        <w:rPr>
          <w:b/>
          <w:bCs/>
        </w:rPr>
        <w:t xml:space="preserve">4. Evaluer gevinstrealisering etter 12 måneder.</w:t>
      </w:r>
      <w:r>
        <w:t xml:space="preserve"> </w:t>
      </w:r>
      <w:r>
        <w:t xml:space="preserve">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bookmarkEnd w:id="112"/>
    <w:bookmarkStart w:id="113" w:name="forslag-til-videre-forskning"/>
    <w:p>
      <w:pPr>
        <w:pStyle w:val="Overskrift2"/>
      </w:pPr>
      <w:r>
        <w:t xml:space="preserve">9.3 Forslag til videre forskning</w:t>
      </w:r>
    </w:p>
    <w:p>
      <w:pPr>
        <w:pStyle w:val="FirstParagraph"/>
      </w:pPr>
      <w:r>
        <w:t xml:space="preserve">Studien åpner for flere retninger innen videre forskning og metodeutvikling:</w:t>
      </w:r>
    </w:p>
    <w:p>
      <w:pPr>
        <w:pStyle w:val="BodyText"/>
      </w:pPr>
      <w:r>
        <w:rPr>
          <w:b/>
          <w:bCs/>
        </w:rPr>
        <w:t xml:space="preserve">ROP-modul.</w:t>
      </w:r>
      <w:r>
        <w:t xml:space="preserve"> </w:t>
      </w:r>
      <w:r>
        <w:t xml:space="preserve">Den nåværende analysen (versjon 2.7 av Python-scriptet) inkluderer ikke beregning av bestillingspunkt (ROP – Reorder Point). En ROP-modul vil kreve pålitelige leveringstidsdata per artikkel og et valgt servicenivå, og vil gi et mer komplett bilde av den optimale lagerstyringspolicyen. Ettersom LEAD_TIME-data i dag mangler for 94 % av artiklene, er et nødvendig forarbeid å berike EINE-tabellen med faktiske leveringstider fra leverandøravtaler. En oppfølgingsstudie som integrerer ROP-analyse vil kunne gi anbefalinger ikke bare om</w:t>
      </w:r>
      <w:r>
        <w:t xml:space="preserve"> </w:t>
      </w:r>
      <w:r>
        <w:rPr>
          <w:i/>
          <w:iCs/>
        </w:rPr>
        <w:t xml:space="preserve">hvem</w:t>
      </w:r>
      <w:r>
        <w:t xml:space="preserve"> </w:t>
      </w:r>
      <w:r>
        <w:t xml:space="preserve">som skal overføres, men også om</w:t>
      </w:r>
      <w:r>
        <w:t xml:space="preserve"> </w:t>
      </w:r>
      <w:r>
        <w:rPr>
          <w:i/>
          <w:iCs/>
        </w:rPr>
        <w:t xml:space="preserve">hvordan</w:t>
      </w:r>
      <w:r>
        <w:t xml:space="preserve"> </w:t>
      </w:r>
      <w:r>
        <w:t xml:space="preserve">lagernivåene skal settes etter overføring.</w:t>
      </w:r>
    </w:p>
    <w:p>
      <w:pPr>
        <w:pStyle w:val="BodyText"/>
      </w:pPr>
      <w:r>
        <w:rPr>
          <w:b/>
          <w:bCs/>
        </w:rPr>
        <w:t xml:space="preserve">Leverandørkonsolidering.</w:t>
      </w:r>
      <w:r>
        <w:t xml:space="preserve"> </w:t>
      </w:r>
      <w:r>
        <w:t xml:space="preserve">Studien analyserer artikler på individnivå, men tar ikke stilling til leverandørstruktur. En komplementær analyse av innkjøpsdata fra EKKO/EKPO kan avdekke muligheter for leverandørkonsolidering – det vil si om flere av HVFS-kandidatene leveres av de samme leverandørene, og om konsoliderte ordrer kan gi ytterligere besparelser utover ordrefrekvensoptimalisering. En slik analyse er særlig relevant i lys av NorEngros sin rolle som grossistoperatør for HVFS.</w:t>
      </w:r>
    </w:p>
    <w:p>
      <w:pPr>
        <w:pStyle w:val="BodyText"/>
      </w:pPr>
      <w:r>
        <w:rPr>
          <w:b/>
          <w:bCs/>
        </w:rPr>
        <w:t xml:space="preserve">Replikering til andre WERKS i Helse Vest.</w:t>
      </w:r>
      <w:r>
        <w:t xml:space="preserve"> </w:t>
      </w:r>
      <w:r>
        <w:t xml:space="preserve">Metoderammeverket i denne studien er fullt reproduserbart og kan i prinsippet anvendes på tilsvarende SAP-datastrukturer ved de øvrige helseforetakene i Helse Vest – Helse Stavanger, Helse Fonna og Helse Førde. En komparativ studie på tvers av WERKS-enheter vil gi grunnlag for å vurdere om HVFS-sentraliseringen bør differensieres per foretak, og om de metodiske funnene fra Helse Bergen er representative for regionen som helhet. En slik replikering vil styrke både den interne og eksterne validiteten til rammeverket som LIBRA-prosjektet nå utvikler.</w:t>
      </w:r>
    </w:p>
    <w:p>
      <w:r>
        <w:pict>
          <v:rect style="width:0;height:1.5pt" o:hralign="center" o:hrstd="t" o:hr="t"/>
        </w:pict>
      </w:r>
    </w:p>
    <w:bookmarkEnd w:id="113"/>
    <w:bookmarkEnd w:id="114"/>
    <w:bookmarkStart w:id="115" w:name="referanseliste"/>
    <w:p>
      <w:pPr>
        <w:pStyle w:val="Overskrift1"/>
      </w:pPr>
      <w:r>
        <w:t xml:space="preserve">Referanseliste</w:t>
      </w:r>
    </w:p>
    <w:p>
      <w:pPr>
        <w:pStyle w:val="FirstParagraph"/>
      </w:pPr>
      <w:r>
        <w:t xml:space="preserve">Bijvank, M., &amp; Vis, I. F. A. (2012). Inventory control for point-of-use locations in hospitals.</w:t>
      </w:r>
      <w:r>
        <w:t xml:space="preserve"> </w:t>
      </w:r>
      <w:r>
        <w:rPr>
          <w:i/>
          <w:iCs/>
        </w:rPr>
        <w:t xml:space="preserve">Journal of the Operational Research Society</w:t>
      </w:r>
      <w:r>
        <w:t xml:space="preserve">,</w:t>
      </w:r>
      <w:r>
        <w:t xml:space="preserve"> </w:t>
      </w:r>
      <w:r>
        <w:rPr>
          <w:i/>
          <w:iCs/>
        </w:rPr>
        <w:t xml:space="preserve">63</w:t>
      </w:r>
      <w:r>
        <w:t xml:space="preserve">(4), 497–510. https://doi.org/10.1057/jors.2011.52</w:t>
      </w:r>
    </w:p>
    <w:p>
      <w:pPr>
        <w:pStyle w:val="BodyText"/>
      </w:pPr>
      <w:r>
        <w:t xml:space="preserve">de Vries, J. (2011). The shaping of inventory systems in health services: A stakeholder analysis.</w:t>
      </w:r>
      <w:r>
        <w:t xml:space="preserve"> </w:t>
      </w:r>
      <w:r>
        <w:rPr>
          <w:i/>
          <w:iCs/>
        </w:rPr>
        <w:t xml:space="preserve">International Journal of Production Economics</w:t>
      </w:r>
      <w:r>
        <w:t xml:space="preserve">,</w:t>
      </w:r>
      <w:r>
        <w:t xml:space="preserve"> </w:t>
      </w:r>
      <w:r>
        <w:rPr>
          <w:i/>
          <w:iCs/>
        </w:rPr>
        <w:t xml:space="preserve">133</w:t>
      </w:r>
      <w:r>
        <w:t xml:space="preserve">(1), 60–69. https://doi.org/10.1016/j.ijpe.2009.10.029</w:t>
      </w:r>
    </w:p>
    <w:p>
      <w:pPr>
        <w:pStyle w:val="BodyText"/>
      </w:pPr>
      <w:r>
        <w:t xml:space="preserve">Fragapane, G. I., Bertnum, A. B., Hvolby, H.-H., &amp; Strandhagen, J. O. (2019). Medical supplies to the point-of-use in hospitals. I</w:t>
      </w:r>
      <w:r>
        <w:t xml:space="preserve"> </w:t>
      </w:r>
      <w:r>
        <w:rPr>
          <w:i/>
          <w:iCs/>
        </w:rPr>
        <w:t xml:space="preserve">IFIP International Conference on Advances in Production Management Systems (APMS)</w:t>
      </w:r>
      <w:r>
        <w:t xml:space="preserve"> </w:t>
      </w:r>
      <w:r>
        <w:t xml:space="preserve">(s. 248–255). Springer. https://doi.org/10.1007/978-3-030-29996-5_29</w:t>
      </w:r>
    </w:p>
    <w:p>
      <w:pPr>
        <w:pStyle w:val="BodyText"/>
      </w:pPr>
      <w:r>
        <w:t xml:space="preserve">Gupta, R., Gupta, K. K., Jain, B. R., &amp; Garg, R. K. (2007). ABC and VED analysis in medical stores inventory control.</w:t>
      </w:r>
      <w:r>
        <w:t xml:space="preserve"> </w:t>
      </w:r>
      <w:r>
        <w:rPr>
          <w:i/>
          <w:iCs/>
        </w:rPr>
        <w:t xml:space="preserve">Medical Journal Armed Forces India</w:t>
      </w:r>
      <w:r>
        <w:t xml:space="preserve">,</w:t>
      </w:r>
      <w:r>
        <w:t xml:space="preserve"> </w:t>
      </w:r>
      <w:r>
        <w:rPr>
          <w:i/>
          <w:iCs/>
        </w:rPr>
        <w:t xml:space="preserve">63</w:t>
      </w:r>
      <w:r>
        <w:t xml:space="preserve">(4), 325–327. https://doi.org/10.1016/S0377-1237(07)80005-2</w:t>
      </w:r>
    </w:p>
    <w:p>
      <w:pPr>
        <w:pStyle w:val="BodyText"/>
      </w:pPr>
      <w:r>
        <w:t xml:space="preserve">Gurumurthy, A., Nair, V. K., &amp; Vinodh, S. (2021). Application of a hybrid selective inventory control technique in a hospital: A precursor for inventory reduction through lean thinking.</w:t>
      </w:r>
      <w:r>
        <w:t xml:space="preserve"> </w:t>
      </w:r>
      <w:r>
        <w:rPr>
          <w:i/>
          <w:iCs/>
        </w:rPr>
        <w:t xml:space="preserve">The TQM Journal</w:t>
      </w:r>
      <w:r>
        <w:t xml:space="preserve">,</w:t>
      </w:r>
      <w:r>
        <w:t xml:space="preserve"> </w:t>
      </w:r>
      <w:r>
        <w:rPr>
          <w:i/>
          <w:iCs/>
        </w:rPr>
        <w:t xml:space="preserve">33</w:t>
      </w:r>
      <w:r>
        <w:t xml:space="preserve">(3), 568–595. https://doi.org/10.1108/TQM-06-2020-0123</w:t>
      </w:r>
    </w:p>
    <w:p>
      <w:pPr>
        <w:pStyle w:val="BodyText"/>
      </w:pPr>
      <w:r>
        <w:t xml:space="preserve">Hautaniemi, P., &amp; Pirttilä, T. (1999). The choice of replenishment policies in an MRP environment.</w:t>
      </w:r>
      <w:r>
        <w:t xml:space="preserve"> </w:t>
      </w:r>
      <w:r>
        <w:rPr>
          <w:i/>
          <w:iCs/>
        </w:rPr>
        <w:t xml:space="preserve">International Journal of Production Economics</w:t>
      </w:r>
      <w:r>
        <w:t xml:space="preserve">,</w:t>
      </w:r>
      <w:r>
        <w:t xml:space="preserve"> </w:t>
      </w:r>
      <w:r>
        <w:rPr>
          <w:i/>
          <w:iCs/>
        </w:rPr>
        <w:t xml:space="preserve">59</w:t>
      </w:r>
      <w:r>
        <w:t xml:space="preserve">(1–3), 85–92. https://doi.org/10.1016/S0925-5273(98)00026-7</w:t>
      </w:r>
    </w:p>
    <w:p>
      <w:pPr>
        <w:pStyle w:val="BodyText"/>
      </w:pPr>
      <w:r>
        <w:t xml:space="preserve">Kelle, P., Woosley, J., &amp; Schneider, H. (2012). Pharmaceutical supply chain specifics and inventory solutions for a hospital case.</w:t>
      </w:r>
      <w:r>
        <w:t xml:space="preserve"> </w:t>
      </w:r>
      <w:r>
        <w:rPr>
          <w:i/>
          <w:iCs/>
        </w:rPr>
        <w:t xml:space="preserve">Operations Research for Health Care</w:t>
      </w:r>
      <w:r>
        <w:t xml:space="preserve">,</w:t>
      </w:r>
      <w:r>
        <w:t xml:space="preserve"> </w:t>
      </w:r>
      <w:r>
        <w:rPr>
          <w:i/>
          <w:iCs/>
        </w:rPr>
        <w:t xml:space="preserve">1</w:t>
      </w:r>
      <w:r>
        <w:t xml:space="preserve">(2–3), 54–63. https://doi.org/10.1016/j.orhc.2012.07.001</w:t>
      </w:r>
    </w:p>
    <w:p>
      <w:pPr>
        <w:pStyle w:val="BodyText"/>
      </w:pPr>
      <w:r>
        <w:t xml:space="preserve">Keshavarz Ghorabaee, M., Zavadskas, E. K., Olfat, L., &amp; Turskis, Z. (2015). Multi-criteria inventory classification using a new method of evaluation based on distance from average solution (EDAS).</w:t>
      </w:r>
      <w:r>
        <w:t xml:space="preserve"> </w:t>
      </w:r>
      <w:r>
        <w:rPr>
          <w:i/>
          <w:iCs/>
        </w:rPr>
        <w:t xml:space="preserve">Informatica</w:t>
      </w:r>
      <w:r>
        <w:t xml:space="preserve">,</w:t>
      </w:r>
      <w:r>
        <w:t xml:space="preserve"> </w:t>
      </w:r>
      <w:r>
        <w:rPr>
          <w:i/>
          <w:iCs/>
        </w:rPr>
        <w:t xml:space="preserve">26</w:t>
      </w:r>
      <w:r>
        <w:t xml:space="preserve">(3), 435–451. https://doi.org/10.15388/Informatica.2015.57</w:t>
      </w:r>
    </w:p>
    <w:p>
      <w:pPr>
        <w:pStyle w:val="BodyText"/>
      </w:pPr>
      <w:r>
        <w:t xml:space="preserve">Ketkar, M., &amp; Vaidya, O. S. (2014). Developing ordering policy based on multiple inventory classification schemes.</w:t>
      </w:r>
      <w:r>
        <w:t xml:space="preserve"> </w:t>
      </w:r>
      <w:r>
        <w:rPr>
          <w:i/>
          <w:iCs/>
        </w:rPr>
        <w:t xml:space="preserve">Procedia – Social and Behavioral Sciences</w:t>
      </w:r>
      <w:r>
        <w:t xml:space="preserve">,</w:t>
      </w:r>
      <w:r>
        <w:t xml:space="preserve"> </w:t>
      </w:r>
      <w:r>
        <w:rPr>
          <w:i/>
          <w:iCs/>
        </w:rPr>
        <w:t xml:space="preserve">133</w:t>
      </w:r>
      <w:r>
        <w:t xml:space="preserve">, 180–188. https://doi.org/10.1016/j.sbspro.2014.04.183</w:t>
      </w:r>
    </w:p>
    <w:p>
      <w:pPr>
        <w:pStyle w:val="BodyText"/>
      </w:pPr>
      <w:r>
        <w:t xml:space="preserve">Kumar, D., &amp; Kumar, D. (2015). Modelling hospital inventory management using interpretive structural modelling approach.</w:t>
      </w:r>
      <w:r>
        <w:t xml:space="preserve"> </w:t>
      </w:r>
      <w:r>
        <w:rPr>
          <w:i/>
          <w:iCs/>
        </w:rPr>
        <w:t xml:space="preserve">International Journal of Logistics Systems and Management</w:t>
      </w:r>
      <w:r>
        <w:t xml:space="preserve">,</w:t>
      </w:r>
      <w:r>
        <w:t xml:space="preserve"> </w:t>
      </w:r>
      <w:r>
        <w:rPr>
          <w:i/>
          <w:iCs/>
        </w:rPr>
        <w:t xml:space="preserve">21</w:t>
      </w:r>
      <w:r>
        <w:t xml:space="preserve">(3), 319–334. https://doi.org/10.1504/IJLSM.2015.069734</w:t>
      </w:r>
    </w:p>
    <w:p>
      <w:pPr>
        <w:pStyle w:val="BodyText"/>
      </w:pPr>
      <w:r>
        <w:t xml:space="preserve">McKinney, W. (2010). Data structures for statistical computing in Python. I S. van der Walt &amp; J. Millman (Red.),</w:t>
      </w:r>
      <w:r>
        <w:t xml:space="preserve"> </w:t>
      </w:r>
      <w:r>
        <w:rPr>
          <w:i/>
          <w:iCs/>
        </w:rPr>
        <w:t xml:space="preserve">Proceedings of the 9th Python in Science Conference</w:t>
      </w:r>
      <w:r>
        <w:t xml:space="preserve"> </w:t>
      </w:r>
      <w:r>
        <w:t xml:space="preserve">(s. 56–61). https://doi.org/10.25080/Majora-92bf1922-00a</w:t>
      </w:r>
    </w:p>
    <w:p>
      <w:pPr>
        <w:pStyle w:val="BodyText"/>
      </w:pPr>
      <w:r>
        <w:t xml:space="preserve">Moons, K., Waeyenbergh, G., &amp; Pintelon, L. (2019). Measuring the logistics performance of internal hospital supply chains – A literature study.</w:t>
      </w:r>
      <w:r>
        <w:t xml:space="preserve"> </w:t>
      </w:r>
      <w:r>
        <w:rPr>
          <w:i/>
          <w:iCs/>
        </w:rPr>
        <w:t xml:space="preserve">Omega</w:t>
      </w:r>
      <w:r>
        <w:t xml:space="preserve">,</w:t>
      </w:r>
      <w:r>
        <w:t xml:space="preserve"> </w:t>
      </w:r>
      <w:r>
        <w:rPr>
          <w:i/>
          <w:iCs/>
        </w:rPr>
        <w:t xml:space="preserve">82</w:t>
      </w:r>
      <w:r>
        <w:t xml:space="preserve">, 205–217. https://doi.org/10.1016/j.omega.2018.01.007</w:t>
      </w:r>
    </w:p>
    <w:p>
      <w:pPr>
        <w:pStyle w:val="BodyText"/>
      </w:pPr>
      <w:r>
        <w:t xml:space="preserve">Nowotyńska, I. (2013). An application of XYZ analysis in company stock management.</w:t>
      </w:r>
      <w:r>
        <w:t xml:space="preserve"> </w:t>
      </w:r>
      <w:r>
        <w:rPr>
          <w:i/>
          <w:iCs/>
        </w:rPr>
        <w:t xml:space="preserve">Modern Management Review</w:t>
      </w:r>
      <w:r>
        <w:t xml:space="preserve">,</w:t>
      </w:r>
      <w:r>
        <w:t xml:space="preserve"> </w:t>
      </w:r>
      <w:r>
        <w:rPr>
          <w:i/>
          <w:iCs/>
        </w:rPr>
        <w:t xml:space="preserve">XVIII</w:t>
      </w:r>
      <w:r>
        <w:t xml:space="preserve">(20), 77–86.</w:t>
      </w:r>
    </w:p>
    <w:p>
      <w:pPr>
        <w:pStyle w:val="BodyText"/>
      </w:pPr>
      <w:r>
        <w:t xml:space="preserve">Partovi, F. Y., &amp; Burton, J. (1993). Using the analytic hierarchy process for ABC analysis.</w:t>
      </w:r>
      <w:r>
        <w:t xml:space="preserve"> </w:t>
      </w:r>
      <w:r>
        <w:rPr>
          <w:i/>
          <w:iCs/>
        </w:rPr>
        <w:t xml:space="preserve">International Journal of Operations and Production Management</w:t>
      </w:r>
      <w:r>
        <w:t xml:space="preserve">,</w:t>
      </w:r>
      <w:r>
        <w:t xml:space="preserve"> </w:t>
      </w:r>
      <w:r>
        <w:rPr>
          <w:i/>
          <w:iCs/>
        </w:rPr>
        <w:t xml:space="preserve">13</w:t>
      </w:r>
      <w:r>
        <w:t xml:space="preserve">(9), 29–44. https://doi.org/10.1108/01443579310043619</w:t>
      </w:r>
    </w:p>
    <w:p>
      <w:pPr>
        <w:pStyle w:val="BodyText"/>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w:t>
      </w:r>
      <w:r>
        <w:t xml:space="preserve">,</w:t>
      </w:r>
      <w:r>
        <w:t xml:space="preserve"> </w:t>
      </w:r>
      <w:r>
        <w:rPr>
          <w:i/>
          <w:iCs/>
        </w:rPr>
        <w:t xml:space="preserve">12</w:t>
      </w:r>
      <w:r>
        <w:t xml:space="preserve">, 2825–2830.</w:t>
      </w:r>
    </w:p>
    <w:p>
      <w:pPr>
        <w:pStyle w:val="BodyText"/>
      </w:pPr>
      <w:r>
        <w:t xml:space="preserve">Pujawan, I. N. (2004). The effect of lot sizing rules on order variability.</w:t>
      </w:r>
      <w:r>
        <w:t xml:space="preserve"> </w:t>
      </w:r>
      <w:r>
        <w:rPr>
          <w:i/>
          <w:iCs/>
        </w:rPr>
        <w:t xml:space="preserve">European Journal of Operational Research</w:t>
      </w:r>
      <w:r>
        <w:t xml:space="preserve">,</w:t>
      </w:r>
      <w:r>
        <w:t xml:space="preserve"> </w:t>
      </w:r>
      <w:r>
        <w:rPr>
          <w:i/>
          <w:iCs/>
        </w:rPr>
        <w:t xml:space="preserve">159</w:t>
      </w:r>
      <w:r>
        <w:t xml:space="preserve">(3), 617–635. https://doi.org/10.1016/S0377-2217(03)00419-3</w:t>
      </w:r>
    </w:p>
    <w:p>
      <w:pPr>
        <w:pStyle w:val="BodyText"/>
      </w:pPr>
      <w:r>
        <w:t xml:space="preserve">Saha, E., &amp; Ray, P. K. (2019). Modelling and analysis of inventory management systems in healthcare: A review and reflections.</w:t>
      </w:r>
      <w:r>
        <w:t xml:space="preserve"> </w:t>
      </w:r>
      <w:r>
        <w:rPr>
          <w:i/>
          <w:iCs/>
        </w:rPr>
        <w:t xml:space="preserve">Computers &amp; Industrial Engineering</w:t>
      </w:r>
      <w:r>
        <w:t xml:space="preserve">,</w:t>
      </w:r>
      <w:r>
        <w:t xml:space="preserve"> </w:t>
      </w:r>
      <w:r>
        <w:rPr>
          <w:i/>
          <w:iCs/>
        </w:rPr>
        <w:t xml:space="preserve">137</w:t>
      </w:r>
      <w:r>
        <w:t xml:space="preserve">, 106051. https://doi.org/10.1016/j.cie.2019.106051</w:t>
      </w:r>
    </w:p>
    <w:p>
      <w:pPr>
        <w:pStyle w:val="BodyText"/>
      </w:pPr>
      <w:r>
        <w:t xml:space="preserve">Silaen, B. R., Nasution, M., &amp; Muti’ah, R. (2023). Implementation of the ABC analysis to the inventory management.</w:t>
      </w:r>
      <w:r>
        <w:t xml:space="preserve"> </w:t>
      </w:r>
      <w:r>
        <w:rPr>
          <w:i/>
          <w:iCs/>
        </w:rPr>
        <w:t xml:space="preserve">International Journal of Science, Technology &amp; Management</w:t>
      </w:r>
      <w:r>
        <w:t xml:space="preserve">,</w:t>
      </w:r>
      <w:r>
        <w:t xml:space="preserve"> </w:t>
      </w:r>
      <w:r>
        <w:rPr>
          <w:i/>
          <w:iCs/>
        </w:rPr>
        <w:t xml:space="preserve">4</w:t>
      </w:r>
      <w:r>
        <w:t xml:space="preserve">(4), 815–822. https://doi.org/10.46729/ijstm.v4i4.886</w:t>
      </w:r>
    </w:p>
    <w:p>
      <w:pPr>
        <w:pStyle w:val="BodyText"/>
      </w:pPr>
      <w:r>
        <w:t xml:space="preserve">Sirisawat, P., Hasachoo, N., &amp; Kaewket, T. (2019). Investigation and prioritization of performance indicators for inventory management in the university hospital. I</w:t>
      </w:r>
      <w:r>
        <w:t xml:space="preserve"> </w:t>
      </w:r>
      <w:r>
        <w:rPr>
          <w:i/>
          <w:iCs/>
        </w:rPr>
        <w:t xml:space="preserve">Proceedings of the 2019 IEEE International Conference on Industrial Engineering and Engineering Management (IEEM)</w:t>
      </w:r>
      <w:r>
        <w:t xml:space="preserve"> </w:t>
      </w:r>
      <w:r>
        <w:t xml:space="preserve">(s. 978–982). IEEE. https://doi.org/10.1109/IEEM44572.2019.8978819</w:t>
      </w:r>
    </w:p>
    <w:p>
      <w:pPr>
        <w:pStyle w:val="BodyText"/>
      </w:pPr>
      <w:r>
        <w:t xml:space="preserve">Srinivasan, M., &amp; Moon, Y. B. (1999). A comprehensive clustering algorithm for strategic analysis of supply chain networks.</w:t>
      </w:r>
      <w:r>
        <w:t xml:space="preserve"> </w:t>
      </w:r>
      <w:r>
        <w:rPr>
          <w:i/>
          <w:iCs/>
        </w:rPr>
        <w:t xml:space="preserve">Computers &amp; Industrial Engineering</w:t>
      </w:r>
      <w:r>
        <w:t xml:space="preserve">,</w:t>
      </w:r>
      <w:r>
        <w:t xml:space="preserve"> </w:t>
      </w:r>
      <w:r>
        <w:rPr>
          <w:i/>
          <w:iCs/>
        </w:rPr>
        <w:t xml:space="preserve">36</w:t>
      </w:r>
      <w:r>
        <w:t xml:space="preserve">, 615–633. https://doi.org/10.1016/S0360-8352(99)00155-2</w:t>
      </w:r>
    </w:p>
    <w:p>
      <w:pPr>
        <w:pStyle w:val="BodyText"/>
      </w:pPr>
      <w:r>
        <w:t xml:space="preserve">Suryaputri, Z., Gabriel, D. S., &amp; Nurcahyo, R. (2022). Integration of ABC-XYZ analysis in inventory management optimization: A case study in the health industry. I</w:t>
      </w:r>
      <w:r>
        <w:t xml:space="preserve"> </w:t>
      </w:r>
      <w:r>
        <w:rPr>
          <w:i/>
          <w:iCs/>
        </w:rPr>
        <w:t xml:space="preserve">Proceedings of the International Conference on Industrial Engineering and Operations Management</w:t>
      </w:r>
      <w:r>
        <w:t xml:space="preserve"> </w:t>
      </w:r>
      <w:r>
        <w:t xml:space="preserve">(s. 351–360). IEOM Society International.</w:t>
      </w:r>
    </w:p>
    <w:p>
      <w:pPr>
        <w:pStyle w:val="BodyText"/>
      </w:pPr>
      <w:r>
        <w:t xml:space="preserve">van Kampen, T. J., Akkerman, R., &amp; van Donk, D. P. (2012). SKU classification: A literature review and conceptual framework.</w:t>
      </w:r>
      <w:r>
        <w:t xml:space="preserve"> </w:t>
      </w:r>
      <w:r>
        <w:rPr>
          <w:i/>
          <w:iCs/>
        </w:rPr>
        <w:t xml:space="preserve">International Journal of Operations and Production Management</w:t>
      </w:r>
      <w:r>
        <w:t xml:space="preserve">,</w:t>
      </w:r>
      <w:r>
        <w:t xml:space="preserve"> </w:t>
      </w:r>
      <w:r>
        <w:rPr>
          <w:i/>
          <w:iCs/>
        </w:rPr>
        <w:t xml:space="preserve">32</w:t>
      </w:r>
      <w:r>
        <w:t xml:space="preserve">(7), 850–876. https://doi.org/10.1108/01443571211250112</w:t>
      </w:r>
    </w:p>
    <w:p>
      <w:pPr>
        <w:pStyle w:val="BodyText"/>
      </w:pPr>
      <w:r>
        <w:t xml:space="preserve">Volland, J., Fügener, A., Schoenfelder, J., &amp; Brunner, J. O. (2017). Material logistics in hospitals: A literature review.</w:t>
      </w:r>
      <w:r>
        <w:t xml:space="preserve"> </w:t>
      </w:r>
      <w:r>
        <w:rPr>
          <w:i/>
          <w:iCs/>
        </w:rPr>
        <w:t xml:space="preserve">Omega</w:t>
      </w:r>
      <w:r>
        <w:t xml:space="preserve">,</w:t>
      </w:r>
      <w:r>
        <w:t xml:space="preserve"> </w:t>
      </w:r>
      <w:r>
        <w:rPr>
          <w:i/>
          <w:iCs/>
        </w:rPr>
        <w:t xml:space="preserve">69</w:t>
      </w:r>
      <w:r>
        <w:t xml:space="preserve">, 82–101. https://doi.org/10.1016/j.omega.2016.08.004</w:t>
      </w:r>
    </w:p>
    <w:p>
      <w:pPr>
        <w:pStyle w:val="BodyText"/>
      </w:pPr>
      <w:r>
        <w:t xml:space="preserve">Anthropic. (2026).</w:t>
      </w:r>
      <w:r>
        <w:t xml:space="preserve"> </w:t>
      </w:r>
      <w:r>
        <w:rPr>
          <w:i/>
          <w:iCs/>
        </w:rPr>
        <w:t xml:space="preserve">Claude</w:t>
      </w:r>
      <w:r>
        <w:t xml:space="preserve"> </w:t>
      </w:r>
      <w:r>
        <w:t xml:space="preserve">[Stor språkmodell]. https://claude.ai</w:t>
      </w:r>
    </w:p>
    <w:p>
      <w:pPr>
        <w:pStyle w:val="BodyText"/>
      </w:pPr>
      <w:r>
        <w:t xml:space="preserve">Helse Vest RHF. (2024).</w:t>
      </w:r>
      <w:r>
        <w:t xml:space="preserve"> </w:t>
      </w:r>
      <w:r>
        <w:rPr>
          <w:i/>
          <w:iCs/>
        </w:rPr>
        <w:t xml:space="preserve">Kontraktstildeling: Drift av regionalt forsyningssenter</w:t>
      </w:r>
      <w:r>
        <w:t xml:space="preserve"> </w:t>
      </w:r>
      <w:r>
        <w:t xml:space="preserve">[Kunngjøring om inngått kontrakt, kunngjøring 2024-101803]. Doffin – database for offentlige innkjøp. https://doffin.no/notices/2024-101803</w:t>
      </w:r>
    </w:p>
    <w:p>
      <w:pPr>
        <w:pStyle w:val="BodyText"/>
      </w:pPr>
      <w:r>
        <w:t xml:space="preserve">Rekdal, O. B., &amp; Pettersen, B. I. A. (2025).</w:t>
      </w:r>
      <w:r>
        <w:t xml:space="preserve"> </w:t>
      </w:r>
      <w:r>
        <w:rPr>
          <w:i/>
          <w:iCs/>
        </w:rPr>
        <w:t xml:space="preserve">Vitenskapelig skriving – en praktisk innføring</w:t>
      </w:r>
      <w:r>
        <w:t xml:space="preserve"> </w:t>
      </w:r>
      <w:r>
        <w:t xml:space="preserve">(9. des. 2025). Høgskolen i Molde.</w:t>
      </w:r>
    </w:p>
    <w:p>
      <w:r>
        <w:pict>
          <v:rect style="width:0;height:1.5pt" o:hralign="center" o:hrstd="t" o:hr="t"/>
        </w:pict>
      </w:r>
    </w:p>
    <w:bookmarkEnd w:id="115"/>
    <w:bookmarkStart w:id="119" w:name="vedlegg"/>
    <w:p>
      <w:pPr>
        <w:pStyle w:val="Overskrift1"/>
      </w:pPr>
      <w:r>
        <w:t xml:space="preserve">Vedlegg</w:t>
      </w:r>
    </w:p>
    <w:bookmarkStart w:id="116" w:name="vedlegg-a-sap-dataspesifikasjon"/>
    <w:p>
      <w:pPr>
        <w:pStyle w:val="Overskrift2"/>
      </w:pPr>
      <w:r>
        <w:t xml:space="preserve">Vedlegg A – SAP-dataspesifikasjon</w:t>
      </w:r>
    </w:p>
    <w:p>
      <w:pPr>
        <w:pStyle w:val="FirstParagraph"/>
      </w:pPr>
      <w:r>
        <w:t xml:space="preserve">Tabellen nedenfor viser de 14 SAP S/4HANA-tabellene som ble ekstrahert via transaksjon SE16H for WERKS 3300 / LGORT 3001. Uttrekksperiode: 2024–2025.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SAP-tabell</w:t>
            </w:r>
          </w:p>
        </w:tc>
        <w:tc>
          <w:tcPr/>
          <w:p>
            <w:pPr>
              <w:pStyle w:val="Compact"/>
            </w:pPr>
            <w:r>
              <w:t xml:space="preserve">Beskrivelse</w:t>
            </w:r>
          </w:p>
        </w:tc>
        <w:tc>
          <w:tcPr/>
          <w:p>
            <w:pPr>
              <w:pStyle w:val="Compact"/>
            </w:pPr>
            <w:r>
              <w:t xml:space="preserve">Nøkkelfelter</w:t>
            </w:r>
          </w:p>
        </w:tc>
      </w:tr>
      <w:tr>
        <w:tc>
          <w:tcPr/>
          <w:p>
            <w:pPr>
              <w:pStyle w:val="Compact"/>
            </w:pPr>
            <w:r>
              <w:t xml:space="preserve">MARD</w:t>
            </w:r>
          </w:p>
        </w:tc>
        <w:tc>
          <w:tcPr/>
          <w:p>
            <w:pPr>
              <w:pStyle w:val="Compact"/>
            </w:pPr>
            <w:r>
              <w:t xml:space="preserve">Lagerbeholdning per lagersted</w:t>
            </w:r>
          </w:p>
        </w:tc>
        <w:tc>
          <w:tcPr/>
          <w:p>
            <w:pPr>
              <w:pStyle w:val="Compact"/>
            </w:pPr>
            <w:r>
              <w:t xml:space="preserve">MATNR, WERKS, LGORT, LABST</w:t>
            </w:r>
          </w:p>
        </w:tc>
      </w:tr>
      <w:tr>
        <w:tc>
          <w:tcPr/>
          <w:p>
            <w:pPr>
              <w:pStyle w:val="Compact"/>
            </w:pPr>
            <w:r>
              <w:t xml:space="preserve">MDMA</w:t>
            </w:r>
          </w:p>
        </w:tc>
        <w:tc>
          <w:tcPr/>
          <w:p>
            <w:pPr>
              <w:pStyle w:val="Compact"/>
            </w:pPr>
            <w:r>
              <w:t xml:space="preserve">MRP-område og tilordning</w:t>
            </w:r>
          </w:p>
        </w:tc>
        <w:tc>
          <w:tcPr/>
          <w:p>
            <w:pPr>
              <w:pStyle w:val="Compact"/>
            </w:pPr>
            <w:r>
              <w:t xml:space="preserve">MATNR, WERKS, ZZABC, ZZXYZ</w:t>
            </w:r>
          </w:p>
        </w:tc>
      </w:tr>
      <w:tr>
        <w:tc>
          <w:tcPr/>
          <w:p>
            <w:pPr>
              <w:pStyle w:val="Compact"/>
            </w:pPr>
            <w:r>
              <w:t xml:space="preserve">MARA</w:t>
            </w:r>
          </w:p>
        </w:tc>
        <w:tc>
          <w:tcPr/>
          <w:p>
            <w:pPr>
              <w:pStyle w:val="Compact"/>
            </w:pPr>
            <w:r>
              <w:t xml:space="preserve">Generelle materialdata</w:t>
            </w:r>
          </w:p>
        </w:tc>
        <w:tc>
          <w:tcPr/>
          <w:p>
            <w:pPr>
              <w:pStyle w:val="Compact"/>
            </w:pPr>
            <w:r>
              <w:t xml:space="preserve">MATNR, MTART, MATKL, MEINS</w:t>
            </w:r>
          </w:p>
        </w:tc>
      </w:tr>
      <w:tr>
        <w:tc>
          <w:tcPr/>
          <w:p>
            <w:pPr>
              <w:pStyle w:val="Compact"/>
            </w:pPr>
            <w:r>
              <w:t xml:space="preserve">MAKT</w:t>
            </w:r>
          </w:p>
        </w:tc>
        <w:tc>
          <w:tcPr/>
          <w:p>
            <w:pPr>
              <w:pStyle w:val="Compact"/>
            </w:pPr>
            <w:r>
              <w:t xml:space="preserve">Materialbeskrivelse</w:t>
            </w:r>
          </w:p>
        </w:tc>
        <w:tc>
          <w:tcPr/>
          <w:p>
            <w:pPr>
              <w:pStyle w:val="Compact"/>
            </w:pPr>
            <w:r>
              <w:t xml:space="preserve">MATNR, MAKTX</w:t>
            </w:r>
          </w:p>
        </w:tc>
      </w:tr>
      <w:tr>
        <w:tc>
          <w:tcPr/>
          <w:p>
            <w:pPr>
              <w:pStyle w:val="Compact"/>
            </w:pPr>
            <w:r>
              <w:t xml:space="preserve">MARC</w:t>
            </w:r>
          </w:p>
        </w:tc>
        <w:tc>
          <w:tcPr/>
          <w:p>
            <w:pPr>
              <w:pStyle w:val="Compact"/>
            </w:pPr>
            <w:r>
              <w:t xml:space="preserve">Planleggingsdata per plant</w:t>
            </w:r>
          </w:p>
        </w:tc>
        <w:tc>
          <w:tcPr/>
          <w:p>
            <w:pPr>
              <w:pStyle w:val="Compact"/>
            </w:pPr>
            <w:r>
              <w:t xml:space="preserve">MATNR, WERKS, MARC_ABC</w:t>
            </w:r>
          </w:p>
        </w:tc>
      </w:tr>
      <w:tr>
        <w:tc>
          <w:tcPr/>
          <w:p>
            <w:pPr>
              <w:pStyle w:val="Compact"/>
            </w:pPr>
            <w:r>
              <w:t xml:space="preserve">MBEW</w:t>
            </w:r>
          </w:p>
        </w:tc>
        <w:tc>
          <w:tcPr/>
          <w:p>
            <w:pPr>
              <w:pStyle w:val="Compact"/>
            </w:pPr>
            <w:r>
              <w:t xml:space="preserve">Materialvurdering (pris)</w:t>
            </w:r>
          </w:p>
        </w:tc>
        <w:tc>
          <w:tcPr/>
          <w:p>
            <w:pPr>
              <w:pStyle w:val="Compact"/>
            </w:pPr>
            <w:r>
              <w:t xml:space="preserve">MATNR, BWKEY, STPRS, PEINH</w:t>
            </w:r>
          </w:p>
        </w:tc>
      </w:tr>
      <w:tr>
        <w:tc>
          <w:tcPr/>
          <w:p>
            <w:pPr>
              <w:pStyle w:val="Compact"/>
            </w:pPr>
            <w:r>
              <w:t xml:space="preserve">MSEG</w:t>
            </w:r>
          </w:p>
        </w:tc>
        <w:tc>
          <w:tcPr/>
          <w:p>
            <w:pPr>
              <w:pStyle w:val="Compact"/>
            </w:pPr>
            <w:r>
              <w:t xml:space="preserve">Materialdokumentsegment</w:t>
            </w:r>
          </w:p>
        </w:tc>
        <w:tc>
          <w:tcPr/>
          <w:p>
            <w:pPr>
              <w:pStyle w:val="Compact"/>
            </w:pPr>
            <w:r>
              <w:t xml:space="preserve">MATNR, WERKS, LGORT, MENGE, BWART</w:t>
            </w:r>
          </w:p>
        </w:tc>
      </w:tr>
      <w:tr>
        <w:tc>
          <w:tcPr/>
          <w:p>
            <w:pPr>
              <w:pStyle w:val="Compact"/>
            </w:pPr>
            <w:r>
              <w:t xml:space="preserve">EKKO</w:t>
            </w:r>
          </w:p>
        </w:tc>
        <w:tc>
          <w:tcPr/>
          <w:p>
            <w:pPr>
              <w:pStyle w:val="Compact"/>
            </w:pPr>
            <w:r>
              <w:t xml:space="preserve">Innkjøpsordrehode</w:t>
            </w:r>
          </w:p>
        </w:tc>
        <w:tc>
          <w:tcPr/>
          <w:p>
            <w:pPr>
              <w:pStyle w:val="Compact"/>
            </w:pPr>
            <w:r>
              <w:t xml:space="preserve">EBELN, BSART, LIFNR</w:t>
            </w:r>
          </w:p>
        </w:tc>
      </w:tr>
      <w:tr>
        <w:tc>
          <w:tcPr/>
          <w:p>
            <w:pPr>
              <w:pStyle w:val="Compact"/>
            </w:pPr>
            <w:r>
              <w:t xml:space="preserve">EKPO</w:t>
            </w:r>
          </w:p>
        </w:tc>
        <w:tc>
          <w:tcPr/>
          <w:p>
            <w:pPr>
              <w:pStyle w:val="Compact"/>
            </w:pPr>
            <w:r>
              <w:t xml:space="preserve">Innkjøpsordreposisjon</w:t>
            </w:r>
          </w:p>
        </w:tc>
        <w:tc>
          <w:tcPr/>
          <w:p>
            <w:pPr>
              <w:pStyle w:val="Compact"/>
            </w:pPr>
            <w:r>
              <w:t xml:space="preserve">EBELN, EBELP, MATNR, NETWR</w:t>
            </w:r>
          </w:p>
        </w:tc>
      </w:tr>
      <w:tr>
        <w:tc>
          <w:tcPr/>
          <w:p>
            <w:pPr>
              <w:pStyle w:val="Compact"/>
            </w:pPr>
            <w:r>
              <w:t xml:space="preserve">EKBE</w:t>
            </w:r>
          </w:p>
        </w:tc>
        <w:tc>
          <w:tcPr/>
          <w:p>
            <w:pPr>
              <w:pStyle w:val="Compact"/>
            </w:pPr>
            <w:r>
              <w:t xml:space="preserve">Innkjøpsordrehistorikk</w:t>
            </w:r>
          </w:p>
        </w:tc>
        <w:tc>
          <w:tcPr/>
          <w:p>
            <w:pPr>
              <w:pStyle w:val="Compact"/>
            </w:pPr>
            <w:r>
              <w:t xml:space="preserve">EBELN, EBELP, MATNR, MENGE</w:t>
            </w:r>
          </w:p>
        </w:tc>
      </w:tr>
      <w:tr>
        <w:tc>
          <w:tcPr/>
          <w:p>
            <w:pPr>
              <w:pStyle w:val="Compact"/>
            </w:pPr>
            <w:r>
              <w:t xml:space="preserve">EINA</w:t>
            </w:r>
          </w:p>
        </w:tc>
        <w:tc>
          <w:tcPr/>
          <w:p>
            <w:pPr>
              <w:pStyle w:val="Compact"/>
            </w:pPr>
            <w:r>
              <w:t xml:space="preserve">Inforecord generell</w:t>
            </w:r>
          </w:p>
        </w:tc>
        <w:tc>
          <w:tcPr/>
          <w:p>
            <w:pPr>
              <w:pStyle w:val="Compact"/>
            </w:pPr>
            <w:r>
              <w:t xml:space="preserve">INFNR, MATNR, LIFNR</w:t>
            </w:r>
          </w:p>
        </w:tc>
      </w:tr>
      <w:tr>
        <w:tc>
          <w:tcPr/>
          <w:p>
            <w:pPr>
              <w:pStyle w:val="Compact"/>
            </w:pPr>
            <w:r>
              <w:t xml:space="preserve">EINE</w:t>
            </w:r>
          </w:p>
        </w:tc>
        <w:tc>
          <w:tcPr/>
          <w:p>
            <w:pPr>
              <w:pStyle w:val="Compact"/>
            </w:pPr>
            <w:r>
              <w:t xml:space="preserve">Inforecord organisasjon</w:t>
            </w:r>
          </w:p>
        </w:tc>
        <w:tc>
          <w:tcPr/>
          <w:p>
            <w:pPr>
              <w:pStyle w:val="Compact"/>
            </w:pPr>
            <w:r>
              <w:t xml:space="preserve">INFNR, EKORG, NETPR, PEINH</w:t>
            </w:r>
          </w:p>
        </w:tc>
      </w:tr>
      <w:tr>
        <w:tc>
          <w:tcPr/>
          <w:p>
            <w:pPr>
              <w:pStyle w:val="Compact"/>
            </w:pPr>
            <w:r>
              <w:t xml:space="preserve">T023T</w:t>
            </w:r>
          </w:p>
        </w:tc>
        <w:tc>
          <w:tcPr/>
          <w:p>
            <w:pPr>
              <w:pStyle w:val="Compact"/>
            </w:pPr>
            <w:r>
              <w:t xml:space="preserve">Varegruppebeskriving</w:t>
            </w:r>
          </w:p>
        </w:tc>
        <w:tc>
          <w:tcPr/>
          <w:p>
            <w:pPr>
              <w:pStyle w:val="Compact"/>
            </w:pPr>
            <w:r>
              <w:t xml:space="preserve">MATKL, WGBEZ</w:t>
            </w:r>
          </w:p>
        </w:tc>
      </w:tr>
      <w:tr>
        <w:tc>
          <w:tcPr/>
          <w:p>
            <w:pPr>
              <w:pStyle w:val="Compact"/>
            </w:pPr>
            <w:r>
              <w:t xml:space="preserve">MASTERFILE</w:t>
            </w:r>
          </w:p>
        </w:tc>
        <w:tc>
          <w:tcPr/>
          <w:p>
            <w:pPr>
              <w:pStyle w:val="Compact"/>
            </w:pPr>
            <w:r>
              <w:t xml:space="preserve">Konsolidert analysefil</w:t>
            </w:r>
          </w:p>
        </w:tc>
        <w:tc>
          <w:tcPr/>
          <w:p>
            <w:pPr>
              <w:pStyle w:val="Compact"/>
            </w:pPr>
            <w:r>
              <w:t xml:space="preserve">709 aktive artiklar, 21 kolonnar</w:t>
            </w:r>
          </w:p>
        </w:tc>
      </w:tr>
    </w:tbl>
    <w:p>
      <w:pPr>
        <w:pStyle w:val="BodyText"/>
      </w:pPr>
      <w:r>
        <w:t xml:space="preserve">Alle datavalgsbeslutningar (D-01 til D-08) er dokumenterte i Tabell 5 i hovudteksten.</w:t>
      </w:r>
    </w:p>
    <w:bookmarkEnd w:id="116"/>
    <w:bookmarkStart w:id="117" w:name="vedlegg-b-python-analyseverktøy"/>
    <w:p>
      <w:pPr>
        <w:pStyle w:val="Overskrift2"/>
      </w:pPr>
      <w:r>
        <w:t xml:space="preserve">Vedlegg B – Python-analyseverktøy</w:t>
      </w:r>
    </w:p>
    <w:p>
      <w:pPr>
        <w:pStyle w:val="FirstParagraph"/>
      </w:pPr>
      <w:r>
        <w:t xml:space="preserve">Analyseverktøyet er implementert i Python 3.13 og består av to hovudkomponentar:</w:t>
      </w:r>
    </w:p>
    <w:p>
      <w:pPr>
        <w:pStyle w:val="BodyText"/>
      </w:pPr>
      <w:r>
        <w:rPr>
          <w:b/>
          <w:bCs/>
        </w:rPr>
        <w:t xml:space="preserve">Hovudscript:</w:t>
      </w:r>
      <w:r>
        <w:t xml:space="preserve"> </w:t>
      </w:r>
      <w:r>
        <w:rPr>
          <w:rStyle w:val="VerbatimChar"/>
        </w:rPr>
        <w:t xml:space="preserve">LOG650_analyse_v2_7.py</w:t>
      </w:r>
      <w:r>
        <w:t xml:space="preserve"> </w:t>
      </w:r>
      <w:r>
        <w:t xml:space="preserve">— deterministisk analysepipeline som les MASTERFILE V1.xlsx og produserer alle klassifiseringar, K-means-modellen, regelmotoranbefalingar og besparelsesestimater. Outputformat: Excel (LOG650_Resultater.xlsx) med separate ark for kvart analysesteg.</w:t>
      </w:r>
    </w:p>
    <w:p>
      <w:pPr>
        <w:pStyle w:val="BodyText"/>
      </w:pPr>
      <w:r>
        <w:rPr>
          <w:b/>
          <w:bCs/>
        </w:rPr>
        <w:t xml:space="preserve">Figurscripts:</w:t>
      </w:r>
      <w:r>
        <w:t xml:space="preserve"> </w:t>
      </w:r>
      <w:r>
        <w:t xml:space="preserve">11 separate Python-scripts (</w:t>
      </w:r>
      <w:r>
        <w:rPr>
          <w:rStyle w:val="VerbatimChar"/>
        </w:rPr>
        <w:t xml:space="preserve">plot_*.py</w:t>
      </w:r>
      <w:r>
        <w:t xml:space="preserve">) som genererer figurane Fig00–Fig10 i konsistent stil (serif-font, 300 dpi, felles fargepalett).</w:t>
      </w:r>
    </w:p>
    <w:p>
      <w:pPr>
        <w:pStyle w:val="BodyText"/>
      </w:pPr>
      <w:r>
        <w:rPr>
          <w:b/>
          <w:bCs/>
        </w:rPr>
        <w:t xml:space="preserve">Nøkkelbibliotek:</w:t>
      </w:r>
      <w:r>
        <w:t xml:space="preserve"> </w:t>
      </w:r>
      <w:r>
        <w:t xml:space="preserve">pandas 2.x (datastrukturar), scikit-learn 1.x (KMeans, StandardScaler, silhouette_score), matplotlib 3.x (visualisering), openpyxl (Excel I/O).</w:t>
      </w:r>
    </w:p>
    <w:p>
      <w:pPr>
        <w:pStyle w:val="BodyText"/>
      </w:pPr>
      <w:r>
        <w:rPr>
          <w:b/>
          <w:bCs/>
        </w:rPr>
        <w:t xml:space="preserve">Reproduserbarheit:</w:t>
      </w:r>
      <w:r>
        <w:t xml:space="preserve"> </w:t>
      </w:r>
      <w:r>
        <w:t xml:space="preserve">Alle scripts brukar</w:t>
      </w:r>
      <w:r>
        <w:t xml:space="preserve"> </w:t>
      </w:r>
      <w:r>
        <w:rPr>
          <w:rStyle w:val="VerbatimChar"/>
        </w:rPr>
        <w:t xml:space="preserve">random_state=42</w:t>
      </w:r>
      <w:r>
        <w:t xml:space="preserve"> </w:t>
      </w:r>
      <w:r>
        <w:t xml:space="preserve">for deterministisk output. Gjentatt kjøring med same inputdata gir identiske resultat.</w:t>
      </w:r>
    </w:p>
    <w:p>
      <w:pPr>
        <w:pStyle w:val="BodyText"/>
      </w:pPr>
      <w:r>
        <w:t xml:space="preserve">Fullstendig kildekode er tilgjengeleg i prosjektets GitHub-repository.</w:t>
      </w:r>
    </w:p>
    <w:bookmarkEnd w:id="117"/>
    <w:bookmarkStart w:id="118" w:name="X7bbda7af458ebc78bdc642cc472ce58daf3a993"/>
    <w:p>
      <w:pPr>
        <w:pStyle w:val="Overskrift2"/>
      </w:pPr>
      <w:r>
        <w:t xml:space="preserve">Vedlegg C – Erklæring om bruk av kunstig intelligens</w:t>
      </w:r>
    </w:p>
    <w:p>
      <w:pPr>
        <w:pStyle w:val="FirstParagraph"/>
      </w:pPr>
      <w:r>
        <w:t xml:space="preserve">I denne oppgåva er KI-verktøyet Claude (Anthropic, 2026) brukt som støtteverktøy i tre delar av arbeidet, i samsvar med Høgskolen i Molde sine retningslinjer for bruk av KI på hjemmeeksamen.</w:t>
      </w:r>
    </w:p>
    <w:p>
      <w:pPr>
        <w:pStyle w:val="BodyText"/>
      </w:pPr>
      <w:r>
        <w:rPr>
          <w:b/>
          <w:bCs/>
        </w:rPr>
        <w:t xml:space="preserve">1. Kode og algoritmar.</w:t>
      </w:r>
      <w:r>
        <w:t xml:space="preserve"> </w:t>
      </w:r>
      <w:r>
        <w:t xml:space="preserve">Claude vart brukt til kodestøtte og feilsøking i Python-scriptet (</w:t>
      </w:r>
      <w:r>
        <w:rPr>
          <w:rStyle w:val="VerbatimChar"/>
        </w:rPr>
        <w:t xml:space="preserve">LOG650_analyse_v2_7.py</w:t>
      </w:r>
      <w:r>
        <w:t xml:space="preserve">) som implementerer ABC-, XYZ-, EOQ- og K-means-analysen. Verktøyet vart brukt til å forstå kodelogikk, feilsøke syntaksfeil og generere foreløpige kodeutdrag som seinare vart tilpassa og integrert. All kode er gjennomgått, testa og modifisert av forfattaren for å sikre korrektheit. Den endelege implementasjonen, tolkinga av resultat og presentasjonen av numeriske verdiar er forfattarens ansvar. Alle scripts brukar</w:t>
      </w:r>
      <w:r>
        <w:t xml:space="preserve"> </w:t>
      </w:r>
      <w:r>
        <w:rPr>
          <w:rStyle w:val="VerbatimChar"/>
        </w:rPr>
        <w:t xml:space="preserve">random_state=42</w:t>
      </w:r>
      <w:r>
        <w:t xml:space="preserve"> </w:t>
      </w:r>
      <w:r>
        <w:t xml:space="preserve">for deterministisk og reproduserbar output.</w:t>
      </w:r>
    </w:p>
    <w:p>
      <w:pPr>
        <w:pStyle w:val="BodyText"/>
      </w:pPr>
      <w:r>
        <w:rPr>
          <w:b/>
          <w:bCs/>
        </w:rPr>
        <w:t xml:space="preserve">2. Figurar og tabellar.</w:t>
      </w:r>
      <w:r>
        <w:t xml:space="preserve"> </w:t>
      </w:r>
      <w:r>
        <w:t xml:space="preserve">Alle 11 figurar (Fig00–Fig10) er genererte med matplotlib-scripts der Claude bidrog til utforming av layout, fargepalett og aksetitlar. Figurane er basert på analyseresultat produsert av Python-scriptet frå SAP-kildedata — KI-verktøyet har ikkje produsert eller modifisert nokon dataverdiar. Kvar figur er merka «Generert med støtte fra Claude (Anthropic, 2026)» i bildeteksten. Tabellar er formaterte med støtte frå Claude, men alle verdiar kjem direkte frå analysescriptet.</w:t>
      </w:r>
    </w:p>
    <w:p>
      <w:pPr>
        <w:pStyle w:val="BodyText"/>
      </w:pPr>
      <w:r>
        <w:rPr>
          <w:b/>
          <w:bCs/>
        </w:rPr>
        <w:t xml:space="preserve">3. Tekststrukturering og språkleg bearbeiding.</w:t>
      </w:r>
      <w:r>
        <w:t xml:space="preserve"> </w:t>
      </w:r>
      <w:r>
        <w:t xml:space="preserve">Claude vart brukt til å strukturere rapportteksten og forbetre språkleg klarheit. Verktøyet foreslo disposisjon, avsnittsinndeling og formuleringar som forfattaren vurderte kritisk og reviderte. Alle faglege påstandar, argument og konklusjonar er forfattarens eigne. Claude er ikkje brukt som fagkjelde og er ikkje sitert som belegg for faglege påstandar.</w:t>
      </w:r>
    </w:p>
    <w:p>
      <w:pPr>
        <w:pStyle w:val="BodyText"/>
      </w:pPr>
      <w:r>
        <w:rPr>
          <w:b/>
          <w:bCs/>
        </w:rPr>
        <w:t xml:space="preserve">Avgrensing.</w:t>
      </w:r>
      <w:r>
        <w:t xml:space="preserve"> </w:t>
      </w:r>
      <w:r>
        <w:t xml:space="preserve">Rådata frå SAP vart ikkje lagt inn i KI-verktøyet. Alle datatransformasjonar er dokumenterte i D-01–D-08 (avsnitt 4.3) og køyrde lokalt i Python. Ingen pasientdata eller personopplysningar er brukte i studien.</w:t>
      </w:r>
    </w:p>
    <w:bookmarkEnd w:id="118"/>
    <w:bookmarkEnd w:id="119"/>
    <w:sectPr w:rsidR="003A4872" w:rsidSect="00C90D42">
      <w:footerReference r:id="rId12" w:type="even"/>
      <w:footerReference r:id="rId13" w:type="default"/>
      <w:pgSz w:code="9" w:h="16840" w:w="11907"/>
      <w:pgMar w:bottom="1411" w:footer="403" w:gutter="0" w:header="720" w:left="994" w:right="1440" w:top="1411"/>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7DB05E1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6B23E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38C80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6C8B9C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E24DB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A7873D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9D8B7E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86B8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8D273A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8C2602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EB64CB"/>
    <w:multiLevelType w:val="multilevel"/>
    <w:tmpl w:val="5F0A6A72"/>
    <w:lvl w:ilvl="0">
      <w:start w:val="1"/>
      <w:numFmt w:val="decimal"/>
      <w:pStyle w:val="Overskrift1"/>
      <w:lvlText w:val="%1.0"/>
      <w:lvlJc w:val="left"/>
      <w:pPr>
        <w:ind w:hanging="432" w:left="432"/>
      </w:pPr>
      <w:rPr>
        <w:rFonts w:hint="default"/>
      </w:rPr>
    </w:lvl>
    <w:lvl w:ilvl="1">
      <w:start w:val="1"/>
      <w:numFmt w:val="decimal"/>
      <w:pStyle w:val="Overskrift2"/>
      <w:lvlText w:val="%1.%2"/>
      <w:lvlJc w:val="left"/>
      <w:pPr>
        <w:ind w:hanging="576" w:left="576"/>
      </w:pPr>
      <w:rPr>
        <w:rFonts w:hint="default"/>
        <w:i w:val="0"/>
      </w:rPr>
    </w:lvl>
    <w:lvl w:ilvl="2">
      <w:start w:val="1"/>
      <w:numFmt w:val="decimal"/>
      <w:pStyle w:val="Overskrift3"/>
      <w:lvlText w:val="%1.%2.%3"/>
      <w:lvlJc w:val="left"/>
      <w:pPr>
        <w:ind w:hanging="720" w:left="720"/>
      </w:pPr>
      <w:rPr>
        <w:rFonts w:hint="default"/>
      </w:rPr>
    </w:lvl>
    <w:lvl w:ilvl="3">
      <w:start w:val="1"/>
      <w:numFmt w:val="decimal"/>
      <w:pStyle w:val="Overskrift4"/>
      <w:lvlText w:val="%1.%2.%3.%4"/>
      <w:lvlJc w:val="left"/>
      <w:pPr>
        <w:ind w:hanging="864" w:left="864"/>
      </w:pPr>
      <w:rPr>
        <w:rFonts w:hint="default"/>
      </w:rPr>
    </w:lvl>
    <w:lvl w:ilvl="4">
      <w:start w:val="1"/>
      <w:numFmt w:val="decimal"/>
      <w:pStyle w:val="Overskrift5"/>
      <w:lvlText w:val="%1.%2.%3.%4.%5"/>
      <w:lvlJc w:val="left"/>
      <w:pPr>
        <w:ind w:hanging="1008" w:left="1008"/>
      </w:pPr>
      <w:rPr>
        <w:rFonts w:hint="default"/>
      </w:rPr>
    </w:lvl>
    <w:lvl w:ilvl="5">
      <w:start w:val="1"/>
      <w:numFmt w:val="decimal"/>
      <w:pStyle w:val="Overskrift6"/>
      <w:lvlText w:val="%1.%2.%3.%4.%5.%6"/>
      <w:lvlJc w:val="left"/>
      <w:pPr>
        <w:ind w:hanging="1152" w:left="1152"/>
      </w:pPr>
      <w:rPr>
        <w:rFonts w:hint="default"/>
      </w:rPr>
    </w:lvl>
    <w:lvl w:ilvl="6">
      <w:start w:val="1"/>
      <w:numFmt w:val="decimal"/>
      <w:pStyle w:val="Overskrift7"/>
      <w:lvlText w:val="%1.%2.%3.%4.%5.%6.%7"/>
      <w:lvlJc w:val="left"/>
      <w:pPr>
        <w:ind w:hanging="1296" w:left="1296"/>
      </w:pPr>
      <w:rPr>
        <w:rFonts w:hint="default"/>
      </w:rPr>
    </w:lvl>
    <w:lvl w:ilvl="7">
      <w:start w:val="1"/>
      <w:numFmt w:val="decimal"/>
      <w:pStyle w:val="Overskrift8"/>
      <w:lvlText w:val="%1.%2.%3.%4.%5.%6.%7.%8"/>
      <w:lvlJc w:val="left"/>
      <w:pPr>
        <w:ind w:hanging="1440" w:left="1440"/>
      </w:pPr>
      <w:rPr>
        <w:rFonts w:hint="default"/>
      </w:rPr>
    </w:lvl>
    <w:lvl w:ilvl="8">
      <w:start w:val="1"/>
      <w:numFmt w:val="decimal"/>
      <w:pStyle w:val="Overskrift9"/>
      <w:lvlText w:val="%1.%2.%3.%4.%5.%6.%7.%8.%9"/>
      <w:lvlJc w:val="left"/>
      <w:pPr>
        <w:ind w:hanging="1584" w:left="1584"/>
      </w:pPr>
      <w:rPr>
        <w:rFonts w:hint="default"/>
      </w:rPr>
    </w:lvl>
  </w:abstractNum>
  <w:abstractNum w15:restartNumberingAfterBreak="0" w:abstractNumId="11">
    <w:nsid w:val="028D0D7B"/>
    <w:multiLevelType w:val="hybridMultilevel"/>
    <w:tmpl w:val="7B3C0C3A"/>
    <w:lvl w:ilvl="0" w:tplc="310CF73C">
      <w:start w:val="1"/>
      <w:numFmt w:val="decimal"/>
      <w:lvlText w:val="%1."/>
      <w:lvlJc w:val="left"/>
      <w:pPr>
        <w:ind w:hanging="360" w:left="720"/>
      </w:pPr>
      <w:rPr>
        <w:rFonts w:hint="default"/>
        <w:b/>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2">
    <w:nsid w:val="05036849"/>
    <w:multiLevelType w:val="hybridMultilevel"/>
    <w:tmpl w:val="18AA823C"/>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0A382A5D"/>
    <w:multiLevelType w:val="hybridMultilevel"/>
    <w:tmpl w:val="D98ED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4">
    <w:nsid w:val="0B667A6A"/>
    <w:multiLevelType w:val="multilevel"/>
    <w:tmpl w:val="0414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11CB5551"/>
    <w:multiLevelType w:val="hybridMultilevel"/>
    <w:tmpl w:val="A0A8DB48"/>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6">
    <w:nsid w:val="24FA3A12"/>
    <w:multiLevelType w:val="hybridMultilevel"/>
    <w:tmpl w:val="23D6103E"/>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17">
    <w:nsid w:val="2BA16D5C"/>
    <w:multiLevelType w:val="multilevel"/>
    <w:tmpl w:val="50D2F234"/>
    <w:lvl w:ilvl="0">
      <w:start w:val="1"/>
      <w:numFmt w:val="decimal"/>
      <w:lvlText w:val="%1"/>
      <w:lvlJc w:val="left"/>
      <w:pPr>
        <w:ind w:hanging="480" w:left="480"/>
      </w:pPr>
      <w:rPr>
        <w:rFonts w:ascii="Times New Roman" w:cs="Sendnya" w:eastAsia="Times New Roman" w:hAnsi="Times New Roman" w:hint="default"/>
        <w:color w:val="0000FF"/>
        <w:sz w:val="24"/>
        <w:u w:val="single"/>
      </w:rPr>
    </w:lvl>
    <w:lvl w:ilvl="1">
      <w:start w:val="1"/>
      <w:numFmt w:val="decimal"/>
      <w:lvlText w:val="%1.%2"/>
      <w:lvlJc w:val="left"/>
      <w:pPr>
        <w:ind w:hanging="720" w:left="960"/>
      </w:pPr>
      <w:rPr>
        <w:rFonts w:ascii="Times New Roman" w:cs="Sendnya" w:eastAsia="Times New Roman" w:hAnsi="Times New Roman" w:hint="default"/>
        <w:color w:val="0000FF"/>
        <w:sz w:val="24"/>
        <w:u w:val="single"/>
      </w:rPr>
    </w:lvl>
    <w:lvl w:ilvl="2">
      <w:start w:val="1"/>
      <w:numFmt w:val="decimal"/>
      <w:lvlText w:val="%1.%2.%3"/>
      <w:lvlJc w:val="left"/>
      <w:pPr>
        <w:ind w:hanging="720" w:left="1200"/>
      </w:pPr>
      <w:rPr>
        <w:rFonts w:ascii="Times New Roman" w:cs="Sendnya" w:eastAsia="Times New Roman" w:hAnsi="Times New Roman" w:hint="default"/>
        <w:color w:val="0000FF"/>
        <w:sz w:val="24"/>
        <w:u w:val="single"/>
      </w:rPr>
    </w:lvl>
    <w:lvl w:ilvl="3">
      <w:start w:val="1"/>
      <w:numFmt w:val="decimal"/>
      <w:lvlText w:val="%1.%2.%3.%4"/>
      <w:lvlJc w:val="left"/>
      <w:pPr>
        <w:ind w:hanging="1080" w:left="1800"/>
      </w:pPr>
      <w:rPr>
        <w:rFonts w:ascii="Times New Roman" w:cs="Sendnya" w:eastAsia="Times New Roman" w:hAnsi="Times New Roman" w:hint="default"/>
        <w:color w:val="0000FF"/>
        <w:sz w:val="24"/>
        <w:u w:val="single"/>
      </w:rPr>
    </w:lvl>
    <w:lvl w:ilvl="4">
      <w:start w:val="1"/>
      <w:numFmt w:val="decimal"/>
      <w:lvlText w:val="%1.%2.%3.%4.%5"/>
      <w:lvlJc w:val="left"/>
      <w:pPr>
        <w:ind w:hanging="1440" w:left="2400"/>
      </w:pPr>
      <w:rPr>
        <w:rFonts w:ascii="Times New Roman" w:cs="Sendnya" w:eastAsia="Times New Roman" w:hAnsi="Times New Roman" w:hint="default"/>
        <w:color w:val="0000FF"/>
        <w:sz w:val="24"/>
        <w:u w:val="single"/>
      </w:rPr>
    </w:lvl>
    <w:lvl w:ilvl="5">
      <w:start w:val="1"/>
      <w:numFmt w:val="decimal"/>
      <w:lvlText w:val="%1.%2.%3.%4.%5.%6"/>
      <w:lvlJc w:val="left"/>
      <w:pPr>
        <w:ind w:hanging="1440" w:left="2640"/>
      </w:pPr>
      <w:rPr>
        <w:rFonts w:ascii="Times New Roman" w:cs="Sendnya" w:eastAsia="Times New Roman" w:hAnsi="Times New Roman" w:hint="default"/>
        <w:color w:val="0000FF"/>
        <w:sz w:val="24"/>
        <w:u w:val="single"/>
      </w:rPr>
    </w:lvl>
    <w:lvl w:ilvl="6">
      <w:start w:val="1"/>
      <w:numFmt w:val="decimal"/>
      <w:lvlText w:val="%1.%2.%3.%4.%5.%6.%7"/>
      <w:lvlJc w:val="left"/>
      <w:pPr>
        <w:ind w:hanging="1800" w:left="3240"/>
      </w:pPr>
      <w:rPr>
        <w:rFonts w:ascii="Times New Roman" w:cs="Sendnya" w:eastAsia="Times New Roman" w:hAnsi="Times New Roman" w:hint="default"/>
        <w:color w:val="0000FF"/>
        <w:sz w:val="24"/>
        <w:u w:val="single"/>
      </w:rPr>
    </w:lvl>
    <w:lvl w:ilvl="7">
      <w:start w:val="1"/>
      <w:numFmt w:val="decimal"/>
      <w:lvlText w:val="%1.%2.%3.%4.%5.%6.%7.%8"/>
      <w:lvlJc w:val="left"/>
      <w:pPr>
        <w:ind w:hanging="1800" w:left="3480"/>
      </w:pPr>
      <w:rPr>
        <w:rFonts w:ascii="Times New Roman" w:cs="Sendnya" w:eastAsia="Times New Roman" w:hAnsi="Times New Roman" w:hint="default"/>
        <w:color w:val="0000FF"/>
        <w:sz w:val="24"/>
        <w:u w:val="single"/>
      </w:rPr>
    </w:lvl>
    <w:lvl w:ilvl="8">
      <w:start w:val="1"/>
      <w:numFmt w:val="decimal"/>
      <w:lvlText w:val="%1.%2.%3.%4.%5.%6.%7.%8.%9"/>
      <w:lvlJc w:val="left"/>
      <w:pPr>
        <w:ind w:hanging="2160" w:left="4080"/>
      </w:pPr>
      <w:rPr>
        <w:rFonts w:ascii="Times New Roman" w:cs="Sendnya" w:eastAsia="Times New Roman" w:hAnsi="Times New Roman" w:hint="default"/>
        <w:color w:val="0000FF"/>
        <w:sz w:val="24"/>
        <w:u w:val="single"/>
      </w:rPr>
    </w:lvl>
  </w:abstractNum>
  <w:abstractNum w15:restartNumberingAfterBreak="0" w:abstractNumId="18">
    <w:nsid w:val="2C89474E"/>
    <w:multiLevelType w:val="hybridMultilevel"/>
    <w:tmpl w:val="6304041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9">
    <w:nsid w:val="321C0DC5"/>
    <w:multiLevelType w:val="multilevel"/>
    <w:tmpl w:val="E318C8CE"/>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32BF17E8"/>
    <w:multiLevelType w:val="hybridMultilevel"/>
    <w:tmpl w:val="C80C15B2"/>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1">
    <w:nsid w:val="345D10A9"/>
    <w:multiLevelType w:val="hybridMultilevel"/>
    <w:tmpl w:val="C5F60A2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2">
    <w:nsid w:val="3FC81421"/>
    <w:multiLevelType w:val="hybridMultilevel"/>
    <w:tmpl w:val="B3DA3FD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3">
    <w:nsid w:val="45D83003"/>
    <w:multiLevelType w:val="multilevel"/>
    <w:tmpl w:val="6512DE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487864F5"/>
    <w:multiLevelType w:val="hybridMultilevel"/>
    <w:tmpl w:val="89FAE798"/>
    <w:lvl w:ilvl="0" w:tplc="73145680">
      <w:start w:val="1"/>
      <w:numFmt w:val="bullet"/>
      <w:lvlText w:val="•"/>
      <w:lvlJc w:val="left"/>
      <w:pPr>
        <w:tabs>
          <w:tab w:pos="720" w:val="num"/>
        </w:tabs>
        <w:ind w:hanging="360" w:left="720"/>
      </w:pPr>
      <w:rPr>
        <w:rFonts w:ascii="Times New Roman" w:hAnsi="Times New Roman" w:hint="default"/>
      </w:rPr>
    </w:lvl>
    <w:lvl w:ilvl="1" w:tplc="EA2658C8">
      <w:numFmt w:val="bullet"/>
      <w:lvlText w:val="–"/>
      <w:lvlJc w:val="left"/>
      <w:pPr>
        <w:tabs>
          <w:tab w:pos="1440" w:val="num"/>
        </w:tabs>
        <w:ind w:hanging="360" w:left="1440"/>
      </w:pPr>
      <w:rPr>
        <w:rFonts w:ascii="Times New Roman" w:hAnsi="Times New Roman" w:hint="default"/>
      </w:rPr>
    </w:lvl>
    <w:lvl w:ilvl="2" w:tplc="8CAC24EA">
      <w:numFmt w:val="bullet"/>
      <w:lvlText w:val="•"/>
      <w:lvlJc w:val="left"/>
      <w:pPr>
        <w:tabs>
          <w:tab w:pos="2160" w:val="num"/>
        </w:tabs>
        <w:ind w:hanging="360" w:left="2160"/>
      </w:pPr>
      <w:rPr>
        <w:rFonts w:ascii="Times New Roman" w:hAnsi="Times New Roman" w:hint="default"/>
      </w:rPr>
    </w:lvl>
    <w:lvl w:ilvl="3" w:tentative="1" w:tplc="97787888">
      <w:start w:val="1"/>
      <w:numFmt w:val="bullet"/>
      <w:lvlText w:val="•"/>
      <w:lvlJc w:val="left"/>
      <w:pPr>
        <w:tabs>
          <w:tab w:pos="2880" w:val="num"/>
        </w:tabs>
        <w:ind w:hanging="360" w:left="2880"/>
      </w:pPr>
      <w:rPr>
        <w:rFonts w:ascii="Times New Roman" w:hAnsi="Times New Roman" w:hint="default"/>
      </w:rPr>
    </w:lvl>
    <w:lvl w:ilvl="4" w:tentative="1" w:tplc="9AB0E148">
      <w:start w:val="1"/>
      <w:numFmt w:val="bullet"/>
      <w:lvlText w:val="•"/>
      <w:lvlJc w:val="left"/>
      <w:pPr>
        <w:tabs>
          <w:tab w:pos="3600" w:val="num"/>
        </w:tabs>
        <w:ind w:hanging="360" w:left="3600"/>
      </w:pPr>
      <w:rPr>
        <w:rFonts w:ascii="Times New Roman" w:hAnsi="Times New Roman" w:hint="default"/>
      </w:rPr>
    </w:lvl>
    <w:lvl w:ilvl="5" w:tentative="1" w:tplc="3DCC085E">
      <w:start w:val="1"/>
      <w:numFmt w:val="bullet"/>
      <w:lvlText w:val="•"/>
      <w:lvlJc w:val="left"/>
      <w:pPr>
        <w:tabs>
          <w:tab w:pos="4320" w:val="num"/>
        </w:tabs>
        <w:ind w:hanging="360" w:left="4320"/>
      </w:pPr>
      <w:rPr>
        <w:rFonts w:ascii="Times New Roman" w:hAnsi="Times New Roman" w:hint="default"/>
      </w:rPr>
    </w:lvl>
    <w:lvl w:ilvl="6" w:tentative="1" w:tplc="376A5BD6">
      <w:start w:val="1"/>
      <w:numFmt w:val="bullet"/>
      <w:lvlText w:val="•"/>
      <w:lvlJc w:val="left"/>
      <w:pPr>
        <w:tabs>
          <w:tab w:pos="5040" w:val="num"/>
        </w:tabs>
        <w:ind w:hanging="360" w:left="5040"/>
      </w:pPr>
      <w:rPr>
        <w:rFonts w:ascii="Times New Roman" w:hAnsi="Times New Roman" w:hint="default"/>
      </w:rPr>
    </w:lvl>
    <w:lvl w:ilvl="7" w:tentative="1" w:tplc="96E44622">
      <w:start w:val="1"/>
      <w:numFmt w:val="bullet"/>
      <w:lvlText w:val="•"/>
      <w:lvlJc w:val="left"/>
      <w:pPr>
        <w:tabs>
          <w:tab w:pos="5760" w:val="num"/>
        </w:tabs>
        <w:ind w:hanging="360" w:left="5760"/>
      </w:pPr>
      <w:rPr>
        <w:rFonts w:ascii="Times New Roman" w:hAnsi="Times New Roman" w:hint="default"/>
      </w:rPr>
    </w:lvl>
    <w:lvl w:ilvl="8" w:tentative="1" w:tplc="19042840">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5">
    <w:nsid w:val="4F44182C"/>
    <w:multiLevelType w:val="hybridMultilevel"/>
    <w:tmpl w:val="11F0A448"/>
    <w:lvl w:ilvl="0" w:tplc="E298867A">
      <w:start w:val="1"/>
      <w:numFmt w:val="bullet"/>
      <w:lvlText w:val="•"/>
      <w:lvlJc w:val="left"/>
      <w:pPr>
        <w:tabs>
          <w:tab w:pos="720" w:val="num"/>
        </w:tabs>
        <w:ind w:hanging="360" w:left="720"/>
      </w:pPr>
      <w:rPr>
        <w:rFonts w:ascii="Times New Roman" w:hAnsi="Times New Roman" w:hint="default"/>
      </w:rPr>
    </w:lvl>
    <w:lvl w:ilvl="1" w:tplc="60C28682">
      <w:numFmt w:val="bullet"/>
      <w:lvlText w:val="–"/>
      <w:lvlJc w:val="left"/>
      <w:pPr>
        <w:tabs>
          <w:tab w:pos="1440" w:val="num"/>
        </w:tabs>
        <w:ind w:hanging="360" w:left="1440"/>
      </w:pPr>
      <w:rPr>
        <w:rFonts w:ascii="Times New Roman" w:hAnsi="Times New Roman" w:hint="default"/>
      </w:rPr>
    </w:lvl>
    <w:lvl w:ilvl="2" w:tentative="1" w:tplc="9D401F7A">
      <w:start w:val="1"/>
      <w:numFmt w:val="bullet"/>
      <w:lvlText w:val="•"/>
      <w:lvlJc w:val="left"/>
      <w:pPr>
        <w:tabs>
          <w:tab w:pos="2160" w:val="num"/>
        </w:tabs>
        <w:ind w:hanging="360" w:left="2160"/>
      </w:pPr>
      <w:rPr>
        <w:rFonts w:ascii="Times New Roman" w:hAnsi="Times New Roman" w:hint="default"/>
      </w:rPr>
    </w:lvl>
    <w:lvl w:ilvl="3" w:tentative="1" w:tplc="D2FC9266">
      <w:start w:val="1"/>
      <w:numFmt w:val="bullet"/>
      <w:lvlText w:val="•"/>
      <w:lvlJc w:val="left"/>
      <w:pPr>
        <w:tabs>
          <w:tab w:pos="2880" w:val="num"/>
        </w:tabs>
        <w:ind w:hanging="360" w:left="2880"/>
      </w:pPr>
      <w:rPr>
        <w:rFonts w:ascii="Times New Roman" w:hAnsi="Times New Roman" w:hint="default"/>
      </w:rPr>
    </w:lvl>
    <w:lvl w:ilvl="4" w:tentative="1" w:tplc="D9FE98EC">
      <w:start w:val="1"/>
      <w:numFmt w:val="bullet"/>
      <w:lvlText w:val="•"/>
      <w:lvlJc w:val="left"/>
      <w:pPr>
        <w:tabs>
          <w:tab w:pos="3600" w:val="num"/>
        </w:tabs>
        <w:ind w:hanging="360" w:left="3600"/>
      </w:pPr>
      <w:rPr>
        <w:rFonts w:ascii="Times New Roman" w:hAnsi="Times New Roman" w:hint="default"/>
      </w:rPr>
    </w:lvl>
    <w:lvl w:ilvl="5" w:tentative="1" w:tplc="1208392C">
      <w:start w:val="1"/>
      <w:numFmt w:val="bullet"/>
      <w:lvlText w:val="•"/>
      <w:lvlJc w:val="left"/>
      <w:pPr>
        <w:tabs>
          <w:tab w:pos="4320" w:val="num"/>
        </w:tabs>
        <w:ind w:hanging="360" w:left="4320"/>
      </w:pPr>
      <w:rPr>
        <w:rFonts w:ascii="Times New Roman" w:hAnsi="Times New Roman" w:hint="default"/>
      </w:rPr>
    </w:lvl>
    <w:lvl w:ilvl="6" w:tentative="1" w:tplc="A6E05074">
      <w:start w:val="1"/>
      <w:numFmt w:val="bullet"/>
      <w:lvlText w:val="•"/>
      <w:lvlJc w:val="left"/>
      <w:pPr>
        <w:tabs>
          <w:tab w:pos="5040" w:val="num"/>
        </w:tabs>
        <w:ind w:hanging="360" w:left="5040"/>
      </w:pPr>
      <w:rPr>
        <w:rFonts w:ascii="Times New Roman" w:hAnsi="Times New Roman" w:hint="default"/>
      </w:rPr>
    </w:lvl>
    <w:lvl w:ilvl="7" w:tentative="1" w:tplc="E1E49CB0">
      <w:start w:val="1"/>
      <w:numFmt w:val="bullet"/>
      <w:lvlText w:val="•"/>
      <w:lvlJc w:val="left"/>
      <w:pPr>
        <w:tabs>
          <w:tab w:pos="5760" w:val="num"/>
        </w:tabs>
        <w:ind w:hanging="360" w:left="5760"/>
      </w:pPr>
      <w:rPr>
        <w:rFonts w:ascii="Times New Roman" w:hAnsi="Times New Roman" w:hint="default"/>
      </w:rPr>
    </w:lvl>
    <w:lvl w:ilvl="8" w:tentative="1" w:tplc="734808FA">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6">
    <w:nsid w:val="538E4577"/>
    <w:multiLevelType w:val="hybridMultilevel"/>
    <w:tmpl w:val="6130C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7">
    <w:nsid w:val="61DA25AD"/>
    <w:multiLevelType w:val="multilevel"/>
    <w:tmpl w:val="E96802B6"/>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8">
    <w:nsid w:val="62233511"/>
    <w:multiLevelType w:val="hybridMultilevel"/>
    <w:tmpl w:val="0942852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9">
    <w:nsid w:val="68B65AF0"/>
    <w:multiLevelType w:val="multilevel"/>
    <w:tmpl w:val="61963404"/>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30">
    <w:nsid w:val="6C2A5CAE"/>
    <w:multiLevelType w:val="hybridMultilevel"/>
    <w:tmpl w:val="84CAD9B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1">
    <w:nsid w:val="6C8F08CF"/>
    <w:multiLevelType w:val="hybridMultilevel"/>
    <w:tmpl w:val="4CF4A21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2">
    <w:nsid w:val="736B2260"/>
    <w:multiLevelType w:val="hybridMultilevel"/>
    <w:tmpl w:val="F4B8DCEC"/>
    <w:lvl w:ilvl="0" w:tplc="C8562E04">
      <w:start w:val="1"/>
      <w:numFmt w:val="bullet"/>
      <w:lvlText w:val="•"/>
      <w:lvlJc w:val="left"/>
      <w:pPr>
        <w:tabs>
          <w:tab w:pos="720" w:val="num"/>
        </w:tabs>
        <w:ind w:hanging="360" w:left="720"/>
      </w:pPr>
      <w:rPr>
        <w:rFonts w:ascii="Times New Roman" w:hAnsi="Times New Roman" w:hint="default"/>
      </w:rPr>
    </w:lvl>
    <w:lvl w:ilvl="1" w:tplc="CD0CC13E">
      <w:numFmt w:val="bullet"/>
      <w:lvlText w:val="–"/>
      <w:lvlJc w:val="left"/>
      <w:pPr>
        <w:tabs>
          <w:tab w:pos="1440" w:val="num"/>
        </w:tabs>
        <w:ind w:hanging="360" w:left="1440"/>
      </w:pPr>
      <w:rPr>
        <w:rFonts w:ascii="Times New Roman" w:hAnsi="Times New Roman" w:hint="default"/>
      </w:rPr>
    </w:lvl>
    <w:lvl w:ilvl="2" w:tplc="1736D1F4">
      <w:numFmt w:val="bullet"/>
      <w:lvlText w:val="•"/>
      <w:lvlJc w:val="left"/>
      <w:pPr>
        <w:tabs>
          <w:tab w:pos="2160" w:val="num"/>
        </w:tabs>
        <w:ind w:hanging="360" w:left="2160"/>
      </w:pPr>
      <w:rPr>
        <w:rFonts w:ascii="Times New Roman" w:hAnsi="Times New Roman" w:hint="default"/>
      </w:rPr>
    </w:lvl>
    <w:lvl w:ilvl="3" w:tentative="1" w:tplc="F86844EC">
      <w:start w:val="1"/>
      <w:numFmt w:val="bullet"/>
      <w:lvlText w:val="•"/>
      <w:lvlJc w:val="left"/>
      <w:pPr>
        <w:tabs>
          <w:tab w:pos="2880" w:val="num"/>
        </w:tabs>
        <w:ind w:hanging="360" w:left="2880"/>
      </w:pPr>
      <w:rPr>
        <w:rFonts w:ascii="Times New Roman" w:hAnsi="Times New Roman" w:hint="default"/>
      </w:rPr>
    </w:lvl>
    <w:lvl w:ilvl="4" w:tentative="1" w:tplc="5D785D8C">
      <w:start w:val="1"/>
      <w:numFmt w:val="bullet"/>
      <w:lvlText w:val="•"/>
      <w:lvlJc w:val="left"/>
      <w:pPr>
        <w:tabs>
          <w:tab w:pos="3600" w:val="num"/>
        </w:tabs>
        <w:ind w:hanging="360" w:left="3600"/>
      </w:pPr>
      <w:rPr>
        <w:rFonts w:ascii="Times New Roman" w:hAnsi="Times New Roman" w:hint="default"/>
      </w:rPr>
    </w:lvl>
    <w:lvl w:ilvl="5" w:tentative="1" w:tplc="62248B84">
      <w:start w:val="1"/>
      <w:numFmt w:val="bullet"/>
      <w:lvlText w:val="•"/>
      <w:lvlJc w:val="left"/>
      <w:pPr>
        <w:tabs>
          <w:tab w:pos="4320" w:val="num"/>
        </w:tabs>
        <w:ind w:hanging="360" w:left="4320"/>
      </w:pPr>
      <w:rPr>
        <w:rFonts w:ascii="Times New Roman" w:hAnsi="Times New Roman" w:hint="default"/>
      </w:rPr>
    </w:lvl>
    <w:lvl w:ilvl="6" w:tentative="1" w:tplc="F1E46B60">
      <w:start w:val="1"/>
      <w:numFmt w:val="bullet"/>
      <w:lvlText w:val="•"/>
      <w:lvlJc w:val="left"/>
      <w:pPr>
        <w:tabs>
          <w:tab w:pos="5040" w:val="num"/>
        </w:tabs>
        <w:ind w:hanging="360" w:left="5040"/>
      </w:pPr>
      <w:rPr>
        <w:rFonts w:ascii="Times New Roman" w:hAnsi="Times New Roman" w:hint="default"/>
      </w:rPr>
    </w:lvl>
    <w:lvl w:ilvl="7" w:tentative="1" w:tplc="DA3CD6B6">
      <w:start w:val="1"/>
      <w:numFmt w:val="bullet"/>
      <w:lvlText w:val="•"/>
      <w:lvlJc w:val="left"/>
      <w:pPr>
        <w:tabs>
          <w:tab w:pos="5760" w:val="num"/>
        </w:tabs>
        <w:ind w:hanging="360" w:left="5760"/>
      </w:pPr>
      <w:rPr>
        <w:rFonts w:ascii="Times New Roman" w:hAnsi="Times New Roman" w:hint="default"/>
      </w:rPr>
    </w:lvl>
    <w:lvl w:ilvl="8" w:tentative="1" w:tplc="BF14020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3">
    <w:nsid w:val="736C40E3"/>
    <w:multiLevelType w:val="hybridMultilevel"/>
    <w:tmpl w:val="2CE8160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4">
    <w:nsid w:val="741643F3"/>
    <w:multiLevelType w:val="hybridMultilevel"/>
    <w:tmpl w:val="24CC2962"/>
    <w:lvl w:ilvl="0" w:tplc="0414000F">
      <w:start w:val="1"/>
      <w:numFmt w:val="decimal"/>
      <w:lvlText w:val="%1."/>
      <w:lvlJc w:val="left"/>
      <w:pPr>
        <w:ind w:hanging="360" w:left="720"/>
      </w:p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5">
    <w:nsid w:val="756B5377"/>
    <w:multiLevelType w:val="hybridMultilevel"/>
    <w:tmpl w:val="867CD1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6">
    <w:nsid w:val="782038EF"/>
    <w:multiLevelType w:val="hybridMultilevel"/>
    <w:tmpl w:val="BC7ED1C4"/>
    <w:lvl w:ilvl="0" w:tplc="CAE69642">
      <w:start w:val="1"/>
      <w:numFmt w:val="bullet"/>
      <w:lvlText w:val="•"/>
      <w:lvlJc w:val="left"/>
      <w:pPr>
        <w:tabs>
          <w:tab w:pos="720" w:val="num"/>
        </w:tabs>
        <w:ind w:hanging="360" w:left="720"/>
      </w:pPr>
      <w:rPr>
        <w:rFonts w:ascii="Times New Roman" w:hAnsi="Times New Roman" w:hint="default"/>
      </w:rPr>
    </w:lvl>
    <w:lvl w:ilvl="1" w:tplc="0270D926">
      <w:numFmt w:val="bullet"/>
      <w:lvlText w:val="–"/>
      <w:lvlJc w:val="left"/>
      <w:pPr>
        <w:tabs>
          <w:tab w:pos="1440" w:val="num"/>
        </w:tabs>
        <w:ind w:hanging="360" w:left="1440"/>
      </w:pPr>
      <w:rPr>
        <w:rFonts w:ascii="Times New Roman" w:hAnsi="Times New Roman" w:hint="default"/>
      </w:rPr>
    </w:lvl>
    <w:lvl w:ilvl="2" w:tentative="1" w:tplc="3E245B54">
      <w:start w:val="1"/>
      <w:numFmt w:val="bullet"/>
      <w:lvlText w:val="•"/>
      <w:lvlJc w:val="left"/>
      <w:pPr>
        <w:tabs>
          <w:tab w:pos="2160" w:val="num"/>
        </w:tabs>
        <w:ind w:hanging="360" w:left="2160"/>
      </w:pPr>
      <w:rPr>
        <w:rFonts w:ascii="Times New Roman" w:hAnsi="Times New Roman" w:hint="default"/>
      </w:rPr>
    </w:lvl>
    <w:lvl w:ilvl="3" w:tentative="1" w:tplc="3692DA3E">
      <w:start w:val="1"/>
      <w:numFmt w:val="bullet"/>
      <w:lvlText w:val="•"/>
      <w:lvlJc w:val="left"/>
      <w:pPr>
        <w:tabs>
          <w:tab w:pos="2880" w:val="num"/>
        </w:tabs>
        <w:ind w:hanging="360" w:left="2880"/>
      </w:pPr>
      <w:rPr>
        <w:rFonts w:ascii="Times New Roman" w:hAnsi="Times New Roman" w:hint="default"/>
      </w:rPr>
    </w:lvl>
    <w:lvl w:ilvl="4" w:tentative="1" w:tplc="F508E610">
      <w:start w:val="1"/>
      <w:numFmt w:val="bullet"/>
      <w:lvlText w:val="•"/>
      <w:lvlJc w:val="left"/>
      <w:pPr>
        <w:tabs>
          <w:tab w:pos="3600" w:val="num"/>
        </w:tabs>
        <w:ind w:hanging="360" w:left="3600"/>
      </w:pPr>
      <w:rPr>
        <w:rFonts w:ascii="Times New Roman" w:hAnsi="Times New Roman" w:hint="default"/>
      </w:rPr>
    </w:lvl>
    <w:lvl w:ilvl="5" w:tentative="1" w:tplc="AF283D7A">
      <w:start w:val="1"/>
      <w:numFmt w:val="bullet"/>
      <w:lvlText w:val="•"/>
      <w:lvlJc w:val="left"/>
      <w:pPr>
        <w:tabs>
          <w:tab w:pos="4320" w:val="num"/>
        </w:tabs>
        <w:ind w:hanging="360" w:left="4320"/>
      </w:pPr>
      <w:rPr>
        <w:rFonts w:ascii="Times New Roman" w:hAnsi="Times New Roman" w:hint="default"/>
      </w:rPr>
    </w:lvl>
    <w:lvl w:ilvl="6" w:tentative="1" w:tplc="D65E8852">
      <w:start w:val="1"/>
      <w:numFmt w:val="bullet"/>
      <w:lvlText w:val="•"/>
      <w:lvlJc w:val="left"/>
      <w:pPr>
        <w:tabs>
          <w:tab w:pos="5040" w:val="num"/>
        </w:tabs>
        <w:ind w:hanging="360" w:left="5040"/>
      </w:pPr>
      <w:rPr>
        <w:rFonts w:ascii="Times New Roman" w:hAnsi="Times New Roman" w:hint="default"/>
      </w:rPr>
    </w:lvl>
    <w:lvl w:ilvl="7" w:tentative="1" w:tplc="2CA04D40">
      <w:start w:val="1"/>
      <w:numFmt w:val="bullet"/>
      <w:lvlText w:val="•"/>
      <w:lvlJc w:val="left"/>
      <w:pPr>
        <w:tabs>
          <w:tab w:pos="5760" w:val="num"/>
        </w:tabs>
        <w:ind w:hanging="360" w:left="5760"/>
      </w:pPr>
      <w:rPr>
        <w:rFonts w:ascii="Times New Roman" w:hAnsi="Times New Roman" w:hint="default"/>
      </w:rPr>
    </w:lvl>
    <w:lvl w:ilvl="8" w:tentative="1" w:tplc="04BCED9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7">
    <w:nsid w:val="7880210B"/>
    <w:multiLevelType w:val="hybridMultilevel"/>
    <w:tmpl w:val="D4D44544"/>
    <w:lvl w:ilvl="0" w:tplc="ABF8C096">
      <w:start w:val="1"/>
      <w:numFmt w:val="bullet"/>
      <w:lvlText w:val="•"/>
      <w:lvlJc w:val="left"/>
      <w:pPr>
        <w:tabs>
          <w:tab w:pos="720" w:val="num"/>
        </w:tabs>
        <w:ind w:hanging="360" w:left="720"/>
      </w:pPr>
      <w:rPr>
        <w:rFonts w:ascii="Times New Roman" w:hAnsi="Times New Roman" w:hint="default"/>
      </w:rPr>
    </w:lvl>
    <w:lvl w:ilvl="1" w:tplc="B740AD6C">
      <w:numFmt w:val="bullet"/>
      <w:lvlText w:val="–"/>
      <w:lvlJc w:val="left"/>
      <w:pPr>
        <w:tabs>
          <w:tab w:pos="1440" w:val="num"/>
        </w:tabs>
        <w:ind w:hanging="360" w:left="1440"/>
      </w:pPr>
      <w:rPr>
        <w:rFonts w:ascii="Times New Roman" w:hAnsi="Times New Roman" w:hint="default"/>
      </w:rPr>
    </w:lvl>
    <w:lvl w:ilvl="2" w:tentative="1" w:tplc="AC9C8A1E">
      <w:start w:val="1"/>
      <w:numFmt w:val="bullet"/>
      <w:lvlText w:val="•"/>
      <w:lvlJc w:val="left"/>
      <w:pPr>
        <w:tabs>
          <w:tab w:pos="2160" w:val="num"/>
        </w:tabs>
        <w:ind w:hanging="360" w:left="2160"/>
      </w:pPr>
      <w:rPr>
        <w:rFonts w:ascii="Times New Roman" w:hAnsi="Times New Roman" w:hint="default"/>
      </w:rPr>
    </w:lvl>
    <w:lvl w:ilvl="3" w:tentative="1" w:tplc="3738BD40">
      <w:start w:val="1"/>
      <w:numFmt w:val="bullet"/>
      <w:lvlText w:val="•"/>
      <w:lvlJc w:val="left"/>
      <w:pPr>
        <w:tabs>
          <w:tab w:pos="2880" w:val="num"/>
        </w:tabs>
        <w:ind w:hanging="360" w:left="2880"/>
      </w:pPr>
      <w:rPr>
        <w:rFonts w:ascii="Times New Roman" w:hAnsi="Times New Roman" w:hint="default"/>
      </w:rPr>
    </w:lvl>
    <w:lvl w:ilvl="4" w:tentative="1" w:tplc="B84009CA">
      <w:start w:val="1"/>
      <w:numFmt w:val="bullet"/>
      <w:lvlText w:val="•"/>
      <w:lvlJc w:val="left"/>
      <w:pPr>
        <w:tabs>
          <w:tab w:pos="3600" w:val="num"/>
        </w:tabs>
        <w:ind w:hanging="360" w:left="3600"/>
      </w:pPr>
      <w:rPr>
        <w:rFonts w:ascii="Times New Roman" w:hAnsi="Times New Roman" w:hint="default"/>
      </w:rPr>
    </w:lvl>
    <w:lvl w:ilvl="5" w:tentative="1" w:tplc="006217EC">
      <w:start w:val="1"/>
      <w:numFmt w:val="bullet"/>
      <w:lvlText w:val="•"/>
      <w:lvlJc w:val="left"/>
      <w:pPr>
        <w:tabs>
          <w:tab w:pos="4320" w:val="num"/>
        </w:tabs>
        <w:ind w:hanging="360" w:left="4320"/>
      </w:pPr>
      <w:rPr>
        <w:rFonts w:ascii="Times New Roman" w:hAnsi="Times New Roman" w:hint="default"/>
      </w:rPr>
    </w:lvl>
    <w:lvl w:ilvl="6" w:tentative="1" w:tplc="1A5EE942">
      <w:start w:val="1"/>
      <w:numFmt w:val="bullet"/>
      <w:lvlText w:val="•"/>
      <w:lvlJc w:val="left"/>
      <w:pPr>
        <w:tabs>
          <w:tab w:pos="5040" w:val="num"/>
        </w:tabs>
        <w:ind w:hanging="360" w:left="5040"/>
      </w:pPr>
      <w:rPr>
        <w:rFonts w:ascii="Times New Roman" w:hAnsi="Times New Roman" w:hint="default"/>
      </w:rPr>
    </w:lvl>
    <w:lvl w:ilvl="7" w:tentative="1" w:tplc="1B90E1CE">
      <w:start w:val="1"/>
      <w:numFmt w:val="bullet"/>
      <w:lvlText w:val="•"/>
      <w:lvlJc w:val="left"/>
      <w:pPr>
        <w:tabs>
          <w:tab w:pos="5760" w:val="num"/>
        </w:tabs>
        <w:ind w:hanging="360" w:left="5760"/>
      </w:pPr>
      <w:rPr>
        <w:rFonts w:ascii="Times New Roman" w:hAnsi="Times New Roman" w:hint="default"/>
      </w:rPr>
    </w:lvl>
    <w:lvl w:ilvl="8" w:tentative="1" w:tplc="56A6922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8">
    <w:nsid w:val="7A5D1D1F"/>
    <w:multiLevelType w:val="hybridMultilevel"/>
    <w:tmpl w:val="D11CA22E"/>
    <w:lvl w:ilvl="0" w:tplc="04140001">
      <w:start w:val="1"/>
      <w:numFmt w:val="bullet"/>
      <w:lvlText w:val=""/>
      <w:lvlJc w:val="left"/>
      <w:pPr>
        <w:ind w:hanging="360" w:left="720"/>
      </w:pPr>
      <w:rPr>
        <w:rFonts w:ascii="Symbol" w:hAnsi="Symbol"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9">
    <w:nsid w:val="7D7F562C"/>
    <w:multiLevelType w:val="hybridMultilevel"/>
    <w:tmpl w:val="38FA2FA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34993841" w:numId="1">
    <w:abstractNumId w:val="9"/>
  </w:num>
  <w:num w16cid:durableId="1483498122" w:numId="2">
    <w:abstractNumId w:val="7"/>
  </w:num>
  <w:num w16cid:durableId="1405760525" w:numId="3">
    <w:abstractNumId w:val="6"/>
  </w:num>
  <w:num w16cid:durableId="138229933" w:numId="4">
    <w:abstractNumId w:val="5"/>
  </w:num>
  <w:num w16cid:durableId="2075465835" w:numId="5">
    <w:abstractNumId w:val="4"/>
  </w:num>
  <w:num w16cid:durableId="889221816" w:numId="6">
    <w:abstractNumId w:val="8"/>
  </w:num>
  <w:num w16cid:durableId="693967206" w:numId="7">
    <w:abstractNumId w:val="3"/>
  </w:num>
  <w:num w16cid:durableId="1969240300" w:numId="8">
    <w:abstractNumId w:val="2"/>
  </w:num>
  <w:num w16cid:durableId="2046326508" w:numId="9">
    <w:abstractNumId w:val="1"/>
  </w:num>
  <w:num w16cid:durableId="2100129368" w:numId="10">
    <w:abstractNumId w:val="0"/>
  </w:num>
  <w:num w16cid:durableId="1886134498" w:numId="11">
    <w:abstractNumId w:val="34"/>
  </w:num>
  <w:num w16cid:durableId="1239097919" w:numId="12">
    <w:abstractNumId w:val="11"/>
  </w:num>
  <w:num w16cid:durableId="229267933" w:numId="13">
    <w:abstractNumId w:val="38"/>
  </w:num>
  <w:num w16cid:durableId="277949532" w:numId="14">
    <w:abstractNumId w:val="14"/>
  </w:num>
  <w:num w16cid:durableId="1493644051" w:numId="15">
    <w:abstractNumId w:val="14"/>
  </w:num>
  <w:num w16cid:durableId="742948708" w:numId="16">
    <w:abstractNumId w:val="27"/>
  </w:num>
  <w:num w16cid:durableId="103621474"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43597" w:numId="18">
    <w:abstractNumId w:val="19"/>
  </w:num>
  <w:num w16cid:durableId="1193304799" w:numId="19">
    <w:abstractNumId w:val="29"/>
  </w:num>
  <w:num w16cid:durableId="1202935331" w:numId="20">
    <w:abstractNumId w:val="17"/>
  </w:num>
  <w:num w16cid:durableId="1930965884" w:numId="21">
    <w:abstractNumId w:val="10"/>
  </w:num>
  <w:num w16cid:durableId="424545522" w:numId="22">
    <w:abstractNumId w:val="28"/>
  </w:num>
  <w:num w16cid:durableId="887113131" w:numId="23">
    <w:abstractNumId w:val="16"/>
  </w:num>
  <w:num w16cid:durableId="885023410" w:numId="24">
    <w:abstractNumId w:val="21"/>
  </w:num>
  <w:num w16cid:durableId="35352211" w:numId="25">
    <w:abstractNumId w:val="22"/>
  </w:num>
  <w:num w16cid:durableId="1465808159" w:numId="26">
    <w:abstractNumId w:val="20"/>
  </w:num>
  <w:num w16cid:durableId="1405762613" w:numId="27">
    <w:abstractNumId w:val="18"/>
  </w:num>
  <w:num w16cid:durableId="1591280976" w:numId="28">
    <w:abstractNumId w:val="39"/>
  </w:num>
  <w:num w16cid:durableId="1619484959" w:numId="29">
    <w:abstractNumId w:val="30"/>
  </w:num>
  <w:num w16cid:durableId="2979067" w:numId="30">
    <w:abstractNumId w:val="35"/>
  </w:num>
  <w:num w16cid:durableId="47413185" w:numId="31">
    <w:abstractNumId w:val="15"/>
  </w:num>
  <w:num w16cid:durableId="1902213139" w:numId="32">
    <w:abstractNumId w:val="33"/>
  </w:num>
  <w:num w16cid:durableId="616639970" w:numId="33">
    <w:abstractNumId w:val="23"/>
  </w:num>
  <w:num w16cid:durableId="1757898946" w:numId="34">
    <w:abstractNumId w:val="12"/>
  </w:num>
  <w:num w16cid:durableId="1915315373" w:numId="35">
    <w:abstractNumId w:val="31"/>
  </w:num>
  <w:num w16cid:durableId="1533113217" w:numId="36">
    <w:abstractNumId w:val="13"/>
  </w:num>
  <w:num w16cid:durableId="679548010" w:numId="37">
    <w:abstractNumId w:val="26"/>
  </w:num>
  <w:num w16cid:durableId="1413160251" w:numId="38">
    <w:abstractNumId w:val="24"/>
  </w:num>
  <w:num w16cid:durableId="1071005916" w:numId="39">
    <w:abstractNumId w:val="32"/>
  </w:num>
  <w:num w16cid:durableId="9794773" w:numId="40">
    <w:abstractNumId w:val="37"/>
  </w:num>
  <w:num w16cid:durableId="263465924" w:numId="41">
    <w:abstractNumId w:val="25"/>
  </w:num>
  <w:num w16cid:durableId="1953826889" w:numId="42">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0" w:latentStyles="1" w:numberingStyles="0" w:stylesInUse="0" w:tableStyles="0" w:top3HeadingStyles="1" w:val="3F04" w:visibleStyles="0"/>
  <w:doNotTrackMoves/>
  <w:documentProtection w:edit="forms" w:enforcement="1"/>
  <w:defaultTabStop w:val="720"/>
  <w:hyphenationZone w:val="425"/>
  <w:drawingGridHorizontalSpacing w:val="360"/>
  <w:drawingGridVerticalSpacing w:val="360"/>
  <w:displayHorizontalDrawingGridEvery w:val="0"/>
  <w:displayVerticalDrawingGridEvery w:val="0"/>
  <w:doNotUseMarginsForDrawingGridOrigin/>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w:themeFontLang w:val="nb-NO"/>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b-NO" w:val="nb-NO"/>
      </w:rPr>
    </w:rPrDefault>
    <w:pPrDefault>
      <w:pPr>
        <w:spacing w:line="360"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3323"/>
    <w:rPr>
      <w:rFonts w:cs="Sendnya"/>
      <w:sz w:val="24"/>
      <w:szCs w:val="24"/>
      <w:lang w:bidi="or-IN" w:eastAsia="zh-CN"/>
    </w:rPr>
  </w:style>
  <w:style w:styleId="Overskrift1" w:type="paragraph">
    <w:name w:val="heading 1"/>
    <w:basedOn w:val="Normal"/>
    <w:next w:val="Normal"/>
    <w:qFormat/>
    <w:rsid w:val="00B33323"/>
    <w:pPr>
      <w:keepNext/>
      <w:numPr>
        <w:numId w:val="21"/>
      </w:numPr>
      <w:spacing w:after="60" w:before="240"/>
      <w:outlineLvl w:val="0"/>
    </w:pPr>
    <w:rPr>
      <w:rFonts w:asciiTheme="minorHAnsi" w:hAnsiTheme="minorHAnsi"/>
      <w:b/>
      <w:bCs/>
      <w:kern w:val="28"/>
      <w:sz w:val="36"/>
      <w:szCs w:val="28"/>
    </w:rPr>
  </w:style>
  <w:style w:styleId="Overskrift2" w:type="paragraph">
    <w:name w:val="heading 2"/>
    <w:basedOn w:val="Normal"/>
    <w:next w:val="Normal"/>
    <w:link w:val="Overskrift2Tegn"/>
    <w:qFormat/>
    <w:rsid w:val="00B33323"/>
    <w:pPr>
      <w:keepNext/>
      <w:numPr>
        <w:ilvl w:val="1"/>
        <w:numId w:val="21"/>
      </w:numPr>
      <w:spacing w:after="60" w:before="240"/>
      <w:outlineLvl w:val="1"/>
    </w:pPr>
    <w:rPr>
      <w:rFonts w:asciiTheme="minorHAnsi" w:cs="Times New Roman" w:hAnsiTheme="minorHAnsi"/>
      <w:b/>
      <w:bCs/>
      <w:iCs/>
      <w:sz w:val="32"/>
      <w:szCs w:val="28"/>
    </w:rPr>
  </w:style>
  <w:style w:styleId="Overskrift3" w:type="paragraph">
    <w:name w:val="heading 3"/>
    <w:basedOn w:val="Normal"/>
    <w:next w:val="Normal"/>
    <w:link w:val="Overskrift3Tegn"/>
    <w:qFormat/>
    <w:rsid w:val="00B33323"/>
    <w:pPr>
      <w:keepNext/>
      <w:numPr>
        <w:ilvl w:val="2"/>
        <w:numId w:val="21"/>
      </w:numPr>
      <w:spacing w:after="60" w:before="240"/>
      <w:outlineLvl w:val="2"/>
    </w:pPr>
    <w:rPr>
      <w:rFonts w:asciiTheme="minorHAnsi" w:cs="Times New Roman" w:hAnsiTheme="minorHAnsi"/>
      <w:b/>
      <w:bCs/>
      <w:sz w:val="28"/>
      <w:szCs w:val="26"/>
    </w:rPr>
  </w:style>
  <w:style w:styleId="Overskrift4" w:type="paragraph">
    <w:name w:val="heading 4"/>
    <w:basedOn w:val="Normal"/>
    <w:next w:val="Normal"/>
    <w:link w:val="Overskrift4Tegn"/>
    <w:qFormat/>
    <w:rsid w:val="00B33323"/>
    <w:pPr>
      <w:keepNext/>
      <w:numPr>
        <w:ilvl w:val="3"/>
        <w:numId w:val="21"/>
      </w:numPr>
      <w:spacing w:after="60" w:before="240"/>
      <w:outlineLvl w:val="3"/>
    </w:pPr>
    <w:rPr>
      <w:rFonts w:ascii="Calibri" w:cs="Times New Roman" w:hAnsi="Calibri"/>
      <w:b/>
      <w:bCs/>
      <w:sz w:val="26"/>
      <w:szCs w:val="28"/>
    </w:rPr>
  </w:style>
  <w:style w:styleId="Overskrift5" w:type="paragraph">
    <w:name w:val="heading 5"/>
    <w:basedOn w:val="Normal"/>
    <w:next w:val="Normal"/>
    <w:link w:val="Overskrift5Tegn"/>
    <w:qFormat/>
    <w:rsid w:val="00B33323"/>
    <w:pPr>
      <w:numPr>
        <w:ilvl w:val="4"/>
        <w:numId w:val="21"/>
      </w:numPr>
      <w:spacing w:after="60" w:before="240"/>
      <w:outlineLvl w:val="4"/>
    </w:pPr>
    <w:rPr>
      <w:rFonts w:ascii="Calibri" w:cs="Times New Roman" w:hAnsi="Calibri"/>
      <w:b/>
      <w:bCs/>
      <w:iCs/>
      <w:szCs w:val="26"/>
    </w:rPr>
  </w:style>
  <w:style w:styleId="Overskrift6" w:type="paragraph">
    <w:name w:val="heading 6"/>
    <w:basedOn w:val="Normal"/>
    <w:next w:val="Normal"/>
    <w:link w:val="Overskrift6Tegn"/>
    <w:qFormat/>
    <w:rsid w:val="004D0DB5"/>
    <w:pPr>
      <w:numPr>
        <w:ilvl w:val="5"/>
        <w:numId w:val="21"/>
      </w:numPr>
      <w:spacing w:after="60" w:before="240"/>
      <w:outlineLvl w:val="5"/>
    </w:pPr>
    <w:rPr>
      <w:rFonts w:ascii="Calibri" w:cs="Times New Roman" w:hAnsi="Calibri"/>
      <w:b/>
      <w:bCs/>
      <w:sz w:val="22"/>
      <w:szCs w:val="22"/>
    </w:rPr>
  </w:style>
  <w:style w:styleId="Overskrift7" w:type="paragraph">
    <w:name w:val="heading 7"/>
    <w:basedOn w:val="Normal"/>
    <w:next w:val="Normal"/>
    <w:link w:val="Overskrift7Tegn"/>
    <w:semiHidden/>
    <w:unhideWhenUsed/>
    <w:qFormat/>
    <w:rsid w:val="003D387F"/>
    <w:pPr>
      <w:numPr>
        <w:ilvl w:val="6"/>
        <w:numId w:val="21"/>
      </w:numPr>
      <w:spacing w:after="60" w:before="240"/>
      <w:outlineLvl w:val="6"/>
    </w:pPr>
    <w:rPr>
      <w:rFonts w:ascii="Calibri" w:cs="Times New Roman" w:hAnsi="Calibri"/>
    </w:rPr>
  </w:style>
  <w:style w:styleId="Overskrift8" w:type="paragraph">
    <w:name w:val="heading 8"/>
    <w:basedOn w:val="Normal"/>
    <w:next w:val="Normal"/>
    <w:link w:val="Overskrift8Tegn"/>
    <w:semiHidden/>
    <w:unhideWhenUsed/>
    <w:qFormat/>
    <w:rsid w:val="003D387F"/>
    <w:pPr>
      <w:numPr>
        <w:ilvl w:val="7"/>
        <w:numId w:val="21"/>
      </w:numPr>
      <w:spacing w:after="60" w:before="240"/>
      <w:outlineLvl w:val="7"/>
    </w:pPr>
    <w:rPr>
      <w:rFonts w:ascii="Calibri" w:cs="Times New Roman" w:hAnsi="Calibri"/>
      <w:i/>
      <w:iCs/>
    </w:rPr>
  </w:style>
  <w:style w:styleId="Overskrift9" w:type="paragraph">
    <w:name w:val="heading 9"/>
    <w:basedOn w:val="Normal"/>
    <w:next w:val="Normal"/>
    <w:link w:val="Overskrift9Tegn"/>
    <w:semiHidden/>
    <w:unhideWhenUsed/>
    <w:qFormat/>
    <w:rsid w:val="003D387F"/>
    <w:pPr>
      <w:numPr>
        <w:ilvl w:val="8"/>
        <w:numId w:val="21"/>
      </w:numPr>
      <w:spacing w:after="60" w:before="240"/>
      <w:outlineLvl w:val="8"/>
    </w:pPr>
    <w:rPr>
      <w:rFonts w:ascii="Cambria" w:cs="Times New Roman" w:hAnsi="Cambria"/>
      <w:sz w:val="22"/>
      <w:szCs w:val="22"/>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styleId="Topptekst" w:type="paragraph">
    <w:name w:val="header"/>
    <w:basedOn w:val="Normal"/>
    <w:pPr>
      <w:tabs>
        <w:tab w:pos="4153" w:val="center"/>
        <w:tab w:pos="8306" w:val="right"/>
      </w:tabs>
    </w:pPr>
  </w:style>
  <w:style w:styleId="Bunntekst" w:type="paragraph">
    <w:name w:val="footer"/>
    <w:basedOn w:val="Normal"/>
    <w:link w:val="BunntekstTegn"/>
    <w:pPr>
      <w:tabs>
        <w:tab w:pos="4153" w:val="center"/>
        <w:tab w:pos="8306" w:val="right"/>
      </w:tabs>
    </w:pPr>
  </w:style>
  <w:style w:styleId="Sidetall" w:type="character">
    <w:name w:val="page number"/>
    <w:basedOn w:val="Standardskriftforavsnitt"/>
    <w:rsid w:val="00951E45"/>
  </w:style>
  <w:style w:styleId="Bobletekst" w:type="paragraph">
    <w:name w:val="Balloon Text"/>
    <w:basedOn w:val="Normal"/>
    <w:semiHidden/>
    <w:rsid w:val="003045EA"/>
    <w:rPr>
      <w:rFonts w:ascii="Tahoma" w:cs="Tahoma" w:hAnsi="Tahoma"/>
      <w:sz w:val="16"/>
      <w:szCs w:val="16"/>
    </w:rPr>
  </w:style>
  <w:style w:styleId="Fotnotetekst" w:type="paragraph">
    <w:name w:val="footnote text"/>
    <w:basedOn w:val="Normal"/>
    <w:semiHidden/>
    <w:rsid w:val="00AA32D7"/>
    <w:rPr>
      <w:sz w:val="20"/>
      <w:szCs w:val="20"/>
    </w:rPr>
  </w:style>
  <w:style w:styleId="Fotnotereferanse" w:type="character">
    <w:name w:val="footnote reference"/>
    <w:semiHidden/>
    <w:rsid w:val="00AA32D7"/>
    <w:rPr>
      <w:vertAlign w:val="superscript"/>
    </w:rPr>
  </w:style>
  <w:style w:customStyle="1" w:styleId="BunntekstTegn" w:type="character">
    <w:name w:val="Bunntekst Tegn"/>
    <w:link w:val="Bunntekst"/>
    <w:locked/>
    <w:rsid w:val="006349B9"/>
    <w:rPr>
      <w:rFonts w:cs="Sendnya"/>
      <w:sz w:val="24"/>
      <w:szCs w:val="24"/>
      <w:lang w:bidi="or-IN" w:eastAsia="zh-CN" w:val="nb-NO"/>
    </w:rPr>
  </w:style>
  <w:style w:styleId="Linjenummer" w:type="character">
    <w:name w:val="line number"/>
    <w:basedOn w:val="Standardskriftforavsnitt"/>
    <w:rsid w:val="00AE4055"/>
  </w:style>
  <w:style w:styleId="INNH1" w:type="paragraph">
    <w:name w:val="toc 1"/>
    <w:basedOn w:val="Normal"/>
    <w:next w:val="Normal"/>
    <w:autoRedefine/>
    <w:uiPriority w:val="39"/>
    <w:rsid w:val="00BD40F4"/>
    <w:pPr>
      <w:tabs>
        <w:tab w:leader="dot" w:pos="8820" w:val="right"/>
      </w:tabs>
    </w:pPr>
    <w:rPr>
      <w:b/>
      <w:noProof/>
    </w:rPr>
  </w:style>
  <w:style w:styleId="Hyperkobling" w:type="character">
    <w:name w:val="Hyperlink"/>
    <w:uiPriority w:val="99"/>
    <w:rsid w:val="00BE42D3"/>
    <w:rPr>
      <w:color w:val="0000FF"/>
      <w:u w:val="single"/>
    </w:rPr>
  </w:style>
  <w:style w:customStyle="1" w:styleId="Overskrift2Tegn" w:type="character">
    <w:name w:val="Overskrift 2 Tegn"/>
    <w:link w:val="Overskrift2"/>
    <w:rsid w:val="00B33323"/>
    <w:rPr>
      <w:rFonts w:asciiTheme="minorHAnsi" w:hAnsiTheme="minorHAnsi"/>
      <w:b/>
      <w:bCs/>
      <w:iCs/>
      <w:sz w:val="32"/>
      <w:szCs w:val="28"/>
      <w:lang w:bidi="or-IN" w:eastAsia="zh-CN"/>
    </w:rPr>
  </w:style>
  <w:style w:customStyle="1" w:styleId="Overskrift3Tegn" w:type="character">
    <w:name w:val="Overskrift 3 Tegn"/>
    <w:link w:val="Overskrift3"/>
    <w:rsid w:val="00B33323"/>
    <w:rPr>
      <w:rFonts w:asciiTheme="minorHAnsi" w:hAnsiTheme="minorHAnsi"/>
      <w:b/>
      <w:bCs/>
      <w:sz w:val="28"/>
      <w:szCs w:val="26"/>
      <w:lang w:bidi="or-IN" w:eastAsia="zh-CN"/>
    </w:rPr>
  </w:style>
  <w:style w:customStyle="1" w:styleId="Overskrift4Tegn" w:type="character">
    <w:name w:val="Overskrift 4 Tegn"/>
    <w:link w:val="Overskrift4"/>
    <w:rsid w:val="00B33323"/>
    <w:rPr>
      <w:rFonts w:ascii="Calibri" w:hAnsi="Calibri"/>
      <w:b/>
      <w:bCs/>
      <w:sz w:val="26"/>
      <w:szCs w:val="28"/>
      <w:lang w:bidi="or-IN" w:eastAsia="zh-CN"/>
    </w:rPr>
  </w:style>
  <w:style w:styleId="INNH2" w:type="paragraph">
    <w:name w:val="toc 2"/>
    <w:basedOn w:val="Normal"/>
    <w:next w:val="Normal"/>
    <w:autoRedefine/>
    <w:uiPriority w:val="39"/>
    <w:rsid w:val="00BD40F4"/>
    <w:pPr>
      <w:ind w:left="240"/>
    </w:pPr>
  </w:style>
  <w:style w:styleId="INNH3" w:type="paragraph">
    <w:name w:val="toc 3"/>
    <w:basedOn w:val="Normal"/>
    <w:next w:val="Normal"/>
    <w:autoRedefine/>
    <w:uiPriority w:val="39"/>
    <w:rsid w:val="00BD40F4"/>
    <w:pPr>
      <w:ind w:left="480"/>
    </w:pPr>
  </w:style>
  <w:style w:customStyle="1" w:styleId="Overskrift5Tegn" w:type="character">
    <w:name w:val="Overskrift 5 Tegn"/>
    <w:link w:val="Overskrift5"/>
    <w:rsid w:val="00B33323"/>
    <w:rPr>
      <w:rFonts w:ascii="Calibri" w:hAnsi="Calibri"/>
      <w:b/>
      <w:bCs/>
      <w:iCs/>
      <w:sz w:val="24"/>
      <w:szCs w:val="26"/>
      <w:lang w:bidi="or-IN" w:eastAsia="zh-CN"/>
    </w:rPr>
  </w:style>
  <w:style w:customStyle="1" w:styleId="Overskrift6Tegn" w:type="character">
    <w:name w:val="Overskrift 6 Tegn"/>
    <w:link w:val="Overskrift6"/>
    <w:rsid w:val="004D0DB5"/>
    <w:rPr>
      <w:rFonts w:ascii="Calibri" w:hAnsi="Calibri"/>
      <w:b/>
      <w:bCs/>
      <w:sz w:val="22"/>
      <w:szCs w:val="22"/>
      <w:lang w:bidi="or-IN" w:eastAsia="zh-CN"/>
    </w:rPr>
  </w:style>
  <w:style w:styleId="Tabellrutenett" w:type="table">
    <w:name w:val="Table Grid"/>
    <w:basedOn w:val="Vanligtabell"/>
    <w:rsid w:val="000610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eavsnitt" w:type="paragraph">
    <w:name w:val="List Paragraph"/>
    <w:basedOn w:val="Normal"/>
    <w:uiPriority w:val="34"/>
    <w:qFormat/>
    <w:rsid w:val="00F45737"/>
    <w:pPr>
      <w:ind w:left="720"/>
      <w:contextualSpacing/>
    </w:pPr>
  </w:style>
  <w:style w:customStyle="1" w:styleId="Overskrift7Tegn" w:type="character">
    <w:name w:val="Overskrift 7 Tegn"/>
    <w:link w:val="Overskrift7"/>
    <w:semiHidden/>
    <w:rsid w:val="003D387F"/>
    <w:rPr>
      <w:rFonts w:ascii="Calibri" w:cs="Times New Roman" w:eastAsia="Times New Roman" w:hAnsi="Calibri"/>
      <w:sz w:val="24"/>
      <w:szCs w:val="24"/>
      <w:lang w:bidi="or-IN" w:eastAsia="zh-CN"/>
    </w:rPr>
  </w:style>
  <w:style w:customStyle="1" w:styleId="Overskrift8Tegn" w:type="character">
    <w:name w:val="Overskrift 8 Tegn"/>
    <w:link w:val="Overskrift8"/>
    <w:semiHidden/>
    <w:rsid w:val="003D387F"/>
    <w:rPr>
      <w:rFonts w:ascii="Calibri" w:cs="Times New Roman" w:eastAsia="Times New Roman" w:hAnsi="Calibri"/>
      <w:i/>
      <w:iCs/>
      <w:sz w:val="24"/>
      <w:szCs w:val="24"/>
      <w:lang w:bidi="or-IN" w:eastAsia="zh-CN"/>
    </w:rPr>
  </w:style>
  <w:style w:customStyle="1" w:styleId="Overskrift9Tegn" w:type="character">
    <w:name w:val="Overskrift 9 Tegn"/>
    <w:link w:val="Overskrift9"/>
    <w:semiHidden/>
    <w:rsid w:val="003D387F"/>
    <w:rPr>
      <w:rFonts w:ascii="Cambria" w:cs="Times New Roman" w:eastAsia="Times New Roman" w:hAnsi="Cambria"/>
      <w:sz w:val="22"/>
      <w:szCs w:val="22"/>
      <w:lang w:bidi="or-IN" w:eastAsia="zh-CN"/>
    </w:rPr>
  </w:style>
  <w:style w:styleId="Overskriftforinnholdsfortegnelse" w:type="paragraph">
    <w:name w:val="TOC Heading"/>
    <w:basedOn w:val="Overskrift1"/>
    <w:next w:val="Normal"/>
    <w:uiPriority w:val="39"/>
    <w:unhideWhenUsed/>
    <w:qFormat/>
    <w:rsid w:val="00EB7DD2"/>
    <w:pPr>
      <w:keepLines/>
      <w:numPr>
        <w:numId w:val="0"/>
      </w:numPr>
      <w:spacing w:after="0" w:line="259" w:lineRule="auto"/>
      <w:outlineLvl w:val="9"/>
    </w:pPr>
    <w:rPr>
      <w:rFonts w:asciiTheme="majorHAnsi" w:cstheme="majorBidi" w:eastAsiaTheme="majorEastAsia" w:hAnsiTheme="majorHAnsi"/>
      <w:b w:val="0"/>
      <w:bCs w:val="0"/>
      <w:color w:themeColor="accent1" w:themeShade="BF" w:val="2E74B5"/>
      <w:kern w:val="0"/>
      <w:sz w:val="32"/>
      <w:szCs w:val="32"/>
      <w:lang w:bidi="ar-SA" w:eastAsia="nb-NO"/>
    </w:rPr>
  </w:style>
  <w:style w:styleId="NormalWeb" w:type="paragraph">
    <w:name w:val="Normal (Web)"/>
    <w:basedOn w:val="Normal"/>
    <w:uiPriority w:val="99"/>
    <w:semiHidden/>
    <w:unhideWhenUsed/>
    <w:rsid w:val="004B0D63"/>
    <w:pPr>
      <w:spacing w:after="100" w:afterAutospacing="1" w:before="100" w:beforeAutospacing="1" w:line="240" w:lineRule="auto"/>
    </w:pPr>
    <w:rPr>
      <w:rFonts w:cs="Times New Roman"/>
      <w:lang w:bidi="ar-SA"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footer2.xml" Type="http://schemas.openxmlformats.org/officeDocument/2006/relationships/footer" /><Relationship Id="rId12" Target="footer1.xml" Type="http://schemas.openxmlformats.org/officeDocument/2006/relationships/footer" /><Relationship Id="rId11" Target="media/image1.png" Type="http://schemas.openxmlformats.org/officeDocument/2006/relationships/image" /><Relationship Id="rId14" Target="media/image2.jpeg" Type="http://schemas.openxmlformats.org/officeDocument/2006/relationships/image"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4" Target="media/rId94.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 lokalt forsyningslager til regional sentralforsyning: Multikriterieklassifisering og klyngeanalyse for identifisering av overføringskandidater ved Helse Bergen</dc:title>
  <dc:creator>Thomas Ekrem Jensen</dc:creator>
  <cp:keywords/>
  <dcterms:created xsi:type="dcterms:W3CDTF">2026-03-14T01:27:38Z</dcterms:created>
  <dcterms:modified xsi:type="dcterms:W3CDTF">2026-03-14T01:27:38Z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
    <vt:lpwstr>LOG650 Forskningsprosjekt: Logistikk og kunstig intelligens</vt:lpwstr>
  </property>
  <property fmtid="{D5CDD505-2E9C-101B-9397-08002B2CF9AE}" pid="3" name="date">
    <vt:lpwstr>Mai 2026</vt:lpwstr>
  </property>
  <property fmtid="{D5CDD505-2E9C-101B-9397-08002B2CF9AE}" pid="4" name="institution">
    <vt:lpwstr>Høgskolen i Molde</vt:lpwstr>
  </property>
  <property fmtid="{D5CDD505-2E9C-101B-9397-08002B2CF9AE}" pid="5" name="supervisor">
    <vt:lpwstr>Bård Inge Austigard Pettersen</vt:lpwstr>
  </property>
</Properties>
</file>