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641F2" w14:textId="77777777" w:rsidR="00AE2C34" w:rsidRDefault="0050241D" w:rsidP="001B3556">
      <w:r>
        <w:rPr>
          <w:noProof/>
          <w:lang w:eastAsia="nb-NO" w:bidi="ar-SA"/>
        </w:rPr>
        <w:drawing>
          <wp:anchor distT="0" distB="0" distL="114300" distR="114300" simplePos="0" relativeHeight="251657216" behindDoc="1" locked="0" layoutInCell="1" allowOverlap="1" wp14:anchorId="61564295" wp14:editId="61564296">
            <wp:simplePos x="0" y="0"/>
            <wp:positionH relativeFrom="column">
              <wp:posOffset>-236855</wp:posOffset>
            </wp:positionH>
            <wp:positionV relativeFrom="paragraph">
              <wp:posOffset>-321945</wp:posOffset>
            </wp:positionV>
            <wp:extent cx="3429000" cy="3429000"/>
            <wp:effectExtent l="0" t="0" r="0" b="0"/>
            <wp:wrapNone/>
            <wp:docPr id="3" name="Bilde 2" descr="Description: N:\ADMARKIV\STRAUMSH\MALER\Ny logo\kunlogo-2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2" descr="Description: N:\ADMARKIV\STRAUMSH\MALER\Ny logo\kunlogo-20-0-0-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0" cy="3429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5641F3" w14:textId="77777777" w:rsidR="00AE2C34" w:rsidRDefault="00AE2C34" w:rsidP="001B3556"/>
    <w:p w14:paraId="615641F4" w14:textId="77777777" w:rsidR="00AE2C34" w:rsidRDefault="00AE2C34" w:rsidP="001B3556"/>
    <w:p w14:paraId="615641F5" w14:textId="77777777" w:rsidR="00AE2C34" w:rsidRDefault="00AE2C34" w:rsidP="001B3556"/>
    <w:p w14:paraId="615641F6" w14:textId="77777777" w:rsidR="00AE2C34" w:rsidRDefault="00AE2C34" w:rsidP="001B3556"/>
    <w:p w14:paraId="615641F7" w14:textId="77777777" w:rsidR="003A4872" w:rsidRDefault="003A4872" w:rsidP="00AE2C34">
      <w:pPr>
        <w:sectPr w:rsidR="003A4872" w:rsidSect="00C90D42">
          <w:footerReference w:type="even" r:id="rId12"/>
          <w:footerReference w:type="default" r:id="rId13"/>
          <w:pgSz w:w="11907" w:h="16840" w:code="9"/>
          <w:pgMar w:top="1417" w:right="1417" w:bottom="1417" w:left="1701" w:header="720" w:footer="403" w:gutter="0"/>
          <w:pgNumType w:start="1"/>
          <w:cols w:space="720"/>
          <w:titlePg/>
        </w:sectPr>
      </w:pPr>
    </w:p>
    <w:p w14:paraId="615641F8" w14:textId="77777777" w:rsidR="003A4872" w:rsidRDefault="003A4872" w:rsidP="00AE2C34"/>
    <w:p w14:paraId="615641F9" w14:textId="77777777" w:rsidR="003A4872" w:rsidRDefault="003A4872" w:rsidP="001B3556">
      <w:pPr>
        <w:rPr>
          <w:rFonts w:ascii="Arial" w:hAnsi="Arial" w:cs="Arial"/>
          <w:b/>
          <w:bCs/>
          <w:spacing w:val="-4"/>
          <w:w w:val="101"/>
          <w:sz w:val="28"/>
          <w:szCs w:val="28"/>
        </w:rPr>
      </w:pPr>
    </w:p>
    <w:p w14:paraId="615641FA" w14:textId="77777777" w:rsidR="003A4872" w:rsidRDefault="003A4872" w:rsidP="001B3556">
      <w:pPr>
        <w:rPr>
          <w:rFonts w:ascii="Arial" w:hAnsi="Arial" w:cs="Arial"/>
          <w:b/>
          <w:bCs/>
          <w:spacing w:val="-4"/>
          <w:w w:val="101"/>
          <w:sz w:val="28"/>
          <w:szCs w:val="28"/>
        </w:rPr>
      </w:pPr>
    </w:p>
    <w:p w14:paraId="615641FB" w14:textId="40AD428C" w:rsidR="001505E8" w:rsidRPr="008E406C" w:rsidRDefault="004C7BA6" w:rsidP="008E406C">
      <w:pPr>
        <w:framePr w:w="9295" w:h="4141" w:hSpace="180" w:wrap="around" w:vAnchor="text" w:hAnchor="page" w:x="1527" w:y="640"/>
        <w:rPr>
          <w:rFonts w:ascii="Trebuchet MS" w:eastAsia="Arial Unicode MS" w:hAnsi="Trebuchet MS"/>
          <w:b/>
          <w:noProof/>
          <w:sz w:val="96"/>
          <w:szCs w:val="96"/>
        </w:rPr>
      </w:pPr>
      <w:r>
        <w:rPr>
          <w:rFonts w:ascii="Trebuchet MS" w:eastAsia="Arial Unicode MS" w:hAnsi="Trebuchet MS"/>
          <w:b/>
          <w:noProof/>
          <w:sz w:val="96"/>
          <w:szCs w:val="96"/>
        </w:rPr>
        <w:fldChar w:fldCharType="begin">
          <w:ffData>
            <w:name w:val="Oppgavetype"/>
            <w:enabled/>
            <w:calcOnExit w:val="0"/>
            <w:ddList>
              <w:result w:val="4"/>
              <w:listEntry w:val="Velg type oppgave"/>
              <w:listEntry w:val="Bacheloroppgave"/>
              <w:listEntry w:val="Fordypningsoppgave"/>
              <w:listEntry w:val="Masteroppgave"/>
              <w:listEntry w:val="Prosjektoppgave"/>
            </w:ddList>
          </w:ffData>
        </w:fldChar>
      </w:r>
      <w:bookmarkStart w:id="0" w:name="Oppgavetype"/>
      <w:r>
        <w:rPr>
          <w:rFonts w:ascii="Trebuchet MS" w:eastAsia="Arial Unicode MS" w:hAnsi="Trebuchet MS"/>
          <w:b/>
          <w:noProof/>
          <w:sz w:val="96"/>
          <w:szCs w:val="96"/>
        </w:rPr>
        <w:instrText xml:space="preserve"> FORMDROPDOWN </w:instrText>
      </w:r>
      <w:r>
        <w:rPr>
          <w:rFonts w:ascii="Trebuchet MS" w:eastAsia="Arial Unicode MS" w:hAnsi="Trebuchet MS"/>
          <w:b/>
          <w:noProof/>
          <w:sz w:val="96"/>
          <w:szCs w:val="96"/>
        </w:rPr>
      </w:r>
      <w:r>
        <w:rPr>
          <w:rFonts w:ascii="Trebuchet MS" w:eastAsia="Arial Unicode MS" w:hAnsi="Trebuchet MS"/>
          <w:b/>
          <w:noProof/>
          <w:sz w:val="96"/>
          <w:szCs w:val="96"/>
        </w:rPr>
        <w:fldChar w:fldCharType="separate"/>
      </w:r>
      <w:r>
        <w:rPr>
          <w:rFonts w:ascii="Trebuchet MS" w:eastAsia="Arial Unicode MS" w:hAnsi="Trebuchet MS"/>
          <w:b/>
          <w:noProof/>
          <w:sz w:val="96"/>
          <w:szCs w:val="96"/>
        </w:rPr>
        <w:fldChar w:fldCharType="end"/>
      </w:r>
      <w:bookmarkEnd w:id="0"/>
    </w:p>
    <w:p w14:paraId="615641FC" w14:textId="77777777" w:rsidR="001505E8" w:rsidRPr="00CD51C6" w:rsidRDefault="001505E8" w:rsidP="008E406C">
      <w:pPr>
        <w:framePr w:w="9295" w:h="4141" w:hSpace="180" w:wrap="around" w:vAnchor="text" w:hAnchor="page" w:x="1527" w:y="640"/>
        <w:rPr>
          <w:rFonts w:ascii="Trebuchet MS" w:eastAsia="Arial Unicode MS" w:hAnsi="Trebuchet MS"/>
          <w:b/>
          <w:noProof/>
          <w:sz w:val="36"/>
          <w:szCs w:val="36"/>
        </w:rPr>
      </w:pPr>
    </w:p>
    <w:p w14:paraId="615641FD" w14:textId="7D0F5214" w:rsidR="001505E8" w:rsidRPr="00CD51C6" w:rsidRDefault="0009737E" w:rsidP="008E406C">
      <w:pPr>
        <w:framePr w:w="9295" w:h="4141" w:hSpace="180" w:wrap="around" w:vAnchor="text" w:hAnchor="page" w:x="1527" w:y="640"/>
        <w:rPr>
          <w:rFonts w:ascii="Trebuchet MS" w:eastAsia="Arial Unicode MS" w:hAnsi="Trebuchet MS"/>
          <w:b/>
          <w:noProof/>
          <w:sz w:val="36"/>
          <w:szCs w:val="36"/>
        </w:rPr>
      </w:pPr>
      <w:r>
        <w:rPr>
          <w:rFonts w:ascii="Trebuchet MS" w:eastAsia="Arial Unicode MS" w:hAnsi="Trebuchet MS"/>
          <w:b/>
          <w:noProof/>
          <w:sz w:val="36"/>
          <w:szCs w:val="36"/>
        </w:rPr>
        <w:fldChar w:fldCharType="begin">
          <w:ffData>
            <w:name w:val=""/>
            <w:enabled/>
            <w:calcOnExit w:val="0"/>
            <w:ddList>
              <w:result w:val="20"/>
              <w:listEntry w:val="Velg emnekode"/>
              <w:listEntry w:val="ADM650 Jus og administrasjon"/>
              <w:listEntry w:val="ADM750 Samfunnsendring, organisasjon og ledelse"/>
              <w:listEntry w:val="ADM755 Samfunnsendring, organisasjon og ledelse"/>
              <w:listEntry w:val="BØK950 Økonomi og administrasjon"/>
              <w:listEntry w:val="IDR600 Sport Management"/>
              <w:listEntry w:val="IDR950 Sport Management"/>
              <w:listEntry w:val="INF951 Anvendt informatikk (Erfaringsbasert)"/>
              <w:listEntry w:val="LOG551 Prosjektledelse"/>
              <w:listEntry w:val="LOG950 Logistikk"/>
              <w:listEntry w:val="LOG951 Logistikk"/>
              <w:listEntry w:val="MHS704 Helse- og sosialfag"/>
              <w:listEntry w:val="PET600 Petroleumslogistikk"/>
              <w:listEntry w:val="SCM600 Logistikk"/>
              <w:listEntry w:val="SAE00 Sykepleie"/>
              <w:listEntry w:val="VAK706 Avansert klinisk sykepleie"/>
              <w:listEntry w:val="VBU723 Psykososialt arbeid med barn og unge"/>
              <w:listEntry w:val="VMT724 Miljøarbeid og tverrprofesjonalitet"/>
              <w:listEntry w:val="VPH724 Psykisk helsearbeid"/>
              <w:listEntry w:val="VPL05 Vernepleie"/>
              <w:listEntry w:val="LOG650 Forskningsprosjekt: Logistikk og KI"/>
            </w:ddList>
          </w:ffData>
        </w:fldChar>
      </w:r>
      <w:r>
        <w:rPr>
          <w:rFonts w:ascii="Trebuchet MS" w:eastAsia="Arial Unicode MS" w:hAnsi="Trebuchet MS"/>
          <w:b/>
          <w:noProof/>
          <w:sz w:val="36"/>
          <w:szCs w:val="36"/>
        </w:rPr>
        <w:instrText xml:space="preserve"> FORMDROPDOWN </w:instrText>
      </w:r>
      <w:r>
        <w:rPr>
          <w:rFonts w:ascii="Trebuchet MS" w:eastAsia="Arial Unicode MS" w:hAnsi="Trebuchet MS"/>
          <w:b/>
          <w:noProof/>
          <w:sz w:val="36"/>
          <w:szCs w:val="36"/>
        </w:rPr>
      </w:r>
      <w:r>
        <w:rPr>
          <w:rFonts w:ascii="Trebuchet MS" w:eastAsia="Arial Unicode MS" w:hAnsi="Trebuchet MS"/>
          <w:b/>
          <w:noProof/>
          <w:sz w:val="36"/>
          <w:szCs w:val="36"/>
        </w:rPr>
        <w:fldChar w:fldCharType="separate"/>
      </w:r>
      <w:r>
        <w:rPr>
          <w:rFonts w:ascii="Trebuchet MS" w:eastAsia="Arial Unicode MS" w:hAnsi="Trebuchet MS"/>
          <w:b/>
          <w:noProof/>
          <w:sz w:val="36"/>
          <w:szCs w:val="36"/>
        </w:rPr>
        <w:fldChar w:fldCharType="end"/>
      </w:r>
    </w:p>
    <w:p w14:paraId="615641FE" w14:textId="77777777" w:rsidR="001505E8" w:rsidRPr="00CD51C6" w:rsidRDefault="001505E8" w:rsidP="008E406C">
      <w:pPr>
        <w:framePr w:w="9295" w:h="4141" w:hSpace="180" w:wrap="around" w:vAnchor="text" w:hAnchor="page" w:x="1527" w:y="640"/>
        <w:rPr>
          <w:rFonts w:ascii="Trebuchet MS" w:eastAsia="Arial Unicode MS" w:hAnsi="Trebuchet MS"/>
          <w:b/>
          <w:noProof/>
          <w:sz w:val="36"/>
          <w:szCs w:val="36"/>
        </w:rPr>
      </w:pPr>
    </w:p>
    <w:bookmarkStart w:id="1" w:name="Tittel"/>
    <w:p w14:paraId="615641FF" w14:textId="77777777" w:rsidR="001505E8" w:rsidRPr="009A386B" w:rsidRDefault="001505E8" w:rsidP="008E406C">
      <w:pPr>
        <w:framePr w:w="9295" w:h="4141" w:hSpace="180" w:wrap="around" w:vAnchor="text" w:hAnchor="page" w:x="1527" w:y="640"/>
        <w:rPr>
          <w:rFonts w:ascii="Trebuchet MS" w:eastAsia="Arial Unicode MS" w:hAnsi="Trebuchet MS"/>
          <w:b/>
          <w:noProof/>
          <w:sz w:val="36"/>
          <w:szCs w:val="36"/>
        </w:rPr>
      </w:pPr>
      <w:r>
        <w:rPr>
          <w:rFonts w:ascii="Times New Roman" w:hAnsi="Times New Roman"/>
          <w:sz w:val="24"/>
        </w:rPr>
        <w:t>Fra lokalt forsyningslager til regional sentralforsyning:</w:t>
        <w:br/>
        <w:t>Multikriterieklassifisering og klyngeanalyse for identifisering av overføringskandidater ved Helse Bergen</w:t>
      </w:r>
    </w:p>
    <w:p w14:paraId="61564200"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p>
    <w:p w14:paraId="61564201"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r>
        <w:rPr>
          <w:rFonts w:ascii="Times New Roman" w:hAnsi="Times New Roman"/>
          <w:sz w:val="24"/>
        </w:rPr>
        <w:t>Thomas Ekrem Jensen</w:t>
      </w:r>
    </w:p>
    <w:p w14:paraId="61564202"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p>
    <w:p w14:paraId="61564203" w14:textId="77777777" w:rsidR="001505E8" w:rsidRPr="009A386B" w:rsidRDefault="001505E8" w:rsidP="008E406C">
      <w:pPr>
        <w:framePr w:w="9295" w:h="4141" w:hSpace="180" w:wrap="around" w:vAnchor="text" w:hAnchor="page" w:x="1527" w:y="640"/>
        <w:rPr>
          <w:rFonts w:ascii="Trebuchet MS" w:eastAsia="Arial Unicode MS" w:hAnsi="Trebuchet MS"/>
          <w:noProof/>
          <w:sz w:val="32"/>
          <w:szCs w:val="32"/>
        </w:rPr>
      </w:pPr>
      <w:bookmarkStart w:id="2" w:name="Text1"/>
      <w:r w:rsidRPr="009A386B">
        <w:rPr>
          <w:rFonts w:ascii="Trebuchet MS" w:eastAsia="Arial Unicode MS" w:hAnsi="Trebuchet MS"/>
          <w:noProof/>
          <w:sz w:val="32"/>
          <w:szCs w:val="32"/>
        </w:rPr>
        <w:t xml:space="preserve">Totalt antall sider inkludert forsiden: </w:t>
      </w:r>
      <w:bookmarkStart w:id="3" w:name="Ant_sider"/>
      <w:bookmarkEnd w:id="2"/>
      <w:r w:rsidR="0037613D">
        <w:rPr>
          <w:rFonts w:ascii="Trebuchet MS" w:eastAsia="Arial Unicode MS" w:hAnsi="Trebuchet MS"/>
          <w:noProof/>
          <w:sz w:val="32"/>
          <w:szCs w:val="32"/>
        </w:rPr>
        <w:fldChar w:fldCharType="begin">
          <w:ffData>
            <w:name w:val="Ant_sider"/>
            <w:enabled/>
            <w:calcOnExit w:val="0"/>
            <w:helpText w:type="text" w:val="1. Marker teksten i feltet. &#10;2. Skriv inn totalt antalt sider, inkludert forsiden. "/>
            <w:statusText w:type="text" w:val="1. Marker teksten i feltet.   2. Skriv inn totalt antalt sider, inkludert forsiden. "/>
            <w:textInput/>
          </w:ffData>
        </w:fldChar>
      </w:r>
      <w:r w:rsidR="0037613D">
        <w:rPr>
          <w:rFonts w:ascii="Trebuchet MS" w:eastAsia="Arial Unicode MS" w:hAnsi="Trebuchet MS"/>
          <w:noProof/>
          <w:sz w:val="32"/>
          <w:szCs w:val="32"/>
        </w:rPr>
        <w:instrText xml:space="preserve"> FORMTEXT </w:instrText>
      </w:r>
      <w:r w:rsidR="0037613D">
        <w:rPr>
          <w:rFonts w:ascii="Trebuchet MS" w:eastAsia="Arial Unicode MS" w:hAnsi="Trebuchet MS"/>
          <w:noProof/>
          <w:sz w:val="32"/>
          <w:szCs w:val="32"/>
        </w:rPr>
      </w:r>
      <w:r w:rsidR="0037613D">
        <w:rPr>
          <w:rFonts w:ascii="Trebuchet MS" w:eastAsia="Arial Unicode MS" w:hAnsi="Trebuchet MS"/>
          <w:noProof/>
          <w:sz w:val="32"/>
          <w:szCs w:val="32"/>
        </w:rPr>
        <w:fldChar w:fldCharType="separate"/>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fldChar w:fldCharType="end"/>
      </w:r>
      <w:bookmarkEnd w:id="3"/>
    </w:p>
    <w:p w14:paraId="61564204" w14:textId="77777777" w:rsidR="001505E8" w:rsidRPr="009A386B" w:rsidRDefault="001505E8" w:rsidP="008E406C">
      <w:pPr>
        <w:framePr w:w="9295" w:h="4141" w:hSpace="180" w:wrap="around" w:vAnchor="text" w:hAnchor="page" w:x="1527" w:y="640"/>
        <w:rPr>
          <w:rFonts w:ascii="Trebuchet MS" w:eastAsia="Arial Unicode MS" w:hAnsi="Trebuchet MS"/>
          <w:noProof/>
          <w:sz w:val="32"/>
          <w:szCs w:val="32"/>
        </w:rPr>
      </w:pPr>
    </w:p>
    <w:p w14:paraId="61564205" w14:textId="77777777" w:rsidR="001505E8" w:rsidRPr="009A386B" w:rsidRDefault="001505E8" w:rsidP="008E406C">
      <w:pPr>
        <w:framePr w:w="9295" w:h="4141" w:hSpace="180" w:wrap="around" w:vAnchor="text" w:hAnchor="page" w:x="1527" w:y="640"/>
        <w:rPr>
          <w:sz w:val="32"/>
          <w:szCs w:val="32"/>
        </w:rPr>
      </w:pPr>
      <w:r>
        <w:rPr>
          <w:rFonts w:ascii="Times New Roman" w:hAnsi="Times New Roman"/>
          <w:sz w:val="24"/>
        </w:rPr>
        <w:t>Stavanger, Mai 2026</w:t>
      </w:r>
    </w:p>
    <w:p w14:paraId="61564206" w14:textId="77777777" w:rsidR="003A4872" w:rsidRDefault="0050241D" w:rsidP="001B3556">
      <w:pPr>
        <w:rPr>
          <w:rFonts w:ascii="Arial" w:hAnsi="Arial" w:cs="Arial"/>
          <w:b/>
          <w:bCs/>
          <w:spacing w:val="-4"/>
          <w:w w:val="101"/>
          <w:sz w:val="28"/>
          <w:szCs w:val="28"/>
        </w:rPr>
      </w:pPr>
      <w:r>
        <w:rPr>
          <w:noProof/>
          <w:lang w:eastAsia="nb-NO" w:bidi="ar-SA"/>
        </w:rPr>
        <w:drawing>
          <wp:anchor distT="0" distB="0" distL="114300" distR="114300" simplePos="0" relativeHeight="251658240" behindDoc="0" locked="0" layoutInCell="1" allowOverlap="1" wp14:anchorId="61564297" wp14:editId="61564298">
            <wp:simplePos x="0" y="0"/>
            <wp:positionH relativeFrom="column">
              <wp:posOffset>4450080</wp:posOffset>
            </wp:positionH>
            <wp:positionV relativeFrom="paragraph">
              <wp:posOffset>6151245</wp:posOffset>
            </wp:positionV>
            <wp:extent cx="1828800" cy="1136650"/>
            <wp:effectExtent l="0" t="0" r="0" b="6350"/>
            <wp:wrapNone/>
            <wp:docPr id="2" name="Picture 14" descr="Description: HiM_mi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escription: HiM_mid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28800" cy="1136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564207" w14:textId="77777777" w:rsidR="003A4872" w:rsidRDefault="003A4872" w:rsidP="001B3556">
      <w:pPr>
        <w:rPr>
          <w:rFonts w:ascii="Arial" w:hAnsi="Arial" w:cs="Arial"/>
          <w:b/>
          <w:bCs/>
          <w:spacing w:val="-4"/>
          <w:w w:val="101"/>
          <w:sz w:val="28"/>
          <w:szCs w:val="28"/>
        </w:rPr>
        <w:sectPr w:rsidR="003A4872" w:rsidSect="00C90D42">
          <w:footerReference w:type="default" r:id="rId34"/>
          <w:type w:val="continuous"/>
          <w:pgSz w:w="11907" w:h="16840"/>
          <w:pgMar w:top="1417" w:right="1417" w:bottom="1417" w:left="1701" w:header="720" w:footer="397" w:gutter="0"/>
          <w:pgNumType w:start="1"/>
          <w:cols w:space="720"/>
        </w:sectPr>
      </w:pPr>
    </w:p>
    <w:p w14:paraId="61564208" w14:textId="77777777" w:rsidR="00A96654" w:rsidRDefault="00A96654" w:rsidP="00A96654">
      <w:pPr>
        <w:rPr>
          <w:rFonts w:ascii="Arial" w:hAnsi="Arial" w:cs="Arial"/>
          <w:b/>
          <w:bCs/>
          <w:spacing w:val="-4"/>
          <w:w w:val="101"/>
          <w:sz w:val="32"/>
          <w:szCs w:val="32"/>
        </w:rPr>
      </w:pPr>
      <w:r>
        <w:rPr>
          <w:rFonts w:ascii="Arial" w:hAnsi="Arial" w:cs="Arial"/>
          <w:b/>
          <w:bCs/>
          <w:spacing w:val="-4"/>
          <w:w w:val="101"/>
          <w:sz w:val="32"/>
          <w:szCs w:val="32"/>
        </w:rPr>
        <w:lastRenderedPageBreak/>
        <w:t>Obligatorisk egenerklæring</w:t>
      </w:r>
      <w:r w:rsidR="008E1A3D">
        <w:rPr>
          <w:rFonts w:ascii="Arial" w:hAnsi="Arial" w:cs="Arial"/>
          <w:b/>
          <w:bCs/>
          <w:spacing w:val="-4"/>
          <w:w w:val="101"/>
          <w:sz w:val="32"/>
          <w:szCs w:val="32"/>
        </w:rPr>
        <w:t>/gruppeerklæring</w:t>
      </w:r>
      <w:r>
        <w:rPr>
          <w:rFonts w:ascii="Arial" w:hAnsi="Arial" w:cs="Arial"/>
          <w:b/>
          <w:bCs/>
          <w:spacing w:val="-4"/>
          <w:w w:val="101"/>
          <w:sz w:val="32"/>
          <w:szCs w:val="32"/>
        </w:rPr>
        <w:t xml:space="preserve"> </w:t>
      </w:r>
    </w:p>
    <w:p w14:paraId="61564209" w14:textId="77777777" w:rsidR="00F45737" w:rsidRDefault="00F45737" w:rsidP="00F45737">
      <w:pPr>
        <w:rPr>
          <w:rFonts w:ascii="Trebuchet MS" w:hAnsi="Trebuchet MS" w:cs="Arial"/>
          <w:b/>
          <w:bCs/>
          <w:spacing w:val="-4"/>
          <w:w w:val="101"/>
          <w:sz w:val="18"/>
          <w:szCs w:val="18"/>
        </w:rPr>
      </w:pPr>
    </w:p>
    <w:p w14:paraId="6156420A" w14:textId="77777777" w:rsidR="0099615A" w:rsidRPr="004E1066" w:rsidRDefault="0099615A" w:rsidP="00424468">
      <w:pPr>
        <w:rPr>
          <w:rFonts w:cs="Times New Roman"/>
          <w:bCs/>
          <w:spacing w:val="-4"/>
          <w:w w:val="101"/>
          <w:sz w:val="22"/>
          <w:szCs w:val="22"/>
        </w:rPr>
      </w:pPr>
      <w:r w:rsidRPr="004E1066">
        <w:rPr>
          <w:rFonts w:cs="Times New Roman"/>
          <w:bCs/>
          <w:spacing w:val="-4"/>
          <w:w w:val="101"/>
          <w:sz w:val="22"/>
          <w:szCs w:val="22"/>
        </w:rPr>
        <w:t>Den enkelte student er selv ansvarlig for å sette seg inn i hva som er lovlige hjelpemidler, retningslinjer for bruk a</w:t>
      </w:r>
      <w:r w:rsidR="002278CF" w:rsidRPr="004E1066">
        <w:rPr>
          <w:rFonts w:cs="Times New Roman"/>
          <w:bCs/>
          <w:spacing w:val="-4"/>
          <w:w w:val="101"/>
          <w:sz w:val="22"/>
          <w:szCs w:val="22"/>
        </w:rPr>
        <w:t xml:space="preserve">v disse og regler om kildebruk. </w:t>
      </w:r>
      <w:r w:rsidR="008E1A3D" w:rsidRPr="004E1066">
        <w:rPr>
          <w:rFonts w:cs="Times New Roman"/>
          <w:bCs/>
          <w:spacing w:val="-4"/>
          <w:w w:val="101"/>
          <w:sz w:val="22"/>
          <w:szCs w:val="22"/>
        </w:rPr>
        <w:t>E</w:t>
      </w:r>
      <w:r w:rsidRPr="004E1066">
        <w:rPr>
          <w:rFonts w:cs="Times New Roman"/>
          <w:bCs/>
          <w:spacing w:val="-4"/>
          <w:w w:val="101"/>
          <w:sz w:val="22"/>
          <w:szCs w:val="22"/>
        </w:rPr>
        <w:t>rklæringen skal bevisstgjøre studentene på deres ansvar og hvilke konsekvenser fusk kan medføre. Mangl</w:t>
      </w:r>
      <w:r w:rsidR="008E1A3D" w:rsidRPr="004E1066">
        <w:rPr>
          <w:rFonts w:cs="Times New Roman"/>
          <w:bCs/>
          <w:spacing w:val="-4"/>
          <w:w w:val="101"/>
          <w:sz w:val="22"/>
          <w:szCs w:val="22"/>
        </w:rPr>
        <w:t xml:space="preserve">ende </w:t>
      </w:r>
      <w:r w:rsidRPr="004E1066">
        <w:rPr>
          <w:rFonts w:cs="Times New Roman"/>
          <w:bCs/>
          <w:spacing w:val="-4"/>
          <w:w w:val="101"/>
          <w:sz w:val="22"/>
          <w:szCs w:val="22"/>
        </w:rPr>
        <w:t>erklæring fritar ikke studentene fra sitt ansvar.</w:t>
      </w:r>
    </w:p>
    <w:p w14:paraId="6156420B" w14:textId="77777777" w:rsidR="00C642BF" w:rsidRDefault="00C642BF" w:rsidP="00F45737">
      <w:pPr>
        <w:rPr>
          <w:rFonts w:ascii="Trebuchet MS" w:hAnsi="Trebuchet MS" w:cs="Arial"/>
          <w:bCs/>
          <w:i/>
          <w:spacing w:val="-4"/>
          <w:w w:val="101"/>
          <w:sz w:val="18"/>
          <w:szCs w:val="18"/>
        </w:rPr>
      </w:pPr>
    </w:p>
    <w:p w14:paraId="6156420C" w14:textId="77777777" w:rsidR="0099615A" w:rsidRPr="00F45737" w:rsidRDefault="0099615A" w:rsidP="0099615A">
      <w:pPr>
        <w:rPr>
          <w:rFonts w:ascii="Trebuchet MS" w:hAnsi="Trebuchet MS" w:cs="Arial"/>
          <w:bCs/>
          <w:i/>
          <w:spacing w:val="-4"/>
          <w:w w:val="101"/>
          <w:sz w:val="18"/>
          <w:szCs w:val="18"/>
        </w:rPr>
      </w:pPr>
    </w:p>
    <w:tbl>
      <w:tblPr>
        <w:tblW w:w="8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407"/>
        <w:gridCol w:w="7075"/>
        <w:gridCol w:w="1502"/>
      </w:tblGrid>
      <w:tr w:rsidR="00424468" w14:paraId="6156420E" w14:textId="77777777" w:rsidTr="009758A0">
        <w:trPr>
          <w:trHeight w:val="429"/>
        </w:trPr>
        <w:tc>
          <w:tcPr>
            <w:tcW w:w="8984" w:type="dxa"/>
            <w:gridSpan w:val="3"/>
            <w:shd w:val="clear" w:color="auto" w:fill="F2F2F2"/>
          </w:tcPr>
          <w:p w14:paraId="6156420D" w14:textId="77777777" w:rsidR="00424468" w:rsidRPr="004E1066" w:rsidRDefault="00955329" w:rsidP="009758A0">
            <w:pPr>
              <w:rPr>
                <w:rFonts w:ascii="Trebuchet MS" w:hAnsi="Trebuchet MS" w:cs="Times New Roman"/>
                <w:sz w:val="20"/>
                <w:szCs w:val="20"/>
              </w:rPr>
            </w:pPr>
            <w:r w:rsidRPr="004E1066">
              <w:rPr>
                <w:rFonts w:ascii="Trebuchet MS" w:hAnsi="Trebuchet MS" w:cs="Arial"/>
                <w:bCs/>
                <w:i/>
                <w:spacing w:val="-4"/>
                <w:w w:val="101"/>
                <w:sz w:val="20"/>
                <w:szCs w:val="20"/>
              </w:rPr>
              <w:t xml:space="preserve">Du/dere fyller ut </w:t>
            </w:r>
            <w:r w:rsidR="00424468" w:rsidRPr="004E1066">
              <w:rPr>
                <w:rFonts w:ascii="Trebuchet MS" w:hAnsi="Trebuchet MS" w:cs="Arial"/>
                <w:bCs/>
                <w:i/>
                <w:spacing w:val="-4"/>
                <w:w w:val="101"/>
                <w:sz w:val="20"/>
                <w:szCs w:val="20"/>
              </w:rPr>
              <w:t>erklæring</w:t>
            </w:r>
            <w:r w:rsidRPr="004E1066">
              <w:rPr>
                <w:rFonts w:ascii="Trebuchet MS" w:hAnsi="Trebuchet MS" w:cs="Arial"/>
                <w:bCs/>
                <w:i/>
                <w:spacing w:val="-4"/>
                <w:w w:val="101"/>
                <w:sz w:val="20"/>
                <w:szCs w:val="20"/>
              </w:rPr>
              <w:t>en</w:t>
            </w:r>
            <w:r w:rsidR="00424468" w:rsidRPr="004E1066">
              <w:rPr>
                <w:rFonts w:ascii="Trebuchet MS" w:hAnsi="Trebuchet MS" w:cs="Arial"/>
                <w:bCs/>
                <w:i/>
                <w:spacing w:val="-4"/>
                <w:w w:val="101"/>
                <w:sz w:val="20"/>
                <w:szCs w:val="20"/>
              </w:rPr>
              <w:t xml:space="preserve"> ved å klikke i ruten til høyre for d</w:t>
            </w:r>
            <w:r w:rsidRPr="004E1066">
              <w:rPr>
                <w:rFonts w:ascii="Trebuchet MS" w:hAnsi="Trebuchet MS" w:cs="Arial"/>
                <w:bCs/>
                <w:i/>
                <w:spacing w:val="-4"/>
                <w:w w:val="101"/>
                <w:sz w:val="20"/>
                <w:szCs w:val="20"/>
              </w:rPr>
              <w:t>en enkelte del 1-6</w:t>
            </w:r>
            <w:r w:rsidR="00424468" w:rsidRPr="004E1066">
              <w:rPr>
                <w:rFonts w:ascii="Trebuchet MS" w:hAnsi="Trebuchet MS" w:cs="Arial"/>
                <w:bCs/>
                <w:i/>
                <w:spacing w:val="-4"/>
                <w:w w:val="101"/>
                <w:sz w:val="20"/>
                <w:szCs w:val="20"/>
              </w:rPr>
              <w:t>:</w:t>
            </w:r>
          </w:p>
        </w:tc>
      </w:tr>
      <w:tr w:rsidR="002278CF" w14:paraId="61564214" w14:textId="77777777" w:rsidTr="009758A0">
        <w:trPr>
          <w:trHeight w:val="1085"/>
        </w:trPr>
        <w:tc>
          <w:tcPr>
            <w:tcW w:w="407" w:type="dxa"/>
            <w:shd w:val="clear" w:color="auto" w:fill="F2F2F2"/>
          </w:tcPr>
          <w:p w14:paraId="6156420F" w14:textId="77777777" w:rsidR="00F45737" w:rsidRPr="009758A0" w:rsidRDefault="00F45737" w:rsidP="009758A0">
            <w:pPr>
              <w:rPr>
                <w:rFonts w:ascii="Trebuchet MS" w:hAnsi="Trebuchet MS" w:cs="Times New Roman"/>
                <w:b/>
                <w:sz w:val="20"/>
                <w:szCs w:val="20"/>
              </w:rPr>
            </w:pPr>
            <w:r w:rsidRPr="009758A0">
              <w:rPr>
                <w:rFonts w:ascii="Trebuchet MS" w:hAnsi="Trebuchet MS" w:cs="Times New Roman"/>
                <w:b/>
                <w:sz w:val="20"/>
                <w:szCs w:val="20"/>
              </w:rPr>
              <w:t>1</w:t>
            </w:r>
            <w:r w:rsidR="00C642BF" w:rsidRPr="009758A0">
              <w:rPr>
                <w:rFonts w:ascii="Trebuchet MS" w:hAnsi="Trebuchet MS" w:cs="Times New Roman"/>
                <w:b/>
                <w:sz w:val="20"/>
                <w:szCs w:val="20"/>
              </w:rPr>
              <w:t>.</w:t>
            </w:r>
          </w:p>
        </w:tc>
        <w:tc>
          <w:tcPr>
            <w:tcW w:w="7075" w:type="dxa"/>
            <w:shd w:val="clear" w:color="auto" w:fill="F2F2F2"/>
          </w:tcPr>
          <w:p w14:paraId="61564210" w14:textId="77777777" w:rsidR="00F45737" w:rsidRPr="009758A0" w:rsidRDefault="00F45737" w:rsidP="009758A0">
            <w:pPr>
              <w:rPr>
                <w:rFonts w:ascii="Trebuchet MS" w:hAnsi="Trebuchet MS" w:cs="Times New Roman"/>
                <w:sz w:val="20"/>
                <w:szCs w:val="20"/>
              </w:rPr>
            </w:pPr>
            <w:r w:rsidRPr="009758A0">
              <w:rPr>
                <w:rFonts w:ascii="Trebuchet MS" w:hAnsi="Trebuchet MS" w:cs="Times New Roman"/>
                <w:b/>
                <w:sz w:val="20"/>
                <w:szCs w:val="20"/>
              </w:rPr>
              <w:t xml:space="preserve">Jeg/vi erklærer herved at min/vår </w:t>
            </w:r>
            <w:r w:rsidR="0099615A" w:rsidRPr="009758A0">
              <w:rPr>
                <w:rFonts w:ascii="Trebuchet MS" w:hAnsi="Trebuchet MS" w:cs="Times New Roman"/>
                <w:b/>
                <w:sz w:val="20"/>
                <w:szCs w:val="20"/>
              </w:rPr>
              <w:t>besvarelse</w:t>
            </w:r>
            <w:r w:rsidRPr="009758A0">
              <w:rPr>
                <w:rFonts w:ascii="Trebuchet MS" w:hAnsi="Trebuchet MS" w:cs="Times New Roman"/>
                <w:b/>
                <w:sz w:val="20"/>
                <w:szCs w:val="20"/>
              </w:rPr>
              <w:t xml:space="preserve"> </w:t>
            </w:r>
            <w:r w:rsidRPr="009758A0">
              <w:rPr>
                <w:rFonts w:ascii="Trebuchet MS" w:eastAsia="Arial Unicode MS" w:hAnsi="Trebuchet MS" w:cs="Times New Roman"/>
                <w:b/>
                <w:noProof/>
                <w:sz w:val="20"/>
                <w:szCs w:val="20"/>
              </w:rPr>
              <w:t>er mitt/vårt eget arbeid, og at jeg/vi ikke har brukt andre kilder eller har mottatt annen hjelp</w:t>
            </w:r>
            <w:r w:rsidR="0099615A" w:rsidRPr="009758A0">
              <w:rPr>
                <w:rFonts w:ascii="Trebuchet MS" w:eastAsia="Arial Unicode MS" w:hAnsi="Trebuchet MS" w:cs="Times New Roman"/>
                <w:b/>
                <w:noProof/>
                <w:sz w:val="20"/>
                <w:szCs w:val="20"/>
              </w:rPr>
              <w:t xml:space="preserve"> enn det som er nevnt i besvarelsen</w:t>
            </w:r>
            <w:r w:rsidRPr="009758A0">
              <w:rPr>
                <w:rFonts w:ascii="Trebuchet MS" w:eastAsia="Arial Unicode MS" w:hAnsi="Trebuchet MS" w:cs="Times New Roman"/>
                <w:b/>
                <w:noProof/>
                <w:sz w:val="20"/>
                <w:szCs w:val="20"/>
              </w:rPr>
              <w:t xml:space="preserve">. </w:t>
            </w:r>
          </w:p>
        </w:tc>
        <w:tc>
          <w:tcPr>
            <w:tcW w:w="1502" w:type="dxa"/>
            <w:shd w:val="clear" w:color="auto" w:fill="F2F2F2"/>
          </w:tcPr>
          <w:p w14:paraId="61564211" w14:textId="77777777" w:rsidR="00F45737" w:rsidRPr="009758A0" w:rsidRDefault="00F45737" w:rsidP="009758A0">
            <w:pPr>
              <w:rPr>
                <w:rFonts w:ascii="Trebuchet MS" w:hAnsi="Trebuchet MS" w:cs="Times New Roman"/>
                <w:sz w:val="20"/>
                <w:szCs w:val="20"/>
              </w:rPr>
            </w:pPr>
          </w:p>
          <w:p w14:paraId="61564212" w14:textId="77777777" w:rsidR="0055544F" w:rsidRPr="009758A0" w:rsidRDefault="0055544F" w:rsidP="009758A0">
            <w:pPr>
              <w:rPr>
                <w:rFonts w:ascii="Trebuchet MS" w:hAnsi="Trebuchet MS" w:cs="Times New Roman"/>
                <w:sz w:val="20"/>
                <w:szCs w:val="20"/>
              </w:rPr>
            </w:pPr>
          </w:p>
          <w:p w14:paraId="61564213" w14:textId="77777777" w:rsidR="00F45737" w:rsidRPr="009758A0" w:rsidRDefault="0055544F" w:rsidP="00955329">
            <w:pPr>
              <w:rPr>
                <w:rFonts w:ascii="Trebuchet MS" w:hAnsi="Trebuchet MS" w:cs="Times New Roman"/>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24" w14:textId="77777777" w:rsidTr="009758A0">
        <w:trPr>
          <w:trHeight w:val="2388"/>
        </w:trPr>
        <w:tc>
          <w:tcPr>
            <w:tcW w:w="407" w:type="dxa"/>
            <w:shd w:val="clear" w:color="auto" w:fill="F2F2F2"/>
          </w:tcPr>
          <w:p w14:paraId="61564215" w14:textId="77777777" w:rsidR="00F45737" w:rsidRPr="009758A0" w:rsidRDefault="00F45737" w:rsidP="009758A0">
            <w:pPr>
              <w:rPr>
                <w:rFonts w:ascii="Trebuchet MS" w:eastAsia="Arial Unicode MS" w:hAnsi="Trebuchet MS" w:cs="Times New Roman"/>
                <w:b/>
                <w:noProof/>
                <w:sz w:val="20"/>
                <w:szCs w:val="20"/>
              </w:rPr>
            </w:pPr>
            <w:r w:rsidRPr="009758A0">
              <w:rPr>
                <w:rFonts w:ascii="Trebuchet MS" w:eastAsia="Arial Unicode MS" w:hAnsi="Trebuchet MS" w:cs="Times New Roman"/>
                <w:b/>
                <w:noProof/>
                <w:sz w:val="20"/>
                <w:szCs w:val="20"/>
              </w:rPr>
              <w:t>2</w:t>
            </w:r>
            <w:r w:rsidR="00C642BF" w:rsidRPr="009758A0">
              <w:rPr>
                <w:rFonts w:ascii="Trebuchet MS" w:eastAsia="Arial Unicode MS" w:hAnsi="Trebuchet MS" w:cs="Times New Roman"/>
                <w:b/>
                <w:noProof/>
                <w:sz w:val="20"/>
                <w:szCs w:val="20"/>
              </w:rPr>
              <w:t>.</w:t>
            </w:r>
          </w:p>
        </w:tc>
        <w:tc>
          <w:tcPr>
            <w:tcW w:w="7075" w:type="dxa"/>
            <w:shd w:val="clear" w:color="auto" w:fill="F2F2F2"/>
          </w:tcPr>
          <w:p w14:paraId="61564216" w14:textId="77777777" w:rsidR="00F45737" w:rsidRPr="009758A0" w:rsidRDefault="004E1066" w:rsidP="009758A0">
            <w:pPr>
              <w:rPr>
                <w:rFonts w:ascii="Trebuchet MS" w:eastAsia="Arial Unicode MS" w:hAnsi="Trebuchet MS" w:cs="Times New Roman"/>
                <w:b/>
                <w:noProof/>
                <w:sz w:val="20"/>
                <w:szCs w:val="20"/>
              </w:rPr>
            </w:pPr>
            <w:r>
              <w:rPr>
                <w:rFonts w:ascii="Trebuchet MS" w:eastAsia="Arial Unicode MS" w:hAnsi="Trebuchet MS" w:cs="Times New Roman"/>
                <w:b/>
                <w:noProof/>
                <w:sz w:val="20"/>
                <w:szCs w:val="20"/>
              </w:rPr>
              <w:t>Jeg/</w:t>
            </w:r>
            <w:r w:rsidR="0099615A" w:rsidRPr="009758A0">
              <w:rPr>
                <w:rFonts w:ascii="Trebuchet MS" w:eastAsia="Arial Unicode MS" w:hAnsi="Trebuchet MS" w:cs="Times New Roman"/>
                <w:b/>
                <w:noProof/>
                <w:sz w:val="20"/>
                <w:szCs w:val="20"/>
              </w:rPr>
              <w:t>vi erklærer videre</w:t>
            </w:r>
            <w:r w:rsidR="00F45737" w:rsidRPr="009758A0">
              <w:rPr>
                <w:rFonts w:ascii="Trebuchet MS" w:eastAsia="Arial Unicode MS" w:hAnsi="Trebuchet MS" w:cs="Times New Roman"/>
                <w:b/>
                <w:noProof/>
                <w:sz w:val="20"/>
                <w:szCs w:val="20"/>
              </w:rPr>
              <w:t xml:space="preserve"> at denne besvarelsen: </w:t>
            </w:r>
          </w:p>
          <w:p w14:paraId="61564217"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har vært brukt til annen eksamen ved annen avdeling/universitet/høgskole innenlands eller utenlands. </w:t>
            </w:r>
          </w:p>
          <w:p w14:paraId="61564218"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ikke refererer til andres arbeid uten at det er oppgitt.</w:t>
            </w:r>
          </w:p>
          <w:p w14:paraId="61564219"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refererer til eget tidligere arbeid uten at det er oppgitt. </w:t>
            </w:r>
          </w:p>
          <w:p w14:paraId="6156421A" w14:textId="77777777" w:rsidR="00F45737" w:rsidRPr="009758A0" w:rsidRDefault="0055544F"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har </w:t>
            </w:r>
            <w:r w:rsidR="00F45737" w:rsidRPr="009758A0">
              <w:rPr>
                <w:rFonts w:ascii="Trebuchet MS" w:eastAsia="Arial Unicode MS" w:hAnsi="Trebuchet MS" w:cs="Times New Roman"/>
                <w:noProof/>
                <w:sz w:val="20"/>
                <w:szCs w:val="20"/>
              </w:rPr>
              <w:t xml:space="preserve">alle referansene </w:t>
            </w:r>
            <w:r w:rsidRPr="009758A0">
              <w:rPr>
                <w:rFonts w:ascii="Trebuchet MS" w:eastAsia="Arial Unicode MS" w:hAnsi="Trebuchet MS" w:cs="Times New Roman"/>
                <w:noProof/>
                <w:sz w:val="20"/>
                <w:szCs w:val="20"/>
              </w:rPr>
              <w:t xml:space="preserve">oppgitt </w:t>
            </w:r>
            <w:r w:rsidR="00F45737" w:rsidRPr="009758A0">
              <w:rPr>
                <w:rFonts w:ascii="Trebuchet MS" w:eastAsia="Arial Unicode MS" w:hAnsi="Trebuchet MS" w:cs="Times New Roman"/>
                <w:noProof/>
                <w:sz w:val="20"/>
                <w:szCs w:val="20"/>
              </w:rPr>
              <w:t xml:space="preserve">i litteraturlisten. </w:t>
            </w:r>
          </w:p>
          <w:p w14:paraId="6156421B"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er en kopi, duplikat eller avskrift av andres arbeid eller besvarelse. </w:t>
            </w:r>
          </w:p>
        </w:tc>
        <w:tc>
          <w:tcPr>
            <w:tcW w:w="1502" w:type="dxa"/>
            <w:shd w:val="clear" w:color="auto" w:fill="F2F2F2"/>
          </w:tcPr>
          <w:p w14:paraId="6156421C" w14:textId="77777777" w:rsidR="00F45737" w:rsidRPr="009758A0" w:rsidRDefault="00F45737" w:rsidP="009758A0">
            <w:pPr>
              <w:rPr>
                <w:rFonts w:ascii="Trebuchet MS" w:hAnsi="Trebuchet MS" w:cs="Times New Roman"/>
                <w:sz w:val="20"/>
                <w:szCs w:val="20"/>
              </w:rPr>
            </w:pPr>
          </w:p>
          <w:p w14:paraId="6156421D" w14:textId="77777777" w:rsidR="00F45737" w:rsidRPr="009758A0" w:rsidRDefault="00F45737" w:rsidP="009758A0">
            <w:pPr>
              <w:rPr>
                <w:rFonts w:ascii="Trebuchet MS" w:hAnsi="Trebuchet MS" w:cs="Times New Roman"/>
                <w:sz w:val="20"/>
                <w:szCs w:val="20"/>
              </w:rPr>
            </w:pPr>
          </w:p>
          <w:p w14:paraId="6156421E" w14:textId="77777777" w:rsidR="00F45737" w:rsidRPr="009758A0" w:rsidRDefault="00F45737" w:rsidP="009758A0">
            <w:pPr>
              <w:rPr>
                <w:rFonts w:ascii="Trebuchet MS" w:hAnsi="Trebuchet MS" w:cs="Times New Roman"/>
                <w:sz w:val="20"/>
                <w:szCs w:val="20"/>
              </w:rPr>
            </w:pPr>
          </w:p>
          <w:p w14:paraId="6156421F" w14:textId="77777777" w:rsidR="00F45737" w:rsidRPr="009758A0" w:rsidRDefault="00F45737" w:rsidP="009758A0">
            <w:pPr>
              <w:rPr>
                <w:rFonts w:ascii="Trebuchet MS" w:hAnsi="Trebuchet MS" w:cs="Times New Roman"/>
                <w:sz w:val="20"/>
                <w:szCs w:val="20"/>
              </w:rPr>
            </w:pPr>
          </w:p>
          <w:p w14:paraId="61564220" w14:textId="77777777" w:rsidR="00F45737" w:rsidRPr="009758A0" w:rsidRDefault="00F45737" w:rsidP="009758A0">
            <w:pPr>
              <w:rPr>
                <w:rFonts w:ascii="Trebuchet MS" w:hAnsi="Trebuchet MS" w:cs="Times New Roman"/>
                <w:sz w:val="20"/>
                <w:szCs w:val="20"/>
              </w:rPr>
            </w:pPr>
          </w:p>
          <w:p w14:paraId="61564221" w14:textId="77777777" w:rsidR="00F45737" w:rsidRPr="009758A0" w:rsidRDefault="00F45737" w:rsidP="009758A0">
            <w:pPr>
              <w:rPr>
                <w:rFonts w:ascii="Trebuchet MS" w:hAnsi="Trebuchet MS" w:cs="Times New Roman"/>
                <w:sz w:val="20"/>
                <w:szCs w:val="20"/>
              </w:rPr>
            </w:pPr>
          </w:p>
          <w:p w14:paraId="61564222" w14:textId="77777777" w:rsidR="00424468" w:rsidRPr="009758A0" w:rsidRDefault="00424468" w:rsidP="009758A0">
            <w:pPr>
              <w:rPr>
                <w:rFonts w:ascii="Trebuchet MS" w:hAnsi="Trebuchet MS" w:cs="Times New Roman"/>
                <w:sz w:val="20"/>
                <w:szCs w:val="20"/>
              </w:rPr>
            </w:pPr>
          </w:p>
          <w:p w14:paraId="61564223" w14:textId="77777777"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2B" w14:textId="77777777" w:rsidTr="009758A0">
        <w:trPr>
          <w:trHeight w:val="1444"/>
        </w:trPr>
        <w:tc>
          <w:tcPr>
            <w:tcW w:w="407" w:type="dxa"/>
            <w:shd w:val="clear" w:color="auto" w:fill="F2F2F2"/>
          </w:tcPr>
          <w:p w14:paraId="61564225" w14:textId="77777777" w:rsidR="00F45737"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3</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61564226" w14:textId="77777777" w:rsidR="00C642BF"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 xml:space="preserve">Jeg/vi er kjent med at brudd på ovennevnte er å </w:t>
            </w:r>
            <w:r w:rsidRPr="009758A0">
              <w:rPr>
                <w:rFonts w:ascii="Trebuchet MS" w:hAnsi="Trebuchet MS" w:cs="Times New Roman"/>
                <w:b/>
                <w:color w:val="333333"/>
                <w:sz w:val="20"/>
                <w:szCs w:val="20"/>
                <w:u w:val="single"/>
                <w:lang w:eastAsia="nb-NO" w:bidi="ar-SA"/>
              </w:rPr>
              <w:t>betrakte som fusk</w:t>
            </w:r>
            <w:r w:rsidRPr="009758A0">
              <w:rPr>
                <w:rFonts w:ascii="Trebuchet MS" w:hAnsi="Trebuchet MS" w:cs="Times New Roman"/>
                <w:b/>
                <w:color w:val="333333"/>
                <w:sz w:val="20"/>
                <w:szCs w:val="20"/>
                <w:lang w:eastAsia="nb-NO" w:bidi="ar-SA"/>
              </w:rPr>
              <w:t xml:space="preserve"> og kan medføre annullering av eksamen og utestengelse fra universiteter og høgskoler i Norge, jf. </w:t>
            </w:r>
            <w:hyperlink r:id="rId15" w:history="1">
              <w:r w:rsidRPr="009758A0">
                <w:rPr>
                  <w:rStyle w:val="Hyperkobling"/>
                  <w:rFonts w:ascii="Trebuchet MS" w:hAnsi="Trebuchet MS" w:cs="Times New Roman"/>
                  <w:b/>
                  <w:sz w:val="20"/>
                  <w:szCs w:val="20"/>
                  <w:lang w:eastAsia="nb-NO" w:bidi="ar-SA"/>
                </w:rPr>
                <w:t>Universitets- og høgskoleloven</w:t>
              </w:r>
            </w:hyperlink>
            <w:r w:rsidRPr="009758A0">
              <w:rPr>
                <w:rFonts w:ascii="Trebuchet MS" w:hAnsi="Trebuchet MS" w:cs="Times New Roman"/>
                <w:b/>
                <w:color w:val="333333"/>
                <w:sz w:val="20"/>
                <w:szCs w:val="20"/>
                <w:lang w:eastAsia="nb-NO" w:bidi="ar-SA"/>
              </w:rPr>
              <w:t xml:space="preserve"> §§4-7 og 4-8 og </w:t>
            </w:r>
            <w:hyperlink r:id="rId16" w:history="1">
              <w:r w:rsidRPr="009758A0">
                <w:rPr>
                  <w:rStyle w:val="Hyperkobling"/>
                  <w:rFonts w:ascii="Trebuchet MS" w:hAnsi="Trebuchet MS" w:cs="Times New Roman"/>
                  <w:b/>
                  <w:sz w:val="20"/>
                  <w:szCs w:val="20"/>
                  <w:lang w:eastAsia="nb-NO" w:bidi="ar-SA"/>
                </w:rPr>
                <w:t>Forskrift om eksamen</w:t>
              </w:r>
            </w:hyperlink>
            <w:r w:rsidRPr="009758A0">
              <w:rPr>
                <w:rFonts w:ascii="Trebuchet MS" w:hAnsi="Trebuchet MS" w:cs="Times New Roman"/>
                <w:b/>
                <w:color w:val="333333"/>
                <w:sz w:val="20"/>
                <w:szCs w:val="20"/>
                <w:lang w:eastAsia="nb-NO" w:bidi="ar-SA"/>
              </w:rPr>
              <w:t xml:space="preserve"> §§14 og 15. </w:t>
            </w:r>
          </w:p>
        </w:tc>
        <w:tc>
          <w:tcPr>
            <w:tcW w:w="1502" w:type="dxa"/>
            <w:shd w:val="clear" w:color="auto" w:fill="F2F2F2"/>
          </w:tcPr>
          <w:p w14:paraId="61564227" w14:textId="77777777" w:rsidR="00F45737" w:rsidRPr="009758A0" w:rsidRDefault="00F45737" w:rsidP="009758A0">
            <w:pPr>
              <w:rPr>
                <w:rFonts w:ascii="Trebuchet MS" w:hAnsi="Trebuchet MS" w:cs="Times New Roman"/>
                <w:sz w:val="20"/>
                <w:szCs w:val="20"/>
              </w:rPr>
            </w:pPr>
          </w:p>
          <w:p w14:paraId="61564228" w14:textId="77777777" w:rsidR="00F45737" w:rsidRPr="009758A0" w:rsidRDefault="00F45737" w:rsidP="009758A0">
            <w:pPr>
              <w:rPr>
                <w:rFonts w:ascii="Trebuchet MS" w:hAnsi="Trebuchet MS" w:cs="Times New Roman"/>
                <w:sz w:val="20"/>
                <w:szCs w:val="20"/>
              </w:rPr>
            </w:pPr>
          </w:p>
          <w:p w14:paraId="61564229" w14:textId="77777777" w:rsidR="00C642BF" w:rsidRPr="009758A0" w:rsidRDefault="00C642BF" w:rsidP="009758A0">
            <w:pPr>
              <w:rPr>
                <w:rFonts w:ascii="Trebuchet MS" w:hAnsi="Trebuchet MS" w:cs="Times New Roman"/>
                <w:sz w:val="20"/>
                <w:szCs w:val="20"/>
              </w:rPr>
            </w:pPr>
          </w:p>
          <w:p w14:paraId="6156422A" w14:textId="77777777"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31" w14:textId="77777777" w:rsidTr="009758A0">
        <w:trPr>
          <w:trHeight w:val="1131"/>
        </w:trPr>
        <w:tc>
          <w:tcPr>
            <w:tcW w:w="407" w:type="dxa"/>
            <w:shd w:val="clear" w:color="auto" w:fill="F2F2F2"/>
          </w:tcPr>
          <w:p w14:paraId="6156422C" w14:textId="77777777" w:rsidR="00F45737"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4</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6156422D" w14:textId="77777777" w:rsidR="00F45737" w:rsidRPr="009758A0" w:rsidRDefault="00F45737" w:rsidP="00214E29">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Jeg/vi er kjent med at alle innleverte oppgaver kan bli plagi</w:t>
            </w:r>
            <w:r w:rsidR="004F5264" w:rsidRPr="009758A0">
              <w:rPr>
                <w:rFonts w:ascii="Trebuchet MS" w:hAnsi="Trebuchet MS" w:cs="Times New Roman"/>
                <w:b/>
                <w:color w:val="333333"/>
                <w:sz w:val="20"/>
                <w:szCs w:val="20"/>
                <w:lang w:eastAsia="nb-NO" w:bidi="ar-SA"/>
              </w:rPr>
              <w:t xml:space="preserve">atkontrollert i </w:t>
            </w:r>
            <w:r w:rsidR="00214E29">
              <w:rPr>
                <w:rFonts w:ascii="Trebuchet MS" w:hAnsi="Trebuchet MS" w:cs="Times New Roman"/>
                <w:b/>
                <w:color w:val="333333"/>
                <w:sz w:val="20"/>
                <w:szCs w:val="20"/>
                <w:lang w:eastAsia="nb-NO" w:bidi="ar-SA"/>
              </w:rPr>
              <w:t>URKUND</w:t>
            </w:r>
            <w:r w:rsidR="004F5264" w:rsidRPr="009758A0">
              <w:rPr>
                <w:rFonts w:ascii="Trebuchet MS" w:hAnsi="Trebuchet MS" w:cs="Times New Roman"/>
                <w:b/>
                <w:color w:val="333333"/>
                <w:sz w:val="20"/>
                <w:szCs w:val="20"/>
                <w:lang w:eastAsia="nb-NO" w:bidi="ar-SA"/>
              </w:rPr>
              <w:t>, se</w:t>
            </w:r>
            <w:r w:rsidRPr="009758A0">
              <w:rPr>
                <w:rFonts w:ascii="Trebuchet MS" w:hAnsi="Trebuchet MS" w:cs="Times New Roman"/>
                <w:b/>
                <w:color w:val="333333"/>
                <w:sz w:val="20"/>
                <w:szCs w:val="20"/>
                <w:lang w:eastAsia="nb-NO" w:bidi="ar-SA"/>
              </w:rPr>
              <w:t xml:space="preserve"> </w:t>
            </w:r>
            <w:hyperlink r:id="rId17" w:history="1">
              <w:r w:rsidRPr="009758A0">
                <w:rPr>
                  <w:rStyle w:val="Hyperkobling"/>
                  <w:rFonts w:ascii="Trebuchet MS" w:hAnsi="Trebuchet MS" w:cs="Times New Roman"/>
                  <w:b/>
                  <w:sz w:val="20"/>
                  <w:szCs w:val="20"/>
                  <w:lang w:eastAsia="nb-NO" w:bidi="ar-SA"/>
                </w:rPr>
                <w:t>Retningslinjer for elektronisk innlevering og publisering av studiepoenggivende studentoppgaver</w:t>
              </w:r>
            </w:hyperlink>
          </w:p>
        </w:tc>
        <w:tc>
          <w:tcPr>
            <w:tcW w:w="1502" w:type="dxa"/>
            <w:shd w:val="clear" w:color="auto" w:fill="F2F2F2"/>
          </w:tcPr>
          <w:p w14:paraId="6156422E" w14:textId="77777777" w:rsidR="00F45737" w:rsidRPr="009758A0" w:rsidRDefault="00F45737" w:rsidP="009758A0">
            <w:pPr>
              <w:rPr>
                <w:rFonts w:ascii="Trebuchet MS" w:hAnsi="Trebuchet MS" w:cs="Times New Roman"/>
                <w:sz w:val="20"/>
                <w:szCs w:val="20"/>
              </w:rPr>
            </w:pPr>
          </w:p>
          <w:p w14:paraId="6156422F" w14:textId="77777777" w:rsidR="0099615A" w:rsidRPr="009758A0" w:rsidRDefault="0099615A" w:rsidP="009758A0">
            <w:pPr>
              <w:rPr>
                <w:rFonts w:ascii="Trebuchet MS" w:hAnsi="Trebuchet MS" w:cs="Times New Roman"/>
                <w:sz w:val="20"/>
                <w:szCs w:val="20"/>
              </w:rPr>
            </w:pPr>
          </w:p>
          <w:p w14:paraId="61564230" w14:textId="77777777"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37" w14:textId="77777777" w:rsidTr="009758A0">
        <w:trPr>
          <w:trHeight w:val="1131"/>
        </w:trPr>
        <w:tc>
          <w:tcPr>
            <w:tcW w:w="407" w:type="dxa"/>
            <w:shd w:val="clear" w:color="auto" w:fill="F2F2F2"/>
          </w:tcPr>
          <w:p w14:paraId="61564232" w14:textId="77777777" w:rsidR="0055544F"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5.</w:t>
            </w:r>
          </w:p>
        </w:tc>
        <w:tc>
          <w:tcPr>
            <w:tcW w:w="7075" w:type="dxa"/>
            <w:shd w:val="clear" w:color="auto" w:fill="F2F2F2"/>
          </w:tcPr>
          <w:p w14:paraId="61564233" w14:textId="77777777" w:rsidR="0055544F"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 xml:space="preserve">Jeg/vi er kjent med at høgskolen vil behandle alle saker hvor det forligger mistanke om fusk etter høgskolens </w:t>
            </w:r>
            <w:hyperlink r:id="rId18" w:history="1">
              <w:r w:rsidRPr="009758A0">
                <w:rPr>
                  <w:rStyle w:val="Hyperkobling"/>
                  <w:rFonts w:ascii="Trebuchet MS" w:hAnsi="Trebuchet MS" w:cs="Times New Roman"/>
                  <w:b/>
                  <w:sz w:val="20"/>
                  <w:szCs w:val="20"/>
                  <w:lang w:eastAsia="nb-NO" w:bidi="ar-SA"/>
                </w:rPr>
                <w:t>retningslinjer for behandling av saker om fusk</w:t>
              </w:r>
            </w:hyperlink>
          </w:p>
        </w:tc>
        <w:tc>
          <w:tcPr>
            <w:tcW w:w="1502" w:type="dxa"/>
            <w:shd w:val="clear" w:color="auto" w:fill="F2F2F2"/>
          </w:tcPr>
          <w:p w14:paraId="61564234" w14:textId="77777777" w:rsidR="0055544F" w:rsidRPr="009758A0" w:rsidRDefault="0055544F" w:rsidP="009758A0">
            <w:pPr>
              <w:rPr>
                <w:rFonts w:ascii="Trebuchet MS" w:hAnsi="Trebuchet MS" w:cs="Times New Roman"/>
                <w:b/>
                <w:sz w:val="20"/>
                <w:szCs w:val="20"/>
              </w:rPr>
            </w:pPr>
          </w:p>
          <w:p w14:paraId="61564235" w14:textId="77777777" w:rsidR="0055544F" w:rsidRPr="009758A0" w:rsidRDefault="0055544F" w:rsidP="009758A0">
            <w:pPr>
              <w:rPr>
                <w:rFonts w:ascii="Trebuchet MS" w:hAnsi="Trebuchet MS" w:cs="Times New Roman"/>
                <w:b/>
                <w:sz w:val="20"/>
                <w:szCs w:val="20"/>
              </w:rPr>
            </w:pPr>
          </w:p>
          <w:p w14:paraId="61564236" w14:textId="77777777" w:rsidR="0055544F" w:rsidRPr="009758A0" w:rsidRDefault="0055544F" w:rsidP="00955329">
            <w:pPr>
              <w:rPr>
                <w:rFonts w:ascii="Trebuchet MS" w:hAnsi="Trebuchet MS" w:cs="Times New Roman"/>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3C" w14:textId="77777777" w:rsidTr="009758A0">
        <w:trPr>
          <w:trHeight w:val="805"/>
        </w:trPr>
        <w:tc>
          <w:tcPr>
            <w:tcW w:w="407" w:type="dxa"/>
            <w:shd w:val="clear" w:color="auto" w:fill="F2F2F2"/>
          </w:tcPr>
          <w:p w14:paraId="61564238" w14:textId="77777777" w:rsidR="00F45737"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6</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61564239" w14:textId="77777777" w:rsidR="00F45737" w:rsidRPr="009758A0" w:rsidRDefault="0099615A" w:rsidP="009758A0">
            <w:pPr>
              <w:rPr>
                <w:rFonts w:ascii="Trebuchet MS" w:hAnsi="Trebuchet MS" w:cs="Times New Roman"/>
                <w:b/>
                <w:sz w:val="20"/>
                <w:szCs w:val="20"/>
              </w:rPr>
            </w:pPr>
            <w:r w:rsidRPr="009758A0">
              <w:rPr>
                <w:rFonts w:ascii="Trebuchet MS" w:eastAsia="Arial Unicode MS" w:hAnsi="Trebuchet MS" w:cs="Times New Roman"/>
                <w:b/>
                <w:noProof/>
                <w:sz w:val="20"/>
                <w:szCs w:val="20"/>
              </w:rPr>
              <w:t xml:space="preserve">Jeg/vi har </w:t>
            </w:r>
            <w:r w:rsidRPr="009758A0">
              <w:rPr>
                <w:rFonts w:ascii="Trebuchet MS" w:hAnsi="Trebuchet MS" w:cs="Times New Roman"/>
                <w:b/>
                <w:sz w:val="20"/>
                <w:szCs w:val="20"/>
              </w:rPr>
              <w:t xml:space="preserve">satt oss inn i regler og retningslinjer i bruk av </w:t>
            </w:r>
            <w:hyperlink r:id="rId19" w:history="1">
              <w:r w:rsidRPr="004C7BA6">
                <w:rPr>
                  <w:rStyle w:val="Hyperkobling"/>
                  <w:rFonts w:ascii="Trebuchet MS" w:hAnsi="Trebuchet MS" w:cs="Times New Roman"/>
                  <w:b/>
                  <w:sz w:val="20"/>
                  <w:szCs w:val="20"/>
                </w:rPr>
                <w:t>kilder og referanser på biblioteket sine nettsider</w:t>
              </w:r>
            </w:hyperlink>
          </w:p>
        </w:tc>
        <w:tc>
          <w:tcPr>
            <w:tcW w:w="1502" w:type="dxa"/>
            <w:shd w:val="clear" w:color="auto" w:fill="F2F2F2"/>
          </w:tcPr>
          <w:p w14:paraId="6156423A" w14:textId="77777777" w:rsidR="0055544F" w:rsidRPr="009758A0" w:rsidRDefault="0055544F" w:rsidP="009758A0">
            <w:pPr>
              <w:rPr>
                <w:rFonts w:ascii="Trebuchet MS" w:hAnsi="Trebuchet MS" w:cs="Times New Roman"/>
                <w:b/>
                <w:sz w:val="20"/>
                <w:szCs w:val="20"/>
              </w:rPr>
            </w:pPr>
          </w:p>
          <w:p w14:paraId="6156423B" w14:textId="77777777"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bl>
    <w:p w14:paraId="6156423D" w14:textId="77777777" w:rsidR="004F5264" w:rsidRPr="004F5264" w:rsidRDefault="004F5264" w:rsidP="004F5264">
      <w:pPr>
        <w:rPr>
          <w:rFonts w:ascii="Trebuchet MS" w:hAnsi="Trebuchet MS" w:cs="Arial"/>
          <w:bCs/>
          <w:spacing w:val="-4"/>
          <w:w w:val="101"/>
          <w:sz w:val="18"/>
          <w:szCs w:val="18"/>
        </w:rPr>
      </w:pPr>
    </w:p>
    <w:p w14:paraId="6156423E" w14:textId="77777777" w:rsidR="004F5264" w:rsidRPr="004F5264" w:rsidRDefault="004F5264" w:rsidP="004F5264">
      <w:pPr>
        <w:rPr>
          <w:rFonts w:ascii="Trebuchet MS" w:hAnsi="Trebuchet MS" w:cs="Arial"/>
          <w:bCs/>
          <w:spacing w:val="-4"/>
          <w:w w:val="101"/>
          <w:sz w:val="18"/>
          <w:szCs w:val="18"/>
        </w:rPr>
      </w:pPr>
    </w:p>
    <w:p w14:paraId="6156423F" w14:textId="77777777" w:rsidR="004F5264" w:rsidRDefault="004F5264" w:rsidP="006B0F3E">
      <w:pPr>
        <w:rPr>
          <w:rFonts w:ascii="Arial" w:hAnsi="Arial" w:cs="Arial"/>
          <w:b/>
          <w:bCs/>
          <w:spacing w:val="-4"/>
          <w:w w:val="101"/>
          <w:sz w:val="32"/>
          <w:szCs w:val="32"/>
        </w:rPr>
        <w:sectPr w:rsidR="004F5264" w:rsidSect="00C90D42">
          <w:footerReference w:type="default" r:id="rId35"/>
          <w:pgSz w:w="11907" w:h="16840"/>
          <w:pgMar w:top="1417" w:right="1417" w:bottom="1417" w:left="1701" w:header="720" w:footer="403" w:gutter="0"/>
          <w:cols w:space="720"/>
          <w:titlePg/>
        </w:sectPr>
      </w:pPr>
    </w:p>
    <w:p w14:paraId="61564240" w14:textId="77777777" w:rsidR="00587456" w:rsidRDefault="00587456" w:rsidP="00587456">
      <w:pPr>
        <w:rPr>
          <w:rFonts w:ascii="Arial" w:hAnsi="Arial" w:cs="Arial"/>
          <w:b/>
          <w:bCs/>
          <w:spacing w:val="-4"/>
          <w:w w:val="101"/>
          <w:sz w:val="32"/>
          <w:szCs w:val="32"/>
        </w:rPr>
      </w:pPr>
      <w:r>
        <w:rPr>
          <w:rFonts w:ascii="Arial" w:hAnsi="Arial" w:cs="Arial"/>
          <w:b/>
          <w:bCs/>
          <w:spacing w:val="-4"/>
          <w:w w:val="101"/>
          <w:sz w:val="32"/>
          <w:szCs w:val="32"/>
        </w:rPr>
        <w:lastRenderedPageBreak/>
        <w:t>Personvern</w:t>
      </w:r>
    </w:p>
    <w:p w14:paraId="61564241" w14:textId="77777777" w:rsidR="00587456" w:rsidRDefault="00587456" w:rsidP="00587456">
      <w:pPr>
        <w:rPr>
          <w:rFonts w:ascii="Arial" w:hAnsi="Arial" w:cs="Arial"/>
          <w:b/>
          <w:bCs/>
          <w:spacing w:val="-4"/>
          <w:w w:val="101"/>
          <w:sz w:val="32"/>
          <w:szCs w:val="32"/>
        </w:rPr>
      </w:pPr>
    </w:p>
    <w:p w14:paraId="61564242"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Arial"/>
          <w:b/>
          <w:sz w:val="28"/>
          <w:szCs w:val="28"/>
        </w:rPr>
        <w:t>Personopplysningsloven</w:t>
      </w:r>
    </w:p>
    <w:p w14:paraId="61564243" w14:textId="77777777" w:rsidR="0085085B"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cs="Times New Roman"/>
          <w:sz w:val="22"/>
          <w:szCs w:val="22"/>
        </w:rPr>
        <w:t>Forskningsprosjekt som innebærer behandling av personopplysninger iht. Personopplysningsloven skal meldes til Norsk senter for forskningsdata, NSD, for vurdering</w:t>
      </w:r>
      <w:r w:rsidR="0085085B">
        <w:rPr>
          <w:rFonts w:cs="Times New Roman"/>
          <w:sz w:val="22"/>
          <w:szCs w:val="22"/>
        </w:rPr>
        <w:t>.</w:t>
      </w:r>
    </w:p>
    <w:p w14:paraId="61564244" w14:textId="77777777" w:rsidR="0085085B" w:rsidRP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p>
    <w:p w14:paraId="61564245" w14:textId="5961E6CF"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Times New Roman"/>
          <w:b/>
          <w:sz w:val="20"/>
          <w:szCs w:val="20"/>
        </w:rPr>
        <w:t>Har oppgaven vært vurdert av NSD?</w:t>
      </w:r>
      <w:r w:rsidRPr="0055544F">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val="0"/>
            </w:checkBox>
          </w:ffData>
        </w:fldChar>
      </w:r>
      <w:r w:rsidRPr="0055544F">
        <w:rPr>
          <w:rFonts w:ascii="Trebuchet MS" w:hAnsi="Trebuchet MS" w:cs="Times New Roman"/>
          <w:sz w:val="20"/>
          <w:szCs w:val="20"/>
        </w:rPr>
        <w:instrText xml:space="preserve"> FORMCHECKBOX </w:instrText>
      </w:r>
      <w:r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ed w:val="0"/>
            </w:checkBox>
          </w:ffData>
        </w:fldChar>
      </w:r>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r w:rsidRPr="0055544F">
        <w:rPr>
          <w:rFonts w:ascii="Trebuchet MS" w:hAnsi="Trebuchet MS" w:cs="Times New Roman"/>
          <w:b/>
          <w:sz w:val="20"/>
          <w:szCs w:val="20"/>
        </w:rPr>
        <w:t>nei</w:t>
      </w:r>
    </w:p>
    <w:p w14:paraId="61564246"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61564247" w14:textId="77777777"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rebuchet MS" w:hAnsi="Trebuchet MS" w:cs="Times New Roman"/>
          <w:b/>
          <w:sz w:val="20"/>
          <w:szCs w:val="20"/>
        </w:rPr>
        <w:t>Referansenummer:</w:t>
      </w:r>
      <w:r w:rsidRPr="0055544F">
        <w:rPr>
          <w:rFonts w:ascii="Trebuchet MS" w:hAnsi="Trebuchet MS" w:cs="Times New Roman"/>
          <w:b/>
          <w:sz w:val="20"/>
          <w:szCs w:val="20"/>
        </w:rPr>
        <w:t xml:space="preserve"> </w:t>
      </w:r>
      <w:r w:rsidRPr="0055544F">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55544F">
        <w:rPr>
          <w:rFonts w:ascii="Trebuchet MS" w:hAnsi="Trebuchet MS" w:cs="Times New Roman"/>
          <w:b/>
          <w:sz w:val="20"/>
          <w:szCs w:val="20"/>
        </w:rPr>
        <w:instrText xml:space="preserve"> FORMTEXT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sidRPr="0055544F">
        <w:rPr>
          <w:rFonts w:ascii="Trebuchet MS" w:hAnsi="Trebuchet MS" w:cs="Times New Roman"/>
          <w:b/>
          <w:sz w:val="20"/>
          <w:szCs w:val="20"/>
        </w:rPr>
        <w:fldChar w:fldCharType="end"/>
      </w:r>
    </w:p>
    <w:p w14:paraId="61564248"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Pr>
          <w:rFonts w:ascii="Trebuchet MS" w:hAnsi="Trebuchet MS" w:cs="Times New Roman"/>
          <w:sz w:val="20"/>
          <w:szCs w:val="20"/>
        </w:rPr>
        <w:t>- Hvis nei</w:t>
      </w:r>
      <w:r w:rsidRPr="0055544F">
        <w:rPr>
          <w:rFonts w:ascii="Trebuchet MS" w:hAnsi="Trebuchet MS" w:cs="Times New Roman"/>
          <w:sz w:val="20"/>
          <w:szCs w:val="20"/>
        </w:rPr>
        <w:t xml:space="preserve">: </w:t>
      </w:r>
    </w:p>
    <w:p w14:paraId="61564249"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956D5C">
        <w:rPr>
          <w:rFonts w:ascii="Trebuchet MS" w:hAnsi="Trebuchet MS" w:cs="Times New Roman"/>
          <w:b/>
          <w:sz w:val="20"/>
          <w:szCs w:val="20"/>
        </w:rPr>
        <w:t>Jeg/vi erklærer at oppgaven ikke</w:t>
      </w:r>
      <w:r>
        <w:rPr>
          <w:rFonts w:ascii="Trebuchet MS" w:hAnsi="Trebuchet MS" w:cs="Times New Roman"/>
          <w:b/>
          <w:sz w:val="20"/>
          <w:szCs w:val="20"/>
        </w:rPr>
        <w:t xml:space="preserve"> omfattes av Personopplysningsloven: </w:t>
      </w: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r w:rsidRPr="00956D5C">
        <w:rPr>
          <w:rFonts w:ascii="Trebuchet MS" w:hAnsi="Trebuchet MS" w:cs="Times New Roman"/>
          <w:b/>
          <w:sz w:val="20"/>
          <w:szCs w:val="20"/>
        </w:rPr>
        <w:tab/>
      </w:r>
    </w:p>
    <w:p w14:paraId="6156424A"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4B" w14:textId="77777777" w:rsidR="00587456" w:rsidRP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Arial"/>
          <w:b/>
          <w:sz w:val="28"/>
          <w:szCs w:val="28"/>
        </w:rPr>
        <w:t>Helseforskningsloven</w:t>
      </w:r>
    </w:p>
    <w:p w14:paraId="6156424C"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cs="Times New Roman"/>
          <w:sz w:val="22"/>
          <w:szCs w:val="22"/>
        </w:rPr>
        <w:t xml:space="preserve">Dersom prosjektet faller inn under </w:t>
      </w:r>
      <w:r w:rsidRPr="0085085B">
        <w:rPr>
          <w:rFonts w:cs="Times New Roman"/>
          <w:sz w:val="22"/>
          <w:szCs w:val="22"/>
        </w:rPr>
        <w:t>Helseforskningsloven</w:t>
      </w:r>
      <w:r>
        <w:rPr>
          <w:rFonts w:cs="Times New Roman"/>
          <w:sz w:val="22"/>
          <w:szCs w:val="22"/>
        </w:rPr>
        <w:t>, skal det også søkes om forhåndsgodkjenning fra Regionale komiteer for medisinsk og helsefaglig forskningsetikk, REK, i din region.</w:t>
      </w:r>
    </w:p>
    <w:p w14:paraId="6156424D"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p>
    <w:p w14:paraId="6156424E" w14:textId="77777777"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587456">
        <w:rPr>
          <w:rFonts w:ascii="Trebuchet MS" w:hAnsi="Trebuchet MS" w:cs="Times New Roman"/>
          <w:b/>
          <w:sz w:val="20"/>
          <w:szCs w:val="20"/>
        </w:rPr>
        <w:t>Har oppga</w:t>
      </w:r>
      <w:r>
        <w:rPr>
          <w:rFonts w:ascii="Trebuchet MS" w:hAnsi="Trebuchet MS" w:cs="Times New Roman"/>
          <w:b/>
          <w:sz w:val="20"/>
          <w:szCs w:val="20"/>
        </w:rPr>
        <w:t>ven vært til behandling hos REK?</w:t>
      </w:r>
      <w:r w:rsidRPr="0055544F">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val="0"/>
            </w:checkBox>
          </w:ffData>
        </w:fldChar>
      </w:r>
      <w:r w:rsidRPr="0055544F">
        <w:rPr>
          <w:rFonts w:ascii="Trebuchet MS" w:hAnsi="Trebuchet MS" w:cs="Times New Roman"/>
          <w:sz w:val="20"/>
          <w:szCs w:val="20"/>
        </w:rPr>
        <w:instrText xml:space="preserve"> FORMCHECKBOX </w:instrText>
      </w:r>
      <w:r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ed w:val="0"/>
            </w:checkBox>
          </w:ffData>
        </w:fldChar>
      </w:r>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r w:rsidRPr="0055544F">
        <w:rPr>
          <w:rFonts w:ascii="Trebuchet MS" w:hAnsi="Trebuchet MS" w:cs="Times New Roman"/>
          <w:b/>
          <w:sz w:val="20"/>
          <w:szCs w:val="20"/>
        </w:rPr>
        <w:t>nei</w:t>
      </w:r>
    </w:p>
    <w:p w14:paraId="6156424F"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61564250"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rebuchet MS" w:hAnsi="Trebuchet MS" w:cs="Times New Roman"/>
          <w:b/>
          <w:sz w:val="20"/>
          <w:szCs w:val="20"/>
        </w:rPr>
        <w:t>Referansenummer:</w:t>
      </w:r>
      <w:r w:rsidRPr="0055544F">
        <w:rPr>
          <w:rFonts w:ascii="Trebuchet MS" w:hAnsi="Trebuchet MS" w:cs="Times New Roman"/>
          <w:b/>
          <w:sz w:val="20"/>
          <w:szCs w:val="20"/>
        </w:rPr>
        <w:t xml:space="preserve"> </w:t>
      </w:r>
      <w:r w:rsidRPr="0055544F">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55544F">
        <w:rPr>
          <w:rFonts w:ascii="Trebuchet MS" w:hAnsi="Trebuchet MS" w:cs="Times New Roman"/>
          <w:b/>
          <w:sz w:val="20"/>
          <w:szCs w:val="20"/>
        </w:rPr>
        <w:instrText xml:space="preserve"> FORMTEXT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sidRPr="0055544F">
        <w:rPr>
          <w:rFonts w:ascii="Trebuchet MS" w:hAnsi="Trebuchet MS" w:cs="Times New Roman"/>
          <w:b/>
          <w:sz w:val="20"/>
          <w:szCs w:val="20"/>
        </w:rPr>
        <w:fldChar w:fldCharType="end"/>
      </w:r>
    </w:p>
    <w:p w14:paraId="61564251" w14:textId="77777777" w:rsidR="0085085B" w:rsidRPr="00956D5C"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52" w14:textId="77777777" w:rsidR="00587456" w:rsidRPr="0019127E" w:rsidRDefault="00587456" w:rsidP="00587456">
      <w:pPr>
        <w:rPr>
          <w:rFonts w:ascii="Trebuchet MS" w:hAnsi="Trebuchet MS" w:cs="Arial"/>
          <w:bCs/>
          <w:spacing w:val="-4"/>
          <w:w w:val="101"/>
        </w:rPr>
      </w:pPr>
    </w:p>
    <w:p w14:paraId="61564253" w14:textId="77777777" w:rsidR="00587456" w:rsidRDefault="00587456" w:rsidP="00587456">
      <w:pPr>
        <w:rPr>
          <w:rFonts w:ascii="Arial" w:hAnsi="Arial" w:cs="Arial"/>
          <w:b/>
          <w:bCs/>
          <w:spacing w:val="-4"/>
          <w:w w:val="101"/>
          <w:sz w:val="32"/>
          <w:szCs w:val="32"/>
        </w:rPr>
        <w:sectPr w:rsidR="00587456" w:rsidSect="00C90D42">
          <w:footerReference w:type="default" r:id="rId36"/>
          <w:pgSz w:w="11907" w:h="16840"/>
          <w:pgMar w:top="1417" w:right="1417" w:bottom="1417" w:left="1701" w:header="720" w:footer="403" w:gutter="0"/>
          <w:cols w:space="720"/>
          <w:titlePg/>
        </w:sectPr>
      </w:pPr>
    </w:p>
    <w:p w14:paraId="61564254" w14:textId="77777777" w:rsidR="00587456" w:rsidRDefault="00587456" w:rsidP="00587456">
      <w:pPr>
        <w:rPr>
          <w:rFonts w:ascii="Arial" w:hAnsi="Arial" w:cs="Arial"/>
          <w:b/>
          <w:bCs/>
          <w:spacing w:val="-4"/>
          <w:w w:val="101"/>
          <w:sz w:val="32"/>
          <w:szCs w:val="32"/>
        </w:rPr>
      </w:pPr>
      <w:r w:rsidRPr="00D94764">
        <w:rPr>
          <w:rFonts w:ascii="Arial" w:hAnsi="Arial" w:cs="Arial"/>
          <w:b/>
          <w:bCs/>
          <w:spacing w:val="-4"/>
          <w:w w:val="101"/>
          <w:sz w:val="32"/>
          <w:szCs w:val="32"/>
        </w:rPr>
        <w:lastRenderedPageBreak/>
        <w:t>Publiseringsavtale</w:t>
      </w:r>
    </w:p>
    <w:p w14:paraId="61564255" w14:textId="77777777" w:rsidR="00587456" w:rsidRPr="00ED74AA" w:rsidRDefault="00587456" w:rsidP="00587456">
      <w:pPr>
        <w:rPr>
          <w:rFonts w:ascii="Arial" w:hAnsi="Arial" w:cs="Arial"/>
          <w:b/>
          <w:bCs/>
          <w:spacing w:val="-4"/>
          <w:w w:val="101"/>
          <w:sz w:val="32"/>
          <w:szCs w:val="32"/>
        </w:rPr>
      </w:pPr>
    </w:p>
    <w:p w14:paraId="61564256" w14:textId="77777777" w:rsidR="00587456" w:rsidRPr="0055544F" w:rsidRDefault="00587456" w:rsidP="00587456">
      <w:pPr>
        <w:rPr>
          <w:rFonts w:ascii="Trebuchet MS" w:hAnsi="Trebuchet MS" w:cs="Times New Roman"/>
          <w:b/>
        </w:rPr>
      </w:pPr>
      <w:r>
        <w:rPr>
          <w:rFonts w:ascii="Times New Roman" w:hAnsi="Times New Roman"/>
          <w:sz w:val="24"/>
        </w:rPr>
        <w:t>Studiepoeng: 15</w:t>
      </w:r>
    </w:p>
    <w:p w14:paraId="61564257" w14:textId="77777777" w:rsidR="00587456" w:rsidRDefault="00587456" w:rsidP="00587456">
      <w:pPr>
        <w:rPr>
          <w:rFonts w:ascii="Trebuchet MS" w:hAnsi="Trebuchet MS" w:cs="Times New Roman"/>
          <w:b/>
        </w:rPr>
      </w:pPr>
      <w:r>
        <w:rPr>
          <w:rFonts w:ascii="Times New Roman" w:hAnsi="Times New Roman"/>
          <w:sz w:val="24"/>
        </w:rPr>
        <w:t>Veileder: Bård Inge Austigard Pettersen</w:t>
      </w:r>
    </w:p>
    <w:p w14:paraId="61564258" w14:textId="77777777" w:rsidR="00587456" w:rsidRPr="00587456" w:rsidRDefault="00587456" w:rsidP="00587456">
      <w:pPr>
        <w:rPr>
          <w:rFonts w:ascii="Trebuchet MS" w:hAnsi="Trebuchet MS" w:cs="Times New Roman"/>
          <w:b/>
        </w:rPr>
      </w:pPr>
      <w:r w:rsidRPr="00D94764">
        <w:rPr>
          <w:rFonts w:cs="Times New Roman"/>
          <w:b/>
        </w:rPr>
        <w:tab/>
      </w:r>
      <w:r w:rsidRPr="00D94764">
        <w:rPr>
          <w:rFonts w:cs="Times New Roman"/>
          <w:b/>
        </w:rPr>
        <w:tab/>
      </w:r>
      <w:r>
        <w:rPr>
          <w:b/>
        </w:rPr>
        <w:tab/>
      </w:r>
    </w:p>
    <w:p w14:paraId="61564259" w14:textId="77777777" w:rsidR="0085085B" w:rsidRP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Arial"/>
          <w:b/>
          <w:sz w:val="28"/>
          <w:szCs w:val="28"/>
        </w:rPr>
      </w:pPr>
      <w:r w:rsidRPr="0055544F">
        <w:rPr>
          <w:rFonts w:ascii="Trebuchet MS" w:hAnsi="Trebuchet MS" w:cs="Arial"/>
          <w:b/>
          <w:sz w:val="28"/>
          <w:szCs w:val="28"/>
        </w:rPr>
        <w:t>Fullmakt til elektronisk publisering av oppgaven</w:t>
      </w:r>
    </w:p>
    <w:p w14:paraId="6156425A" w14:textId="77777777" w:rsidR="00587456" w:rsidRPr="004E106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Forfatter(ne) har opphavsrett til oppgaven. Det betyr blant annet enerett til å gjøre verket tilgjengelig for allmennheten (Åndsverkloven. §2).</w:t>
      </w:r>
    </w:p>
    <w:p w14:paraId="6156425B" w14:textId="77777777" w:rsidR="00587456" w:rsidRPr="004E106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 xml:space="preserve">Alle oppgaver som fyller </w:t>
      </w:r>
      <w:proofErr w:type="gramStart"/>
      <w:r w:rsidRPr="004E1066">
        <w:rPr>
          <w:rFonts w:cs="Times New Roman"/>
          <w:sz w:val="22"/>
          <w:szCs w:val="22"/>
        </w:rPr>
        <w:t>kriteriene</w:t>
      </w:r>
      <w:proofErr w:type="gramEnd"/>
      <w:r w:rsidRPr="004E1066">
        <w:rPr>
          <w:rFonts w:cs="Times New Roman"/>
          <w:sz w:val="22"/>
          <w:szCs w:val="22"/>
        </w:rPr>
        <w:t xml:space="preserve"> vil bli registrert og publisert i Brage HiM med forfatter(ne)s godkjennelse.</w:t>
      </w:r>
    </w:p>
    <w:p w14:paraId="6156425C" w14:textId="77777777" w:rsidR="00587456" w:rsidRP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Oppgaver som er unntatt offentlighet eller båndlagt vil ikke bli publisert.</w:t>
      </w:r>
    </w:p>
    <w:p w14:paraId="6156425D"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0"/>
        </w:rPr>
      </w:pPr>
    </w:p>
    <w:p w14:paraId="6156425E"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Jeg/vi gir herved Høgskolen i Molde en vederlagsfri rett til å </w:t>
      </w:r>
    </w:p>
    <w:p w14:paraId="6156425F"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gjøre oppgaven tilgjengelig for elektronisk publisering: </w:t>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val="0"/>
            </w:checkBox>
          </w:ffData>
        </w:fldChar>
      </w:r>
      <w:bookmarkStart w:id="9" w:name="Check1"/>
      <w:r w:rsidRPr="0055544F">
        <w:rPr>
          <w:rFonts w:ascii="Trebuchet MS" w:hAnsi="Trebuchet MS" w:cs="Times New Roman"/>
          <w:sz w:val="20"/>
          <w:szCs w:val="20"/>
        </w:rPr>
        <w:instrText xml:space="preserve"> FORMCHECKBOX </w:instrText>
      </w:r>
      <w:r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bookmarkEnd w:id="9"/>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Box>
          </w:ffData>
        </w:fldChar>
      </w:r>
      <w:bookmarkStart w:id="10" w:name="Check2"/>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0"/>
      <w:r w:rsidRPr="0055544F">
        <w:rPr>
          <w:rFonts w:ascii="Trebuchet MS" w:hAnsi="Trebuchet MS" w:cs="Times New Roman"/>
          <w:b/>
          <w:sz w:val="20"/>
          <w:szCs w:val="20"/>
        </w:rPr>
        <w:t>nei</w:t>
      </w:r>
    </w:p>
    <w:p w14:paraId="61564260"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61"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Er oppgaven båndlagt (konfidensiell)?</w:t>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b/>
          <w:sz w:val="20"/>
          <w:szCs w:val="20"/>
        </w:rPr>
        <w:fldChar w:fldCharType="begin">
          <w:ffData>
            <w:name w:val="Check3"/>
            <w:enabled/>
            <w:calcOnExit w:val="0"/>
            <w:checkBox>
              <w:sizeAuto/>
              <w:default w:val="0"/>
            </w:checkBox>
          </w:ffData>
        </w:fldChar>
      </w:r>
      <w:bookmarkStart w:id="11" w:name="Check3"/>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1"/>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4"/>
            <w:enabled/>
            <w:calcOnExit w:val="0"/>
            <w:checkBox>
              <w:sizeAuto/>
              <w:default w:val="0"/>
            </w:checkBox>
          </w:ffData>
        </w:fldChar>
      </w:r>
      <w:bookmarkStart w:id="12" w:name="Check4"/>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2"/>
      <w:r w:rsidRPr="0055544F">
        <w:rPr>
          <w:rFonts w:ascii="Trebuchet MS" w:hAnsi="Trebuchet MS" w:cs="Times New Roman"/>
          <w:b/>
          <w:sz w:val="20"/>
          <w:szCs w:val="20"/>
        </w:rPr>
        <w:t>nei</w:t>
      </w:r>
    </w:p>
    <w:p w14:paraId="61564262"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b/>
          <w:sz w:val="20"/>
          <w:szCs w:val="20"/>
        </w:rPr>
        <w:t>(</w:t>
      </w:r>
      <w:r w:rsidRPr="0055544F">
        <w:rPr>
          <w:rFonts w:ascii="Trebuchet MS" w:hAnsi="Trebuchet MS" w:cs="Times New Roman"/>
          <w:sz w:val="20"/>
          <w:szCs w:val="20"/>
        </w:rPr>
        <w:t>Båndleggingsavtale må fylles ut)</w:t>
      </w:r>
    </w:p>
    <w:p w14:paraId="61564263"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61564264" w14:textId="77777777" w:rsid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Kan oppgaven publiseres når båndleggingsperioden er over?</w:t>
      </w:r>
      <w:r w:rsidRPr="0055544F">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b/>
          <w:sz w:val="20"/>
          <w:szCs w:val="20"/>
        </w:rPr>
        <w:fldChar w:fldCharType="begin">
          <w:ffData>
            <w:name w:val="Check5"/>
            <w:enabled/>
            <w:calcOnExit w:val="0"/>
            <w:checkBox>
              <w:sizeAuto/>
              <w:default w:val="0"/>
            </w:checkBox>
          </w:ffData>
        </w:fldChar>
      </w:r>
      <w:bookmarkStart w:id="13" w:name="Check5"/>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3"/>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6"/>
            <w:enabled/>
            <w:calcOnExit w:val="0"/>
            <w:checkBox>
              <w:sizeAuto/>
              <w:default w:val="0"/>
            </w:checkBox>
          </w:ffData>
        </w:fldChar>
      </w:r>
      <w:bookmarkStart w:id="14" w:name="Check6"/>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4"/>
      <w:r w:rsidRPr="0055544F">
        <w:rPr>
          <w:rFonts w:ascii="Trebuchet MS" w:hAnsi="Trebuchet MS" w:cs="Times New Roman"/>
          <w:b/>
          <w:sz w:val="20"/>
          <w:szCs w:val="20"/>
        </w:rPr>
        <w:t>nei</w:t>
      </w:r>
    </w:p>
    <w:p w14:paraId="61564265"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p>
    <w:p w14:paraId="61564266" w14:textId="77777777" w:rsidR="0058745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imes New Roman" w:hAnsi="Times New Roman"/>
          <w:sz w:val="24"/>
        </w:rPr>
        <w:t>Dato: Mai 2026</w:t>
      </w:r>
    </w:p>
    <w:p w14:paraId="61564267"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68" w14:textId="77777777" w:rsidR="00587456" w:rsidRDefault="00587456" w:rsidP="00223851">
      <w:pPr>
        <w:rPr>
          <w:rFonts w:ascii="Trebuchet MS" w:hAnsi="Trebuchet MS" w:cs="Arial"/>
          <w:b/>
        </w:rPr>
        <w:sectPr w:rsidR="00587456" w:rsidSect="00C90D42">
          <w:footerReference w:type="default" r:id="rId37"/>
          <w:pgSz w:w="11907" w:h="16840"/>
          <w:pgMar w:top="1417" w:right="1417" w:bottom="1417" w:left="1701" w:header="720" w:footer="403" w:gutter="0"/>
          <w:cols w:space="720"/>
          <w:titlePg/>
        </w:sectPr>
      </w:pPr>
    </w:p>
    <w:p w14:paraId="61564269" w14:textId="77777777" w:rsidR="00DC012B" w:rsidRDefault="00DC012B" w:rsidP="00223851">
      <w:pPr>
        <w:rPr>
          <w:rFonts w:ascii="Trebuchet MS" w:hAnsi="Trebuchet MS" w:cs="Arial"/>
        </w:rPr>
      </w:pPr>
    </w:p>
    <w:p w14:paraId="6156426A" w14:textId="77777777" w:rsidR="00540215" w:rsidRDefault="00540215" w:rsidP="00223851">
      <w:pPr>
        <w:rPr>
          <w:rFonts w:ascii="Trebuchet MS" w:hAnsi="Trebuchet MS" w:cs="Arial"/>
        </w:rPr>
      </w:pPr>
    </w:p>
    <w:p w14:paraId="6156426B" w14:textId="77777777" w:rsidR="00540215" w:rsidRDefault="00540215" w:rsidP="00540215">
      <w:pPr>
        <w:rPr>
          <w:rFonts w:ascii="Trebuchet MS" w:hAnsi="Trebuchet MS" w:cs="Arial"/>
        </w:rPr>
      </w:pPr>
    </w:p>
    <w:p w14:paraId="6156426C" w14:textId="77777777" w:rsidR="00540215" w:rsidRDefault="00540215" w:rsidP="00223851">
      <w:pPr>
        <w:rPr>
          <w:rFonts w:ascii="Trebuchet MS" w:hAnsi="Trebuchet MS" w:cs="Arial"/>
        </w:rPr>
      </w:pPr>
    </w:p>
    <w:p w14:paraId="6156426D" w14:textId="77777777" w:rsidR="00276212" w:rsidRPr="00276212" w:rsidRDefault="00276212" w:rsidP="00276212">
      <w:pPr>
        <w:rPr>
          <w:rFonts w:cs="Times New Roman"/>
        </w:rPr>
      </w:pPr>
    </w:p>
    <w:p w14:paraId="6156426E" w14:textId="77777777" w:rsidR="00DC012B" w:rsidRDefault="00DC012B" w:rsidP="00EB7DD2"/>
    <w:p w14:paraId="6156426F" w14:textId="77777777" w:rsidR="00276212" w:rsidRDefault="00276212" w:rsidP="00EB7DD2">
      <w:pPr>
        <w:sectPr w:rsidR="00276212" w:rsidSect="00C90D42">
          <w:footerReference w:type="default" r:id="rId38"/>
          <w:pgSz w:w="11907" w:h="16840"/>
          <w:pgMar w:top="1417" w:right="1417" w:bottom="1417" w:left="1701" w:header="720" w:footer="403" w:gutter="0"/>
          <w:cols w:space="720"/>
          <w:formProt w:val="0"/>
          <w:titlePg/>
        </w:sectPr>
      </w:pPr>
    </w:p>
    <w:p>
      <w:pPr>
        <w:pStyle w:val="Heading1"/>
        <w:pageBreakBefore w:val="true"/>
      </w:pPr>
      <w:r>
        <w:t>Forord</w:t>
      </w:r>
    </w:p>
    <w:p>
      <w:pPr>
        <w:spacing w:line="360" w:lineRule="auto"/>
      </w:pPr>
      <w:r>
        <w:rPr>
          <w:rFonts w:ascii="Times New Roman" w:hAnsi="Times New Roman"/>
          <w:sz w:val="24"/>
        </w:rPr>
        <w:t xml:space="preserve">Denne rapporten er skrevet som avsluttende arbeid i emnet LOG650 Forskningsprosjekt: Logistikk og kunstig intelligens ved Høgskolen i Molde, vårsemesteret 2026.</w:t>
      </w:r>
    </w:p>
    <w:p>
      <w:pPr>
        <w:spacing w:line="360" w:lineRule="auto"/>
      </w:pPr>
      <w:r>
        <w:rPr>
          <w:rFonts w:ascii="Times New Roman" w:hAnsi="Times New Roman"/>
          <w:sz w:val="24"/>
        </w:rPr>
        <w:t xml:space="preserve">Jeg vil rette en stor takk til min veileder, Bård Inge Austigard Pettersen, for faglig engasjement, konstruktive tilbakemeldinger og tydelige forventninger gjennom hele prosessen. Hans evne til å kombinere akademisk presisjon med praktisk relevans har vært avgjørende for arbeidet med oppgaven.</w:t>
      </w:r>
    </w:p>
    <w:p>
      <w:pPr>
        <w:spacing w:line="360" w:lineRule="auto"/>
      </w:pPr>
      <w:r>
        <w:rPr>
          <w:rFonts w:ascii="Times New Roman" w:hAnsi="Times New Roman"/>
          <w:sz w:val="24"/>
        </w:rPr>
        <w:t xml:space="preserve">Takk til Helse Bergen og Helse Vest IKT for tilgang til SAP S/4HANA-data som har gjort analysen mulig. Datagrunnlaget er behandlet i tråd med gjeldende retningslinjer for personvern og informasjonssikkerhet, og studien omfatter ikke personidentifiserbare opplysninger.</w:t>
      </w:r>
    </w:p>
    <w:p>
      <w:pPr>
        <w:spacing w:line="360" w:lineRule="auto"/>
      </w:pPr>
      <w:r>
        <w:rPr>
          <w:rFonts w:ascii="Times New Roman" w:hAnsi="Times New Roman"/>
          <w:sz w:val="24"/>
        </w:rPr>
        <w:t xml:space="preserve">Motivasjonen springer ut av min rolle som SAP MM-konsulent ved Helse Vest IKT, hvor jeg daglig ser at transaksjonsdataene i SAP er underutnyttet som beslutningsgrunnlag. Denne oppgaven er et forsøk på å bygge bro over det gapet.</w:t>
      </w:r>
    </w:p>
    <w:p>
      <w:pPr>
        <w:spacing w:line="360" w:lineRule="auto"/>
      </w:pPr>
      <w:r>
        <w:rPr>
          <w:rFonts w:ascii="Times New Roman" w:hAnsi="Times New Roman"/>
          <w:sz w:val="24"/>
        </w:rPr>
        <w:t xml:space="preserve">Til slutt vil jeg takke min samboer Hilde for støtte og tålmodighet gjennom et krevende semester med fulltidsjobb ved siden av studiene.</w:t>
      </w:r>
    </w:p>
    <w:p>
      <w:pPr>
        <w:spacing w:line="360" w:lineRule="auto"/>
      </w:pPr>
      <w:r>
        <w:rPr>
          <w:rFonts w:ascii="Times New Roman" w:hAnsi="Times New Roman"/>
          <w:sz w:val="24"/>
        </w:rPr>
        <w:t xml:space="preserve">Stavanger, mai 2026</w:t>
      </w:r>
    </w:p>
    <w:p>
      <w:pPr>
        <w:spacing w:line="360" w:lineRule="auto"/>
      </w:pPr>
      <w:r>
        <w:rPr>
          <w:rFonts w:ascii="Times New Roman" w:hAnsi="Times New Roman"/>
          <w:sz w:val="24"/>
        </w:rPr>
        <w:t xml:space="preserve">Thomas Ekrem Jensen</w:t>
      </w:r>
    </w:p>
    <w:p w14:paraId="798A00C1" w14:textId="30ABEED5" w:rsidR="00222CB6" w:rsidRDefault="00F75AAB" w:rsidP="00222CB6">
      <w:pPr>
        <w:jc w:val="center"/>
        <w:rPr>
          <w:rFonts w:ascii="Arial" w:hAnsi="Arial" w:cs="Arial"/>
          <w:b/>
          <w:sz w:val="28"/>
          <w:szCs w:val="28"/>
        </w:rPr>
      </w:pPr>
      <w:r w:rsidRPr="00F75AAB">
        <w:rPr>
          <w:rFonts w:ascii="Arial" w:hAnsi="Arial" w:cs="Arial"/>
          <w:b/>
          <w:sz w:val="28"/>
          <w:szCs w:val="28"/>
        </w:rPr>
        <w:lastRenderedPageBreak/>
        <w:t>Sam</w:t>
      </w:r>
      <w:r w:rsidR="00222CB6">
        <w:rPr>
          <w:rFonts w:ascii="Arial" w:hAnsi="Arial" w:cs="Arial"/>
          <w:b/>
          <w:sz w:val="28"/>
          <w:szCs w:val="28"/>
        </w:rPr>
        <w:t>mendrag</w:t>
      </w:r>
    </w:p>
    <w:p>
      <w:pPr>
        <w:pStyle w:val="Normal"/>
        <w:spacing w:line="360" w:lineRule="auto"/>
      </w:pPr>
      <w:r>
        <w:rPr>
          <w:rFonts w:ascii="Times New Roman" w:hAnsi="Times New Roman"/>
          <w:sz w:val="24"/>
        </w:rPr>
        <w:t xml:space="preserve">Denne studien analyserer hvilke artikler ved Helse Bergens forsyningslager (WERKS 3300, LGORT 3001) som er kandidater for overføring til Helse Vest Forsyningssenter (HVFS), og estimerer tilhørende besparelsespotensial. Studien er forankret i LIBRA-prosjektet og har som mål å utvikle et datadrevet og reproduserbart beslutningsgrunnlag for sentralisering basert på SAP S/4HANA-data.</w:t>
      </w:r>
    </w:p>
    <w:p>
      <w:pPr>
        <w:pStyle w:val="Normal"/>
        <w:spacing w:line="360" w:lineRule="auto"/>
      </w:pPr>
      <w:r>
        <w:rPr>
          <w:rFonts w:ascii="Times New Roman" w:hAnsi="Times New Roman"/>
          <w:sz w:val="24"/>
        </w:rPr>
        <w:t xml:space="preserve">Analysen omfatter 709 aktive artikler for perioden 2024–2025. Metodetilnærmingen kombinerer ABC- og XYZ-klassifisering, EOQ-avviksanalyse og K-means klyngeanalyse i en regelbasert beslutningsmodell. K-means identifiserer K = 3 klynger med akseptabel klyngestruktur (silhouette-score 0,383 trening / 0,368 test).</w:t>
      </w:r>
    </w:p>
    <w:p>
      <w:pPr>
        <w:pStyle w:val="Normal"/>
        <w:spacing w:line="360" w:lineRule="auto"/>
      </w:pPr>
      <w:r>
        <w:rPr>
          <w:rFonts w:ascii="Times New Roman" w:hAnsi="Times New Roman"/>
          <w:sz w:val="24"/>
        </w:rPr>
        <w:t xml:space="preserve">Resultatene viser at 145 artikler (20,5 %) identifiseres som prioriterte overføringskandidater til HVFS, mens 257 beholdes lokalt, 284 krever manuell vurdering og 23 mangler tilstrekkelig datagrunnlag. Den høye andelen manuell vurdering (40,1 %) reflekterer en bevisst prioritering av presisjon fremfor full automatisering.</w:t>
      </w:r>
    </w:p>
    <w:p>
      <w:pPr>
        <w:pStyle w:val="Normal"/>
        <w:spacing w:line="360" w:lineRule="auto"/>
      </w:pPr>
      <w:r>
        <w:rPr>
          <w:rFonts w:ascii="Times New Roman" w:hAnsi="Times New Roman"/>
          <w:sz w:val="24"/>
        </w:rPr>
        <w:t xml:space="preserve">Det estimerte besparelsespotensialet har et base case på kr 451 515 per år (g = 75 %). Tre-scenarioanalysen gir et intervall fra kr 301 010 (g = 50 %) til kr 602 020 (g = 100 %). Sensitivitetsanalysen over 27 parameterkombinasjoner viser en bredere spennvidde fra kr 176 374 til kr 763 903 per år. Estimatene er scenariobaserte og avhenger av ikke-kalibrerte kostnadsparametere.</w:t>
      </w:r>
    </w:p>
    <w:p>
      <w:pPr>
        <w:pStyle w:val="Normal"/>
        <w:spacing w:line="360" w:lineRule="auto"/>
      </w:pPr>
      <w:r>
        <w:rPr>
          <w:rFonts w:ascii="Times New Roman" w:hAnsi="Times New Roman"/>
          <w:sz w:val="24"/>
        </w:rPr>
        <w:t xml:space="preserve">Studien viser at multikriterieklassifisering kombinert med klyngeanalyse gir et strukturert beslutningsgrunnlag for sentralisering i sykehuslogistikk. Praktisk realisering forutsetter justering av SAP MM-parametere, faglig validering og systematisk gjennomgang av artikler med usikker klassifisering.</w:t>
      </w:r>
    </w:p>
    <w:p w14:paraId="7FD2C6E5" w14:textId="77777777" w:rsidR="00222CB6" w:rsidRDefault="00222CB6">
      <w:pPr>
        <w:rPr>
          <w:rFonts w:ascii="Arial" w:hAnsi="Arial" w:cs="Arial"/>
          <w:b/>
          <w:sz w:val="28"/>
          <w:szCs w:val="28"/>
        </w:rPr>
      </w:pPr>
      <w:r>
        <w:rPr>
          <w:rFonts w:ascii="Arial" w:hAnsi="Arial" w:cs="Arial"/>
          <w:b/>
          <w:sz w:val="28"/>
          <w:szCs w:val="28"/>
        </w:rPr>
        <w:br w:type="page"/>
      </w:r>
    </w:p>
    <w:p w14:paraId="353CE929" w14:textId="02F0E75E" w:rsidR="00222CB6" w:rsidRDefault="00222CB6" w:rsidP="00222CB6">
      <w:pPr>
        <w:jc w:val="center"/>
        <w:rPr>
          <w:rFonts w:ascii="Arial" w:hAnsi="Arial" w:cs="Arial"/>
          <w:b/>
          <w:sz w:val="28"/>
          <w:szCs w:val="28"/>
        </w:rPr>
      </w:pPr>
      <w:proofErr w:type="spellStart"/>
      <w:r>
        <w:rPr>
          <w:rFonts w:ascii="Arial" w:hAnsi="Arial" w:cs="Arial"/>
          <w:b/>
          <w:sz w:val="28"/>
          <w:szCs w:val="28"/>
        </w:rPr>
        <w:lastRenderedPageBreak/>
        <w:t>Abstract</w:t>
      </w:r>
      <w:proofErr w:type="spellEnd"/>
    </w:p>
    <w:p>
      <w:pPr>
        <w:pStyle w:val="Normal"/>
        <w:spacing w:line="360" w:lineRule="auto"/>
      </w:pPr>
      <w:r>
        <w:rPr>
          <w:rFonts w:ascii="Times New Roman" w:hAnsi="Times New Roman"/>
          <w:sz w:val="24"/>
        </w:rPr>
        <w:t xml:space="preserve">(Sammendrag på norsk – sjå avsnittet over.)</w:t>
      </w:r>
    </w:p>
    <w:p w14:paraId="6156427F" w14:textId="1D312F70" w:rsidR="001D2B8B" w:rsidRPr="00222CB6" w:rsidRDefault="00222CB6" w:rsidP="00025D53">
      <w:pPr>
        <w:rPr>
          <w:rFonts w:ascii="Arial" w:hAnsi="Arial" w:cs="Arial"/>
          <w:b/>
          <w:sz w:val="28"/>
          <w:szCs w:val="28"/>
        </w:rPr>
      </w:pPr>
      <w:r>
        <w:rPr>
          <w:rFonts w:ascii="Arial" w:hAnsi="Arial" w:cs="Arial"/>
          <w:b/>
          <w:sz w:val="28"/>
          <w:szCs w:val="28"/>
        </w:rPr>
        <w:br w:type="page"/>
      </w:r>
    </w:p>
    <w:p w14:paraId="61564280" w14:textId="77777777" w:rsidR="001D2B8B" w:rsidRDefault="001D2B8B" w:rsidP="001D2B8B"/>
    <w:p w14:paraId="61564281" w14:textId="77777777" w:rsidR="001D2B8B" w:rsidRDefault="001D2B8B" w:rsidP="001D2B8B">
      <w:pPr>
        <w:sectPr w:rsidR="001D2B8B" w:rsidSect="00C90D42">
          <w:footerReference w:type="default" r:id="rId39"/>
          <w:pgSz w:w="11907" w:h="16840"/>
          <w:pgMar w:top="1417" w:right="1417" w:bottom="1417" w:left="1701" w:header="720" w:footer="403" w:gutter="0"/>
          <w:cols w:space="720"/>
          <w:formProt w:val="0"/>
          <w:titlePg/>
        </w:sectPr>
      </w:pPr>
    </w:p>
    <w:p w14:paraId="61564286" w14:textId="7A946800" w:rsidR="00BE42D3" w:rsidRDefault="00B33323" w:rsidP="003A4872">
      <w:pPr>
        <w:sectPr w:rsidR="00BE42D3" w:rsidSect="00C90D42">
          <w:footerReference w:type="default" r:id="rId40"/>
          <w:pgSz w:w="11907" w:h="16840"/>
          <w:pgMar w:top="1417" w:right="1417" w:bottom="1417" w:left="1701" w:header="720" w:footer="403" w:gutter="0"/>
          <w:cols w:space="720"/>
          <w:formProt w:val="0"/>
          <w:titlePg/>
        </w:sectPr>
      </w:pPr>
      <w:r>
        <w:rPr>
          <w:rFonts w:ascii="Arial" w:hAnsi="Arial" w:cs="Arial"/>
          <w:b/>
          <w:noProof/>
          <w:sz w:val="28"/>
          <w:szCs w:val="28"/>
        </w:rPr>
        <w:fldChar w:fldCharType="end"/>
      </w:r>
    </w:p>
    <w:p>
      <w:pPr>
        <w:pStyle w:val="Overskrift1"/>
        <w:pageBreakBefore w:val="true"/>
      </w:pPr>
      <w:r>
        <w:rPr>
          <w:rFonts w:ascii="Times New Roman" w:hAnsi="Times New Roman"/>
          <w:color w:val="000000"/>
          <w:sz w:val="36"/>
        </w:rPr>
        <w:t>Innholdsfortegnelse</w:t>
      </w:r>
    </w:p>
    <w:p>
      <w:pPr>
        <w:spacing w:line="360" w:lineRule="auto"/>
      </w:pPr>
      <w:r>
        <w:fldChar w:fldCharType="begin"/>
      </w:r>
      <w:r>
        <w:instrText xml:space="preserve"> TOC \o "1-3" \h \z \u </w:instrText>
      </w:r>
      <w:r>
        <w:fldChar w:fldCharType="separate"/>
      </w:r>
      <w:r>
        <w:rPr>
          <w:rFonts w:ascii="Times New Roman" w:hAnsi="Times New Roman"/>
          <w:color w:val="808080"/>
          <w:sz w:val="20"/>
        </w:rPr>
        <w:t>Oppdater felt: Ctrl+A, F9</w:t>
      </w:r>
      <w:r>
        <w:fldChar w:fldCharType="end"/>
      </w:r>
    </w:p>
    <w:p>
      <w:pPr>
        <w:pStyle w:val="Overskrift1"/>
        <w:pageBreakBefore w:val="true"/>
      </w:pPr>
      <w:r>
        <w:rPr>
          <w:rFonts w:ascii="Times New Roman" w:hAnsi="Times New Roman"/>
          <w:color w:val="000000"/>
          <w:sz w:val="36"/>
        </w:rPr>
        <w:t>Figurliste</w:t>
      </w:r>
    </w:p>
    <w:p>
      <w:pPr>
        <w:spacing w:line="360" w:lineRule="auto"/>
      </w:pPr>
      <w:r>
        <w:fldChar w:fldCharType="begin"/>
      </w:r>
      <w:r>
        <w:instrText xml:space="preserve"> TOC \h \z \c "Figur" </w:instrText>
      </w:r>
      <w:r>
        <w:fldChar w:fldCharType="separate"/>
      </w:r>
      <w:r>
        <w:rPr>
          <w:rFonts w:ascii="Times New Roman" w:hAnsi="Times New Roman"/>
          <w:color w:val="808080"/>
          <w:sz w:val="20"/>
        </w:rPr>
        <w:t>Oppdater felt: Ctrl+A, F9</w:t>
      </w:r>
      <w:r>
        <w:fldChar w:fldCharType="end"/>
      </w:r>
    </w:p>
    <w:p>
      <w:pPr>
        <w:pStyle w:val="Overskrift1"/>
        <w:pageBreakBefore w:val="true"/>
      </w:pPr>
      <w:r>
        <w:rPr>
          <w:rFonts w:ascii="Times New Roman" w:hAnsi="Times New Roman"/>
          <w:color w:val="000000"/>
          <w:sz w:val="36"/>
        </w:rPr>
        <w:t>Tabelliste</w:t>
      </w:r>
    </w:p>
    <w:p>
      <w:pPr>
        <w:spacing w:line="360" w:lineRule="auto"/>
      </w:pPr>
      <w:r>
        <w:fldChar w:fldCharType="begin"/>
      </w:r>
      <w:r>
        <w:instrText xml:space="preserve"> TOC \h \z \c "Tabell" </w:instrText>
      </w:r>
      <w:r>
        <w:fldChar w:fldCharType="separate"/>
      </w:r>
      <w:r>
        <w:rPr>
          <w:rFonts w:ascii="Times New Roman" w:hAnsi="Times New Roman"/>
          <w:color w:val="808080"/>
          <w:sz w:val="20"/>
        </w:rPr>
        <w:t>Oppdater felt: Ctrl+A, F9</w:t>
      </w:r>
      <w:r>
        <w:fldChar w:fldCharType="end"/>
      </w:r>
    </w:p>
    <w:p>
      <w:pPr>
        <w:pStyle w:val="Overskrift1"/>
        <w:pageBreakBefore w:val="true"/>
      </w:pPr>
      <w:r>
        <w:rPr>
          <w:rFonts w:ascii="Times New Roman" w:hAnsi="Times New Roman"/>
          <w:color w:val="000000"/>
          <w:sz w:val="36"/>
        </w:rPr>
        <w:t>Kapittel 1 – Innledning</w:t>
      </w:r>
    </w:p>
    <w:p>
      <w:pPr>
        <w:pStyle w:val="Overskrift2"/>
      </w:pPr>
      <w:r>
        <w:rPr>
          <w:rFonts w:ascii="Times New Roman" w:hAnsi="Times New Roman"/>
          <w:color w:val="000000"/>
          <w:sz w:val="32"/>
        </w:rPr>
        <w:t>1.1 Bakgrunn og aktualisering</w:t>
      </w:r>
    </w:p>
    <w:p>
      <w:pPr>
        <w:spacing w:line="360" w:lineRule="auto"/>
        <w:jc w:val="both"/>
      </w:pPr>
      <w:r>
        <w:rPr>
          <w:rFonts w:ascii="Times New Roman" w:hAnsi="Times New Roman" w:cs="Times New Roman"/>
          <w:sz w:val="24"/>
        </w:rPr>
        <w:t>Norske helseforetak forvalter store mengder medisinsk forbruksmateriell spredt over lokale forsyningslagre ved det enkelte sykehus. Materialhåndtering i sykehus er et ressurskrevende område som i liten grad har vært gjenstand for systematisk datadrevet styring, og studier viser at logistikk og lagerhåndtering kan utgjøre mellom 30 og 40 % av et sykehus' driftskostnader (Volland et al., 2017). Suboptimal klassifisering av lagervarer fører til overflødige bestillingstransaksjoner, unødvendig kapitalbinding og økt administrativ belastning – uten at det nødvendigvis gir bedre forsyningssikkerhet for klinisk personell (Bijvank &amp; Vis, 2012).</w:t>
      </w:r>
    </w:p>
    <w:p>
      <w:pPr>
        <w:spacing w:line="360" w:lineRule="auto"/>
        <w:jc w:val="both"/>
      </w:pPr>
      <w:r>
        <w:rPr>
          <w:rFonts w:ascii="Times New Roman" w:hAnsi="Times New Roman" w:cs="Times New Roman"/>
          <w:sz w:val="24"/>
        </w:rPr>
        <w:t>Helse Vest Forsyningssenter (HVFS) er under etablering som regionalt sentrallager for medisinsk forbruksmateriell i Helse Vest-regionen, med NorEngros som operatør. Frem mot 2029 skal sortimentet utvides og avdelingspakkede leveranser (APL) innføres – det vil si ferdigpakkede leveranser direkte til avdeling uten mellomlagring. Parallelt pågår LIBRA-prosjektet, en regional implementering av SAP S/4HANA i regi av Helse Vest IKT, som legger det tekniske grunnlaget for felles dataplattform på tvers av helseforetakene.</w:t>
      </w:r>
    </w:p>
    <w:p>
      <w:pPr>
        <w:spacing w:line="360" w:lineRule="auto"/>
        <w:jc w:val="both"/>
      </w:pPr>
      <w:r>
        <w:rPr>
          <w:rFonts w:ascii="Times New Roman" w:hAnsi="Times New Roman" w:cs="Times New Roman"/>
          <w:sz w:val="24"/>
        </w:rPr>
        <w:t>Helse Bergen er det største helseforetaket i Helse Vest og drifter i dag et lokalt forsyningslager registrert som WERKS 3300 i SAP S/4HANA, med primærlagersted LGORT 3001. Lageret håndterer over 700 aktive artikler, men det mangler et systematisk, datadrevet grunnlag for å avgjøre hvilke av disse som egner seg for overføring til HVFS. Beslutningene tas i dag i stor grad basert på erfaring og skjønn, noe de Vries (2011) identifiserer som en typisk utfordring i sykehuslogistikk: interessentkonflikter og manglende informasjonssystemer hindrer rasjonell lageromstilling. Denne oppgaven adresserer dette gapet ved å anvende velprøvde klassifiseringsmetoder fra lagerstyringslitteraturen – ABC, XYZ og EOQ – kombinert med K-means klyngeanalyse, på operasjonelle transaksjonsdata fra SAP.</w:t>
      </w:r>
    </w:p>
    <w:p>
      <w:pPr>
        <w:pStyle w:val="Overskrift2"/>
      </w:pPr>
      <w:r>
        <w:rPr>
          <w:rFonts w:ascii="Times New Roman" w:hAnsi="Times New Roman"/>
          <w:color w:val="000000"/>
          <w:sz w:val="32"/>
        </w:rPr>
        <w:t>1.2 Problemstilling</w:t>
      </w:r>
    </w:p>
    <w:p>
      <w:pPr>
        <w:spacing w:line="360" w:lineRule="auto"/>
        <w:jc w:val="both"/>
      </w:pPr>
      <w:r>
        <w:rPr>
          <w:rFonts w:ascii="Times New Roman" w:hAnsi="Times New Roman" w:cs="Times New Roman"/>
          <w:sz w:val="24"/>
        </w:rPr>
        <w:t>Oppgaven besvarer følgende forskningsspørsmål:</w:t>
      </w:r>
    </w:p>
    <w:p>
      <w:pPr>
        <w:spacing w:line="360" w:lineRule="auto"/>
        <w:ind w:left="567"/>
        <w:jc w:val="both"/>
      </w:pPr>
      <w:r>
        <w:rPr>
          <w:rFonts w:ascii="Times New Roman" w:hAnsi="Times New Roman"/>
          <w:b/>
          <w:sz w:val="24"/>
        </w:rPr>
        <w:t>Hvordan kan multikriterieklassifisering og klyngeanalyse av SAP-transaksjonsdata identifisere hvilke artikler ved Helse Bergens forsyningslager (WERKS 3300, LGORT 3001) som er kandidater for overføring til Helse Vest Forsyningssenter, og hva er det estimerte besparelsespotensialet ved en slik overføring?</w:t>
      </w:r>
    </w:p>
    <w:p>
      <w:pPr>
        <w:spacing w:line="360" w:lineRule="auto"/>
        <w:jc w:val="both"/>
      </w:pPr>
      <w:r>
        <w:rPr>
          <w:rFonts w:ascii="Times New Roman" w:hAnsi="Times New Roman" w:cs="Times New Roman"/>
          <w:sz w:val="24"/>
        </w:rPr>
        <w:t>Problemstillingen avgrenser seg eksplisitt til identifikasjon og kvantifisering – ikke gjennomføring av selve overføringen. Svaret gis i form av en anbefalt artikkelliste med tilhørende besparelsesestimat basert på EOQ-avviksanalyse. Analysen er kvantitativ og datadrevet; den erstatter ikke faglig skjønn, men gir et strukturert beslutningsgrunnlag.</w:t>
      </w:r>
    </w:p>
    <w:p>
      <w:pPr>
        <w:pStyle w:val="Overskrift2"/>
      </w:pPr>
      <w:r>
        <w:rPr>
          <w:rFonts w:ascii="Times New Roman" w:hAnsi="Times New Roman"/>
          <w:color w:val="000000"/>
          <w:sz w:val="32"/>
        </w:rPr>
        <w:t>1.3 Avgrensninger</w:t>
      </w:r>
    </w:p>
    <w:p>
      <w:pPr>
        <w:spacing w:line="360" w:lineRule="auto"/>
        <w:jc w:val="both"/>
      </w:pPr>
      <w:r>
        <w:rPr>
          <w:rFonts w:ascii="Times New Roman" w:hAnsi="Times New Roman" w:cs="Times New Roman"/>
          <w:sz w:val="24"/>
        </w:rPr>
        <w:t>Oppgaven avgrenses på følgende punkter, begrunnet faglig:</w:t>
      </w:r>
    </w:p>
    <w:p>
      <w:pPr>
        <w:spacing w:line="360" w:lineRule="auto"/>
        <w:jc w:val="both"/>
      </w:pPr>
      <w:r>
        <w:rPr>
          <w:rFonts w:ascii="Times New Roman" w:hAnsi="Times New Roman" w:cs="Times New Roman"/>
          <w:b/>
          <w:sz w:val="24"/>
        </w:rPr>
        <w:t>Lagersted.</w:t>
      </w:r>
      <w:r>
        <w:rPr>
          <w:rFonts w:ascii="Times New Roman" w:hAnsi="Times New Roman" w:cs="Times New Roman"/>
          <w:sz w:val="24"/>
        </w:rPr>
        <w:t xml:space="preserve"> Analysen omfatter utelukkende LGORT 3001 ved WERKS 3300. Dette lagerstedet er valgt fordi det er det eneste ved Helse Bergen med tilstrekkelig transaksjonshistorikk i SAP for perioden 2024–2025 til å muliggjøre beregnet XYZ-klassifisering og EOQ-avviksanalyse. Andre lagersteder mangler den nødvendige dybden i MSEG- og EKBE-data.</w:t>
      </w:r>
    </w:p>
    <w:p>
      <w:pPr>
        <w:spacing w:line="360" w:lineRule="auto"/>
        <w:jc w:val="both"/>
      </w:pPr>
      <w:r>
        <w:rPr>
          <w:rFonts w:ascii="Times New Roman" w:hAnsi="Times New Roman" w:cs="Times New Roman"/>
          <w:b/>
          <w:sz w:val="24"/>
        </w:rPr>
        <w:t>Artikkelstatus.</w:t>
      </w:r>
      <w:r>
        <w:rPr>
          <w:rFonts w:ascii="Times New Roman" w:hAnsi="Times New Roman" w:cs="Times New Roman"/>
          <w:sz w:val="24"/>
        </w:rPr>
        <w:t xml:space="preserve"> Kun artikler med aktiv status inngår i analysen, definert som artikler med registrert årsforbruk (</w:t>
      </w:r>
      <m:oMath>
        <m:sSub>
          <m:e>
            <m:r>
              <m:t>D</m:t>
            </m:r>
          </m:e>
          <m:sub>
            <m:r>
              <m:t>A</m:t>
            </m:r>
          </m:sub>
        </m:sSub>
        <m:r>
          <m:t>NNUAL&gt;0</m:t>
        </m:r>
      </m:oMath>
      <w:r>
        <w:rPr>
          <w:rFonts w:ascii="Times New Roman" w:hAnsi="Times New Roman" w:cs="Times New Roman"/>
          <w:sz w:val="24"/>
        </w:rPr>
        <w:t>) eller positiv lagerbeholdning per uttrekksdato. Artikler uten registrert forbruk og uten lagerbeholdning i analyseperioden er ekskludert som operasjonelt inaktive (beslutning D-01). Inaktive artikler er ikke relevante for HVFS-overføring og holdes utenfor for å unngå støy i klassifiseringsmodellene.</w:t>
      </w:r>
    </w:p>
    <w:p>
      <w:pPr>
        <w:spacing w:line="360" w:lineRule="auto"/>
        <w:jc w:val="both"/>
      </w:pPr>
      <w:r>
        <w:rPr>
          <w:rFonts w:ascii="Times New Roman" w:hAnsi="Times New Roman" w:cs="Times New Roman"/>
          <w:b/>
          <w:sz w:val="24"/>
        </w:rPr>
        <w:t>Analyseperiode.</w:t>
      </w:r>
      <w:r>
        <w:rPr>
          <w:rFonts w:ascii="Times New Roman" w:hAnsi="Times New Roman" w:cs="Times New Roman"/>
          <w:sz w:val="24"/>
        </w:rPr>
        <w:t xml:space="preserve"> Datagrunnlaget er begrenset til 24 måneder (2024–2025). En lengre periode ville økt robustheten i XYZ-klassifiseringen, men data utover denne perioden var ikke tilgjengelig med tilstrekkelig kvalitet fra SAP.</w:t>
      </w:r>
    </w:p>
    <w:p>
      <w:pPr>
        <w:spacing w:line="360" w:lineRule="auto"/>
        <w:jc w:val="both"/>
      </w:pPr>
      <w:r>
        <w:rPr>
          <w:rFonts w:ascii="Times New Roman" w:hAnsi="Times New Roman" w:cs="Times New Roman"/>
          <w:b/>
          <w:sz w:val="24"/>
        </w:rPr>
        <w:t>Metodevalg.</w:t>
      </w:r>
      <w:r>
        <w:rPr>
          <w:rFonts w:ascii="Times New Roman" w:hAnsi="Times New Roman" w:cs="Times New Roman"/>
          <w:sz w:val="24"/>
        </w:rPr>
        <w:t xml:space="preserve"> Oppgaven anvender veletablerte kvantitative metoder. ROP-modulen er identifisert som en naturlig forlengelse, men utelatt da leveringstidsdata kun dekker 6 % av artiklene.</w:t>
      </w:r>
    </w:p>
    <w:p>
      <w:pPr>
        <w:spacing w:line="360" w:lineRule="auto"/>
        <w:jc w:val="both"/>
      </w:pPr>
      <w:r>
        <w:rPr>
          <w:rFonts w:ascii="Times New Roman" w:hAnsi="Times New Roman" w:cs="Times New Roman"/>
          <w:b/>
          <w:sz w:val="24"/>
        </w:rPr>
        <w:t>Generaliserbarhet.</w:t>
      </w:r>
      <w:r>
        <w:rPr>
          <w:rFonts w:ascii="Times New Roman" w:hAnsi="Times New Roman" w:cs="Times New Roman"/>
          <w:sz w:val="24"/>
        </w:rPr>
        <w:t xml:space="preserve"> Funnene er gyldige for WERKS 3300 og de konkrete SAP-parameterne som er benyttet. Overføring av metodikken til andre helseforetak i Helse Vest er mulig, men krever ny datakjøring per foretak.</w:t>
      </w:r>
    </w:p>
    <w:p>
      <w:pPr>
        <w:pStyle w:val="Overskrift2"/>
      </w:pPr>
      <w:r>
        <w:rPr>
          <w:rFonts w:ascii="Times New Roman" w:hAnsi="Times New Roman"/>
          <w:color w:val="000000"/>
          <w:sz w:val="32"/>
        </w:rPr>
        <w:t>1.4 Antagelser</w:t>
      </w:r>
    </w:p>
    <w:p>
      <w:pPr>
        <w:spacing w:line="360" w:lineRule="auto"/>
        <w:jc w:val="both"/>
      </w:pPr>
      <w:r>
        <w:rPr>
          <w:rFonts w:ascii="Times New Roman" w:hAnsi="Times New Roman" w:cs="Times New Roman"/>
          <w:sz w:val="24"/>
        </w:rPr>
        <w:t>Analysen hviler på følgende eksplisitte antagelser som ikke er empirisk estimert, men begrunnet ut fra bransjepraksis og tilgjengelig litteratur:</w:t>
      </w:r>
    </w:p>
    <w:p>
      <w:pPr>
        <w:spacing w:line="360" w:lineRule="auto"/>
        <w:jc w:val="both"/>
      </w:pPr>
      <w:r>
        <w:rPr>
          <w:rFonts w:ascii="Times New Roman" w:hAnsi="Times New Roman" w:cs="Times New Roman"/>
          <w:sz w:val="24"/>
        </w:rPr>
        <w:t>**Ordrekostnad (</w:t>
      </w:r>
      <m:oMath>
        <m:r>
          <m:t>S=750</m:t>
        </m:r>
      </m:oMath>
      <w:r>
        <w:rPr>
          <w:rFonts w:ascii="Times New Roman" w:hAnsi="Times New Roman" w:cs="Times New Roman"/>
          <w:sz w:val="24"/>
        </w:rPr>
        <w:t>NOK).** Kostnaden per bestillingstransaksjon er satt til 750 kroner, basert på estimater fra tilsvarende sykehuslogistikkstudier (Bijvank &amp; Vis, 2012; Kelle et al., 2012). Dette er en antagelse som dekker direkte administrative kostnader knyttet til å opprette, godkjenne og følge opp en innkjøpsordre i SAP. Sensitivitetsanalysen varierer S over intervallet {500, 750, 1 000} NOK for å belyse effekten av denne forutsetningen.</w:t>
      </w:r>
    </w:p>
    <w:p>
      <w:pPr>
        <w:spacing w:line="360" w:lineRule="auto"/>
        <w:jc w:val="both"/>
      </w:pPr>
      <w:r>
        <w:rPr>
          <w:rFonts w:ascii="Times New Roman" w:hAnsi="Times New Roman" w:cs="Times New Roman"/>
          <w:sz w:val="24"/>
        </w:rPr>
        <w:t>**Holdekostnadssats (</w:t>
      </w:r>
      <m:oMath>
        <m:r>
          <m:t>h=20</m:t>
        </m:r>
      </m:oMath>
      <w:r>
        <w:rPr>
          <w:rFonts w:ascii="Times New Roman" w:hAnsi="Times New Roman" w:cs="Times New Roman"/>
          <w:sz w:val="24"/>
        </w:rPr>
        <w:t>).** Den årlige holdekostnaden er satt til 20 % av enhetsprisen, i tråd med anbefalinger i lagerstyringslitteraturen (Ketkar &amp; Vaidya, 2014). Satsens innvirkning testes i sensitivitetsanalysen over intervallet {15, 20, 25} %.</w:t>
      </w:r>
    </w:p>
    <w:p>
      <w:pPr>
        <w:spacing w:line="360" w:lineRule="auto"/>
        <w:jc w:val="both"/>
      </w:pPr>
      <w:r>
        <w:rPr>
          <w:rFonts w:ascii="Times New Roman" w:hAnsi="Times New Roman" w:cs="Times New Roman"/>
          <w:b/>
          <w:sz w:val="24"/>
        </w:rPr>
        <w:t>Analyseperiode og annualisering.</w:t>
      </w:r>
      <w:r>
        <w:rPr>
          <w:rFonts w:ascii="Times New Roman" w:hAnsi="Times New Roman" w:cs="Times New Roman"/>
          <w:sz w:val="24"/>
        </w:rPr>
        <w:t xml:space="preserve"> Innkjøpsdata (EKBE) dekker 24 måneder. Ordrefrekvens er annualisert ved å multiplisere observert ordreantall med faktoren 12/24.</w:t>
      </w:r>
    </w:p>
    <w:p>
      <w:pPr>
        <w:spacing w:line="360" w:lineRule="auto"/>
        <w:jc w:val="both"/>
      </w:pPr>
      <w:r>
        <w:rPr>
          <w:rFonts w:ascii="Times New Roman" w:hAnsi="Times New Roman" w:cs="Times New Roman"/>
          <w:b/>
          <w:sz w:val="24"/>
        </w:rPr>
        <w:t>Leveringstid (LEAD_TIME = 14 dager).</w:t>
      </w:r>
      <w:r>
        <w:rPr>
          <w:rFonts w:ascii="Times New Roman" w:hAnsi="Times New Roman" w:cs="Times New Roman"/>
          <w:sz w:val="24"/>
        </w:rPr>
        <w:t xml:space="preserve"> For 94 % av artiklene mangler registrert leveringstid i EINA/EINE. En standardverdi på 14 dager er benyttet; parameteren er reservert for en fremtidig ROP-modul.</w:t>
      </w:r>
    </w:p>
    <w:p>
      <w:pPr>
        <w:spacing w:line="360" w:lineRule="auto"/>
        <w:jc w:val="both"/>
      </w:pPr>
      <w:r>
        <w:rPr>
          <w:rFonts w:ascii="Times New Roman" w:hAnsi="Times New Roman" w:cs="Times New Roman"/>
          <w:b/>
          <w:sz w:val="24"/>
        </w:rPr>
        <w:t>Besparelsesformel.</w:t>
      </w:r>
      <w:r>
        <w:rPr>
          <w:rFonts w:ascii="Times New Roman" w:hAnsi="Times New Roman" w:cs="Times New Roman"/>
          <w:sz w:val="24"/>
        </w:rPr>
        <w:t xml:space="preserve"> Besparelsesestimatet er basert på Wilson EOQ-modellen:</w:t>
      </w:r>
    </w:p>
    <w:p>
      <w:pPr>
        <w:spacing w:line="360" w:lineRule="auto"/>
        <w:jc w:val="center"/>
      </w:pPr>
      <m:oMath>
        <m:sSub>
          <m:e>
            <m:r>
              <m:t>B</m:t>
            </m:r>
          </m:e>
          <m:sub>
            <m:r>
              <m:rPr>
                <m:nor/>
              </m:rPr>
              <m:t>HVFS</m:t>
            </m:r>
          </m:sub>
        </m:sSub>
        <m:r>
          <m:t>=</m:t>
        </m:r>
        <m:nary>
          <m:naryPr>
            <m:chr m:val="∑"/>
            <m:limLoc m:val="subSup"/>
            <m:grow m:val="1"/>
            <m:subHide m:val="off"/>
            <m:supHide m:val="on"/>
          </m:naryPr>
          <m:sub>
            <m:r>
              <m:t>i∈</m:t>
            </m:r>
            <m:r>
              <m:rPr>
                <m:nor/>
              </m:rPr>
              <m:t>OVERFØR</m:t>
            </m:r>
          </m:sub>
          <m:sup/>
          <m:e>
            <m:r>
              <m:t>ΔT</m:t>
            </m:r>
          </m:e>
        </m:nary>
        <m:sSub>
          <m:e>
            <m:r>
              <m:t>C</m:t>
            </m:r>
          </m:e>
          <m:sub>
            <m:r>
              <m:t>i</m:t>
            </m:r>
          </m:sub>
        </m:sSub>
        <m:r>
          <m:t>·g</m:t>
        </m:r>
      </m:oMath>
    </w:p>
    <w:p>
      <w:pPr>
        <w:spacing w:line="360" w:lineRule="auto"/>
        <w:jc w:val="both"/>
      </w:pPr>
      <w:r>
        <w:rPr>
          <w:rFonts w:ascii="Times New Roman" w:hAnsi="Times New Roman" w:cs="Times New Roman"/>
          <w:sz w:val="24"/>
        </w:rPr>
        <w:t xml:space="preserve">der </w:t>
      </w:r>
      <m:oMath>
        <m:r>
          <m:t>ΔT</m:t>
        </m:r>
        <m:sSub>
          <m:e>
            <m:r>
              <m:t>C</m:t>
            </m:r>
          </m:e>
          <m:sub>
            <m:r>
              <m:t>i</m:t>
            </m:r>
          </m:sub>
        </m:sSub>
        <m:r>
          <m:t>=T</m:t>
        </m:r>
        <m:sSub>
          <m:e>
            <m:r>
              <m:t>C</m:t>
            </m:r>
          </m:e>
          <m:sub>
            <m:r>
              <m:rPr>
                <m:nor/>
              </m:rPr>
              <m:t>actual</m:t>
            </m:r>
            <m:r>
              <m:t>,i</m:t>
            </m:r>
          </m:sub>
        </m:sSub>
        <m:r>
          <m:t>−T</m:t>
        </m:r>
        <m:sSub>
          <m:e>
            <m:r>
              <m:t>C</m:t>
            </m:r>
          </m:e>
          <m:sub>
            <m:r>
              <m:rPr>
                <m:nor/>
              </m:rPr>
              <m:t>optimal</m:t>
            </m:r>
            <m:r>
              <m:t>,i</m:t>
            </m:r>
          </m:sub>
        </m:sSub>
      </m:oMath>
      <w:r>
        <w:rPr>
          <w:rFonts w:ascii="Times New Roman" w:hAnsi="Times New Roman" w:cs="Times New Roman"/>
          <w:sz w:val="24"/>
        </w:rPr>
        <w:t xml:space="preserve"> er kostnadsavviket mellom faktisk og optimal ordrefrekvens for artikkel </w:t>
      </w:r>
      <m:oMath>
        <m:r>
          <m:t>i</m:t>
        </m:r>
      </m:oMath>
      <w:r>
        <w:rPr>
          <w:rFonts w:ascii="Times New Roman" w:hAnsi="Times New Roman" w:cs="Times New Roman"/>
          <w:sz w:val="24"/>
        </w:rPr>
        <w:t xml:space="preserve">, og </w:t>
      </w:r>
      <m:oMath>
        <m:r>
          <m:t>g</m:t>
        </m:r>
      </m:oMath>
      <w:r>
        <w:rPr>
          <w:rFonts w:ascii="Times New Roman" w:hAnsi="Times New Roman" w:cs="Times New Roman"/>
          <w:sz w:val="24"/>
        </w:rPr>
        <w:t xml:space="preserve"> er en gevinstrealiseringsgrad på 50/75/100 % (worst/base/best). Dette er et avgrenset transaksjonskostnadsestimat – det inkluderer ikke varekostnader eller endringer i lagernivå.</w:t>
      </w:r>
    </w:p>
    <w:p>
      <w:pPr>
        <w:spacing w:line="360" w:lineRule="auto"/>
        <w:jc w:val="both"/>
      </w:pPr>
      <w:r>
        <w:rPr>
          <w:rFonts w:ascii="Times New Roman" w:hAnsi="Times New Roman" w:cs="Times New Roman"/>
          <w:sz w:val="24"/>
        </w:rPr>
        <w:t>Rapporten er strukturert som følger: Kapittel 2 presenterer litteratur og teoretisk rammeverk. Kapittel 3 beskriver caset – Helse Bergen, HVFS og LIBRA-prosjektet. Kapittel 4 redegjør for data og metode, inkludert SAP-uttrekk og datakvalitetsbeslutninger. Kapittel 5 beskriver modelleringen formelt. Kapittel 6 presenterer den analytiske gjennomføringen. Kapittel 7 presenterer resultatene. Kapittel 8 diskuterer funn opp mot litteratur, metodekritikk og praktisk betydning. Kapittel 9 konkluderer og gir anbefalinger til Helse Bergen.</w:t>
      </w:r>
    </w:p>
    <w:p>
      <w:pPr>
        <w:pStyle w:val="Overskrift1"/>
        <w:pageBreakBefore w:val="true"/>
      </w:pPr>
      <w:r>
        <w:rPr>
          <w:rFonts w:ascii="Times New Roman" w:hAnsi="Times New Roman"/>
          <w:color w:val="000000"/>
          <w:sz w:val="36"/>
        </w:rPr>
        <w:t>Kapittel 2 – Litteratur og teori</w:t>
      </w:r>
    </w:p>
    <w:p>
      <w:pPr>
        <w:pStyle w:val="Overskrift2"/>
      </w:pPr>
      <w:r>
        <w:rPr>
          <w:rFonts w:ascii="Times New Roman" w:hAnsi="Times New Roman"/>
          <w:color w:val="000000"/>
          <w:sz w:val="32"/>
        </w:rPr>
        <w:t>2.1 Litteraturgjennomgang</w:t>
      </w:r>
    </w:p>
    <w:p>
      <w:pPr>
        <w:spacing w:line="360" w:lineRule="auto"/>
        <w:jc w:val="both"/>
      </w:pPr>
      <w:r>
        <w:rPr>
          <w:rFonts w:ascii="Times New Roman" w:hAnsi="Times New Roman" w:cs="Times New Roman"/>
          <w:sz w:val="24"/>
        </w:rPr>
        <w:t>Forskning på lagerklassifisering i sykehus har økt i omfang siden 2000-tallet, drevet av erkjennelsen om at helseforetak binder store ressurser i logistikk og materialhåndtering. Volland et al. (2017) identifiserte i en systematisk gjennomgang av 145 publikasjoner fra 1998 til 2014 at lagerstyring er den mest publiserte kategorien innen sykehuslogistikk, med over 66 artikler. Til tross for dette volumet er det begrenset forskning som kobler klassifiseringsmetoder direkte til sentralisering av forsyningskjeden – noe denne oppgaven adresserer.</w:t>
      </w:r>
    </w:p>
    <w:p>
      <w:pPr>
        <w:spacing w:line="360" w:lineRule="auto"/>
        <w:jc w:val="both"/>
      </w:pPr>
      <w:r>
        <w:rPr>
          <w:rFonts w:ascii="Times New Roman" w:hAnsi="Times New Roman" w:cs="Times New Roman"/>
          <w:sz w:val="24"/>
        </w:rPr>
        <w:t>Den dominerende tilnærmingen i litteraturen er ABC-analyse basert på Pareto-prinsippet. Silaen et al. (2023) viser at enkeltkriterieanalyse på forbruksverdi er bredt adoptert i praksis, men påpeker at metoden alene ikke fanger opp variabilitet i etterspørsel eller kritikalitet for forsyningssikkerhet. Gupta et al. (2007) demonstrerer dette i en militærmedisinsk studie der ABC kombineres med VED-analyse for å differensiere mellom høyverdiartikler og artikler med kritisk klinisk betydning.</w:t>
      </w:r>
    </w:p>
    <w:p>
      <w:pPr>
        <w:spacing w:line="360" w:lineRule="auto"/>
        <w:jc w:val="both"/>
      </w:pPr>
      <w:r>
        <w:rPr>
          <w:rFonts w:ascii="Times New Roman" w:hAnsi="Times New Roman" w:cs="Times New Roman"/>
          <w:sz w:val="24"/>
        </w:rPr>
        <w:t>XYZ-analyse, basert på variasjonskoeffisienten til etterspørselen, fremstår som det mest naturlige komplementet til ABC. Nowotyńska (2013) og Suryaputri et al. (2022) viser at ABC/XYZ-matrisen gir differensierte styringsanbefalinger for ni varekategorier, med dokumentert merverdi i helseindustrien.</w:t>
      </w:r>
    </w:p>
    <w:p>
      <w:pPr>
        <w:spacing w:line="360" w:lineRule="auto"/>
        <w:jc w:val="both"/>
      </w:pPr>
      <w:r>
        <w:rPr>
          <w:rFonts w:ascii="Times New Roman" w:hAnsi="Times New Roman" w:cs="Times New Roman"/>
          <w:sz w:val="24"/>
        </w:rPr>
        <w:t>Flerkriterietilnærminger som EDAS (Keshavarz Ghorabaee et al., 2015) krever subjektiv vekting, noe som svekker etterprøvbarheten. Denne oppgaven benytter derfor objektivt beregnbare kriterier (verdi, CV, EOQ-avvik). Klyngeanalyse representerer et datadrevet alternativ som fanger sammensatte mønstre uten forhåndsdefinerte terskelverdier (Srinivasan &amp; Moon, 1999). Kombinasjonen av K-means med regelbaserte beslutningssystemer er lite dokumentert i sykehuskontekst, og utgjør et utforskende element i oppgavens metoderammeverk.</w:t>
      </w:r>
    </w:p>
    <w:p>
      <w:pPr>
        <w:spacing w:line="360" w:lineRule="auto"/>
        <w:jc w:val="both"/>
      </w:pPr>
      <w:r>
        <w:rPr>
          <w:rFonts w:ascii="Times New Roman" w:hAnsi="Times New Roman" w:cs="Times New Roman"/>
          <w:sz w:val="24"/>
        </w:rPr>
        <w:t>van Kampen et al. (2012) identifiserer tre hoveddimensjoner for SKU-klassifisering: karakteristikker (verdi, variabilitet, kritikalitet), klassifiseringsteknikk (ABC, clustering, MCDM) og operasjonalisering i styringssystemer. Denne oppgaven opererer i krysningspunktet mellom alle tre.</w:t>
      </w:r>
    </w:p>
    <w:p>
      <w:pPr>
        <w:spacing w:line="360" w:lineRule="auto"/>
        <w:jc w:val="both"/>
      </w:pPr>
      <w:r>
        <w:rPr>
          <w:rFonts w:ascii="Times New Roman" w:hAnsi="Times New Roman" w:cs="Times New Roman"/>
          <w:sz w:val="24"/>
        </w:rPr>
        <w:t>Et identifisert gap i litteraturen er den begrensede forekomsten av kvantitative casestudier som kombinerer ABC, XYZ, EOQ-avviksanalyse og klyngeanalyse i en samlet analysemodell koblet mot faktiske SAP-transaksjonsdata, med besparelsesestimat som eksplisitt output. Saha og Ray (2019) konkluderer i sin gjennomgang av 137 artikler at det er behov for empiriske studier som kobler kvantitative klassifiseringsmodeller til konkrete beslutninger i reelle sykehussystemer. Denne oppgaven søker å fylle dette gapet.</w:t>
      </w:r>
    </w:p>
    <w:p>
      <w:pPr>
        <w:spacing w:line="360" w:lineRule="auto"/>
        <w:jc w:val="both"/>
      </w:pPr>
      <w:r>
        <w:rPr>
          <w:rFonts w:ascii="Times New Roman" w:hAnsi="Times New Roman" w:cs="Times New Roman"/>
          <w:sz w:val="24"/>
        </w:rPr>
        <w:t>Tabell 1 gir en samlet oversikt over de sentrale kildene i litteraturgjennomgangen, organisert etter hovedtema og med kopling til denne oppgavens problemstilling.</w:t>
      </w:r>
    </w:p>
    <w:p>
      <w:r>
        <w:rPr>
          <w:rFonts w:ascii="Times New Roman" w:hAnsi="Times New Roman"/>
          <w:i/>
          <w:sz w:val="20"/>
        </w:rPr>
        <w:t xml:space="preserve">Tabell </w:t>
      </w:r>
      <w:r>
        <w:fldChar w:fldCharType="begin"/>
      </w:r>
      <w:r>
        <w:instrText xml:space="preserve"> SEQ Tabell \* ARABIC </w:instrText>
      </w:r>
      <w:r>
        <w:fldChar w:fldCharType="separate"/>
      </w:r>
      <w:r>
        <w:rPr>
          <w:rFonts w:ascii="Times New Roman" w:hAnsi="Times New Roman"/>
          <w:i/>
          <w:sz w:val="20"/>
        </w:rPr>
        <w:t>N</w:t>
      </w:r>
      <w:r>
        <w:fldChar w:fldCharType="end"/>
      </w:r>
      <w:r>
        <w:rPr>
          <w:rFonts w:ascii="Times New Roman" w:hAnsi="Times New Roman"/>
          <w:i/>
          <w:sz w:val="20"/>
        </w:rPr>
        <w:t>. Litteraturoversikt: sentrale kilder med tema og relevans for oppgaven.</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192"/>
        <w:gridCol w:w="2192"/>
        <w:gridCol w:w="2192"/>
        <w:gridCol w:w="2192"/>
      </w:tblGrid>
      <w:tr>
        <w:tc>
          <w:tcPr>
            <w:tcW w:type="dxa" w:w="2192"/>
            <w:tcBorders>
              <w:top w:val="single" w:sz="8" w:space="0" w:color="000000"/>
              <w:bottom w:val="single" w:sz="4" w:space="0" w:color="000000"/>
              <w:left w:val="nil"/>
              <w:right w:val="nil"/>
            </w:tcBorders>
          </w:tcPr>
          <w:p>
            <w:r/>
            <w:r>
              <w:rPr>
                <w:rFonts w:ascii="Times New Roman" w:hAnsi="Times New Roman"/>
                <w:b/>
                <w:sz w:val="22"/>
              </w:rPr>
              <w:t>Forfatter(e)</w:t>
            </w:r>
          </w:p>
        </w:tc>
        <w:tc>
          <w:tcPr>
            <w:tcW w:type="dxa" w:w="2192"/>
            <w:tcBorders>
              <w:top w:val="single" w:sz="8" w:space="0" w:color="000000"/>
              <w:bottom w:val="single" w:sz="4" w:space="0" w:color="000000"/>
              <w:left w:val="nil"/>
              <w:right w:val="nil"/>
            </w:tcBorders>
          </w:tcPr>
          <w:p>
            <w:r/>
            <w:r>
              <w:rPr>
                <w:rFonts w:ascii="Times New Roman" w:hAnsi="Times New Roman"/>
                <w:b/>
                <w:sz w:val="22"/>
              </w:rPr>
              <w:t>År</w:t>
            </w:r>
          </w:p>
        </w:tc>
        <w:tc>
          <w:tcPr>
            <w:tcW w:type="dxa" w:w="2192"/>
            <w:tcBorders>
              <w:top w:val="single" w:sz="8" w:space="0" w:color="000000"/>
              <w:bottom w:val="single" w:sz="4" w:space="0" w:color="000000"/>
              <w:left w:val="nil"/>
              <w:right w:val="nil"/>
            </w:tcBorders>
          </w:tcPr>
          <w:p>
            <w:r/>
            <w:r>
              <w:rPr>
                <w:rFonts w:ascii="Times New Roman" w:hAnsi="Times New Roman"/>
                <w:b/>
                <w:sz w:val="22"/>
              </w:rPr>
              <w:t>Hovedtema</w:t>
            </w:r>
          </w:p>
        </w:tc>
        <w:tc>
          <w:tcPr>
            <w:tcW w:type="dxa" w:w="2192"/>
            <w:tcBorders>
              <w:top w:val="single" w:sz="8" w:space="0" w:color="000000"/>
              <w:bottom w:val="single" w:sz="4" w:space="0" w:color="000000"/>
              <w:left w:val="nil"/>
              <w:right w:val="nil"/>
            </w:tcBorders>
          </w:tcPr>
          <w:p>
            <w:r/>
            <w:r>
              <w:rPr>
                <w:rFonts w:ascii="Times New Roman" w:hAnsi="Times New Roman"/>
                <w:b/>
                <w:sz w:val="22"/>
              </w:rPr>
              <w:t>Relevans for oppgaven</w:t>
            </w:r>
          </w:p>
        </w:tc>
      </w:tr>
      <w:tr>
        <w:tc>
          <w:tcPr>
            <w:tcW w:type="dxa" w:w="2192"/>
          </w:tcPr>
          <w:p>
            <w:r/>
            <w:r>
              <w:rPr>
                <w:rFonts w:ascii="Times New Roman" w:hAnsi="Times New Roman"/>
                <w:b w:val="0"/>
                <w:sz w:val="22"/>
              </w:rPr>
              <w:t>Bijvank &amp; Vis</w:t>
            </w:r>
          </w:p>
        </w:tc>
        <w:tc>
          <w:tcPr>
            <w:tcW w:type="dxa" w:w="2192"/>
          </w:tcPr>
          <w:p>
            <w:r/>
            <w:r>
              <w:rPr>
                <w:rFonts w:ascii="Times New Roman" w:hAnsi="Times New Roman"/>
                <w:b w:val="0"/>
                <w:sz w:val="22"/>
              </w:rPr>
              <w:t>2012</w:t>
            </w:r>
          </w:p>
        </w:tc>
        <w:tc>
          <w:tcPr>
            <w:tcW w:type="dxa" w:w="2192"/>
          </w:tcPr>
          <w:p>
            <w:r/>
            <w:r>
              <w:rPr>
                <w:rFonts w:ascii="Times New Roman" w:hAnsi="Times New Roman"/>
                <w:b w:val="0"/>
                <w:sz w:val="22"/>
              </w:rPr>
              <w:t>Lagerstyring ved brukssted i sykehus</w:t>
            </w:r>
          </w:p>
        </w:tc>
        <w:tc>
          <w:tcPr>
            <w:tcW w:type="dxa" w:w="2192"/>
          </w:tcPr>
          <w:p>
            <w:r/>
            <w:r>
              <w:rPr>
                <w:rFonts w:ascii="Times New Roman" w:hAnsi="Times New Roman"/>
                <w:b w:val="0"/>
                <w:sz w:val="22"/>
              </w:rPr>
              <w:t>Lost-sales-modell, forsyningssikkerhet</w:t>
            </w:r>
          </w:p>
        </w:tc>
      </w:tr>
      <w:tr>
        <w:tc>
          <w:tcPr>
            <w:tcW w:type="dxa" w:w="2192"/>
          </w:tcPr>
          <w:p>
            <w:r/>
            <w:r>
              <w:rPr>
                <w:rFonts w:ascii="Times New Roman" w:hAnsi="Times New Roman"/>
                <w:b w:val="0"/>
                <w:sz w:val="22"/>
              </w:rPr>
              <w:t>de Vries</w:t>
            </w:r>
          </w:p>
        </w:tc>
        <w:tc>
          <w:tcPr>
            <w:tcW w:type="dxa" w:w="2192"/>
          </w:tcPr>
          <w:p>
            <w:r/>
            <w:r>
              <w:rPr>
                <w:rFonts w:ascii="Times New Roman" w:hAnsi="Times New Roman"/>
                <w:b w:val="0"/>
                <w:sz w:val="22"/>
              </w:rPr>
              <w:t>2011</w:t>
            </w:r>
          </w:p>
        </w:tc>
        <w:tc>
          <w:tcPr>
            <w:tcW w:type="dxa" w:w="2192"/>
          </w:tcPr>
          <w:p>
            <w:r/>
            <w:r>
              <w:rPr>
                <w:rFonts w:ascii="Times New Roman" w:hAnsi="Times New Roman"/>
                <w:b w:val="0"/>
                <w:sz w:val="22"/>
              </w:rPr>
              <w:t>Interessentanalyse, lageromstilling i helse</w:t>
            </w:r>
          </w:p>
        </w:tc>
        <w:tc>
          <w:tcPr>
            <w:tcW w:type="dxa" w:w="2192"/>
          </w:tcPr>
          <w:p>
            <w:r/>
            <w:r>
              <w:rPr>
                <w:rFonts w:ascii="Times New Roman" w:hAnsi="Times New Roman"/>
                <w:b w:val="0"/>
                <w:sz w:val="22"/>
              </w:rPr>
              <w:t>Organisatoriske barrierer ved sentralisering</w:t>
            </w:r>
          </w:p>
        </w:tc>
      </w:tr>
      <w:tr>
        <w:tc>
          <w:tcPr>
            <w:tcW w:type="dxa" w:w="2192"/>
          </w:tcPr>
          <w:p>
            <w:r/>
            <w:r>
              <w:rPr>
                <w:rFonts w:ascii="Times New Roman" w:hAnsi="Times New Roman"/>
                <w:b w:val="0"/>
                <w:sz w:val="22"/>
              </w:rPr>
              <w:t>Fragapane et al.</w:t>
            </w:r>
          </w:p>
        </w:tc>
        <w:tc>
          <w:tcPr>
            <w:tcW w:type="dxa" w:w="2192"/>
          </w:tcPr>
          <w:p>
            <w:r/>
            <w:r>
              <w:rPr>
                <w:rFonts w:ascii="Times New Roman" w:hAnsi="Times New Roman"/>
                <w:b w:val="0"/>
                <w:sz w:val="22"/>
              </w:rPr>
              <w:t>2019</w:t>
            </w:r>
          </w:p>
        </w:tc>
        <w:tc>
          <w:tcPr>
            <w:tcW w:type="dxa" w:w="2192"/>
          </w:tcPr>
          <w:p>
            <w:r/>
            <w:r>
              <w:rPr>
                <w:rFonts w:ascii="Times New Roman" w:hAnsi="Times New Roman"/>
                <w:b w:val="0"/>
                <w:sz w:val="22"/>
              </w:rPr>
              <w:t>Forsyning til brukssted (APL)</w:t>
            </w:r>
          </w:p>
        </w:tc>
        <w:tc>
          <w:tcPr>
            <w:tcW w:type="dxa" w:w="2192"/>
          </w:tcPr>
          <w:p>
            <w:r/>
            <w:r>
              <w:rPr>
                <w:rFonts w:ascii="Times New Roman" w:hAnsi="Times New Roman"/>
                <w:b w:val="0"/>
                <w:sz w:val="22"/>
              </w:rPr>
              <w:t>APL-leveransemodell, sentraliseringskrav</w:t>
            </w:r>
          </w:p>
        </w:tc>
      </w:tr>
      <w:tr>
        <w:tc>
          <w:tcPr>
            <w:tcW w:type="dxa" w:w="2192"/>
          </w:tcPr>
          <w:p>
            <w:r/>
            <w:r>
              <w:rPr>
                <w:rFonts w:ascii="Times New Roman" w:hAnsi="Times New Roman"/>
                <w:b w:val="0"/>
                <w:sz w:val="22"/>
              </w:rPr>
              <w:t>Gupta et al.</w:t>
            </w:r>
          </w:p>
        </w:tc>
        <w:tc>
          <w:tcPr>
            <w:tcW w:type="dxa" w:w="2192"/>
          </w:tcPr>
          <w:p>
            <w:r/>
            <w:r>
              <w:rPr>
                <w:rFonts w:ascii="Times New Roman" w:hAnsi="Times New Roman"/>
                <w:b w:val="0"/>
                <w:sz w:val="22"/>
              </w:rPr>
              <w:t>2007</w:t>
            </w:r>
          </w:p>
        </w:tc>
        <w:tc>
          <w:tcPr>
            <w:tcW w:type="dxa" w:w="2192"/>
          </w:tcPr>
          <w:p>
            <w:r/>
            <w:r>
              <w:rPr>
                <w:rFonts w:ascii="Times New Roman" w:hAnsi="Times New Roman"/>
                <w:b w:val="0"/>
                <w:sz w:val="22"/>
              </w:rPr>
              <w:t>ABC- og VED-analyse, militærmedisinsk</w:t>
            </w:r>
          </w:p>
        </w:tc>
        <w:tc>
          <w:tcPr>
            <w:tcW w:type="dxa" w:w="2192"/>
          </w:tcPr>
          <w:p>
            <w:r/>
            <w:r>
              <w:rPr>
                <w:rFonts w:ascii="Times New Roman" w:hAnsi="Times New Roman"/>
                <w:b w:val="0"/>
                <w:sz w:val="22"/>
              </w:rPr>
              <w:t>ABC i sykehuskontekst med SAP-data</w:t>
            </w:r>
          </w:p>
        </w:tc>
      </w:tr>
      <w:tr>
        <w:tc>
          <w:tcPr>
            <w:tcW w:type="dxa" w:w="2192"/>
          </w:tcPr>
          <w:p>
            <w:r/>
            <w:r>
              <w:rPr>
                <w:rFonts w:ascii="Times New Roman" w:hAnsi="Times New Roman"/>
                <w:b w:val="0"/>
                <w:sz w:val="22"/>
              </w:rPr>
              <w:t>Gurumurthy et al.</w:t>
            </w:r>
          </w:p>
        </w:tc>
        <w:tc>
          <w:tcPr>
            <w:tcW w:type="dxa" w:w="2192"/>
          </w:tcPr>
          <w:p>
            <w:r/>
            <w:r>
              <w:rPr>
                <w:rFonts w:ascii="Times New Roman" w:hAnsi="Times New Roman"/>
                <w:b w:val="0"/>
                <w:sz w:val="22"/>
              </w:rPr>
              <w:t>2021</w:t>
            </w:r>
          </w:p>
        </w:tc>
        <w:tc>
          <w:tcPr>
            <w:tcW w:type="dxa" w:w="2192"/>
          </w:tcPr>
          <w:p>
            <w:r/>
            <w:r>
              <w:rPr>
                <w:rFonts w:ascii="Times New Roman" w:hAnsi="Times New Roman"/>
                <w:b w:val="0"/>
                <w:sz w:val="22"/>
              </w:rPr>
              <w:t>Hybrid lagerklassifisering, lean i sykehus</w:t>
            </w:r>
          </w:p>
        </w:tc>
        <w:tc>
          <w:tcPr>
            <w:tcW w:type="dxa" w:w="2192"/>
          </w:tcPr>
          <w:p>
            <w:r/>
            <w:r>
              <w:rPr>
                <w:rFonts w:ascii="Times New Roman" w:hAnsi="Times New Roman"/>
                <w:b w:val="0"/>
                <w:sz w:val="22"/>
              </w:rPr>
              <w:t>K-means i sykehuslogistikk</w:t>
            </w:r>
          </w:p>
        </w:tc>
      </w:tr>
      <w:tr>
        <w:tc>
          <w:tcPr>
            <w:tcW w:type="dxa" w:w="2192"/>
          </w:tcPr>
          <w:p>
            <w:r/>
            <w:r>
              <w:rPr>
                <w:rFonts w:ascii="Times New Roman" w:hAnsi="Times New Roman"/>
                <w:b w:val="0"/>
                <w:sz w:val="22"/>
              </w:rPr>
              <w:t>Hautaniemi &amp; Pirttilä</w:t>
            </w:r>
          </w:p>
        </w:tc>
        <w:tc>
          <w:tcPr>
            <w:tcW w:type="dxa" w:w="2192"/>
          </w:tcPr>
          <w:p>
            <w:r/>
            <w:r>
              <w:rPr>
                <w:rFonts w:ascii="Times New Roman" w:hAnsi="Times New Roman"/>
                <w:b w:val="0"/>
                <w:sz w:val="22"/>
              </w:rPr>
              <w:t>1999</w:t>
            </w:r>
          </w:p>
        </w:tc>
        <w:tc>
          <w:tcPr>
            <w:tcW w:type="dxa" w:w="2192"/>
          </w:tcPr>
          <w:p>
            <w:r/>
            <w:r>
              <w:rPr>
                <w:rFonts w:ascii="Times New Roman" w:hAnsi="Times New Roman"/>
                <w:b w:val="0"/>
                <w:sz w:val="22"/>
              </w:rPr>
              <w:t>Påfyllingspolicyer i MRP-miljø</w:t>
            </w:r>
          </w:p>
        </w:tc>
        <w:tc>
          <w:tcPr>
            <w:tcW w:type="dxa" w:w="2192"/>
          </w:tcPr>
          <w:p>
            <w:r/>
            <w:r>
              <w:rPr>
                <w:rFonts w:ascii="Times New Roman" w:hAnsi="Times New Roman"/>
                <w:b w:val="0"/>
                <w:sz w:val="22"/>
              </w:rPr>
              <w:t>EOQ-forutsetninger, lot sizing</w:t>
            </w:r>
          </w:p>
        </w:tc>
      </w:tr>
      <w:tr>
        <w:tc>
          <w:tcPr>
            <w:tcW w:type="dxa" w:w="2192"/>
          </w:tcPr>
          <w:p>
            <w:r/>
            <w:r>
              <w:rPr>
                <w:rFonts w:ascii="Times New Roman" w:hAnsi="Times New Roman"/>
                <w:b w:val="0"/>
                <w:sz w:val="22"/>
              </w:rPr>
              <w:t>Kelle et al.</w:t>
            </w:r>
          </w:p>
        </w:tc>
        <w:tc>
          <w:tcPr>
            <w:tcW w:type="dxa" w:w="2192"/>
          </w:tcPr>
          <w:p>
            <w:r/>
            <w:r>
              <w:rPr>
                <w:rFonts w:ascii="Times New Roman" w:hAnsi="Times New Roman"/>
                <w:b w:val="0"/>
                <w:sz w:val="22"/>
              </w:rPr>
              <w:t>2012</w:t>
            </w:r>
          </w:p>
        </w:tc>
        <w:tc>
          <w:tcPr>
            <w:tcW w:type="dxa" w:w="2192"/>
          </w:tcPr>
          <w:p>
            <w:r/>
            <w:r>
              <w:rPr>
                <w:rFonts w:ascii="Times New Roman" w:hAnsi="Times New Roman"/>
                <w:b w:val="0"/>
                <w:sz w:val="22"/>
              </w:rPr>
              <w:t>Farmasøytisk forsyningskjede, sykehus</w:t>
            </w:r>
          </w:p>
        </w:tc>
        <w:tc>
          <w:tcPr>
            <w:tcW w:type="dxa" w:w="2192"/>
          </w:tcPr>
          <w:p>
            <w:r/>
            <w:r>
              <w:rPr>
                <w:rFonts w:ascii="Times New Roman" w:hAnsi="Times New Roman"/>
                <w:b w:val="0"/>
                <w:sz w:val="22"/>
              </w:rPr>
              <w:t>Ordrekostnad S, sykehusinnkjøp</w:t>
            </w:r>
          </w:p>
        </w:tc>
      </w:tr>
      <w:tr>
        <w:tc>
          <w:tcPr>
            <w:tcW w:type="dxa" w:w="2192"/>
          </w:tcPr>
          <w:p>
            <w:r/>
            <w:r>
              <w:rPr>
                <w:rFonts w:ascii="Times New Roman" w:hAnsi="Times New Roman"/>
                <w:b w:val="0"/>
                <w:sz w:val="22"/>
              </w:rPr>
              <w:t>Keshavarz Ghorabaee et al.</w:t>
            </w:r>
          </w:p>
        </w:tc>
        <w:tc>
          <w:tcPr>
            <w:tcW w:type="dxa" w:w="2192"/>
          </w:tcPr>
          <w:p>
            <w:r/>
            <w:r>
              <w:rPr>
                <w:rFonts w:ascii="Times New Roman" w:hAnsi="Times New Roman"/>
                <w:b w:val="0"/>
                <w:sz w:val="22"/>
              </w:rPr>
              <w:t>2015</w:t>
            </w:r>
          </w:p>
        </w:tc>
        <w:tc>
          <w:tcPr>
            <w:tcW w:type="dxa" w:w="2192"/>
          </w:tcPr>
          <w:p>
            <w:r/>
            <w:r>
              <w:rPr>
                <w:rFonts w:ascii="Times New Roman" w:hAnsi="Times New Roman"/>
                <w:b w:val="0"/>
                <w:sz w:val="22"/>
              </w:rPr>
              <w:t>EDAS flerkriterieklassifisering</w:t>
            </w:r>
          </w:p>
        </w:tc>
        <w:tc>
          <w:tcPr>
            <w:tcW w:type="dxa" w:w="2192"/>
          </w:tcPr>
          <w:p>
            <w:r/>
            <w:r>
              <w:rPr>
                <w:rFonts w:ascii="Times New Roman" w:hAnsi="Times New Roman"/>
                <w:b w:val="0"/>
                <w:sz w:val="22"/>
              </w:rPr>
              <w:t>Alternativ til ABC, avstandsmetode</w:t>
            </w:r>
          </w:p>
        </w:tc>
      </w:tr>
      <w:tr>
        <w:tc>
          <w:tcPr>
            <w:tcW w:type="dxa" w:w="2192"/>
          </w:tcPr>
          <w:p>
            <w:r/>
            <w:r>
              <w:rPr>
                <w:rFonts w:ascii="Times New Roman" w:hAnsi="Times New Roman"/>
                <w:b w:val="0"/>
                <w:sz w:val="22"/>
              </w:rPr>
              <w:t>Ketkar &amp; Vaidya</w:t>
            </w:r>
          </w:p>
        </w:tc>
        <w:tc>
          <w:tcPr>
            <w:tcW w:type="dxa" w:w="2192"/>
          </w:tcPr>
          <w:p>
            <w:r/>
            <w:r>
              <w:rPr>
                <w:rFonts w:ascii="Times New Roman" w:hAnsi="Times New Roman"/>
                <w:b w:val="0"/>
                <w:sz w:val="22"/>
              </w:rPr>
              <w:t>2014</w:t>
            </w:r>
          </w:p>
        </w:tc>
        <w:tc>
          <w:tcPr>
            <w:tcW w:type="dxa" w:w="2192"/>
          </w:tcPr>
          <w:p>
            <w:r/>
            <w:r>
              <w:rPr>
                <w:rFonts w:ascii="Times New Roman" w:hAnsi="Times New Roman"/>
                <w:b w:val="0"/>
                <w:sz w:val="22"/>
              </w:rPr>
              <w:t>Bestillingspolicy, flerklassifisering</w:t>
            </w:r>
          </w:p>
        </w:tc>
        <w:tc>
          <w:tcPr>
            <w:tcW w:type="dxa" w:w="2192"/>
          </w:tcPr>
          <w:p>
            <w:r/>
            <w:r>
              <w:rPr>
                <w:rFonts w:ascii="Times New Roman" w:hAnsi="Times New Roman"/>
                <w:b w:val="0"/>
                <w:sz w:val="22"/>
              </w:rPr>
              <w:t>Holdesats h = 20 %, ABC/XYZ-kombinasjon</w:t>
            </w:r>
          </w:p>
        </w:tc>
      </w:tr>
      <w:tr>
        <w:tc>
          <w:tcPr>
            <w:tcW w:type="dxa" w:w="2192"/>
          </w:tcPr>
          <w:p>
            <w:r/>
            <w:r>
              <w:rPr>
                <w:rFonts w:ascii="Times New Roman" w:hAnsi="Times New Roman"/>
                <w:b w:val="0"/>
                <w:sz w:val="22"/>
              </w:rPr>
              <w:t>Moons et al.</w:t>
            </w:r>
          </w:p>
        </w:tc>
        <w:tc>
          <w:tcPr>
            <w:tcW w:type="dxa" w:w="2192"/>
          </w:tcPr>
          <w:p>
            <w:r/>
            <w:r>
              <w:rPr>
                <w:rFonts w:ascii="Times New Roman" w:hAnsi="Times New Roman"/>
                <w:b w:val="0"/>
                <w:sz w:val="22"/>
              </w:rPr>
              <w:t>2019</w:t>
            </w:r>
          </w:p>
        </w:tc>
        <w:tc>
          <w:tcPr>
            <w:tcW w:type="dxa" w:w="2192"/>
          </w:tcPr>
          <w:p>
            <w:r/>
            <w:r>
              <w:rPr>
                <w:rFonts w:ascii="Times New Roman" w:hAnsi="Times New Roman"/>
                <w:b w:val="0"/>
                <w:sz w:val="22"/>
              </w:rPr>
              <w:t>Ytelsesmåling, intern sykehusforsyning</w:t>
            </w:r>
          </w:p>
        </w:tc>
        <w:tc>
          <w:tcPr>
            <w:tcW w:type="dxa" w:w="2192"/>
          </w:tcPr>
          <w:p>
            <w:r/>
            <w:r>
              <w:rPr>
                <w:rFonts w:ascii="Times New Roman" w:hAnsi="Times New Roman"/>
                <w:b w:val="0"/>
                <w:sz w:val="22"/>
              </w:rPr>
              <w:t>Flerkriteriebaserte ytelsesmål</w:t>
            </w:r>
          </w:p>
        </w:tc>
      </w:tr>
      <w:tr>
        <w:tc>
          <w:tcPr>
            <w:tcW w:type="dxa" w:w="2192"/>
          </w:tcPr>
          <w:p>
            <w:r/>
            <w:r>
              <w:rPr>
                <w:rFonts w:ascii="Times New Roman" w:hAnsi="Times New Roman"/>
                <w:b w:val="0"/>
                <w:sz w:val="22"/>
              </w:rPr>
              <w:t>Nowotyńska</w:t>
            </w:r>
          </w:p>
        </w:tc>
        <w:tc>
          <w:tcPr>
            <w:tcW w:type="dxa" w:w="2192"/>
          </w:tcPr>
          <w:p>
            <w:r/>
            <w:r>
              <w:rPr>
                <w:rFonts w:ascii="Times New Roman" w:hAnsi="Times New Roman"/>
                <w:b w:val="0"/>
                <w:sz w:val="22"/>
              </w:rPr>
              <w:t>2013</w:t>
            </w:r>
          </w:p>
        </w:tc>
        <w:tc>
          <w:tcPr>
            <w:tcW w:type="dxa" w:w="2192"/>
          </w:tcPr>
          <w:p>
            <w:r/>
            <w:r>
              <w:rPr>
                <w:rFonts w:ascii="Times New Roman" w:hAnsi="Times New Roman"/>
                <w:b w:val="0"/>
                <w:sz w:val="22"/>
              </w:rPr>
              <w:t>XYZ-analyse, lagerstyring</w:t>
            </w:r>
          </w:p>
        </w:tc>
        <w:tc>
          <w:tcPr>
            <w:tcW w:type="dxa" w:w="2192"/>
          </w:tcPr>
          <w:p>
            <w:r/>
            <w:r>
              <w:rPr>
                <w:rFonts w:ascii="Times New Roman" w:hAnsi="Times New Roman"/>
                <w:b w:val="0"/>
                <w:sz w:val="22"/>
              </w:rPr>
              <w:t>CV-grenser X/Y/Z, metodegrunnlag</w:t>
            </w:r>
          </w:p>
        </w:tc>
      </w:tr>
      <w:tr>
        <w:tc>
          <w:tcPr>
            <w:tcW w:type="dxa" w:w="2192"/>
          </w:tcPr>
          <w:p>
            <w:r/>
            <w:r>
              <w:rPr>
                <w:rFonts w:ascii="Times New Roman" w:hAnsi="Times New Roman"/>
                <w:b w:val="0"/>
                <w:sz w:val="22"/>
              </w:rPr>
              <w:t>Pujawan</w:t>
            </w:r>
          </w:p>
        </w:tc>
        <w:tc>
          <w:tcPr>
            <w:tcW w:type="dxa" w:w="2192"/>
          </w:tcPr>
          <w:p>
            <w:r/>
            <w:r>
              <w:rPr>
                <w:rFonts w:ascii="Times New Roman" w:hAnsi="Times New Roman"/>
                <w:b w:val="0"/>
                <w:sz w:val="22"/>
              </w:rPr>
              <w:t>2004</w:t>
            </w:r>
          </w:p>
        </w:tc>
        <w:tc>
          <w:tcPr>
            <w:tcW w:type="dxa" w:w="2192"/>
          </w:tcPr>
          <w:p>
            <w:r/>
            <w:r>
              <w:rPr>
                <w:rFonts w:ascii="Times New Roman" w:hAnsi="Times New Roman"/>
                <w:b w:val="0"/>
                <w:sz w:val="22"/>
              </w:rPr>
              <w:t>Lot sizing, ordrevariabilitet</w:t>
            </w:r>
          </w:p>
        </w:tc>
        <w:tc>
          <w:tcPr>
            <w:tcW w:type="dxa" w:w="2192"/>
          </w:tcPr>
          <w:p>
            <w:r/>
            <w:r>
              <w:rPr>
                <w:rFonts w:ascii="Times New Roman" w:hAnsi="Times New Roman"/>
                <w:b w:val="0"/>
                <w:sz w:val="22"/>
              </w:rPr>
              <w:t>Bullwhip-effekt, EOQ-relevans</w:t>
            </w:r>
          </w:p>
        </w:tc>
      </w:tr>
      <w:tr>
        <w:tc>
          <w:tcPr>
            <w:tcW w:type="dxa" w:w="2192"/>
          </w:tcPr>
          <w:p>
            <w:r/>
            <w:r>
              <w:rPr>
                <w:rFonts w:ascii="Times New Roman" w:hAnsi="Times New Roman"/>
                <w:b w:val="0"/>
                <w:sz w:val="22"/>
              </w:rPr>
              <w:t>Saha &amp; Ray</w:t>
            </w:r>
          </w:p>
        </w:tc>
        <w:tc>
          <w:tcPr>
            <w:tcW w:type="dxa" w:w="2192"/>
          </w:tcPr>
          <w:p>
            <w:r/>
            <w:r>
              <w:rPr>
                <w:rFonts w:ascii="Times New Roman" w:hAnsi="Times New Roman"/>
                <w:b w:val="0"/>
                <w:sz w:val="22"/>
              </w:rPr>
              <w:t>2019</w:t>
            </w:r>
          </w:p>
        </w:tc>
        <w:tc>
          <w:tcPr>
            <w:tcW w:type="dxa" w:w="2192"/>
          </w:tcPr>
          <w:p>
            <w:r/>
            <w:r>
              <w:rPr>
                <w:rFonts w:ascii="Times New Roman" w:hAnsi="Times New Roman"/>
                <w:b w:val="0"/>
                <w:sz w:val="22"/>
              </w:rPr>
              <w:t>Lagermodeller i helsesektoren (review, 137 art.)</w:t>
            </w:r>
          </w:p>
        </w:tc>
        <w:tc>
          <w:tcPr>
            <w:tcW w:type="dxa" w:w="2192"/>
          </w:tcPr>
          <w:p>
            <w:r/>
            <w:r>
              <w:rPr>
                <w:rFonts w:ascii="Times New Roman" w:hAnsi="Times New Roman"/>
                <w:b w:val="0"/>
                <w:sz w:val="22"/>
              </w:rPr>
              <w:t>Gap: empiriske SAP-casestudier mangler</w:t>
            </w:r>
          </w:p>
        </w:tc>
      </w:tr>
      <w:tr>
        <w:tc>
          <w:tcPr>
            <w:tcW w:type="dxa" w:w="2192"/>
          </w:tcPr>
          <w:p>
            <w:r/>
            <w:r>
              <w:rPr>
                <w:rFonts w:ascii="Times New Roman" w:hAnsi="Times New Roman"/>
                <w:b w:val="0"/>
                <w:sz w:val="22"/>
              </w:rPr>
              <w:t>Silaen et al.</w:t>
            </w:r>
          </w:p>
        </w:tc>
        <w:tc>
          <w:tcPr>
            <w:tcW w:type="dxa" w:w="2192"/>
          </w:tcPr>
          <w:p>
            <w:r/>
            <w:r>
              <w:rPr>
                <w:rFonts w:ascii="Times New Roman" w:hAnsi="Times New Roman"/>
                <w:b w:val="0"/>
                <w:sz w:val="22"/>
              </w:rPr>
              <w:t>2023</w:t>
            </w:r>
          </w:p>
        </w:tc>
        <w:tc>
          <w:tcPr>
            <w:tcW w:type="dxa" w:w="2192"/>
          </w:tcPr>
          <w:p>
            <w:r/>
            <w:r>
              <w:rPr>
                <w:rFonts w:ascii="Times New Roman" w:hAnsi="Times New Roman"/>
                <w:b w:val="0"/>
                <w:sz w:val="22"/>
              </w:rPr>
              <w:t>ABC-analyse, implementering</w:t>
            </w:r>
          </w:p>
        </w:tc>
        <w:tc>
          <w:tcPr>
            <w:tcW w:type="dxa" w:w="2192"/>
          </w:tcPr>
          <w:p>
            <w:r/>
            <w:r>
              <w:rPr>
                <w:rFonts w:ascii="Times New Roman" w:hAnsi="Times New Roman"/>
                <w:b w:val="0"/>
                <w:sz w:val="22"/>
              </w:rPr>
              <w:t>ABC-grenser 80/95 %, Pareto-prinsippet</w:t>
            </w:r>
          </w:p>
        </w:tc>
      </w:tr>
      <w:tr>
        <w:tc>
          <w:tcPr>
            <w:tcW w:type="dxa" w:w="2192"/>
          </w:tcPr>
          <w:p>
            <w:r/>
            <w:r>
              <w:rPr>
                <w:rFonts w:ascii="Times New Roman" w:hAnsi="Times New Roman"/>
                <w:b w:val="0"/>
                <w:sz w:val="22"/>
              </w:rPr>
              <w:t>Srinivasan &amp; Moon</w:t>
            </w:r>
          </w:p>
        </w:tc>
        <w:tc>
          <w:tcPr>
            <w:tcW w:type="dxa" w:w="2192"/>
          </w:tcPr>
          <w:p>
            <w:r/>
            <w:r>
              <w:rPr>
                <w:rFonts w:ascii="Times New Roman" w:hAnsi="Times New Roman"/>
                <w:b w:val="0"/>
                <w:sz w:val="22"/>
              </w:rPr>
              <w:t>1999</w:t>
            </w:r>
          </w:p>
        </w:tc>
        <w:tc>
          <w:tcPr>
            <w:tcW w:type="dxa" w:w="2192"/>
          </w:tcPr>
          <w:p>
            <w:r/>
            <w:r>
              <w:rPr>
                <w:rFonts w:ascii="Times New Roman" w:hAnsi="Times New Roman"/>
                <w:b w:val="0"/>
                <w:sz w:val="22"/>
              </w:rPr>
              <w:t>Klyngeanalyse, forsyningskjedenettverk</w:t>
            </w:r>
          </w:p>
        </w:tc>
        <w:tc>
          <w:tcPr>
            <w:tcW w:type="dxa" w:w="2192"/>
          </w:tcPr>
          <w:p>
            <w:r/>
            <w:r>
              <w:rPr>
                <w:rFonts w:ascii="Times New Roman" w:hAnsi="Times New Roman"/>
                <w:b w:val="0"/>
                <w:sz w:val="22"/>
              </w:rPr>
              <w:t>K-means i SCM, nær-optimale løsninger</w:t>
            </w:r>
          </w:p>
        </w:tc>
      </w:tr>
      <w:tr>
        <w:tc>
          <w:tcPr>
            <w:tcW w:type="dxa" w:w="2192"/>
          </w:tcPr>
          <w:p>
            <w:r/>
            <w:r>
              <w:rPr>
                <w:rFonts w:ascii="Times New Roman" w:hAnsi="Times New Roman"/>
                <w:b w:val="0"/>
                <w:sz w:val="22"/>
              </w:rPr>
              <w:t>Suryaputri et al.</w:t>
            </w:r>
          </w:p>
        </w:tc>
        <w:tc>
          <w:tcPr>
            <w:tcW w:type="dxa" w:w="2192"/>
          </w:tcPr>
          <w:p>
            <w:r/>
            <w:r>
              <w:rPr>
                <w:rFonts w:ascii="Times New Roman" w:hAnsi="Times New Roman"/>
                <w:b w:val="0"/>
                <w:sz w:val="22"/>
              </w:rPr>
              <w:t>2022</w:t>
            </w:r>
          </w:p>
        </w:tc>
        <w:tc>
          <w:tcPr>
            <w:tcW w:type="dxa" w:w="2192"/>
          </w:tcPr>
          <w:p>
            <w:r/>
            <w:r>
              <w:rPr>
                <w:rFonts w:ascii="Times New Roman" w:hAnsi="Times New Roman"/>
                <w:b w:val="0"/>
                <w:sz w:val="22"/>
              </w:rPr>
              <w:t>ABC-XYZ-integrasjon, helseindustri</w:t>
            </w:r>
          </w:p>
        </w:tc>
        <w:tc>
          <w:tcPr>
            <w:tcW w:type="dxa" w:w="2192"/>
          </w:tcPr>
          <w:p>
            <w:r/>
            <w:r>
              <w:rPr>
                <w:rFonts w:ascii="Times New Roman" w:hAnsi="Times New Roman"/>
                <w:b w:val="0"/>
                <w:sz w:val="22"/>
              </w:rPr>
              <w:t>ABC/XYZ-matrise, bestillingspolicy</w:t>
            </w:r>
          </w:p>
        </w:tc>
      </w:tr>
      <w:tr>
        <w:tc>
          <w:tcPr>
            <w:tcW w:type="dxa" w:w="2192"/>
          </w:tcPr>
          <w:p>
            <w:r/>
            <w:r>
              <w:rPr>
                <w:rFonts w:ascii="Times New Roman" w:hAnsi="Times New Roman"/>
                <w:b w:val="0"/>
                <w:sz w:val="22"/>
              </w:rPr>
              <w:t>van Kampen et al.</w:t>
            </w:r>
          </w:p>
        </w:tc>
        <w:tc>
          <w:tcPr>
            <w:tcW w:type="dxa" w:w="2192"/>
          </w:tcPr>
          <w:p>
            <w:r/>
            <w:r>
              <w:rPr>
                <w:rFonts w:ascii="Times New Roman" w:hAnsi="Times New Roman"/>
                <w:b w:val="0"/>
                <w:sz w:val="22"/>
              </w:rPr>
              <w:t>2012</w:t>
            </w:r>
          </w:p>
        </w:tc>
        <w:tc>
          <w:tcPr>
            <w:tcW w:type="dxa" w:w="2192"/>
          </w:tcPr>
          <w:p>
            <w:r/>
            <w:r>
              <w:rPr>
                <w:rFonts w:ascii="Times New Roman" w:hAnsi="Times New Roman"/>
                <w:b w:val="0"/>
                <w:sz w:val="22"/>
              </w:rPr>
              <w:t>SKU-klassifiseringsrammeverk</w:t>
            </w:r>
          </w:p>
        </w:tc>
        <w:tc>
          <w:tcPr>
            <w:tcW w:type="dxa" w:w="2192"/>
          </w:tcPr>
          <w:p>
            <w:r/>
            <w:r>
              <w:rPr>
                <w:rFonts w:ascii="Times New Roman" w:hAnsi="Times New Roman"/>
                <w:b w:val="0"/>
                <w:sz w:val="22"/>
              </w:rPr>
              <w:t>Tre hoveddimensjoner, posisjonering</w:t>
            </w:r>
          </w:p>
        </w:tc>
      </w:tr>
      <w:tr>
        <w:tc>
          <w:tcPr>
            <w:tcW w:type="dxa" w:w="2192"/>
          </w:tcPr>
          <w:p>
            <w:r/>
            <w:r>
              <w:rPr>
                <w:rFonts w:ascii="Times New Roman" w:hAnsi="Times New Roman"/>
                <w:b w:val="0"/>
                <w:sz w:val="22"/>
              </w:rPr>
              <w:t>Volland et al.</w:t>
            </w:r>
          </w:p>
        </w:tc>
        <w:tc>
          <w:tcPr>
            <w:tcW w:type="dxa" w:w="2192"/>
          </w:tcPr>
          <w:p>
            <w:r/>
            <w:r>
              <w:rPr>
                <w:rFonts w:ascii="Times New Roman" w:hAnsi="Times New Roman"/>
                <w:b w:val="0"/>
                <w:sz w:val="22"/>
              </w:rPr>
              <w:t>2017</w:t>
            </w:r>
          </w:p>
        </w:tc>
        <w:tc>
          <w:tcPr>
            <w:tcW w:type="dxa" w:w="2192"/>
          </w:tcPr>
          <w:p>
            <w:r/>
            <w:r>
              <w:rPr>
                <w:rFonts w:ascii="Times New Roman" w:hAnsi="Times New Roman"/>
                <w:b w:val="0"/>
                <w:sz w:val="22"/>
              </w:rPr>
              <w:t>Materiallogistikk i sykehus (review, 145 pub.)</w:t>
            </w:r>
          </w:p>
        </w:tc>
        <w:tc>
          <w:tcPr>
            <w:tcW w:type="dxa" w:w="2192"/>
          </w:tcPr>
          <w:p>
            <w:r/>
            <w:r>
              <w:rPr>
                <w:rFonts w:ascii="Times New Roman" w:hAnsi="Times New Roman"/>
                <w:b w:val="0"/>
                <w:sz w:val="22"/>
              </w:rPr>
              <w:t>Lagerstyring dominerer, 30–40 % av drift</w:t>
            </w:r>
          </w:p>
        </w:tc>
      </w:tr>
    </w:tbl>
    <w:p>
      <w:pPr>
        <w:pStyle w:val="Overskrift2"/>
      </w:pPr>
      <w:r>
        <w:rPr>
          <w:rFonts w:ascii="Times New Roman" w:hAnsi="Times New Roman"/>
          <w:color w:val="000000"/>
          <w:sz w:val="32"/>
        </w:rPr>
        <w:t>2.2 ABC-analyse</w:t>
      </w:r>
    </w:p>
    <w:p>
      <w:pPr>
        <w:spacing w:line="360" w:lineRule="auto"/>
        <w:jc w:val="both"/>
      </w:pPr>
      <w:r>
        <w:rPr>
          <w:rFonts w:ascii="Times New Roman" w:hAnsi="Times New Roman" w:cs="Times New Roman"/>
          <w:sz w:val="24"/>
        </w:rPr>
        <w:t>ABC-analyse er en klassifiseringsmetode basert på Pareto-prinsippet, som fastslår at en liten andel artikler typisk står for en stor andel av total forbruksverdi. Metoden deler lagerbeholdningen i tre kategorier etter kumulativ verdiandel: A-artikler representerer de første 80 % av total innkjøpsverdi, B-artikler de neste 15 % og C-artikler de resterende 5 % (Silaen et al., 2023). Den formelle beregningen er beskrevet i kapittel 5.</w:t>
      </w:r>
    </w:p>
    <w:p>
      <w:pPr>
        <w:spacing w:line="360" w:lineRule="auto"/>
        <w:jc w:val="both"/>
      </w:pPr>
      <w:r>
        <w:rPr>
          <w:rFonts w:ascii="Times New Roman" w:hAnsi="Times New Roman" w:cs="Times New Roman"/>
          <w:sz w:val="24"/>
        </w:rPr>
        <w:t>Styrken ved ABC er enkelhet og direkte kopling til lagerkapitalbinding, men verdidimensjonen alene fanger ikke variabilitet i etterspørsel eller kritikalitet for forsyningssikkerhet (Partovi &amp; Burton, 1993). I denne oppgaven adresseres dette ved å kombinere ABC med XYZ-klassifisering og EOQ-avviksanalyse.</w:t>
      </w:r>
    </w:p>
    <w:p>
      <w:pPr>
        <w:pStyle w:val="Overskrift2"/>
      </w:pPr>
      <w:r>
        <w:rPr>
          <w:rFonts w:ascii="Times New Roman" w:hAnsi="Times New Roman"/>
          <w:color w:val="000000"/>
          <w:sz w:val="32"/>
        </w:rPr>
        <w:t>2.3 XYZ-klassifisering</w:t>
      </w:r>
    </w:p>
    <w:p>
      <w:pPr>
        <w:spacing w:line="360" w:lineRule="auto"/>
        <w:jc w:val="both"/>
      </w:pPr>
      <w:r>
        <w:rPr>
          <w:rFonts w:ascii="Times New Roman" w:hAnsi="Times New Roman" w:cs="Times New Roman"/>
          <w:sz w:val="24"/>
        </w:rPr>
        <w:t>XYZ-klassifisering kategoriserer artikler etter etterspørselens forutsigbarhet, målt ved variasjonskoeffisienten (CV). Klassifiseringsgrensene følger Nowotyńska (2013): X (</w:t>
      </w:r>
      <m:oMath>
        <m:r>
          <m:t>CV&lt;0,5,</m:t>
        </m:r>
      </m:oMath>
      <w:r>
        <w:rPr>
          <w:rFonts w:ascii="Times New Roman" w:hAnsi="Times New Roman" w:cs="Times New Roman"/>
          <w:sz w:val="24"/>
        </w:rPr>
        <w:t xml:space="preserve"> stabilt), Y (0,5 ≤ </w:t>
      </w:r>
      <m:oMath>
        <m:r>
          <m:t>CV&lt;1,0,</m:t>
        </m:r>
      </m:oMath>
      <w:r>
        <w:rPr>
          <w:rFonts w:ascii="Times New Roman" w:hAnsi="Times New Roman" w:cs="Times New Roman"/>
          <w:sz w:val="24"/>
        </w:rPr>
        <w:t xml:space="preserve"> moderat) og Z (</w:t>
      </w:r>
      <m:oMath>
        <m:r>
          <m:t>CV≥1,0,</m:t>
        </m:r>
      </m:oMath>
      <w:r>
        <w:rPr>
          <w:rFonts w:ascii="Times New Roman" w:hAnsi="Times New Roman" w:cs="Times New Roman"/>
          <w:sz w:val="24"/>
        </w:rPr>
        <w:t xml:space="preserve"> uregelmessig). Den formelle definisjonen er gitt i kapittel 5.</w:t>
      </w:r>
    </w:p>
    <w:p>
      <w:pPr>
        <w:spacing w:line="360" w:lineRule="auto"/>
        <w:jc w:val="both"/>
      </w:pPr>
      <w:r>
        <w:rPr>
          <w:rFonts w:ascii="Times New Roman" w:hAnsi="Times New Roman" w:cs="Times New Roman"/>
          <w:sz w:val="24"/>
        </w:rPr>
        <w:t>XYZ er metodisk komplementær til ABC: en AX-artikkel er en svært god kandidat for sentralisert styring, mens en AZ-artikkel krever lokal beredskapslagring uavhengig av verdi. Suryaputri et al. (2022) viser at ABC/XYZ-matrisen gir substansielt bedre differensiering av bestillingspolicy sammenlignet med enkeltkriterieanalyse. En sentral utfordring er at SAP-feltet ZZXYZ ikke oppdateres løpende; oppgaven behandler dette som et valideringsspørsmål og rapporterer samsvarsprosenten eksplisitt.</w:t>
      </w:r>
    </w:p>
    <w:p>
      <w:pPr>
        <w:pStyle w:val="Overskrift2"/>
      </w:pPr>
      <w:r>
        <w:rPr>
          <w:rFonts w:ascii="Times New Roman" w:hAnsi="Times New Roman"/>
          <w:color w:val="000000"/>
          <w:sz w:val="32"/>
        </w:rPr>
        <w:t>2.4 Economic Order Quantity (EOQ)</w:t>
      </w:r>
    </w:p>
    <w:p>
      <w:pPr>
        <w:spacing w:line="360" w:lineRule="auto"/>
        <w:jc w:val="both"/>
      </w:pPr>
      <w:r>
        <w:rPr>
          <w:rFonts w:ascii="Times New Roman" w:hAnsi="Times New Roman" w:cs="Times New Roman"/>
          <w:sz w:val="24"/>
        </w:rPr>
        <w:t>Economic Order Quantity (EOQ), også kjent som Wilson-modellen, beregner den optimale bestillingsmengden som minimerer summen av årlige ordrekostnader og holdekostnader (Ketkar &amp; Vaidya, 2014). I denne oppgaven benyttes EOQ primært for å identifisere artikler der faktisk bestillingsfrekvens avviker vesentlig fra den optimale, og der kostnadsavviket er kvantifiserbart. Den formelle modellformuleringen er gitt i kapittel 5.</w:t>
      </w:r>
    </w:p>
    <w:p>
      <w:pPr>
        <w:spacing w:line="360" w:lineRule="auto"/>
        <w:jc w:val="both"/>
      </w:pPr>
      <w:r>
        <w:rPr>
          <w:rFonts w:ascii="Times New Roman" w:hAnsi="Times New Roman" w:cs="Times New Roman"/>
          <w:sz w:val="24"/>
        </w:rPr>
        <w:t>Modellen forutsetter konstant etterspørsel, øyeblikkelig leveranse, ingen kvantumsrabatter og lineær holdekostnad – forutsetninger som i praksis brytes i varierende grad. Hautaniemi og Pirttilä (1999) påpeker at EOQ i mange tilfeller overstiger faktisk etterspørsel per periode, og Pujawan (2004) viser at suboptimale partistørrelser kan forplante seg som ordrevariabilitet oppover i forsyningskjeden. I sykehuskontekst begrenses dette noe av relativt stabile etterspørselsmønstre for volumartikler, men problemstillingen er relevant for Z-klassifiserte artikler. Parametervalgene (</w:t>
      </w:r>
      <m:oMath>
        <m:r>
          <m:t>S=750</m:t>
        </m:r>
      </m:oMath>
      <w:r>
        <w:rPr>
          <w:rFonts w:ascii="Times New Roman" w:hAnsi="Times New Roman" w:cs="Times New Roman"/>
          <w:sz w:val="24"/>
        </w:rPr>
        <w:t xml:space="preserve"> NOK, </w:t>
      </w:r>
      <m:oMath>
        <m:r>
          <m:t>H=p×20</m:t>
        </m:r>
        <m:r>
          <m:t>%</m:t>
        </m:r>
      </m:oMath>
      <w:r>
        <w:rPr>
          <w:rFonts w:ascii="Times New Roman" w:hAnsi="Times New Roman" w:cs="Times New Roman"/>
          <w:sz w:val="24"/>
        </w:rPr>
        <w:t>) er begrunnet i kapittel 5, og sensitivitetsanalysen varierer begge for å kartlegge robustheten.</w:t>
      </w:r>
    </w:p>
    <w:p>
      <w:pPr>
        <w:pStyle w:val="Overskrift2"/>
      </w:pPr>
      <w:r>
        <w:rPr>
          <w:rFonts w:ascii="Times New Roman" w:hAnsi="Times New Roman"/>
          <w:color w:val="000000"/>
          <w:sz w:val="32"/>
        </w:rPr>
        <w:t>2.5 K-means klyngeanalyse</w:t>
      </w:r>
    </w:p>
    <w:p>
      <w:pPr>
        <w:spacing w:line="360" w:lineRule="auto"/>
        <w:jc w:val="both"/>
      </w:pPr>
      <w:r>
        <w:rPr>
          <w:rFonts w:ascii="Times New Roman" w:hAnsi="Times New Roman" w:cs="Times New Roman"/>
          <w:sz w:val="24"/>
        </w:rPr>
        <w:t xml:space="preserve">K-means er en partisjoneringsalgoritme som deler et datasett inn i </w:t>
      </w:r>
      <m:oMath>
        <m:r>
          <m:t>K</m:t>
        </m:r>
      </m:oMath>
      <w:r>
        <w:rPr>
          <w:rFonts w:ascii="Times New Roman" w:hAnsi="Times New Roman" w:cs="Times New Roman"/>
          <w:sz w:val="24"/>
        </w:rPr>
        <w:t xml:space="preserve"> klynger ved å minimere summen av kvadrerte euklidske avstander fra hvert datapunkt til tilhørende klyngesenter (Pedregosa et al., 2011). Optimalt antall klynger bestemmes via silhouette-score (Rousseeuw, 1987), der verdier over 0,3 regnes som akseptable for eksplorativ analyse (Ketkar &amp; Vaidya, 2014). Log-transformasjon og z-score-standardisering sikrer at variabler med ulik skala bidrar likeverdig til distanseberegningene; den tekniske spesifikasjonen er gitt i kapittel 5.</w:t>
      </w:r>
    </w:p>
    <w:p>
      <w:pPr>
        <w:spacing w:line="360" w:lineRule="auto"/>
        <w:jc w:val="both"/>
      </w:pPr>
      <w:r>
        <w:rPr>
          <w:rFonts w:ascii="Times New Roman" w:hAnsi="Times New Roman" w:cs="Times New Roman"/>
          <w:sz w:val="24"/>
        </w:rPr>
        <w:t>Sammenlignet med regelbaserte klassifiseringsmetoder har klyngeanalyse den fordelen at den er datadrevet og ikke forutsetter forhåndsdefinerte terskelverdier (Srinivasan &amp; Moon, 1999). Begrensningen er at K-means er sensitiv for initialisering og forutsetter konvekse klyngemønstre. Det finnes begrenset sykehus-spesifikk litteratur på K-means i lagerklassifisering; Gurumurthy et al. (2021) er blant de få som eksplisitt benytter klyngeanalyse i sykehuslogistikk, noe som understreker at metodekombinasjonen i denne studien bidrar til å utvide det empiriske grunnlaget.</w:t>
      </w:r>
    </w:p>
    <w:p>
      <w:pPr>
        <w:pStyle w:val="Overskrift2"/>
      </w:pPr>
      <w:r>
        <w:rPr>
          <w:rFonts w:ascii="Times New Roman" w:hAnsi="Times New Roman"/>
          <w:color w:val="000000"/>
          <w:sz w:val="32"/>
        </w:rPr>
        <w:t>2.6 Lagerstyring i helsesektoren</w:t>
      </w:r>
    </w:p>
    <w:p>
      <w:pPr>
        <w:spacing w:line="360" w:lineRule="auto"/>
        <w:jc w:val="both"/>
      </w:pPr>
      <w:r>
        <w:rPr>
          <w:rFonts w:ascii="Times New Roman" w:hAnsi="Times New Roman" w:cs="Times New Roman"/>
          <w:sz w:val="24"/>
        </w:rPr>
        <w:t>Sykehuslogistikk skiller seg fra industriell lagerstyring ved at forsyningssvikt kan ha direkte kliniske konsekvenser. Bijvank og Vis (2012) modellerer dette som et tapte-salg-lagersystem der stockout har direkte operasjonell kostnad, noe som medfører at sykehus tradisjonelt aksepterer høyere sikkerhetslager enn det som er kostnadsoptimalt. Moons et al. (2019) peker på at ytelsesmåling i sykehusforsyningskjeder er fragmentert, og at økonomiindikatorer må balanseres mot serviceindikatorer for klinisk tilgjengelighet.</w:t>
      </w:r>
    </w:p>
    <w:p>
      <w:pPr>
        <w:spacing w:line="360" w:lineRule="auto"/>
        <w:jc w:val="both"/>
      </w:pPr>
      <w:r>
        <w:rPr>
          <w:rFonts w:ascii="Times New Roman" w:hAnsi="Times New Roman" w:cs="Times New Roman"/>
          <w:sz w:val="24"/>
        </w:rPr>
        <w:t>Saha og Ray (2019) fant at casestudier med empiriske ERP-data er underrepresentert i litteraturen, og Gupta et al. (2007) viser at ABC-analyse med SAP-data reduserte lagerkapitalbindingen med 10–15 % i en sykehusstudie. Fragapane et al. (2019) understreker at sentraliserte APL-leveranser krever et systematisk klassifiseringsgrunnlag, mens de Vries (2011) advarer mot å undervurdere organisatoriske barrierer ved slike omstillinger.</w:t>
      </w:r>
    </w:p>
    <w:p>
      <w:pPr>
        <w:spacing w:line="360" w:lineRule="auto"/>
        <w:jc w:val="both"/>
      </w:pPr>
      <w:r>
        <w:rPr>
          <w:rFonts w:ascii="Times New Roman" w:hAnsi="Times New Roman" w:cs="Times New Roman"/>
          <w:sz w:val="24"/>
        </w:rPr>
        <w:t>Tabell 2 oppsummerer styrker, svakheter og forutsetninger for de fire analysemetodene som benyttes i denne oppgaven.</w:t>
      </w:r>
    </w:p>
    <w:p>
      <w:r>
        <w:rPr>
          <w:rFonts w:ascii="Times New Roman" w:hAnsi="Times New Roman"/>
          <w:i/>
          <w:sz w:val="20"/>
        </w:rPr>
        <w:t xml:space="preserve">Tabell </w:t>
      </w:r>
      <w:r>
        <w:fldChar w:fldCharType="begin"/>
      </w:r>
      <w:r>
        <w:instrText xml:space="preserve"> SEQ Tabell \* ARABIC </w:instrText>
      </w:r>
      <w:r>
        <w:fldChar w:fldCharType="separate"/>
      </w:r>
      <w:r>
        <w:rPr>
          <w:rFonts w:ascii="Times New Roman" w:hAnsi="Times New Roman"/>
          <w:i/>
          <w:sz w:val="20"/>
        </w:rPr>
        <w:t>N</w:t>
      </w:r>
      <w:r>
        <w:fldChar w:fldCharType="end"/>
      </w:r>
      <w:r>
        <w:rPr>
          <w:rFonts w:ascii="Times New Roman" w:hAnsi="Times New Roman"/>
          <w:i/>
          <w:sz w:val="20"/>
        </w:rPr>
        <w:t>. Sammenligning av analysemetoder brukt i oppgaven.</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1754"/>
        <w:gridCol w:w="1754"/>
        <w:gridCol w:w="1754"/>
        <w:gridCol w:w="1754"/>
        <w:gridCol w:w="1754"/>
      </w:tblGrid>
      <w:tr>
        <w:tc>
          <w:tcPr>
            <w:tcW w:type="dxa" w:w="1754"/>
            <w:tcBorders>
              <w:top w:val="single" w:sz="8" w:space="0" w:color="000000"/>
              <w:bottom w:val="single" w:sz="4" w:space="0" w:color="000000"/>
              <w:left w:val="nil"/>
              <w:right w:val="nil"/>
            </w:tcBorders>
          </w:tcPr>
          <w:p>
            <w:r/>
            <w:r>
              <w:rPr>
                <w:rFonts w:ascii="Times New Roman" w:hAnsi="Times New Roman"/>
                <w:b/>
                <w:sz w:val="22"/>
              </w:rPr>
              <w:t>Modell</w:t>
            </w:r>
          </w:p>
        </w:tc>
        <w:tc>
          <w:tcPr>
            <w:tcW w:type="dxa" w:w="1754"/>
            <w:tcBorders>
              <w:top w:val="single" w:sz="8" w:space="0" w:color="000000"/>
              <w:bottom w:val="single" w:sz="4" w:space="0" w:color="000000"/>
              <w:left w:val="nil"/>
              <w:right w:val="nil"/>
            </w:tcBorders>
          </w:tcPr>
          <w:p>
            <w:r/>
            <w:r>
              <w:rPr>
                <w:rFonts w:ascii="Times New Roman" w:hAnsi="Times New Roman"/>
                <w:b/>
                <w:sz w:val="22"/>
              </w:rPr>
              <w:t>Styrker</w:t>
            </w:r>
          </w:p>
        </w:tc>
        <w:tc>
          <w:tcPr>
            <w:tcW w:type="dxa" w:w="1754"/>
            <w:tcBorders>
              <w:top w:val="single" w:sz="8" w:space="0" w:color="000000"/>
              <w:bottom w:val="single" w:sz="4" w:space="0" w:color="000000"/>
              <w:left w:val="nil"/>
              <w:right w:val="nil"/>
            </w:tcBorders>
          </w:tcPr>
          <w:p>
            <w:r/>
            <w:r>
              <w:rPr>
                <w:rFonts w:ascii="Times New Roman" w:hAnsi="Times New Roman"/>
                <w:b/>
                <w:sz w:val="22"/>
              </w:rPr>
              <w:t>Svakheter</w:t>
            </w:r>
          </w:p>
        </w:tc>
        <w:tc>
          <w:tcPr>
            <w:tcW w:type="dxa" w:w="1754"/>
            <w:tcBorders>
              <w:top w:val="single" w:sz="8" w:space="0" w:color="000000"/>
              <w:bottom w:val="single" w:sz="4" w:space="0" w:color="000000"/>
              <w:left w:val="nil"/>
              <w:right w:val="nil"/>
            </w:tcBorders>
          </w:tcPr>
          <w:p>
            <w:r/>
            <w:r>
              <w:rPr>
                <w:rFonts w:ascii="Times New Roman" w:hAnsi="Times New Roman"/>
                <w:b/>
                <w:sz w:val="22"/>
              </w:rPr>
              <w:t>Forutsetninger</w:t>
            </w:r>
          </w:p>
        </w:tc>
        <w:tc>
          <w:tcPr>
            <w:tcW w:type="dxa" w:w="1754"/>
            <w:tcBorders>
              <w:top w:val="single" w:sz="8" w:space="0" w:color="000000"/>
              <w:bottom w:val="single" w:sz="4" w:space="0" w:color="000000"/>
              <w:left w:val="nil"/>
              <w:right w:val="nil"/>
            </w:tcBorders>
          </w:tcPr>
          <w:p>
            <w:r/>
            <w:r>
              <w:rPr>
                <w:rFonts w:ascii="Times New Roman" w:hAnsi="Times New Roman"/>
                <w:b/>
                <w:sz w:val="22"/>
              </w:rPr>
              <w:t>Referanse</w:t>
            </w:r>
          </w:p>
        </w:tc>
      </w:tr>
      <w:tr>
        <w:tc>
          <w:tcPr>
            <w:tcW w:type="dxa" w:w="1754"/>
          </w:tcPr>
          <w:p>
            <w:r/>
            <w:r>
              <w:rPr>
                <w:rFonts w:ascii="Times New Roman" w:hAnsi="Times New Roman"/>
                <w:b w:val="0"/>
                <w:sz w:val="22"/>
              </w:rPr>
              <w:t>ABC-analyse</w:t>
            </w:r>
          </w:p>
        </w:tc>
        <w:tc>
          <w:tcPr>
            <w:tcW w:type="dxa" w:w="1754"/>
          </w:tcPr>
          <w:p>
            <w:r/>
            <w:r>
              <w:rPr>
                <w:rFonts w:ascii="Times New Roman" w:hAnsi="Times New Roman"/>
                <w:b w:val="0"/>
                <w:sz w:val="22"/>
              </w:rPr>
              <w:t>Enkel, transparent, bred støtte i litteraturen</w:t>
            </w:r>
          </w:p>
        </w:tc>
        <w:tc>
          <w:tcPr>
            <w:tcW w:type="dxa" w:w="1754"/>
          </w:tcPr>
          <w:p>
            <w:r/>
            <w:r>
              <w:rPr>
                <w:rFonts w:ascii="Times New Roman" w:hAnsi="Times New Roman"/>
                <w:b w:val="0"/>
                <w:sz w:val="22"/>
              </w:rPr>
              <w:t>Ignorerer etterspørselsvariabilitet og kritikalitet</w:t>
            </w:r>
          </w:p>
        </w:tc>
        <w:tc>
          <w:tcPr>
            <w:tcW w:type="dxa" w:w="1754"/>
          </w:tcPr>
          <w:p>
            <w:r/>
            <w:r>
              <w:rPr>
                <w:rFonts w:ascii="Times New Roman" w:hAnsi="Times New Roman"/>
                <w:b w:val="0"/>
                <w:sz w:val="22"/>
              </w:rPr>
              <w:t>Kjent årsverdi per artikkel</w:t>
            </w:r>
          </w:p>
        </w:tc>
        <w:tc>
          <w:tcPr>
            <w:tcW w:type="dxa" w:w="1754"/>
          </w:tcPr>
          <w:p>
            <w:r/>
            <w:r>
              <w:rPr>
                <w:rFonts w:ascii="Times New Roman" w:hAnsi="Times New Roman"/>
                <w:b w:val="0"/>
                <w:sz w:val="22"/>
              </w:rPr>
              <w:t>Silaen et al. (2023)</w:t>
            </w:r>
          </w:p>
        </w:tc>
      </w:tr>
      <w:tr>
        <w:tc>
          <w:tcPr>
            <w:tcW w:type="dxa" w:w="1754"/>
          </w:tcPr>
          <w:p>
            <w:r/>
            <w:r>
              <w:rPr>
                <w:rFonts w:ascii="Times New Roman" w:hAnsi="Times New Roman"/>
                <w:b w:val="0"/>
                <w:sz w:val="22"/>
              </w:rPr>
              <w:t>XYZ-klassifisering</w:t>
            </w:r>
          </w:p>
        </w:tc>
        <w:tc>
          <w:tcPr>
            <w:tcW w:type="dxa" w:w="1754"/>
          </w:tcPr>
          <w:p>
            <w:r/>
            <w:r>
              <w:rPr>
                <w:rFonts w:ascii="Times New Roman" w:hAnsi="Times New Roman"/>
                <w:b w:val="0"/>
                <w:sz w:val="22"/>
              </w:rPr>
              <w:t>Fanger variabilitet i etterspørsel over tid</w:t>
            </w:r>
          </w:p>
        </w:tc>
        <w:tc>
          <w:tcPr>
            <w:tcW w:type="dxa" w:w="1754"/>
          </w:tcPr>
          <w:p>
            <w:r/>
            <w:r>
              <w:rPr>
                <w:rFonts w:ascii="Times New Roman" w:hAnsi="Times New Roman"/>
                <w:b w:val="0"/>
                <w:sz w:val="22"/>
              </w:rPr>
              <w:t>Krever tilstrekkelig transaksjonshistorikk</w:t>
            </w:r>
          </w:p>
        </w:tc>
        <w:tc>
          <w:tcPr>
            <w:tcW w:type="dxa" w:w="1754"/>
          </w:tcPr>
          <w:p>
            <w:r/>
            <w:r>
              <w:rPr>
                <w:rFonts w:ascii="Times New Roman" w:hAnsi="Times New Roman"/>
                <w:b w:val="0"/>
                <w:sz w:val="22"/>
              </w:rPr>
              <w:t>Månedlige forbruksdata tilgjengelig</w:t>
            </w:r>
          </w:p>
        </w:tc>
        <w:tc>
          <w:tcPr>
            <w:tcW w:type="dxa" w:w="1754"/>
          </w:tcPr>
          <w:p>
            <w:r/>
            <w:r>
              <w:rPr>
                <w:rFonts w:ascii="Times New Roman" w:hAnsi="Times New Roman"/>
                <w:b w:val="0"/>
                <w:sz w:val="22"/>
              </w:rPr>
              <w:t>Nowotyńska (2013)</w:t>
            </w:r>
          </w:p>
        </w:tc>
      </w:tr>
      <w:tr>
        <w:tc>
          <w:tcPr>
            <w:tcW w:type="dxa" w:w="1754"/>
          </w:tcPr>
          <w:p>
            <w:r/>
            <w:r>
              <w:rPr>
                <w:rFonts w:ascii="Times New Roman" w:hAnsi="Times New Roman"/>
                <w:b w:val="0"/>
                <w:sz w:val="22"/>
              </w:rPr>
              <w:t>EOQ (Wilson)</w:t>
            </w:r>
          </w:p>
        </w:tc>
        <w:tc>
          <w:tcPr>
            <w:tcW w:type="dxa" w:w="1754"/>
          </w:tcPr>
          <w:p>
            <w:r/>
            <w:r>
              <w:rPr>
                <w:rFonts w:ascii="Times New Roman" w:hAnsi="Times New Roman"/>
                <w:b w:val="0"/>
                <w:sz w:val="22"/>
              </w:rPr>
              <w:t>Analytisk optimal ordrekvantum, kvantifiserbart avvik</w:t>
            </w:r>
          </w:p>
        </w:tc>
        <w:tc>
          <w:tcPr>
            <w:tcW w:type="dxa" w:w="1754"/>
          </w:tcPr>
          <w:p>
            <w:r/>
            <w:r>
              <w:rPr>
                <w:rFonts w:ascii="Times New Roman" w:hAnsi="Times New Roman"/>
                <w:b w:val="0"/>
                <w:sz w:val="22"/>
              </w:rPr>
              <w:t>Sensitiv for S og H; antar konstant etterspørsel</w:t>
            </w:r>
          </w:p>
        </w:tc>
        <w:tc>
          <w:tcPr>
            <w:tcW w:type="dxa" w:w="1754"/>
          </w:tcPr>
          <w:p>
            <w:r/>
            <w:r>
              <w:rPr>
                <w:rFonts w:ascii="Times New Roman" w:hAnsi="Times New Roman"/>
                <w:b w:val="0"/>
                <w:sz w:val="22"/>
              </w:rPr>
              <w:t>Kjent S og H; kontinuerlig etterspørsel</w:t>
            </w:r>
          </w:p>
        </w:tc>
        <w:tc>
          <w:tcPr>
            <w:tcW w:type="dxa" w:w="1754"/>
          </w:tcPr>
          <w:p>
            <w:r/>
            <w:r>
              <w:rPr>
                <w:rFonts w:ascii="Times New Roman" w:hAnsi="Times New Roman"/>
                <w:b w:val="0"/>
                <w:sz w:val="22"/>
              </w:rPr>
              <w:t>Hautaniemi &amp; Pirttilä (1999)</w:t>
            </w:r>
          </w:p>
        </w:tc>
      </w:tr>
      <w:tr>
        <w:tc>
          <w:tcPr>
            <w:tcW w:type="dxa" w:w="1754"/>
          </w:tcPr>
          <w:p>
            <w:r/>
            <w:r>
              <w:rPr>
                <w:rFonts w:ascii="Times New Roman" w:hAnsi="Times New Roman"/>
                <w:b w:val="0"/>
                <w:sz w:val="22"/>
              </w:rPr>
              <w:t>K-means klyngeanalyse</w:t>
            </w:r>
          </w:p>
        </w:tc>
        <w:tc>
          <w:tcPr>
            <w:tcW w:type="dxa" w:w="1754"/>
          </w:tcPr>
          <w:p>
            <w:r/>
            <w:r>
              <w:rPr>
                <w:rFonts w:ascii="Times New Roman" w:hAnsi="Times New Roman"/>
                <w:b w:val="0"/>
                <w:sz w:val="22"/>
              </w:rPr>
              <w:t>Avdekker skjulte mønstre uten forhåndsbestemte grenser</w:t>
            </w:r>
          </w:p>
        </w:tc>
        <w:tc>
          <w:tcPr>
            <w:tcW w:type="dxa" w:w="1754"/>
          </w:tcPr>
          <w:p>
            <w:r/>
            <w:r>
              <w:rPr>
                <w:rFonts w:ascii="Times New Roman" w:hAnsi="Times New Roman"/>
                <w:b w:val="0"/>
                <w:sz w:val="22"/>
              </w:rPr>
              <w:t>Sensitiv for K-valg og initialisering</w:t>
            </w:r>
          </w:p>
        </w:tc>
        <w:tc>
          <w:tcPr>
            <w:tcW w:type="dxa" w:w="1754"/>
          </w:tcPr>
          <w:p>
            <w:r/>
            <w:r>
              <w:rPr>
                <w:rFonts w:ascii="Times New Roman" w:hAnsi="Times New Roman"/>
                <w:b w:val="0"/>
                <w:sz w:val="22"/>
              </w:rPr>
              <w:t>Normaliserte features; euklidsk avstand</w:t>
            </w:r>
          </w:p>
        </w:tc>
        <w:tc>
          <w:tcPr>
            <w:tcW w:type="dxa" w:w="1754"/>
          </w:tcPr>
          <w:p>
            <w:r/>
            <w:r>
              <w:rPr>
                <w:rFonts w:ascii="Times New Roman" w:hAnsi="Times New Roman"/>
                <w:b w:val="0"/>
                <w:sz w:val="22"/>
              </w:rPr>
              <w:t>Srinivasan &amp; Moon (1999)</w:t>
            </w:r>
          </w:p>
        </w:tc>
      </w:tr>
    </w:tbl>
    <w:p>
      <w:pPr>
        <w:pStyle w:val="Overskrift2"/>
      </w:pPr>
      <w:r>
        <w:rPr>
          <w:rFonts w:ascii="Times New Roman" w:hAnsi="Times New Roman"/>
          <w:color w:val="000000"/>
          <w:sz w:val="32"/>
        </w:rPr>
        <w:t>2.7 Konseptuelt rammeverk</w:t>
      </w:r>
    </w:p>
    <w:p>
      <w:pPr>
        <w:spacing w:line="360" w:lineRule="auto"/>
        <w:jc w:val="both"/>
      </w:pPr>
      <w:r>
        <w:rPr>
          <w:rFonts w:ascii="Times New Roman" w:hAnsi="Times New Roman" w:cs="Times New Roman"/>
          <w:sz w:val="24"/>
        </w:rPr>
        <w:t xml:space="preserve">Denne oppgaven opererer innenfor et konseptuelt rammeverk som beskriver en sekvensiell analysemodell fra rådata til beslutningsanbefaling. Modellen kombinerer deterministisk klassifisering (ABC og XYZ) med eksplorativ segmentering (K-means): de regelbaserte metodene produserer reproduserbare klasser ut fra forhåndsdefinerte grenseverdier, mens K-means avdekker datadrevne gruppestrukturer uten forhåndsbestemte grenser. Rammeverket er illustrert i Figur 1 og setter de fire metodene i et logisk avhengighetsforhold: ABC og XYZ er uavhengige analysedimensjoner som beregnes parallelt fra henholdsvis innkjøpsdata (EKPO/EKBE) og forbruksdata (MSEG). EOQ-avviksanalysen supplerer med en tredje dimensjon – kostnadseffektiviteten av nåværende bestillingspraksis. K-means klyngeanalyse er eksplorativ og avdekker datadrevne gruppestrukturer som ikke er forhåndsbestemt av regelgrenser. Regelmotor-trinnet integrerer alle fire dimensjoner til én anbefaling per artikkel: </w:t>
      </w:r>
      <w:r>
        <w:rPr>
          <w:rFonts w:ascii="Times New Roman" w:hAnsi="Times New Roman" w:cs="Times New Roman"/>
          <w:i/>
          <w:sz w:val="24"/>
        </w:rPr>
        <w:t>overfør til HVFS</w:t>
      </w:r>
      <w:r>
        <w:rPr>
          <w:rFonts w:ascii="Times New Roman" w:hAnsi="Times New Roman" w:cs="Times New Roman"/>
          <w:sz w:val="24"/>
        </w:rPr>
        <w:t xml:space="preserve">, </w:t>
      </w:r>
      <w:r>
        <w:rPr>
          <w:rFonts w:ascii="Times New Roman" w:hAnsi="Times New Roman" w:cs="Times New Roman"/>
          <w:i/>
          <w:sz w:val="24"/>
        </w:rPr>
        <w:t>behold lokalt</w:t>
      </w:r>
      <w:r>
        <w:rPr>
          <w:rFonts w:ascii="Times New Roman" w:hAnsi="Times New Roman" w:cs="Times New Roman"/>
          <w:sz w:val="24"/>
        </w:rPr>
        <w:t xml:space="preserve"> eller </w:t>
      </w:r>
      <w:r>
        <w:rPr>
          <w:rFonts w:ascii="Times New Roman" w:hAnsi="Times New Roman" w:cs="Times New Roman"/>
          <w:i/>
          <w:sz w:val="24"/>
        </w:rPr>
        <w:t>krever nærmere vurdering</w:t>
      </w:r>
      <w:r>
        <w:rPr>
          <w:rFonts w:ascii="Times New Roman" w:hAnsi="Times New Roman" w:cs="Times New Roman"/>
          <w:sz w:val="24"/>
        </w:rPr>
        <w:t>. Estimert besparelse beregnes som summen av EOQ-kostnadsavvik for HVFS-anbefalte artikler, justert for gevinstrealiseringsgrad.</w:t>
      </w:r>
    </w:p>
    <w:p>
      <w:r>
        <w:drawing>
          <wp:inline xmlns:a="http://schemas.openxmlformats.org/drawingml/2006/main" xmlns:pic="http://schemas.openxmlformats.org/drawingml/2006/picture">
            <wp:extent cx="5400000" cy="1615574"/>
            <wp:docPr id="4" name="Picture 4"/>
            <wp:cNvGraphicFramePr>
              <a:graphicFrameLocks noChangeAspect="1"/>
            </wp:cNvGraphicFramePr>
            <a:graphic>
              <a:graphicData uri="http://schemas.openxmlformats.org/drawingml/2006/picture">
                <pic:pic>
                  <pic:nvPicPr>
                    <pic:cNvPr id="0" name="Fig00_Konseptuelt_Rammeverk.png"/>
                    <pic:cNvPicPr/>
                  </pic:nvPicPr>
                  <pic:blipFill>
                    <a:blip r:embed="rId22"/>
                    <a:stretch>
                      <a:fillRect/>
                    </a:stretch>
                  </pic:blipFill>
                  <pic:spPr>
                    <a:xfrm>
                      <a:off x="0" y="0"/>
                      <a:ext cx="5400000" cy="1615574"/>
                    </a:xfrm>
                    <a:prstGeom prst="rect"/>
                  </pic:spPr>
                </pic:pic>
              </a:graphicData>
            </a:graphic>
          </wp:inline>
        </w:drawing>
      </w:r>
    </w:p>
    <w:p>
      <w:pPr>
        <w:jc w:val="center"/>
      </w:pPr>
      <w:r>
        <w:rPr>
          <w:rFonts w:ascii="Times New Roman" w:hAnsi="Times New Roman"/>
          <w:i/>
          <w:sz w:val="20"/>
        </w:rPr>
        <w:t xml:space="preserve">Figur </w:t>
      </w:r>
      <w:r>
        <w:fldChar w:fldCharType="begin"/>
      </w:r>
      <w:r>
        <w:instrText xml:space="preserve"> SEQ Figur \* ARABIC </w:instrText>
      </w:r>
      <w:r>
        <w:fldChar w:fldCharType="separate"/>
      </w:r>
      <w:r>
        <w:rPr>
          <w:rFonts w:ascii="Times New Roman" w:hAnsi="Times New Roman"/>
          <w:i/>
          <w:sz w:val="20"/>
        </w:rPr>
        <w:t>N</w:t>
      </w:r>
      <w:r>
        <w:fldChar w:fldCharType="end"/>
      </w:r>
      <w:r>
        <w:rPr>
          <w:rFonts w:ascii="Times New Roman" w:hAnsi="Times New Roman"/>
          <w:i/>
          <w:sz w:val="20"/>
        </w:rPr>
        <w:t>. Konseptuelt rammeverk – fra SAP-data til HVFS-anbefaling. Generert med støtte fra Claude.</w:t>
      </w:r>
    </w:p>
    <w:p>
      <w:pPr>
        <w:spacing w:line="360" w:lineRule="auto"/>
        <w:jc w:val="both"/>
      </w:pPr>
      <w:r>
        <w:rPr>
          <w:rFonts w:ascii="Times New Roman" w:hAnsi="Times New Roman" w:cs="Times New Roman"/>
          <w:sz w:val="24"/>
        </w:rPr>
        <w:t>Den detaljerte matematiske formuleringen av alle modellkomponenter – parameterdefinisjonene, formlene og grenseverdiene – presenteres i kapittel 5. Rammeverket anvendes på en konkret sykehuskontekst som beskrives i neste kapittel.</w:t>
      </w:r>
    </w:p>
    <w:p>
      <w:pPr>
        <w:pStyle w:val="Overskrift1"/>
        <w:pageBreakBefore w:val="true"/>
      </w:pPr>
      <w:r>
        <w:rPr>
          <w:rFonts w:ascii="Times New Roman" w:hAnsi="Times New Roman"/>
          <w:color w:val="000000"/>
          <w:sz w:val="36"/>
        </w:rPr>
        <w:t>Kapittel 3 – Casebeskrivelse</w:t>
      </w:r>
    </w:p>
    <w:p>
      <w:pPr>
        <w:pStyle w:val="Overskrift2"/>
      </w:pPr>
      <w:r>
        <w:rPr>
          <w:rFonts w:ascii="Times New Roman" w:hAnsi="Times New Roman"/>
          <w:color w:val="000000"/>
          <w:sz w:val="32"/>
        </w:rPr>
        <w:t>3.1 Helse Bergen og Helse Vest</w:t>
      </w:r>
    </w:p>
    <w:p>
      <w:pPr>
        <w:spacing w:line="360" w:lineRule="auto"/>
        <w:jc w:val="both"/>
      </w:pPr>
      <w:r>
        <w:rPr>
          <w:rFonts w:ascii="Times New Roman" w:hAnsi="Times New Roman" w:cs="Times New Roman"/>
          <w:sz w:val="24"/>
        </w:rPr>
        <w:t>Helse Bergen HF er det største helseforetaket i Helse Vest RHF og drifter Haukeland Universitetssykehus med ansvar for spesialisthelsetjenester til om lag 460 000 innbyggere. Helse Vest koordinerer fire helseforetak (Bergen, Stavanger, Fonna, Førde), og en regionalt harmonisert tilnærming til materialforvaltning har fått økt prioritet for å oppnå stordriftsfordeler.</w:t>
      </w:r>
    </w:p>
    <w:p>
      <w:pPr>
        <w:spacing w:line="360" w:lineRule="auto"/>
        <w:jc w:val="both"/>
      </w:pPr>
      <w:r>
        <w:rPr>
          <w:rFonts w:ascii="Times New Roman" w:hAnsi="Times New Roman" w:cs="Times New Roman"/>
          <w:sz w:val="24"/>
        </w:rPr>
        <w:t>Helse Bergen er i SAP S/4HANA registrert under anleggskode (WERKS) 3300. Det operative forsyningslageret for medisinsk forbruksmateriell er tilordnet lagersted (LGORT) 3001 under dette anlegget. Lageret håndterer anskaffelse, mottak, lagring og distribusjon av forbruksartikler til kliniske avdelinger. Innkjøp gjennomføres via innkjøpsgruppe 300 og 3000 i SAP, med bestillingstype ZNB som er Helse Bergens lokale bestillingstype for forsyningslageret. Alle varebevegelser – forbruk ut til avdeling (BWART 201 og 647) og varemottak inn fra leverandør (BWART 101) – er registrert som transaksjonsdata i SAP og utgjør det primære datagrunnlaget for denne oppgaven. Foretakets organisasjonsmessige plassering i Helse Vest og SAP-strukturen er illustrert i Figur 2. Tabell 3 oppsummerer nøkkeltallene for casevirksomheten.</w:t>
      </w:r>
    </w:p>
    <w:p>
      <w:r>
        <w:rPr>
          <w:rFonts w:ascii="Times New Roman" w:hAnsi="Times New Roman"/>
          <w:i/>
          <w:sz w:val="20"/>
        </w:rPr>
        <w:t xml:space="preserve">Tabell </w:t>
      </w:r>
      <w:r>
        <w:fldChar w:fldCharType="begin"/>
      </w:r>
      <w:r>
        <w:instrText xml:space="preserve"> SEQ Tabell \* ARABIC </w:instrText>
      </w:r>
      <w:r>
        <w:fldChar w:fldCharType="separate"/>
      </w:r>
      <w:r>
        <w:rPr>
          <w:rFonts w:ascii="Times New Roman" w:hAnsi="Times New Roman"/>
          <w:i/>
          <w:sz w:val="20"/>
        </w:rPr>
        <w:t>N</w:t>
      </w:r>
      <w:r>
        <w:fldChar w:fldCharType="end"/>
      </w:r>
      <w:r>
        <w:rPr>
          <w:rFonts w:ascii="Times New Roman" w:hAnsi="Times New Roman"/>
          <w:i/>
          <w:sz w:val="20"/>
        </w:rPr>
        <w:t>. Nøkkeltall for casevirksomheten Helse Bergen, WERKS 3300.</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923"/>
        <w:gridCol w:w="2923"/>
        <w:gridCol w:w="2923"/>
      </w:tblGrid>
      <w:tr>
        <w:tc>
          <w:tcPr>
            <w:tcW w:type="dxa" w:w="2923"/>
            <w:tcBorders>
              <w:top w:val="single" w:sz="8" w:space="0" w:color="000000"/>
              <w:bottom w:val="single" w:sz="4" w:space="0" w:color="000000"/>
              <w:left w:val="nil"/>
              <w:right w:val="nil"/>
            </w:tcBorders>
          </w:tcPr>
          <w:p>
            <w:r/>
            <w:r>
              <w:rPr>
                <w:rFonts w:ascii="Times New Roman" w:hAnsi="Times New Roman"/>
                <w:b/>
                <w:sz w:val="22"/>
              </w:rPr>
              <w:t>Nøkkeltall</w:t>
            </w:r>
          </w:p>
        </w:tc>
        <w:tc>
          <w:tcPr>
            <w:tcW w:type="dxa" w:w="2923"/>
            <w:tcBorders>
              <w:top w:val="single" w:sz="8" w:space="0" w:color="000000"/>
              <w:bottom w:val="single" w:sz="4" w:space="0" w:color="000000"/>
              <w:left w:val="nil"/>
              <w:right w:val="nil"/>
            </w:tcBorders>
          </w:tcPr>
          <w:p>
            <w:r/>
            <w:r>
              <w:rPr>
                <w:rFonts w:ascii="Times New Roman" w:hAnsi="Times New Roman"/>
                <w:b/>
                <w:sz w:val="22"/>
              </w:rPr>
              <w:t>Verdi</w:t>
            </w:r>
          </w:p>
        </w:tc>
        <w:tc>
          <w:tcPr>
            <w:tcW w:type="dxa" w:w="2923"/>
            <w:tcBorders>
              <w:top w:val="single" w:sz="8" w:space="0" w:color="000000"/>
              <w:bottom w:val="single" w:sz="4" w:space="0" w:color="000000"/>
              <w:left w:val="nil"/>
              <w:right w:val="nil"/>
            </w:tcBorders>
          </w:tcPr>
          <w:p>
            <w:r/>
            <w:r>
              <w:rPr>
                <w:rFonts w:ascii="Times New Roman" w:hAnsi="Times New Roman"/>
                <w:b/>
                <w:sz w:val="22"/>
              </w:rPr>
              <w:t>Kilde</w:t>
            </w:r>
          </w:p>
        </w:tc>
      </w:tr>
      <w:tr>
        <w:tc>
          <w:tcPr>
            <w:tcW w:type="dxa" w:w="2923"/>
          </w:tcPr>
          <w:p>
            <w:r/>
            <w:r>
              <w:rPr>
                <w:rFonts w:ascii="Times New Roman" w:hAnsi="Times New Roman"/>
                <w:b w:val="0"/>
                <w:sz w:val="22"/>
              </w:rPr>
              <w:t>Helseforetak</w:t>
            </w:r>
          </w:p>
        </w:tc>
        <w:tc>
          <w:tcPr>
            <w:tcW w:type="dxa" w:w="2923"/>
          </w:tcPr>
          <w:p>
            <w:r/>
            <w:r>
              <w:rPr>
                <w:rFonts w:ascii="Times New Roman" w:hAnsi="Times New Roman"/>
                <w:b w:val="0"/>
                <w:sz w:val="22"/>
              </w:rPr>
              <w:t>Helse Bergen HF</w:t>
            </w:r>
          </w:p>
        </w:tc>
        <w:tc>
          <w:tcPr>
            <w:tcW w:type="dxa" w:w="2923"/>
          </w:tcPr>
          <w:p>
            <w:r/>
            <w:r>
              <w:rPr>
                <w:rFonts w:ascii="Times New Roman" w:hAnsi="Times New Roman"/>
                <w:b w:val="0"/>
                <w:sz w:val="22"/>
              </w:rPr>
              <w:t>Helse Vest RHF</w:t>
            </w:r>
          </w:p>
        </w:tc>
      </w:tr>
      <w:tr>
        <w:tc>
          <w:tcPr>
            <w:tcW w:type="dxa" w:w="2923"/>
          </w:tcPr>
          <w:p>
            <w:r/>
            <w:r>
              <w:rPr>
                <w:rFonts w:ascii="Times New Roman" w:hAnsi="Times New Roman"/>
                <w:b w:val="0"/>
                <w:sz w:val="22"/>
              </w:rPr>
              <w:t>SAP-anlegg (WERKS)</w:t>
            </w:r>
          </w:p>
        </w:tc>
        <w:tc>
          <w:tcPr>
            <w:tcW w:type="dxa" w:w="2923"/>
          </w:tcPr>
          <w:p>
            <w:r/>
            <w:r>
              <w:rPr>
                <w:rFonts w:ascii="Times New Roman" w:hAnsi="Times New Roman"/>
                <w:b w:val="0"/>
                <w:sz w:val="22"/>
              </w:rPr>
              <w:t>3300</w:t>
            </w:r>
          </w:p>
        </w:tc>
        <w:tc>
          <w:tcPr>
            <w:tcW w:type="dxa" w:w="2923"/>
          </w:tcPr>
          <w:p>
            <w:r/>
            <w:r>
              <w:rPr>
                <w:rFonts w:ascii="Times New Roman" w:hAnsi="Times New Roman"/>
                <w:b w:val="0"/>
                <w:sz w:val="22"/>
              </w:rPr>
              <w:t>SAP S/4HANA</w:t>
            </w:r>
          </w:p>
        </w:tc>
      </w:tr>
      <w:tr>
        <w:tc>
          <w:tcPr>
            <w:tcW w:type="dxa" w:w="2923"/>
          </w:tcPr>
          <w:p>
            <w:r/>
            <w:r>
              <w:rPr>
                <w:rFonts w:ascii="Times New Roman" w:hAnsi="Times New Roman"/>
                <w:b w:val="0"/>
                <w:sz w:val="22"/>
              </w:rPr>
              <w:t>Lagersted (LGORT)</w:t>
            </w:r>
          </w:p>
        </w:tc>
        <w:tc>
          <w:tcPr>
            <w:tcW w:type="dxa" w:w="2923"/>
          </w:tcPr>
          <w:p>
            <w:r/>
            <w:r>
              <w:rPr>
                <w:rFonts w:ascii="Times New Roman" w:hAnsi="Times New Roman"/>
                <w:b w:val="0"/>
                <w:sz w:val="22"/>
              </w:rPr>
              <w:t>3001</w:t>
            </w:r>
          </w:p>
        </w:tc>
        <w:tc>
          <w:tcPr>
            <w:tcW w:type="dxa" w:w="2923"/>
          </w:tcPr>
          <w:p>
            <w:r/>
            <w:r>
              <w:rPr>
                <w:rFonts w:ascii="Times New Roman" w:hAnsi="Times New Roman"/>
                <w:b w:val="0"/>
                <w:sz w:val="22"/>
              </w:rPr>
              <w:t>SAP S/4HANA</w:t>
            </w:r>
          </w:p>
        </w:tc>
      </w:tr>
      <w:tr>
        <w:tc>
          <w:tcPr>
            <w:tcW w:type="dxa" w:w="2923"/>
          </w:tcPr>
          <w:p>
            <w:r/>
            <w:r>
              <w:rPr>
                <w:rFonts w:ascii="Times New Roman" w:hAnsi="Times New Roman"/>
                <w:b w:val="0"/>
                <w:sz w:val="22"/>
              </w:rPr>
              <w:t>Antall aktive artikler</w:t>
            </w:r>
          </w:p>
        </w:tc>
        <w:tc>
          <w:tcPr>
            <w:tcW w:type="dxa" w:w="2923"/>
          </w:tcPr>
          <w:p>
            <w:r/>
            <w:r>
              <w:rPr>
                <w:rFonts w:ascii="Times New Roman" w:hAnsi="Times New Roman"/>
                <w:b w:val="0"/>
                <w:sz w:val="22"/>
              </w:rPr>
              <w:t>709</w:t>
            </w:r>
          </w:p>
        </w:tc>
        <w:tc>
          <w:tcPr>
            <w:tcW w:type="dxa" w:w="2923"/>
          </w:tcPr>
          <w:p>
            <w:r/>
            <w:r>
              <w:rPr>
                <w:rFonts w:ascii="Times New Roman" w:hAnsi="Times New Roman"/>
                <w:b w:val="0"/>
                <w:sz w:val="22"/>
              </w:rPr>
              <w:t>MASTERFILE_V1.xlsx (D-01)</w:t>
            </w:r>
          </w:p>
        </w:tc>
      </w:tr>
      <w:tr>
        <w:tc>
          <w:tcPr>
            <w:tcW w:type="dxa" w:w="2923"/>
          </w:tcPr>
          <w:p>
            <w:r/>
            <w:r>
              <w:rPr>
                <w:rFonts w:ascii="Times New Roman" w:hAnsi="Times New Roman"/>
                <w:b w:val="0"/>
                <w:sz w:val="22"/>
              </w:rPr>
              <w:t>Analyseperiode</w:t>
            </w:r>
          </w:p>
        </w:tc>
        <w:tc>
          <w:tcPr>
            <w:tcW w:type="dxa" w:w="2923"/>
          </w:tcPr>
          <w:p>
            <w:r/>
            <w:r>
              <w:rPr>
                <w:rFonts w:ascii="Times New Roman" w:hAnsi="Times New Roman"/>
                <w:b w:val="0"/>
                <w:sz w:val="22"/>
              </w:rPr>
              <w:t>Januar 2024 – desember 2025 (24 mnd)</w:t>
            </w:r>
          </w:p>
        </w:tc>
        <w:tc>
          <w:tcPr>
            <w:tcW w:type="dxa" w:w="2923"/>
          </w:tcPr>
          <w:p>
            <w:r/>
            <w:r>
              <w:rPr>
                <w:rFonts w:ascii="Times New Roman" w:hAnsi="Times New Roman"/>
                <w:b w:val="0"/>
                <w:sz w:val="22"/>
              </w:rPr>
              <w:t>SAP SE16H</w:t>
            </w:r>
          </w:p>
        </w:tc>
      </w:tr>
      <w:tr>
        <w:tc>
          <w:tcPr>
            <w:tcW w:type="dxa" w:w="2923"/>
          </w:tcPr>
          <w:p>
            <w:r/>
            <w:r>
              <w:rPr>
                <w:rFonts w:ascii="Times New Roman" w:hAnsi="Times New Roman"/>
                <w:b w:val="0"/>
                <w:sz w:val="22"/>
              </w:rPr>
              <w:t>Antall SAP-kildetabeller</w:t>
            </w:r>
          </w:p>
        </w:tc>
        <w:tc>
          <w:tcPr>
            <w:tcW w:type="dxa" w:w="2923"/>
          </w:tcPr>
          <w:p>
            <w:r/>
            <w:r>
              <w:rPr>
                <w:rFonts w:ascii="Times New Roman" w:hAnsi="Times New Roman"/>
                <w:b w:val="0"/>
                <w:sz w:val="22"/>
              </w:rPr>
              <w:t>14</w:t>
            </w:r>
          </w:p>
        </w:tc>
        <w:tc>
          <w:tcPr>
            <w:tcW w:type="dxa" w:w="2923"/>
          </w:tcPr>
          <w:p>
            <w:r/>
            <w:r>
              <w:rPr>
                <w:rFonts w:ascii="Times New Roman" w:hAnsi="Times New Roman"/>
                <w:b w:val="0"/>
                <w:sz w:val="22"/>
              </w:rPr>
              <w:t>Dataspesifikasjon (Vedlegg A)</w:t>
            </w:r>
          </w:p>
        </w:tc>
      </w:tr>
      <w:tr>
        <w:tc>
          <w:tcPr>
            <w:tcW w:type="dxa" w:w="2923"/>
          </w:tcPr>
          <w:p>
            <w:r/>
            <w:r>
              <w:rPr>
                <w:rFonts w:ascii="Times New Roman" w:hAnsi="Times New Roman"/>
                <w:b w:val="0"/>
                <w:sz w:val="22"/>
              </w:rPr>
              <w:t>ERP-system</w:t>
            </w:r>
          </w:p>
        </w:tc>
        <w:tc>
          <w:tcPr>
            <w:tcW w:type="dxa" w:w="2923"/>
          </w:tcPr>
          <w:p>
            <w:r/>
            <w:r>
              <w:rPr>
                <w:rFonts w:ascii="Times New Roman" w:hAnsi="Times New Roman"/>
                <w:b w:val="0"/>
                <w:sz w:val="22"/>
              </w:rPr>
              <w:t>SAP S/4HANA (LIBRA-prosjektet)</w:t>
            </w:r>
          </w:p>
        </w:tc>
        <w:tc>
          <w:tcPr>
            <w:tcW w:type="dxa" w:w="2923"/>
          </w:tcPr>
          <w:p>
            <w:r/>
            <w:r>
              <w:rPr>
                <w:rFonts w:ascii="Times New Roman" w:hAnsi="Times New Roman"/>
                <w:b w:val="0"/>
                <w:sz w:val="22"/>
              </w:rPr>
              <w:t>Helse Vest IKT</w:t>
            </w:r>
          </w:p>
        </w:tc>
      </w:tr>
      <w:tr>
        <w:tc>
          <w:tcPr>
            <w:tcW w:type="dxa" w:w="2923"/>
          </w:tcPr>
          <w:p>
            <w:r/>
            <w:r>
              <w:rPr>
                <w:rFonts w:ascii="Times New Roman" w:hAnsi="Times New Roman"/>
                <w:b w:val="0"/>
                <w:sz w:val="22"/>
              </w:rPr>
              <w:t>Regionalt sentrallager</w:t>
            </w:r>
          </w:p>
        </w:tc>
        <w:tc>
          <w:tcPr>
            <w:tcW w:type="dxa" w:w="2923"/>
          </w:tcPr>
          <w:p>
            <w:r/>
            <w:r>
              <w:rPr>
                <w:rFonts w:ascii="Times New Roman" w:hAnsi="Times New Roman"/>
                <w:b w:val="0"/>
                <w:sz w:val="22"/>
              </w:rPr>
              <w:t>HVFS (Helse Vest Forsyningssenter)</w:t>
            </w:r>
          </w:p>
        </w:tc>
        <w:tc>
          <w:tcPr>
            <w:tcW w:type="dxa" w:w="2923"/>
          </w:tcPr>
          <w:p>
            <w:r/>
            <w:r>
              <w:rPr>
                <w:rFonts w:ascii="Times New Roman" w:hAnsi="Times New Roman"/>
                <w:b w:val="0"/>
                <w:sz w:val="22"/>
              </w:rPr>
              <w:t>Helse Vest RHF (2024)</w:t>
            </w:r>
          </w:p>
        </w:tc>
      </w:tr>
      <w:tr>
        <w:tc>
          <w:tcPr>
            <w:tcW w:type="dxa" w:w="2923"/>
          </w:tcPr>
          <w:p>
            <w:r/>
            <w:r>
              <w:rPr>
                <w:rFonts w:ascii="Times New Roman" w:hAnsi="Times New Roman"/>
                <w:b w:val="0"/>
                <w:sz w:val="22"/>
              </w:rPr>
              <w:t>APL-operatør</w:t>
            </w:r>
          </w:p>
        </w:tc>
        <w:tc>
          <w:tcPr>
            <w:tcW w:type="dxa" w:w="2923"/>
          </w:tcPr>
          <w:p>
            <w:r/>
            <w:r>
              <w:rPr>
                <w:rFonts w:ascii="Times New Roman" w:hAnsi="Times New Roman"/>
                <w:b w:val="0"/>
                <w:sz w:val="22"/>
              </w:rPr>
              <w:t>NorEngros</w:t>
            </w:r>
          </w:p>
        </w:tc>
        <w:tc>
          <w:tcPr>
            <w:tcW w:type="dxa" w:w="2923"/>
          </w:tcPr>
          <w:p>
            <w:r/>
            <w:r>
              <w:rPr>
                <w:rFonts w:ascii="Times New Roman" w:hAnsi="Times New Roman"/>
                <w:b w:val="0"/>
                <w:sz w:val="22"/>
              </w:rPr>
              <w:t>Helse Vest RHF (2024)</w:t>
            </w:r>
          </w:p>
        </w:tc>
      </w:tr>
      <w:tr>
        <w:tc>
          <w:tcPr>
            <w:tcW w:type="dxa" w:w="2923"/>
          </w:tcPr>
          <w:p>
            <w:r/>
            <w:r>
              <w:rPr>
                <w:rFonts w:ascii="Times New Roman" w:hAnsi="Times New Roman"/>
                <w:b w:val="0"/>
                <w:sz w:val="22"/>
              </w:rPr>
              <w:t>Innkjøpsgruppe</w:t>
            </w:r>
          </w:p>
        </w:tc>
        <w:tc>
          <w:tcPr>
            <w:tcW w:type="dxa" w:w="2923"/>
          </w:tcPr>
          <w:p>
            <w:r/>
            <w:r>
              <w:rPr>
                <w:rFonts w:ascii="Times New Roman" w:hAnsi="Times New Roman"/>
                <w:b w:val="0"/>
                <w:sz w:val="22"/>
              </w:rPr>
              <w:t>300 / 3000</w:t>
            </w:r>
          </w:p>
        </w:tc>
        <w:tc>
          <w:tcPr>
            <w:tcW w:type="dxa" w:w="2923"/>
          </w:tcPr>
          <w:p>
            <w:r/>
            <w:r>
              <w:rPr>
                <w:rFonts w:ascii="Times New Roman" w:hAnsi="Times New Roman"/>
                <w:b w:val="0"/>
                <w:sz w:val="22"/>
              </w:rPr>
              <w:t>SAP MM</w:t>
            </w:r>
          </w:p>
        </w:tc>
      </w:tr>
      <w:tr>
        <w:tc>
          <w:tcPr>
            <w:tcW w:type="dxa" w:w="2923"/>
          </w:tcPr>
          <w:p>
            <w:r/>
            <w:r>
              <w:rPr>
                <w:rFonts w:ascii="Times New Roman" w:hAnsi="Times New Roman"/>
                <w:b w:val="0"/>
                <w:sz w:val="22"/>
              </w:rPr>
              <w:t>Bestillingstype</w:t>
            </w:r>
          </w:p>
        </w:tc>
        <w:tc>
          <w:tcPr>
            <w:tcW w:type="dxa" w:w="2923"/>
          </w:tcPr>
          <w:p>
            <w:r/>
            <w:r>
              <w:rPr>
                <w:rFonts w:ascii="Times New Roman" w:hAnsi="Times New Roman"/>
                <w:b w:val="0"/>
                <w:sz w:val="22"/>
              </w:rPr>
              <w:t>ZNB (lokal bestillingstype)</w:t>
            </w:r>
          </w:p>
        </w:tc>
        <w:tc>
          <w:tcPr>
            <w:tcW w:type="dxa" w:w="2923"/>
          </w:tcPr>
          <w:p>
            <w:r/>
            <w:r>
              <w:rPr>
                <w:rFonts w:ascii="Times New Roman" w:hAnsi="Times New Roman"/>
                <w:b w:val="0"/>
                <w:sz w:val="22"/>
              </w:rPr>
              <w:t>SAP MM</w:t>
            </w:r>
          </w:p>
        </w:tc>
      </w:tr>
    </w:tbl>
    <w:p>
      <w:r>
        <w:drawing>
          <wp:inline xmlns:a="http://schemas.openxmlformats.org/drawingml/2006/main" xmlns:pic="http://schemas.openxmlformats.org/drawingml/2006/picture">
            <wp:extent cx="5400000" cy="2680986"/>
            <wp:docPr id="5" name="Picture 5"/>
            <wp:cNvGraphicFramePr>
              <a:graphicFrameLocks noChangeAspect="1"/>
            </wp:cNvGraphicFramePr>
            <a:graphic>
              <a:graphicData uri="http://schemas.openxmlformats.org/drawingml/2006/picture">
                <pic:pic>
                  <pic:nvPicPr>
                    <pic:cNvPr id="0" name="Fig01_Lagerstruktur.png"/>
                    <pic:cNvPicPr/>
                  </pic:nvPicPr>
                  <pic:blipFill>
                    <a:blip r:embed="rId23"/>
                    <a:stretch>
                      <a:fillRect/>
                    </a:stretch>
                  </pic:blipFill>
                  <pic:spPr>
                    <a:xfrm>
                      <a:off x="0" y="0"/>
                      <a:ext cx="5400000" cy="2680986"/>
                    </a:xfrm>
                    <a:prstGeom prst="rect"/>
                  </pic:spPr>
                </pic:pic>
              </a:graphicData>
            </a:graphic>
          </wp:inline>
        </w:drawing>
      </w:r>
    </w:p>
    <w:p>
      <w:pPr>
        <w:jc w:val="center"/>
      </w:pPr>
      <w:r>
        <w:rPr>
          <w:rFonts w:ascii="Times New Roman" w:hAnsi="Times New Roman"/>
          <w:i/>
          <w:sz w:val="20"/>
        </w:rPr>
        <w:t xml:space="preserve">Figur </w:t>
      </w:r>
      <w:r>
        <w:fldChar w:fldCharType="begin"/>
      </w:r>
      <w:r>
        <w:instrText xml:space="preserve"> SEQ Figur \* ARABIC </w:instrText>
      </w:r>
      <w:r>
        <w:fldChar w:fldCharType="separate"/>
      </w:r>
      <w:r>
        <w:rPr>
          <w:rFonts w:ascii="Times New Roman" w:hAnsi="Times New Roman"/>
          <w:i/>
          <w:sz w:val="20"/>
        </w:rPr>
        <w:t>N</w:t>
      </w:r>
      <w:r>
        <w:fldChar w:fldCharType="end"/>
      </w:r>
      <w:r>
        <w:rPr>
          <w:rFonts w:ascii="Times New Roman" w:hAnsi="Times New Roman"/>
          <w:i/>
          <w:sz w:val="20"/>
        </w:rPr>
        <w:t>. Lagerstruktur – Helse Vest forsyningskjede (forenklet). Generert med støtte fra Claude.</w:t>
      </w:r>
    </w:p>
    <w:p>
      <w:pPr>
        <w:pStyle w:val="Overskrift2"/>
      </w:pPr>
      <w:r>
        <w:rPr>
          <w:rFonts w:ascii="Times New Roman" w:hAnsi="Times New Roman"/>
          <w:color w:val="000000"/>
          <w:sz w:val="32"/>
        </w:rPr>
        <w:t>3.2 HVFS og LIBRA-prosjektet</w:t>
      </w:r>
    </w:p>
    <w:p>
      <w:pPr>
        <w:spacing w:line="360" w:lineRule="auto"/>
        <w:jc w:val="both"/>
      </w:pPr>
      <w:r>
        <w:rPr>
          <w:rFonts w:ascii="Times New Roman" w:hAnsi="Times New Roman" w:cs="Times New Roman"/>
          <w:sz w:val="24"/>
        </w:rPr>
        <w:t>Helse Vest Forsyningssenter (HVFS) er under etablering som et regionalt sentrallager for medisinsk forbruksmateriell for samtlige helseforetak i Helse Vest. NorEngros vant offentlig anbudskonkurranse som operatør og har ansvar for den fysiske lagerdriften ved HVFS (Helse Vest RHF, 2024). HVFS er konsipiert som en felles plattform som skal erstatte den fragmenterte strukturen der hvert helseforetak i dag forvalter egne lokale forsyningslagre med overlappende sortiment og separat innkjøpspraksis. Gjennom aggregering av innkjøpsvolum forventes det at HVFS kan oppnå stordriftsfordeler i forhandlinger med leverandører, redusere administrative transaksjonskostnader og sikre mer robust forsyningssikkerhet regionalt.</w:t>
      </w:r>
    </w:p>
    <w:p>
      <w:pPr>
        <w:spacing w:line="360" w:lineRule="auto"/>
        <w:jc w:val="both"/>
      </w:pPr>
      <w:r>
        <w:rPr>
          <w:rFonts w:ascii="Times New Roman" w:hAnsi="Times New Roman" w:cs="Times New Roman"/>
          <w:sz w:val="24"/>
        </w:rPr>
        <w:t>Et sentralt element i HVFS-konseptet er avdelingspakkede leveranser (APL) – ferdigpakkede leveranser direkte til avdeling uten mellomlagring. APL forutsetter stabil og forutsigbar etterspørsel, noe som gjør forbruksmønsterets stabilitet (XYZ-dimensjonen) til et relevant klassifiseringskriterium for HVFS-egnethet. APL-modellen er planlagt implementert frem mot 2029.</w:t>
      </w:r>
    </w:p>
    <w:p>
      <w:pPr>
        <w:spacing w:line="360" w:lineRule="auto"/>
        <w:jc w:val="both"/>
      </w:pPr>
      <w:r>
        <w:rPr>
          <w:rFonts w:ascii="Times New Roman" w:hAnsi="Times New Roman" w:cs="Times New Roman"/>
          <w:sz w:val="24"/>
        </w:rPr>
        <w:t>LIBRA-prosjektet er Helse Vest IKTs regionale program for implementering og harmonisering av SAP S/4HANA på tvers av alle helseforetak i Helse Vest. LIBRA legger det tekniske grunnlaget for at data fra ulike foretak kan sammenlignes og analyseres på tvers – en forutsetning for at HVFS-klassifisering skal ha overføringsverdi fra Helse Bergen til de øvrige foretakene. Fragapane et al. (2019) understreker at sentraliserte leveringsmodeller som APL krever et systematisk klassifiseringsgrunnlag for å skille mellom artikler som egner seg for sentralisering og artikler som bør forbli lokalt tilgjengelig.</w:t>
      </w:r>
    </w:p>
    <w:p>
      <w:pPr>
        <w:pStyle w:val="Overskrift2"/>
      </w:pPr>
      <w:r>
        <w:rPr>
          <w:rFonts w:ascii="Times New Roman" w:hAnsi="Times New Roman"/>
          <w:color w:val="000000"/>
          <w:sz w:val="32"/>
        </w:rPr>
        <w:t>3.3 Problemkontekst og datagrunnlag</w:t>
      </w:r>
    </w:p>
    <w:p>
      <w:pPr>
        <w:spacing w:line="360" w:lineRule="auto"/>
        <w:jc w:val="both"/>
      </w:pPr>
      <w:r>
        <w:rPr>
          <w:rFonts w:ascii="Times New Roman" w:hAnsi="Times New Roman" w:cs="Times New Roman"/>
          <w:sz w:val="24"/>
        </w:rPr>
        <w:t>Helse Bergens forsyningslager mangler i dag et systematisk, datadrevet grunnlag for å avgjøre hvilke av lagerets artikler som er aktuelle for overføring til HVFS. Beslutningene om sortimentstilhørighet treffes i stor grad basert på erfaring og skjønn, uten en strukturert analyse av verdi, forbruksmønster eller kostnadseffektiviteten ved nåværende bestillingspraksis.</w:t>
      </w:r>
    </w:p>
    <w:p>
      <w:pPr>
        <w:spacing w:line="360" w:lineRule="auto"/>
        <w:jc w:val="both"/>
      </w:pPr>
      <w:r>
        <w:rPr>
          <w:rFonts w:ascii="Times New Roman" w:hAnsi="Times New Roman" w:cs="Times New Roman"/>
          <w:sz w:val="24"/>
        </w:rPr>
        <w:t>I SAP S/4HANA er artikler tilordnet en SAP-generert XYZ-klassifisering (felt ZZXYZ i tabell MDMA), men denne klassifiseringen oppdateres ikke nødvendigvis løpende og kan basere seg på andre terskelverdier enn de som er standard i lagerstyringslitteraturen. Dette representerer en kjent problemstilling i foretaket: operative SAP-parametere er ikke alltid oppdatert i takt med faktiske forbruksmønstre, og det finnes ikke et etablert verktøy for å beregne klassifisering fra grunndataene på en reproduserbar måte. Fraværet av en slik modell er den direkte motivasjonen for denne oppgaven.</w:t>
      </w:r>
    </w:p>
    <w:p>
      <w:pPr>
        <w:spacing w:line="360" w:lineRule="auto"/>
        <w:jc w:val="both"/>
      </w:pPr>
      <w:r>
        <w:rPr>
          <w:rFonts w:ascii="Times New Roman" w:hAnsi="Times New Roman" w:cs="Times New Roman"/>
          <w:sz w:val="24"/>
        </w:rPr>
        <w:t>Datagrunnlaget for analysen er hentet fra 14 SAP-tabeller via transaksjonen SE16H i SAP S/4HANA ved Helse Bergen, for perioden 2024–2025 (se Tabell 4 for fullstendig tabelloversikt). Tabellene dekker fire funksjonelle kategorier. Masterdata – MARD, MDMA, MARA, MAKT, MARC og MBEW – definerer artikkeluniverset, gir pris- og varegruppedata samt Helse Bergens operative ABC/XYZ-indikatorer. Forbruksdata fra MSEG (bevegelsestype BWART 201 og 647) registrerer faktisk forbruk ut fra lageret til avdeling på månedlig nivå, og er grunnlaget for XYZ-klassifisering og beregning av etterspørselen D i EOQ-formelen. Innkjøpsdata fra EKKO, EKPO og EKBE dokumenterer innkjøpsordrer og varemottak fra leverandør i analyseperioden, og benyttes til ABC-verdiberegning og kartlegging av faktisk bestillingsfrekvens. Supplerende tabeller – EINA, EINE og T023T – bidrar med leveringstidsdata og varegruppenavn. Det er en viktig funksjonell distinksjon at forbruksdata (MSEG) og innkjøpsdata (EKKO/EKPO/EKBE) representerer henholdsvis vareflyt ut av og inn til lager, og benyttes til ulike analysedimensjoner.</w:t>
      </w:r>
    </w:p>
    <w:p>
      <w:pPr>
        <w:spacing w:line="360" w:lineRule="auto"/>
        <w:jc w:val="both"/>
      </w:pPr>
      <w:r>
        <w:rPr>
          <w:rFonts w:ascii="Times New Roman" w:hAnsi="Times New Roman" w:cs="Times New Roman"/>
          <w:sz w:val="24"/>
        </w:rPr>
        <w:t>Datapipelinen fra råuttrekk til analyseresultat er illustrert i Figur 4 (avsnitt 4.3). En sentral datakvalitetsutfordring er at enhetspris i MBEW (feltet STPRS) ikke er per stykk, men per prisenhet (PEINH), som ofte er 10 eller 100 for medisinsk forbruksmateriell. Korrekt enhetspris beregnes derfor som STPRS ÷ PEINH. I tillegg mangler 204 artikler innkjøpsdata fra EKPO i analyseperioden, noe som nødvendiggjør en alternativ verdiberegning basert på annualisert forbruk og enhetspris. Disse og øvrige datakvalitetsbeslutninger er dokumentert i kapittel 4. Datagrunnlaget og problemkonteksten som er beskrevet i dette kapittelet danner utgangspunktet for de metodiske valgene som presenteres i neste kapittel.</w:t>
      </w:r>
    </w:p>
    <w:p>
      <w:pPr>
        <w:pStyle w:val="Overskrift1"/>
        <w:pageBreakBefore w:val="true"/>
      </w:pPr>
      <w:r>
        <w:rPr>
          <w:rFonts w:ascii="Times New Roman" w:hAnsi="Times New Roman"/>
          <w:color w:val="000000"/>
          <w:sz w:val="36"/>
        </w:rPr>
        <w:t>Kapittel 4 – Metode og data</w:t>
      </w:r>
    </w:p>
    <w:p>
      <w:pPr>
        <w:pStyle w:val="Overskrift2"/>
      </w:pPr>
      <w:r>
        <w:rPr>
          <w:rFonts w:ascii="Times New Roman" w:hAnsi="Times New Roman"/>
          <w:color w:val="000000"/>
          <w:sz w:val="32"/>
        </w:rPr>
        <w:t>4.1 Forskningsdesign</w:t>
      </w:r>
    </w:p>
    <w:p>
      <w:pPr>
        <w:spacing w:line="360" w:lineRule="auto"/>
        <w:jc w:val="both"/>
      </w:pPr>
      <w:r>
        <w:rPr>
          <w:rFonts w:ascii="Times New Roman" w:hAnsi="Times New Roman" w:cs="Times New Roman"/>
          <w:sz w:val="24"/>
        </w:rPr>
        <w:t>Denne studien er utformet som en kvantitativ casestudie med deskriptiv, eksplorativ og normativ komponent. Det deskriptive elementet omfatter ABC/XYZ-klassifisering av eksisterende forbruksmønstre; det eksplorative omfatter K-means klyngeanalyse for mønstergjenkjenning; og det normative omfatter regelmotoren og besparelsesformelen som genererer handlingsanbefalinger. Casestudiedesignet egner seg fordi problemstillingen er avgrenset til én operativ kontekst – Helse Bergens forsyningslager WERKS 3300, LGORT 3001 – og fordi målet er å generere handlingsrettede anbefalinger basert på de operasjonelle dataene som faktisk eksisterer i dette systemet.</w:t>
      </w:r>
    </w:p>
    <w:p>
      <w:pPr>
        <w:spacing w:line="360" w:lineRule="auto"/>
        <w:jc w:val="both"/>
      </w:pPr>
      <w:r>
        <w:rPr>
          <w:rFonts w:ascii="Times New Roman" w:hAnsi="Times New Roman" w:cs="Times New Roman"/>
          <w:sz w:val="24"/>
        </w:rPr>
        <w:t>Studien er rent kvantitativ – det benyttes ingen spørreundersøkelser, intervjuer eller deltakerobservasjon. Alle analyser er basert på operasjonelle ERP-data fra SAP S/4HANA, som er automatisk registrert og i vesentlig grad fri fra selvrapporteringsfeil, men som kan inneholde registreringsfeil og uregistrerte uttakstyper (Saha &amp; Ray, 2019; jf. diskusjon i avsnitt 8.2). Datauttrekket ble gjennomført av forfatteren i januar 2026, med lesetilgang gjennom rollen som SAP MM-konsulent ved Helse Vest IKT. Analyseenheten er den individuelle lagerartikkelen (SKU), og populasjonen er de 709 aktive artiklene i LGORT 3001 per analyseperioden 2024–2025.</w:t>
      </w:r>
    </w:p>
    <w:p>
      <w:pPr>
        <w:spacing w:line="360" w:lineRule="auto"/>
        <w:jc w:val="both"/>
      </w:pPr>
      <w:r>
        <w:rPr>
          <w:rFonts w:ascii="Times New Roman" w:hAnsi="Times New Roman" w:cs="Times New Roman"/>
          <w:sz w:val="24"/>
        </w:rPr>
        <w:t>Studien er deskriptiv-analytisk: den klassifiserer eksisterende artikler og kombinerer resultatene i en regelbasert beslutningsmodell (van Kampen et al., 2012). Generaliserbarhet er begrenset til sammenlignbare sykehuslagre med SAP-infrastruktur; studien gir et reproduserbart metoderammeverk som kan tilpasses andre WERKS-enheter innenfor Helse Vest.</w:t>
      </w:r>
    </w:p>
    <w:p>
      <w:pPr>
        <w:pStyle w:val="Overskrift2"/>
      </w:pPr>
      <w:r>
        <w:rPr>
          <w:rFonts w:ascii="Times New Roman" w:hAnsi="Times New Roman"/>
          <w:color w:val="000000"/>
          <w:sz w:val="32"/>
        </w:rPr>
        <w:t>4.2 Datainnsamling</w:t>
      </w:r>
    </w:p>
    <w:p>
      <w:pPr>
        <w:spacing w:line="360" w:lineRule="auto"/>
        <w:jc w:val="both"/>
      </w:pPr>
      <w:r>
        <w:rPr>
          <w:rFonts w:ascii="Times New Roman" w:hAnsi="Times New Roman" w:cs="Times New Roman"/>
          <w:sz w:val="24"/>
        </w:rPr>
        <w:t>Alle data er hentet fra SAP S/4HANA via transaksjonen SE16H, som gir direkte lesetilgang til databasetabeller uten å gjøre endringer i systemet. Uttrekket er begrenset til WERKS 3300 og LGORT 3001, og dekker en analyseperiode på 24 måneder (januar 2024 til desember 2025). Perioden er valgt fordi den er lang nok til å fange sesongvariasjon og irregulære hendelser i forbruksmønsteret, uten å inkludere data fra perioder med vesentlig annerledes driftsforhold. Tabellen nedenfor gir en oversikt over de 14 SAP-tabellene som inngår i grunnlaget.</w:t>
      </w:r>
    </w:p>
    <w:p>
      <w:r>
        <w:rPr>
          <w:rFonts w:ascii="Times New Roman" w:hAnsi="Times New Roman"/>
          <w:i/>
          <w:sz w:val="20"/>
        </w:rPr>
        <w:t xml:space="preserve">Tabell </w:t>
      </w:r>
      <w:r>
        <w:fldChar w:fldCharType="begin"/>
      </w:r>
      <w:r>
        <w:instrText xml:space="preserve"> SEQ Tabell \* ARABIC </w:instrText>
      </w:r>
      <w:r>
        <w:fldChar w:fldCharType="separate"/>
      </w:r>
      <w:r>
        <w:rPr>
          <w:rFonts w:ascii="Times New Roman" w:hAnsi="Times New Roman"/>
          <w:i/>
          <w:sz w:val="20"/>
        </w:rPr>
        <w:t>N</w:t>
      </w:r>
      <w:r>
        <w:fldChar w:fldCharType="end"/>
      </w:r>
      <w:r>
        <w:rPr>
          <w:rFonts w:ascii="Times New Roman" w:hAnsi="Times New Roman"/>
          <w:i/>
          <w:sz w:val="20"/>
        </w:rPr>
        <w:t>. Datagrunnlag: 14 SAP S/4HANA-tabeller hentet via SE16H, analyseperiode 2024–2025, WERKS 3300 / LGORT 3001.</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192"/>
        <w:gridCol w:w="2192"/>
        <w:gridCol w:w="2192"/>
        <w:gridCol w:w="2192"/>
      </w:tblGrid>
      <w:tr>
        <w:tc>
          <w:tcPr>
            <w:tcW w:type="dxa" w:w="2192"/>
            <w:tcBorders>
              <w:top w:val="single" w:sz="8" w:space="0" w:color="000000"/>
              <w:bottom w:val="single" w:sz="4" w:space="0" w:color="000000"/>
              <w:left w:val="nil"/>
              <w:right w:val="nil"/>
            </w:tcBorders>
          </w:tcPr>
          <w:p>
            <w:r/>
            <w:r>
              <w:rPr>
                <w:rFonts w:ascii="Times New Roman" w:hAnsi="Times New Roman"/>
                <w:b/>
                <w:sz w:val="22"/>
              </w:rPr>
              <w:t>Nr</w:t>
            </w:r>
          </w:p>
        </w:tc>
        <w:tc>
          <w:tcPr>
            <w:tcW w:type="dxa" w:w="2192"/>
            <w:tcBorders>
              <w:top w:val="single" w:sz="8" w:space="0" w:color="000000"/>
              <w:bottom w:val="single" w:sz="4" w:space="0" w:color="000000"/>
              <w:left w:val="nil"/>
              <w:right w:val="nil"/>
            </w:tcBorders>
          </w:tcPr>
          <w:p>
            <w:r/>
            <w:r>
              <w:rPr>
                <w:rFonts w:ascii="Times New Roman" w:hAnsi="Times New Roman"/>
                <w:b/>
                <w:sz w:val="22"/>
              </w:rPr>
              <w:t>Tabell</w:t>
            </w:r>
          </w:p>
        </w:tc>
        <w:tc>
          <w:tcPr>
            <w:tcW w:type="dxa" w:w="2192"/>
            <w:tcBorders>
              <w:top w:val="single" w:sz="8" w:space="0" w:color="000000"/>
              <w:bottom w:val="single" w:sz="4" w:space="0" w:color="000000"/>
              <w:left w:val="nil"/>
              <w:right w:val="nil"/>
            </w:tcBorders>
          </w:tcPr>
          <w:p>
            <w:r/>
            <w:r>
              <w:rPr>
                <w:rFonts w:ascii="Times New Roman" w:hAnsi="Times New Roman"/>
                <w:b/>
                <w:sz w:val="22"/>
              </w:rPr>
              <w:t>Beskrivelse</w:t>
            </w:r>
          </w:p>
        </w:tc>
        <w:tc>
          <w:tcPr>
            <w:tcW w:type="dxa" w:w="2192"/>
            <w:tcBorders>
              <w:top w:val="single" w:sz="8" w:space="0" w:color="000000"/>
              <w:bottom w:val="single" w:sz="4" w:space="0" w:color="000000"/>
              <w:left w:val="nil"/>
              <w:right w:val="nil"/>
            </w:tcBorders>
          </w:tcPr>
          <w:p>
            <w:r/>
            <w:r>
              <w:rPr>
                <w:rFonts w:ascii="Times New Roman" w:hAnsi="Times New Roman"/>
                <w:b/>
                <w:sz w:val="22"/>
              </w:rPr>
              <w:t>Kategori</w:t>
            </w:r>
          </w:p>
        </w:tc>
      </w:tr>
      <w:tr>
        <w:tc>
          <w:tcPr>
            <w:tcW w:type="dxa" w:w="2192"/>
          </w:tcPr>
          <w:p>
            <w:r/>
            <w:r>
              <w:rPr>
                <w:rFonts w:ascii="Times New Roman" w:hAnsi="Times New Roman"/>
                <w:b w:val="0"/>
                <w:sz w:val="22"/>
              </w:rPr>
              <w:t>1</w:t>
            </w:r>
          </w:p>
        </w:tc>
        <w:tc>
          <w:tcPr>
            <w:tcW w:type="dxa" w:w="2192"/>
          </w:tcPr>
          <w:p>
            <w:r/>
            <w:r>
              <w:rPr>
                <w:rFonts w:ascii="Times New Roman" w:hAnsi="Times New Roman"/>
                <w:b w:val="0"/>
                <w:sz w:val="22"/>
              </w:rPr>
              <w:t>MARD</w:t>
            </w:r>
          </w:p>
        </w:tc>
        <w:tc>
          <w:tcPr>
            <w:tcW w:type="dxa" w:w="2192"/>
          </w:tcPr>
          <w:p>
            <w:r/>
            <w:r>
              <w:rPr>
                <w:rFonts w:ascii="Times New Roman" w:hAnsi="Times New Roman"/>
                <w:b w:val="0"/>
                <w:sz w:val="22"/>
              </w:rPr>
              <w:t>Lagerdata per lagersted (beholdning)</w:t>
            </w:r>
          </w:p>
        </w:tc>
        <w:tc>
          <w:tcPr>
            <w:tcW w:type="dxa" w:w="2192"/>
          </w:tcPr>
          <w:p>
            <w:r/>
            <w:r>
              <w:rPr>
                <w:rFonts w:ascii="Times New Roman" w:hAnsi="Times New Roman"/>
                <w:b w:val="0"/>
                <w:sz w:val="22"/>
              </w:rPr>
              <w:t>Masterdata</w:t>
            </w:r>
          </w:p>
        </w:tc>
      </w:tr>
      <w:tr>
        <w:tc>
          <w:tcPr>
            <w:tcW w:type="dxa" w:w="2192"/>
          </w:tcPr>
          <w:p>
            <w:r/>
            <w:r>
              <w:rPr>
                <w:rFonts w:ascii="Times New Roman" w:hAnsi="Times New Roman"/>
                <w:b w:val="0"/>
                <w:sz w:val="22"/>
              </w:rPr>
              <w:t>2</w:t>
            </w:r>
          </w:p>
        </w:tc>
        <w:tc>
          <w:tcPr>
            <w:tcW w:type="dxa" w:w="2192"/>
          </w:tcPr>
          <w:p>
            <w:r/>
            <w:r>
              <w:rPr>
                <w:rFonts w:ascii="Times New Roman" w:hAnsi="Times New Roman"/>
                <w:b w:val="0"/>
                <w:sz w:val="22"/>
              </w:rPr>
              <w:t>MDMA</w:t>
            </w:r>
          </w:p>
        </w:tc>
        <w:tc>
          <w:tcPr>
            <w:tcW w:type="dxa" w:w="2192"/>
          </w:tcPr>
          <w:p>
            <w:r/>
            <w:r>
              <w:rPr>
                <w:rFonts w:ascii="Times New Roman" w:hAnsi="Times New Roman"/>
                <w:b w:val="0"/>
                <w:sz w:val="22"/>
              </w:rPr>
              <w:t>MRP-data, ABC/XYZ-indikator (ZZABC, ZZXYZ)</w:t>
            </w:r>
          </w:p>
        </w:tc>
        <w:tc>
          <w:tcPr>
            <w:tcW w:type="dxa" w:w="2192"/>
          </w:tcPr>
          <w:p>
            <w:r/>
            <w:r>
              <w:rPr>
                <w:rFonts w:ascii="Times New Roman" w:hAnsi="Times New Roman"/>
                <w:b w:val="0"/>
                <w:sz w:val="22"/>
              </w:rPr>
              <w:t>Masterdata</w:t>
            </w:r>
          </w:p>
        </w:tc>
      </w:tr>
      <w:tr>
        <w:tc>
          <w:tcPr>
            <w:tcW w:type="dxa" w:w="2192"/>
          </w:tcPr>
          <w:p>
            <w:r/>
            <w:r>
              <w:rPr>
                <w:rFonts w:ascii="Times New Roman" w:hAnsi="Times New Roman"/>
                <w:b w:val="0"/>
                <w:sz w:val="22"/>
              </w:rPr>
              <w:t>3</w:t>
            </w:r>
          </w:p>
        </w:tc>
        <w:tc>
          <w:tcPr>
            <w:tcW w:type="dxa" w:w="2192"/>
          </w:tcPr>
          <w:p>
            <w:r/>
            <w:r>
              <w:rPr>
                <w:rFonts w:ascii="Times New Roman" w:hAnsi="Times New Roman"/>
                <w:b w:val="0"/>
                <w:sz w:val="22"/>
              </w:rPr>
              <w:t>MARA</w:t>
            </w:r>
          </w:p>
        </w:tc>
        <w:tc>
          <w:tcPr>
            <w:tcW w:type="dxa" w:w="2192"/>
          </w:tcPr>
          <w:p>
            <w:r/>
            <w:r>
              <w:rPr>
                <w:rFonts w:ascii="Times New Roman" w:hAnsi="Times New Roman"/>
                <w:b w:val="0"/>
                <w:sz w:val="22"/>
              </w:rPr>
              <w:t>Artikkelstamdata (MTART, MATKL, MEINS)</w:t>
            </w:r>
          </w:p>
        </w:tc>
        <w:tc>
          <w:tcPr>
            <w:tcW w:type="dxa" w:w="2192"/>
          </w:tcPr>
          <w:p>
            <w:r/>
            <w:r>
              <w:rPr>
                <w:rFonts w:ascii="Times New Roman" w:hAnsi="Times New Roman"/>
                <w:b w:val="0"/>
                <w:sz w:val="22"/>
              </w:rPr>
              <w:t>Masterdata</w:t>
            </w:r>
          </w:p>
        </w:tc>
      </w:tr>
      <w:tr>
        <w:tc>
          <w:tcPr>
            <w:tcW w:type="dxa" w:w="2192"/>
          </w:tcPr>
          <w:p>
            <w:r/>
            <w:r>
              <w:rPr>
                <w:rFonts w:ascii="Times New Roman" w:hAnsi="Times New Roman"/>
                <w:b w:val="0"/>
                <w:sz w:val="22"/>
              </w:rPr>
              <w:t>4</w:t>
            </w:r>
          </w:p>
        </w:tc>
        <w:tc>
          <w:tcPr>
            <w:tcW w:type="dxa" w:w="2192"/>
          </w:tcPr>
          <w:p>
            <w:r/>
            <w:r>
              <w:rPr>
                <w:rFonts w:ascii="Times New Roman" w:hAnsi="Times New Roman"/>
                <w:b w:val="0"/>
                <w:sz w:val="22"/>
              </w:rPr>
              <w:t>MAKT</w:t>
            </w:r>
          </w:p>
        </w:tc>
        <w:tc>
          <w:tcPr>
            <w:tcW w:type="dxa" w:w="2192"/>
          </w:tcPr>
          <w:p>
            <w:r/>
            <w:r>
              <w:rPr>
                <w:rFonts w:ascii="Times New Roman" w:hAnsi="Times New Roman"/>
                <w:b w:val="0"/>
                <w:sz w:val="22"/>
              </w:rPr>
              <w:t>Artikkeltekst (MAKTX)</w:t>
            </w:r>
          </w:p>
        </w:tc>
        <w:tc>
          <w:tcPr>
            <w:tcW w:type="dxa" w:w="2192"/>
          </w:tcPr>
          <w:p>
            <w:r/>
            <w:r>
              <w:rPr>
                <w:rFonts w:ascii="Times New Roman" w:hAnsi="Times New Roman"/>
                <w:b w:val="0"/>
                <w:sz w:val="22"/>
              </w:rPr>
              <w:t>Masterdata</w:t>
            </w:r>
          </w:p>
        </w:tc>
      </w:tr>
      <w:tr>
        <w:tc>
          <w:tcPr>
            <w:tcW w:type="dxa" w:w="2192"/>
          </w:tcPr>
          <w:p>
            <w:r/>
            <w:r>
              <w:rPr>
                <w:rFonts w:ascii="Times New Roman" w:hAnsi="Times New Roman"/>
                <w:b w:val="0"/>
                <w:sz w:val="22"/>
              </w:rPr>
              <w:t>5</w:t>
            </w:r>
          </w:p>
        </w:tc>
        <w:tc>
          <w:tcPr>
            <w:tcW w:type="dxa" w:w="2192"/>
          </w:tcPr>
          <w:p>
            <w:r/>
            <w:r>
              <w:rPr>
                <w:rFonts w:ascii="Times New Roman" w:hAnsi="Times New Roman"/>
                <w:b w:val="0"/>
                <w:sz w:val="22"/>
              </w:rPr>
              <w:t>MARC</w:t>
            </w:r>
          </w:p>
        </w:tc>
        <w:tc>
          <w:tcPr>
            <w:tcW w:type="dxa" w:w="2192"/>
          </w:tcPr>
          <w:p>
            <w:r/>
            <w:r>
              <w:rPr>
                <w:rFonts w:ascii="Times New Roman" w:hAnsi="Times New Roman"/>
                <w:b w:val="0"/>
                <w:sz w:val="22"/>
              </w:rPr>
              <w:t>Anleggsdata per materiale (MARC_ABC)</w:t>
            </w:r>
          </w:p>
        </w:tc>
        <w:tc>
          <w:tcPr>
            <w:tcW w:type="dxa" w:w="2192"/>
          </w:tcPr>
          <w:p>
            <w:r/>
            <w:r>
              <w:rPr>
                <w:rFonts w:ascii="Times New Roman" w:hAnsi="Times New Roman"/>
                <w:b w:val="0"/>
                <w:sz w:val="22"/>
              </w:rPr>
              <w:t>Masterdata</w:t>
            </w:r>
          </w:p>
        </w:tc>
      </w:tr>
      <w:tr>
        <w:tc>
          <w:tcPr>
            <w:tcW w:type="dxa" w:w="2192"/>
          </w:tcPr>
          <w:p>
            <w:r/>
            <w:r>
              <w:rPr>
                <w:rFonts w:ascii="Times New Roman" w:hAnsi="Times New Roman"/>
                <w:b w:val="0"/>
                <w:sz w:val="22"/>
              </w:rPr>
              <w:t>6</w:t>
            </w:r>
          </w:p>
        </w:tc>
        <w:tc>
          <w:tcPr>
            <w:tcW w:type="dxa" w:w="2192"/>
          </w:tcPr>
          <w:p>
            <w:r/>
            <w:r>
              <w:rPr>
                <w:rFonts w:ascii="Times New Roman" w:hAnsi="Times New Roman"/>
                <w:b w:val="0"/>
                <w:sz w:val="22"/>
              </w:rPr>
              <w:t>MBEW</w:t>
            </w:r>
          </w:p>
        </w:tc>
        <w:tc>
          <w:tcPr>
            <w:tcW w:type="dxa" w:w="2192"/>
          </w:tcPr>
          <w:p>
            <w:r/>
            <w:r>
              <w:rPr>
                <w:rFonts w:ascii="Times New Roman" w:hAnsi="Times New Roman"/>
                <w:b w:val="0"/>
                <w:sz w:val="22"/>
              </w:rPr>
              <w:t>Verdsettingsdata (STPRS, PEINH)</w:t>
            </w:r>
          </w:p>
        </w:tc>
        <w:tc>
          <w:tcPr>
            <w:tcW w:type="dxa" w:w="2192"/>
          </w:tcPr>
          <w:p>
            <w:r/>
            <w:r>
              <w:rPr>
                <w:rFonts w:ascii="Times New Roman" w:hAnsi="Times New Roman"/>
                <w:b w:val="0"/>
                <w:sz w:val="22"/>
              </w:rPr>
              <w:t>Masterdata</w:t>
            </w:r>
          </w:p>
        </w:tc>
      </w:tr>
      <w:tr>
        <w:tc>
          <w:tcPr>
            <w:tcW w:type="dxa" w:w="2192"/>
          </w:tcPr>
          <w:p>
            <w:r/>
            <w:r>
              <w:rPr>
                <w:rFonts w:ascii="Times New Roman" w:hAnsi="Times New Roman"/>
                <w:b w:val="0"/>
                <w:sz w:val="22"/>
              </w:rPr>
              <w:t>7</w:t>
            </w:r>
          </w:p>
        </w:tc>
        <w:tc>
          <w:tcPr>
            <w:tcW w:type="dxa" w:w="2192"/>
          </w:tcPr>
          <w:p>
            <w:r/>
            <w:r>
              <w:rPr>
                <w:rFonts w:ascii="Times New Roman" w:hAnsi="Times New Roman"/>
                <w:b w:val="0"/>
                <w:sz w:val="22"/>
              </w:rPr>
              <w:t>MSEG</w:t>
            </w:r>
          </w:p>
        </w:tc>
        <w:tc>
          <w:tcPr>
            <w:tcW w:type="dxa" w:w="2192"/>
          </w:tcPr>
          <w:p>
            <w:r/>
            <w:r>
              <w:rPr>
                <w:rFonts w:ascii="Times New Roman" w:hAnsi="Times New Roman"/>
                <w:b w:val="0"/>
                <w:sz w:val="22"/>
              </w:rPr>
              <w:t>Varebevegelser, forbruk (BWART 201, 647)</w:t>
            </w:r>
          </w:p>
        </w:tc>
        <w:tc>
          <w:tcPr>
            <w:tcW w:type="dxa" w:w="2192"/>
          </w:tcPr>
          <w:p>
            <w:r/>
            <w:r>
              <w:rPr>
                <w:rFonts w:ascii="Times New Roman" w:hAnsi="Times New Roman"/>
                <w:b w:val="0"/>
                <w:sz w:val="22"/>
              </w:rPr>
              <w:t>Forbruksdata</w:t>
            </w:r>
          </w:p>
        </w:tc>
      </w:tr>
      <w:tr>
        <w:tc>
          <w:tcPr>
            <w:tcW w:type="dxa" w:w="2192"/>
          </w:tcPr>
          <w:p>
            <w:r/>
            <w:r>
              <w:rPr>
                <w:rFonts w:ascii="Times New Roman" w:hAnsi="Times New Roman"/>
                <w:b w:val="0"/>
                <w:sz w:val="22"/>
              </w:rPr>
              <w:t>8</w:t>
            </w:r>
          </w:p>
        </w:tc>
        <w:tc>
          <w:tcPr>
            <w:tcW w:type="dxa" w:w="2192"/>
          </w:tcPr>
          <w:p>
            <w:r/>
            <w:r>
              <w:rPr>
                <w:rFonts w:ascii="Times New Roman" w:hAnsi="Times New Roman"/>
                <w:b w:val="0"/>
                <w:sz w:val="22"/>
              </w:rPr>
              <w:t>EKKO</w:t>
            </w:r>
          </w:p>
        </w:tc>
        <w:tc>
          <w:tcPr>
            <w:tcW w:type="dxa" w:w="2192"/>
          </w:tcPr>
          <w:p>
            <w:r/>
            <w:r>
              <w:rPr>
                <w:rFonts w:ascii="Times New Roman" w:hAnsi="Times New Roman"/>
                <w:b w:val="0"/>
                <w:sz w:val="22"/>
              </w:rPr>
              <w:t>Innkjøpsordrehoder (bestillingstype ZNB)</w:t>
            </w:r>
          </w:p>
        </w:tc>
        <w:tc>
          <w:tcPr>
            <w:tcW w:type="dxa" w:w="2192"/>
          </w:tcPr>
          <w:p>
            <w:r/>
            <w:r>
              <w:rPr>
                <w:rFonts w:ascii="Times New Roman" w:hAnsi="Times New Roman"/>
                <w:b w:val="0"/>
                <w:sz w:val="22"/>
              </w:rPr>
              <w:t>Innkjøpsdata</w:t>
            </w:r>
          </w:p>
        </w:tc>
      </w:tr>
      <w:tr>
        <w:tc>
          <w:tcPr>
            <w:tcW w:type="dxa" w:w="2192"/>
          </w:tcPr>
          <w:p>
            <w:r/>
            <w:r>
              <w:rPr>
                <w:rFonts w:ascii="Times New Roman" w:hAnsi="Times New Roman"/>
                <w:b w:val="0"/>
                <w:sz w:val="22"/>
              </w:rPr>
              <w:t>9</w:t>
            </w:r>
          </w:p>
        </w:tc>
        <w:tc>
          <w:tcPr>
            <w:tcW w:type="dxa" w:w="2192"/>
          </w:tcPr>
          <w:p>
            <w:r/>
            <w:r>
              <w:rPr>
                <w:rFonts w:ascii="Times New Roman" w:hAnsi="Times New Roman"/>
                <w:b w:val="0"/>
                <w:sz w:val="22"/>
              </w:rPr>
              <w:t>EKPO</w:t>
            </w:r>
          </w:p>
        </w:tc>
        <w:tc>
          <w:tcPr>
            <w:tcW w:type="dxa" w:w="2192"/>
          </w:tcPr>
          <w:p>
            <w:r/>
            <w:r>
              <w:rPr>
                <w:rFonts w:ascii="Times New Roman" w:hAnsi="Times New Roman"/>
                <w:b w:val="0"/>
                <w:sz w:val="22"/>
              </w:rPr>
              <w:t>Innkjøpsordreposisjoner (NETWR)</w:t>
            </w:r>
          </w:p>
        </w:tc>
        <w:tc>
          <w:tcPr>
            <w:tcW w:type="dxa" w:w="2192"/>
          </w:tcPr>
          <w:p>
            <w:r/>
            <w:r>
              <w:rPr>
                <w:rFonts w:ascii="Times New Roman" w:hAnsi="Times New Roman"/>
                <w:b w:val="0"/>
                <w:sz w:val="22"/>
              </w:rPr>
              <w:t>Innkjøpsdata</w:t>
            </w:r>
          </w:p>
        </w:tc>
      </w:tr>
      <w:tr>
        <w:tc>
          <w:tcPr>
            <w:tcW w:type="dxa" w:w="2192"/>
          </w:tcPr>
          <w:p>
            <w:r/>
            <w:r>
              <w:rPr>
                <w:rFonts w:ascii="Times New Roman" w:hAnsi="Times New Roman"/>
                <w:b w:val="0"/>
                <w:sz w:val="22"/>
              </w:rPr>
              <w:t>10</w:t>
            </w:r>
          </w:p>
        </w:tc>
        <w:tc>
          <w:tcPr>
            <w:tcW w:type="dxa" w:w="2192"/>
          </w:tcPr>
          <w:p>
            <w:r/>
            <w:r>
              <w:rPr>
                <w:rFonts w:ascii="Times New Roman" w:hAnsi="Times New Roman"/>
                <w:b w:val="0"/>
                <w:sz w:val="22"/>
              </w:rPr>
              <w:t>EKBE</w:t>
            </w:r>
          </w:p>
        </w:tc>
        <w:tc>
          <w:tcPr>
            <w:tcW w:type="dxa" w:w="2192"/>
          </w:tcPr>
          <w:p>
            <w:r/>
            <w:r>
              <w:rPr>
                <w:rFonts w:ascii="Times New Roman" w:hAnsi="Times New Roman"/>
                <w:b w:val="0"/>
                <w:sz w:val="22"/>
              </w:rPr>
              <w:t>Innkjøpsordrehistorikk/varemottak</w:t>
            </w:r>
          </w:p>
        </w:tc>
        <w:tc>
          <w:tcPr>
            <w:tcW w:type="dxa" w:w="2192"/>
          </w:tcPr>
          <w:p>
            <w:r/>
            <w:r>
              <w:rPr>
                <w:rFonts w:ascii="Times New Roman" w:hAnsi="Times New Roman"/>
                <w:b w:val="0"/>
                <w:sz w:val="22"/>
              </w:rPr>
              <w:t>Innkjøpsdata</w:t>
            </w:r>
          </w:p>
        </w:tc>
      </w:tr>
      <w:tr>
        <w:tc>
          <w:tcPr>
            <w:tcW w:type="dxa" w:w="2192"/>
          </w:tcPr>
          <w:p>
            <w:r/>
            <w:r>
              <w:rPr>
                <w:rFonts w:ascii="Times New Roman" w:hAnsi="Times New Roman"/>
                <w:b w:val="0"/>
                <w:sz w:val="22"/>
              </w:rPr>
              <w:t>11</w:t>
            </w:r>
          </w:p>
        </w:tc>
        <w:tc>
          <w:tcPr>
            <w:tcW w:type="dxa" w:w="2192"/>
          </w:tcPr>
          <w:p>
            <w:r/>
            <w:r>
              <w:rPr>
                <w:rFonts w:ascii="Times New Roman" w:hAnsi="Times New Roman"/>
                <w:b w:val="0"/>
                <w:sz w:val="22"/>
              </w:rPr>
              <w:t>EINA</w:t>
            </w:r>
          </w:p>
        </w:tc>
        <w:tc>
          <w:tcPr>
            <w:tcW w:type="dxa" w:w="2192"/>
          </w:tcPr>
          <w:p>
            <w:r/>
            <w:r>
              <w:rPr>
                <w:rFonts w:ascii="Times New Roman" w:hAnsi="Times New Roman"/>
                <w:b w:val="0"/>
                <w:sz w:val="22"/>
              </w:rPr>
              <w:t>Innkjøpsinforecord – generell del</w:t>
            </w:r>
          </w:p>
        </w:tc>
        <w:tc>
          <w:tcPr>
            <w:tcW w:type="dxa" w:w="2192"/>
          </w:tcPr>
          <w:p>
            <w:r/>
            <w:r>
              <w:rPr>
                <w:rFonts w:ascii="Times New Roman" w:hAnsi="Times New Roman"/>
                <w:b w:val="0"/>
                <w:sz w:val="22"/>
              </w:rPr>
              <w:t>Supplerende</w:t>
            </w:r>
          </w:p>
        </w:tc>
      </w:tr>
      <w:tr>
        <w:tc>
          <w:tcPr>
            <w:tcW w:type="dxa" w:w="2192"/>
          </w:tcPr>
          <w:p>
            <w:r/>
            <w:r>
              <w:rPr>
                <w:rFonts w:ascii="Times New Roman" w:hAnsi="Times New Roman"/>
                <w:b w:val="0"/>
                <w:sz w:val="22"/>
              </w:rPr>
              <w:t>12</w:t>
            </w:r>
          </w:p>
        </w:tc>
        <w:tc>
          <w:tcPr>
            <w:tcW w:type="dxa" w:w="2192"/>
          </w:tcPr>
          <w:p>
            <w:r/>
            <w:r>
              <w:rPr>
                <w:rFonts w:ascii="Times New Roman" w:hAnsi="Times New Roman"/>
                <w:b w:val="0"/>
                <w:sz w:val="22"/>
              </w:rPr>
              <w:t>EINE</w:t>
            </w:r>
          </w:p>
        </w:tc>
        <w:tc>
          <w:tcPr>
            <w:tcW w:type="dxa" w:w="2192"/>
          </w:tcPr>
          <w:p>
            <w:r/>
            <w:r>
              <w:rPr>
                <w:rFonts w:ascii="Times New Roman" w:hAnsi="Times New Roman"/>
                <w:b w:val="0"/>
                <w:sz w:val="22"/>
              </w:rPr>
              <w:t>Innkjøpsinforecord – organisasjonsdel (WETAG)</w:t>
            </w:r>
          </w:p>
        </w:tc>
        <w:tc>
          <w:tcPr>
            <w:tcW w:type="dxa" w:w="2192"/>
          </w:tcPr>
          <w:p>
            <w:r/>
            <w:r>
              <w:rPr>
                <w:rFonts w:ascii="Times New Roman" w:hAnsi="Times New Roman"/>
                <w:b w:val="0"/>
                <w:sz w:val="22"/>
              </w:rPr>
              <w:t>Supplerende</w:t>
            </w:r>
          </w:p>
        </w:tc>
      </w:tr>
      <w:tr>
        <w:tc>
          <w:tcPr>
            <w:tcW w:type="dxa" w:w="2192"/>
          </w:tcPr>
          <w:p>
            <w:r/>
            <w:r>
              <w:rPr>
                <w:rFonts w:ascii="Times New Roman" w:hAnsi="Times New Roman"/>
                <w:b w:val="0"/>
                <w:sz w:val="22"/>
              </w:rPr>
              <w:t>13</w:t>
            </w:r>
          </w:p>
        </w:tc>
        <w:tc>
          <w:tcPr>
            <w:tcW w:type="dxa" w:w="2192"/>
          </w:tcPr>
          <w:p>
            <w:r/>
            <w:r>
              <w:rPr>
                <w:rFonts w:ascii="Times New Roman" w:hAnsi="Times New Roman"/>
                <w:b w:val="0"/>
                <w:sz w:val="22"/>
              </w:rPr>
              <w:t>T023T</w:t>
            </w:r>
          </w:p>
        </w:tc>
        <w:tc>
          <w:tcPr>
            <w:tcW w:type="dxa" w:w="2192"/>
          </w:tcPr>
          <w:p>
            <w:r/>
            <w:r>
              <w:rPr>
                <w:rFonts w:ascii="Times New Roman" w:hAnsi="Times New Roman"/>
                <w:b w:val="0"/>
                <w:sz w:val="22"/>
              </w:rPr>
              <w:t>Varegruppenavn (WGBEZ)</w:t>
            </w:r>
          </w:p>
        </w:tc>
        <w:tc>
          <w:tcPr>
            <w:tcW w:type="dxa" w:w="2192"/>
          </w:tcPr>
          <w:p>
            <w:r/>
            <w:r>
              <w:rPr>
                <w:rFonts w:ascii="Times New Roman" w:hAnsi="Times New Roman"/>
                <w:b w:val="0"/>
                <w:sz w:val="22"/>
              </w:rPr>
              <w:t>Supplerende</w:t>
            </w:r>
          </w:p>
        </w:tc>
      </w:tr>
      <w:tr>
        <w:tc>
          <w:tcPr>
            <w:tcW w:type="dxa" w:w="2192"/>
          </w:tcPr>
          <w:p>
            <w:r/>
            <w:r>
              <w:rPr>
                <w:rFonts w:ascii="Times New Roman" w:hAnsi="Times New Roman"/>
                <w:b w:val="0"/>
                <w:sz w:val="22"/>
              </w:rPr>
              <w:t>14</w:t>
            </w:r>
          </w:p>
        </w:tc>
        <w:tc>
          <w:tcPr>
            <w:tcW w:type="dxa" w:w="2192"/>
          </w:tcPr>
          <w:p>
            <w:r/>
            <w:r>
              <w:rPr>
                <w:rFonts w:ascii="Times New Roman" w:hAnsi="Times New Roman"/>
                <w:b w:val="0"/>
                <w:sz w:val="22"/>
              </w:rPr>
              <w:t>T024</w:t>
            </w:r>
          </w:p>
        </w:tc>
        <w:tc>
          <w:tcPr>
            <w:tcW w:type="dxa" w:w="2192"/>
          </w:tcPr>
          <w:p>
            <w:r/>
            <w:r>
              <w:rPr>
                <w:rFonts w:ascii="Times New Roman" w:hAnsi="Times New Roman"/>
                <w:b w:val="0"/>
                <w:sz w:val="22"/>
              </w:rPr>
              <w:t>Innkjøpsgrupper (EKGRP)</w:t>
            </w:r>
          </w:p>
        </w:tc>
        <w:tc>
          <w:tcPr>
            <w:tcW w:type="dxa" w:w="2192"/>
          </w:tcPr>
          <w:p>
            <w:r/>
            <w:r>
              <w:rPr>
                <w:rFonts w:ascii="Times New Roman" w:hAnsi="Times New Roman"/>
                <w:b w:val="0"/>
                <w:sz w:val="22"/>
              </w:rPr>
              <w:t>Supplerende</w:t>
            </w:r>
          </w:p>
        </w:tc>
      </w:tr>
    </w:tbl>
    <w:p>
      <w:pPr>
        <w:spacing w:line="360" w:lineRule="auto"/>
        <w:jc w:val="both"/>
      </w:pPr>
      <w:r>
        <w:rPr>
          <w:rFonts w:ascii="Times New Roman" w:hAnsi="Times New Roman" w:cs="Times New Roman"/>
          <w:sz w:val="24"/>
        </w:rPr>
        <w:t>Råuttrekket inneholder 1 006 unike artikkelnumre. Populasjonsavgrensningen beskrives i detalj i avsnitt 4.3 nedenfor, og reduserer dette til 709 aktive artikler. For forbruksdata er det benyttet bevegelsestyper (BWART) 201 og 647 fra MSEG, som representerer henholdsvis vareforbruk til kostnadssted og spesialforbruk. Disse to bevegelsesstypene fanger det reelle forbruket ut fra lager og utelukker interne overføringer og returer som ville ha forvrengt etterspørselsestimatet. Innkjøpsdata er hentet fra EKKO/EKPO/EKBE, som gir faktiske ordrelinjer og varemottak; disse benyttes for ABC-verdiberegning og for estimering av faktisk ordrefrekvens. Leveringstidsdata er hentet fra EINE (feltet WETAG), men dekker kun 6 % av artiklene; se beslutning D-05 under. Figur 3 gir en samlet oversikt over fordelingen av nøkkelvariabler i det endelige datasettet på 709 artikler.</w:t>
      </w:r>
    </w:p>
    <w:p>
      <w:r>
        <w:drawing>
          <wp:inline xmlns:a="http://schemas.openxmlformats.org/drawingml/2006/main" xmlns:pic="http://schemas.openxmlformats.org/drawingml/2006/picture">
            <wp:extent cx="5400000" cy="3018889"/>
            <wp:docPr id="6" name="Picture 6"/>
            <wp:cNvGraphicFramePr>
              <a:graphicFrameLocks noChangeAspect="1"/>
            </wp:cNvGraphicFramePr>
            <a:graphic>
              <a:graphicData uri="http://schemas.openxmlformats.org/drawingml/2006/picture">
                <pic:pic>
                  <pic:nvPicPr>
                    <pic:cNvPr id="0" name="Fig04_Dataoversikt.png"/>
                    <pic:cNvPicPr/>
                  </pic:nvPicPr>
                  <pic:blipFill>
                    <a:blip r:embed="rId24"/>
                    <a:stretch>
                      <a:fillRect/>
                    </a:stretch>
                  </pic:blipFill>
                  <pic:spPr>
                    <a:xfrm>
                      <a:off x="0" y="0"/>
                      <a:ext cx="5400000" cy="3018889"/>
                    </a:xfrm>
                    <a:prstGeom prst="rect"/>
                  </pic:spPr>
                </pic:pic>
              </a:graphicData>
            </a:graphic>
          </wp:inline>
        </w:drawing>
      </w:r>
    </w:p>
    <w:p>
      <w:pPr>
        <w:jc w:val="center"/>
      </w:pPr>
      <w:r>
        <w:rPr>
          <w:rFonts w:ascii="Times New Roman" w:hAnsi="Times New Roman"/>
          <w:i/>
          <w:sz w:val="20"/>
        </w:rPr>
        <w:t xml:space="preserve">Figur </w:t>
      </w:r>
      <w:r>
        <w:fldChar w:fldCharType="begin"/>
      </w:r>
      <w:r>
        <w:instrText xml:space="preserve"> SEQ Figur \* ARABIC </w:instrText>
      </w:r>
      <w:r>
        <w:fldChar w:fldCharType="separate"/>
      </w:r>
      <w:r>
        <w:rPr>
          <w:rFonts w:ascii="Times New Roman" w:hAnsi="Times New Roman"/>
          <w:i/>
          <w:sz w:val="20"/>
        </w:rPr>
        <w:t>N</w:t>
      </w:r>
      <w:r>
        <w:fldChar w:fldCharType="end"/>
      </w:r>
      <w:r>
        <w:rPr>
          <w:rFonts w:ascii="Times New Roman" w:hAnsi="Times New Roman"/>
          <w:i/>
          <w:sz w:val="20"/>
        </w:rPr>
        <w:t>. Dataoversikt: fordeling av nøkkelvariabler for 709 artikler ved WERKS 3300, LGORT 3001. Generert med støtte fra Claude.</w:t>
      </w:r>
    </w:p>
    <w:p>
      <w:pPr>
        <w:pStyle w:val="Overskrift2"/>
      </w:pPr>
      <w:r>
        <w:rPr>
          <w:rFonts w:ascii="Times New Roman" w:hAnsi="Times New Roman"/>
          <w:color w:val="000000"/>
          <w:sz w:val="32"/>
        </w:rPr>
        <w:t>4.3 Dataforbehandling</w:t>
      </w:r>
    </w:p>
    <w:p>
      <w:pPr>
        <w:spacing w:line="360" w:lineRule="auto"/>
        <w:jc w:val="both"/>
      </w:pPr>
      <w:r>
        <w:rPr>
          <w:rFonts w:ascii="Times New Roman" w:hAnsi="Times New Roman" w:cs="Times New Roman"/>
          <w:sz w:val="24"/>
        </w:rPr>
        <w:t>All dataforbehandling er gjennomført i Python 3.13 ved hjelp av bibliotekene pandas (McKinney, 2010) og scikit-learn (Pedregosa et al., 2011). Scriptet er deterministisk og reproduserbart: alle tilfeldige prosesser bruker random_state=42, og ingen manuell redigering av enkeltartikler er foretatt. Åtte eksplisitte datavalgsbeslutninger (D-01–D-08) er dokumentert nedenfor; disse tilsvarer steder i datapipelinen der analytikeren måtte treffe et valg mellom alternative behandlingsmåter, og der valget har materiell innvirkning på resultatene.</w:t>
      </w:r>
    </w:p>
    <w:p>
      <w:r>
        <w:rPr>
          <w:rFonts w:ascii="Times New Roman" w:hAnsi="Times New Roman"/>
          <w:i/>
          <w:sz w:val="20"/>
        </w:rPr>
        <w:t xml:space="preserve">Tabell </w:t>
      </w:r>
      <w:r>
        <w:fldChar w:fldCharType="begin"/>
      </w:r>
      <w:r>
        <w:instrText xml:space="preserve"> SEQ Tabell \* ARABIC </w:instrText>
      </w:r>
      <w:r>
        <w:fldChar w:fldCharType="separate"/>
      </w:r>
      <w:r>
        <w:rPr>
          <w:rFonts w:ascii="Times New Roman" w:hAnsi="Times New Roman"/>
          <w:i/>
          <w:sz w:val="20"/>
        </w:rPr>
        <w:t>N</w:t>
      </w:r>
      <w:r>
        <w:fldChar w:fldCharType="end"/>
      </w:r>
      <w:r>
        <w:rPr>
          <w:rFonts w:ascii="Times New Roman" w:hAnsi="Times New Roman"/>
          <w:i/>
          <w:sz w:val="20"/>
        </w:rPr>
        <w:t>. Datavalgsbeslutninger D-01–D-08 med begrunnelse.</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192"/>
        <w:gridCol w:w="2192"/>
        <w:gridCol w:w="2192"/>
        <w:gridCol w:w="2192"/>
      </w:tblGrid>
      <w:tr>
        <w:tc>
          <w:tcPr>
            <w:tcW w:type="dxa" w:w="2192"/>
            <w:tcBorders>
              <w:top w:val="single" w:sz="8" w:space="0" w:color="000000"/>
              <w:bottom w:val="single" w:sz="4" w:space="0" w:color="000000"/>
              <w:left w:val="nil"/>
              <w:right w:val="nil"/>
            </w:tcBorders>
          </w:tcPr>
          <w:p>
            <w:r/>
            <w:r>
              <w:rPr>
                <w:rFonts w:ascii="Times New Roman" w:hAnsi="Times New Roman"/>
                <w:b/>
                <w:sz w:val="22"/>
              </w:rPr>
              <w:t>ID</w:t>
            </w:r>
          </w:p>
        </w:tc>
        <w:tc>
          <w:tcPr>
            <w:tcW w:type="dxa" w:w="2192"/>
            <w:tcBorders>
              <w:top w:val="single" w:sz="8" w:space="0" w:color="000000"/>
              <w:bottom w:val="single" w:sz="4" w:space="0" w:color="000000"/>
              <w:left w:val="nil"/>
              <w:right w:val="nil"/>
            </w:tcBorders>
          </w:tcPr>
          <w:p>
            <w:r/>
            <w:r>
              <w:rPr>
                <w:rFonts w:ascii="Times New Roman" w:hAnsi="Times New Roman"/>
                <w:b/>
                <w:sz w:val="22"/>
              </w:rPr>
              <w:t>Beslutning</w:t>
            </w:r>
          </w:p>
        </w:tc>
        <w:tc>
          <w:tcPr>
            <w:tcW w:type="dxa" w:w="2192"/>
            <w:tcBorders>
              <w:top w:val="single" w:sz="8" w:space="0" w:color="000000"/>
              <w:bottom w:val="single" w:sz="4" w:space="0" w:color="000000"/>
              <w:left w:val="nil"/>
              <w:right w:val="nil"/>
            </w:tcBorders>
          </w:tcPr>
          <w:p>
            <w:r/>
            <w:r>
              <w:rPr>
                <w:rFonts w:ascii="Times New Roman" w:hAnsi="Times New Roman"/>
                <w:b/>
                <w:sz w:val="22"/>
              </w:rPr>
              <w:t>Effekt</w:t>
            </w:r>
          </w:p>
        </w:tc>
        <w:tc>
          <w:tcPr>
            <w:tcW w:type="dxa" w:w="2192"/>
            <w:tcBorders>
              <w:top w:val="single" w:sz="8" w:space="0" w:color="000000"/>
              <w:bottom w:val="single" w:sz="4" w:space="0" w:color="000000"/>
              <w:left w:val="nil"/>
              <w:right w:val="nil"/>
            </w:tcBorders>
          </w:tcPr>
          <w:p>
            <w:r/>
            <w:r>
              <w:rPr>
                <w:rFonts w:ascii="Times New Roman" w:hAnsi="Times New Roman"/>
                <w:b/>
                <w:sz w:val="22"/>
              </w:rPr>
              <w:t>Begrunnelse</w:t>
            </w:r>
          </w:p>
        </w:tc>
      </w:tr>
      <w:tr>
        <w:tc>
          <w:tcPr>
            <w:tcW w:type="dxa" w:w="2192"/>
          </w:tcPr>
          <w:p>
            <w:r/>
            <w:r>
              <w:rPr>
                <w:rFonts w:ascii="Times New Roman" w:hAnsi="Times New Roman"/>
                <w:b w:val="0"/>
                <w:sz w:val="22"/>
              </w:rPr>
              <w:t>D-01</w:t>
            </w:r>
          </w:p>
        </w:tc>
        <w:tc>
          <w:tcPr>
            <w:tcW w:type="dxa" w:w="2192"/>
          </w:tcPr>
          <w:p>
            <w:r/>
            <w:r>
              <w:rPr>
                <w:rFonts w:ascii="Times New Roman" w:hAnsi="Times New Roman"/>
                <w:b w:val="0"/>
                <w:sz w:val="22"/>
              </w:rPr>
              <w:t>Populasjonsavgrensning</w:t>
            </w:r>
          </w:p>
        </w:tc>
        <w:tc>
          <w:tcPr>
            <w:tcW w:type="dxa" w:w="2192"/>
          </w:tcPr>
          <w:p>
            <w:r/>
            <w:r>
              <w:rPr>
                <w:rFonts w:ascii="Times New Roman" w:hAnsi="Times New Roman"/>
                <w:b w:val="0"/>
                <w:sz w:val="22"/>
              </w:rPr>
              <w:t>1 006 → 709 artikler</w:t>
            </w:r>
          </w:p>
        </w:tc>
        <w:tc>
          <w:tcPr>
            <w:tcW w:type="dxa" w:w="2192"/>
          </w:tcPr>
          <w:p>
            <w:r/>
            <w:r>
              <w:rPr>
                <w:rFonts w:ascii="Times New Roman" w:hAnsi="Times New Roman"/>
                <w:b w:val="0"/>
                <w:sz w:val="22"/>
              </w:rPr>
              <w:t>Ekskluderer 297 inaktive (D_ANNUAL = 0 og TOTAL_STOCK = 0)</w:t>
            </w:r>
          </w:p>
        </w:tc>
      </w:tr>
      <w:tr>
        <w:tc>
          <w:tcPr>
            <w:tcW w:type="dxa" w:w="2192"/>
          </w:tcPr>
          <w:p>
            <w:r/>
            <w:r>
              <w:rPr>
                <w:rFonts w:ascii="Times New Roman" w:hAnsi="Times New Roman"/>
                <w:b w:val="0"/>
                <w:sz w:val="22"/>
              </w:rPr>
              <w:t>D-02</w:t>
            </w:r>
          </w:p>
        </w:tc>
        <w:tc>
          <w:tcPr>
            <w:tcW w:type="dxa" w:w="2192"/>
          </w:tcPr>
          <w:p>
            <w:r/>
            <w:r>
              <w:rPr>
                <w:rFonts w:ascii="Times New Roman" w:hAnsi="Times New Roman"/>
                <w:b w:val="0"/>
                <w:sz w:val="22"/>
              </w:rPr>
              <w:t>PEINH-korrigering</w:t>
            </w:r>
          </w:p>
        </w:tc>
        <w:tc>
          <w:tcPr>
            <w:tcW w:type="dxa" w:w="2192"/>
          </w:tcPr>
          <w:p>
            <w:r/>
            <w:r>
              <w:rPr>
                <w:rFonts w:ascii="Times New Roman" w:hAnsi="Times New Roman"/>
                <w:b w:val="0"/>
                <w:sz w:val="22"/>
              </w:rPr>
              <w:t>UNIT_PRICE = STPRS ÷ PEINH</w:t>
            </w:r>
          </w:p>
        </w:tc>
        <w:tc>
          <w:tcPr>
            <w:tcW w:type="dxa" w:w="2192"/>
          </w:tcPr>
          <w:p>
            <w:r/>
            <w:r>
              <w:rPr>
                <w:rFonts w:ascii="Times New Roman" w:hAnsi="Times New Roman"/>
                <w:b w:val="0"/>
                <w:sz w:val="22"/>
              </w:rPr>
              <w:t>Korrigerer for prisenhet ≠ 1</w:t>
            </w:r>
          </w:p>
        </w:tc>
      </w:tr>
      <w:tr>
        <w:tc>
          <w:tcPr>
            <w:tcW w:type="dxa" w:w="2192"/>
          </w:tcPr>
          <w:p>
            <w:r/>
            <w:r>
              <w:rPr>
                <w:rFonts w:ascii="Times New Roman" w:hAnsi="Times New Roman"/>
                <w:b w:val="0"/>
                <w:sz w:val="22"/>
              </w:rPr>
              <w:t>D-03</w:t>
            </w:r>
          </w:p>
        </w:tc>
        <w:tc>
          <w:tcPr>
            <w:tcW w:type="dxa" w:w="2192"/>
          </w:tcPr>
          <w:p>
            <w:r/>
            <w:r>
              <w:rPr>
                <w:rFonts w:ascii="Times New Roman" w:hAnsi="Times New Roman"/>
                <w:b w:val="0"/>
                <w:sz w:val="22"/>
              </w:rPr>
              <w:t>Beregnet ABC-verdi</w:t>
            </w:r>
          </w:p>
        </w:tc>
        <w:tc>
          <w:tcPr>
            <w:tcW w:type="dxa" w:w="2192"/>
          </w:tcPr>
          <w:p>
            <w:r/>
            <w:r>
              <w:rPr>
                <w:rFonts w:ascii="Times New Roman" w:hAnsi="Times New Roman"/>
                <w:b w:val="0"/>
                <w:sz w:val="22"/>
              </w:rPr>
              <w:t>204 artikler uten EKPO</w:t>
            </w:r>
          </w:p>
        </w:tc>
        <w:tc>
          <w:tcPr>
            <w:tcW w:type="dxa" w:w="2192"/>
          </w:tcPr>
          <w:p>
            <w:r/>
            <w:r>
              <w:rPr>
                <w:rFonts w:ascii="Times New Roman" w:hAnsi="Times New Roman"/>
                <w:b w:val="0"/>
                <w:sz w:val="22"/>
              </w:rPr>
              <w:t>ABC_VALUE = D_ANNUAL × UNIT_PRICE som standardverdi</w:t>
            </w:r>
          </w:p>
        </w:tc>
      </w:tr>
      <w:tr>
        <w:tc>
          <w:tcPr>
            <w:tcW w:type="dxa" w:w="2192"/>
          </w:tcPr>
          <w:p>
            <w:r/>
            <w:r>
              <w:rPr>
                <w:rFonts w:ascii="Times New Roman" w:hAnsi="Times New Roman"/>
                <w:b w:val="0"/>
                <w:sz w:val="22"/>
              </w:rPr>
              <w:t>D-04</w:t>
            </w:r>
          </w:p>
        </w:tc>
        <w:tc>
          <w:tcPr>
            <w:tcW w:type="dxa" w:w="2192"/>
          </w:tcPr>
          <w:p>
            <w:r/>
            <w:r>
              <w:rPr>
                <w:rFonts w:ascii="Times New Roman" w:hAnsi="Times New Roman"/>
                <w:b w:val="0"/>
                <w:sz w:val="22"/>
              </w:rPr>
              <w:t>CV-basert XYZ</w:t>
            </w:r>
          </w:p>
        </w:tc>
        <w:tc>
          <w:tcPr>
            <w:tcW w:type="dxa" w:w="2192"/>
          </w:tcPr>
          <w:p>
            <w:r/>
            <w:r>
              <w:rPr>
                <w:rFonts w:ascii="Times New Roman" w:hAnsi="Times New Roman"/>
                <w:b w:val="0"/>
                <w:sz w:val="22"/>
              </w:rPr>
              <w:t>Erstatter ZZXYZ</w:t>
            </w:r>
          </w:p>
        </w:tc>
        <w:tc>
          <w:tcPr>
            <w:tcW w:type="dxa" w:w="2192"/>
          </w:tcPr>
          <w:p>
            <w:r/>
            <w:r>
              <w:rPr>
                <w:rFonts w:ascii="Times New Roman" w:hAnsi="Times New Roman"/>
                <w:b w:val="0"/>
                <w:sz w:val="22"/>
              </w:rPr>
              <w:t>33 % samsvar → beregnet CV foretrukket</w:t>
            </w:r>
          </w:p>
        </w:tc>
      </w:tr>
      <w:tr>
        <w:tc>
          <w:tcPr>
            <w:tcW w:type="dxa" w:w="2192"/>
          </w:tcPr>
          <w:p>
            <w:r/>
            <w:r>
              <w:rPr>
                <w:rFonts w:ascii="Times New Roman" w:hAnsi="Times New Roman"/>
                <w:b w:val="0"/>
                <w:sz w:val="22"/>
              </w:rPr>
              <w:t>D-05</w:t>
            </w:r>
          </w:p>
        </w:tc>
        <w:tc>
          <w:tcPr>
            <w:tcW w:type="dxa" w:w="2192"/>
          </w:tcPr>
          <w:p>
            <w:r/>
            <w:r>
              <w:rPr>
                <w:rFonts w:ascii="Times New Roman" w:hAnsi="Times New Roman"/>
                <w:b w:val="0"/>
                <w:sz w:val="22"/>
              </w:rPr>
              <w:t>Leveringstid standardverdi</w:t>
            </w:r>
          </w:p>
        </w:tc>
        <w:tc>
          <w:tcPr>
            <w:tcW w:type="dxa" w:w="2192"/>
          </w:tcPr>
          <w:p>
            <w:r/>
            <w:r>
              <w:rPr>
                <w:rFonts w:ascii="Times New Roman" w:hAnsi="Times New Roman"/>
                <w:b w:val="0"/>
                <w:sz w:val="22"/>
              </w:rPr>
              <w:t>14 dager for 94 %</w:t>
            </w:r>
          </w:p>
        </w:tc>
        <w:tc>
          <w:tcPr>
            <w:tcW w:type="dxa" w:w="2192"/>
          </w:tcPr>
          <w:p>
            <w:r/>
            <w:r>
              <w:rPr>
                <w:rFonts w:ascii="Times New Roman" w:hAnsi="Times New Roman"/>
                <w:b w:val="0"/>
                <w:sz w:val="22"/>
              </w:rPr>
              <w:t>EINE WETAG dekker kun 6 %</w:t>
            </w:r>
          </w:p>
        </w:tc>
      </w:tr>
      <w:tr>
        <w:tc>
          <w:tcPr>
            <w:tcW w:type="dxa" w:w="2192"/>
          </w:tcPr>
          <w:p>
            <w:r/>
            <w:r>
              <w:rPr>
                <w:rFonts w:ascii="Times New Roman" w:hAnsi="Times New Roman"/>
                <w:b w:val="0"/>
                <w:sz w:val="22"/>
              </w:rPr>
              <w:t>D-06</w:t>
            </w:r>
          </w:p>
        </w:tc>
        <w:tc>
          <w:tcPr>
            <w:tcW w:type="dxa" w:w="2192"/>
          </w:tcPr>
          <w:p>
            <w:r/>
            <w:r>
              <w:rPr>
                <w:rFonts w:ascii="Times New Roman" w:hAnsi="Times New Roman"/>
                <w:b w:val="0"/>
                <w:sz w:val="22"/>
              </w:rPr>
              <w:t>MSEG_STATUS blank → AKTIV</w:t>
            </w:r>
          </w:p>
        </w:tc>
        <w:tc>
          <w:tcPr>
            <w:tcW w:type="dxa" w:w="2192"/>
          </w:tcPr>
          <w:p>
            <w:r/>
            <w:r>
              <w:rPr>
                <w:rFonts w:ascii="Times New Roman" w:hAnsi="Times New Roman"/>
                <w:b w:val="0"/>
                <w:sz w:val="22"/>
              </w:rPr>
              <w:t>Fyller manglende verdier</w:t>
            </w:r>
          </w:p>
        </w:tc>
        <w:tc>
          <w:tcPr>
            <w:tcW w:type="dxa" w:w="2192"/>
          </w:tcPr>
          <w:p>
            <w:r/>
            <w:r>
              <w:rPr>
                <w:rFonts w:ascii="Times New Roman" w:hAnsi="Times New Roman"/>
                <w:b w:val="0"/>
                <w:sz w:val="22"/>
              </w:rPr>
              <w:t>Antar normal driftsstatus</w:t>
            </w:r>
          </w:p>
        </w:tc>
      </w:tr>
      <w:tr>
        <w:tc>
          <w:tcPr>
            <w:tcW w:type="dxa" w:w="2192"/>
          </w:tcPr>
          <w:p>
            <w:r/>
            <w:r>
              <w:rPr>
                <w:rFonts w:ascii="Times New Roman" w:hAnsi="Times New Roman"/>
                <w:b w:val="0"/>
                <w:sz w:val="22"/>
              </w:rPr>
              <w:t>D-07</w:t>
            </w:r>
          </w:p>
        </w:tc>
        <w:tc>
          <w:tcPr>
            <w:tcW w:type="dxa" w:w="2192"/>
          </w:tcPr>
          <w:p>
            <w:r/>
            <w:r>
              <w:rPr>
                <w:rFonts w:ascii="Times New Roman" w:hAnsi="Times New Roman"/>
                <w:b w:val="0"/>
                <w:sz w:val="22"/>
              </w:rPr>
              <w:t>ABC_VALUE_SOURCE</w:t>
            </w:r>
          </w:p>
        </w:tc>
        <w:tc>
          <w:tcPr>
            <w:tcW w:type="dxa" w:w="2192"/>
          </w:tcPr>
          <w:p>
            <w:r/>
            <w:r>
              <w:rPr>
                <w:rFonts w:ascii="Times New Roman" w:hAnsi="Times New Roman"/>
                <w:b w:val="0"/>
                <w:sz w:val="22"/>
              </w:rPr>
              <w:t>EKPO-verdi prioriteres</w:t>
            </w:r>
          </w:p>
        </w:tc>
        <w:tc>
          <w:tcPr>
            <w:tcW w:type="dxa" w:w="2192"/>
          </w:tcPr>
          <w:p>
            <w:r/>
            <w:r>
              <w:rPr>
                <w:rFonts w:ascii="Times New Roman" w:hAnsi="Times New Roman"/>
                <w:b w:val="0"/>
                <w:sz w:val="22"/>
              </w:rPr>
              <w:t>TOTAL_NETWR &gt; 0 kreves for EKPO-kilde</w:t>
            </w:r>
          </w:p>
        </w:tc>
      </w:tr>
      <w:tr>
        <w:tc>
          <w:tcPr>
            <w:tcW w:type="dxa" w:w="2192"/>
          </w:tcPr>
          <w:p>
            <w:r/>
            <w:r>
              <w:rPr>
                <w:rFonts w:ascii="Times New Roman" w:hAnsi="Times New Roman"/>
                <w:b w:val="0"/>
                <w:sz w:val="22"/>
              </w:rPr>
              <w:t>D-08</w:t>
            </w:r>
          </w:p>
        </w:tc>
        <w:tc>
          <w:tcPr>
            <w:tcW w:type="dxa" w:w="2192"/>
          </w:tcPr>
          <w:p>
            <w:r/>
            <w:r>
              <w:rPr>
                <w:rFonts w:ascii="Times New Roman" w:hAnsi="Times New Roman"/>
                <w:b w:val="0"/>
                <w:sz w:val="22"/>
              </w:rPr>
              <w:t>Annualisering av ordrefrekvens</w:t>
            </w:r>
          </w:p>
        </w:tc>
        <w:tc>
          <w:tcPr>
            <w:tcW w:type="dxa" w:w="2192"/>
          </w:tcPr>
          <w:p>
            <w:r/>
            <w:r>
              <w:rPr>
                <w:rFonts w:ascii="Times New Roman" w:hAnsi="Times New Roman"/>
                <w:b w:val="0"/>
                <w:sz w:val="22"/>
              </w:rPr>
              <w:t>ACTUAL_FREQ = ORDER_COUNT × 12/24</w:t>
            </w:r>
          </w:p>
        </w:tc>
        <w:tc>
          <w:tcPr>
            <w:tcW w:type="dxa" w:w="2192"/>
          </w:tcPr>
          <w:p>
            <w:r/>
            <w:r>
              <w:rPr>
                <w:rFonts w:ascii="Times New Roman" w:hAnsi="Times New Roman"/>
                <w:b w:val="0"/>
                <w:sz w:val="22"/>
              </w:rPr>
              <w:t>24 mnd data → årsbasis</w:t>
            </w:r>
          </w:p>
        </w:tc>
      </w:tr>
    </w:tbl>
    <w:p>
      <w:pPr>
        <w:spacing w:line="360" w:lineRule="auto"/>
        <w:jc w:val="both"/>
      </w:pPr>
      <w:r>
        <w:rPr>
          <w:rFonts w:ascii="Times New Roman" w:hAnsi="Times New Roman" w:cs="Times New Roman"/>
          <w:sz w:val="24"/>
        </w:rPr>
        <w:t>Figur 4 nedenfor illustrerer den samlede datapipelinen fra rådata til analyseklart datasett.</w:t>
      </w:r>
    </w:p>
    <w:p>
      <w:r>
        <w:drawing>
          <wp:inline xmlns:a="http://schemas.openxmlformats.org/drawingml/2006/main" xmlns:pic="http://schemas.openxmlformats.org/drawingml/2006/picture">
            <wp:extent cx="5400000" cy="1615574"/>
            <wp:docPr id="7" name="Picture 7"/>
            <wp:cNvGraphicFramePr>
              <a:graphicFrameLocks noChangeAspect="1"/>
            </wp:cNvGraphicFramePr>
            <a:graphic>
              <a:graphicData uri="http://schemas.openxmlformats.org/drawingml/2006/picture">
                <pic:pic>
                  <pic:nvPicPr>
                    <pic:cNvPr id="0" name="Fig02_Analysepipeline.png"/>
                    <pic:cNvPicPr/>
                  </pic:nvPicPr>
                  <pic:blipFill>
                    <a:blip r:embed="rId25"/>
                    <a:stretch>
                      <a:fillRect/>
                    </a:stretch>
                  </pic:blipFill>
                  <pic:spPr>
                    <a:xfrm>
                      <a:off x="0" y="0"/>
                      <a:ext cx="5400000" cy="1615574"/>
                    </a:xfrm>
                    <a:prstGeom prst="rect"/>
                  </pic:spPr>
                </pic:pic>
              </a:graphicData>
            </a:graphic>
          </wp:inline>
        </w:drawing>
      </w:r>
    </w:p>
    <w:p>
      <w:pPr>
        <w:jc w:val="center"/>
      </w:pPr>
      <w:r>
        <w:rPr>
          <w:rFonts w:ascii="Times New Roman" w:hAnsi="Times New Roman"/>
          <w:i/>
          <w:sz w:val="20"/>
        </w:rPr>
        <w:t xml:space="preserve">Figur </w:t>
      </w:r>
      <w:r>
        <w:fldChar w:fldCharType="begin"/>
      </w:r>
      <w:r>
        <w:instrText xml:space="preserve"> SEQ Figur \* ARABIC </w:instrText>
      </w:r>
      <w:r>
        <w:fldChar w:fldCharType="separate"/>
      </w:r>
      <w:r>
        <w:rPr>
          <w:rFonts w:ascii="Times New Roman" w:hAnsi="Times New Roman"/>
          <w:i/>
          <w:sz w:val="20"/>
        </w:rPr>
        <w:t>N</w:t>
      </w:r>
      <w:r>
        <w:fldChar w:fldCharType="end"/>
      </w:r>
      <w:r>
        <w:rPr>
          <w:rFonts w:ascii="Times New Roman" w:hAnsi="Times New Roman"/>
          <w:i/>
          <w:sz w:val="20"/>
        </w:rPr>
        <w:t>. Analysepipeline: fra SAP-rådata til HVFS-anbefaling. Generert med støtte fra Claude.</w:t>
      </w:r>
    </w:p>
    <w:p>
      <w:pPr>
        <w:pStyle w:val="Overskrift2"/>
      </w:pPr>
      <w:r>
        <w:rPr>
          <w:rFonts w:ascii="Times New Roman" w:hAnsi="Times New Roman"/>
          <w:color w:val="000000"/>
          <w:sz w:val="32"/>
        </w:rPr>
        <w:t>4.4 Etiske betraktninger og begrensninger</w:t>
      </w:r>
    </w:p>
    <w:p>
      <w:pPr>
        <w:spacing w:line="360" w:lineRule="auto"/>
        <w:jc w:val="both"/>
      </w:pPr>
      <w:r>
        <w:rPr>
          <w:rFonts w:ascii="Times New Roman" w:hAnsi="Times New Roman" w:cs="Times New Roman"/>
          <w:sz w:val="24"/>
        </w:rPr>
        <w:t>Studien behandler ingen personopplysninger. Alle analyser er gjennomført på artikkel- og transaksjonsnivå, ikke på individnivå. Det er ikke koblet data til ansatte, pasienter eller enkeltpersoner. Datatilgang er gitt av Helse Bergen som del av samarbeidet med Helse Vest IKT og LIBRA-prosjektet, og er avgrenset til lagertransaksjonsdata i SAP S/4HANA.</w:t>
      </w:r>
    </w:p>
    <w:p>
      <w:pPr>
        <w:spacing w:line="360" w:lineRule="auto"/>
        <w:jc w:val="both"/>
      </w:pPr>
      <w:r>
        <w:rPr>
          <w:rFonts w:ascii="Times New Roman" w:hAnsi="Times New Roman" w:cs="Times New Roman"/>
          <w:sz w:val="24"/>
        </w:rPr>
        <w:t>Parametervalgene S og h er begrunnet i avsnitt 1.4 og testes i sensitivitetsanalysen (kap. 7.6). Det understrekes at verktøyet produserer et rangert beslutningsunderlag, ikke autoriserte beslutninger: en feilklassifisering – for eksempel at en klinisk kritisk artikkel anbefales overført – kan ha konsekvenser for forsyningssikkerheten. Nettopp derfor anbefales en begrenset pilotfase med faglig og klinisk gjennomgang før implementering (se kap. 9.2).</w:t>
      </w:r>
    </w:p>
    <w:p>
      <w:pPr>
        <w:spacing w:line="360" w:lineRule="auto"/>
        <w:jc w:val="both"/>
      </w:pPr>
      <w:r>
        <w:rPr>
          <w:rFonts w:ascii="Times New Roman" w:hAnsi="Times New Roman" w:cs="Times New Roman"/>
          <w:sz w:val="24"/>
        </w:rPr>
        <w:t>Standardverdien for leveringstid på 14 dager (D-05) dekker 94 % av artiklene, og er den enkeltbeslutningen som potensielt har størst effekt på bestillingspunkt-beregninger. Ettersom EOQ-avviksanalysen i denne studien er basert på ordrefrekvens snarere enn bestillingspunkt, er den direkte innvirkningen på analyseresultatene begrenset; likevel bør en eventuell oppfølgingsstudie prioritere å berike EINE-tabellen med faktiske leveringstider. Alle modellenes matematiske spesifikasjon og parametersetting beskrives i kapittel 5.</w:t>
      </w:r>
    </w:p>
    <w:p>
      <w:pPr>
        <w:pStyle w:val="Overskrift2"/>
      </w:pPr>
      <w:r>
        <w:rPr>
          <w:rFonts w:ascii="Times New Roman" w:hAnsi="Times New Roman"/>
          <w:color w:val="000000"/>
          <w:sz w:val="32"/>
        </w:rPr>
        <w:t>4.5 Bruk av kunstig intelligens</w:t>
      </w:r>
    </w:p>
    <w:p>
      <w:pPr>
        <w:spacing w:line="360" w:lineRule="auto"/>
        <w:jc w:val="both"/>
      </w:pPr>
      <w:r>
        <w:rPr>
          <w:rFonts w:ascii="Times New Roman" w:hAnsi="Times New Roman" w:cs="Times New Roman"/>
          <w:sz w:val="24"/>
        </w:rPr>
        <w:t>Kunstig intelligens i form av store språkmodeller ble benyttet som faglig støtteverktøy gjennom hele prosjektperioden, i tråd med retningslinjene i kursets skrivekompendium (Rekdal &amp; Pettersen, 2025). Claude ble anvendt til kodestøtte, generering av datavisualiseringer og språklig bearbeiding av rapportteksten. KI-verktøyet er ikke brukt som fagkilde og er ikke sitert som belegg for faglige påstander. All KI-generert kode og tekst er kritisk gjennomgått og revidert av forfatteren; en refleksjon over KI-brukens påvirkning på arbeidsprosessen er gitt i Vedlegg C.</w:t>
      </w:r>
    </w:p>
    <w:p>
      <w:pPr>
        <w:pStyle w:val="Overskrift1"/>
        <w:pageBreakBefore w:val="true"/>
      </w:pPr>
      <w:r>
        <w:rPr>
          <w:rFonts w:ascii="Times New Roman" w:hAnsi="Times New Roman"/>
          <w:color w:val="000000"/>
          <w:sz w:val="36"/>
        </w:rPr>
        <w:t>Kapittel 5 – Modellering</w:t>
      </w:r>
    </w:p>
    <w:p>
      <w:pPr>
        <w:pStyle w:val="Overskrift2"/>
      </w:pPr>
      <w:r>
        <w:rPr>
          <w:rFonts w:ascii="Times New Roman" w:hAnsi="Times New Roman"/>
          <w:color w:val="000000"/>
          <w:sz w:val="32"/>
        </w:rPr>
        <w:t>5.1 ABC-modellen</w:t>
      </w:r>
    </w:p>
    <w:p>
      <w:pPr>
        <w:spacing w:line="360" w:lineRule="auto"/>
        <w:jc w:val="both"/>
      </w:pPr>
      <w:r>
        <w:rPr>
          <w:rFonts w:ascii="Times New Roman" w:hAnsi="Times New Roman" w:cs="Times New Roman"/>
          <w:sz w:val="24"/>
        </w:rPr>
        <w:t>ABC-analyse er en rangerings- og klassifiseringsmetode basert på Pareto-prinsippet, som postulerer at en liten andel av artiklene i et lager typisk står for hoveddelen av den totale verdibindingen (Gupta et al., 2007). Metoden gir en strukturert tilnærming til å skille artikler som krever tett styring fra artikler der en enklere tilnærming er tilstrekkelig (van Kampen et al., 2012).</w:t>
      </w:r>
    </w:p>
    <w:p>
      <w:pPr>
        <w:spacing w:line="360" w:lineRule="auto"/>
        <w:jc w:val="both"/>
      </w:pPr>
      <w:r>
        <w:rPr>
          <w:rFonts w:ascii="Times New Roman" w:hAnsi="Times New Roman" w:cs="Times New Roman"/>
          <w:sz w:val="24"/>
        </w:rPr>
        <w:t xml:space="preserve">For hver artikkel </w:t>
      </w:r>
      <m:oMath>
        <m:r>
          <m:t>i</m:t>
        </m:r>
      </m:oMath>
      <w:r>
        <w:rPr>
          <w:rFonts w:ascii="Times New Roman" w:hAnsi="Times New Roman" w:cs="Times New Roman"/>
          <w:sz w:val="24"/>
        </w:rPr>
        <w:t xml:space="preserve"> beregnes en årsverdi </w:t>
      </w:r>
      <m:oMath>
        <m:sSub>
          <m:e>
            <m:r>
              <m:t>v</m:t>
            </m:r>
          </m:e>
          <m:sub>
            <m:r>
              <m:t>i</m:t>
            </m:r>
          </m:sub>
        </m:sSub>
      </m:oMath>
      <w:r>
        <w:rPr>
          <w:rFonts w:ascii="Times New Roman" w:hAnsi="Times New Roman" w:cs="Times New Roman"/>
          <w:sz w:val="24"/>
        </w:rPr>
        <w:t xml:space="preserve"> som produktet av årsforbruk og enhetspris:</w:t>
      </w:r>
    </w:p>
    <w:p>
      <w:pPr>
        <w:spacing w:line="360" w:lineRule="auto"/>
        <w:jc w:val="center"/>
      </w:pPr>
      <m:oMath>
        <m:sSub>
          <m:e>
            <m:r>
              <m:t>v</m:t>
            </m:r>
          </m:e>
          <m:sub>
            <m:r>
              <m:t>i</m:t>
            </m:r>
          </m:sub>
        </m:sSub>
        <m:r>
          <m:t>=</m:t>
        </m:r>
        <m:sSub>
          <m:e>
            <m:r>
              <m:t>D</m:t>
            </m:r>
          </m:e>
          <m:sub>
            <m:r>
              <m:t>i</m:t>
            </m:r>
          </m:sub>
        </m:sSub>
        <m:r>
          <m:t>×</m:t>
        </m:r>
        <m:sSub>
          <m:e>
            <m:r>
              <m:rPr>
                <m:nor/>
              </m:rPr>
              <m:t>UNIT\_PRICE</m:t>
            </m:r>
          </m:e>
          <m:sub>
            <m:r>
              <m:t>i</m:t>
            </m:r>
          </m:sub>
        </m:sSub>
      </m:oMath>
    </w:p>
    <w:p>
      <w:pPr>
        <w:spacing w:line="360" w:lineRule="auto"/>
        <w:jc w:val="both"/>
      </w:pPr>
      <w:r>
        <w:rPr>
          <w:rFonts w:ascii="Times New Roman" w:hAnsi="Times New Roman" w:cs="Times New Roman"/>
          <w:sz w:val="24"/>
        </w:rPr>
        <w:t xml:space="preserve">Der </w:t>
      </w:r>
      <m:oMath>
        <m:sSub>
          <m:e>
            <m:r>
              <m:t>D</m:t>
            </m:r>
          </m:e>
          <m:sub>
            <m:r>
              <m:t>i</m:t>
            </m:r>
          </m:sub>
        </m:sSub>
      </m:oMath>
      <w:r>
        <w:rPr>
          <w:rFonts w:ascii="Times New Roman" w:hAnsi="Times New Roman" w:cs="Times New Roman"/>
          <w:sz w:val="24"/>
        </w:rPr>
        <w:t xml:space="preserve"> er annualisert forbruk (enheter/år) og </w:t>
      </w:r>
      <m:oMath>
        <m:sSub>
          <m:e>
            <m:r>
              <m:rPr>
                <m:nor/>
              </m:rPr>
              <m:t>UNIT\_PRICE</m:t>
            </m:r>
          </m:e>
          <m:sub>
            <m:r>
              <m:t>i</m:t>
            </m:r>
          </m:sub>
        </m:sSub>
      </m:oMath>
      <w:r>
        <w:rPr>
          <w:rFonts w:ascii="Times New Roman" w:hAnsi="Times New Roman" w:cs="Times New Roman"/>
          <w:sz w:val="24"/>
        </w:rPr>
        <w:t xml:space="preserve"> er PEINH-korrigert standardpris (NOK/enhet), jf. beslutning D-02 og D-03 i avsnitt 4.3. Artiklene sorteres deretter i synkende rekkefølge etter </w:t>
      </w:r>
      <m:oMath>
        <m:sSub>
          <m:e>
            <m:r>
              <m:t>v</m:t>
            </m:r>
          </m:e>
          <m:sub>
            <m:r>
              <m:t>i</m:t>
            </m:r>
          </m:sub>
        </m:sSub>
      </m:oMath>
      <w:r>
        <w:rPr>
          <w:rFonts w:ascii="Times New Roman" w:hAnsi="Times New Roman" w:cs="Times New Roman"/>
          <w:sz w:val="24"/>
        </w:rPr>
        <w:t xml:space="preserve">, og kumulativ verdiandel </w:t>
      </w:r>
      <m:oMath>
        <m:sSub>
          <m:e>
            <m:r>
              <m:t>C</m:t>
            </m:r>
          </m:e>
          <m:sub>
            <m:r>
              <m:t>i</m:t>
            </m:r>
          </m:sub>
        </m:sSub>
      </m:oMath>
      <w:r>
        <w:rPr>
          <w:rFonts w:ascii="Times New Roman" w:hAnsi="Times New Roman" w:cs="Times New Roman"/>
          <w:sz w:val="24"/>
        </w:rPr>
        <w:t xml:space="preserve"> beregnes som:</w:t>
      </w:r>
    </w:p>
    <w:p>
      <w:pPr>
        <w:spacing w:line="360" w:lineRule="auto"/>
        <w:jc w:val="center"/>
      </w:pPr>
      <m:oMath>
        <m:sSub>
          <m:e>
            <m:r>
              <m:t>C</m:t>
            </m:r>
          </m:e>
          <m:sub>
            <m:r>
              <m:t>i</m:t>
            </m:r>
          </m:sub>
        </m:sSub>
        <m:r>
          <m:t>=</m:t>
        </m:r>
        <m:f>
          <m:fPr>
            <m:type m:val="bar"/>
          </m:fPr>
          <m:num>
            <m:nary>
              <m:naryPr>
                <m:chr m:val="∑"/>
                <m:limLoc m:val="subSup"/>
                <m:grow m:val="1"/>
                <m:subHide m:val="off"/>
                <m:supHide m:val="off"/>
              </m:naryPr>
              <m:sub>
                <m:r>
                  <m:t>j=1</m:t>
                </m:r>
              </m:sub>
              <m:sup>
                <m:r>
                  <m:t>i</m:t>
                </m:r>
              </m:sup>
              <m:e>
                <m:sSub>
                  <m:e>
                    <m:r>
                      <m:t>v</m:t>
                    </m:r>
                  </m:e>
                  <m:sub>
                    <m:r>
                      <m:t>j</m:t>
                    </m:r>
                  </m:sub>
                </m:sSub>
              </m:e>
            </m:nary>
          </m:num>
          <m:den>
            <m:sSub>
              <m:e>
                <m:r>
                  <m:t>V</m:t>
                </m:r>
              </m:e>
              <m:sub>
                <m:r>
                  <m:rPr>
                    <m:nor/>
                  </m:rPr>
                  <m:t>tot</m:t>
                </m:r>
              </m:sub>
            </m:sSub>
          </m:den>
        </m:f>
      </m:oMath>
    </w:p>
    <w:p>
      <w:pPr>
        <w:spacing w:line="360" w:lineRule="auto"/>
        <w:jc w:val="both"/>
      </w:pPr>
      <w:r>
        <w:rPr>
          <w:rFonts w:ascii="Times New Roman" w:hAnsi="Times New Roman" w:cs="Times New Roman"/>
          <w:sz w:val="24"/>
        </w:rPr>
        <w:t xml:space="preserve">der </w:t>
      </w:r>
      <m:oMath>
        <m:sSub>
          <m:e>
            <m:r>
              <m:t>V</m:t>
            </m:r>
          </m:e>
          <m:sub>
            <m:r>
              <m:rPr>
                <m:nor/>
              </m:rPr>
              <m:t>tot</m:t>
            </m:r>
          </m:sub>
        </m:sSub>
        <m:r>
          <m:t>=</m:t>
        </m:r>
        <m:nary>
          <m:naryPr>
            <m:chr m:val="∑"/>
            <m:limLoc m:val="subSup"/>
            <m:grow m:val="1"/>
            <m:subHide m:val="off"/>
            <m:supHide m:val="off"/>
          </m:naryPr>
          <m:sub>
            <m:r>
              <m:t>j=1</m:t>
            </m:r>
          </m:sub>
          <m:sup>
            <m:r>
              <m:t>N</m:t>
            </m:r>
          </m:sup>
          <m:e>
            <m:sSub>
              <m:e>
                <m:r>
                  <m:t>v</m:t>
                </m:r>
              </m:e>
              <m:sub>
                <m:r>
                  <m:t>j</m:t>
                </m:r>
              </m:sub>
            </m:sSub>
          </m:e>
        </m:nary>
      </m:oMath>
      <w:r>
        <w:rPr>
          <w:rFonts w:ascii="Times New Roman" w:hAnsi="Times New Roman" w:cs="Times New Roman"/>
          <w:sz w:val="24"/>
        </w:rPr>
        <w:t xml:space="preserve"> er total årsverdi over alle </w:t>
      </w:r>
      <m:oMath>
        <m:r>
          <m:t>N</m:t>
        </m:r>
      </m:oMath>
      <w:r>
        <w:rPr>
          <w:rFonts w:ascii="Times New Roman" w:hAnsi="Times New Roman" w:cs="Times New Roman"/>
          <w:sz w:val="24"/>
        </w:rPr>
        <w:t xml:space="preserve"> artikler. En artikkel tilhører A-klassen dersom </w:t>
      </w:r>
      <m:oMath>
        <m:sSub>
          <m:e>
            <m:r>
              <m:t>C</m:t>
            </m:r>
          </m:e>
          <m:sub>
            <m:r>
              <m:t>i</m:t>
            </m:r>
          </m:sub>
        </m:sSub>
        <m:r>
          <m:t>≤0</m:t>
        </m:r>
        <m:r>
          <m:t>,</m:t>
        </m:r>
        <m:r>
          <m:t>80</m:t>
        </m:r>
      </m:oMath>
      <w:r>
        <w:rPr>
          <w:rFonts w:ascii="Times New Roman" w:hAnsi="Times New Roman" w:cs="Times New Roman"/>
          <w:sz w:val="24"/>
        </w:rPr>
        <w:t xml:space="preserve">, B-klassen dersom </w:t>
      </w:r>
      <m:oMath>
        <m:r>
          <m:t>0</m:t>
        </m:r>
        <m:r>
          <m:t>,</m:t>
        </m:r>
        <m:r>
          <m:t>80&lt;</m:t>
        </m:r>
        <m:sSub>
          <m:e>
            <m:r>
              <m:t>C</m:t>
            </m:r>
          </m:e>
          <m:sub>
            <m:r>
              <m:t>i</m:t>
            </m:r>
          </m:sub>
        </m:sSub>
        <m:r>
          <m:t>≤0</m:t>
        </m:r>
        <m:r>
          <m:t>,</m:t>
        </m:r>
        <m:r>
          <m:t>95</m:t>
        </m:r>
      </m:oMath>
      <w:r>
        <w:rPr>
          <w:rFonts w:ascii="Times New Roman" w:hAnsi="Times New Roman" w:cs="Times New Roman"/>
          <w:sz w:val="24"/>
        </w:rPr>
        <w:t>, og C-klassen ellers.</w:t>
      </w:r>
    </w:p>
    <w:p>
      <w:pPr>
        <w:spacing w:line="360" w:lineRule="auto"/>
        <w:jc w:val="both"/>
      </w:pPr>
      <w:r>
        <w:rPr>
          <w:rFonts w:ascii="Times New Roman" w:hAnsi="Times New Roman" w:cs="Times New Roman"/>
          <w:sz w:val="24"/>
        </w:rPr>
        <w:t>Klassifiseringsgrensene er satt i henhold til standard ABC-litteratur (Silaen et al., 2023):</w:t>
      </w:r>
    </w:p>
    <w:p>
      <w:r>
        <w:rPr>
          <w:rFonts w:ascii="Times New Roman" w:hAnsi="Times New Roman"/>
          <w:i/>
          <w:sz w:val="20"/>
        </w:rPr>
        <w:t xml:space="preserve">Tabell </w:t>
      </w:r>
      <w:r>
        <w:fldChar w:fldCharType="begin"/>
      </w:r>
      <w:r>
        <w:instrText xml:space="preserve"> SEQ Tabell \* ARABIC </w:instrText>
      </w:r>
      <w:r>
        <w:fldChar w:fldCharType="separate"/>
      </w:r>
      <w:r>
        <w:rPr>
          <w:rFonts w:ascii="Times New Roman" w:hAnsi="Times New Roman"/>
          <w:i/>
          <w:sz w:val="20"/>
        </w:rPr>
        <w:t>N</w:t>
      </w:r>
      <w:r>
        <w:fldChar w:fldCharType="end"/>
      </w:r>
      <w:r>
        <w:rPr>
          <w:rFonts w:ascii="Times New Roman" w:hAnsi="Times New Roman"/>
          <w:i/>
          <w:sz w:val="20"/>
        </w:rPr>
        <w:t>. Modellparametere: ABC-klassifiseringsgrenser og øvrige analyseinnstillinger.</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923"/>
        <w:gridCol w:w="2923"/>
        <w:gridCol w:w="2923"/>
      </w:tblGrid>
      <w:tr>
        <w:tc>
          <w:tcPr>
            <w:tcW w:type="dxa" w:w="2923"/>
            <w:tcBorders>
              <w:top w:val="single" w:sz="8" w:space="0" w:color="000000"/>
              <w:bottom w:val="single" w:sz="4" w:space="0" w:color="000000"/>
              <w:left w:val="nil"/>
              <w:right w:val="nil"/>
            </w:tcBorders>
          </w:tcPr>
          <w:p>
            <w:r/>
            <w:r>
              <w:rPr>
                <w:rFonts w:ascii="Times New Roman" w:hAnsi="Times New Roman"/>
                <w:b/>
                <w:sz w:val="22"/>
              </w:rPr>
              <w:t>Parameter</w:t>
            </w:r>
          </w:p>
        </w:tc>
        <w:tc>
          <w:tcPr>
            <w:tcW w:type="dxa" w:w="2923"/>
            <w:tcBorders>
              <w:top w:val="single" w:sz="8" w:space="0" w:color="000000"/>
              <w:bottom w:val="single" w:sz="4" w:space="0" w:color="000000"/>
              <w:left w:val="nil"/>
              <w:right w:val="nil"/>
            </w:tcBorders>
          </w:tcPr>
          <w:p>
            <w:r/>
            <w:r>
              <w:rPr>
                <w:rFonts w:ascii="Times New Roman" w:hAnsi="Times New Roman"/>
                <w:b/>
                <w:sz w:val="22"/>
              </w:rPr>
              <w:t>Verdi</w:t>
            </w:r>
          </w:p>
        </w:tc>
        <w:tc>
          <w:tcPr>
            <w:tcW w:type="dxa" w:w="2923"/>
            <w:tcBorders>
              <w:top w:val="single" w:sz="8" w:space="0" w:color="000000"/>
              <w:bottom w:val="single" w:sz="4" w:space="0" w:color="000000"/>
              <w:left w:val="nil"/>
              <w:right w:val="nil"/>
            </w:tcBorders>
          </w:tcPr>
          <w:p>
            <w:r/>
            <w:r>
              <w:rPr>
                <w:rFonts w:ascii="Times New Roman" w:hAnsi="Times New Roman"/>
                <w:b/>
                <w:sz w:val="22"/>
              </w:rPr>
              <w:t>Kilde/Begrunnelse</w:t>
            </w:r>
          </w:p>
        </w:tc>
      </w:tr>
      <w:tr>
        <w:tc>
          <w:tcPr>
            <w:tcW w:type="dxa" w:w="2923"/>
          </w:tcPr>
          <w:p>
            <w:r/>
            <w:r>
              <w:rPr>
                <w:rFonts w:ascii="Times New Roman" w:hAnsi="Times New Roman"/>
                <w:b w:val="0"/>
                <w:sz w:val="22"/>
              </w:rPr>
              <w:t>ABC A-grense</w:t>
            </w:r>
          </w:p>
        </w:tc>
        <w:tc>
          <w:tcPr>
            <w:tcW w:type="dxa" w:w="2923"/>
          </w:tcPr>
          <w:p>
            <w:r/>
            <w:r>
              <w:rPr>
                <w:rFonts w:ascii="Times New Roman" w:hAnsi="Times New Roman"/>
                <w:b w:val="0"/>
                <w:sz w:val="22"/>
              </w:rPr>
              <w:t>80 % kumulativ verdi</w:t>
            </w:r>
          </w:p>
        </w:tc>
        <w:tc>
          <w:tcPr>
            <w:tcW w:type="dxa" w:w="2923"/>
          </w:tcPr>
          <w:p>
            <w:r/>
            <w:r>
              <w:rPr>
                <w:rFonts w:ascii="Times New Roman" w:hAnsi="Times New Roman"/>
                <w:b w:val="0"/>
                <w:sz w:val="22"/>
              </w:rPr>
              <w:t>Silaen et al. (2023)</w:t>
            </w:r>
          </w:p>
        </w:tc>
      </w:tr>
      <w:tr>
        <w:tc>
          <w:tcPr>
            <w:tcW w:type="dxa" w:w="2923"/>
          </w:tcPr>
          <w:p>
            <w:r/>
            <w:r>
              <w:rPr>
                <w:rFonts w:ascii="Times New Roman" w:hAnsi="Times New Roman"/>
                <w:b w:val="0"/>
                <w:sz w:val="22"/>
              </w:rPr>
              <w:t>ABC B-grense</w:t>
            </w:r>
          </w:p>
        </w:tc>
        <w:tc>
          <w:tcPr>
            <w:tcW w:type="dxa" w:w="2923"/>
          </w:tcPr>
          <w:p>
            <w:r/>
            <w:r>
              <w:rPr>
                <w:rFonts w:ascii="Times New Roman" w:hAnsi="Times New Roman"/>
                <w:b w:val="0"/>
                <w:sz w:val="22"/>
              </w:rPr>
              <w:t>95 % kumulativ verdi</w:t>
            </w:r>
          </w:p>
        </w:tc>
        <w:tc>
          <w:tcPr>
            <w:tcW w:type="dxa" w:w="2923"/>
          </w:tcPr>
          <w:p>
            <w:r/>
            <w:r>
              <w:rPr>
                <w:rFonts w:ascii="Times New Roman" w:hAnsi="Times New Roman"/>
                <w:b w:val="0"/>
                <w:sz w:val="22"/>
              </w:rPr>
              <w:t>Silaen et al. (2023)</w:t>
            </w:r>
          </w:p>
        </w:tc>
      </w:tr>
      <w:tr>
        <w:tc>
          <w:tcPr>
            <w:tcW w:type="dxa" w:w="2923"/>
          </w:tcPr>
          <w:p>
            <w:r/>
            <w:r>
              <w:rPr>
                <w:rFonts w:ascii="Times New Roman" w:hAnsi="Times New Roman"/>
                <w:b w:val="0"/>
                <w:sz w:val="22"/>
              </w:rPr>
              <w:t>XYZ X-grense</w:t>
            </w:r>
          </w:p>
        </w:tc>
        <w:tc>
          <w:tcPr>
            <w:tcW w:type="dxa" w:w="2923"/>
          </w:tcPr>
          <w:p>
            <w:r/>
            <w:r>
              <w:rPr>
                <w:rFonts w:ascii="Times New Roman" w:hAnsi="Times New Roman"/>
                <w:b w:val="0"/>
                <w:sz w:val="22"/>
              </w:rPr>
              <w:t>CV &lt; 0,5</w:t>
            </w:r>
          </w:p>
        </w:tc>
        <w:tc>
          <w:tcPr>
            <w:tcW w:type="dxa" w:w="2923"/>
          </w:tcPr>
          <w:p>
            <w:r/>
            <w:r>
              <w:rPr>
                <w:rFonts w:ascii="Times New Roman" w:hAnsi="Times New Roman"/>
                <w:b w:val="0"/>
                <w:sz w:val="22"/>
              </w:rPr>
              <w:t>Nowotyńska (2013)</w:t>
            </w:r>
          </w:p>
        </w:tc>
      </w:tr>
      <w:tr>
        <w:tc>
          <w:tcPr>
            <w:tcW w:type="dxa" w:w="2923"/>
          </w:tcPr>
          <w:p>
            <w:r/>
            <w:r>
              <w:rPr>
                <w:rFonts w:ascii="Times New Roman" w:hAnsi="Times New Roman"/>
                <w:b w:val="0"/>
                <w:sz w:val="22"/>
              </w:rPr>
              <w:t>XYZ Y-grense</w:t>
            </w:r>
          </w:p>
        </w:tc>
        <w:tc>
          <w:tcPr>
            <w:tcW w:type="dxa" w:w="2923"/>
          </w:tcPr>
          <w:p>
            <w:r/>
            <w:r>
              <w:rPr>
                <w:rFonts w:ascii="Times New Roman" w:hAnsi="Times New Roman"/>
                <w:b w:val="0"/>
                <w:sz w:val="22"/>
              </w:rPr>
              <w:t>0,5 ≤ CV &lt; 1,0</w:t>
            </w:r>
          </w:p>
        </w:tc>
        <w:tc>
          <w:tcPr>
            <w:tcW w:type="dxa" w:w="2923"/>
          </w:tcPr>
          <w:p>
            <w:r/>
            <w:r>
              <w:rPr>
                <w:rFonts w:ascii="Times New Roman" w:hAnsi="Times New Roman"/>
                <w:b w:val="0"/>
                <w:sz w:val="22"/>
              </w:rPr>
              <w:t>Nowotyńska (2013)</w:t>
            </w:r>
          </w:p>
        </w:tc>
      </w:tr>
      <w:tr>
        <w:tc>
          <w:tcPr>
            <w:tcW w:type="dxa" w:w="2923"/>
          </w:tcPr>
          <w:p>
            <w:r/>
            <w:r>
              <w:rPr>
                <w:rFonts w:ascii="Times New Roman" w:hAnsi="Times New Roman"/>
                <w:b w:val="0"/>
                <w:sz w:val="22"/>
              </w:rPr>
              <w:t>XYZ Z-grense</w:t>
            </w:r>
          </w:p>
        </w:tc>
        <w:tc>
          <w:tcPr>
            <w:tcW w:type="dxa" w:w="2923"/>
          </w:tcPr>
          <w:p>
            <w:r/>
            <w:r>
              <w:rPr>
                <w:rFonts w:ascii="Times New Roman" w:hAnsi="Times New Roman"/>
                <w:b w:val="0"/>
                <w:sz w:val="22"/>
              </w:rPr>
              <w:t>CV ≥ 1,0</w:t>
            </w:r>
          </w:p>
        </w:tc>
        <w:tc>
          <w:tcPr>
            <w:tcW w:type="dxa" w:w="2923"/>
          </w:tcPr>
          <w:p>
            <w:r/>
            <w:r>
              <w:rPr>
                <w:rFonts w:ascii="Times New Roman" w:hAnsi="Times New Roman"/>
                <w:b w:val="0"/>
                <w:sz w:val="22"/>
              </w:rPr>
              <w:t>Nowotyńska (2013)</w:t>
            </w:r>
          </w:p>
        </w:tc>
      </w:tr>
      <w:tr>
        <w:tc>
          <w:tcPr>
            <w:tcW w:type="dxa" w:w="2923"/>
          </w:tcPr>
          <w:p>
            <w:r/>
            <w:r>
              <w:rPr>
                <w:rFonts w:ascii="Times New Roman" w:hAnsi="Times New Roman"/>
                <w:b w:val="0"/>
                <w:sz w:val="22"/>
              </w:rPr>
              <w:t>Ordrekostnad S</w:t>
            </w:r>
          </w:p>
        </w:tc>
        <w:tc>
          <w:tcPr>
            <w:tcW w:type="dxa" w:w="2923"/>
          </w:tcPr>
          <w:p>
            <w:r/>
            <w:r>
              <w:rPr>
                <w:rFonts w:ascii="Times New Roman" w:hAnsi="Times New Roman"/>
                <w:b w:val="0"/>
                <w:sz w:val="22"/>
              </w:rPr>
              <w:t>750 NOK</w:t>
            </w:r>
          </w:p>
        </w:tc>
        <w:tc>
          <w:tcPr>
            <w:tcW w:type="dxa" w:w="2923"/>
          </w:tcPr>
          <w:p>
            <w:r/>
            <w:r>
              <w:rPr>
                <w:rFonts w:ascii="Times New Roman" w:hAnsi="Times New Roman"/>
                <w:b w:val="0"/>
                <w:sz w:val="22"/>
              </w:rPr>
              <w:t>Bijvank &amp; Vis (2012); Kelle et al. (2012)</w:t>
            </w:r>
          </w:p>
        </w:tc>
      </w:tr>
      <w:tr>
        <w:tc>
          <w:tcPr>
            <w:tcW w:type="dxa" w:w="2923"/>
          </w:tcPr>
          <w:p>
            <w:r/>
            <w:r>
              <w:rPr>
                <w:rFonts w:ascii="Times New Roman" w:hAnsi="Times New Roman"/>
                <w:b w:val="0"/>
                <w:sz w:val="22"/>
              </w:rPr>
              <w:t>Holdesats h</w:t>
            </w:r>
          </w:p>
        </w:tc>
        <w:tc>
          <w:tcPr>
            <w:tcW w:type="dxa" w:w="2923"/>
          </w:tcPr>
          <w:p>
            <w:r/>
            <w:r>
              <w:rPr>
                <w:rFonts w:ascii="Times New Roman" w:hAnsi="Times New Roman"/>
                <w:b w:val="0"/>
                <w:sz w:val="22"/>
              </w:rPr>
              <w:t>20 % av UNIT_PRICE</w:t>
            </w:r>
          </w:p>
        </w:tc>
        <w:tc>
          <w:tcPr>
            <w:tcW w:type="dxa" w:w="2923"/>
          </w:tcPr>
          <w:p>
            <w:r/>
            <w:r>
              <w:rPr>
                <w:rFonts w:ascii="Times New Roman" w:hAnsi="Times New Roman"/>
                <w:b w:val="0"/>
                <w:sz w:val="22"/>
              </w:rPr>
              <w:t>Ketkar &amp; Vaidya (2014)</w:t>
            </w:r>
          </w:p>
        </w:tc>
      </w:tr>
      <w:tr>
        <w:tc>
          <w:tcPr>
            <w:tcW w:type="dxa" w:w="2923"/>
          </w:tcPr>
          <w:p>
            <w:r/>
            <w:r>
              <w:rPr>
                <w:rFonts w:ascii="Times New Roman" w:hAnsi="Times New Roman"/>
                <w:b w:val="0"/>
                <w:sz w:val="22"/>
              </w:rPr>
              <w:t>Leveringstid standardverdi</w:t>
            </w:r>
          </w:p>
        </w:tc>
        <w:tc>
          <w:tcPr>
            <w:tcW w:type="dxa" w:w="2923"/>
          </w:tcPr>
          <w:p>
            <w:r/>
            <w:r>
              <w:rPr>
                <w:rFonts w:ascii="Times New Roman" w:hAnsi="Times New Roman"/>
                <w:b w:val="0"/>
                <w:sz w:val="22"/>
              </w:rPr>
              <w:t>14 dager</w:t>
            </w:r>
          </w:p>
        </w:tc>
        <w:tc>
          <w:tcPr>
            <w:tcW w:type="dxa" w:w="2923"/>
          </w:tcPr>
          <w:p>
            <w:r/>
            <w:r>
              <w:rPr>
                <w:rFonts w:ascii="Times New Roman" w:hAnsi="Times New Roman"/>
                <w:b w:val="0"/>
                <w:sz w:val="22"/>
              </w:rPr>
              <w:t>Bransjepraksis (D-05)</w:t>
            </w:r>
          </w:p>
        </w:tc>
      </w:tr>
      <w:tr>
        <w:tc>
          <w:tcPr>
            <w:tcW w:type="dxa" w:w="2923"/>
          </w:tcPr>
          <w:p>
            <w:r/>
            <w:r>
              <w:rPr>
                <w:rFonts w:ascii="Times New Roman" w:hAnsi="Times New Roman"/>
                <w:b w:val="0"/>
                <w:sz w:val="22"/>
              </w:rPr>
              <w:t>EOQ-terskel τ_f</w:t>
            </w:r>
          </w:p>
        </w:tc>
        <w:tc>
          <w:tcPr>
            <w:tcW w:type="dxa" w:w="2923"/>
          </w:tcPr>
          <w:p>
            <w:r/>
            <w:r>
              <w:rPr>
                <w:rFonts w:ascii="Times New Roman" w:hAnsi="Times New Roman"/>
                <w:b w:val="0"/>
                <w:sz w:val="22"/>
              </w:rPr>
              <w:t>1,5 (</w:t>
            </w:r>
            <m:oMath>
              <m:sSub>
                <m:e>
                  <m:r>
                    <m:t>f</m:t>
                  </m:r>
                </m:e>
                <m:sub>
                  <m:r>
                    <m:rPr>
                      <m:nor/>
                    </m:rPr>
                    <m:t>obs</m:t>
                  </m:r>
                  <m:r>
                    <m:t>,i</m:t>
                  </m:r>
                </m:sub>
              </m:sSub>
              <m:r>
                <m:t>&gt;1</m:t>
              </m:r>
              <m:r>
                <m:t>,</m:t>
              </m:r>
              <m:r>
                <m:t>5·</m:t>
              </m:r>
              <m:sSubSup>
                <m:e>
                  <m:r>
                    <m:t>f</m:t>
                  </m:r>
                </m:e>
                <m:sub>
                  <m:r>
                    <m:t>i</m:t>
                  </m:r>
                </m:sub>
                <m:sup>
                  <m:r>
                    <m:t>*</m:t>
                  </m:r>
                </m:sup>
              </m:sSubSup>
            </m:oMath>
            <w:r>
              <w:rPr>
                <w:rFonts w:ascii="Times New Roman" w:hAnsi="Times New Roman"/>
                <w:b w:val="0"/>
                <w:sz w:val="22"/>
              </w:rPr>
              <w:t>, dvs. FREQ_AVVIK &gt; 0,5)</w:t>
            </w:r>
          </w:p>
        </w:tc>
        <w:tc>
          <w:tcPr>
            <w:tcW w:type="dxa" w:w="2923"/>
          </w:tcPr>
          <w:p>
            <w:r/>
            <w:r>
              <w:rPr>
                <w:rFonts w:ascii="Times New Roman" w:hAnsi="Times New Roman"/>
                <w:b w:val="0"/>
                <w:sz w:val="22"/>
              </w:rPr>
              <w:t>Operasjonelt vesentlig avvik</w:t>
            </w:r>
          </w:p>
        </w:tc>
      </w:tr>
      <w:tr>
        <w:tc>
          <w:tcPr>
            <w:tcW w:type="dxa" w:w="2923"/>
          </w:tcPr>
          <w:p>
            <w:r/>
            <w:r>
              <w:rPr>
                <w:rFonts w:ascii="Times New Roman" w:hAnsi="Times New Roman"/>
                <w:b w:val="0"/>
                <w:sz w:val="22"/>
              </w:rPr>
              <w:t>K-means K-søk</w:t>
            </w:r>
          </w:p>
        </w:tc>
        <w:tc>
          <w:tcPr>
            <w:tcW w:type="dxa" w:w="2923"/>
          </w:tcPr>
          <w:p>
            <w:r/>
            <w:r>
              <w:rPr>
                <w:rFonts w:ascii="Times New Roman" w:hAnsi="Times New Roman"/>
                <w:b w:val="0"/>
                <w:sz w:val="22"/>
              </w:rPr>
              <w:t>K ∈ {2, 3, 4, 5, 6, 7}</w:t>
            </w:r>
          </w:p>
        </w:tc>
        <w:tc>
          <w:tcPr>
            <w:tcW w:type="dxa" w:w="2923"/>
          </w:tcPr>
          <w:p>
            <w:r/>
            <w:r>
              <w:rPr>
                <w:rFonts w:ascii="Times New Roman" w:hAnsi="Times New Roman"/>
                <w:b w:val="0"/>
                <w:sz w:val="22"/>
              </w:rPr>
              <w:t>Silhouette-optimering</w:t>
            </w:r>
          </w:p>
        </w:tc>
      </w:tr>
      <w:tr>
        <w:tc>
          <w:tcPr>
            <w:tcW w:type="dxa" w:w="2923"/>
          </w:tcPr>
          <w:p>
            <w:r/>
            <w:r>
              <w:rPr>
                <w:rFonts w:ascii="Times New Roman" w:hAnsi="Times New Roman"/>
                <w:b w:val="0"/>
                <w:sz w:val="22"/>
              </w:rPr>
              <w:t>K-means n_init</w:t>
            </w:r>
          </w:p>
        </w:tc>
        <w:tc>
          <w:tcPr>
            <w:tcW w:type="dxa" w:w="2923"/>
          </w:tcPr>
          <w:p>
            <w:r/>
            <w:r>
              <w:rPr>
                <w:rFonts w:ascii="Times New Roman" w:hAnsi="Times New Roman"/>
                <w:b w:val="0"/>
                <w:sz w:val="22"/>
              </w:rPr>
              <w:t>50</w:t>
            </w:r>
          </w:p>
        </w:tc>
        <w:tc>
          <w:tcPr>
            <w:tcW w:type="dxa" w:w="2923"/>
          </w:tcPr>
          <w:p>
            <w:r/>
            <w:r>
              <w:rPr>
                <w:rFonts w:ascii="Times New Roman" w:hAnsi="Times New Roman"/>
                <w:b w:val="0"/>
                <w:sz w:val="22"/>
              </w:rPr>
              <w:t>Robust initialisering</w:t>
            </w:r>
          </w:p>
        </w:tc>
      </w:tr>
      <w:tr>
        <w:tc>
          <w:tcPr>
            <w:tcW w:type="dxa" w:w="2923"/>
          </w:tcPr>
          <w:p>
            <w:r/>
            <w:r>
              <w:rPr>
                <w:rFonts w:ascii="Times New Roman" w:hAnsi="Times New Roman"/>
                <w:b w:val="0"/>
                <w:sz w:val="22"/>
              </w:rPr>
              <w:t>Random state</w:t>
            </w:r>
          </w:p>
        </w:tc>
        <w:tc>
          <w:tcPr>
            <w:tcW w:type="dxa" w:w="2923"/>
          </w:tcPr>
          <w:p>
            <w:r/>
            <w:r>
              <w:rPr>
                <w:rFonts w:ascii="Times New Roman" w:hAnsi="Times New Roman"/>
                <w:b w:val="0"/>
                <w:sz w:val="22"/>
              </w:rPr>
              <w:t>42</w:t>
            </w:r>
          </w:p>
        </w:tc>
        <w:tc>
          <w:tcPr>
            <w:tcW w:type="dxa" w:w="2923"/>
          </w:tcPr>
          <w:p>
            <w:r/>
            <w:r>
              <w:rPr>
                <w:rFonts w:ascii="Times New Roman" w:hAnsi="Times New Roman"/>
                <w:b w:val="0"/>
                <w:sz w:val="22"/>
              </w:rPr>
              <w:t>Reproduserbarhet</w:t>
            </w:r>
          </w:p>
        </w:tc>
      </w:tr>
      <w:tr>
        <w:tc>
          <w:tcPr>
            <w:tcW w:type="dxa" w:w="2923"/>
          </w:tcPr>
          <w:p>
            <w:r/>
            <w:r>
              <w:rPr>
                <w:rFonts w:ascii="Times New Roman" w:hAnsi="Times New Roman"/>
                <w:b w:val="0"/>
                <w:sz w:val="22"/>
              </w:rPr>
              <w:t>Train/test split</w:t>
            </w:r>
          </w:p>
        </w:tc>
        <w:tc>
          <w:tcPr>
            <w:tcW w:type="dxa" w:w="2923"/>
          </w:tcPr>
          <w:p>
            <w:r/>
            <w:r>
              <w:rPr>
                <w:rFonts w:ascii="Times New Roman" w:hAnsi="Times New Roman"/>
                <w:b w:val="0"/>
                <w:sz w:val="22"/>
              </w:rPr>
              <w:t>80/20</w:t>
            </w:r>
          </w:p>
        </w:tc>
        <w:tc>
          <w:tcPr>
            <w:tcW w:type="dxa" w:w="2923"/>
          </w:tcPr>
          <w:p>
            <w:r/>
            <w:r>
              <w:rPr>
                <w:rFonts w:ascii="Times New Roman" w:hAnsi="Times New Roman"/>
                <w:b w:val="0"/>
                <w:sz w:val="22"/>
              </w:rPr>
              <w:t>Standard validering</w:t>
            </w:r>
          </w:p>
        </w:tc>
      </w:tr>
    </w:tbl>
    <w:p>
      <w:pPr>
        <w:spacing w:line="360" w:lineRule="auto"/>
        <w:jc w:val="both"/>
      </w:pPr>
      <w:r>
        <w:rPr>
          <w:rFonts w:ascii="Times New Roman" w:hAnsi="Times New Roman" w:cs="Times New Roman"/>
          <w:sz w:val="24"/>
        </w:rPr>
        <w:t>Grensene 80 % og 95 % er i tråd med den klassiske Pareto-inndelingen og er konsistente med anbefalingene i van Kampen et al. (2012). Sorteringen og kumulative beregningene er implementert med pandas (McKinney, 2010), og ingen manuell justering av enkeltartikler er foretatt.</w:t>
      </w:r>
    </w:p>
    <w:p>
      <w:pPr>
        <w:pStyle w:val="Overskrift2"/>
      </w:pPr>
      <w:r>
        <w:rPr>
          <w:rFonts w:ascii="Times New Roman" w:hAnsi="Times New Roman"/>
          <w:color w:val="000000"/>
          <w:sz w:val="32"/>
        </w:rPr>
        <w:t>5.2 XYZ-modellen</w:t>
      </w:r>
    </w:p>
    <w:p>
      <w:pPr>
        <w:spacing w:line="360" w:lineRule="auto"/>
        <w:jc w:val="both"/>
      </w:pPr>
      <w:r>
        <w:rPr>
          <w:rFonts w:ascii="Times New Roman" w:hAnsi="Times New Roman" w:cs="Times New Roman"/>
          <w:sz w:val="24"/>
        </w:rPr>
        <w:t>XYZ-klassifisering beskriver stabilitet i forbruksmønsteret over tid, og komplementerer ABC-analysen ved å skille artikler med forutsigbar etterspørsel fra artikler med uregelmessig forbruk (Nowotyńska, 2013). Grunnlaget for klassifiseringen er variasjonskoeffisienten CV (coefficient of variation), beregnet fra månedlig forbruk over analyseperioden på 24 måneder:</w:t>
      </w:r>
    </w:p>
    <w:p>
      <w:pPr>
        <w:spacing w:line="360" w:lineRule="auto"/>
        <w:jc w:val="center"/>
      </w:pPr>
      <m:oMath>
        <m:sSub>
          <m:e>
            <m:r>
              <m:rPr>
                <m:nor/>
              </m:rPr>
              <m:t>CV</m:t>
            </m:r>
          </m:e>
          <m:sub>
            <m:r>
              <m:t>i</m:t>
            </m:r>
          </m:sub>
        </m:sSub>
        <m:r>
          <m:t>=</m:t>
        </m:r>
        <m:f>
          <m:fPr>
            <m:type m:val="bar"/>
          </m:fPr>
          <m:num>
            <m:sSub>
              <m:e>
                <m:r>
                  <m:t>σ</m:t>
                </m:r>
              </m:e>
              <m:sub>
                <m:r>
                  <m:t>i</m:t>
                </m:r>
              </m:sub>
            </m:sSub>
          </m:num>
          <m:den>
            <m:sSub>
              <m:e>
                <m:r>
                  <m:t>μ</m:t>
                </m:r>
              </m:e>
              <m:sub>
                <m:r>
                  <m:t>i</m:t>
                </m:r>
              </m:sub>
            </m:sSub>
          </m:den>
        </m:f>
      </m:oMath>
    </w:p>
    <w:p>
      <w:pPr>
        <w:spacing w:line="360" w:lineRule="auto"/>
        <w:jc w:val="both"/>
      </w:pPr>
      <w:r>
        <w:rPr>
          <w:rFonts w:ascii="Times New Roman" w:hAnsi="Times New Roman" w:cs="Times New Roman"/>
          <w:sz w:val="24"/>
        </w:rPr>
        <w:t xml:space="preserve">der </w:t>
      </w:r>
      <m:oMath>
        <m:sSub>
          <m:e>
            <m:r>
              <m:t>σ</m:t>
            </m:r>
          </m:e>
          <m:sub>
            <m:r>
              <m:t>i</m:t>
            </m:r>
          </m:sub>
        </m:sSub>
      </m:oMath>
      <w:r>
        <w:rPr>
          <w:rFonts w:ascii="Times New Roman" w:hAnsi="Times New Roman" w:cs="Times New Roman"/>
          <w:sz w:val="24"/>
        </w:rPr>
        <w:t xml:space="preserve"> er standardavviket og </w:t>
      </w:r>
      <m:oMath>
        <m:sSub>
          <m:e>
            <m:r>
              <m:t>μ</m:t>
            </m:r>
          </m:e>
          <m:sub>
            <m:r>
              <m:t>i</m:t>
            </m:r>
          </m:sub>
        </m:sSub>
      </m:oMath>
      <w:r>
        <w:rPr>
          <w:rFonts w:ascii="Times New Roman" w:hAnsi="Times New Roman" w:cs="Times New Roman"/>
          <w:sz w:val="24"/>
        </w:rPr>
        <w:t xml:space="preserve"> er gjennomsnittet av månedlig forbruk for artikkel </w:t>
      </w:r>
      <m:oMath>
        <m:r>
          <m:t>i</m:t>
        </m:r>
      </m:oMath>
      <w:r>
        <w:rPr>
          <w:rFonts w:ascii="Times New Roman" w:hAnsi="Times New Roman" w:cs="Times New Roman"/>
          <w:sz w:val="24"/>
        </w:rPr>
        <w:t>, basert på MSEG-bevegelsestypene 201 og 647. CV er et dimensjonsløst relativt spredningsmål som gjør det mulig å sammenligne variasjon på tvers av artikler med svært ulike forbruksvolumer (Suryaputri et al., 2022). Artikler med manglende forbruksdata utelates fra XYZ-analysen. Grensene fremgår av Tabell 6 ovenfor.</w:t>
      </w:r>
    </w:p>
    <w:p>
      <w:pPr>
        <w:spacing w:line="360" w:lineRule="auto"/>
        <w:jc w:val="both"/>
      </w:pPr>
      <w:r>
        <w:rPr>
          <w:rFonts w:ascii="Times New Roman" w:hAnsi="Times New Roman" w:cs="Times New Roman"/>
          <w:sz w:val="24"/>
        </w:rPr>
        <w:t>Kombinasjonen av ABC og XYZ gir en ni-felts matrise (AX, AY, AZ … CZ) som nyanserer styringsbeslutningen: en AX-artikkel er både høyverdi og forutsigbar, og er dermed velegnet for automatisert etterfylling med stram styring, mens en CZ-artikkel er lavverdi og uregelmessig, og typisk bør håndteres med en reaktiv, behovsstyrt tilnærming (Ketkar &amp; Vaidya, 2014). Matrisen er ikke et mål i seg selv, men fungerer som ett av tre inngangssignaler til regelmotoren beskrevet i avsnitt 5.5.</w:t>
      </w:r>
    </w:p>
    <w:p>
      <w:pPr>
        <w:spacing w:line="360" w:lineRule="auto"/>
        <w:jc w:val="both"/>
      </w:pPr>
      <w:r>
        <w:rPr>
          <w:rFonts w:ascii="Times New Roman" w:hAnsi="Times New Roman" w:cs="Times New Roman"/>
          <w:sz w:val="24"/>
        </w:rPr>
        <w:t>Som beskrevet i avsnitt 4.3 (D-04) benyttes SAP-feltet ZZXYZ utelukkende til validering: systemklassen sammenlignes med den beregnede CV-klassen for å kvantifisere i hvilken grad den eksisterende SAP-klassifiseringen er i overensstemmelse med faktiske forbruksdata. Valideringsresultater presenteres i kapittel 6.</w:t>
      </w:r>
    </w:p>
    <w:p>
      <w:pPr>
        <w:pStyle w:val="Overskrift2"/>
      </w:pPr>
      <w:r>
        <w:rPr>
          <w:rFonts w:ascii="Times New Roman" w:hAnsi="Times New Roman"/>
          <w:color w:val="000000"/>
          <w:sz w:val="32"/>
        </w:rPr>
        <w:t>5.3 EOQ-modellen og besparelsesformelen</w:t>
      </w:r>
    </w:p>
    <w:p>
      <w:pPr>
        <w:spacing w:line="360" w:lineRule="auto"/>
        <w:jc w:val="both"/>
      </w:pPr>
      <w:r>
        <w:rPr>
          <w:rFonts w:ascii="Times New Roman" w:hAnsi="Times New Roman" w:cs="Times New Roman"/>
          <w:b/>
          <w:sz w:val="24"/>
        </w:rPr>
        <w:t>Wilson EOQ-modell.</w:t>
      </w:r>
      <w:r>
        <w:rPr>
          <w:rFonts w:ascii="Times New Roman" w:hAnsi="Times New Roman" w:cs="Times New Roman"/>
          <w:sz w:val="24"/>
        </w:rPr>
        <w:t xml:space="preserve"> Den klassiske Wilson-formelen gir den ordrekvantum </w:t>
      </w:r>
      <m:oMath>
        <m:sSup>
          <m:e>
            <m:r>
              <m:t>Q</m:t>
            </m:r>
          </m:e>
          <m:sup>
            <m:r>
              <m:t>*</m:t>
            </m:r>
          </m:sup>
        </m:sSup>
      </m:oMath>
      <w:r>
        <w:rPr>
          <w:rFonts w:ascii="Times New Roman" w:hAnsi="Times New Roman" w:cs="Times New Roman"/>
          <w:sz w:val="24"/>
        </w:rPr>
        <w:t xml:space="preserve"> som minimerer den totale lagerholde- og ordrekostnaden per år (Hautaniemi &amp; Pirttilä, 1999):</w:t>
      </w:r>
    </w:p>
    <w:p>
      <w:pPr>
        <w:spacing w:line="360" w:lineRule="auto"/>
        <w:jc w:val="center"/>
      </w:pPr>
      <m:oMath>
        <m:sSup>
          <m:e>
            <m:r>
              <m:t>Q</m:t>
            </m:r>
          </m:e>
          <m:sup>
            <m:r>
              <m:t>*</m:t>
            </m:r>
          </m:sup>
        </m:sSup>
        <m:r>
          <m:t>=</m:t>
        </m:r>
        <m:rad>
          <m:radPr>
            <m:degHide m:val="on"/>
          </m:radPr>
          <m:deg/>
          <m:e>
            <m:f>
              <m:fPr>
                <m:type m:val="bar"/>
              </m:fPr>
              <m:num>
                <m:r>
                  <m:t>2DS</m:t>
                </m:r>
              </m:num>
              <m:den>
                <m:r>
                  <m:t>H</m:t>
                </m:r>
              </m:den>
            </m:f>
          </m:e>
        </m:rad>
      </m:oMath>
    </w:p>
    <w:p>
      <w:pPr>
        <w:spacing w:line="360" w:lineRule="auto"/>
        <w:jc w:val="both"/>
      </w:pPr>
      <w:r>
        <w:rPr>
          <w:rFonts w:ascii="Times New Roman" w:hAnsi="Times New Roman" w:cs="Times New Roman"/>
          <w:sz w:val="24"/>
        </w:rPr>
        <w:t xml:space="preserve">der </w:t>
      </w:r>
      <m:oMath>
        <m:r>
          <m:t>D</m:t>
        </m:r>
      </m:oMath>
      <w:r>
        <w:rPr>
          <w:rFonts w:ascii="Times New Roman" w:hAnsi="Times New Roman" w:cs="Times New Roman"/>
          <w:sz w:val="24"/>
        </w:rPr>
        <w:t xml:space="preserve"> er årsforbruk (enheter/år), </w:t>
      </w:r>
      <m:oMath>
        <m:r>
          <m:t>S=750</m:t>
        </m:r>
      </m:oMath>
      <w:r>
        <w:rPr>
          <w:rFonts w:ascii="Times New Roman" w:hAnsi="Times New Roman" w:cs="Times New Roman"/>
          <w:sz w:val="24"/>
        </w:rPr>
        <w:t xml:space="preserve"> NOK er ordrekostnad per bestilling og </w:t>
      </w:r>
      <m:oMath>
        <m:r>
          <m:t>H=h×</m:t>
        </m:r>
        <m:r>
          <m:rPr>
            <m:nor/>
          </m:rPr>
          <m:t>UNIT\_PRICE</m:t>
        </m:r>
      </m:oMath>
      <w:r>
        <w:rPr>
          <w:rFonts w:ascii="Times New Roman" w:hAnsi="Times New Roman" w:cs="Times New Roman"/>
          <w:sz w:val="24"/>
        </w:rPr>
        <w:t xml:space="preserve"> er holdekostnad per enhet per år, med holdesats </w:t>
      </w:r>
      <m:oMath>
        <m:r>
          <m:t>h=20</m:t>
        </m:r>
        <m:r>
          <m:t>%</m:t>
        </m:r>
      </m:oMath>
      <w:r>
        <w:rPr>
          <w:rFonts w:ascii="Times New Roman" w:hAnsi="Times New Roman" w:cs="Times New Roman"/>
          <w:sz w:val="24"/>
        </w:rPr>
        <w:t>. Den optimale ordrefrekvensen følger direkte:</w:t>
      </w:r>
    </w:p>
    <w:p>
      <w:pPr>
        <w:spacing w:line="360" w:lineRule="auto"/>
        <w:jc w:val="center"/>
      </w:pPr>
      <m:oMath>
        <m:sSup>
          <m:e>
            <m:r>
              <m:t>f</m:t>
            </m:r>
          </m:e>
          <m:sup>
            <m:r>
              <m:t>*</m:t>
            </m:r>
          </m:sup>
        </m:sSup>
        <m:r>
          <m:t>=</m:t>
        </m:r>
        <m:f>
          <m:fPr>
            <m:type m:val="bar"/>
          </m:fPr>
          <m:num>
            <m:r>
              <m:t>D</m:t>
            </m:r>
          </m:num>
          <m:den>
            <m:sSup>
              <m:e>
                <m:r>
                  <m:t>Q</m:t>
                </m:r>
              </m:e>
              <m:sup>
                <m:r>
                  <m:t>*</m:t>
                </m:r>
              </m:sup>
            </m:sSup>
          </m:den>
        </m:f>
        <m:r>
          <m:t>=</m:t>
        </m:r>
        <m:rad>
          <m:radPr>
            <m:degHide m:val="on"/>
          </m:radPr>
          <m:deg/>
          <m:e>
            <m:f>
              <m:fPr>
                <m:type m:val="bar"/>
              </m:fPr>
              <m:num>
                <m:r>
                  <m:t>DH</m:t>
                </m:r>
              </m:num>
              <m:den>
                <m:r>
                  <m:t>2S</m:t>
                </m:r>
              </m:den>
            </m:f>
          </m:e>
        </m:rad>
      </m:oMath>
    </w:p>
    <w:p>
      <w:pPr>
        <w:spacing w:line="360" w:lineRule="auto"/>
        <w:jc w:val="both"/>
      </w:pPr>
      <w:r>
        <w:rPr>
          <w:rFonts w:ascii="Times New Roman" w:hAnsi="Times New Roman" w:cs="Times New Roman"/>
          <w:b/>
          <w:sz w:val="24"/>
        </w:rPr>
        <w:t>Avviksformel.</w:t>
      </w:r>
      <w:r>
        <w:rPr>
          <w:rFonts w:ascii="Times New Roman" w:hAnsi="Times New Roman" w:cs="Times New Roman"/>
          <w:sz w:val="24"/>
        </w:rPr>
        <w:t xml:space="preserve"> Faktisk ordrefrekvens </w:t>
      </w:r>
      <m:oMath>
        <m:sSub>
          <m:e>
            <m:r>
              <m:t>f</m:t>
            </m:r>
          </m:e>
          <m:sub>
            <m:r>
              <m:rPr>
                <m:nor/>
              </m:rPr>
              <m:t>obs</m:t>
            </m:r>
          </m:sub>
        </m:sSub>
      </m:oMath>
      <w:r>
        <w:rPr>
          <w:rFonts w:ascii="Times New Roman" w:hAnsi="Times New Roman" w:cs="Times New Roman"/>
          <w:sz w:val="24"/>
        </w:rPr>
        <w:t xml:space="preserve"> er annualisert fra EKBE-data via D-08. Relativt frekvensavvik er definert som:</w:t>
      </w:r>
    </w:p>
    <w:p>
      <w:pPr>
        <w:spacing w:line="360" w:lineRule="auto"/>
        <w:jc w:val="center"/>
      </w:pPr>
      <m:oMath>
        <m:sSub>
          <m:e>
            <m:r>
              <m:rPr>
                <m:nor/>
              </m:rPr>
              <m:t>FREQ\_AVVIK</m:t>
            </m:r>
          </m:e>
          <m:sub>
            <m:r>
              <m:t>i</m:t>
            </m:r>
          </m:sub>
        </m:sSub>
        <m:r>
          <m:t>=</m:t>
        </m:r>
        <m:f>
          <m:fPr>
            <m:type m:val="bar"/>
          </m:fPr>
          <m:num>
            <m:sSub>
              <m:e>
                <m:r>
                  <m:t>f</m:t>
                </m:r>
              </m:e>
              <m:sub>
                <m:r>
                  <m:rPr>
                    <m:nor/>
                  </m:rPr>
                  <m:t>obs</m:t>
                </m:r>
                <m:r>
                  <m:t>,i</m:t>
                </m:r>
              </m:sub>
            </m:sSub>
            <m:r>
              <m:t>−</m:t>
            </m:r>
            <m:sSubSup>
              <m:e>
                <m:r>
                  <m:t>f</m:t>
                </m:r>
              </m:e>
              <m:sub>
                <m:r>
                  <m:t>i</m:t>
                </m:r>
              </m:sub>
              <m:sup>
                <m:r>
                  <m:t>*</m:t>
                </m:r>
              </m:sup>
            </m:sSubSup>
          </m:num>
          <m:den>
            <m:sSubSup>
              <m:e>
                <m:r>
                  <m:t>f</m:t>
                </m:r>
              </m:e>
              <m:sub>
                <m:r>
                  <m:t>i</m:t>
                </m:r>
              </m:sub>
              <m:sup>
                <m:r>
                  <m:t>*</m:t>
                </m:r>
              </m:sup>
            </m:sSubSup>
          </m:den>
        </m:f>
      </m:oMath>
    </w:p>
    <w:p>
      <w:pPr>
        <w:spacing w:line="360" w:lineRule="auto"/>
        <w:jc w:val="both"/>
      </w:pPr>
      <w:r>
        <w:rPr>
          <w:rFonts w:ascii="Times New Roman" w:hAnsi="Times New Roman" w:cs="Times New Roman"/>
          <w:sz w:val="24"/>
        </w:rPr>
        <w:t xml:space="preserve">En artikkel klassifiseres som FOR\_MANGE\_ORDRER dersom </w:t>
      </w:r>
      <m:oMath>
        <m:sSub>
          <m:e>
            <m:r>
              <m:t>f</m:t>
            </m:r>
          </m:e>
          <m:sub>
            <m:r>
              <m:rPr>
                <m:nor/>
              </m:rPr>
              <m:t>obs</m:t>
            </m:r>
            <m:r>
              <m:t>,i</m:t>
            </m:r>
          </m:sub>
        </m:sSub>
        <m:r>
          <m:t>&gt;</m:t>
        </m:r>
        <m:sSub>
          <m:e>
            <m:r>
              <m:t>τ</m:t>
            </m:r>
          </m:e>
          <m:sub>
            <m:r>
              <m:t>f</m:t>
            </m:r>
          </m:sub>
        </m:sSub>
        <m:r>
          <m:t>·</m:t>
        </m:r>
        <m:sSubSup>
          <m:e>
            <m:r>
              <m:t>f</m:t>
            </m:r>
          </m:e>
          <m:sub>
            <m:r>
              <m:t>i</m:t>
            </m:r>
          </m:sub>
          <m:sup>
            <m:r>
              <m:t>*</m:t>
            </m:r>
          </m:sup>
        </m:sSubSup>
      </m:oMath>
      <w:r>
        <w:rPr>
          <w:rFonts w:ascii="Times New Roman" w:hAnsi="Times New Roman" w:cs="Times New Roman"/>
          <w:sz w:val="24"/>
        </w:rPr>
        <w:t xml:space="preserve">, der </w:t>
      </w:r>
      <m:oMath>
        <m:sSub>
          <m:e>
            <m:r>
              <m:t>τ</m:t>
            </m:r>
          </m:e>
          <m:sub>
            <m:r>
              <m:t>f</m:t>
            </m:r>
          </m:sub>
        </m:sSub>
        <m:r>
          <m:t>=1</m:t>
        </m:r>
        <m:r>
          <m:t>,</m:t>
        </m:r>
        <m:r>
          <m:t>5</m:t>
        </m:r>
      </m:oMath>
      <w:r>
        <w:rPr>
          <w:rFonts w:ascii="Times New Roman" w:hAnsi="Times New Roman" w:cs="Times New Roman"/>
          <w:sz w:val="24"/>
        </w:rPr>
        <w:t xml:space="preserve">. Dette tilsvarer FREQ\_AVVIK </w:t>
      </w:r>
      <m:oMath>
        <m:r>
          <m:t>&gt;0</m:t>
        </m:r>
        <m:r>
          <m:t>,</m:t>
        </m:r>
        <m:r>
          <m:t>5</m:t>
        </m:r>
      </m:oMath>
      <w:r>
        <w:rPr>
          <w:rFonts w:ascii="Times New Roman" w:hAnsi="Times New Roman" w:cs="Times New Roman"/>
          <w:sz w:val="24"/>
        </w:rPr>
        <w:t xml:space="preserve">, det vil si at faktisk ordrefrekvens er mer enn 50 % høyere enn EOQ-optimal frekvens. Symmetrisk klassifiseres artikler med FREQ\_AVVIK </w:t>
      </w:r>
      <m:oMath>
        <m:d>
          <m:dPr>
            <m:begChr m:val="&lt;"/>
            <m:sepChr m:val="−"/>
            <m:endChr m:val=""/>
          </m:dPr>
          <m:e/>
          <m:e>
            <m:r>
              <m:t>0</m:t>
            </m:r>
            <m:r>
              <m:t>,</m:t>
            </m:r>
            <m:r>
              <m:t>5</m:t>
            </m:r>
          </m:e>
        </m:d>
      </m:oMath>
      <w:r>
        <w:rPr>
          <w:rFonts w:ascii="Times New Roman" w:hAnsi="Times New Roman" w:cs="Times New Roman"/>
          <w:sz w:val="24"/>
        </w:rPr>
        <w:t xml:space="preserve"> som FOR\_FÅ\_ORDRER, mens artikler i intervallet </w:t>
      </w:r>
      <m:oMath>
        <m:d>
          <m:dPr>
            <m:begChr m:val="["/>
            <m:sepChr m:val="−"/>
            <m:endChr m:val="]"/>
          </m:dPr>
          <m:e/>
          <m:e>
            <m:r>
              <m:t>0</m:t>
            </m:r>
            <m:r>
              <m:t>,</m:t>
            </m:r>
            <m:r>
              <m:t>5</m:t>
            </m:r>
            <m:r>
              <m:t>;</m:t>
            </m:r>
            <m:r>
              <m:t>0</m:t>
            </m:r>
            <m:r>
              <m:t>,</m:t>
            </m:r>
            <m:r>
              <m:t>5</m:t>
            </m:r>
          </m:e>
        </m:d>
      </m:oMath>
      <w:r>
        <w:rPr>
          <w:rFonts w:ascii="Times New Roman" w:hAnsi="Times New Roman" w:cs="Times New Roman"/>
          <w:sz w:val="24"/>
        </w:rPr>
        <w:t xml:space="preserve"> klassifiseres som OK. Terskelen </w:t>
      </w:r>
      <m:oMath>
        <m:sSub>
          <m:e>
            <m:r>
              <m:t>τ</m:t>
            </m:r>
          </m:e>
          <m:sub>
            <m:r>
              <m:t>f</m:t>
            </m:r>
          </m:sub>
        </m:sSub>
      </m:oMath>
      <w:r>
        <w:rPr>
          <w:rFonts w:ascii="Times New Roman" w:hAnsi="Times New Roman" w:cs="Times New Roman"/>
          <w:sz w:val="24"/>
        </w:rPr>
        <w:t xml:space="preserve"> er satt for å fokusere analysen på de artiklene der avviket er operasjonelt vesentlig, og ikke bare statistisk merkbart. Differansen i totalkostnad mellom faktisk og optimal drift for en artikkel er:</w:t>
      </w:r>
    </w:p>
    <w:p>
      <w:pPr>
        <w:spacing w:line="360" w:lineRule="auto"/>
        <w:jc w:val="center"/>
      </w:pPr>
      <m:oMath>
        <m:r>
          <m:t>ΔT</m:t>
        </m:r>
        <m:sSub>
          <m:e>
            <m:r>
              <m:t>C</m:t>
            </m:r>
          </m:e>
          <m:sub>
            <m:r>
              <m:t>i</m:t>
            </m:r>
          </m:sub>
        </m:sSub>
        <m:r>
          <m:t>=TC(</m:t>
        </m:r>
        <m:sSub>
          <m:e>
            <m:r>
              <m:t>f</m:t>
            </m:r>
          </m:e>
          <m:sub>
            <m:r>
              <m:rPr>
                <m:nor/>
              </m:rPr>
              <m:t>obs</m:t>
            </m:r>
            <m:r>
              <m:t>,i</m:t>
            </m:r>
          </m:sub>
        </m:sSub>
        <m:r>
          <m:t>)−TC(</m:t>
        </m:r>
        <m:sSubSup>
          <m:e>
            <m:r>
              <m:t>f</m:t>
            </m:r>
          </m:e>
          <m:sub>
            <m:r>
              <m:t>i</m:t>
            </m:r>
          </m:sub>
          <m:sup>
            <m:r>
              <m:t>*</m:t>
            </m:r>
          </m:sup>
        </m:sSubSup>
        <m:r>
          <m:t>)</m:t>
        </m:r>
      </m:oMath>
    </w:p>
    <w:p>
      <w:pPr>
        <w:spacing w:line="360" w:lineRule="auto"/>
        <w:jc w:val="both"/>
      </w:pPr>
      <w:r>
        <w:rPr>
          <w:rFonts w:ascii="Times New Roman" w:hAnsi="Times New Roman" w:cs="Times New Roman"/>
          <w:sz w:val="24"/>
        </w:rPr>
        <w:t xml:space="preserve">der totalkostnaden ved frekvens </w:t>
      </w:r>
      <m:oMath>
        <m:r>
          <m:t>f</m:t>
        </m:r>
      </m:oMath>
      <w:r>
        <w:rPr>
          <w:rFonts w:ascii="Times New Roman" w:hAnsi="Times New Roman" w:cs="Times New Roman"/>
          <w:sz w:val="24"/>
        </w:rPr>
        <w:t xml:space="preserve"> er:</w:t>
      </w:r>
    </w:p>
    <w:p>
      <w:pPr>
        <w:spacing w:line="360" w:lineRule="auto"/>
        <w:jc w:val="center"/>
      </w:pPr>
      <m:oMath>
        <m:r>
          <m:t>TC(f)=f·S+</m:t>
        </m:r>
        <m:f>
          <m:fPr>
            <m:type m:val="bar"/>
          </m:fPr>
          <m:num>
            <m:r>
              <m:t>D</m:t>
            </m:r>
          </m:num>
          <m:den>
            <m:r>
              <m:t>2f</m:t>
            </m:r>
          </m:den>
        </m:f>
        <m:r>
          <m:t>·H</m:t>
        </m:r>
      </m:oMath>
    </w:p>
    <w:p>
      <w:pPr>
        <w:spacing w:line="360" w:lineRule="auto"/>
        <w:jc w:val="both"/>
      </w:pPr>
      <w:r>
        <w:rPr>
          <w:rFonts w:ascii="Times New Roman" w:hAnsi="Times New Roman" w:cs="Times New Roman"/>
          <w:sz w:val="24"/>
        </w:rPr>
        <w:t xml:space="preserve">Parametervalgene </w:t>
      </w:r>
      <m:oMath>
        <m:r>
          <m:t>S=750</m:t>
        </m:r>
      </m:oMath>
      <w:r>
        <w:rPr>
          <w:rFonts w:ascii="Times New Roman" w:hAnsi="Times New Roman" w:cs="Times New Roman"/>
          <w:sz w:val="24"/>
        </w:rPr>
        <w:t xml:space="preserve">NOK og </w:t>
      </w:r>
      <m:oMath>
        <m:r>
          <m:t>h=20</m:t>
        </m:r>
      </m:oMath>
      <w:r>
        <w:rPr>
          <w:rFonts w:ascii="Times New Roman" w:hAnsi="Times New Roman" w:cs="Times New Roman"/>
          <w:sz w:val="24"/>
        </w:rPr>
        <w:t xml:space="preserve"> er begrunnet i avsnitt 1.4. Sensitivitetsanalysen i kapittel 7.6 tester robustheten ved systematisk variasjon i </w:t>
      </w:r>
      <m:oMath>
        <m:r>
          <m:t>S</m:t>
        </m:r>
      </m:oMath>
      <w:r>
        <w:rPr>
          <w:rFonts w:ascii="Times New Roman" w:hAnsi="Times New Roman" w:cs="Times New Roman"/>
          <w:sz w:val="24"/>
        </w:rPr>
        <w:t xml:space="preserve">, </w:t>
      </w:r>
      <m:oMath>
        <m:r>
          <m:t>h</m:t>
        </m:r>
      </m:oMath>
      <w:r>
        <w:rPr>
          <w:rFonts w:ascii="Times New Roman" w:hAnsi="Times New Roman" w:cs="Times New Roman"/>
          <w:sz w:val="24"/>
        </w:rPr>
        <w:t xml:space="preserve"> og </w:t>
      </w:r>
      <m:oMath>
        <m:sSub>
          <m:e>
            <m:r>
              <m:t>τ</m:t>
            </m:r>
          </m:e>
          <m:sub>
            <m:r>
              <m:t>f</m:t>
            </m:r>
          </m:sub>
        </m:sSub>
      </m:oMath>
      <w:r>
        <w:rPr>
          <w:rFonts w:ascii="Times New Roman" w:hAnsi="Times New Roman" w:cs="Times New Roman"/>
          <w:sz w:val="24"/>
        </w:rPr>
        <w:t>.</w:t>
      </w:r>
    </w:p>
    <w:p>
      <w:pPr>
        <w:spacing w:line="360" w:lineRule="auto"/>
        <w:jc w:val="both"/>
      </w:pPr>
      <w:r>
        <w:rPr>
          <w:rFonts w:ascii="Times New Roman" w:hAnsi="Times New Roman" w:cs="Times New Roman"/>
          <w:b/>
          <w:sz w:val="24"/>
        </w:rPr>
        <w:t>Besparelsesformel.</w:t>
      </w:r>
      <w:r>
        <w:rPr>
          <w:rFonts w:ascii="Times New Roman" w:hAnsi="Times New Roman" w:cs="Times New Roman"/>
          <w:sz w:val="24"/>
        </w:rPr>
        <w:t xml:space="preserve"> Besparelsesformelen estimerer den reduksjonen i totalkostnad som kan realiseres ved overføring til HVFS og konsolidering av ordrefrekvens mot EOQ-optimalt nivå. Formelen bygger direkte på </w:t>
      </w:r>
      <m:oMath>
        <m:r>
          <m:t>ΔT</m:t>
        </m:r>
        <m:sSub>
          <m:e>
            <m:r>
              <m:t>C</m:t>
            </m:r>
          </m:e>
          <m:sub>
            <m:r>
              <m:t>i</m:t>
            </m:r>
          </m:sub>
        </m:sSub>
      </m:oMath>
      <w:r>
        <w:rPr>
          <w:rFonts w:ascii="Times New Roman" w:hAnsi="Times New Roman" w:cs="Times New Roman"/>
          <w:sz w:val="24"/>
        </w:rPr>
        <w:t>:</w:t>
      </w:r>
    </w:p>
    <w:p>
      <w:pPr>
        <w:spacing w:line="360" w:lineRule="auto"/>
        <w:jc w:val="center"/>
      </w:pPr>
      <m:oMath>
        <m:sSub>
          <m:e>
            <m:r>
              <m:t>B</m:t>
            </m:r>
          </m:e>
          <m:sub>
            <m:r>
              <m:rPr>
                <m:nor/>
              </m:rPr>
              <m:t>HVFS</m:t>
            </m:r>
          </m:sub>
        </m:sSub>
        <m:r>
          <m:t>=</m:t>
        </m:r>
        <m:nary>
          <m:naryPr>
            <m:chr m:val="∑"/>
            <m:limLoc m:val="subSup"/>
            <m:grow m:val="1"/>
            <m:subHide m:val="off"/>
            <m:supHide m:val="on"/>
          </m:naryPr>
          <m:sub>
            <m:r>
              <m:t>i∈</m:t>
            </m:r>
            <m:r>
              <m:rPr>
                <m:nor/>
              </m:rPr>
              <m:t>OVERFØR</m:t>
            </m:r>
          </m:sub>
          <m:sup/>
          <m:e>
            <m:r>
              <m:t>ΔT</m:t>
            </m:r>
          </m:e>
        </m:nary>
        <m:sSub>
          <m:e>
            <m:r>
              <m:t>C</m:t>
            </m:r>
          </m:e>
          <m:sub>
            <m:r>
              <m:t>i</m:t>
            </m:r>
          </m:sub>
        </m:sSub>
        <m:r>
          <m:t>·g</m:t>
        </m:r>
      </m:oMath>
    </w:p>
    <w:p>
      <w:pPr>
        <w:spacing w:line="360" w:lineRule="auto"/>
        <w:jc w:val="both"/>
      </w:pPr>
      <w:r>
        <w:rPr>
          <w:rFonts w:ascii="Times New Roman" w:hAnsi="Times New Roman" w:cs="Times New Roman"/>
          <w:sz w:val="24"/>
        </w:rPr>
        <w:t xml:space="preserve">der </w:t>
      </w:r>
      <m:oMath>
        <m:r>
          <m:t>g</m:t>
        </m:r>
      </m:oMath>
      <w:r>
        <w:rPr>
          <w:rFonts w:ascii="Times New Roman" w:hAnsi="Times New Roman" w:cs="Times New Roman"/>
          <w:sz w:val="24"/>
        </w:rPr>
        <w:t xml:space="preserve"> er en gevinstrealiseringsgrad som reflekterer at ikke alle teoretiske besparelser lar seg realisere fullt ut i praksis – blant annet som følge av implementeringsfriksjon, endrede leverandøravtaler og SAP-parameterjusteringer. Tre scenarier er definert: worst case (</w:t>
      </w:r>
      <m:oMath>
        <m:r>
          <m:t>g=50</m:t>
        </m:r>
        <m:r>
          <m:t>%</m:t>
        </m:r>
      </m:oMath>
      <w:r>
        <w:rPr>
          <w:rFonts w:ascii="Times New Roman" w:hAnsi="Times New Roman" w:cs="Times New Roman"/>
          <w:sz w:val="24"/>
        </w:rPr>
        <w:t>), base case (</w:t>
      </w:r>
      <m:oMath>
        <m:r>
          <m:t>g=75</m:t>
        </m:r>
        <m:r>
          <m:t>%</m:t>
        </m:r>
      </m:oMath>
      <w:r>
        <w:rPr>
          <w:rFonts w:ascii="Times New Roman" w:hAnsi="Times New Roman" w:cs="Times New Roman"/>
          <w:sz w:val="24"/>
        </w:rPr>
        <w:t>) og best case (</w:t>
      </w:r>
      <m:oMath>
        <m:r>
          <m:t>g=100</m:t>
        </m:r>
        <m:r>
          <m:t>%</m:t>
        </m:r>
      </m:oMath>
      <w:r>
        <w:rPr>
          <w:rFonts w:ascii="Times New Roman" w:hAnsi="Times New Roman" w:cs="Times New Roman"/>
          <w:sz w:val="24"/>
        </w:rPr>
        <w:t xml:space="preserve">). Kun artikler som både er i OVERFØR\_HVFS-kategorien </w:t>
      </w:r>
      <w:r>
        <w:rPr>
          <w:rFonts w:ascii="Times New Roman" w:hAnsi="Times New Roman" w:cs="Times New Roman"/>
          <w:i/>
          <w:sz w:val="24"/>
        </w:rPr>
        <w:t>og</w:t>
      </w:r>
      <w:r>
        <w:rPr>
          <w:rFonts w:ascii="Times New Roman" w:hAnsi="Times New Roman" w:cs="Times New Roman"/>
          <w:sz w:val="24"/>
        </w:rPr>
        <w:t xml:space="preserve"> har status FOR\_MANGE\_ORDRER inngår i besparelsesgrunnlaget, da </w:t>
      </w:r>
      <m:oMath>
        <m:r>
          <m:t>ΔT</m:t>
        </m:r>
        <m:sSub>
          <m:e>
            <m:r>
              <m:t>C</m:t>
            </m:r>
          </m:e>
          <m:sub>
            <m:r>
              <m:t>i</m:t>
            </m:r>
          </m:sub>
        </m:sSub>
      </m:oMath>
      <w:r>
        <w:rPr>
          <w:rFonts w:ascii="Times New Roman" w:hAnsi="Times New Roman" w:cs="Times New Roman"/>
          <w:sz w:val="24"/>
        </w:rPr>
        <w:t xml:space="preserve"> modellerer kostnadsavviket fra suboptimal ordrefrekvens – en avvik som nettopp adresseres ved sentralisering til HVFS. Sensitivitetsanalysen i kapittel 7 undersøker robustheten av dette estimatet ved systematisk variasjon i </w:t>
      </w:r>
      <m:oMath>
        <m:r>
          <m:t>S</m:t>
        </m:r>
      </m:oMath>
      <w:r>
        <w:rPr>
          <w:rFonts w:ascii="Times New Roman" w:hAnsi="Times New Roman" w:cs="Times New Roman"/>
          <w:sz w:val="24"/>
        </w:rPr>
        <w:t xml:space="preserve">, </w:t>
      </w:r>
      <m:oMath>
        <m:r>
          <m:t>h</m:t>
        </m:r>
      </m:oMath>
      <w:r>
        <w:rPr>
          <w:rFonts w:ascii="Times New Roman" w:hAnsi="Times New Roman" w:cs="Times New Roman"/>
          <w:sz w:val="24"/>
        </w:rPr>
        <w:t xml:space="preserve"> og </w:t>
      </w:r>
      <m:oMath>
        <m:sSub>
          <m:e>
            <m:r>
              <m:t>τ</m:t>
            </m:r>
          </m:e>
          <m:sub>
            <m:r>
              <m:t>f</m:t>
            </m:r>
          </m:sub>
        </m:sSub>
      </m:oMath>
      <w:r>
        <w:rPr>
          <w:rFonts w:ascii="Times New Roman" w:hAnsi="Times New Roman" w:cs="Times New Roman"/>
          <w:sz w:val="24"/>
        </w:rPr>
        <w:t xml:space="preserve">, mens </w:t>
      </w:r>
      <m:oMath>
        <m:r>
          <m:t>g</m:t>
        </m:r>
      </m:oMath>
      <w:r>
        <w:rPr>
          <w:rFonts w:ascii="Times New Roman" w:hAnsi="Times New Roman" w:cs="Times New Roman"/>
          <w:sz w:val="24"/>
        </w:rPr>
        <w:t xml:space="preserve"> varieres separat gjennom tre scenarier (worst/base/best).</w:t>
      </w:r>
    </w:p>
    <w:p>
      <w:pPr>
        <w:pStyle w:val="Overskrift2"/>
      </w:pPr>
      <w:r>
        <w:rPr>
          <w:rFonts w:ascii="Times New Roman" w:hAnsi="Times New Roman"/>
          <w:color w:val="000000"/>
          <w:sz w:val="32"/>
        </w:rPr>
        <w:t>5.4 K-means klyngemodellen</w:t>
      </w:r>
    </w:p>
    <w:p>
      <w:pPr>
        <w:spacing w:line="360" w:lineRule="auto"/>
        <w:jc w:val="both"/>
      </w:pPr>
      <w:r>
        <w:rPr>
          <w:rFonts w:ascii="Times New Roman" w:hAnsi="Times New Roman" w:cs="Times New Roman"/>
          <w:sz w:val="24"/>
        </w:rPr>
        <w:t xml:space="preserve">K-means er en partisjonerende klyngealgoritme som deler et datasett med </w:t>
      </w:r>
      <m:oMath>
        <m:r>
          <m:t>N</m:t>
        </m:r>
      </m:oMath>
      <w:r>
        <w:rPr>
          <w:rFonts w:ascii="Times New Roman" w:hAnsi="Times New Roman" w:cs="Times New Roman"/>
          <w:sz w:val="24"/>
        </w:rPr>
        <w:t xml:space="preserve"> observasjoner inn i </w:t>
      </w:r>
      <m:oMath>
        <m:r>
          <m:t>K</m:t>
        </m:r>
      </m:oMath>
      <w:r>
        <w:rPr>
          <w:rFonts w:ascii="Times New Roman" w:hAnsi="Times New Roman" w:cs="Times New Roman"/>
          <w:sz w:val="24"/>
        </w:rPr>
        <w:t xml:space="preserve"> klynger ved å minimere intra-klynge varians (Srinivasan &amp; Moon, 1999). Algoritmen er iterativ: den initialiserer </w:t>
      </w:r>
      <m:oMath>
        <m:r>
          <m:t>K</m:t>
        </m:r>
      </m:oMath>
      <w:r>
        <w:rPr>
          <w:rFonts w:ascii="Times New Roman" w:hAnsi="Times New Roman" w:cs="Times New Roman"/>
          <w:sz w:val="24"/>
        </w:rPr>
        <w:t xml:space="preserve"> sentroider, tildeler hvert datapunkt til nærmeste sentroid, oppdaterer sentroider som klyngenes tyngdepunkter og gjentar til konvergens. Implementasjonen benytter scikit-learn (Pedregosa et al., 2011) med </w:t>
      </w:r>
      <w:r>
        <w:rPr>
          <w:rFonts w:ascii="Consolas" w:hAnsi="Consolas" w:cs="Consolas"/>
          <w:sz w:val="20"/>
          <w:shd w:val="clear" w:color="auto" w:fill="F4F4F4"/>
        </w:rPr>
        <w:t>n_init=50</w:t>
      </w:r>
      <w:r>
        <w:rPr>
          <w:rFonts w:ascii="Times New Roman" w:hAnsi="Times New Roman" w:cs="Times New Roman"/>
          <w:sz w:val="24"/>
        </w:rPr>
        <w:t xml:space="preserve"> og </w:t>
      </w:r>
      <w:r>
        <w:rPr>
          <w:rFonts w:ascii="Consolas" w:hAnsi="Consolas" w:cs="Consolas"/>
          <w:sz w:val="20"/>
          <w:shd w:val="clear" w:color="auto" w:fill="F4F4F4"/>
        </w:rPr>
        <w:t>max_iter=300</w:t>
      </w:r>
      <w:r>
        <w:rPr>
          <w:rFonts w:ascii="Times New Roman" w:hAnsi="Times New Roman" w:cs="Times New Roman"/>
          <w:sz w:val="24"/>
        </w:rPr>
        <w:t xml:space="preserve"> for robust initialisering.</w:t>
      </w:r>
    </w:p>
    <w:p>
      <w:pPr>
        <w:spacing w:line="360" w:lineRule="auto"/>
        <w:jc w:val="both"/>
      </w:pPr>
      <w:r>
        <w:rPr>
          <w:rFonts w:ascii="Times New Roman" w:hAnsi="Times New Roman" w:cs="Times New Roman"/>
          <w:b/>
          <w:sz w:val="24"/>
        </w:rPr>
        <w:t>Featurevektor.</w:t>
      </w:r>
      <w:r>
        <w:rPr>
          <w:rFonts w:ascii="Times New Roman" w:hAnsi="Times New Roman" w:cs="Times New Roman"/>
          <w:sz w:val="24"/>
        </w:rPr>
        <w:t xml:space="preserve"> Hver artikkel representeres av en tredimensjonal featurevektor:</w:t>
      </w:r>
    </w:p>
    <w:p>
      <w:pPr>
        <w:spacing w:line="360" w:lineRule="auto"/>
        <w:jc w:val="center"/>
      </w:pPr>
      <m:oMath>
        <m:sSub>
          <m:e>
            <m:r>
              <m:t>𝐱</m:t>
            </m:r>
          </m:e>
          <m:sub>
            <m:r>
              <m:t>i</m:t>
            </m:r>
          </m:sub>
        </m:sSub>
        <m:r>
          <m:t>=[</m:t>
        </m:r>
        <m:r>
          <m:t>z(</m:t>
        </m:r>
        <m:r>
          <m:rPr>
            <m:sty m:val="p"/>
          </m:rPr>
          <m:t>ln</m:t>
        </m:r>
        <m:sSub>
          <m:e>
            <m:r>
              <m:rPr>
                <m:nor/>
              </m:rPr>
              <m:t>CV</m:t>
            </m:r>
          </m:e>
          <m:sub>
            <m:r>
              <m:t>i</m:t>
            </m:r>
          </m:sub>
        </m:sSub>
        <m:r>
          <m:t>),</m:t>
        </m:r>
        <m:r>
          <m:t>z(</m:t>
        </m:r>
        <m:r>
          <m:rPr>
            <m:sty m:val="p"/>
          </m:rPr>
          <m:t>ln</m:t>
        </m:r>
        <m:r>
          <m:t>(</m:t>
        </m:r>
        <m:sSub>
          <m:e>
            <m:r>
              <m:t>v</m:t>
            </m:r>
          </m:e>
          <m:sub>
            <m:r>
              <m:t>i</m:t>
            </m:r>
          </m:sub>
        </m:sSub>
        <m:r>
          <m:t>+1)),</m:t>
        </m:r>
        <m:r>
          <m:t>z(</m:t>
        </m:r>
        <m:r>
          <m:rPr>
            <m:sty m:val="p"/>
          </m:rPr>
          <m:t>ln</m:t>
        </m:r>
        <m:r>
          <m:t>(|ΔT</m:t>
        </m:r>
        <m:sSub>
          <m:e>
            <m:r>
              <m:t>C</m:t>
            </m:r>
          </m:e>
          <m:sub>
            <m:r>
              <m:t>i</m:t>
            </m:r>
          </m:sub>
        </m:sSub>
        <m:r>
          <m:t>|+1))</m:t>
        </m:r>
        <m:r>
          <m:t>]</m:t>
        </m:r>
      </m:oMath>
    </w:p>
    <w:p>
      <w:pPr>
        <w:spacing w:line="360" w:lineRule="auto"/>
        <w:jc w:val="both"/>
      </w:pPr>
      <w:r>
        <w:rPr>
          <w:rFonts w:ascii="Times New Roman" w:hAnsi="Times New Roman" w:cs="Times New Roman"/>
          <w:sz w:val="24"/>
        </w:rPr>
        <w:t xml:space="preserve">der </w:t>
      </w:r>
      <m:oMath>
        <m:r>
          <m:t>z(·)</m:t>
        </m:r>
      </m:oMath>
      <w:r>
        <w:rPr>
          <w:rFonts w:ascii="Times New Roman" w:hAnsi="Times New Roman" w:cs="Times New Roman"/>
          <w:sz w:val="24"/>
        </w:rPr>
        <w:t xml:space="preserve"> betegner standardisering (z-score). Log-transformasjon er anvendt på alle tre features fordi de underliggende variablene er høyreskjeve: CV, artikkelverdi og EOQ-avvik har lange høyre haler, og uten transformasjon vil K-means domineres av ekstremverdier fremfor den typiske variasjonen i datasettet (Srinivasan &amp; Moon, 1999). Absoluttverdien </w:t>
      </w:r>
      <m:oMath>
        <m:d>
          <m:dPr>
            <m:begChr m:val="|"/>
            <m:sepChr m:val=""/>
            <m:endChr m:val="|"/>
          </m:dPr>
          <m:e>
            <m:r>
              <m:t>Δ</m:t>
            </m:r>
            <m:r>
              <m:t>T</m:t>
            </m:r>
            <m:sSub>
              <m:e>
                <m:r>
                  <m:t>C</m:t>
                </m:r>
              </m:e>
              <m:sub>
                <m:r>
                  <m:t>i</m:t>
                </m:r>
              </m:sub>
            </m:sSub>
          </m:e>
        </m:d>
      </m:oMath>
      <w:r>
        <w:rPr>
          <w:rFonts w:ascii="Times New Roman" w:hAnsi="Times New Roman" w:cs="Times New Roman"/>
          <w:sz w:val="24"/>
        </w:rPr>
        <w:t xml:space="preserve"> benyttes fordi det er størrelsen på EOQ-avviket som er relevant for klyngingen – ikke retningen. Konstantleddet </w:t>
      </w:r>
      <m:oMath>
        <m:r>
          <m:t>+1</m:t>
        </m:r>
      </m:oMath>
      <w:r>
        <w:rPr>
          <w:rFonts w:ascii="Times New Roman" w:hAnsi="Times New Roman" w:cs="Times New Roman"/>
          <w:sz w:val="24"/>
        </w:rPr>
        <w:t xml:space="preserve"> i logaritmen hindrer </w:t>
      </w:r>
      <m:oMath>
        <m:r>
          <m:rPr>
            <m:sty m:val="p"/>
          </m:rPr>
          <m:t>ln</m:t>
        </m:r>
        <m:r>
          <m:t>(0)</m:t>
        </m:r>
      </m:oMath>
      <w:r>
        <w:rPr>
          <w:rFonts w:ascii="Times New Roman" w:hAnsi="Times New Roman" w:cs="Times New Roman"/>
          <w:sz w:val="24"/>
        </w:rPr>
        <w:t xml:space="preserve"> for artikler med </w:t>
      </w:r>
      <m:oMath>
        <m:r>
          <m:t>ΔTC=0</m:t>
        </m:r>
      </m:oMath>
      <w:r>
        <w:rPr>
          <w:rFonts w:ascii="Times New Roman" w:hAnsi="Times New Roman" w:cs="Times New Roman"/>
          <w:sz w:val="24"/>
        </w:rPr>
        <w:t>.</w:t>
      </w:r>
    </w:p>
    <w:p>
      <w:pPr>
        <w:spacing w:line="360" w:lineRule="auto"/>
        <w:jc w:val="both"/>
      </w:pPr>
      <w:r>
        <w:rPr>
          <w:rFonts w:ascii="Times New Roman" w:hAnsi="Times New Roman" w:cs="Times New Roman"/>
          <w:b/>
          <w:sz w:val="24"/>
        </w:rPr>
        <w:t>Trenings- og testprosedyre.</w:t>
      </w:r>
      <w:r>
        <w:rPr>
          <w:rFonts w:ascii="Times New Roman" w:hAnsi="Times New Roman" w:cs="Times New Roman"/>
          <w:sz w:val="24"/>
        </w:rPr>
        <w:t xml:space="preserve"> Datasettet deles i et treningssett (80 %, random\_state = 42) og et testsett (20 %). StandardScaler tilpasses utelukkende til treningsdataene og transformerer deretter begge sett. KMeans-modellen trenes kun på treningsdataene. Testsettet evaluerer klyngestrukturens generaliserbarhet.</w:t>
      </w:r>
    </w:p>
    <w:p>
      <w:pPr>
        <w:spacing w:line="360" w:lineRule="auto"/>
        <w:jc w:val="both"/>
      </w:pPr>
      <w:r>
        <w:rPr>
          <w:rFonts w:ascii="Times New Roman" w:hAnsi="Times New Roman" w:cs="Times New Roman"/>
          <w:b/>
          <w:sz w:val="24"/>
        </w:rPr>
        <w:t>K-valg.</w:t>
      </w:r>
      <w:r>
        <w:rPr>
          <w:rFonts w:ascii="Times New Roman" w:hAnsi="Times New Roman" w:cs="Times New Roman"/>
          <w:sz w:val="24"/>
        </w:rPr>
        <w:t xml:space="preserve"> Antall klynger </w:t>
      </w:r>
      <m:oMath>
        <m:r>
          <m:t>K</m:t>
        </m:r>
      </m:oMath>
      <w:r>
        <w:rPr>
          <w:rFonts w:ascii="Times New Roman" w:hAnsi="Times New Roman" w:cs="Times New Roman"/>
          <w:sz w:val="24"/>
        </w:rPr>
        <w:t xml:space="preserve"> velges automatisk som den </w:t>
      </w:r>
      <m:oMath>
        <m:r>
          <m:t>K</m:t>
        </m:r>
      </m:oMath>
      <w:r>
        <w:rPr>
          <w:rFonts w:ascii="Times New Roman" w:hAnsi="Times New Roman" w:cs="Times New Roman"/>
          <w:sz w:val="24"/>
        </w:rPr>
        <w:t xml:space="preserve">-verdien i intervallet </w:t>
      </w:r>
      <m:oMath>
        <m:d>
          <m:dPr>
            <m:begChr m:val="["/>
            <m:sepChr m:val=","/>
            <m:endChr m:val="]"/>
          </m:dPr>
          <m:e>
            <m:r>
              <m:t>2</m:t>
            </m:r>
          </m:e>
          <m:e>
            <m:r>
              <m:t>7</m:t>
            </m:r>
          </m:e>
        </m:d>
      </m:oMath>
      <w:r>
        <w:rPr>
          <w:rFonts w:ascii="Times New Roman" w:hAnsi="Times New Roman" w:cs="Times New Roman"/>
          <w:sz w:val="24"/>
        </w:rPr>
        <w:t xml:space="preserve"> som gir høyest gjennomsnittlig silhouette-score på treningsdataene. Silhouette-score </w:t>
      </w:r>
      <m:oMath>
        <m:sSub>
          <m:e>
            <m:r>
              <m:t>s</m:t>
            </m:r>
          </m:e>
          <m:sub>
            <m:r>
              <m:t>i</m:t>
            </m:r>
          </m:sub>
        </m:sSub>
      </m:oMath>
      <w:r>
        <w:rPr>
          <w:rFonts w:ascii="Times New Roman" w:hAnsi="Times New Roman" w:cs="Times New Roman"/>
          <w:sz w:val="24"/>
        </w:rPr>
        <w:t xml:space="preserve"> for punkt </w:t>
      </w:r>
      <m:oMath>
        <m:r>
          <m:t>i</m:t>
        </m:r>
      </m:oMath>
      <w:r>
        <w:rPr>
          <w:rFonts w:ascii="Times New Roman" w:hAnsi="Times New Roman" w:cs="Times New Roman"/>
          <w:sz w:val="24"/>
        </w:rPr>
        <w:t xml:space="preserve"> er definert som (Rousseeuw, 1987):</w:t>
      </w:r>
    </w:p>
    <w:p>
      <w:pPr>
        <w:spacing w:line="360" w:lineRule="auto"/>
        <w:jc w:val="center"/>
      </w:pPr>
      <m:oMath>
        <m:sSub>
          <m:e>
            <m:r>
              <m:t>s</m:t>
            </m:r>
          </m:e>
          <m:sub>
            <m:r>
              <m:t>i</m:t>
            </m:r>
          </m:sub>
        </m:sSub>
        <m:r>
          <m:t>=</m:t>
        </m:r>
        <m:f>
          <m:fPr>
            <m:type m:val="bar"/>
          </m:fPr>
          <m:num>
            <m:sSub>
              <m:e>
                <m:r>
                  <m:t>b</m:t>
                </m:r>
              </m:e>
              <m:sub>
                <m:r>
                  <m:t>i</m:t>
                </m:r>
              </m:sub>
            </m:sSub>
            <m:r>
              <m:t>−</m:t>
            </m:r>
            <m:sSub>
              <m:e>
                <m:r>
                  <m:t>a</m:t>
                </m:r>
              </m:e>
              <m:sub>
                <m:r>
                  <m:t>i</m:t>
                </m:r>
              </m:sub>
            </m:sSub>
          </m:num>
          <m:den>
            <m:r>
              <m:t>max(</m:t>
            </m:r>
            <m:sSub>
              <m:e>
                <m:r>
                  <m:t>a</m:t>
                </m:r>
              </m:e>
              <m:sub>
                <m:r>
                  <m:t>i</m:t>
                </m:r>
              </m:sub>
            </m:sSub>
            <m:r>
              <m:t>,</m:t>
            </m:r>
            <m:sSub>
              <m:e>
                <m:r>
                  <m:t>b</m:t>
                </m:r>
              </m:e>
              <m:sub>
                <m:r>
                  <m:t>i</m:t>
                </m:r>
              </m:sub>
            </m:sSub>
            <m:r>
              <m:t>)</m:t>
            </m:r>
          </m:den>
        </m:f>
      </m:oMath>
    </w:p>
    <w:p>
      <w:pPr>
        <w:spacing w:line="360" w:lineRule="auto"/>
        <w:jc w:val="both"/>
      </w:pPr>
      <w:r>
        <w:rPr>
          <w:rFonts w:ascii="Times New Roman" w:hAnsi="Times New Roman" w:cs="Times New Roman"/>
          <w:sz w:val="24"/>
        </w:rPr>
        <w:t xml:space="preserve">der </w:t>
      </w:r>
      <m:oMath>
        <m:sSub>
          <m:e>
            <m:r>
              <m:t>a</m:t>
            </m:r>
          </m:e>
          <m:sub>
            <m:r>
              <m:t>i</m:t>
            </m:r>
          </m:sub>
        </m:sSub>
      </m:oMath>
      <w:r>
        <w:rPr>
          <w:rFonts w:ascii="Times New Roman" w:hAnsi="Times New Roman" w:cs="Times New Roman"/>
          <w:sz w:val="24"/>
        </w:rPr>
        <w:t xml:space="preserve"> er gjennomsnittlig intra-klyngeavstand og </w:t>
      </w:r>
      <m:oMath>
        <m:sSub>
          <m:e>
            <m:r>
              <m:t>b</m:t>
            </m:r>
          </m:e>
          <m:sub>
            <m:r>
              <m:t>i</m:t>
            </m:r>
          </m:sub>
        </m:sSub>
      </m:oMath>
      <w:r>
        <w:rPr>
          <w:rFonts w:ascii="Times New Roman" w:hAnsi="Times New Roman" w:cs="Times New Roman"/>
          <w:sz w:val="24"/>
        </w:rPr>
        <w:t xml:space="preserve"> er gjennomsnittlig avstand til nærmeste naboklynge. Score nær 1 indikerer tydelig klyngetilhørighet; score nær 0 indikerer overlapp; negativ score indikerer feil klynge. Scorer over 0,3 regnes som akseptable for eksplorativ analyse (Ketkar &amp; Vaidya, 2014). Silhouette beregnes separat for trenings- og testdata; et lavere testresultat enn treningsresultat er normalt, men et vesentlig fall vil indikere overfit.</w:t>
      </w:r>
    </w:p>
    <w:p>
      <w:pPr>
        <w:spacing w:line="360" w:lineRule="auto"/>
        <w:jc w:val="both"/>
      </w:pPr>
      <w:r>
        <w:rPr>
          <w:rFonts w:ascii="Times New Roman" w:hAnsi="Times New Roman" w:cs="Times New Roman"/>
          <w:b/>
          <w:sz w:val="24"/>
        </w:rPr>
        <w:t>K\_OVERFØR-klyngen.</w:t>
      </w:r>
      <w:r>
        <w:rPr>
          <w:rFonts w:ascii="Times New Roman" w:hAnsi="Times New Roman" w:cs="Times New Roman"/>
          <w:sz w:val="24"/>
        </w:rPr>
        <w:t xml:space="preserve"> Etter kjøring identifiseres én klynge som HVFS-overføringsklynge. Identifiseringen er deterministisk: for hver klynge </w:t>
      </w:r>
      <m:oMath>
        <m:r>
          <m:t>k</m:t>
        </m:r>
      </m:oMath>
      <w:r>
        <w:rPr>
          <w:rFonts w:ascii="Times New Roman" w:hAnsi="Times New Roman" w:cs="Times New Roman"/>
          <w:sz w:val="24"/>
        </w:rPr>
        <w:t xml:space="preserve"> beregnes to rangeringer – </w:t>
      </w:r>
      <m:oMath>
        <m:r>
          <m:rPr>
            <m:nor/>
          </m:rPr>
          <m:t>rang</m:t>
        </m:r>
        <m:r>
          <m:t>(</m:t>
        </m:r>
        <m:sSub>
          <m:e>
            <m:acc>
              <m:accPr>
                <m:chr m:val="―"/>
              </m:accPr>
              <m:e>
                <m:r>
                  <m:rPr>
                    <m:nor/>
                  </m:rPr>
                  <m:t>CV</m:t>
                </m:r>
              </m:e>
            </m:acc>
          </m:e>
          <m:sub>
            <m:r>
              <m:t>k</m:t>
            </m:r>
          </m:sub>
        </m:sSub>
        <m:r>
          <m:t>)</m:t>
        </m:r>
      </m:oMath>
      <w:r>
        <w:rPr>
          <w:rFonts w:ascii="Times New Roman" w:hAnsi="Times New Roman" w:cs="Times New Roman"/>
          <w:sz w:val="24"/>
        </w:rPr>
        <w:t xml:space="preserve"> stigende og </w:t>
      </w:r>
      <m:oMath>
        <m:r>
          <m:rPr>
            <m:nor/>
          </m:rPr>
          <m:t>rang</m:t>
        </m:r>
        <m:r>
          <m:t>(</m:t>
        </m:r>
        <m:sSub>
          <m:e>
            <m:acc>
              <m:accPr>
                <m:chr m:val="―"/>
              </m:accPr>
              <m:e>
                <m:r>
                  <m:t>v</m:t>
                </m:r>
              </m:e>
            </m:acc>
          </m:e>
          <m:sub>
            <m:r>
              <m:t>k</m:t>
            </m:r>
          </m:sub>
        </m:sSub>
        <m:r>
          <m:t>)</m:t>
        </m:r>
      </m:oMath>
      <w:r>
        <w:rPr>
          <w:rFonts w:ascii="Times New Roman" w:hAnsi="Times New Roman" w:cs="Times New Roman"/>
          <w:sz w:val="24"/>
        </w:rPr>
        <w:t xml:space="preserve"> synkende – og klyngen med lavest rangsum velges:</w:t>
      </w:r>
    </w:p>
    <w:p>
      <w:pPr>
        <w:spacing w:line="360" w:lineRule="auto"/>
        <w:jc w:val="center"/>
      </w:pPr>
      <m:oMath>
        <m:sSup>
          <m:e>
            <m:r>
              <m:t>k</m:t>
            </m:r>
          </m:e>
          <m:sup>
            <m:r>
              <m:t>*</m:t>
            </m:r>
          </m:sup>
        </m:sSup>
        <m:r>
          <m:t>=</m:t>
        </m:r>
        <m:r>
          <m:rPr>
            <m:sty m:val="p"/>
          </m:rPr>
          <m:t>\arg</m:t>
        </m:r>
        <m:sSub>
          <m:e>
            <m:r>
              <m:t>min</m:t>
            </m:r>
          </m:e>
          <m:sub>
            <m:r>
              <m:t>k</m:t>
            </m:r>
          </m:sub>
        </m:sSub>
        <m:r>
          <m:t>[</m:t>
        </m:r>
        <m:r>
          <m:rPr>
            <m:nor/>
          </m:rPr>
          <m:t>rang</m:t>
        </m:r>
        <m:r>
          <m:t>(</m:t>
        </m:r>
        <m:sSub>
          <m:e>
            <m:acc>
              <m:accPr>
                <m:chr m:val="―"/>
              </m:accPr>
              <m:e>
                <m:r>
                  <m:rPr>
                    <m:nor/>
                  </m:rPr>
                  <m:t>CV</m:t>
                </m:r>
              </m:e>
            </m:acc>
          </m:e>
          <m:sub>
            <m:r>
              <m:t>k</m:t>
            </m:r>
          </m:sub>
        </m:sSub>
        <m:r>
          <m:t>↑)+</m:t>
        </m:r>
        <m:r>
          <m:rPr>
            <m:nor/>
          </m:rPr>
          <m:t>rang</m:t>
        </m:r>
        <m:r>
          <m:t>(</m:t>
        </m:r>
        <m:sSub>
          <m:e>
            <m:acc>
              <m:accPr>
                <m:chr m:val="―"/>
              </m:accPr>
              <m:e>
                <m:r>
                  <m:t>v</m:t>
                </m:r>
              </m:e>
            </m:acc>
          </m:e>
          <m:sub>
            <m:r>
              <m:t>k</m:t>
            </m:r>
          </m:sub>
        </m:sSub>
        <m:r>
          <m:t>↓)]</m:t>
        </m:r>
      </m:oMath>
    </w:p>
    <w:p>
      <w:pPr>
        <w:spacing w:line="360" w:lineRule="auto"/>
        <w:jc w:val="both"/>
      </w:pPr>
      <w:r>
        <w:rPr>
          <w:rFonts w:ascii="Times New Roman" w:hAnsi="Times New Roman" w:cs="Times New Roman"/>
          <w:sz w:val="24"/>
        </w:rPr>
        <w:t xml:space="preserve">K\_OVERFØR er altså klyngen med lavest gjennomsnittlig CV (stabilt forbruksmønster) og høyest gjennomsnittlig artikkelverdi. Implementasjonen benytter </w:t>
      </w:r>
      <w:r>
        <w:rPr>
          <w:rFonts w:ascii="Consolas" w:hAnsi="Consolas" w:cs="Consolas"/>
          <w:sz w:val="20"/>
          <w:shd w:val="clear" w:color="auto" w:fill="F4F4F4"/>
        </w:rPr>
        <w:t>pandas.Series.rank()</w:t>
      </w:r>
      <w:r>
        <w:rPr>
          <w:rFonts w:ascii="Times New Roman" w:hAnsi="Times New Roman" w:cs="Times New Roman"/>
          <w:sz w:val="24"/>
        </w:rPr>
        <w:t xml:space="preserve"> på klyngeprofilens CV- og verdikolonner (se Vedlegg B). Ettersom </w:t>
      </w:r>
      <m:oMath>
        <m:d>
          <m:dPr>
            <m:begChr m:val="|"/>
            <m:sepChr m:val=""/>
            <m:endChr m:val="|"/>
          </m:dPr>
          <m:e>
            <m:r>
              <m:t>Δ</m:t>
            </m:r>
            <m:r>
              <m:t>T</m:t>
            </m:r>
            <m:r>
              <m:t>C</m:t>
            </m:r>
          </m:e>
        </m:d>
      </m:oMath>
      <w:r>
        <w:rPr>
          <w:rFonts w:ascii="Times New Roman" w:hAnsi="Times New Roman" w:cs="Times New Roman"/>
          <w:sz w:val="24"/>
        </w:rPr>
        <w:t xml:space="preserve"> inngår i featurevektoren, påvirker den klyngestrukturen indirekte: artikler med høyt kostnadsavvik tenderer mot samme klynge som artikler med høy verdi og lav CV. Fordi K\_OVERFØR-definisjonen bygger på de samme dimensjonene (verdi og forbruksstabilitet) som ABC/XYZ-klassifiseringen, fungerer klyngetilhørigheten i praksis som et bekreftende støttefilter snarere enn som et uavhengig empirisk signal. Klyngeanalysens merverdi ligger i at den grupperer artikler multivariat uten forhåndsdefinerte terskler, og dermed kan fange profiler som terskelbasert klassifisering alene ikke identifiserer. Denne klyngen inngår som ett av inngangssignalene i regelmotoren beskrevet nedenfor.</w:t>
      </w:r>
    </w:p>
    <w:p>
      <w:pPr>
        <w:pStyle w:val="Overskrift2"/>
      </w:pPr>
      <w:r>
        <w:rPr>
          <w:rFonts w:ascii="Times New Roman" w:hAnsi="Times New Roman"/>
          <w:color w:val="000000"/>
          <w:sz w:val="32"/>
        </w:rPr>
        <w:t>5.5 Regelmotor</w:t>
      </w:r>
    </w:p>
    <w:p>
      <w:pPr>
        <w:spacing w:line="360" w:lineRule="auto"/>
        <w:jc w:val="both"/>
      </w:pPr>
      <w:r>
        <w:rPr>
          <w:rFonts w:ascii="Times New Roman" w:hAnsi="Times New Roman" w:cs="Times New Roman"/>
          <w:sz w:val="24"/>
        </w:rPr>
        <w:t>Regelmotoren kombinerer utfallene fra de fire foregående modellene – ABC-klasse, XYZ-klasse, EOQ-avviksstatus og K-means klyngetilhørighet – og produserer en anbefaling per artikkel. Reglene anvender en sekvensiell prioritet: artikkelen evalueres mot reglene i nummerert rekkefølge, og den første regelen som gir treff bestemmer utfallet. Dette forhindrer at en artikkel oppfyller kriteriene for flere kategorier.</w:t>
      </w:r>
    </w:p>
    <w:p>
      <w:r>
        <w:rPr>
          <w:rFonts w:ascii="Times New Roman" w:hAnsi="Times New Roman"/>
          <w:i/>
          <w:sz w:val="20"/>
        </w:rPr>
        <w:t xml:space="preserve">Tabell </w:t>
      </w:r>
      <w:r>
        <w:fldChar w:fldCharType="begin"/>
      </w:r>
      <w:r>
        <w:instrText xml:space="preserve"> SEQ Tabell \* ARABIC </w:instrText>
      </w:r>
      <w:r>
        <w:fldChar w:fldCharType="separate"/>
      </w:r>
      <w:r>
        <w:rPr>
          <w:rFonts w:ascii="Times New Roman" w:hAnsi="Times New Roman"/>
          <w:i/>
          <w:sz w:val="20"/>
        </w:rPr>
        <w:t>N</w:t>
      </w:r>
      <w:r>
        <w:fldChar w:fldCharType="end"/>
      </w:r>
      <w:r>
        <w:rPr>
          <w:rFonts w:ascii="Times New Roman" w:hAnsi="Times New Roman"/>
          <w:i/>
          <w:sz w:val="20"/>
        </w:rPr>
        <w:t>. Regelmotor: 8 beslutningsregler i prioritert rekkefølge.</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192"/>
        <w:gridCol w:w="2192"/>
        <w:gridCol w:w="2192"/>
        <w:gridCol w:w="2192"/>
      </w:tblGrid>
      <w:tr>
        <w:tc>
          <w:tcPr>
            <w:tcW w:type="dxa" w:w="2192"/>
            <w:tcBorders>
              <w:top w:val="single" w:sz="8" w:space="0" w:color="000000"/>
              <w:bottom w:val="single" w:sz="4" w:space="0" w:color="000000"/>
              <w:left w:val="nil"/>
              <w:right w:val="nil"/>
            </w:tcBorders>
          </w:tcPr>
          <w:p>
            <w:r/>
            <w:r>
              <w:rPr>
                <w:rFonts w:ascii="Times New Roman" w:hAnsi="Times New Roman"/>
                <w:b/>
                <w:sz w:val="22"/>
              </w:rPr>
              <w:t>Regel</w:t>
            </w:r>
          </w:p>
        </w:tc>
        <w:tc>
          <w:tcPr>
            <w:tcW w:type="dxa" w:w="2192"/>
            <w:tcBorders>
              <w:top w:val="single" w:sz="8" w:space="0" w:color="000000"/>
              <w:bottom w:val="single" w:sz="4" w:space="0" w:color="000000"/>
              <w:left w:val="nil"/>
              <w:right w:val="nil"/>
            </w:tcBorders>
          </w:tcPr>
          <w:p>
            <w:r/>
            <w:r>
              <w:rPr>
                <w:rFonts w:ascii="Times New Roman" w:hAnsi="Times New Roman"/>
                <w:b/>
                <w:sz w:val="22"/>
              </w:rPr>
              <w:t>Betingelse</w:t>
            </w:r>
          </w:p>
        </w:tc>
        <w:tc>
          <w:tcPr>
            <w:tcW w:type="dxa" w:w="2192"/>
            <w:tcBorders>
              <w:top w:val="single" w:sz="8" w:space="0" w:color="000000"/>
              <w:bottom w:val="single" w:sz="4" w:space="0" w:color="000000"/>
              <w:left w:val="nil"/>
              <w:right w:val="nil"/>
            </w:tcBorders>
          </w:tcPr>
          <w:p>
            <w:r/>
            <w:r>
              <w:rPr>
                <w:rFonts w:ascii="Times New Roman" w:hAnsi="Times New Roman"/>
                <w:b/>
                <w:sz w:val="22"/>
              </w:rPr>
              <w:t>Anbefaling</w:t>
            </w:r>
          </w:p>
        </w:tc>
        <w:tc>
          <w:tcPr>
            <w:tcW w:type="dxa" w:w="2192"/>
            <w:tcBorders>
              <w:top w:val="single" w:sz="8" w:space="0" w:color="000000"/>
              <w:bottom w:val="single" w:sz="4" w:space="0" w:color="000000"/>
              <w:left w:val="nil"/>
              <w:right w:val="nil"/>
            </w:tcBorders>
          </w:tcPr>
          <w:p>
            <w:r/>
            <w:r>
              <w:rPr>
                <w:rFonts w:ascii="Times New Roman" w:hAnsi="Times New Roman"/>
                <w:b/>
                <w:sz w:val="22"/>
              </w:rPr>
              <w:t>Logikk</w:t>
            </w:r>
          </w:p>
        </w:tc>
      </w:tr>
      <w:tr>
        <w:tc>
          <w:tcPr>
            <w:tcW w:type="dxa" w:w="2192"/>
          </w:tcPr>
          <w:p>
            <w:r/>
            <w:r>
              <w:rPr>
                <w:rFonts w:ascii="Times New Roman" w:hAnsi="Times New Roman"/>
                <w:b w:val="0"/>
                <w:sz w:val="22"/>
              </w:rPr>
              <w:t>R1</w:t>
            </w:r>
          </w:p>
        </w:tc>
        <w:tc>
          <w:tcPr>
            <w:tcW w:type="dxa" w:w="2192"/>
          </w:tcPr>
          <w:p>
            <w:r/>
            <w:r>
              <w:rPr>
                <w:rFonts w:ascii="Times New Roman" w:hAnsi="Times New Roman"/>
                <w:b w:val="0"/>
                <w:sz w:val="22"/>
              </w:rPr>
              <w:t>XYZ = Z (uavh. av ABC)</w:t>
            </w:r>
          </w:p>
        </w:tc>
        <w:tc>
          <w:tcPr>
            <w:tcW w:type="dxa" w:w="2192"/>
          </w:tcPr>
          <w:p>
            <w:r/>
            <w:r>
              <w:rPr>
                <w:rFonts w:ascii="Times New Roman" w:hAnsi="Times New Roman"/>
                <w:b w:val="0"/>
                <w:sz w:val="22"/>
              </w:rPr>
              <w:t>BEHOLD_LOKALT</w:t>
            </w:r>
          </w:p>
        </w:tc>
        <w:tc>
          <w:tcPr>
            <w:tcW w:type="dxa" w:w="2192"/>
          </w:tcPr>
          <w:p>
            <w:r/>
            <w:r>
              <w:rPr>
                <w:rFonts w:ascii="Times New Roman" w:hAnsi="Times New Roman"/>
                <w:b w:val="0"/>
                <w:sz w:val="22"/>
              </w:rPr>
              <w:t>Uforutsigbart forbruk → uegnet for APL</w:t>
            </w:r>
          </w:p>
        </w:tc>
      </w:tr>
      <w:tr>
        <w:tc>
          <w:tcPr>
            <w:tcW w:type="dxa" w:w="2192"/>
          </w:tcPr>
          <w:p>
            <w:r/>
            <w:r>
              <w:rPr>
                <w:rFonts w:ascii="Times New Roman" w:hAnsi="Times New Roman"/>
                <w:b w:val="0"/>
                <w:sz w:val="22"/>
              </w:rPr>
              <w:t>R2</w:t>
            </w:r>
          </w:p>
        </w:tc>
        <w:tc>
          <w:tcPr>
            <w:tcW w:type="dxa" w:w="2192"/>
          </w:tcPr>
          <w:p>
            <w:r/>
            <w:r>
              <w:rPr>
                <w:rFonts w:ascii="Times New Roman" w:hAnsi="Times New Roman"/>
                <w:b w:val="0"/>
                <w:sz w:val="22"/>
              </w:rPr>
              <w:t>ABC = C og XYZ = Y</w:t>
            </w:r>
          </w:p>
        </w:tc>
        <w:tc>
          <w:tcPr>
            <w:tcW w:type="dxa" w:w="2192"/>
          </w:tcPr>
          <w:p>
            <w:r/>
            <w:r>
              <w:rPr>
                <w:rFonts w:ascii="Times New Roman" w:hAnsi="Times New Roman"/>
                <w:b w:val="0"/>
                <w:sz w:val="22"/>
              </w:rPr>
              <w:t>BEHOLD_LOKALT</w:t>
            </w:r>
          </w:p>
        </w:tc>
        <w:tc>
          <w:tcPr>
            <w:tcW w:type="dxa" w:w="2192"/>
          </w:tcPr>
          <w:p>
            <w:r/>
            <w:r>
              <w:rPr>
                <w:rFonts w:ascii="Times New Roman" w:hAnsi="Times New Roman"/>
                <w:b w:val="0"/>
                <w:sz w:val="22"/>
              </w:rPr>
              <w:t>Lav verdi + moderat variasjon</w:t>
            </w:r>
          </w:p>
        </w:tc>
      </w:tr>
      <w:tr>
        <w:tc>
          <w:tcPr>
            <w:tcW w:type="dxa" w:w="2192"/>
          </w:tcPr>
          <w:p>
            <w:r/>
            <w:r>
              <w:rPr>
                <w:rFonts w:ascii="Times New Roman" w:hAnsi="Times New Roman"/>
                <w:b w:val="0"/>
                <w:sz w:val="22"/>
              </w:rPr>
              <w:t>R3</w:t>
            </w:r>
          </w:p>
        </w:tc>
        <w:tc>
          <w:tcPr>
            <w:tcW w:type="dxa" w:w="2192"/>
          </w:tcPr>
          <w:p>
            <w:r/>
            <w:r>
              <w:rPr>
                <w:rFonts w:ascii="Times New Roman" w:hAnsi="Times New Roman"/>
                <w:b w:val="0"/>
                <w:sz w:val="22"/>
              </w:rPr>
              <w:t>ABC ∈ {A, B} og XYZ = X og EOQ = FOR_MANGE</w:t>
            </w:r>
          </w:p>
        </w:tc>
        <w:tc>
          <w:tcPr>
            <w:tcW w:type="dxa" w:w="2192"/>
          </w:tcPr>
          <w:p>
            <w:r/>
            <w:r>
              <w:rPr>
                <w:rFonts w:ascii="Times New Roman" w:hAnsi="Times New Roman"/>
                <w:b w:val="0"/>
                <w:sz w:val="22"/>
              </w:rPr>
              <w:t>OVERFØR_HVFS</w:t>
            </w:r>
          </w:p>
        </w:tc>
        <w:tc>
          <w:tcPr>
            <w:tcW w:type="dxa" w:w="2192"/>
          </w:tcPr>
          <w:p>
            <w:r/>
            <w:r>
              <w:rPr>
                <w:rFonts w:ascii="Times New Roman" w:hAnsi="Times New Roman"/>
                <w:b w:val="0"/>
                <w:sz w:val="22"/>
              </w:rPr>
              <w:t>Sterkeste signal: høy verdi, stabilt, overbestilt</w:t>
            </w:r>
          </w:p>
        </w:tc>
      </w:tr>
      <w:tr>
        <w:tc>
          <w:tcPr>
            <w:tcW w:type="dxa" w:w="2192"/>
          </w:tcPr>
          <w:p>
            <w:r/>
            <w:r>
              <w:rPr>
                <w:rFonts w:ascii="Times New Roman" w:hAnsi="Times New Roman"/>
                <w:b w:val="0"/>
                <w:sz w:val="22"/>
              </w:rPr>
              <w:t>R4</w:t>
            </w:r>
          </w:p>
        </w:tc>
        <w:tc>
          <w:tcPr>
            <w:tcW w:type="dxa" w:w="2192"/>
          </w:tcPr>
          <w:p>
            <w:r/>
            <w:r>
              <w:rPr>
                <w:rFonts w:ascii="Times New Roman" w:hAnsi="Times New Roman"/>
                <w:b w:val="0"/>
                <w:sz w:val="22"/>
              </w:rPr>
              <w:t>ABC ∈ {A, B} og XYZ = X og K_OVERFØR</w:t>
            </w:r>
          </w:p>
        </w:tc>
        <w:tc>
          <w:tcPr>
            <w:tcW w:type="dxa" w:w="2192"/>
          </w:tcPr>
          <w:p>
            <w:r/>
            <w:r>
              <w:rPr>
                <w:rFonts w:ascii="Times New Roman" w:hAnsi="Times New Roman"/>
                <w:b w:val="0"/>
                <w:sz w:val="22"/>
              </w:rPr>
              <w:t>OVERFØR_HVFS</w:t>
            </w:r>
          </w:p>
        </w:tc>
        <w:tc>
          <w:tcPr>
            <w:tcW w:type="dxa" w:w="2192"/>
          </w:tcPr>
          <w:p>
            <w:r/>
            <w:r>
              <w:rPr>
                <w:rFonts w:ascii="Times New Roman" w:hAnsi="Times New Roman"/>
                <w:b w:val="0"/>
                <w:sz w:val="22"/>
              </w:rPr>
              <w:t>Høy verdi, stabilt, klyngeprofil bekrefter</w:t>
            </w:r>
          </w:p>
        </w:tc>
      </w:tr>
      <w:tr>
        <w:tc>
          <w:tcPr>
            <w:tcW w:type="dxa" w:w="2192"/>
          </w:tcPr>
          <w:p>
            <w:r/>
            <w:r>
              <w:rPr>
                <w:rFonts w:ascii="Times New Roman" w:hAnsi="Times New Roman"/>
                <w:b w:val="0"/>
                <w:sz w:val="22"/>
              </w:rPr>
              <w:t>R5</w:t>
            </w:r>
          </w:p>
        </w:tc>
        <w:tc>
          <w:tcPr>
            <w:tcW w:type="dxa" w:w="2192"/>
          </w:tcPr>
          <w:p>
            <w:r/>
            <w:r>
              <w:rPr>
                <w:rFonts w:ascii="Times New Roman" w:hAnsi="Times New Roman"/>
                <w:b w:val="0"/>
                <w:sz w:val="22"/>
              </w:rPr>
              <w:t>ABC ∈ {A, B} og XYZ = Y og K_OVERFØR</w:t>
            </w:r>
          </w:p>
        </w:tc>
        <w:tc>
          <w:tcPr>
            <w:tcW w:type="dxa" w:w="2192"/>
          </w:tcPr>
          <w:p>
            <w:r/>
            <w:r>
              <w:rPr>
                <w:rFonts w:ascii="Times New Roman" w:hAnsi="Times New Roman"/>
                <w:b w:val="0"/>
                <w:sz w:val="22"/>
              </w:rPr>
              <w:t>OVERFØR_HVFS</w:t>
            </w:r>
          </w:p>
        </w:tc>
        <w:tc>
          <w:tcPr>
            <w:tcW w:type="dxa" w:w="2192"/>
          </w:tcPr>
          <w:p>
            <w:r/>
            <w:r>
              <w:rPr>
                <w:rFonts w:ascii="Times New Roman" w:hAnsi="Times New Roman"/>
                <w:b w:val="0"/>
                <w:sz w:val="22"/>
              </w:rPr>
              <w:t>Høy verdi, moderat variasjon, klyngeprofil bekrefter</w:t>
            </w:r>
          </w:p>
        </w:tc>
      </w:tr>
      <w:tr>
        <w:tc>
          <w:tcPr>
            <w:tcW w:type="dxa" w:w="2192"/>
          </w:tcPr>
          <w:p>
            <w:r/>
            <w:r>
              <w:rPr>
                <w:rFonts w:ascii="Times New Roman" w:hAnsi="Times New Roman"/>
                <w:b w:val="0"/>
                <w:sz w:val="22"/>
              </w:rPr>
              <w:t>R6</w:t>
            </w:r>
          </w:p>
        </w:tc>
        <w:tc>
          <w:tcPr>
            <w:tcW w:type="dxa" w:w="2192"/>
          </w:tcPr>
          <w:p>
            <w:r/>
            <w:r>
              <w:rPr>
                <w:rFonts w:ascii="Times New Roman" w:hAnsi="Times New Roman"/>
                <w:b w:val="0"/>
                <w:sz w:val="22"/>
              </w:rPr>
              <w:t>ABC ∈ {A, B} og XYZ = X</w:t>
            </w:r>
          </w:p>
        </w:tc>
        <w:tc>
          <w:tcPr>
            <w:tcW w:type="dxa" w:w="2192"/>
          </w:tcPr>
          <w:p>
            <w:r/>
            <w:r>
              <w:rPr>
                <w:rFonts w:ascii="Times New Roman" w:hAnsi="Times New Roman"/>
                <w:b w:val="0"/>
                <w:sz w:val="22"/>
              </w:rPr>
              <w:t>VURDER_NÆRMERE</w:t>
            </w:r>
          </w:p>
        </w:tc>
        <w:tc>
          <w:tcPr>
            <w:tcW w:type="dxa" w:w="2192"/>
          </w:tcPr>
          <w:p>
            <w:r/>
            <w:r>
              <w:rPr>
                <w:rFonts w:ascii="Times New Roman" w:hAnsi="Times New Roman"/>
                <w:b w:val="0"/>
                <w:sz w:val="22"/>
              </w:rPr>
              <w:t>Høy verdi, stabilt, men ikke K_OVERFØR</w:t>
            </w:r>
          </w:p>
        </w:tc>
      </w:tr>
      <w:tr>
        <w:tc>
          <w:tcPr>
            <w:tcW w:type="dxa" w:w="2192"/>
          </w:tcPr>
          <w:p>
            <w:r/>
            <w:r>
              <w:rPr>
                <w:rFonts w:ascii="Times New Roman" w:hAnsi="Times New Roman"/>
                <w:b w:val="0"/>
                <w:sz w:val="22"/>
              </w:rPr>
              <w:t>R7</w:t>
            </w:r>
          </w:p>
        </w:tc>
        <w:tc>
          <w:tcPr>
            <w:tcW w:type="dxa" w:w="2192"/>
          </w:tcPr>
          <w:p>
            <w:r/>
            <w:r>
              <w:rPr>
                <w:rFonts w:ascii="Times New Roman" w:hAnsi="Times New Roman"/>
                <w:b w:val="0"/>
                <w:sz w:val="22"/>
              </w:rPr>
              <w:t>ABC ∈ {A, B} og XYZ = Y</w:t>
            </w:r>
          </w:p>
        </w:tc>
        <w:tc>
          <w:tcPr>
            <w:tcW w:type="dxa" w:w="2192"/>
          </w:tcPr>
          <w:p>
            <w:r/>
            <w:r>
              <w:rPr>
                <w:rFonts w:ascii="Times New Roman" w:hAnsi="Times New Roman"/>
                <w:b w:val="0"/>
                <w:sz w:val="22"/>
              </w:rPr>
              <w:t>VURDER_NÆRMERE</w:t>
            </w:r>
          </w:p>
        </w:tc>
        <w:tc>
          <w:tcPr>
            <w:tcW w:type="dxa" w:w="2192"/>
          </w:tcPr>
          <w:p>
            <w:r/>
            <w:r>
              <w:rPr>
                <w:rFonts w:ascii="Times New Roman" w:hAnsi="Times New Roman"/>
                <w:b w:val="0"/>
                <w:sz w:val="22"/>
              </w:rPr>
              <w:t>Høy verdi, moderat variasjon, ikke K_OVERFØR</w:t>
            </w:r>
          </w:p>
        </w:tc>
      </w:tr>
      <w:tr>
        <w:tc>
          <w:tcPr>
            <w:tcW w:type="dxa" w:w="2192"/>
          </w:tcPr>
          <w:p>
            <w:r/>
            <w:r>
              <w:rPr>
                <w:rFonts w:ascii="Times New Roman" w:hAnsi="Times New Roman"/>
                <w:b w:val="0"/>
                <w:sz w:val="22"/>
              </w:rPr>
              <w:t>R8</w:t>
            </w:r>
          </w:p>
        </w:tc>
        <w:tc>
          <w:tcPr>
            <w:tcW w:type="dxa" w:w="2192"/>
          </w:tcPr>
          <w:p>
            <w:r/>
            <w:r>
              <w:rPr>
                <w:rFonts w:ascii="Times New Roman" w:hAnsi="Times New Roman"/>
                <w:b w:val="0"/>
                <w:sz w:val="22"/>
              </w:rPr>
              <w:t>Ellers (inkl. C + X)</w:t>
            </w:r>
          </w:p>
        </w:tc>
        <w:tc>
          <w:tcPr>
            <w:tcW w:type="dxa" w:w="2192"/>
          </w:tcPr>
          <w:p>
            <w:r/>
            <w:r>
              <w:rPr>
                <w:rFonts w:ascii="Times New Roman" w:hAnsi="Times New Roman"/>
                <w:b w:val="0"/>
                <w:sz w:val="22"/>
              </w:rPr>
              <w:t>VURDER_NÆRMERE</w:t>
            </w:r>
          </w:p>
        </w:tc>
        <w:tc>
          <w:tcPr>
            <w:tcW w:type="dxa" w:w="2192"/>
          </w:tcPr>
          <w:p>
            <w:r/>
            <w:r>
              <w:rPr>
                <w:rFonts w:ascii="Times New Roman" w:hAnsi="Times New Roman"/>
                <w:b w:val="0"/>
                <w:sz w:val="22"/>
              </w:rPr>
              <w:t>Uklart signalmønster eller lav verdi</w:t>
            </w:r>
          </w:p>
        </w:tc>
      </w:tr>
    </w:tbl>
    <w:p>
      <w:pPr>
        <w:spacing w:line="360" w:lineRule="auto"/>
        <w:jc w:val="both"/>
      </w:pPr>
      <w:r>
        <w:rPr>
          <w:rFonts w:ascii="Times New Roman" w:hAnsi="Times New Roman" w:cs="Times New Roman"/>
          <w:sz w:val="24"/>
        </w:rPr>
        <w:t>Sekvenslogikken er utformet slik at de to første reglene fungerer som overordnede frastøtingsregler: enhver Z-artikkel beholdes lokalt uavhengig av ABC-klasse (R1), og CY-artikler beholdes lokalt som standard (R2). Disse reglene reflekterer den grunnleggende innsikten at uforutsigbart forbruksmønster er den sterkeste kontraindikasjon mot sentralisering, fordi HVFS-modellen med APL-leveranse forutsetter planbar etterspørsel for å opprettholde tilfredsstillende servicenivå (Bijvank &amp; Vis, 2012; Fragapane et al., 2019).</w:t>
      </w:r>
    </w:p>
    <w:p>
      <w:pPr>
        <w:spacing w:line="360" w:lineRule="auto"/>
        <w:jc w:val="both"/>
      </w:pPr>
      <w:r>
        <w:rPr>
          <w:rFonts w:ascii="Times New Roman" w:hAnsi="Times New Roman" w:cs="Times New Roman"/>
          <w:sz w:val="24"/>
        </w:rPr>
        <w:t>Reglene 3–5 definerer positivt overføringssignal med to krav: artikkelen må ha høy verdi (A/B) og stabilt forbruk (X eller Y), og i tillegg enten dokumentert overbestilling (R3: FOR\_MANGE\_ORDRER) eller klyngetilhørighet som bekrefter HVFS-egnethet (R4 og R5: K\_OVERFØR). K\_OVERFØR-kravet i R4 og R5 er et bevisst designvalg for å sikre at overføringsanbefalinger for artikler uten EOQ-avvikssignal er forankret i klyngeanalysen – dette gir regelmotoren høyere presisjon på bekostning av recall, og er grunnen til at VURDER-kategorien er den største enkeltgruppen. Regel 6 sender A/B-artikler med XYZ = X, men uten K\_OVERFØR-signal, til manuell vurdering; regel 7 gjør det samme for A/B-artikler med XYZ = Y. Regel 8 fanger opp alle øvrige artikler, inkludert C + X (lav verdi, stabilt forbruk), som sendes til vurdering. Regelmotorens sekvensielle beslutningsflyt er illustrert i Figur 5.</w:t>
      </w:r>
    </w:p>
    <w:p>
      <w:r>
        <w:drawing>
          <wp:inline xmlns:a="http://schemas.openxmlformats.org/drawingml/2006/main" xmlns:pic="http://schemas.openxmlformats.org/drawingml/2006/picture">
            <wp:extent cx="5400000" cy="4225574"/>
            <wp:docPr id="8" name="Picture 8"/>
            <wp:cNvGraphicFramePr>
              <a:graphicFrameLocks noChangeAspect="1"/>
            </wp:cNvGraphicFramePr>
            <a:graphic>
              <a:graphicData uri="http://schemas.openxmlformats.org/drawingml/2006/picture">
                <pic:pic>
                  <pic:nvPicPr>
                    <pic:cNvPr id="0" name="Fig03_Regelmotor.png"/>
                    <pic:cNvPicPr/>
                  </pic:nvPicPr>
                  <pic:blipFill>
                    <a:blip r:embed="rId26"/>
                    <a:stretch>
                      <a:fillRect/>
                    </a:stretch>
                  </pic:blipFill>
                  <pic:spPr>
                    <a:xfrm>
                      <a:off x="0" y="0"/>
                      <a:ext cx="5400000" cy="4225574"/>
                    </a:xfrm>
                    <a:prstGeom prst="rect"/>
                  </pic:spPr>
                </pic:pic>
              </a:graphicData>
            </a:graphic>
          </wp:inline>
        </w:drawing>
      </w:r>
    </w:p>
    <w:p>
      <w:pPr>
        <w:jc w:val="center"/>
      </w:pPr>
      <w:r>
        <w:rPr>
          <w:rFonts w:ascii="Times New Roman" w:hAnsi="Times New Roman"/>
          <w:i/>
          <w:sz w:val="20"/>
        </w:rPr>
        <w:t xml:space="preserve">Figur </w:t>
      </w:r>
      <w:r>
        <w:fldChar w:fldCharType="begin"/>
      </w:r>
      <w:r>
        <w:instrText xml:space="preserve"> SEQ Figur \* ARABIC </w:instrText>
      </w:r>
      <w:r>
        <w:fldChar w:fldCharType="separate"/>
      </w:r>
      <w:r>
        <w:rPr>
          <w:rFonts w:ascii="Times New Roman" w:hAnsi="Times New Roman"/>
          <w:i/>
          <w:sz w:val="20"/>
        </w:rPr>
        <w:t>N</w:t>
      </w:r>
      <w:r>
        <w:fldChar w:fldCharType="end"/>
      </w:r>
      <w:r>
        <w:rPr>
          <w:rFonts w:ascii="Times New Roman" w:hAnsi="Times New Roman"/>
          <w:i/>
          <w:sz w:val="20"/>
        </w:rPr>
        <w:t>. Regelmotor: sekvensiell beslutningsflyt for HVFS-anbefaling (R1–R8). Generert med støtte fra Claude.</w:t>
      </w:r>
    </w:p>
    <w:p>
      <w:pPr>
        <w:spacing w:line="360" w:lineRule="auto"/>
        <w:jc w:val="both"/>
      </w:pPr>
      <w:r>
        <w:rPr>
          <w:rFonts w:ascii="Times New Roman" w:hAnsi="Times New Roman" w:cs="Times New Roman"/>
          <w:sz w:val="24"/>
        </w:rPr>
        <w:t>Artikler som ikke fanges opp av noen av de åtte reglene – typisk fordi CV-data eller verdidata mangler – klassifiseres som MANGLER\_DATA. Disse inngår ikke i besparelsesestimatet, men rapporteres separat for å synliggjøre datakvalitetsproblemer i kildedataene. Det understrekes at regelmotoren er et normativt beslutningsstøtteverktøy: den produserer en datadrevet anbefaling per artikkel, men erstatter ikke innkjøpsfaglig skjønn. Alle anbefalinger bør valideres i en begrenset pilot mot ekspertvurdering fra innkjøpsfunksjonen ved Helse Bergen før implementering i full skala. Alle beregnede anbefalinger, klyngeprofiler og besparelsesestimater presenteres som sluttresultater i kapittel 7. Kapittel 6 beskriver den analytiske gjennomføringen av modellene fra kapittel 5 på de 709 artiklene i LGORT 3001.</w:t>
      </w:r>
    </w:p>
    <w:p>
      <w:pPr>
        <w:pStyle w:val="Overskrift1"/>
        <w:pageBreakBefore w:val="true"/>
      </w:pPr>
      <w:r>
        <w:rPr>
          <w:rFonts w:ascii="Times New Roman" w:hAnsi="Times New Roman"/>
          <w:color w:val="000000"/>
          <w:sz w:val="36"/>
        </w:rPr>
        <w:t>Kapittel 6 – Analyse</w:t>
      </w:r>
    </w:p>
    <w:p>
      <w:pPr>
        <w:pStyle w:val="Overskrift2"/>
      </w:pPr>
      <w:r>
        <w:rPr>
          <w:rFonts w:ascii="Times New Roman" w:hAnsi="Times New Roman"/>
          <w:color w:val="000000"/>
          <w:sz w:val="32"/>
        </w:rPr>
        <w:t>6.1 ABC-analyse av 709 artikler</w:t>
      </w:r>
    </w:p>
    <w:p>
      <w:pPr>
        <w:spacing w:line="360" w:lineRule="auto"/>
        <w:jc w:val="both"/>
      </w:pPr>
      <w:r>
        <w:rPr>
          <w:rFonts w:ascii="Times New Roman" w:hAnsi="Times New Roman" w:cs="Times New Roman"/>
          <w:sz w:val="24"/>
        </w:rPr>
        <w:t xml:space="preserve">ABC-analysen ble gjennomført ved å sortere samtlige 709 aktive artikler i synkende rekkefølge etter beregnet årsverdi </w:t>
      </w:r>
      <m:oMath>
        <m:sSub>
          <m:e>
            <m:r>
              <m:t>v</m:t>
            </m:r>
          </m:e>
          <m:sub>
            <m:r>
              <m:t>i</m:t>
            </m:r>
          </m:sub>
        </m:sSub>
        <m:r>
          <m:t>=</m:t>
        </m:r>
        <m:sSub>
          <m:e>
            <m:r>
              <m:t>D</m:t>
            </m:r>
          </m:e>
          <m:sub>
            <m:r>
              <m:t>i</m:t>
            </m:r>
          </m:sub>
        </m:sSub>
        <m:r>
          <m:t>×</m:t>
        </m:r>
        <m:sSub>
          <m:e>
            <m:r>
              <m:rPr>
                <m:nor/>
              </m:rPr>
              <m:t>UNIT\_PRICE</m:t>
            </m:r>
          </m:e>
          <m:sub>
            <m:r>
              <m:t>i</m:t>
            </m:r>
          </m:sub>
        </m:sSub>
      </m:oMath>
      <w:r>
        <w:rPr>
          <w:rFonts w:ascii="Times New Roman" w:hAnsi="Times New Roman" w:cs="Times New Roman"/>
          <w:sz w:val="24"/>
        </w:rPr>
        <w:t xml:space="preserve">, der </w:t>
      </w:r>
      <m:oMath>
        <m:sSub>
          <m:e>
            <m:r>
              <m:t>D</m:t>
            </m:r>
          </m:e>
          <m:sub>
            <m:r>
              <m:t>i</m:t>
            </m:r>
          </m:sub>
        </m:sSub>
      </m:oMath>
      <w:r>
        <w:rPr>
          <w:rFonts w:ascii="Times New Roman" w:hAnsi="Times New Roman" w:cs="Times New Roman"/>
          <w:sz w:val="24"/>
        </w:rPr>
        <w:t xml:space="preserve"> er annualisert forbruk og </w:t>
      </w:r>
      <m:oMath>
        <m:sSub>
          <m:e>
            <m:r>
              <m:rPr>
                <m:nor/>
              </m:rPr>
              <m:t>UNIT\_PRICE</m:t>
            </m:r>
          </m:e>
          <m:sub>
            <m:r>
              <m:t>i</m:t>
            </m:r>
          </m:sub>
        </m:sSub>
      </m:oMath>
      <w:r>
        <w:rPr>
          <w:rFonts w:ascii="Times New Roman" w:hAnsi="Times New Roman" w:cs="Times New Roman"/>
          <w:sz w:val="24"/>
        </w:rPr>
        <w:t xml:space="preserve"> er PEINH-korrigert standardpris fra MBEW (beslutningene D-02 og D-03, avsnitt 4.3). For 505 av artiklene er </w:t>
      </w:r>
      <m:oMath>
        <m:sSub>
          <m:e>
            <m:r>
              <m:t>v</m:t>
            </m:r>
          </m:e>
          <m:sub>
            <m:r>
              <m:t>i</m:t>
            </m:r>
          </m:sub>
        </m:sSub>
      </m:oMath>
      <w:r>
        <w:rPr>
          <w:rFonts w:ascii="Times New Roman" w:hAnsi="Times New Roman" w:cs="Times New Roman"/>
          <w:sz w:val="24"/>
        </w:rPr>
        <w:t xml:space="preserve"> basert direkte på EKPO-innkjøpsdata (ABC\_VALUE\_SOURCE = EKPO); for de resterende 204 er verdien beregnet fra MSEG-forbruk og enhetspris (ABC\_VALUE\_SOURCE = BEREGNET). Etter sortering ble kumulativ verdiandel CUM\_PCT beregnet som løpende sum av </w:t>
      </w:r>
      <m:oMath>
        <m:sSub>
          <m:e>
            <m:r>
              <m:t>v</m:t>
            </m:r>
          </m:e>
          <m:sub>
            <m:r>
              <m:t>i</m:t>
            </m:r>
          </m:sub>
        </m:sSub>
      </m:oMath>
      <w:r>
        <w:rPr>
          <w:rFonts w:ascii="Times New Roman" w:hAnsi="Times New Roman" w:cs="Times New Roman"/>
          <w:sz w:val="24"/>
        </w:rPr>
        <w:t xml:space="preserve"> dividert på totalsum. Den samlede årsverdien for de 709 artiklene er beregnet til i overkant av 34 millioner kroner. De to verdikildene gir systematisk ulike bidrag til rangeringen: artikler med EKPO-data har observerte innkjøpsverdier fra faktiske transaksjoner, mens artikler med beregnet verdi baseres på forbruksvolum og standardpris. For de 204 beregnede artiklene er det en implisitt antagelse om at STPRS i MBEW er en rimelig tilnærming til faktisk innkjøpspris; denne antagelsen er diskutert i avsnitt 8.2. Analysen ble implementert i pandas med vektoriserte operasjoner for å sikre at rangeringen er deterministisk og reproduserbar.</w:t>
      </w:r>
    </w:p>
    <w:p>
      <w:pPr>
        <w:spacing w:line="360" w:lineRule="auto"/>
        <w:jc w:val="both"/>
      </w:pPr>
      <w:r>
        <w:rPr>
          <w:rFonts w:ascii="Times New Roman" w:hAnsi="Times New Roman" w:cs="Times New Roman"/>
          <w:sz w:val="24"/>
        </w:rPr>
        <w:t>Pareto-grensene 80 % og 95 % ble deretter lagt på den kumulative kurven, som vist i Figur 6 nedenfor. Kurvens form – en bratt stigning tidlig etterfulgt av en lang flat hale – bekrefter at verdikonsentrasjonen følger Pareto-mønsteret. Endelig fordeling mellom A-, B- og C-artikler presenteres i Tabell 8 i kapittel 7.</w:t>
      </w:r>
    </w:p>
    <w:p>
      <w:r>
        <w:drawing>
          <wp:inline xmlns:a="http://schemas.openxmlformats.org/drawingml/2006/main" xmlns:pic="http://schemas.openxmlformats.org/drawingml/2006/picture">
            <wp:extent cx="5400000" cy="1795574"/>
            <wp:docPr id="9" name="Picture 9"/>
            <wp:cNvGraphicFramePr>
              <a:graphicFrameLocks noChangeAspect="1"/>
            </wp:cNvGraphicFramePr>
            <a:graphic>
              <a:graphicData uri="http://schemas.openxmlformats.org/drawingml/2006/picture">
                <pic:pic>
                  <pic:nvPicPr>
                    <pic:cNvPr id="0" name="Fig05_ABC_Pareto.png"/>
                    <pic:cNvPicPr/>
                  </pic:nvPicPr>
                  <pic:blipFill>
                    <a:blip r:embed="rId27"/>
                    <a:stretch>
                      <a:fillRect/>
                    </a:stretch>
                  </pic:blipFill>
                  <pic:spPr>
                    <a:xfrm>
                      <a:off x="0" y="0"/>
                      <a:ext cx="5400000" cy="1795574"/>
                    </a:xfrm>
                    <a:prstGeom prst="rect"/>
                  </pic:spPr>
                </pic:pic>
              </a:graphicData>
            </a:graphic>
          </wp:inline>
        </w:drawing>
      </w:r>
    </w:p>
    <w:p>
      <w:pPr>
        <w:jc w:val="center"/>
      </w:pPr>
      <w:r>
        <w:rPr>
          <w:rFonts w:ascii="Times New Roman" w:hAnsi="Times New Roman"/>
          <w:i/>
          <w:sz w:val="20"/>
        </w:rPr>
        <w:t xml:space="preserve">Figur </w:t>
      </w:r>
      <w:r>
        <w:fldChar w:fldCharType="begin"/>
      </w:r>
      <w:r>
        <w:instrText xml:space="preserve"> SEQ Figur \* ARABIC </w:instrText>
      </w:r>
      <w:r>
        <w:fldChar w:fldCharType="separate"/>
      </w:r>
      <w:r>
        <w:rPr>
          <w:rFonts w:ascii="Times New Roman" w:hAnsi="Times New Roman"/>
          <w:i/>
          <w:sz w:val="20"/>
        </w:rPr>
        <w:t>N</w:t>
      </w:r>
      <w:r>
        <w:fldChar w:fldCharType="end"/>
      </w:r>
      <w:r>
        <w:rPr>
          <w:rFonts w:ascii="Times New Roman" w:hAnsi="Times New Roman"/>
          <w:i/>
          <w:sz w:val="20"/>
        </w:rPr>
        <w:t>. ABC Pareto-kurve: kumulativ verdiandel for 709 artikler rangert etter årsverdi, med grenser ved 80 % (A/B) og 95 % (B/C). Generert med støtte fra Claude.</w:t>
      </w:r>
    </w:p>
    <w:p>
      <w:pPr>
        <w:pStyle w:val="Overskrift2"/>
      </w:pPr>
      <w:r>
        <w:rPr>
          <w:rFonts w:ascii="Times New Roman" w:hAnsi="Times New Roman"/>
          <w:color w:val="000000"/>
          <w:sz w:val="32"/>
        </w:rPr>
        <w:t>6.2 XYZ-klassifisering</w:t>
      </w:r>
    </w:p>
    <w:p>
      <w:pPr>
        <w:spacing w:line="360" w:lineRule="auto"/>
        <w:jc w:val="both"/>
      </w:pPr>
      <w:r>
        <w:rPr>
          <w:rFonts w:ascii="Times New Roman" w:hAnsi="Times New Roman" w:cs="Times New Roman"/>
          <w:sz w:val="24"/>
        </w:rPr>
        <w:t xml:space="preserve">XYZ-klassifiseringen tok utgangspunkt i månedlig MSEG-forbruk per artikkel over den 24 måneder lange analyseperioden, med bevegelsestypene 201 og 647. For hver artikkel ble variasjonskoeffisienten </w:t>
      </w:r>
      <m:oMath>
        <m:sSub>
          <m:e>
            <m:r>
              <m:rPr>
                <m:nor/>
              </m:rPr>
              <m:t>CV</m:t>
            </m:r>
          </m:e>
          <m:sub>
            <m:r>
              <m:t>i</m:t>
            </m:r>
          </m:sub>
        </m:sSub>
        <m:r>
          <m:t>=</m:t>
        </m:r>
        <m:sSub>
          <m:e>
            <m:r>
              <m:t>σ</m:t>
            </m:r>
          </m:e>
          <m:sub>
            <m:r>
              <m:t>i</m:t>
            </m:r>
          </m:sub>
        </m:sSub>
        <m:r>
          <m:t>/</m:t>
        </m:r>
        <m:sSub>
          <m:e>
            <m:r>
              <m:t>μ</m:t>
            </m:r>
          </m:e>
          <m:sub>
            <m:r>
              <m:t>i</m:t>
            </m:r>
          </m:sub>
        </m:sSub>
      </m:oMath>
      <w:r>
        <w:rPr>
          <w:rFonts w:ascii="Times New Roman" w:hAnsi="Times New Roman" w:cs="Times New Roman"/>
          <w:sz w:val="24"/>
        </w:rPr>
        <w:t xml:space="preserve"> beregnet, der </w:t>
      </w:r>
      <m:oMath>
        <m:sSub>
          <m:e>
            <m:r>
              <m:t>σ</m:t>
            </m:r>
          </m:e>
          <m:sub>
            <m:r>
              <m:t>i</m:t>
            </m:r>
          </m:sub>
        </m:sSub>
      </m:oMath>
      <w:r>
        <w:rPr>
          <w:rFonts w:ascii="Times New Roman" w:hAnsi="Times New Roman" w:cs="Times New Roman"/>
          <w:sz w:val="24"/>
        </w:rPr>
        <w:t xml:space="preserve"> er standardavviket og </w:t>
      </w:r>
      <m:oMath>
        <m:sSub>
          <m:e>
            <m:r>
              <m:t>μ</m:t>
            </m:r>
          </m:e>
          <m:sub>
            <m:r>
              <m:t>i</m:t>
            </m:r>
          </m:sub>
        </m:sSub>
      </m:oMath>
      <w:r>
        <w:rPr>
          <w:rFonts w:ascii="Times New Roman" w:hAnsi="Times New Roman" w:cs="Times New Roman"/>
          <w:sz w:val="24"/>
        </w:rPr>
        <w:t xml:space="preserve"> er gjennomsnittet av de månedlige forbruksobservasjonene. For å sikre at CV-estimatene er basert på et tilstrekkelig antall observasjoner, ble det satt et minimumskrav om registrert forbruk i minst tre av de 24 månedene i analyseperioden. Artikler med færre enn tre måneder med registrert forbruk ble ekskludert fra XYZ-klassifiseringen for å unngå at CV-estimater basert på svært få observasjoner gir misvisende klassifisering. CV-beregningen benytter alle 24 måneder inkludert nullmåneder for artikler som oppfyller minimumskravet, noe som innebærer at artikler med sporadisk forbruk får en høyere CV enn artikler med jevnt forbruk over samme volum – en ønsket egenskap for å fange opp forbruksstabilitet. Totalt 22 av 709 artikler tilfredsstilte ikke datakravet og ble ikke XYZ-klassifisert; disse rapporteres i MANGLER\_DATA-kategorien og inngår ikke i ABC/XYZ-kryssmatrisen.</w:t>
      </w:r>
    </w:p>
    <w:p>
      <w:pPr>
        <w:spacing w:line="360" w:lineRule="auto"/>
        <w:jc w:val="both"/>
      </w:pPr>
      <w:r>
        <w:rPr>
          <w:rFonts w:ascii="Times New Roman" w:hAnsi="Times New Roman" w:cs="Times New Roman"/>
          <w:sz w:val="24"/>
        </w:rPr>
        <w:t>Etter beregning ble CV-grensene fra Tabell 6 (kap. 5) anvendt: X (</w:t>
      </w:r>
      <m:oMath>
        <m:r>
          <m:t>CV&lt;0,5</m:t>
        </m:r>
      </m:oMath>
      <w:r>
        <w:rPr>
          <w:rFonts w:ascii="Times New Roman" w:hAnsi="Times New Roman" w:cs="Times New Roman"/>
          <w:sz w:val="24"/>
        </w:rPr>
        <w:t xml:space="preserve">), Y (0,5 ≤ </w:t>
      </w:r>
      <m:oMath>
        <m:r>
          <m:t>CV&lt;1,0</m:t>
        </m:r>
      </m:oMath>
      <w:r>
        <w:rPr>
          <w:rFonts w:ascii="Times New Roman" w:hAnsi="Times New Roman" w:cs="Times New Roman"/>
          <w:sz w:val="24"/>
        </w:rPr>
        <w:t>) og Z (</w:t>
      </w:r>
      <m:oMath>
        <m:r>
          <m:t>CV≥1,0</m:t>
        </m:r>
      </m:oMath>
      <w:r>
        <w:rPr>
          <w:rFonts w:ascii="Times New Roman" w:hAnsi="Times New Roman" w:cs="Times New Roman"/>
          <w:sz w:val="24"/>
        </w:rPr>
        <w:t>). XYZ-analysen ble deretter kryssvalidert mot SAP-feltet ZZXYZ; resultatene presenteres i Tabell 10 i kapittel 7.</w:t>
      </w:r>
    </w:p>
    <w:p>
      <w:pPr>
        <w:spacing w:line="360" w:lineRule="auto"/>
        <w:jc w:val="both"/>
      </w:pPr>
      <w:r>
        <w:rPr>
          <w:rFonts w:ascii="Times New Roman" w:hAnsi="Times New Roman" w:cs="Times New Roman"/>
          <w:sz w:val="24"/>
        </w:rPr>
        <w:t>ABC- og XYZ-klassifiseringene ble kombinert til en ni-felts kryssmatrise, som vist i Figur 7. Matrisen gir et øyeblikksbilde av populasjonens sammensetning langs de to dimensjonene og danner inngangsdataene for regelmotoren i avsnitt 6.5. Fullstendige celleantall er gjengitt i Figur 7; univariate XYZ-fordelinger presenteres i Tabell 9 i kapittel 7.</w:t>
      </w:r>
    </w:p>
    <w:p>
      <w:r>
        <w:drawing>
          <wp:inline xmlns:a="http://schemas.openxmlformats.org/drawingml/2006/main" xmlns:pic="http://schemas.openxmlformats.org/drawingml/2006/picture">
            <wp:extent cx="5400000" cy="4642684"/>
            <wp:docPr id="10" name="Picture 10"/>
            <wp:cNvGraphicFramePr>
              <a:graphicFrameLocks noChangeAspect="1"/>
            </wp:cNvGraphicFramePr>
            <a:graphic>
              <a:graphicData uri="http://schemas.openxmlformats.org/drawingml/2006/picture">
                <pic:pic>
                  <pic:nvPicPr>
                    <pic:cNvPr id="0" name="Fig06_ABC_XYZ_Matrise.png"/>
                    <pic:cNvPicPr/>
                  </pic:nvPicPr>
                  <pic:blipFill>
                    <a:blip r:embed="rId28"/>
                    <a:stretch>
                      <a:fillRect/>
                    </a:stretch>
                  </pic:blipFill>
                  <pic:spPr>
                    <a:xfrm>
                      <a:off x="0" y="0"/>
                      <a:ext cx="5400000" cy="4642684"/>
                    </a:xfrm>
                    <a:prstGeom prst="rect"/>
                  </pic:spPr>
                </pic:pic>
              </a:graphicData>
            </a:graphic>
          </wp:inline>
        </w:drawing>
      </w:r>
    </w:p>
    <w:p>
      <w:pPr>
        <w:jc w:val="center"/>
      </w:pPr>
      <w:r>
        <w:rPr>
          <w:rFonts w:ascii="Times New Roman" w:hAnsi="Times New Roman"/>
          <w:i/>
          <w:sz w:val="20"/>
        </w:rPr>
        <w:t xml:space="preserve">Figur </w:t>
      </w:r>
      <w:r>
        <w:fldChar w:fldCharType="begin"/>
      </w:r>
      <w:r>
        <w:instrText xml:space="preserve"> SEQ Figur \* ARABIC </w:instrText>
      </w:r>
      <w:r>
        <w:fldChar w:fldCharType="separate"/>
      </w:r>
      <w:r>
        <w:rPr>
          <w:rFonts w:ascii="Times New Roman" w:hAnsi="Times New Roman"/>
          <w:i/>
          <w:sz w:val="20"/>
        </w:rPr>
        <w:t>N</w:t>
      </w:r>
      <w:r>
        <w:fldChar w:fldCharType="end"/>
      </w:r>
      <w:r>
        <w:rPr>
          <w:rFonts w:ascii="Times New Roman" w:hAnsi="Times New Roman"/>
          <w:i/>
          <w:sz w:val="20"/>
        </w:rPr>
        <w:t>. ABC/XYZ-kryssmatrise: antall artikler per kombinasjon (687 klassifiserte artikler, WERKS 3300 / LGORT 3001). Generert med støtte fra Claude.</w:t>
      </w:r>
    </w:p>
    <w:p>
      <w:pPr>
        <w:spacing w:line="360" w:lineRule="auto"/>
        <w:jc w:val="both"/>
      </w:pPr>
      <w:r>
        <w:rPr>
          <w:rFonts w:ascii="Times New Roman" w:hAnsi="Times New Roman" w:cs="Times New Roman"/>
          <w:sz w:val="24"/>
        </w:rPr>
        <w:t>Matrisen viser at A- og B-artikler i stor grad er konsentrert i X-kolonnen (stabilt forbruk), mens Z-kolonnen er dominert av C-artikler. AZ- og BZ-kategoriene er relativt små. De ni cellene i matrisen danner det primære inngangssignalet for regelmotorens beslutningslogikk i avsnitt 6.5.</w:t>
      </w:r>
    </w:p>
    <w:p>
      <w:pPr>
        <w:pStyle w:val="Overskrift2"/>
      </w:pPr>
      <w:r>
        <w:rPr>
          <w:rFonts w:ascii="Times New Roman" w:hAnsi="Times New Roman"/>
          <w:color w:val="000000"/>
          <w:sz w:val="32"/>
        </w:rPr>
        <w:t>6.3 EOQ-avviksberegning</w:t>
      </w:r>
    </w:p>
    <w:p>
      <w:pPr>
        <w:spacing w:line="360" w:lineRule="auto"/>
        <w:jc w:val="both"/>
      </w:pPr>
      <w:r>
        <w:rPr>
          <w:rFonts w:ascii="Times New Roman" w:hAnsi="Times New Roman" w:cs="Times New Roman"/>
          <w:sz w:val="24"/>
        </w:rPr>
        <w:t xml:space="preserve">EOQ-avviksanalysen ble gjennomført for alle artikler der tilstrekkelig data forelå for beregning av optimal ordrefrekvens </w:t>
      </w:r>
      <m:oMath>
        <m:sSup>
          <m:e>
            <m:r>
              <m:t>f</m:t>
            </m:r>
          </m:e>
          <m:sup>
            <m:r>
              <m:t>*</m:t>
            </m:r>
          </m:sup>
        </m:sSup>
      </m:oMath>
      <w:r>
        <w:rPr>
          <w:rFonts w:ascii="Times New Roman" w:hAnsi="Times New Roman" w:cs="Times New Roman"/>
          <w:sz w:val="24"/>
        </w:rPr>
        <w:t xml:space="preserve">, det vil si artikler med </w:t>
      </w:r>
      <m:oMath>
        <m:sSub>
          <m:e>
            <m:r>
              <m:t>D</m:t>
            </m:r>
          </m:e>
          <m:sub>
            <m:r>
              <m:t>i</m:t>
            </m:r>
          </m:sub>
        </m:sSub>
        <m:r>
          <m:t>&gt;0</m:t>
        </m:r>
      </m:oMath>
      <w:r>
        <w:rPr>
          <w:rFonts w:ascii="Times New Roman" w:hAnsi="Times New Roman" w:cs="Times New Roman"/>
          <w:sz w:val="24"/>
        </w:rPr>
        <w:t xml:space="preserve">, </w:t>
      </w:r>
      <m:oMath>
        <m:sSub>
          <m:e>
            <m:r>
              <m:rPr>
                <m:nor/>
              </m:rPr>
              <m:t>UNIT\_PRICE</m:t>
            </m:r>
          </m:e>
          <m:sub>
            <m:r>
              <m:t>i</m:t>
            </m:r>
          </m:sub>
        </m:sSub>
        <m:r>
          <m:t>&gt;0</m:t>
        </m:r>
      </m:oMath>
      <w:r>
        <w:rPr>
          <w:rFonts w:ascii="Times New Roman" w:hAnsi="Times New Roman" w:cs="Times New Roman"/>
          <w:sz w:val="24"/>
        </w:rPr>
        <w:t xml:space="preserve"> og tilgjengelig LEAD\_TIME. Den optimale frekvensen </w:t>
      </w:r>
      <m:oMath>
        <m:sSup>
          <m:e>
            <m:r>
              <m:t>f</m:t>
            </m:r>
          </m:e>
          <m:sup>
            <m:r>
              <m:t>*</m:t>
            </m:r>
          </m:sup>
        </m:sSup>
        <m:r>
          <m:t>=</m:t>
        </m:r>
        <m:rad>
          <m:radPr>
            <m:degHide m:val="on"/>
          </m:radPr>
          <m:deg/>
          <m:e>
            <m:r>
              <m:t>DH/2S</m:t>
            </m:r>
          </m:e>
        </m:rad>
      </m:oMath>
      <w:r>
        <w:rPr>
          <w:rFonts w:ascii="Times New Roman" w:hAnsi="Times New Roman" w:cs="Times New Roman"/>
          <w:sz w:val="24"/>
        </w:rPr>
        <w:t xml:space="preserve"> ble beregnet med </w:t>
      </w:r>
      <m:oMath>
        <m:r>
          <m:t>S=750</m:t>
        </m:r>
      </m:oMath>
      <w:r>
        <w:rPr>
          <w:rFonts w:ascii="Times New Roman" w:hAnsi="Times New Roman" w:cs="Times New Roman"/>
          <w:sz w:val="24"/>
        </w:rPr>
        <w:t xml:space="preserve"> NOK og </w:t>
      </w:r>
      <m:oMath>
        <m:r>
          <m:t>H=0</m:t>
        </m:r>
        <m:r>
          <m:t>,</m:t>
        </m:r>
        <m:r>
          <m:t>20×</m:t>
        </m:r>
        <m:sSub>
          <m:e>
            <m:r>
              <m:rPr>
                <m:nor/>
              </m:rPr>
              <m:t>UNIT\_PRICE</m:t>
            </m:r>
          </m:e>
          <m:sub>
            <m:r>
              <m:t>i</m:t>
            </m:r>
          </m:sub>
        </m:sSub>
      </m:oMath>
      <w:r>
        <w:rPr>
          <w:rFonts w:ascii="Times New Roman" w:hAnsi="Times New Roman" w:cs="Times New Roman"/>
          <w:sz w:val="24"/>
        </w:rPr>
        <w:t xml:space="preserve"> som modellparametere (se Tabell 6, kap. 5). Faktisk ordrefrekvens </w:t>
      </w:r>
      <m:oMath>
        <m:sSub>
          <m:e>
            <m:r>
              <m:t>f</m:t>
            </m:r>
          </m:e>
          <m:sub>
            <m:r>
              <m:rPr>
                <m:nor/>
              </m:rPr>
              <m:t>obs</m:t>
            </m:r>
          </m:sub>
        </m:sSub>
      </m:oMath>
      <w:r>
        <w:rPr>
          <w:rFonts w:ascii="Times New Roman" w:hAnsi="Times New Roman" w:cs="Times New Roman"/>
          <w:sz w:val="24"/>
        </w:rPr>
        <w:t xml:space="preserve"> ble hentet fra EKBE og annualisert i henhold til beslutning D-08: ACTUAL\_FREQ = ORDER\_COUNT </w:t>
      </w:r>
      <m:oMath>
        <m:r>
          <m:t>×</m:t>
        </m:r>
      </m:oMath>
      <w:r>
        <w:rPr>
          <w:rFonts w:ascii="Times New Roman" w:hAnsi="Times New Roman" w:cs="Times New Roman"/>
          <w:sz w:val="24"/>
        </w:rPr>
        <w:t xml:space="preserve"> (12/24).</w:t>
      </w:r>
    </w:p>
    <w:p>
      <w:pPr>
        <w:spacing w:line="360" w:lineRule="auto"/>
        <w:jc w:val="both"/>
      </w:pPr>
      <w:r>
        <w:rPr>
          <w:rFonts w:ascii="Times New Roman" w:hAnsi="Times New Roman" w:cs="Times New Roman"/>
          <w:sz w:val="24"/>
        </w:rPr>
        <w:t xml:space="preserve">Det relative frekvensavviket </w:t>
      </w:r>
      <m:oMath>
        <m:sSub>
          <m:e>
            <m:r>
              <m:rPr>
                <m:nor/>
              </m:rPr>
              <m:t>FREQ\_AVVIK</m:t>
            </m:r>
          </m:e>
          <m:sub>
            <m:r>
              <m:t>i</m:t>
            </m:r>
          </m:sub>
        </m:sSub>
        <m:r>
          <m:t>=(</m:t>
        </m:r>
        <m:sSub>
          <m:e>
            <m:r>
              <m:t>f</m:t>
            </m:r>
          </m:e>
          <m:sub>
            <m:r>
              <m:rPr>
                <m:nor/>
              </m:rPr>
              <m:t>obs</m:t>
            </m:r>
            <m:r>
              <m:t>,i</m:t>
            </m:r>
          </m:sub>
        </m:sSub>
        <m:r>
          <m:t>−</m:t>
        </m:r>
        <m:sSubSup>
          <m:e>
            <m:r>
              <m:t>f</m:t>
            </m:r>
          </m:e>
          <m:sub>
            <m:r>
              <m:t>i</m:t>
            </m:r>
          </m:sub>
          <m:sup>
            <m:r>
              <m:t>*</m:t>
            </m:r>
          </m:sup>
        </m:sSubSup>
        <m:r>
          <m:t>)/</m:t>
        </m:r>
        <m:sSubSup>
          <m:e>
            <m:r>
              <m:t>f</m:t>
            </m:r>
          </m:e>
          <m:sub>
            <m:r>
              <m:t>i</m:t>
            </m:r>
          </m:sub>
          <m:sup>
            <m:r>
              <m:t>*</m:t>
            </m:r>
          </m:sup>
        </m:sSubSup>
      </m:oMath>
      <w:r>
        <w:rPr>
          <w:rFonts w:ascii="Times New Roman" w:hAnsi="Times New Roman" w:cs="Times New Roman"/>
          <w:sz w:val="24"/>
        </w:rPr>
        <w:t xml:space="preserve"> ble beregnet per artikkel. Fordelingen av dette avviket er illustrert i Figur 8 nedenfor. Terskelen </w:t>
      </w:r>
      <m:oMath>
        <m:sSub>
          <m:e>
            <m:r>
              <m:t>τ</m:t>
            </m:r>
          </m:e>
          <m:sub>
            <m:r>
              <m:t>f</m:t>
            </m:r>
          </m:sub>
        </m:sSub>
        <m:r>
          <m:t>=1</m:t>
        </m:r>
        <m:r>
          <m:t>,</m:t>
        </m:r>
        <m:r>
          <m:t>5</m:t>
        </m:r>
      </m:oMath>
      <w:r>
        <w:rPr>
          <w:rFonts w:ascii="Times New Roman" w:hAnsi="Times New Roman" w:cs="Times New Roman"/>
          <w:sz w:val="24"/>
        </w:rPr>
        <w:t xml:space="preserve"> (dvs. FREQ\_AVVIK &gt; 0,5) ble lagt inn for å skille artikler med vesentlig overbestilling (FOR\_MANGE\_ORDRER) fra artikler innenfor akseptabelt avvik. I tillegg ble differansen i totalkostnad </w:t>
      </w:r>
      <m:oMath>
        <m:r>
          <m:t>ΔT</m:t>
        </m:r>
        <m:sSub>
          <m:e>
            <m:r>
              <m:t>C</m:t>
            </m:r>
          </m:e>
          <m:sub>
            <m:r>
              <m:t>i</m:t>
            </m:r>
          </m:sub>
        </m:sSub>
        <m:r>
          <m:t>=TC(</m:t>
        </m:r>
        <m:sSub>
          <m:e>
            <m:r>
              <m:t>f</m:t>
            </m:r>
          </m:e>
          <m:sub>
            <m:r>
              <m:rPr>
                <m:nor/>
              </m:rPr>
              <m:t>obs</m:t>
            </m:r>
            <m:r>
              <m:t>,i</m:t>
            </m:r>
          </m:sub>
        </m:sSub>
        <m:r>
          <m:t>)−TC(</m:t>
        </m:r>
        <m:sSubSup>
          <m:e>
            <m:r>
              <m:t>f</m:t>
            </m:r>
          </m:e>
          <m:sub>
            <m:r>
              <m:t>i</m:t>
            </m:r>
          </m:sub>
          <m:sup>
            <m:r>
              <m:t>*</m:t>
            </m:r>
          </m:sup>
        </m:sSubSup>
        <m:r>
          <m:t>)</m:t>
        </m:r>
      </m:oMath>
      <w:r>
        <w:rPr>
          <w:rFonts w:ascii="Times New Roman" w:hAnsi="Times New Roman" w:cs="Times New Roman"/>
          <w:sz w:val="24"/>
        </w:rPr>
        <w:t xml:space="preserve"> beregnet per artikkel, og summert til et samlet EOQ-avvikstall for hele populasjonen. Disse resultatene presenteres i sin helhet i Tabell 11 og avsnitt 7.3.</w:t>
      </w:r>
    </w:p>
    <w:p>
      <w:r>
        <w:drawing>
          <wp:inline xmlns:a="http://schemas.openxmlformats.org/drawingml/2006/main" xmlns:pic="http://schemas.openxmlformats.org/drawingml/2006/picture">
            <wp:extent cx="5400000" cy="2238197"/>
            <wp:docPr id="11" name="Picture 11"/>
            <wp:cNvGraphicFramePr>
              <a:graphicFrameLocks noChangeAspect="1"/>
            </wp:cNvGraphicFramePr>
            <a:graphic>
              <a:graphicData uri="http://schemas.openxmlformats.org/drawingml/2006/picture">
                <pic:pic>
                  <pic:nvPicPr>
                    <pic:cNvPr id="0" name="Fig07_EOQ_Avvik.png"/>
                    <pic:cNvPicPr/>
                  </pic:nvPicPr>
                  <pic:blipFill>
                    <a:blip r:embed="rId29"/>
                    <a:stretch>
                      <a:fillRect/>
                    </a:stretch>
                  </pic:blipFill>
                  <pic:spPr>
                    <a:xfrm>
                      <a:off x="0" y="0"/>
                      <a:ext cx="5400000" cy="2238197"/>
                    </a:xfrm>
                    <a:prstGeom prst="rect"/>
                  </pic:spPr>
                </pic:pic>
              </a:graphicData>
            </a:graphic>
          </wp:inline>
        </w:drawing>
      </w:r>
    </w:p>
    <w:p>
      <w:pPr>
        <w:jc w:val="center"/>
      </w:pPr>
      <w:r>
        <w:rPr>
          <w:rFonts w:ascii="Times New Roman" w:hAnsi="Times New Roman"/>
          <w:i/>
          <w:sz w:val="20"/>
        </w:rPr>
        <w:t xml:space="preserve">Figur </w:t>
      </w:r>
      <w:r>
        <w:fldChar w:fldCharType="begin"/>
      </w:r>
      <w:r>
        <w:instrText xml:space="preserve"> SEQ Figur \* ARABIC </w:instrText>
      </w:r>
      <w:r>
        <w:fldChar w:fldCharType="separate"/>
      </w:r>
      <w:r>
        <w:rPr>
          <w:rFonts w:ascii="Times New Roman" w:hAnsi="Times New Roman"/>
          <w:i/>
          <w:sz w:val="20"/>
        </w:rPr>
        <w:t>N</w:t>
      </w:r>
      <w:r>
        <w:fldChar w:fldCharType="end"/>
      </w:r>
      <w:r>
        <w:rPr>
          <w:rFonts w:ascii="Times New Roman" w:hAnsi="Times New Roman"/>
          <w:i/>
          <w:sz w:val="20"/>
        </w:rPr>
        <w:t>. EOQ-avvik: relativ frekvensavvik (FREQ_AVVIK) for artikler med tilstrekkelige data, med terskel ved τ_f = 1,5. Generert med støtte fra Claude.</w:t>
      </w:r>
    </w:p>
    <w:p>
      <w:pPr>
        <w:spacing w:line="360" w:lineRule="auto"/>
        <w:jc w:val="both"/>
      </w:pPr>
      <w:r>
        <w:rPr>
          <w:rFonts w:ascii="Times New Roman" w:hAnsi="Times New Roman" w:cs="Times New Roman"/>
          <w:sz w:val="24"/>
        </w:rPr>
        <w:t xml:space="preserve">Figur 8 viser at fordelingen er sterkt høyreskjev: majoriteten av artiklene med EOQ-data har et FREQ\_AVVIK over terskelen på 0,5. Fordeling etter avviksstatus og totale </w:t>
      </w:r>
      <m:oMath>
        <m:r>
          <m:t>ΔTC</m:t>
        </m:r>
      </m:oMath>
      <w:r>
        <w:rPr>
          <w:rFonts w:ascii="Times New Roman" w:hAnsi="Times New Roman" w:cs="Times New Roman"/>
          <w:sz w:val="24"/>
        </w:rPr>
        <w:t>-summer presenteres i Tabell 11 og avsnitt 7.3.</w:t>
      </w:r>
    </w:p>
    <w:p>
      <w:pPr>
        <w:pStyle w:val="Overskrift2"/>
      </w:pPr>
      <w:r>
        <w:rPr>
          <w:rFonts w:ascii="Times New Roman" w:hAnsi="Times New Roman"/>
          <w:color w:val="000000"/>
          <w:sz w:val="32"/>
        </w:rPr>
        <w:t>6.4 K-means klyngeanalyse</w:t>
      </w:r>
    </w:p>
    <w:p>
      <w:pPr>
        <w:spacing w:line="360" w:lineRule="auto"/>
        <w:jc w:val="both"/>
      </w:pPr>
      <w:r>
        <w:rPr>
          <w:rFonts w:ascii="Times New Roman" w:hAnsi="Times New Roman" w:cs="Times New Roman"/>
          <w:b/>
          <w:sz w:val="24"/>
        </w:rPr>
        <w:t>Dataklargjøring og splitting.</w:t>
      </w:r>
      <w:r>
        <w:rPr>
          <w:rFonts w:ascii="Times New Roman" w:hAnsi="Times New Roman" w:cs="Times New Roman"/>
          <w:sz w:val="24"/>
        </w:rPr>
        <w:t xml:space="preserve"> Featurevektoren </w:t>
      </w:r>
      <m:oMath>
        <m:sSub>
          <m:e>
            <m:r>
              <m:t>𝐱</m:t>
            </m:r>
          </m:e>
          <m:sub>
            <m:r>
              <m:t>i</m:t>
            </m:r>
          </m:sub>
        </m:sSub>
        <m:r>
          <m:t>=[z(</m:t>
        </m:r>
        <m:r>
          <m:rPr>
            <m:sty m:val="p"/>
          </m:rPr>
          <m:t>ln</m:t>
        </m:r>
        <m:sSub>
          <m:e>
            <m:r>
              <m:rPr>
                <m:nor/>
              </m:rPr>
              <m:t>CV</m:t>
            </m:r>
          </m:e>
          <m:sub>
            <m:r>
              <m:t>i</m:t>
            </m:r>
          </m:sub>
        </m:sSub>
        <m:r>
          <m:t>),</m:t>
        </m:r>
        <m:r>
          <m:t>z(</m:t>
        </m:r>
        <m:r>
          <m:rPr>
            <m:sty m:val="p"/>
          </m:rPr>
          <m:t>ln</m:t>
        </m:r>
        <m:r>
          <m:t>(</m:t>
        </m:r>
        <m:sSub>
          <m:e>
            <m:r>
              <m:t>v</m:t>
            </m:r>
          </m:e>
          <m:sub>
            <m:r>
              <m:t>i</m:t>
            </m:r>
          </m:sub>
        </m:sSub>
        <m:r>
          <m:t>+1)),</m:t>
        </m:r>
        <m:r>
          <m:t>z(</m:t>
        </m:r>
        <m:r>
          <m:rPr>
            <m:sty m:val="p"/>
          </m:rPr>
          <m:t>ln</m:t>
        </m:r>
        <m:r>
          <m:t>(|ΔT</m:t>
        </m:r>
        <m:sSub>
          <m:e>
            <m:r>
              <m:t>C</m:t>
            </m:r>
          </m:e>
          <m:sub>
            <m:r>
              <m:t>i</m:t>
            </m:r>
          </m:sub>
        </m:sSub>
        <m:r>
          <m:t>|+1))]</m:t>
        </m:r>
      </m:oMath>
      <w:r>
        <w:rPr>
          <w:rFonts w:ascii="Times New Roman" w:hAnsi="Times New Roman" w:cs="Times New Roman"/>
          <w:sz w:val="24"/>
        </w:rPr>
        <w:t xml:space="preserve"> ble konstruert for alle artikler med tilstrekkelig data. Log-transformasjonen ble påført før z-score-standardisering for å håndtere høyreskjevheten i de underliggende distribusjonene, som beskrevet i avsnitt 5.4. Datasettet ble delt i et treningssett (</w:t>
      </w:r>
      <m:oMath>
        <m:r>
          <m:t>n=389</m:t>
        </m:r>
      </m:oMath>
      <w:r>
        <w:rPr>
          <w:rFonts w:ascii="Times New Roman" w:hAnsi="Times New Roman" w:cs="Times New Roman"/>
          <w:sz w:val="24"/>
        </w:rPr>
        <w:t>) og et testsett (</w:t>
      </w:r>
      <m:oMath>
        <m:r>
          <m:t>n=98</m:t>
        </m:r>
      </m:oMath>
      <w:r>
        <w:rPr>
          <w:rFonts w:ascii="Times New Roman" w:hAnsi="Times New Roman" w:cs="Times New Roman"/>
          <w:sz w:val="24"/>
        </w:rPr>
        <w:t xml:space="preserve">) med </w:t>
      </w:r>
      <w:r>
        <w:rPr>
          <w:rFonts w:ascii="Consolas" w:hAnsi="Consolas" w:cs="Consolas"/>
          <w:sz w:val="20"/>
          <w:shd w:val="clear" w:color="auto" w:fill="F4F4F4"/>
        </w:rPr>
        <w:t>random_state=42</w:t>
      </w:r>
      <w:r>
        <w:rPr>
          <w:rFonts w:ascii="Times New Roman" w:hAnsi="Times New Roman" w:cs="Times New Roman"/>
          <w:sz w:val="24"/>
        </w:rPr>
        <w:t>. StandardScaler ble tilpasset utelukkende til treningsdataene og deretter brukt til å transformere begge sett, slik at informasjon fra testsettet ikke lekker inn i skaleringen.</w:t>
      </w:r>
    </w:p>
    <w:p>
      <w:pPr>
        <w:spacing w:line="360" w:lineRule="auto"/>
        <w:jc w:val="both"/>
      </w:pPr>
      <w:r>
        <w:rPr>
          <w:rFonts w:ascii="Times New Roman" w:hAnsi="Times New Roman" w:cs="Times New Roman"/>
          <w:b/>
          <w:sz w:val="24"/>
        </w:rPr>
        <w:t>K-valg via silhouette.</w:t>
      </w:r>
      <w:r>
        <w:rPr>
          <w:rFonts w:ascii="Times New Roman" w:hAnsi="Times New Roman" w:cs="Times New Roman"/>
          <w:sz w:val="24"/>
        </w:rPr>
        <w:t xml:space="preserve"> KMeans-modellen ble trent for </w:t>
      </w:r>
      <m:oMath>
        <m:r>
          <m:t>K=2</m:t>
        </m:r>
      </m:oMath>
      <w:r>
        <w:rPr>
          <w:rFonts w:ascii="Times New Roman" w:hAnsi="Times New Roman" w:cs="Times New Roman"/>
          <w:sz w:val="24"/>
        </w:rPr>
        <w:t>, 3, 4, 5, 6 og 7 på treningsdataene. For hvert K ble gjennomsnittlig silhouette-score beregnet. Figur 9 viser silhouette-profilen over K-søket.</w:t>
      </w:r>
    </w:p>
    <w:p>
      <w:r>
        <w:drawing>
          <wp:inline xmlns:a="http://schemas.openxmlformats.org/drawingml/2006/main" xmlns:pic="http://schemas.openxmlformats.org/drawingml/2006/picture">
            <wp:extent cx="5400000" cy="2147647"/>
            <wp:docPr id="12" name="Picture 12"/>
            <wp:cNvGraphicFramePr>
              <a:graphicFrameLocks noChangeAspect="1"/>
            </wp:cNvGraphicFramePr>
            <a:graphic>
              <a:graphicData uri="http://schemas.openxmlformats.org/drawingml/2006/picture">
                <pic:pic>
                  <pic:nvPicPr>
                    <pic:cNvPr id="0" name="Fig08_Silhouette.png"/>
                    <pic:cNvPicPr/>
                  </pic:nvPicPr>
                  <pic:blipFill>
                    <a:blip r:embed="rId30"/>
                    <a:stretch>
                      <a:fillRect/>
                    </a:stretch>
                  </pic:blipFill>
                  <pic:spPr>
                    <a:xfrm>
                      <a:off x="0" y="0"/>
                      <a:ext cx="5400000" cy="2147647"/>
                    </a:xfrm>
                    <a:prstGeom prst="rect"/>
                  </pic:spPr>
                </pic:pic>
              </a:graphicData>
            </a:graphic>
          </wp:inline>
        </w:drawing>
      </w:r>
    </w:p>
    <w:p>
      <w:pPr>
        <w:jc w:val="center"/>
      </w:pPr>
      <w:r>
        <w:rPr>
          <w:rFonts w:ascii="Times New Roman" w:hAnsi="Times New Roman"/>
          <w:i/>
          <w:sz w:val="20"/>
        </w:rPr>
        <w:t xml:space="preserve">Figur </w:t>
      </w:r>
      <w:r>
        <w:fldChar w:fldCharType="begin"/>
      </w:r>
      <w:r>
        <w:instrText xml:space="preserve"> SEQ Figur \* ARABIC </w:instrText>
      </w:r>
      <w:r>
        <w:fldChar w:fldCharType="separate"/>
      </w:r>
      <w:r>
        <w:rPr>
          <w:rFonts w:ascii="Times New Roman" w:hAnsi="Times New Roman"/>
          <w:i/>
          <w:sz w:val="20"/>
        </w:rPr>
        <w:t>N</w:t>
      </w:r>
      <w:r>
        <w:fldChar w:fldCharType="end"/>
      </w:r>
      <w:r>
        <w:rPr>
          <w:rFonts w:ascii="Times New Roman" w:hAnsi="Times New Roman"/>
          <w:i/>
          <w:sz w:val="20"/>
        </w:rPr>
        <w:t>. Silhouette-score for K = 2–7 (treningsdata, n = 389): K = 3 gir høyest score (0,383). Generert med støtte fra Claude.</w:t>
      </w:r>
    </w:p>
    <w:p>
      <w:pPr>
        <w:spacing w:line="360" w:lineRule="auto"/>
        <w:jc w:val="both"/>
      </w:pPr>
      <m:oMath>
        <m:r>
          <m:t>K=3</m:t>
        </m:r>
      </m:oMath>
      <w:r>
        <w:rPr>
          <w:rFonts w:ascii="Times New Roman" w:hAnsi="Times New Roman" w:cs="Times New Roman"/>
          <w:sz w:val="24"/>
        </w:rPr>
        <w:t xml:space="preserve"> ga høyest silhouette-score og ble valgt som det endelige antallet klynger. For </w:t>
      </w:r>
      <m:oMath>
        <m:r>
          <m:t>K=4</m:t>
        </m:r>
      </m:oMath>
      <w:r>
        <w:rPr>
          <w:rFonts w:ascii="Times New Roman" w:hAnsi="Times New Roman" w:cs="Times New Roman"/>
          <w:sz w:val="24"/>
        </w:rPr>
        <w:t xml:space="preserve"> og oppover falt scoren monotont, noe som indikerer at tre klynger representerer den mest naturlige gruppestrukturen i featurerommet. KMeans-modellen ble trent endelig med </w:t>
      </w:r>
      <m:oMath>
        <m:r>
          <m:t>K=3</m:t>
        </m:r>
      </m:oMath>
      <w:r>
        <w:rPr>
          <w:rFonts w:ascii="Times New Roman" w:hAnsi="Times New Roman" w:cs="Times New Roman"/>
          <w:sz w:val="24"/>
        </w:rPr>
        <w:t xml:space="preserve">, </w:t>
      </w:r>
      <w:r>
        <w:rPr>
          <w:rFonts w:ascii="Consolas" w:hAnsi="Consolas" w:cs="Consolas"/>
          <w:sz w:val="20"/>
          <w:shd w:val="clear" w:color="auto" w:fill="F4F4F4"/>
        </w:rPr>
        <w:t>n_init=50</w:t>
      </w:r>
      <w:r>
        <w:rPr>
          <w:rFonts w:ascii="Times New Roman" w:hAnsi="Times New Roman" w:cs="Times New Roman"/>
          <w:sz w:val="24"/>
        </w:rPr>
        <w:t xml:space="preserve"> og </w:t>
      </w:r>
      <w:r>
        <w:rPr>
          <w:rFonts w:ascii="Consolas" w:hAnsi="Consolas" w:cs="Consolas"/>
          <w:sz w:val="20"/>
          <w:shd w:val="clear" w:color="auto" w:fill="F4F4F4"/>
        </w:rPr>
        <w:t>max_iter=300</w:t>
      </w:r>
      <w:r>
        <w:rPr>
          <w:rFonts w:ascii="Times New Roman" w:hAnsi="Times New Roman" w:cs="Times New Roman"/>
          <w:sz w:val="24"/>
        </w:rPr>
        <w:t>. Testdataene (</w:t>
      </w:r>
      <m:oMath>
        <m:r>
          <m:t>n=98</m:t>
        </m:r>
      </m:oMath>
      <w:r>
        <w:rPr>
          <w:rFonts w:ascii="Times New Roman" w:hAnsi="Times New Roman" w:cs="Times New Roman"/>
          <w:sz w:val="24"/>
        </w:rPr>
        <w:t>) ble predikert til nærmeste sentroid for å evaluere generaliserbarhet. Silhouette-scorer for trenings- og testdata presenteres i avsnitt 7.4.</w:t>
      </w:r>
    </w:p>
    <w:p>
      <w:pPr>
        <w:spacing w:line="360" w:lineRule="auto"/>
        <w:jc w:val="both"/>
      </w:pPr>
      <w:r>
        <w:rPr>
          <w:rFonts w:ascii="Times New Roman" w:hAnsi="Times New Roman" w:cs="Times New Roman"/>
          <w:b/>
          <w:sz w:val="24"/>
        </w:rPr>
        <w:t>Klyngeprofiler.</w:t>
      </w:r>
      <w:r>
        <w:rPr>
          <w:rFonts w:ascii="Times New Roman" w:hAnsi="Times New Roman" w:cs="Times New Roman"/>
          <w:sz w:val="24"/>
        </w:rPr>
        <w:t xml:space="preserve"> Etter at KMeans-modellen var trent på treningsdataene, ble samtlige 487 artikler med tilstrekkelig data predikert til én av de tre klyngene. Klyngene ble karakterisert langs de tre featuredimensjonene, og én klynge ble identifisert som K\_OVERFØR basert på lavest gjennomsnittlig CV (stabilt forbruksmønster) og høyest gjennomsnittlig artikkelverdi. Figur 10 visualiserer klyngestrukturen i en todimensjonal projeksjon langs de to mest informative featurene.</w:t>
      </w:r>
    </w:p>
    <w:p>
      <w:r>
        <w:drawing>
          <wp:inline xmlns:a="http://schemas.openxmlformats.org/drawingml/2006/main" xmlns:pic="http://schemas.openxmlformats.org/drawingml/2006/picture">
            <wp:extent cx="5400000" cy="2679344"/>
            <wp:docPr id="13" name="Picture 13"/>
            <wp:cNvGraphicFramePr>
              <a:graphicFrameLocks noChangeAspect="1"/>
            </wp:cNvGraphicFramePr>
            <a:graphic>
              <a:graphicData uri="http://schemas.openxmlformats.org/drawingml/2006/picture">
                <pic:pic>
                  <pic:nvPicPr>
                    <pic:cNvPr id="0" name="Fig09_Kmeans_Klynger.png"/>
                    <pic:cNvPicPr/>
                  </pic:nvPicPr>
                  <pic:blipFill>
                    <a:blip r:embed="rId31"/>
                    <a:stretch>
                      <a:fillRect/>
                    </a:stretch>
                  </pic:blipFill>
                  <pic:spPr>
                    <a:xfrm>
                      <a:off x="0" y="0"/>
                      <a:ext cx="5400000" cy="2679344"/>
                    </a:xfrm>
                    <a:prstGeom prst="rect"/>
                  </pic:spPr>
                </pic:pic>
              </a:graphicData>
            </a:graphic>
          </wp:inline>
        </w:drawing>
      </w:r>
    </w:p>
    <w:p>
      <w:pPr>
        <w:jc w:val="center"/>
      </w:pPr>
      <w:r>
        <w:rPr>
          <w:rFonts w:ascii="Times New Roman" w:hAnsi="Times New Roman"/>
          <w:i/>
          <w:sz w:val="20"/>
        </w:rPr>
        <w:t xml:space="preserve">Figur </w:t>
      </w:r>
      <w:r>
        <w:fldChar w:fldCharType="begin"/>
      </w:r>
      <w:r>
        <w:instrText xml:space="preserve"> SEQ Figur \* ARABIC </w:instrText>
      </w:r>
      <w:r>
        <w:fldChar w:fldCharType="separate"/>
      </w:r>
      <w:r>
        <w:rPr>
          <w:rFonts w:ascii="Times New Roman" w:hAnsi="Times New Roman"/>
          <w:i/>
          <w:sz w:val="20"/>
        </w:rPr>
        <w:t>N</w:t>
      </w:r>
      <w:r>
        <w:fldChar w:fldCharType="end"/>
      </w:r>
      <w:r>
        <w:rPr>
          <w:rFonts w:ascii="Times New Roman" w:hAnsi="Times New Roman"/>
          <w:i/>
          <w:sz w:val="20"/>
        </w:rPr>
        <w:t>. K-means klyngeresultat (K = 3): artikler plottet langs z(ln CV) og z(ln verdi), farge etter klynge. K_OVERFØR-klyngen er markert med stjerne (★). Generert med støtte fra Claude.</w:t>
      </w:r>
    </w:p>
    <w:p>
      <w:pPr>
        <w:spacing w:line="360" w:lineRule="auto"/>
        <w:jc w:val="both"/>
      </w:pPr>
      <w:r>
        <w:rPr>
          <w:rFonts w:ascii="Times New Roman" w:hAnsi="Times New Roman" w:cs="Times New Roman"/>
          <w:sz w:val="24"/>
        </w:rPr>
        <w:t>Figur 10 viser at de tre klyngene er rimelig separert i featurerommet, særlig K\_OVERFØR-klyngen (grønn), som skiller seg fra de øvrige ved sin kombinasjon av lav CV og høy verdi. For å tolke innholdet i hver klynge viser Figur 11 gjennomsnittlig standardisert verdi per feature for de tre klyngene.</w:t>
      </w:r>
    </w:p>
    <w:p>
      <w:r>
        <w:drawing>
          <wp:inline xmlns:a="http://schemas.openxmlformats.org/drawingml/2006/main" xmlns:pic="http://schemas.openxmlformats.org/drawingml/2006/picture">
            <wp:extent cx="5400000" cy="2998537"/>
            <wp:docPr id="14" name="Picture 14"/>
            <wp:cNvGraphicFramePr>
              <a:graphicFrameLocks noChangeAspect="1"/>
            </wp:cNvGraphicFramePr>
            <a:graphic>
              <a:graphicData uri="http://schemas.openxmlformats.org/drawingml/2006/picture">
                <pic:pic>
                  <pic:nvPicPr>
                    <pic:cNvPr id="0" name="Fig10_Kmeans_Profil.png"/>
                    <pic:cNvPicPr/>
                  </pic:nvPicPr>
                  <pic:blipFill>
                    <a:blip r:embed="rId32"/>
                    <a:stretch>
                      <a:fillRect/>
                    </a:stretch>
                  </pic:blipFill>
                  <pic:spPr>
                    <a:xfrm>
                      <a:off x="0" y="0"/>
                      <a:ext cx="5400000" cy="2998537"/>
                    </a:xfrm>
                    <a:prstGeom prst="rect"/>
                  </pic:spPr>
                </pic:pic>
              </a:graphicData>
            </a:graphic>
          </wp:inline>
        </w:drawing>
      </w:r>
    </w:p>
    <w:p>
      <w:pPr>
        <w:jc w:val="center"/>
      </w:pPr>
      <w:r>
        <w:rPr>
          <w:rFonts w:ascii="Times New Roman" w:hAnsi="Times New Roman"/>
          <w:i/>
          <w:sz w:val="20"/>
        </w:rPr>
        <w:t xml:space="preserve">Figur </w:t>
      </w:r>
      <w:r>
        <w:fldChar w:fldCharType="begin"/>
      </w:r>
      <w:r>
        <w:instrText xml:space="preserve"> SEQ Figur \* ARABIC </w:instrText>
      </w:r>
      <w:r>
        <w:fldChar w:fldCharType="separate"/>
      </w:r>
      <w:r>
        <w:rPr>
          <w:rFonts w:ascii="Times New Roman" w:hAnsi="Times New Roman"/>
          <w:i/>
          <w:sz w:val="20"/>
        </w:rPr>
        <w:t>N</w:t>
      </w:r>
      <w:r>
        <w:fldChar w:fldCharType="end"/>
      </w:r>
      <w:r>
        <w:rPr>
          <w:rFonts w:ascii="Times New Roman" w:hAnsi="Times New Roman"/>
          <w:i/>
          <w:sz w:val="20"/>
        </w:rPr>
        <w:t>. Klyngeprofiler for K-means (K=3): gjennomsnittlig z-score per feature per klynge. K\_OVERFØR-klyngen (grønn) kjennetegnes av lav CV og høy verdi. Generert med støtte fra Claude.</w:t>
      </w:r>
    </w:p>
    <w:p>
      <w:pPr>
        <w:spacing w:line="360" w:lineRule="auto"/>
        <w:jc w:val="both"/>
      </w:pPr>
      <w:r>
        <w:rPr>
          <w:rFonts w:ascii="Times New Roman" w:hAnsi="Times New Roman" w:cs="Times New Roman"/>
          <w:sz w:val="24"/>
        </w:rPr>
        <w:t xml:space="preserve">Figur 11 bekrefter at K\_OVERFØR-klyngen har den laveste CV-verdien og den høyeste verdiprofilen. Fullstendige klyngeprofiler med gjennomsnittsverdier for CV, verdi og </w:t>
      </w:r>
      <m:oMath>
        <m:d>
          <m:dPr>
            <m:begChr m:val="|"/>
            <m:sepChr m:val=""/>
            <m:endChr m:val="|"/>
          </m:dPr>
          <m:e>
            <m:r>
              <m:t>Δ</m:t>
            </m:r>
            <m:r>
              <m:t>T</m:t>
            </m:r>
            <m:r>
              <m:t>C</m:t>
            </m:r>
          </m:e>
        </m:d>
      </m:oMath>
      <w:r>
        <w:rPr>
          <w:rFonts w:ascii="Times New Roman" w:hAnsi="Times New Roman" w:cs="Times New Roman"/>
          <w:sz w:val="24"/>
        </w:rPr>
        <w:t xml:space="preserve"> presenteres i Tabell 12 i kapittel 7.</w:t>
      </w:r>
    </w:p>
    <w:p>
      <w:pPr>
        <w:pStyle w:val="Overskrift2"/>
      </w:pPr>
      <w:r>
        <w:rPr>
          <w:rFonts w:ascii="Times New Roman" w:hAnsi="Times New Roman"/>
          <w:color w:val="000000"/>
          <w:sz w:val="32"/>
        </w:rPr>
        <w:t>6.5 Regelmotor og HVFS-scoring</w:t>
      </w:r>
    </w:p>
    <w:p>
      <w:pPr>
        <w:spacing w:line="360" w:lineRule="auto"/>
        <w:jc w:val="both"/>
      </w:pPr>
      <w:r>
        <w:rPr>
          <w:rFonts w:ascii="Times New Roman" w:hAnsi="Times New Roman" w:cs="Times New Roman"/>
          <w:sz w:val="24"/>
        </w:rPr>
        <w:t>Regelmotoren ble kjørt sekvensielt på samtlige 709 artikler i den prioriterte rekkefølgen beskrevet i Tabell 7 (kap. 5). For hver artikkel ble inngangssignalene ABC-klasse, XYZ-klasse, EOQ-avviksstatus (FOR\_MANGE\_ORDRER) og K-means klyngetilhørighet (K\_OVERFØR) hentet fra de foregående analysemodulene. Den første regelen med treff avgjorde artiklens anbefaling; artikler uten treff på noen regel, typisk grunnet manglende CV- eller verdidata, ble tildelt kategorien MANGLER\_DATA.</w:t>
      </w:r>
    </w:p>
    <w:p>
      <w:pPr>
        <w:spacing w:line="360" w:lineRule="auto"/>
        <w:jc w:val="both"/>
      </w:pPr>
      <w:r>
        <w:rPr>
          <w:rFonts w:ascii="Times New Roman" w:hAnsi="Times New Roman" w:cs="Times New Roman"/>
          <w:sz w:val="24"/>
        </w:rPr>
        <w:t xml:space="preserve">For alle artikler som fikk anbefalingen OVERFØR\_HVFS, ble besparelsesestimatet </w:t>
      </w:r>
      <m:oMath>
        <m:r>
          <m:t>ΔT</m:t>
        </m:r>
        <m:sSub>
          <m:e>
            <m:r>
              <m:t>C</m:t>
            </m:r>
          </m:e>
          <m:sub>
            <m:r>
              <m:t>i</m:t>
            </m:r>
          </m:sub>
        </m:sSub>
        <m:r>
          <m:t>·g</m:t>
        </m:r>
      </m:oMath>
      <w:r>
        <w:rPr>
          <w:rFonts w:ascii="Times New Roman" w:hAnsi="Times New Roman" w:cs="Times New Roman"/>
          <w:sz w:val="24"/>
        </w:rPr>
        <w:t xml:space="preserve"> beregnet for tre scenarier (worst: </w:t>
      </w:r>
      <m:oMath>
        <m:r>
          <m:t>g=50</m:t>
        </m:r>
        <m:r>
          <m:t>%</m:t>
        </m:r>
      </m:oMath>
      <w:r>
        <w:rPr>
          <w:rFonts w:ascii="Times New Roman" w:hAnsi="Times New Roman" w:cs="Times New Roman"/>
          <w:sz w:val="24"/>
        </w:rPr>
        <w:t xml:space="preserve">, base: </w:t>
      </w:r>
      <m:oMath>
        <m:r>
          <m:t>g=75</m:t>
        </m:r>
        <m:r>
          <m:t>%</m:t>
        </m:r>
      </m:oMath>
      <w:r>
        <w:rPr>
          <w:rFonts w:ascii="Times New Roman" w:hAnsi="Times New Roman" w:cs="Times New Roman"/>
          <w:sz w:val="24"/>
        </w:rPr>
        <w:t xml:space="preserve">, best: </w:t>
      </w:r>
      <m:oMath>
        <m:r>
          <m:t>g=100</m:t>
        </m:r>
        <m:r>
          <m:t>%</m:t>
        </m:r>
      </m:oMath>
      <w:r>
        <w:rPr>
          <w:rFonts w:ascii="Times New Roman" w:hAnsi="Times New Roman" w:cs="Times New Roman"/>
          <w:sz w:val="24"/>
        </w:rPr>
        <w:t xml:space="preserve">) i henhold til formelen i avsnitt 5.3. Kun artikler som både er i OVERFØR\_HVFS-kategorien </w:t>
      </w:r>
      <w:r>
        <w:rPr>
          <w:rFonts w:ascii="Times New Roman" w:hAnsi="Times New Roman" w:cs="Times New Roman"/>
          <w:i/>
          <w:sz w:val="24"/>
        </w:rPr>
        <w:t>og</w:t>
      </w:r>
      <w:r>
        <w:rPr>
          <w:rFonts w:ascii="Times New Roman" w:hAnsi="Times New Roman" w:cs="Times New Roman"/>
          <w:sz w:val="24"/>
        </w:rPr>
        <w:t xml:space="preserve"> har status FOR\_MANGE\_ORDRER inngår i besparelsesgrunnlaget, da </w:t>
      </w:r>
      <m:oMath>
        <m:r>
          <m:t>ΔT</m:t>
        </m:r>
        <m:sSub>
          <m:e>
            <m:r>
              <m:t>C</m:t>
            </m:r>
          </m:e>
          <m:sub>
            <m:r>
              <m:t>i</m:t>
            </m:r>
          </m:sub>
        </m:sSub>
      </m:oMath>
      <w:r>
        <w:rPr>
          <w:rFonts w:ascii="Times New Roman" w:hAnsi="Times New Roman" w:cs="Times New Roman"/>
          <w:sz w:val="24"/>
        </w:rPr>
        <w:t xml:space="preserve"> modellerer kostnadsavviket fra suboptimal ordrefrekvens – et avvik som adresseres direkte ved sentralisering til HVFS. Totalt inngår 117 artikler i dette grunnlaget.</w:t>
      </w:r>
    </w:p>
    <w:p>
      <w:pPr>
        <w:spacing w:line="360" w:lineRule="auto"/>
        <w:jc w:val="both"/>
      </w:pPr>
      <w:r>
        <w:rPr>
          <w:rFonts w:ascii="Times New Roman" w:hAnsi="Times New Roman" w:cs="Times New Roman"/>
          <w:sz w:val="24"/>
        </w:rPr>
        <w:t xml:space="preserve">I tillegg til de tre scenariene ble det gjennomført en systematisk sensitivitetsanalyse med 27 kombinasjoner av </w:t>
      </w:r>
      <m:oMath>
        <m:r>
          <m:t>S</m:t>
        </m:r>
      </m:oMath>
      <w:r>
        <w:rPr>
          <w:rFonts w:ascii="Times New Roman" w:hAnsi="Times New Roman" w:cs="Times New Roman"/>
          <w:sz w:val="24"/>
        </w:rPr>
        <w:t xml:space="preserve">, </w:t>
      </w:r>
      <m:oMath>
        <m:r>
          <m:t>h</m:t>
        </m:r>
      </m:oMath>
      <w:r>
        <w:rPr>
          <w:rFonts w:ascii="Times New Roman" w:hAnsi="Times New Roman" w:cs="Times New Roman"/>
          <w:sz w:val="24"/>
        </w:rPr>
        <w:t xml:space="preserve"> og </w:t>
      </w:r>
      <m:oMath>
        <m:sSub>
          <m:e>
            <m:r>
              <m:t>τ</m:t>
            </m:r>
          </m:e>
          <m:sub>
            <m:r>
              <m:t>f</m:t>
            </m:r>
          </m:sub>
        </m:sSub>
      </m:oMath>
      <w:r>
        <w:rPr>
          <w:rFonts w:ascii="Times New Roman" w:hAnsi="Times New Roman" w:cs="Times New Roman"/>
          <w:sz w:val="24"/>
        </w:rPr>
        <w:t>, for å kartlegge robustheten av besparelsesestimatet overfor usikkerhet i modellantagelsene. Figur 12 viser den endelige fordelingen av regelmotor-anbefalinger og estimert EOQ-besparelse under tre scenarier, mens detaljerte besparelsestall og sensitivitetsintervaller presenteres i avsnitt 7.5–7.6.</w:t>
      </w:r>
    </w:p>
    <w:p>
      <w:r>
        <w:drawing>
          <wp:inline xmlns:a="http://schemas.openxmlformats.org/drawingml/2006/main" xmlns:pic="http://schemas.openxmlformats.org/drawingml/2006/picture">
            <wp:extent cx="5400000" cy="2238197"/>
            <wp:docPr id="15" name="Picture 15"/>
            <wp:cNvGraphicFramePr>
              <a:graphicFrameLocks noChangeAspect="1"/>
            </wp:cNvGraphicFramePr>
            <a:graphic>
              <a:graphicData uri="http://schemas.openxmlformats.org/drawingml/2006/picture">
                <pic:pic>
                  <pic:nvPicPr>
                    <pic:cNvPr id="0" name="Fig11_Regelmotor_Besparelse.png"/>
                    <pic:cNvPicPr/>
                  </pic:nvPicPr>
                  <pic:blipFill>
                    <a:blip r:embed="rId33"/>
                    <a:stretch>
                      <a:fillRect/>
                    </a:stretch>
                  </pic:blipFill>
                  <pic:spPr>
                    <a:xfrm>
                      <a:off x="0" y="0"/>
                      <a:ext cx="5400000" cy="2238197"/>
                    </a:xfrm>
                    <a:prstGeom prst="rect"/>
                  </pic:spPr>
                </pic:pic>
              </a:graphicData>
            </a:graphic>
          </wp:inline>
        </w:drawing>
      </w:r>
    </w:p>
    <w:p>
      <w:pPr>
        <w:jc w:val="center"/>
      </w:pPr>
      <w:r>
        <w:rPr>
          <w:rFonts w:ascii="Times New Roman" w:hAnsi="Times New Roman"/>
          <w:i/>
          <w:sz w:val="20"/>
        </w:rPr>
        <w:t xml:space="preserve">Figur </w:t>
      </w:r>
      <w:r>
        <w:fldChar w:fldCharType="begin"/>
      </w:r>
      <w:r>
        <w:instrText xml:space="preserve"> SEQ Figur \* ARABIC </w:instrText>
      </w:r>
      <w:r>
        <w:fldChar w:fldCharType="separate"/>
      </w:r>
      <w:r>
        <w:rPr>
          <w:rFonts w:ascii="Times New Roman" w:hAnsi="Times New Roman"/>
          <w:i/>
          <w:sz w:val="20"/>
        </w:rPr>
        <w:t>N</w:t>
      </w:r>
      <w:r>
        <w:fldChar w:fldCharType="end"/>
      </w:r>
      <w:r>
        <w:rPr>
          <w:rFonts w:ascii="Times New Roman" w:hAnsi="Times New Roman"/>
          <w:i/>
          <w:sz w:val="20"/>
        </w:rPr>
        <w:t>. Regelmotor og besparelsesanalyse: fordeling av HVFS-anbefalinger (venstre) og estimert årlig EOQ-besparelse under tre realiseringsscenarier (høyre). 709 artikler, WERKS 3300 / LGORT 3001. Generert med støtte fra Claude.</w:t>
      </w:r>
    </w:p>
    <w:p>
      <w:pPr>
        <w:spacing w:line="360" w:lineRule="auto"/>
        <w:jc w:val="both"/>
      </w:pPr>
      <w:r>
        <w:rPr>
          <w:rFonts w:ascii="Times New Roman" w:hAnsi="Times New Roman" w:cs="Times New Roman"/>
          <w:sz w:val="24"/>
        </w:rPr>
        <w:t>Figur 12 viser den endelige fordelingen av HVFS-anbefalinger og estimert besparelse. Fullstendige resultat- og besparelsestabeller presenteres i kapittel 7.</w:t>
      </w:r>
    </w:p>
    <w:p>
      <w:pPr>
        <w:pStyle w:val="Overskrift1"/>
        <w:pageBreakBefore w:val="true"/>
      </w:pPr>
      <w:r>
        <w:rPr>
          <w:rFonts w:ascii="Times New Roman" w:hAnsi="Times New Roman"/>
          <w:color w:val="000000"/>
          <w:sz w:val="36"/>
        </w:rPr>
        <w:t>Kapittel 7 – Resultater</w:t>
      </w:r>
    </w:p>
    <w:p>
      <w:pPr>
        <w:pStyle w:val="Overskrift2"/>
      </w:pPr>
      <w:r>
        <w:rPr>
          <w:rFonts w:ascii="Times New Roman" w:hAnsi="Times New Roman"/>
          <w:color w:val="000000"/>
          <w:sz w:val="32"/>
        </w:rPr>
        <w:t>7.1 ABC-resultater</w:t>
      </w:r>
    </w:p>
    <w:p>
      <w:r>
        <w:rPr>
          <w:rFonts w:ascii="Times New Roman" w:hAnsi="Times New Roman"/>
          <w:i/>
          <w:sz w:val="20"/>
        </w:rPr>
        <w:t xml:space="preserve">Tabell </w:t>
      </w:r>
      <w:r>
        <w:fldChar w:fldCharType="begin"/>
      </w:r>
      <w:r>
        <w:instrText xml:space="preserve"> SEQ Tabell \* ARABIC </w:instrText>
      </w:r>
      <w:r>
        <w:fldChar w:fldCharType="separate"/>
      </w:r>
      <w:r>
        <w:rPr>
          <w:rFonts w:ascii="Times New Roman" w:hAnsi="Times New Roman"/>
          <w:i/>
          <w:sz w:val="20"/>
        </w:rPr>
        <w:t>N</w:t>
      </w:r>
      <w:r>
        <w:fldChar w:fldCharType="end"/>
      </w:r>
      <w:r>
        <w:rPr>
          <w:rFonts w:ascii="Times New Roman" w:hAnsi="Times New Roman"/>
          <w:i/>
          <w:sz w:val="20"/>
        </w:rPr>
        <w:t>. ABC-fordeling: antall artikler og verdiandel per klasse (n = 709).</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192"/>
        <w:gridCol w:w="2192"/>
        <w:gridCol w:w="2192"/>
        <w:gridCol w:w="2192"/>
      </w:tblGrid>
      <w:tr>
        <w:tc>
          <w:tcPr>
            <w:tcW w:type="dxa" w:w="2192"/>
            <w:tcBorders>
              <w:top w:val="single" w:sz="8" w:space="0" w:color="000000"/>
              <w:bottom w:val="single" w:sz="4" w:space="0" w:color="000000"/>
              <w:left w:val="nil"/>
              <w:right w:val="nil"/>
            </w:tcBorders>
          </w:tcPr>
          <w:p>
            <w:r/>
            <w:r>
              <w:rPr>
                <w:rFonts w:ascii="Times New Roman" w:hAnsi="Times New Roman"/>
                <w:b/>
                <w:sz w:val="22"/>
              </w:rPr>
              <w:t>Klasse</w:t>
            </w:r>
          </w:p>
        </w:tc>
        <w:tc>
          <w:tcPr>
            <w:tcW w:type="dxa" w:w="2192"/>
            <w:tcBorders>
              <w:top w:val="single" w:sz="8" w:space="0" w:color="000000"/>
              <w:bottom w:val="single" w:sz="4" w:space="0" w:color="000000"/>
              <w:left w:val="nil"/>
              <w:right w:val="nil"/>
            </w:tcBorders>
          </w:tcPr>
          <w:p>
            <w:r/>
            <w:r>
              <w:rPr>
                <w:rFonts w:ascii="Times New Roman" w:hAnsi="Times New Roman"/>
                <w:b/>
                <w:sz w:val="22"/>
              </w:rPr>
              <w:t>Antall artikler</w:t>
            </w:r>
          </w:p>
        </w:tc>
        <w:tc>
          <w:tcPr>
            <w:tcW w:type="dxa" w:w="2192"/>
            <w:tcBorders>
              <w:top w:val="single" w:sz="8" w:space="0" w:color="000000"/>
              <w:bottom w:val="single" w:sz="4" w:space="0" w:color="000000"/>
              <w:left w:val="nil"/>
              <w:right w:val="nil"/>
            </w:tcBorders>
          </w:tcPr>
          <w:p>
            <w:r/>
            <w:r>
              <w:rPr>
                <w:rFonts w:ascii="Times New Roman" w:hAnsi="Times New Roman"/>
                <w:b/>
                <w:sz w:val="22"/>
              </w:rPr>
              <w:t>Andel av populasjon</w:t>
            </w:r>
          </w:p>
        </w:tc>
        <w:tc>
          <w:tcPr>
            <w:tcW w:type="dxa" w:w="2192"/>
            <w:tcBorders>
              <w:top w:val="single" w:sz="8" w:space="0" w:color="000000"/>
              <w:bottom w:val="single" w:sz="4" w:space="0" w:color="000000"/>
              <w:left w:val="nil"/>
              <w:right w:val="nil"/>
            </w:tcBorders>
          </w:tcPr>
          <w:p>
            <w:r/>
            <w:r>
              <w:rPr>
                <w:rFonts w:ascii="Times New Roman" w:hAnsi="Times New Roman"/>
                <w:b/>
                <w:sz w:val="22"/>
              </w:rPr>
              <w:t>Kumulativ verdiandel</w:t>
            </w:r>
          </w:p>
        </w:tc>
      </w:tr>
      <w:tr>
        <w:tc>
          <w:tcPr>
            <w:tcW w:type="dxa" w:w="2192"/>
          </w:tcPr>
          <w:p>
            <w:r/>
            <w:r>
              <w:rPr>
                <w:rFonts w:ascii="Times New Roman" w:hAnsi="Times New Roman"/>
                <w:b w:val="0"/>
                <w:sz w:val="22"/>
              </w:rPr>
              <w:t>A</w:t>
            </w:r>
          </w:p>
        </w:tc>
        <w:tc>
          <w:tcPr>
            <w:tcW w:type="dxa" w:w="2192"/>
          </w:tcPr>
          <w:p>
            <w:r/>
            <w:r>
              <w:rPr>
                <w:rFonts w:ascii="Times New Roman" w:hAnsi="Times New Roman"/>
                <w:b w:val="0"/>
                <w:sz w:val="22"/>
              </w:rPr>
              <w:t>182</w:t>
            </w:r>
          </w:p>
        </w:tc>
        <w:tc>
          <w:tcPr>
            <w:tcW w:type="dxa" w:w="2192"/>
          </w:tcPr>
          <w:p>
            <w:r/>
            <w:r>
              <w:rPr>
                <w:rFonts w:ascii="Times New Roman" w:hAnsi="Times New Roman"/>
                <w:b w:val="0"/>
                <w:sz w:val="22"/>
              </w:rPr>
              <w:t>25,7 %</w:t>
            </w:r>
          </w:p>
        </w:tc>
        <w:tc>
          <w:tcPr>
            <w:tcW w:type="dxa" w:w="2192"/>
          </w:tcPr>
          <w:p>
            <w:r/>
            <w:r>
              <w:rPr>
                <w:rFonts w:ascii="Times New Roman" w:hAnsi="Times New Roman"/>
                <w:b w:val="0"/>
                <w:sz w:val="22"/>
              </w:rPr>
              <w:t>0–80 %</w:t>
            </w:r>
          </w:p>
        </w:tc>
      </w:tr>
      <w:tr>
        <w:tc>
          <w:tcPr>
            <w:tcW w:type="dxa" w:w="2192"/>
          </w:tcPr>
          <w:p>
            <w:r/>
            <w:r>
              <w:rPr>
                <w:rFonts w:ascii="Times New Roman" w:hAnsi="Times New Roman"/>
                <w:b w:val="0"/>
                <w:sz w:val="22"/>
              </w:rPr>
              <w:t>B</w:t>
            </w:r>
          </w:p>
        </w:tc>
        <w:tc>
          <w:tcPr>
            <w:tcW w:type="dxa" w:w="2192"/>
          </w:tcPr>
          <w:p>
            <w:r/>
            <w:r>
              <w:rPr>
                <w:rFonts w:ascii="Times New Roman" w:hAnsi="Times New Roman"/>
                <w:b w:val="0"/>
                <w:sz w:val="22"/>
              </w:rPr>
              <w:t>184</w:t>
            </w:r>
          </w:p>
        </w:tc>
        <w:tc>
          <w:tcPr>
            <w:tcW w:type="dxa" w:w="2192"/>
          </w:tcPr>
          <w:p>
            <w:r/>
            <w:r>
              <w:rPr>
                <w:rFonts w:ascii="Times New Roman" w:hAnsi="Times New Roman"/>
                <w:b w:val="0"/>
                <w:sz w:val="22"/>
              </w:rPr>
              <w:t>26,0 %</w:t>
            </w:r>
          </w:p>
        </w:tc>
        <w:tc>
          <w:tcPr>
            <w:tcW w:type="dxa" w:w="2192"/>
          </w:tcPr>
          <w:p>
            <w:r/>
            <w:r>
              <w:rPr>
                <w:rFonts w:ascii="Times New Roman" w:hAnsi="Times New Roman"/>
                <w:b w:val="0"/>
                <w:sz w:val="22"/>
              </w:rPr>
              <w:t>80–95 %</w:t>
            </w:r>
          </w:p>
        </w:tc>
      </w:tr>
      <w:tr>
        <w:tc>
          <w:tcPr>
            <w:tcW w:type="dxa" w:w="2192"/>
          </w:tcPr>
          <w:p>
            <w:r/>
            <w:r>
              <w:rPr>
                <w:rFonts w:ascii="Times New Roman" w:hAnsi="Times New Roman"/>
                <w:b w:val="0"/>
                <w:sz w:val="22"/>
              </w:rPr>
              <w:t>C</w:t>
            </w:r>
          </w:p>
        </w:tc>
        <w:tc>
          <w:tcPr>
            <w:tcW w:type="dxa" w:w="2192"/>
          </w:tcPr>
          <w:p>
            <w:r/>
            <w:r>
              <w:rPr>
                <w:rFonts w:ascii="Times New Roman" w:hAnsi="Times New Roman"/>
                <w:b w:val="0"/>
                <w:sz w:val="22"/>
              </w:rPr>
              <w:t>338</w:t>
            </w:r>
          </w:p>
        </w:tc>
        <w:tc>
          <w:tcPr>
            <w:tcW w:type="dxa" w:w="2192"/>
          </w:tcPr>
          <w:p>
            <w:r/>
            <w:r>
              <w:rPr>
                <w:rFonts w:ascii="Times New Roman" w:hAnsi="Times New Roman"/>
                <w:b w:val="0"/>
                <w:sz w:val="22"/>
              </w:rPr>
              <w:t>47,7 %</w:t>
            </w:r>
          </w:p>
        </w:tc>
        <w:tc>
          <w:tcPr>
            <w:tcW w:type="dxa" w:w="2192"/>
          </w:tcPr>
          <w:p>
            <w:r/>
            <w:r>
              <w:rPr>
                <w:rFonts w:ascii="Times New Roman" w:hAnsi="Times New Roman"/>
                <w:b w:val="0"/>
                <w:sz w:val="22"/>
              </w:rPr>
              <w:t>95–100 %</w:t>
            </w:r>
          </w:p>
        </w:tc>
      </w:tr>
      <w:tr>
        <w:tc>
          <w:tcPr>
            <w:tcW w:type="dxa" w:w="2192"/>
          </w:tcPr>
          <w:p>
            <w:r/>
            <w:r>
              <w:rPr>
                <w:rFonts w:ascii="Times New Roman" w:hAnsi="Times New Roman"/>
                <w:b w:val="0"/>
                <w:sz w:val="22"/>
              </w:rPr>
              <w:t>Ikke klassifisert</w:t>
            </w:r>
          </w:p>
        </w:tc>
        <w:tc>
          <w:tcPr>
            <w:tcW w:type="dxa" w:w="2192"/>
          </w:tcPr>
          <w:p>
            <w:r/>
            <w:r>
              <w:rPr>
                <w:rFonts w:ascii="Times New Roman" w:hAnsi="Times New Roman"/>
                <w:b w:val="0"/>
                <w:sz w:val="22"/>
              </w:rPr>
              <w:t>5</w:t>
            </w:r>
          </w:p>
        </w:tc>
        <w:tc>
          <w:tcPr>
            <w:tcW w:type="dxa" w:w="2192"/>
          </w:tcPr>
          <w:p>
            <w:r/>
            <w:r>
              <w:rPr>
                <w:rFonts w:ascii="Times New Roman" w:hAnsi="Times New Roman"/>
                <w:b w:val="0"/>
                <w:sz w:val="22"/>
              </w:rPr>
              <w:t>0,7 %</w:t>
            </w:r>
          </w:p>
        </w:tc>
        <w:tc>
          <w:tcPr>
            <w:tcW w:type="dxa" w:w="2192"/>
          </w:tcPr>
          <w:p>
            <w:r/>
            <w:r>
              <w:rPr>
                <w:rFonts w:ascii="Times New Roman" w:hAnsi="Times New Roman"/>
                <w:b w:val="0"/>
                <w:sz w:val="22"/>
              </w:rPr>
              <w:t>Mangler verdidata</w:t>
            </w:r>
          </w:p>
        </w:tc>
      </w:tr>
      <w:tr>
        <w:tc>
          <w:tcPr>
            <w:tcW w:type="dxa" w:w="2192"/>
          </w:tcPr>
          <w:p>
            <w:r/>
            <w:r>
              <w:rPr>
                <w:rFonts w:ascii="Times New Roman" w:hAnsi="Times New Roman"/>
                <w:b/>
                <w:sz w:val="22"/>
              </w:rPr>
              <w:t>Totalt</w:t>
            </w:r>
          </w:p>
        </w:tc>
        <w:tc>
          <w:tcPr>
            <w:tcW w:type="dxa" w:w="2192"/>
          </w:tcPr>
          <w:p>
            <w:r/>
            <w:r>
              <w:rPr>
                <w:rFonts w:ascii="Times New Roman" w:hAnsi="Times New Roman"/>
                <w:b/>
                <w:sz w:val="22"/>
              </w:rPr>
              <w:t>709</w:t>
            </w:r>
          </w:p>
        </w:tc>
        <w:tc>
          <w:tcPr>
            <w:tcW w:type="dxa" w:w="2192"/>
          </w:tcPr>
          <w:p>
            <w:r/>
            <w:r>
              <w:rPr>
                <w:rFonts w:ascii="Times New Roman" w:hAnsi="Times New Roman"/>
                <w:b/>
                <w:sz w:val="22"/>
              </w:rPr>
              <w:t>100 %</w:t>
            </w:r>
          </w:p>
        </w:tc>
        <w:tc>
          <w:tcPr>
            <w:tcW w:type="dxa" w:w="2192"/>
          </w:tcPr>
          <w:p>
            <w:r/>
          </w:p>
        </w:tc>
      </w:tr>
    </w:tbl>
    <w:p>
      <w:pPr>
        <w:spacing w:line="360" w:lineRule="auto"/>
        <w:jc w:val="both"/>
      </w:pPr>
      <w:r>
        <w:rPr>
          <w:rFonts w:ascii="Times New Roman" w:hAnsi="Times New Roman" w:cs="Times New Roman"/>
          <w:sz w:val="24"/>
        </w:rPr>
        <w:t>Fordelingen viser et tydelig Pareto-mønster: A- og B-artiklene (366 artikler, 51,6 %) står for ~95 % av verdibindingen, mens 338 C-artikler (47,7 %) dekker de resterende 5 %. A-klassens andel på 25,7 % er noe høyere enn den kanoniske 20 %-regelen, men konsistent med sykehussortiment der få høyverdige artikler dominerer. Pareto-kurven er presentert som Figur 6 i kapittel 6.</w:t>
      </w:r>
    </w:p>
    <w:p>
      <w:pPr>
        <w:pStyle w:val="Overskrift2"/>
      </w:pPr>
      <w:r>
        <w:rPr>
          <w:rFonts w:ascii="Times New Roman" w:hAnsi="Times New Roman"/>
          <w:color w:val="000000"/>
          <w:sz w:val="32"/>
        </w:rPr>
        <w:t>7.2 XYZ-resultater</w:t>
      </w:r>
    </w:p>
    <w:p>
      <w:r>
        <w:rPr>
          <w:rFonts w:ascii="Times New Roman" w:hAnsi="Times New Roman"/>
          <w:i/>
          <w:sz w:val="20"/>
        </w:rPr>
        <w:t xml:space="preserve">Tabell </w:t>
      </w:r>
      <w:r>
        <w:fldChar w:fldCharType="begin"/>
      </w:r>
      <w:r>
        <w:instrText xml:space="preserve"> SEQ Tabell \* ARABIC </w:instrText>
      </w:r>
      <w:r>
        <w:fldChar w:fldCharType="separate"/>
      </w:r>
      <w:r>
        <w:rPr>
          <w:rFonts w:ascii="Times New Roman" w:hAnsi="Times New Roman"/>
          <w:i/>
          <w:sz w:val="20"/>
        </w:rPr>
        <w:t>N</w:t>
      </w:r>
      <w:r>
        <w:fldChar w:fldCharType="end"/>
      </w:r>
      <w:r>
        <w:rPr>
          <w:rFonts w:ascii="Times New Roman" w:hAnsi="Times New Roman"/>
          <w:i/>
          <w:sz w:val="20"/>
        </w:rPr>
        <w:t>. XYZ-fordeling: antall artikler per klasse (n = 687 klassifiserte).</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192"/>
        <w:gridCol w:w="2192"/>
        <w:gridCol w:w="2192"/>
        <w:gridCol w:w="2192"/>
      </w:tblGrid>
      <w:tr>
        <w:tc>
          <w:tcPr>
            <w:tcW w:type="dxa" w:w="2192"/>
            <w:tcBorders>
              <w:top w:val="single" w:sz="8" w:space="0" w:color="000000"/>
              <w:bottom w:val="single" w:sz="4" w:space="0" w:color="000000"/>
              <w:left w:val="nil"/>
              <w:right w:val="nil"/>
            </w:tcBorders>
          </w:tcPr>
          <w:p>
            <w:r/>
            <w:r>
              <w:rPr>
                <w:rFonts w:ascii="Times New Roman" w:hAnsi="Times New Roman"/>
                <w:b/>
                <w:sz w:val="22"/>
              </w:rPr>
              <w:t>Klasse</w:t>
            </w:r>
          </w:p>
        </w:tc>
        <w:tc>
          <w:tcPr>
            <w:tcW w:type="dxa" w:w="2192"/>
            <w:tcBorders>
              <w:top w:val="single" w:sz="8" w:space="0" w:color="000000"/>
              <w:bottom w:val="single" w:sz="4" w:space="0" w:color="000000"/>
              <w:left w:val="nil"/>
              <w:right w:val="nil"/>
            </w:tcBorders>
          </w:tcPr>
          <w:p>
            <w:r/>
            <w:r>
              <w:rPr>
                <w:rFonts w:ascii="Times New Roman" w:hAnsi="Times New Roman"/>
                <w:b/>
                <w:sz w:val="22"/>
              </w:rPr>
              <w:t>CV-grense</w:t>
            </w:r>
          </w:p>
        </w:tc>
        <w:tc>
          <w:tcPr>
            <w:tcW w:type="dxa" w:w="2192"/>
            <w:tcBorders>
              <w:top w:val="single" w:sz="8" w:space="0" w:color="000000"/>
              <w:bottom w:val="single" w:sz="4" w:space="0" w:color="000000"/>
              <w:left w:val="nil"/>
              <w:right w:val="nil"/>
            </w:tcBorders>
          </w:tcPr>
          <w:p>
            <w:r/>
            <w:r>
              <w:rPr>
                <w:rFonts w:ascii="Times New Roman" w:hAnsi="Times New Roman"/>
                <w:b/>
                <w:sz w:val="22"/>
              </w:rPr>
              <w:t>Antall</w:t>
            </w:r>
          </w:p>
        </w:tc>
        <w:tc>
          <w:tcPr>
            <w:tcW w:type="dxa" w:w="2192"/>
            <w:tcBorders>
              <w:top w:val="single" w:sz="8" w:space="0" w:color="000000"/>
              <w:bottom w:val="single" w:sz="4" w:space="0" w:color="000000"/>
              <w:left w:val="nil"/>
              <w:right w:val="nil"/>
            </w:tcBorders>
          </w:tcPr>
          <w:p>
            <w:r/>
            <w:r>
              <w:rPr>
                <w:rFonts w:ascii="Times New Roman" w:hAnsi="Times New Roman"/>
                <w:b/>
                <w:sz w:val="22"/>
              </w:rPr>
              <w:t>Andel</w:t>
            </w:r>
          </w:p>
        </w:tc>
      </w:tr>
      <w:tr>
        <w:tc>
          <w:tcPr>
            <w:tcW w:type="dxa" w:w="2192"/>
          </w:tcPr>
          <w:p>
            <w:r/>
            <w:r>
              <w:rPr>
                <w:rFonts w:ascii="Times New Roman" w:hAnsi="Times New Roman"/>
                <w:b w:val="0"/>
                <w:sz w:val="22"/>
              </w:rPr>
              <w:t>X (stabilt)</w:t>
            </w:r>
          </w:p>
        </w:tc>
        <w:tc>
          <w:tcPr>
            <w:tcW w:type="dxa" w:w="2192"/>
          </w:tcPr>
          <w:p>
            <w:r/>
            <w:r>
              <w:rPr>
                <w:rFonts w:ascii="Times New Roman" w:hAnsi="Times New Roman"/>
                <w:b w:val="0"/>
                <w:sz w:val="22"/>
              </w:rPr>
              <w:t>CV &lt; 0,5</w:t>
            </w:r>
          </w:p>
        </w:tc>
        <w:tc>
          <w:tcPr>
            <w:tcW w:type="dxa" w:w="2192"/>
          </w:tcPr>
          <w:p>
            <w:r/>
            <w:r>
              <w:rPr>
                <w:rFonts w:ascii="Times New Roman" w:hAnsi="Times New Roman"/>
                <w:b w:val="0"/>
                <w:sz w:val="22"/>
              </w:rPr>
              <w:t>350</w:t>
            </w:r>
          </w:p>
        </w:tc>
        <w:tc>
          <w:tcPr>
            <w:tcW w:type="dxa" w:w="2192"/>
          </w:tcPr>
          <w:p>
            <w:r/>
            <w:r>
              <w:rPr>
                <w:rFonts w:ascii="Times New Roman" w:hAnsi="Times New Roman"/>
                <w:b w:val="0"/>
                <w:sz w:val="22"/>
              </w:rPr>
              <w:t>50,9 %</w:t>
            </w:r>
          </w:p>
        </w:tc>
      </w:tr>
      <w:tr>
        <w:tc>
          <w:tcPr>
            <w:tcW w:type="dxa" w:w="2192"/>
          </w:tcPr>
          <w:p>
            <w:r/>
            <w:r>
              <w:rPr>
                <w:rFonts w:ascii="Times New Roman" w:hAnsi="Times New Roman"/>
                <w:b w:val="0"/>
                <w:sz w:val="22"/>
              </w:rPr>
              <w:t>Y (moderat)</w:t>
            </w:r>
          </w:p>
        </w:tc>
        <w:tc>
          <w:tcPr>
            <w:tcW w:type="dxa" w:w="2192"/>
          </w:tcPr>
          <w:p>
            <w:r/>
            <w:r>
              <w:rPr>
                <w:rFonts w:ascii="Times New Roman" w:hAnsi="Times New Roman"/>
                <w:b w:val="0"/>
                <w:sz w:val="22"/>
              </w:rPr>
              <w:t>0,5 ≤ CV &lt; 1,0</w:t>
            </w:r>
          </w:p>
        </w:tc>
        <w:tc>
          <w:tcPr>
            <w:tcW w:type="dxa" w:w="2192"/>
          </w:tcPr>
          <w:p>
            <w:r/>
            <w:r>
              <w:rPr>
                <w:rFonts w:ascii="Times New Roman" w:hAnsi="Times New Roman"/>
                <w:b w:val="0"/>
                <w:sz w:val="22"/>
              </w:rPr>
              <w:t>193</w:t>
            </w:r>
          </w:p>
        </w:tc>
        <w:tc>
          <w:tcPr>
            <w:tcW w:type="dxa" w:w="2192"/>
          </w:tcPr>
          <w:p>
            <w:r/>
            <w:r>
              <w:rPr>
                <w:rFonts w:ascii="Times New Roman" w:hAnsi="Times New Roman"/>
                <w:b w:val="0"/>
                <w:sz w:val="22"/>
              </w:rPr>
              <w:t>28,1 %</w:t>
            </w:r>
          </w:p>
        </w:tc>
      </w:tr>
      <w:tr>
        <w:tc>
          <w:tcPr>
            <w:tcW w:type="dxa" w:w="2192"/>
          </w:tcPr>
          <w:p>
            <w:r/>
            <w:r>
              <w:rPr>
                <w:rFonts w:ascii="Times New Roman" w:hAnsi="Times New Roman"/>
                <w:b w:val="0"/>
                <w:sz w:val="22"/>
              </w:rPr>
              <w:t>Z (uregelmessig)</w:t>
            </w:r>
          </w:p>
        </w:tc>
        <w:tc>
          <w:tcPr>
            <w:tcW w:type="dxa" w:w="2192"/>
          </w:tcPr>
          <w:p>
            <w:r/>
            <w:r>
              <w:rPr>
                <w:rFonts w:ascii="Times New Roman" w:hAnsi="Times New Roman"/>
                <w:b w:val="0"/>
                <w:sz w:val="22"/>
              </w:rPr>
              <w:t>CV ≥ 1,0</w:t>
            </w:r>
          </w:p>
        </w:tc>
        <w:tc>
          <w:tcPr>
            <w:tcW w:type="dxa" w:w="2192"/>
          </w:tcPr>
          <w:p>
            <w:r/>
            <w:r>
              <w:rPr>
                <w:rFonts w:ascii="Times New Roman" w:hAnsi="Times New Roman"/>
                <w:b w:val="0"/>
                <w:sz w:val="22"/>
              </w:rPr>
              <w:t>144</w:t>
            </w:r>
          </w:p>
        </w:tc>
        <w:tc>
          <w:tcPr>
            <w:tcW w:type="dxa" w:w="2192"/>
          </w:tcPr>
          <w:p>
            <w:r/>
            <w:r>
              <w:rPr>
                <w:rFonts w:ascii="Times New Roman" w:hAnsi="Times New Roman"/>
                <w:b w:val="0"/>
                <w:sz w:val="22"/>
              </w:rPr>
              <w:t>20,9 %</w:t>
            </w:r>
          </w:p>
        </w:tc>
      </w:tr>
      <w:tr>
        <w:tc>
          <w:tcPr>
            <w:tcW w:type="dxa" w:w="2192"/>
          </w:tcPr>
          <w:p>
            <w:r/>
            <w:r>
              <w:rPr>
                <w:rFonts w:ascii="Times New Roman" w:hAnsi="Times New Roman"/>
                <w:b w:val="0"/>
                <w:sz w:val="22"/>
              </w:rPr>
              <w:t>Ikke klassifisert</w:t>
            </w:r>
          </w:p>
        </w:tc>
        <w:tc>
          <w:tcPr>
            <w:tcW w:type="dxa" w:w="2192"/>
          </w:tcPr>
          <w:p>
            <w:r/>
            <w:r>
              <w:rPr>
                <w:rFonts w:ascii="Times New Roman" w:hAnsi="Times New Roman"/>
                <w:b w:val="0"/>
                <w:sz w:val="22"/>
              </w:rPr>
              <w:t>–</w:t>
            </w:r>
          </w:p>
        </w:tc>
        <w:tc>
          <w:tcPr>
            <w:tcW w:type="dxa" w:w="2192"/>
          </w:tcPr>
          <w:p>
            <w:r/>
            <w:r>
              <w:rPr>
                <w:rFonts w:ascii="Times New Roman" w:hAnsi="Times New Roman"/>
                <w:b w:val="0"/>
                <w:sz w:val="22"/>
              </w:rPr>
              <w:t>22</w:t>
            </w:r>
          </w:p>
        </w:tc>
        <w:tc>
          <w:tcPr>
            <w:tcW w:type="dxa" w:w="2192"/>
          </w:tcPr>
          <w:p>
            <w:r/>
            <w:r>
              <w:rPr>
                <w:rFonts w:ascii="Times New Roman" w:hAnsi="Times New Roman"/>
                <w:b w:val="0"/>
                <w:sz w:val="22"/>
              </w:rPr>
              <w:t>–</w:t>
            </w:r>
          </w:p>
        </w:tc>
      </w:tr>
    </w:tbl>
    <w:p>
      <w:pPr>
        <w:spacing w:line="360" w:lineRule="auto"/>
        <w:jc w:val="both"/>
      </w:pPr>
      <w:r>
        <w:rPr>
          <w:rFonts w:ascii="Times New Roman" w:hAnsi="Times New Roman" w:cs="Times New Roman"/>
          <w:sz w:val="24"/>
        </w:rPr>
        <w:t>350 artikler (50,9 % av klassifiserte) har stabilt forbruksmønster (X), 193 artikler (28,1 %) har moderat variasjon (Y), og 144 artikler (20,9 %) har uregelmessig forbruk (Z). At over halvparten av artiklene faller i X-kategorien tyder på at en vesentlig andel av sortimentet har den forbruksstabiliteten som APL-leveransemodellen forutsetter (Fragapane et al., 2019). De 22 ikke-klassifiserte artiklene mangler tilstrekkelig forbrukshistorikk i MSEG (færre enn tre måneder med registrert forbruk) og er ekskludert fra XYZ-analysen for å unngå misvisende CV-estimater.</w:t>
      </w:r>
    </w:p>
    <w:p>
      <w:pPr>
        <w:spacing w:line="360" w:lineRule="auto"/>
        <w:jc w:val="both"/>
      </w:pPr>
      <w:r>
        <w:rPr>
          <w:rFonts w:ascii="Times New Roman" w:hAnsi="Times New Roman" w:cs="Times New Roman"/>
          <w:sz w:val="24"/>
        </w:rPr>
        <w:t>Sammenligningen med SAP-feltet ZZXYZ viste 33 % samsvar mellom systemregistrert og beregnet klasse (125 av 375 artikler med data i begge kilder). Valideringen er begrenset til de 375 artiklene der ZZXYZ-feltet er utfylt i MDMA; for de øvrige 334 artiklene mangler systemklassifisering. Tabell 10 oppsummerer kryssvalideringen. Det lave samsvaret på 33 % kan forklares av tre faktorer: (1) ZZXYZ oppdateres via MRP-kjøring og kan basere seg på andre CV-terskler enn litteraturens standard (0,5/1,0); (2) beregningsperioden for ZZXYZ er ikke nødvendigvis sammenfallende med denne studiens 24-månedersperiode; og (3) feltet oppdateres kun for artikler med aktiv MRP-kjøring. Divergensen er mest slående for Z-kategorien: SAP klassifiserer kun 7 artikler som Z, mens den beregnede klassifiseringen gir 79 – SAP fanger dermed nesten ingen artikler med uregelmessig forbruk. Dette understreker at SAP-feltets ZZXYZ ikke er systematisk oppdatert og bør erstattes med beregnet CV-klasse som primær XYZ-indikator. ABC/XYZ-kryssmatrisen er presentert som Figur 7 i kapittel 6; fullstendige celleantall er gjengitt der.</w:t>
      </w:r>
    </w:p>
    <w:p>
      <w:r>
        <w:rPr>
          <w:rFonts w:ascii="Times New Roman" w:hAnsi="Times New Roman"/>
          <w:i/>
          <w:sz w:val="20"/>
        </w:rPr>
        <w:t xml:space="preserve">Tabell </w:t>
      </w:r>
      <w:r>
        <w:fldChar w:fldCharType="begin"/>
      </w:r>
      <w:r>
        <w:instrText xml:space="preserve"> SEQ Tabell \* ARABIC </w:instrText>
      </w:r>
      <w:r>
        <w:fldChar w:fldCharType="separate"/>
      </w:r>
      <w:r>
        <w:rPr>
          <w:rFonts w:ascii="Times New Roman" w:hAnsi="Times New Roman"/>
          <w:i/>
          <w:sz w:val="20"/>
        </w:rPr>
        <w:t>N</w:t>
      </w:r>
      <w:r>
        <w:fldChar w:fldCharType="end"/>
      </w:r>
      <w:r>
        <w:rPr>
          <w:rFonts w:ascii="Times New Roman" w:hAnsi="Times New Roman"/>
          <w:i/>
          <w:sz w:val="20"/>
        </w:rPr>
        <w:t>. SAP ZZXYZ-validering: samsvar mellom systemklasse og beregnet CV-klasse (n = 375 artikler med data i begge kilder).</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1754"/>
        <w:gridCol w:w="1754"/>
        <w:gridCol w:w="1754"/>
        <w:gridCol w:w="1754"/>
        <w:gridCol w:w="1754"/>
      </w:tblGrid>
      <w:tr>
        <w:tc>
          <w:tcPr>
            <w:tcW w:type="dxa" w:w="1754"/>
            <w:tcBorders>
              <w:top w:val="single" w:sz="8" w:space="0" w:color="000000"/>
              <w:bottom w:val="single" w:sz="4" w:space="0" w:color="000000"/>
              <w:left w:val="nil"/>
              <w:right w:val="nil"/>
            </w:tcBorders>
          </w:tcPr>
          <w:p>
            <w:r/>
          </w:p>
        </w:tc>
        <w:tc>
          <w:tcPr>
            <w:tcW w:type="dxa" w:w="1754"/>
            <w:tcBorders>
              <w:top w:val="single" w:sz="8" w:space="0" w:color="000000"/>
              <w:bottom w:val="single" w:sz="4" w:space="0" w:color="000000"/>
              <w:left w:val="nil"/>
              <w:right w:val="nil"/>
            </w:tcBorders>
          </w:tcPr>
          <w:p>
            <w:r/>
            <w:r>
              <w:rPr>
                <w:rFonts w:ascii="Times New Roman" w:hAnsi="Times New Roman"/>
                <w:b/>
                <w:sz w:val="22"/>
              </w:rPr>
              <w:t>Beregnet X</w:t>
            </w:r>
          </w:p>
        </w:tc>
        <w:tc>
          <w:tcPr>
            <w:tcW w:type="dxa" w:w="1754"/>
            <w:tcBorders>
              <w:top w:val="single" w:sz="8" w:space="0" w:color="000000"/>
              <w:bottom w:val="single" w:sz="4" w:space="0" w:color="000000"/>
              <w:left w:val="nil"/>
              <w:right w:val="nil"/>
            </w:tcBorders>
          </w:tcPr>
          <w:p>
            <w:r/>
            <w:r>
              <w:rPr>
                <w:rFonts w:ascii="Times New Roman" w:hAnsi="Times New Roman"/>
                <w:b/>
                <w:sz w:val="22"/>
              </w:rPr>
              <w:t>Beregnet Y</w:t>
            </w:r>
          </w:p>
        </w:tc>
        <w:tc>
          <w:tcPr>
            <w:tcW w:type="dxa" w:w="1754"/>
            <w:tcBorders>
              <w:top w:val="single" w:sz="8" w:space="0" w:color="000000"/>
              <w:bottom w:val="single" w:sz="4" w:space="0" w:color="000000"/>
              <w:left w:val="nil"/>
              <w:right w:val="nil"/>
            </w:tcBorders>
          </w:tcPr>
          <w:p>
            <w:r/>
            <w:r>
              <w:rPr>
                <w:rFonts w:ascii="Times New Roman" w:hAnsi="Times New Roman"/>
                <w:b/>
                <w:sz w:val="22"/>
              </w:rPr>
              <w:t>Beregnet Z</w:t>
            </w:r>
          </w:p>
        </w:tc>
        <w:tc>
          <w:tcPr>
            <w:tcW w:type="dxa" w:w="1754"/>
            <w:tcBorders>
              <w:top w:val="single" w:sz="8" w:space="0" w:color="000000"/>
              <w:bottom w:val="single" w:sz="4" w:space="0" w:color="000000"/>
              <w:left w:val="nil"/>
              <w:right w:val="nil"/>
            </w:tcBorders>
          </w:tcPr>
          <w:p>
            <w:r/>
            <w:r>
              <w:rPr>
                <w:rFonts w:ascii="Times New Roman" w:hAnsi="Times New Roman"/>
                <w:b/>
                <w:sz w:val="22"/>
              </w:rPr>
              <w:t>Sum</w:t>
            </w:r>
          </w:p>
        </w:tc>
      </w:tr>
      <w:tr>
        <w:tc>
          <w:tcPr>
            <w:tcW w:type="dxa" w:w="1754"/>
          </w:tcPr>
          <w:p>
            <w:r/>
            <w:r>
              <w:rPr>
                <w:rFonts w:ascii="Times New Roman" w:hAnsi="Times New Roman"/>
                <w:b w:val="0"/>
                <w:sz w:val="22"/>
              </w:rPr>
              <w:t>SAP X</w:t>
            </w:r>
          </w:p>
        </w:tc>
        <w:tc>
          <w:tcPr>
            <w:tcW w:type="dxa" w:w="1754"/>
          </w:tcPr>
          <w:p>
            <w:r/>
            <w:r>
              <w:rPr>
                <w:rFonts w:ascii="Times New Roman" w:hAnsi="Times New Roman"/>
                <w:b/>
                <w:sz w:val="22"/>
              </w:rPr>
              <w:t>94</w:t>
            </w:r>
          </w:p>
        </w:tc>
        <w:tc>
          <w:tcPr>
            <w:tcW w:type="dxa" w:w="1754"/>
          </w:tcPr>
          <w:p>
            <w:r/>
            <w:r>
              <w:rPr>
                <w:rFonts w:ascii="Times New Roman" w:hAnsi="Times New Roman"/>
                <w:b w:val="0"/>
                <w:sz w:val="22"/>
              </w:rPr>
              <w:t>65</w:t>
            </w:r>
          </w:p>
        </w:tc>
        <w:tc>
          <w:tcPr>
            <w:tcW w:type="dxa" w:w="1754"/>
          </w:tcPr>
          <w:p>
            <w:r/>
            <w:r>
              <w:rPr>
                <w:rFonts w:ascii="Times New Roman" w:hAnsi="Times New Roman"/>
                <w:b w:val="0"/>
                <w:sz w:val="22"/>
              </w:rPr>
              <w:t>59</w:t>
            </w:r>
          </w:p>
        </w:tc>
        <w:tc>
          <w:tcPr>
            <w:tcW w:type="dxa" w:w="1754"/>
          </w:tcPr>
          <w:p>
            <w:r/>
            <w:r>
              <w:rPr>
                <w:rFonts w:ascii="Times New Roman" w:hAnsi="Times New Roman"/>
                <w:b w:val="0"/>
                <w:sz w:val="22"/>
              </w:rPr>
              <w:t>218</w:t>
            </w:r>
          </w:p>
        </w:tc>
      </w:tr>
      <w:tr>
        <w:tc>
          <w:tcPr>
            <w:tcW w:type="dxa" w:w="1754"/>
          </w:tcPr>
          <w:p>
            <w:r/>
            <w:r>
              <w:rPr>
                <w:rFonts w:ascii="Times New Roman" w:hAnsi="Times New Roman"/>
                <w:b w:val="0"/>
                <w:sz w:val="22"/>
              </w:rPr>
              <w:t>SAP Y</w:t>
            </w:r>
          </w:p>
        </w:tc>
        <w:tc>
          <w:tcPr>
            <w:tcW w:type="dxa" w:w="1754"/>
          </w:tcPr>
          <w:p>
            <w:r/>
            <w:r>
              <w:rPr>
                <w:rFonts w:ascii="Times New Roman" w:hAnsi="Times New Roman"/>
                <w:b w:val="0"/>
                <w:sz w:val="22"/>
              </w:rPr>
              <w:t>99</w:t>
            </w:r>
          </w:p>
        </w:tc>
        <w:tc>
          <w:tcPr>
            <w:tcW w:type="dxa" w:w="1754"/>
          </w:tcPr>
          <w:p>
            <w:r/>
            <w:r>
              <w:rPr>
                <w:rFonts w:ascii="Times New Roman" w:hAnsi="Times New Roman"/>
                <w:b/>
                <w:sz w:val="22"/>
              </w:rPr>
              <w:t>31</w:t>
            </w:r>
          </w:p>
        </w:tc>
        <w:tc>
          <w:tcPr>
            <w:tcW w:type="dxa" w:w="1754"/>
          </w:tcPr>
          <w:p>
            <w:r/>
            <w:r>
              <w:rPr>
                <w:rFonts w:ascii="Times New Roman" w:hAnsi="Times New Roman"/>
                <w:b w:val="0"/>
                <w:sz w:val="22"/>
              </w:rPr>
              <w:t>20</w:t>
            </w:r>
          </w:p>
        </w:tc>
        <w:tc>
          <w:tcPr>
            <w:tcW w:type="dxa" w:w="1754"/>
          </w:tcPr>
          <w:p>
            <w:r/>
            <w:r>
              <w:rPr>
                <w:rFonts w:ascii="Times New Roman" w:hAnsi="Times New Roman"/>
                <w:b w:val="0"/>
                <w:sz w:val="22"/>
              </w:rPr>
              <w:t>150</w:t>
            </w:r>
          </w:p>
        </w:tc>
      </w:tr>
      <w:tr>
        <w:tc>
          <w:tcPr>
            <w:tcW w:type="dxa" w:w="1754"/>
          </w:tcPr>
          <w:p>
            <w:r/>
            <w:r>
              <w:rPr>
                <w:rFonts w:ascii="Times New Roman" w:hAnsi="Times New Roman"/>
                <w:b w:val="0"/>
                <w:sz w:val="22"/>
              </w:rPr>
              <w:t>SAP Z</w:t>
            </w:r>
          </w:p>
        </w:tc>
        <w:tc>
          <w:tcPr>
            <w:tcW w:type="dxa" w:w="1754"/>
          </w:tcPr>
          <w:p>
            <w:r/>
            <w:r>
              <w:rPr>
                <w:rFonts w:ascii="Times New Roman" w:hAnsi="Times New Roman"/>
                <w:b w:val="0"/>
                <w:sz w:val="22"/>
              </w:rPr>
              <w:t>6</w:t>
            </w:r>
          </w:p>
        </w:tc>
        <w:tc>
          <w:tcPr>
            <w:tcW w:type="dxa" w:w="1754"/>
          </w:tcPr>
          <w:p>
            <w:r/>
            <w:r>
              <w:rPr>
                <w:rFonts w:ascii="Times New Roman" w:hAnsi="Times New Roman"/>
                <w:b w:val="0"/>
                <w:sz w:val="22"/>
              </w:rPr>
              <w:t>1</w:t>
            </w:r>
          </w:p>
        </w:tc>
        <w:tc>
          <w:tcPr>
            <w:tcW w:type="dxa" w:w="1754"/>
          </w:tcPr>
          <w:p>
            <w:r/>
            <w:r>
              <w:rPr>
                <w:rFonts w:ascii="Times New Roman" w:hAnsi="Times New Roman"/>
                <w:b/>
                <w:sz w:val="22"/>
              </w:rPr>
              <w:t>0</w:t>
            </w:r>
          </w:p>
        </w:tc>
        <w:tc>
          <w:tcPr>
            <w:tcW w:type="dxa" w:w="1754"/>
          </w:tcPr>
          <w:p>
            <w:r/>
            <w:r>
              <w:rPr>
                <w:rFonts w:ascii="Times New Roman" w:hAnsi="Times New Roman"/>
                <w:b w:val="0"/>
                <w:sz w:val="22"/>
              </w:rPr>
              <w:t>7</w:t>
            </w:r>
          </w:p>
        </w:tc>
      </w:tr>
      <w:tr>
        <w:tc>
          <w:tcPr>
            <w:tcW w:type="dxa" w:w="1754"/>
          </w:tcPr>
          <w:p>
            <w:r/>
            <w:r>
              <w:rPr>
                <w:rFonts w:ascii="Times New Roman" w:hAnsi="Times New Roman"/>
                <w:b/>
                <w:sz w:val="22"/>
              </w:rPr>
              <w:t>Totalt samsvar</w:t>
            </w:r>
          </w:p>
        </w:tc>
        <w:tc>
          <w:tcPr>
            <w:tcW w:type="dxa" w:w="1754"/>
          </w:tcPr>
          <w:p>
            <w:r/>
          </w:p>
        </w:tc>
        <w:tc>
          <w:tcPr>
            <w:tcW w:type="dxa" w:w="1754"/>
          </w:tcPr>
          <w:p>
            <w:r/>
          </w:p>
        </w:tc>
        <w:tc>
          <w:tcPr>
            <w:tcW w:type="dxa" w:w="1754"/>
          </w:tcPr>
          <w:p>
            <w:r/>
          </w:p>
        </w:tc>
        <w:tc>
          <w:tcPr>
            <w:tcW w:type="dxa" w:w="1754"/>
          </w:tcPr>
          <w:p>
            <w:r/>
            <w:r>
              <w:rPr>
                <w:rFonts w:ascii="Times New Roman" w:hAnsi="Times New Roman"/>
                <w:b/>
                <w:sz w:val="22"/>
              </w:rPr>
              <w:t>125 / 375 (33 %)</w:t>
            </w:r>
          </w:p>
        </w:tc>
      </w:tr>
    </w:tbl>
    <w:p>
      <w:pPr>
        <w:pStyle w:val="Overskrift2"/>
      </w:pPr>
      <w:r>
        <w:rPr>
          <w:rFonts w:ascii="Times New Roman" w:hAnsi="Times New Roman"/>
          <w:color w:val="000000"/>
          <w:sz w:val="32"/>
        </w:rPr>
        <w:t>7.3 EOQ-avviksresultater</w:t>
      </w:r>
    </w:p>
    <w:p>
      <w:r>
        <w:rPr>
          <w:rFonts w:ascii="Times New Roman" w:hAnsi="Times New Roman"/>
          <w:i/>
          <w:sz w:val="20"/>
        </w:rPr>
        <w:t xml:space="preserve">Tabell </w:t>
      </w:r>
      <w:r>
        <w:fldChar w:fldCharType="begin"/>
      </w:r>
      <w:r>
        <w:instrText xml:space="preserve"> SEQ Tabell \* ARABIC </w:instrText>
      </w:r>
      <w:r>
        <w:fldChar w:fldCharType="separate"/>
      </w:r>
      <w:r>
        <w:rPr>
          <w:rFonts w:ascii="Times New Roman" w:hAnsi="Times New Roman"/>
          <w:i/>
          <w:sz w:val="20"/>
        </w:rPr>
        <w:t>N</w:t>
      </w:r>
      <w:r>
        <w:fldChar w:fldCharType="end"/>
      </w:r>
      <w:r>
        <w:rPr>
          <w:rFonts w:ascii="Times New Roman" w:hAnsi="Times New Roman"/>
          <w:i/>
          <w:sz w:val="20"/>
        </w:rPr>
        <w:t>. EOQ-avviksresultater: fordeling av artikler etter ordrefrekvensavvik (n = 487).</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192"/>
        <w:gridCol w:w="2192"/>
        <w:gridCol w:w="2192"/>
        <w:gridCol w:w="2192"/>
      </w:tblGrid>
      <w:tr>
        <w:tc>
          <w:tcPr>
            <w:tcW w:type="dxa" w:w="2192"/>
            <w:tcBorders>
              <w:top w:val="single" w:sz="8" w:space="0" w:color="000000"/>
              <w:bottom w:val="single" w:sz="4" w:space="0" w:color="000000"/>
              <w:left w:val="nil"/>
              <w:right w:val="nil"/>
            </w:tcBorders>
          </w:tcPr>
          <w:p>
            <w:r/>
            <w:r>
              <w:rPr>
                <w:rFonts w:ascii="Times New Roman" w:hAnsi="Times New Roman"/>
                <w:b/>
                <w:sz w:val="22"/>
              </w:rPr>
              <w:t>EOQ-status</w:t>
            </w:r>
          </w:p>
        </w:tc>
        <w:tc>
          <w:tcPr>
            <w:tcW w:type="dxa" w:w="2192"/>
            <w:tcBorders>
              <w:top w:val="single" w:sz="8" w:space="0" w:color="000000"/>
              <w:bottom w:val="single" w:sz="4" w:space="0" w:color="000000"/>
              <w:left w:val="nil"/>
              <w:right w:val="nil"/>
            </w:tcBorders>
          </w:tcPr>
          <w:p>
            <w:r/>
            <w:r>
              <w:rPr>
                <w:rFonts w:ascii="Times New Roman" w:hAnsi="Times New Roman"/>
                <w:b/>
                <w:sz w:val="22"/>
              </w:rPr>
              <w:t>Betingelse</w:t>
            </w:r>
          </w:p>
        </w:tc>
        <w:tc>
          <w:tcPr>
            <w:tcW w:type="dxa" w:w="2192"/>
            <w:tcBorders>
              <w:top w:val="single" w:sz="8" w:space="0" w:color="000000"/>
              <w:bottom w:val="single" w:sz="4" w:space="0" w:color="000000"/>
              <w:left w:val="nil"/>
              <w:right w:val="nil"/>
            </w:tcBorders>
          </w:tcPr>
          <w:p>
            <w:r/>
            <w:r>
              <w:rPr>
                <w:rFonts w:ascii="Times New Roman" w:hAnsi="Times New Roman"/>
                <w:b/>
                <w:sz w:val="22"/>
              </w:rPr>
              <w:t>Antall</w:t>
            </w:r>
          </w:p>
        </w:tc>
        <w:tc>
          <w:tcPr>
            <w:tcW w:type="dxa" w:w="2192"/>
            <w:tcBorders>
              <w:top w:val="single" w:sz="8" w:space="0" w:color="000000"/>
              <w:bottom w:val="single" w:sz="4" w:space="0" w:color="000000"/>
              <w:left w:val="nil"/>
              <w:right w:val="nil"/>
            </w:tcBorders>
          </w:tcPr>
          <w:p>
            <w:r/>
            <w:r>
              <w:rPr>
                <w:rFonts w:ascii="Times New Roman" w:hAnsi="Times New Roman"/>
                <w:b/>
                <w:sz w:val="22"/>
              </w:rPr>
              <w:t>Andel</w:t>
            </w:r>
          </w:p>
        </w:tc>
      </w:tr>
      <w:tr>
        <w:tc>
          <w:tcPr>
            <w:tcW w:type="dxa" w:w="2192"/>
          </w:tcPr>
          <w:p>
            <w:r/>
            <w:r>
              <w:rPr>
                <w:rFonts w:ascii="Times New Roman" w:hAnsi="Times New Roman"/>
                <w:b w:val="0"/>
                <w:sz w:val="22"/>
              </w:rPr>
              <w:t>FOR_MANGE_ORDRER</w:t>
            </w:r>
          </w:p>
        </w:tc>
        <w:tc>
          <w:tcPr>
            <w:tcW w:type="dxa" w:w="2192"/>
          </w:tcPr>
          <w:p>
            <w:r/>
            <w:r>
              <w:rPr>
                <w:rFonts w:ascii="Times New Roman" w:hAnsi="Times New Roman"/>
                <w:b w:val="0"/>
                <w:sz w:val="22"/>
              </w:rPr>
              <w:t>FREQ_AVVIK &gt; 0,5</w:t>
            </w:r>
          </w:p>
        </w:tc>
        <w:tc>
          <w:tcPr>
            <w:tcW w:type="dxa" w:w="2192"/>
          </w:tcPr>
          <w:p>
            <w:r/>
            <w:r>
              <w:rPr>
                <w:rFonts w:ascii="Times New Roman" w:hAnsi="Times New Roman"/>
                <w:b w:val="0"/>
                <w:sz w:val="22"/>
              </w:rPr>
              <w:t>356</w:t>
            </w:r>
          </w:p>
        </w:tc>
        <w:tc>
          <w:tcPr>
            <w:tcW w:type="dxa" w:w="2192"/>
          </w:tcPr>
          <w:p>
            <w:r/>
            <w:r>
              <w:rPr>
                <w:rFonts w:ascii="Times New Roman" w:hAnsi="Times New Roman"/>
                <w:b w:val="0"/>
                <w:sz w:val="22"/>
              </w:rPr>
              <w:t>73,1 %</w:t>
            </w:r>
          </w:p>
        </w:tc>
      </w:tr>
      <w:tr>
        <w:tc>
          <w:tcPr>
            <w:tcW w:type="dxa" w:w="2192"/>
          </w:tcPr>
          <w:p>
            <w:r/>
            <w:r>
              <w:rPr>
                <w:rFonts w:ascii="Times New Roman" w:hAnsi="Times New Roman"/>
                <w:b w:val="0"/>
                <w:sz w:val="22"/>
              </w:rPr>
              <w:t>OK</w:t>
            </w:r>
          </w:p>
        </w:tc>
        <w:tc>
          <w:tcPr>
            <w:tcW w:type="dxa" w:w="2192"/>
          </w:tcPr>
          <w:p>
            <w:r/>
            <w:r>
              <w:rPr>
                <w:rFonts w:ascii="Times New Roman" w:hAnsi="Times New Roman"/>
                <w:b w:val="0"/>
                <w:sz w:val="22"/>
              </w:rPr>
              <w:t>−0,5 ≤ FREQ_AVVIK ≤ 0,5</w:t>
            </w:r>
          </w:p>
        </w:tc>
        <w:tc>
          <w:tcPr>
            <w:tcW w:type="dxa" w:w="2192"/>
          </w:tcPr>
          <w:p>
            <w:r/>
            <w:r>
              <w:rPr>
                <w:rFonts w:ascii="Times New Roman" w:hAnsi="Times New Roman"/>
                <w:b w:val="0"/>
                <w:sz w:val="22"/>
              </w:rPr>
              <w:t>100</w:t>
            </w:r>
          </w:p>
        </w:tc>
        <w:tc>
          <w:tcPr>
            <w:tcW w:type="dxa" w:w="2192"/>
          </w:tcPr>
          <w:p>
            <w:r/>
            <w:r>
              <w:rPr>
                <w:rFonts w:ascii="Times New Roman" w:hAnsi="Times New Roman"/>
                <w:b w:val="0"/>
                <w:sz w:val="22"/>
              </w:rPr>
              <w:t>20,5 %</w:t>
            </w:r>
          </w:p>
        </w:tc>
      </w:tr>
      <w:tr>
        <w:tc>
          <w:tcPr>
            <w:tcW w:type="dxa" w:w="2192"/>
          </w:tcPr>
          <w:p>
            <w:r/>
            <w:r>
              <w:rPr>
                <w:rFonts w:ascii="Times New Roman" w:hAnsi="Times New Roman"/>
                <w:b w:val="0"/>
                <w:sz w:val="22"/>
              </w:rPr>
              <w:t>FOR_FÅ_ORDRER</w:t>
            </w:r>
          </w:p>
        </w:tc>
        <w:tc>
          <w:tcPr>
            <w:tcW w:type="dxa" w:w="2192"/>
          </w:tcPr>
          <w:p>
            <w:r/>
            <w:r>
              <w:rPr>
                <w:rFonts w:ascii="Times New Roman" w:hAnsi="Times New Roman"/>
                <w:b w:val="0"/>
                <w:sz w:val="22"/>
              </w:rPr>
              <w:t>FREQ_AVVIK &lt; −0,5</w:t>
            </w:r>
          </w:p>
        </w:tc>
        <w:tc>
          <w:tcPr>
            <w:tcW w:type="dxa" w:w="2192"/>
          </w:tcPr>
          <w:p>
            <w:r/>
            <w:r>
              <w:rPr>
                <w:rFonts w:ascii="Times New Roman" w:hAnsi="Times New Roman"/>
                <w:b w:val="0"/>
                <w:sz w:val="22"/>
              </w:rPr>
              <w:t>31</w:t>
            </w:r>
          </w:p>
        </w:tc>
        <w:tc>
          <w:tcPr>
            <w:tcW w:type="dxa" w:w="2192"/>
          </w:tcPr>
          <w:p>
            <w:r/>
            <w:r>
              <w:rPr>
                <w:rFonts w:ascii="Times New Roman" w:hAnsi="Times New Roman"/>
                <w:b w:val="0"/>
                <w:sz w:val="22"/>
              </w:rPr>
              <w:t>6,4 %</w:t>
            </w:r>
          </w:p>
        </w:tc>
      </w:tr>
      <w:tr>
        <w:tc>
          <w:tcPr>
            <w:tcW w:type="dxa" w:w="2192"/>
          </w:tcPr>
          <w:p>
            <w:r/>
            <w:r>
              <w:rPr>
                <w:rFonts w:ascii="Times New Roman" w:hAnsi="Times New Roman"/>
                <w:b/>
                <w:sz w:val="22"/>
              </w:rPr>
              <w:t>Totalt analysert</w:t>
            </w:r>
          </w:p>
        </w:tc>
        <w:tc>
          <w:tcPr>
            <w:tcW w:type="dxa" w:w="2192"/>
          </w:tcPr>
          <w:p>
            <w:r/>
          </w:p>
        </w:tc>
        <w:tc>
          <w:tcPr>
            <w:tcW w:type="dxa" w:w="2192"/>
          </w:tcPr>
          <w:p>
            <w:r/>
            <w:r>
              <w:rPr>
                <w:rFonts w:ascii="Times New Roman" w:hAnsi="Times New Roman"/>
                <w:b/>
                <w:sz w:val="22"/>
              </w:rPr>
              <w:t>487</w:t>
            </w:r>
          </w:p>
        </w:tc>
        <w:tc>
          <w:tcPr>
            <w:tcW w:type="dxa" w:w="2192"/>
          </w:tcPr>
          <w:p>
            <w:r/>
            <w:r>
              <w:rPr>
                <w:rFonts w:ascii="Times New Roman" w:hAnsi="Times New Roman"/>
                <w:b/>
                <w:sz w:val="22"/>
              </w:rPr>
              <w:t>100 %</w:t>
            </w:r>
          </w:p>
        </w:tc>
      </w:tr>
      <w:tr>
        <w:tc>
          <w:tcPr>
            <w:tcW w:type="dxa" w:w="2192"/>
          </w:tcPr>
          <w:p>
            <w:r/>
            <w:r>
              <w:rPr>
                <w:rFonts w:ascii="Times New Roman" w:hAnsi="Times New Roman"/>
                <w:b w:val="0"/>
                <w:sz w:val="22"/>
              </w:rPr>
              <w:t>Samlet ΔTC (alle 487)</w:t>
            </w:r>
          </w:p>
        </w:tc>
        <w:tc>
          <w:tcPr>
            <w:tcW w:type="dxa" w:w="2192"/>
          </w:tcPr>
          <w:p>
            <w:r/>
          </w:p>
        </w:tc>
        <w:tc>
          <w:tcPr>
            <w:tcW w:type="dxa" w:w="2192"/>
          </w:tcPr>
          <w:p>
            <w:r/>
            <w:r>
              <w:rPr>
                <w:rFonts w:ascii="Times New Roman" w:hAnsi="Times New Roman"/>
                <w:b/>
                <w:sz w:val="22"/>
              </w:rPr>
              <w:t>kr 2 333 441 / år</w:t>
            </w:r>
          </w:p>
        </w:tc>
        <w:tc>
          <w:tcPr>
            <w:tcW w:type="dxa" w:w="2192"/>
          </w:tcPr>
          <w:p>
            <w:r/>
          </w:p>
        </w:tc>
      </w:tr>
    </w:tbl>
    <w:p>
      <w:pPr>
        <w:spacing w:line="360" w:lineRule="auto"/>
        <w:jc w:val="both"/>
      </w:pPr>
      <w:r>
        <w:rPr>
          <w:rFonts w:ascii="Times New Roman" w:hAnsi="Times New Roman" w:cs="Times New Roman"/>
          <w:sz w:val="24"/>
        </w:rPr>
        <w:t>Av de 487 artiklene med tilstrekkelig data for EOQ-beregning har 356 artikler (73,1 %) en faktisk ordrefrekvens som overskrider EOQ-optimal frekvens med mer enn 50 % (</w:t>
      </w:r>
      <m:oMath>
        <m:sSub>
          <m:e>
            <m:r>
              <m:t>f</m:t>
            </m:r>
          </m:e>
          <m:sub>
            <m:r>
              <m:rPr>
                <m:nor/>
              </m:rPr>
              <m:t>obs</m:t>
            </m:r>
          </m:sub>
        </m:sSub>
        <m:r>
          <m:t>&gt;1</m:t>
        </m:r>
        <m:r>
          <m:t>,</m:t>
        </m:r>
        <m:r>
          <m:t>5·</m:t>
        </m:r>
        <m:sSup>
          <m:e>
            <m:r>
              <m:t>f</m:t>
            </m:r>
          </m:e>
          <m:sup>
            <m:r>
              <m:t>*</m:t>
            </m:r>
          </m:sup>
        </m:sSup>
      </m:oMath>
      <w:r>
        <w:rPr>
          <w:rFonts w:ascii="Times New Roman" w:hAnsi="Times New Roman" w:cs="Times New Roman"/>
          <w:sz w:val="24"/>
        </w:rPr>
        <w:t xml:space="preserve">), og er klassifisert som FOR\_MANGE\_ORDRER. 100 artikler (20,5 %) opererer innenfor akseptabelt avvik (OK), og 31 artikler (6,4 %) bestiller sjeldnere enn EOQ-optimalt (FOR\_FÅ\_ORDRER). Den høye andelen FOR\_MANGE\_ORDRER indikerer at bestillingspraksisen ved LGORT 3001 avviker vesentlig fra EOQ-optimalt nivå – artiklene bestilles i for små kvanta og for ofte i forhold til hva Wilson-modellen tilsier med de gitte parameterne </w:t>
      </w:r>
      <m:oMath>
        <m:r>
          <m:t>S=750</m:t>
        </m:r>
      </m:oMath>
      <w:r>
        <w:rPr>
          <w:rFonts w:ascii="Times New Roman" w:hAnsi="Times New Roman" w:cs="Times New Roman"/>
          <w:sz w:val="24"/>
        </w:rPr>
        <w:t xml:space="preserve">NOK og </w:t>
      </w:r>
      <m:oMath>
        <m:r>
          <m:t>h=20</m:t>
        </m:r>
      </m:oMath>
      <w:r>
        <w:rPr>
          <w:rFonts w:ascii="Times New Roman" w:hAnsi="Times New Roman" w:cs="Times New Roman"/>
          <w:sz w:val="24"/>
        </w:rPr>
        <w:t>.</w:t>
      </w:r>
    </w:p>
    <w:p>
      <w:pPr>
        <w:spacing w:line="360" w:lineRule="auto"/>
        <w:jc w:val="both"/>
      </w:pPr>
      <w:r>
        <w:rPr>
          <w:rFonts w:ascii="Times New Roman" w:hAnsi="Times New Roman" w:cs="Times New Roman"/>
          <w:sz w:val="24"/>
        </w:rPr>
        <w:t xml:space="preserve">Det samlede teoretiske totalkostnadsavviket </w:t>
      </w:r>
      <m:oMath>
        <m:r>
          <m:t>∑ΔT</m:t>
        </m:r>
        <m:sSub>
          <m:e>
            <m:r>
              <m:t>C</m:t>
            </m:r>
          </m:e>
          <m:sub>
            <m:r>
              <m:t>i</m:t>
            </m:r>
          </m:sub>
        </m:sSub>
      </m:oMath>
      <w:r>
        <w:rPr>
          <w:rFonts w:ascii="Times New Roman" w:hAnsi="Times New Roman" w:cs="Times New Roman"/>
          <w:sz w:val="24"/>
        </w:rPr>
        <w:t xml:space="preserve"> for alle 487 artikler er kr 2 333 441 per år. Dette representerer det totale kostnadsoverskuddet som genereres av at faktisk ordrepraksis avviker fra EOQ-optimal; det er ikke direkte det samme som det realiserbare besparelsespotensialet, da kun artikler i OVERFØR\_HVFS-kategorien inngår i besparelsesberegningen (se avsnitt 7.6). Fordelingen av FREQ\_AVVIK er illustrert i Figur 8 i kapittel 6.</w:t>
      </w:r>
    </w:p>
    <w:p>
      <w:pPr>
        <w:pStyle w:val="Overskrift2"/>
      </w:pPr>
      <w:r>
        <w:rPr>
          <w:rFonts w:ascii="Times New Roman" w:hAnsi="Times New Roman"/>
          <w:color w:val="000000"/>
          <w:sz w:val="32"/>
        </w:rPr>
        <w:t>7.4 K-means klyngeresultater</w:t>
      </w:r>
    </w:p>
    <w:p>
      <w:pPr>
        <w:spacing w:line="360" w:lineRule="auto"/>
        <w:jc w:val="both"/>
      </w:pPr>
      <w:r>
        <w:rPr>
          <w:rFonts w:ascii="Times New Roman" w:hAnsi="Times New Roman" w:cs="Times New Roman"/>
          <w:sz w:val="24"/>
        </w:rPr>
        <w:t xml:space="preserve">K-means-analysen med automatisk K-valg via silhouette-score identifiserte </w:t>
      </w:r>
      <m:oMath>
        <m:r>
          <m:t>K=3</m:t>
        </m:r>
      </m:oMath>
      <w:r>
        <w:rPr>
          <w:rFonts w:ascii="Times New Roman" w:hAnsi="Times New Roman" w:cs="Times New Roman"/>
          <w:sz w:val="24"/>
        </w:rPr>
        <w:t xml:space="preserve"> som optimalt antall klynger. Silhouette-score på treningsdataene (</w:t>
      </w:r>
      <m:oMath>
        <m:r>
          <m:t>n=389</m:t>
        </m:r>
      </m:oMath>
      <w:r>
        <w:rPr>
          <w:rFonts w:ascii="Times New Roman" w:hAnsi="Times New Roman" w:cs="Times New Roman"/>
          <w:sz w:val="24"/>
        </w:rPr>
        <w:t>) var 0,383, og på testdataene (</w:t>
      </w:r>
      <m:oMath>
        <m:r>
          <m:t>n=98</m:t>
        </m:r>
      </m:oMath>
      <w:r>
        <w:rPr>
          <w:rFonts w:ascii="Times New Roman" w:hAnsi="Times New Roman" w:cs="Times New Roman"/>
          <w:sz w:val="24"/>
        </w:rPr>
        <w:t>) var 0,368. Differansen mellom trenings- og testresultat er 0,015, noe som ikke indikerer vesentlig overfit. Klyngeprofiler er presentert i Tabell 12.</w:t>
      </w:r>
    </w:p>
    <w:p>
      <w:r>
        <w:rPr>
          <w:rFonts w:ascii="Times New Roman" w:hAnsi="Times New Roman"/>
          <w:i/>
          <w:sz w:val="20"/>
        </w:rPr>
        <w:t xml:space="preserve">Tabell </w:t>
      </w:r>
      <w:r>
        <w:fldChar w:fldCharType="begin"/>
      </w:r>
      <w:r>
        <w:instrText xml:space="preserve"> SEQ Tabell \* ARABIC </w:instrText>
      </w:r>
      <w:r>
        <w:fldChar w:fldCharType="separate"/>
      </w:r>
      <w:r>
        <w:rPr>
          <w:rFonts w:ascii="Times New Roman" w:hAnsi="Times New Roman"/>
          <w:i/>
          <w:sz w:val="20"/>
        </w:rPr>
        <w:t>N</w:t>
      </w:r>
      <w:r>
        <w:fldChar w:fldCharType="end"/>
      </w:r>
      <w:r>
        <w:rPr>
          <w:rFonts w:ascii="Times New Roman" w:hAnsi="Times New Roman"/>
          <w:i/>
          <w:sz w:val="20"/>
        </w:rPr>
        <w:t>. K-means klyngeprofiler: gjennomsnittsverdier per klynge for de tre featurene (K = 3, n = 487).</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1461"/>
        <w:gridCol w:w="1461"/>
        <w:gridCol w:w="1461"/>
        <w:gridCol w:w="1461"/>
        <w:gridCol w:w="1461"/>
        <w:gridCol w:w="1461"/>
      </w:tblGrid>
      <w:tr>
        <w:tc>
          <w:tcPr>
            <w:tcW w:type="dxa" w:w="1461"/>
            <w:tcBorders>
              <w:top w:val="single" w:sz="8" w:space="0" w:color="000000"/>
              <w:bottom w:val="single" w:sz="4" w:space="0" w:color="000000"/>
              <w:left w:val="nil"/>
              <w:right w:val="nil"/>
            </w:tcBorders>
          </w:tcPr>
          <w:p>
            <w:r/>
            <w:r>
              <w:rPr>
                <w:rFonts w:ascii="Times New Roman" w:hAnsi="Times New Roman"/>
                <w:b/>
                <w:sz w:val="22"/>
              </w:rPr>
              <w:t>Klynge</w:t>
            </w:r>
          </w:p>
        </w:tc>
        <w:tc>
          <w:tcPr>
            <w:tcW w:type="dxa" w:w="1461"/>
            <w:tcBorders>
              <w:top w:val="single" w:sz="8" w:space="0" w:color="000000"/>
              <w:bottom w:val="single" w:sz="4" w:space="0" w:color="000000"/>
              <w:left w:val="nil"/>
              <w:right w:val="nil"/>
            </w:tcBorders>
          </w:tcPr>
          <w:p>
            <w:r/>
            <w:r>
              <w:rPr>
                <w:rFonts w:ascii="Times New Roman" w:hAnsi="Times New Roman"/>
                <w:b/>
                <w:sz w:val="22"/>
              </w:rPr>
              <w:t>Antall</w:t>
            </w:r>
          </w:p>
        </w:tc>
        <w:tc>
          <w:tcPr>
            <w:tcW w:type="dxa" w:w="1461"/>
            <w:tcBorders>
              <w:top w:val="single" w:sz="8" w:space="0" w:color="000000"/>
              <w:bottom w:val="single" w:sz="4" w:space="0" w:color="000000"/>
              <w:left w:val="nil"/>
              <w:right w:val="nil"/>
            </w:tcBorders>
          </w:tcPr>
          <w:p>
            <w:r/>
            <w:r>
              <w:rPr>
                <w:rFonts w:ascii="Times New Roman" w:hAnsi="Times New Roman"/>
                <w:b/>
                <w:sz w:val="22"/>
              </w:rPr>
              <w:t>CV snitt</w:t>
            </w:r>
          </w:p>
        </w:tc>
        <w:tc>
          <w:tcPr>
            <w:tcW w:type="dxa" w:w="1461"/>
            <w:tcBorders>
              <w:top w:val="single" w:sz="8" w:space="0" w:color="000000"/>
              <w:bottom w:val="single" w:sz="4" w:space="0" w:color="000000"/>
              <w:left w:val="nil"/>
              <w:right w:val="nil"/>
            </w:tcBorders>
          </w:tcPr>
          <w:p>
            <w:r/>
            <w:r>
              <w:rPr>
                <w:rFonts w:ascii="Times New Roman" w:hAnsi="Times New Roman"/>
                <w:b/>
                <w:sz w:val="22"/>
              </w:rPr>
              <w:t>Verdi snitt (kr)</w:t>
            </w:r>
          </w:p>
        </w:tc>
        <w:tc>
          <w:tcPr>
            <w:tcW w:type="dxa" w:w="1461"/>
            <w:tcBorders>
              <w:top w:val="single" w:sz="8" w:space="0" w:color="000000"/>
              <w:bottom w:val="single" w:sz="4" w:space="0" w:color="000000"/>
              <w:left w:val="nil"/>
              <w:right w:val="nil"/>
            </w:tcBorders>
          </w:tcPr>
          <w:p>
            <w:r/>
            <w:r>
              <w:rPr>
                <w:rFonts w:ascii="Times New Roman" w:hAnsi="Times New Roman"/>
                <w:b/>
                <w:sz w:val="22"/>
              </w:rPr>
              <w:t>ΔTC snitt (kr)</w:t>
            </w:r>
          </w:p>
        </w:tc>
        <w:tc>
          <w:tcPr>
            <w:tcW w:type="dxa" w:w="1461"/>
            <w:tcBorders>
              <w:top w:val="single" w:sz="8" w:space="0" w:color="000000"/>
              <w:bottom w:val="single" w:sz="4" w:space="0" w:color="000000"/>
              <w:left w:val="nil"/>
              <w:right w:val="nil"/>
            </w:tcBorders>
          </w:tcPr>
          <w:p>
            <w:r/>
            <w:r>
              <w:rPr>
                <w:rFonts w:ascii="Times New Roman" w:hAnsi="Times New Roman"/>
                <w:b/>
                <w:sz w:val="22"/>
              </w:rPr>
              <w:t>Profil</w:t>
            </w:r>
          </w:p>
        </w:tc>
      </w:tr>
      <w:tr>
        <w:tc>
          <w:tcPr>
            <w:tcW w:type="dxa" w:w="1461"/>
          </w:tcPr>
          <w:p>
            <w:r/>
            <w:r>
              <w:rPr>
                <w:rFonts w:ascii="Times New Roman" w:hAnsi="Times New Roman"/>
                <w:b w:val="0"/>
                <w:sz w:val="22"/>
              </w:rPr>
              <w:t>1</w:t>
            </w:r>
          </w:p>
        </w:tc>
        <w:tc>
          <w:tcPr>
            <w:tcW w:type="dxa" w:w="1461"/>
          </w:tcPr>
          <w:p>
            <w:r/>
            <w:r>
              <w:rPr>
                <w:rFonts w:ascii="Times New Roman" w:hAnsi="Times New Roman"/>
                <w:b w:val="0"/>
                <w:sz w:val="22"/>
              </w:rPr>
              <w:t>31</w:t>
            </w:r>
          </w:p>
        </w:tc>
        <w:tc>
          <w:tcPr>
            <w:tcW w:type="dxa" w:w="1461"/>
          </w:tcPr>
          <w:p>
            <w:r/>
            <w:r>
              <w:rPr>
                <w:rFonts w:ascii="Times New Roman" w:hAnsi="Times New Roman"/>
                <w:b w:val="0"/>
                <w:sz w:val="22"/>
              </w:rPr>
              <w:t>1,05</w:t>
            </w:r>
          </w:p>
        </w:tc>
        <w:tc>
          <w:tcPr>
            <w:tcW w:type="dxa" w:w="1461"/>
          </w:tcPr>
          <w:p>
            <w:r/>
            <w:r>
              <w:rPr>
                <w:rFonts w:ascii="Times New Roman" w:hAnsi="Times New Roman"/>
                <w:b w:val="0"/>
                <w:sz w:val="22"/>
              </w:rPr>
              <w:t>150</w:t>
            </w:r>
          </w:p>
        </w:tc>
        <w:tc>
          <w:tcPr>
            <w:tcW w:type="dxa" w:w="1461"/>
          </w:tcPr>
          <w:p>
            <w:r/>
            <w:r>
              <w:rPr>
                <w:rFonts w:ascii="Times New Roman" w:hAnsi="Times New Roman"/>
                <w:b w:val="0"/>
                <w:sz w:val="22"/>
              </w:rPr>
              <w:t>4 999</w:t>
            </w:r>
          </w:p>
        </w:tc>
        <w:tc>
          <w:tcPr>
            <w:tcW w:type="dxa" w:w="1461"/>
          </w:tcPr>
          <w:p>
            <w:r/>
            <w:r>
              <w:rPr>
                <w:rFonts w:ascii="Times New Roman" w:hAnsi="Times New Roman"/>
                <w:b w:val="0"/>
                <w:sz w:val="22"/>
              </w:rPr>
              <w:t>Lav verdi, høy variasjon</w:t>
            </w:r>
          </w:p>
        </w:tc>
      </w:tr>
      <w:tr>
        <w:tc>
          <w:tcPr>
            <w:tcW w:type="dxa" w:w="1461"/>
          </w:tcPr>
          <w:p>
            <w:r/>
            <w:r>
              <w:rPr>
                <w:rFonts w:ascii="Times New Roman" w:hAnsi="Times New Roman"/>
                <w:b w:val="0"/>
                <w:sz w:val="22"/>
              </w:rPr>
              <w:t>2</w:t>
            </w:r>
          </w:p>
        </w:tc>
        <w:tc>
          <w:tcPr>
            <w:tcW w:type="dxa" w:w="1461"/>
          </w:tcPr>
          <w:p>
            <w:r/>
            <w:r>
              <w:rPr>
                <w:rFonts w:ascii="Times New Roman" w:hAnsi="Times New Roman"/>
                <w:b w:val="0"/>
                <w:sz w:val="22"/>
              </w:rPr>
              <w:t>175</w:t>
            </w:r>
          </w:p>
        </w:tc>
        <w:tc>
          <w:tcPr>
            <w:tcW w:type="dxa" w:w="1461"/>
          </w:tcPr>
          <w:p>
            <w:r/>
            <w:r>
              <w:rPr>
                <w:rFonts w:ascii="Times New Roman" w:hAnsi="Times New Roman"/>
                <w:b w:val="0"/>
                <w:sz w:val="22"/>
              </w:rPr>
              <w:t>1,59</w:t>
            </w:r>
          </w:p>
        </w:tc>
        <w:tc>
          <w:tcPr>
            <w:tcW w:type="dxa" w:w="1461"/>
          </w:tcPr>
          <w:p>
            <w:r/>
            <w:r>
              <w:rPr>
                <w:rFonts w:ascii="Times New Roman" w:hAnsi="Times New Roman"/>
                <w:b w:val="0"/>
                <w:sz w:val="22"/>
              </w:rPr>
              <w:t>79 658</w:t>
            </w:r>
          </w:p>
        </w:tc>
        <w:tc>
          <w:tcPr>
            <w:tcW w:type="dxa" w:w="1461"/>
          </w:tcPr>
          <w:p>
            <w:r/>
            <w:r>
              <w:rPr>
                <w:rFonts w:ascii="Times New Roman" w:hAnsi="Times New Roman"/>
                <w:b w:val="0"/>
                <w:sz w:val="22"/>
              </w:rPr>
              <w:t>1 199</w:t>
            </w:r>
          </w:p>
        </w:tc>
        <w:tc>
          <w:tcPr>
            <w:tcW w:type="dxa" w:w="1461"/>
          </w:tcPr>
          <w:p>
            <w:r/>
            <w:r>
              <w:rPr>
                <w:rFonts w:ascii="Times New Roman" w:hAnsi="Times New Roman"/>
                <w:b w:val="0"/>
                <w:sz w:val="22"/>
              </w:rPr>
              <w:t>Middels verdi, svært variabelt</w:t>
            </w:r>
          </w:p>
        </w:tc>
      </w:tr>
      <w:tr>
        <w:tc>
          <w:tcPr>
            <w:tcW w:type="dxa" w:w="1461"/>
          </w:tcPr>
          <w:p>
            <w:r/>
            <w:r>
              <w:rPr>
                <w:rFonts w:ascii="Times New Roman" w:hAnsi="Times New Roman"/>
                <w:b w:val="0"/>
                <w:sz w:val="22"/>
              </w:rPr>
              <w:t>3 (K_OVERFØR)</w:t>
            </w:r>
          </w:p>
        </w:tc>
        <w:tc>
          <w:tcPr>
            <w:tcW w:type="dxa" w:w="1461"/>
          </w:tcPr>
          <w:p>
            <w:r/>
            <w:r>
              <w:rPr>
                <w:rFonts w:ascii="Times New Roman" w:hAnsi="Times New Roman"/>
                <w:b w:val="0"/>
                <w:sz w:val="22"/>
              </w:rPr>
              <w:t>281</w:t>
            </w:r>
          </w:p>
        </w:tc>
        <w:tc>
          <w:tcPr>
            <w:tcW w:type="dxa" w:w="1461"/>
          </w:tcPr>
          <w:p>
            <w:r/>
            <w:r>
              <w:rPr>
                <w:rFonts w:ascii="Times New Roman" w:hAnsi="Times New Roman"/>
                <w:b w:val="0"/>
                <w:sz w:val="22"/>
              </w:rPr>
              <w:t>0,47</w:t>
            </w:r>
          </w:p>
        </w:tc>
        <w:tc>
          <w:tcPr>
            <w:tcW w:type="dxa" w:w="1461"/>
          </w:tcPr>
          <w:p>
            <w:r/>
            <w:r>
              <w:rPr>
                <w:rFonts w:ascii="Times New Roman" w:hAnsi="Times New Roman"/>
                <w:b w:val="0"/>
                <w:sz w:val="22"/>
              </w:rPr>
              <w:t>167 267</w:t>
            </w:r>
          </w:p>
        </w:tc>
        <w:tc>
          <w:tcPr>
            <w:tcW w:type="dxa" w:w="1461"/>
          </w:tcPr>
          <w:p>
            <w:r/>
            <w:r>
              <w:rPr>
                <w:rFonts w:ascii="Times New Roman" w:hAnsi="Times New Roman"/>
                <w:b w:val="0"/>
                <w:sz w:val="22"/>
              </w:rPr>
              <w:t>7 005</w:t>
            </w:r>
          </w:p>
        </w:tc>
        <w:tc>
          <w:tcPr>
            <w:tcW w:type="dxa" w:w="1461"/>
          </w:tcPr>
          <w:p>
            <w:r/>
            <w:r>
              <w:rPr>
                <w:rFonts w:ascii="Times New Roman" w:hAnsi="Times New Roman"/>
                <w:b w:val="0"/>
                <w:sz w:val="22"/>
              </w:rPr>
              <w:t>Høy verdi, stabilt, høyt avvik</w:t>
            </w:r>
          </w:p>
        </w:tc>
      </w:tr>
    </w:tbl>
    <w:p>
      <w:pPr>
        <w:spacing w:line="360" w:lineRule="auto"/>
        <w:jc w:val="both"/>
      </w:pPr>
      <w:r>
        <w:rPr>
          <w:rFonts w:ascii="Times New Roman" w:hAnsi="Times New Roman" w:cs="Times New Roman"/>
          <w:sz w:val="24"/>
        </w:rPr>
        <w:t>Klynge 1 (31 artikler) representerer en liten gruppe med gjennomsnittlig CV = 1,05 (Z-nivå), lav årsverdi (kr 150) og moderat kostnadsavvik (kr 4 999). Disse artiklene har uregelmessig forbruk og lav verdi – en profil som tilsier lokal lagring. Klynge 2 (175 artikler) har gjennomsnittlig CV = 1,59 (svært variabelt), middels årsverdi (kr 79 658) og lavt kostnadsavvik (kr 1 199). Den høye CV-en gjør disse artiklene uegnet for sentralisering trass i middels verdi.</w:t>
      </w:r>
    </w:p>
    <w:p>
      <w:pPr>
        <w:spacing w:line="360" w:lineRule="auto"/>
        <w:jc w:val="both"/>
      </w:pPr>
      <w:r>
        <w:rPr>
          <w:rFonts w:ascii="Times New Roman" w:hAnsi="Times New Roman" w:cs="Times New Roman"/>
          <w:sz w:val="24"/>
        </w:rPr>
        <w:t xml:space="preserve">K\_OVERFØR-klyngen (klynge 3, 281 artikler) kjennetegnes av gjennomsnittlig CV = 0,47 (under X-grensen på 0,5), gjennomsnittlig årsverdi kr 167 267 og gjennomsnittlig </w:t>
      </w:r>
      <m:oMath>
        <m:d>
          <m:dPr>
            <m:begChr m:val="|"/>
            <m:sepChr m:val=""/>
            <m:endChr m:val="|"/>
          </m:dPr>
          <m:e>
            <m:r>
              <m:t>Δ</m:t>
            </m:r>
            <m:r>
              <m:t>T</m:t>
            </m:r>
            <m:r>
              <m:t>C</m:t>
            </m:r>
          </m:e>
        </m:d>
      </m:oMath>
      <w:r>
        <w:rPr>
          <w:rFonts w:ascii="Times New Roman" w:hAnsi="Times New Roman" w:cs="Times New Roman"/>
          <w:sz w:val="24"/>
        </w:rPr>
        <w:t xml:space="preserve"> kr 7 005 – den høyeste av alle tre klynger. Profilen viser at denne klyngen samler artikler som er verdifulle, stabile og overbestilte, noe som gjør dem til naturlige kandidater for sentralisering. K\_OVERFØR-flagget settes automatisk basert på rangering av klyngenes gjennomsnittlige CV (stigende) og verdi (synkende). Klyngeprofilen i featurerommet er visualisert i Figur 10 i kapittel 6.</w:t>
      </w:r>
    </w:p>
    <w:p>
      <w:pPr>
        <w:pStyle w:val="Overskrift2"/>
      </w:pPr>
      <w:r>
        <w:rPr>
          <w:rFonts w:ascii="Times New Roman" w:hAnsi="Times New Roman"/>
          <w:color w:val="000000"/>
          <w:sz w:val="32"/>
        </w:rPr>
        <w:t>7.5 Regelmotor og HVFS-anbefalinger</w:t>
      </w:r>
    </w:p>
    <w:p>
      <w:pPr>
        <w:spacing w:line="360" w:lineRule="auto"/>
        <w:jc w:val="both"/>
      </w:pPr>
      <w:r>
        <w:rPr>
          <w:rFonts w:ascii="Times New Roman" w:hAnsi="Times New Roman" w:cs="Times New Roman"/>
          <w:sz w:val="24"/>
        </w:rPr>
        <w:t>Regelmotoren produserte en anbefaling for samtlige 709 artikler. Fordelingen er presentert i Tabell 13.</w:t>
      </w:r>
    </w:p>
    <w:p>
      <w:r>
        <w:rPr>
          <w:rFonts w:ascii="Times New Roman" w:hAnsi="Times New Roman"/>
          <w:i/>
          <w:sz w:val="20"/>
        </w:rPr>
        <w:t xml:space="preserve">Tabell </w:t>
      </w:r>
      <w:r>
        <w:fldChar w:fldCharType="begin"/>
      </w:r>
      <w:r>
        <w:instrText xml:space="preserve"> SEQ Tabell \* ARABIC </w:instrText>
      </w:r>
      <w:r>
        <w:fldChar w:fldCharType="separate"/>
      </w:r>
      <w:r>
        <w:rPr>
          <w:rFonts w:ascii="Times New Roman" w:hAnsi="Times New Roman"/>
          <w:i/>
          <w:sz w:val="20"/>
        </w:rPr>
        <w:t>N</w:t>
      </w:r>
      <w:r>
        <w:fldChar w:fldCharType="end"/>
      </w:r>
      <w:r>
        <w:rPr>
          <w:rFonts w:ascii="Times New Roman" w:hAnsi="Times New Roman"/>
          <w:i/>
          <w:sz w:val="20"/>
        </w:rPr>
        <w:t>. HVFS-anbefalinger fra regelmotor: fordeling per kategori (n = 709, LGORT 3001).</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192"/>
        <w:gridCol w:w="2192"/>
        <w:gridCol w:w="2192"/>
        <w:gridCol w:w="2192"/>
      </w:tblGrid>
      <w:tr>
        <w:tc>
          <w:tcPr>
            <w:tcW w:type="dxa" w:w="2192"/>
            <w:tcBorders>
              <w:top w:val="single" w:sz="8" w:space="0" w:color="000000"/>
              <w:bottom w:val="single" w:sz="4" w:space="0" w:color="000000"/>
              <w:left w:val="nil"/>
              <w:right w:val="nil"/>
            </w:tcBorders>
          </w:tcPr>
          <w:p>
            <w:r/>
            <w:r>
              <w:rPr>
                <w:rFonts w:ascii="Times New Roman" w:hAnsi="Times New Roman"/>
                <w:b/>
                <w:sz w:val="22"/>
              </w:rPr>
              <w:t>Kategori</w:t>
            </w:r>
          </w:p>
        </w:tc>
        <w:tc>
          <w:tcPr>
            <w:tcW w:type="dxa" w:w="2192"/>
            <w:tcBorders>
              <w:top w:val="single" w:sz="8" w:space="0" w:color="000000"/>
              <w:bottom w:val="single" w:sz="4" w:space="0" w:color="000000"/>
              <w:left w:val="nil"/>
              <w:right w:val="nil"/>
            </w:tcBorders>
          </w:tcPr>
          <w:p>
            <w:r/>
            <w:r>
              <w:rPr>
                <w:rFonts w:ascii="Times New Roman" w:hAnsi="Times New Roman"/>
                <w:b/>
                <w:sz w:val="22"/>
              </w:rPr>
              <w:t>Antall</w:t>
            </w:r>
          </w:p>
        </w:tc>
        <w:tc>
          <w:tcPr>
            <w:tcW w:type="dxa" w:w="2192"/>
            <w:tcBorders>
              <w:top w:val="single" w:sz="8" w:space="0" w:color="000000"/>
              <w:bottom w:val="single" w:sz="4" w:space="0" w:color="000000"/>
              <w:left w:val="nil"/>
              <w:right w:val="nil"/>
            </w:tcBorders>
          </w:tcPr>
          <w:p>
            <w:r/>
            <w:r>
              <w:rPr>
                <w:rFonts w:ascii="Times New Roman" w:hAnsi="Times New Roman"/>
                <w:b/>
                <w:sz w:val="22"/>
              </w:rPr>
              <w:t>Andel</w:t>
            </w:r>
          </w:p>
        </w:tc>
        <w:tc>
          <w:tcPr>
            <w:tcW w:type="dxa" w:w="2192"/>
            <w:tcBorders>
              <w:top w:val="single" w:sz="8" w:space="0" w:color="000000"/>
              <w:bottom w:val="single" w:sz="4" w:space="0" w:color="000000"/>
              <w:left w:val="nil"/>
              <w:right w:val="nil"/>
            </w:tcBorders>
          </w:tcPr>
          <w:p>
            <w:r/>
            <w:r>
              <w:rPr>
                <w:rFonts w:ascii="Times New Roman" w:hAnsi="Times New Roman"/>
                <w:b/>
                <w:sz w:val="22"/>
              </w:rPr>
              <w:t>Beskrivelse</w:t>
            </w:r>
          </w:p>
        </w:tc>
      </w:tr>
      <w:tr>
        <w:tc>
          <w:tcPr>
            <w:tcW w:type="dxa" w:w="2192"/>
          </w:tcPr>
          <w:p>
            <w:r/>
            <w:r>
              <w:rPr>
                <w:rFonts w:ascii="Times New Roman" w:hAnsi="Times New Roman"/>
                <w:b w:val="0"/>
                <w:sz w:val="22"/>
              </w:rPr>
              <w:t>OVERFØR_HVFS</w:t>
            </w:r>
          </w:p>
        </w:tc>
        <w:tc>
          <w:tcPr>
            <w:tcW w:type="dxa" w:w="2192"/>
          </w:tcPr>
          <w:p>
            <w:r/>
            <w:r>
              <w:rPr>
                <w:rFonts w:ascii="Times New Roman" w:hAnsi="Times New Roman"/>
                <w:b w:val="0"/>
                <w:sz w:val="22"/>
              </w:rPr>
              <w:t>145</w:t>
            </w:r>
          </w:p>
        </w:tc>
        <w:tc>
          <w:tcPr>
            <w:tcW w:type="dxa" w:w="2192"/>
          </w:tcPr>
          <w:p>
            <w:r/>
            <w:r>
              <w:rPr>
                <w:rFonts w:ascii="Times New Roman" w:hAnsi="Times New Roman"/>
                <w:b w:val="0"/>
                <w:sz w:val="22"/>
              </w:rPr>
              <w:t>20,5 %</w:t>
            </w:r>
          </w:p>
        </w:tc>
        <w:tc>
          <w:tcPr>
            <w:tcW w:type="dxa" w:w="2192"/>
          </w:tcPr>
          <w:p>
            <w:r/>
            <w:r>
              <w:rPr>
                <w:rFonts w:ascii="Times New Roman" w:hAnsi="Times New Roman"/>
                <w:b w:val="0"/>
                <w:sz w:val="22"/>
              </w:rPr>
              <w:t>Anbefales overført til HVFS</w:t>
            </w:r>
          </w:p>
        </w:tc>
      </w:tr>
      <w:tr>
        <w:tc>
          <w:tcPr>
            <w:tcW w:type="dxa" w:w="2192"/>
          </w:tcPr>
          <w:p>
            <w:r/>
            <w:r>
              <w:rPr>
                <w:rFonts w:ascii="Times New Roman" w:hAnsi="Times New Roman"/>
                <w:b w:val="0"/>
                <w:sz w:val="22"/>
              </w:rPr>
              <w:t>BEHOLD_LOKALT</w:t>
            </w:r>
          </w:p>
        </w:tc>
        <w:tc>
          <w:tcPr>
            <w:tcW w:type="dxa" w:w="2192"/>
          </w:tcPr>
          <w:p>
            <w:r/>
            <w:r>
              <w:rPr>
                <w:rFonts w:ascii="Times New Roman" w:hAnsi="Times New Roman"/>
                <w:b w:val="0"/>
                <w:sz w:val="22"/>
              </w:rPr>
              <w:t>257</w:t>
            </w:r>
          </w:p>
        </w:tc>
        <w:tc>
          <w:tcPr>
            <w:tcW w:type="dxa" w:w="2192"/>
          </w:tcPr>
          <w:p>
            <w:r/>
            <w:r>
              <w:rPr>
                <w:rFonts w:ascii="Times New Roman" w:hAnsi="Times New Roman"/>
                <w:b w:val="0"/>
                <w:sz w:val="22"/>
              </w:rPr>
              <w:t>36,2 %</w:t>
            </w:r>
          </w:p>
        </w:tc>
        <w:tc>
          <w:tcPr>
            <w:tcW w:type="dxa" w:w="2192"/>
          </w:tcPr>
          <w:p>
            <w:r/>
            <w:r>
              <w:rPr>
                <w:rFonts w:ascii="Times New Roman" w:hAnsi="Times New Roman"/>
                <w:b w:val="0"/>
                <w:sz w:val="22"/>
              </w:rPr>
              <w:t>Beholdes lokalt (Z-klasse eller CY)</w:t>
            </w:r>
          </w:p>
        </w:tc>
      </w:tr>
      <w:tr>
        <w:tc>
          <w:tcPr>
            <w:tcW w:type="dxa" w:w="2192"/>
          </w:tcPr>
          <w:p>
            <w:r/>
            <w:r>
              <w:rPr>
                <w:rFonts w:ascii="Times New Roman" w:hAnsi="Times New Roman"/>
                <w:b w:val="0"/>
                <w:sz w:val="22"/>
              </w:rPr>
              <w:t>VURDER_NÆRMERE</w:t>
            </w:r>
          </w:p>
        </w:tc>
        <w:tc>
          <w:tcPr>
            <w:tcW w:type="dxa" w:w="2192"/>
          </w:tcPr>
          <w:p>
            <w:r/>
            <w:r>
              <w:rPr>
                <w:rFonts w:ascii="Times New Roman" w:hAnsi="Times New Roman"/>
                <w:b w:val="0"/>
                <w:sz w:val="22"/>
              </w:rPr>
              <w:t>284</w:t>
            </w:r>
          </w:p>
        </w:tc>
        <w:tc>
          <w:tcPr>
            <w:tcW w:type="dxa" w:w="2192"/>
          </w:tcPr>
          <w:p>
            <w:r/>
            <w:r>
              <w:rPr>
                <w:rFonts w:ascii="Times New Roman" w:hAnsi="Times New Roman"/>
                <w:b w:val="0"/>
                <w:sz w:val="22"/>
              </w:rPr>
              <w:t>40,1 %</w:t>
            </w:r>
          </w:p>
        </w:tc>
        <w:tc>
          <w:tcPr>
            <w:tcW w:type="dxa" w:w="2192"/>
          </w:tcPr>
          <w:p>
            <w:r/>
            <w:r>
              <w:rPr>
                <w:rFonts w:ascii="Times New Roman" w:hAnsi="Times New Roman"/>
                <w:b w:val="0"/>
                <w:sz w:val="22"/>
              </w:rPr>
              <w:t>Krever manuell vurdering</w:t>
            </w:r>
          </w:p>
        </w:tc>
      </w:tr>
      <w:tr>
        <w:tc>
          <w:tcPr>
            <w:tcW w:type="dxa" w:w="2192"/>
          </w:tcPr>
          <w:p>
            <w:r/>
            <w:r>
              <w:rPr>
                <w:rFonts w:ascii="Times New Roman" w:hAnsi="Times New Roman"/>
                <w:b w:val="0"/>
                <w:sz w:val="22"/>
              </w:rPr>
              <w:t>MANGLER_DATA</w:t>
            </w:r>
          </w:p>
        </w:tc>
        <w:tc>
          <w:tcPr>
            <w:tcW w:type="dxa" w:w="2192"/>
          </w:tcPr>
          <w:p>
            <w:r/>
            <w:r>
              <w:rPr>
                <w:rFonts w:ascii="Times New Roman" w:hAnsi="Times New Roman"/>
                <w:b w:val="0"/>
                <w:sz w:val="22"/>
              </w:rPr>
              <w:t>23</w:t>
            </w:r>
          </w:p>
        </w:tc>
        <w:tc>
          <w:tcPr>
            <w:tcW w:type="dxa" w:w="2192"/>
          </w:tcPr>
          <w:p>
            <w:r/>
            <w:r>
              <w:rPr>
                <w:rFonts w:ascii="Times New Roman" w:hAnsi="Times New Roman"/>
                <w:b w:val="0"/>
                <w:sz w:val="22"/>
              </w:rPr>
              <w:t>3,2 %</w:t>
            </w:r>
          </w:p>
        </w:tc>
        <w:tc>
          <w:tcPr>
            <w:tcW w:type="dxa" w:w="2192"/>
          </w:tcPr>
          <w:p>
            <w:r/>
            <w:r>
              <w:rPr>
                <w:rFonts w:ascii="Times New Roman" w:hAnsi="Times New Roman"/>
                <w:b w:val="0"/>
                <w:sz w:val="22"/>
              </w:rPr>
              <w:t>Utilstrekkelig data for klassifisering</w:t>
            </w:r>
          </w:p>
        </w:tc>
      </w:tr>
      <w:tr>
        <w:tc>
          <w:tcPr>
            <w:tcW w:type="dxa" w:w="2192"/>
          </w:tcPr>
          <w:p>
            <w:r/>
            <w:r>
              <w:rPr>
                <w:rFonts w:ascii="Times New Roman" w:hAnsi="Times New Roman"/>
                <w:b/>
                <w:sz w:val="22"/>
              </w:rPr>
              <w:t>Totalt</w:t>
            </w:r>
          </w:p>
        </w:tc>
        <w:tc>
          <w:tcPr>
            <w:tcW w:type="dxa" w:w="2192"/>
          </w:tcPr>
          <w:p>
            <w:r/>
            <w:r>
              <w:rPr>
                <w:rFonts w:ascii="Times New Roman" w:hAnsi="Times New Roman"/>
                <w:b/>
                <w:sz w:val="22"/>
              </w:rPr>
              <w:t>709</w:t>
            </w:r>
          </w:p>
        </w:tc>
        <w:tc>
          <w:tcPr>
            <w:tcW w:type="dxa" w:w="2192"/>
          </w:tcPr>
          <w:p>
            <w:r/>
            <w:r>
              <w:rPr>
                <w:rFonts w:ascii="Times New Roman" w:hAnsi="Times New Roman"/>
                <w:b/>
                <w:sz w:val="22"/>
              </w:rPr>
              <w:t>100 %</w:t>
            </w:r>
          </w:p>
        </w:tc>
        <w:tc>
          <w:tcPr>
            <w:tcW w:type="dxa" w:w="2192"/>
          </w:tcPr>
          <w:p>
            <w:r/>
          </w:p>
        </w:tc>
      </w:tr>
    </w:tbl>
    <w:p>
      <w:pPr>
        <w:spacing w:line="360" w:lineRule="auto"/>
        <w:jc w:val="both"/>
      </w:pPr>
      <w:r>
        <w:rPr>
          <w:rFonts w:ascii="Times New Roman" w:hAnsi="Times New Roman" w:cs="Times New Roman"/>
          <w:sz w:val="24"/>
        </w:rPr>
        <w:t>145 artikler (20,5 %) anbefales overført til HVFS. Denne gruppen består av artikler som tilfredsstiller ett eller flere av de positive overføringsskriteriene: R3 fanget 71 artikler (A/B + X + FOR\_MANGE\_ORDRER), R4 fanget 18 artikler (A/B + X + K\_OVERFØR), og R5 fanget 56 artikler (A/B + Y + K\_OVERFØR). Av de 145 overførte artiklene har 117 status FOR\_MANGE\_ORDRER og inngår dermed i besparelsesberegningen i avsnitt 7.6. De resterende 28 artiklene (alle 18 fra R4 og 10 fra R5) inngår ikke i besparelsesgrunnlaget fordi FOR\_MANGE\_ORDRER-flagget ikke er aktivert, men de anbefales overført fordi kombinasjonen av ABC/XYZ-profil og K\_OVERFØR-klyngetilhørighet oppfyller APL-egnethetskriteriet for sentralisering, jf. kap. 5.5.</w:t>
      </w:r>
    </w:p>
    <w:p>
      <w:pPr>
        <w:spacing w:line="360" w:lineRule="auto"/>
        <w:jc w:val="both"/>
      </w:pPr>
      <w:r>
        <w:rPr>
          <w:rFonts w:ascii="Times New Roman" w:hAnsi="Times New Roman" w:cs="Times New Roman"/>
          <w:sz w:val="24"/>
        </w:rPr>
        <w:t>257 artikler (36,2 %) beholdes lokalt, primært grunnet Z-klassifisering (R1: 143 artikler) eller CY-profil (R2: 114 artikler). Z-override (R1) er den enkeltregelen som fanger flest artikler, noe som bekrefter at uforutsigbart forbruksmønster er den vanligste kontraindikasjonen mot sentralisering i dette sortimentet. 284 artikler (40,1 %) sendes til manuell vurdering – artikler der de kvantitative signalene fra ABC, XYZ, EOQ og K-means ikke er tilstrekkelig entydige til å generere en automatisert anbefaling. For å gjøre gjennomgangen håndterbar anbefales en prioritert tilnærming: (a) start med CX-artiklene, som har stabilt forbruk og lav verdi og i mange tilfeller kan overføres med begrenset risiko; (b) gjennomgå deretter A/B-artikler med K\_OVERFØR-signal som ikke fanges av R3–R5; (c) adresser til slutt artiklene med blandede signaler. 23 artikler (3,2 %) mangler tilstrekkelig data for klassifisering – dette omfatter de 22 artiklene uten XYZ-klassifisering pluss én artikkel som mangler verdidata men har XYZ. Fordelingen er visualisert i Figur 12 i kapittel 6.</w:t>
      </w:r>
    </w:p>
    <w:p>
      <w:pPr>
        <w:pStyle w:val="Overskrift2"/>
      </w:pPr>
      <w:r>
        <w:rPr>
          <w:rFonts w:ascii="Times New Roman" w:hAnsi="Times New Roman"/>
          <w:color w:val="000000"/>
          <w:sz w:val="32"/>
        </w:rPr>
        <w:t>7.6 Besparelse og sensitivitet</w:t>
      </w:r>
    </w:p>
    <w:p>
      <w:pPr>
        <w:spacing w:line="360" w:lineRule="auto"/>
        <w:jc w:val="both"/>
      </w:pPr>
      <w:r>
        <w:rPr>
          <w:rFonts w:ascii="Times New Roman" w:hAnsi="Times New Roman" w:cs="Times New Roman"/>
          <w:sz w:val="24"/>
        </w:rPr>
        <w:t xml:space="preserve">Besparelsesestimatet er beregnet for de 117 artiklene som oppfyller begge kriteriene OVERFØR\_HVFS og FOR\_MANGE\_ORDRER. Formelen er </w:t>
      </w:r>
      <m:oMath>
        <m:sSub>
          <m:e>
            <m:r>
              <m:t>B</m:t>
            </m:r>
          </m:e>
          <m:sub>
            <m:r>
              <m:rPr>
                <m:nor/>
              </m:rPr>
              <m:t>HVFS</m:t>
            </m:r>
          </m:sub>
        </m:sSub>
        <m:r>
          <m:t>=</m:t>
        </m:r>
        <m:nary>
          <m:naryPr>
            <m:chr m:val="∑"/>
            <m:limLoc m:val="subSup"/>
            <m:grow m:val="1"/>
            <m:subHide m:val="off"/>
            <m:supHide m:val="on"/>
          </m:naryPr>
          <m:sub>
            <m:r>
              <m:t>i∈</m:t>
            </m:r>
            <m:r>
              <m:rPr>
                <m:nor/>
              </m:rPr>
              <m:t>OVERFØR</m:t>
            </m:r>
          </m:sub>
          <m:sup/>
          <m:e>
            <m:r>
              <m:t>ΔT</m:t>
            </m:r>
          </m:e>
        </m:nary>
        <m:sSub>
          <m:e>
            <m:r>
              <m:t>C</m:t>
            </m:r>
          </m:e>
          <m:sub>
            <m:r>
              <m:t>i</m:t>
            </m:r>
          </m:sub>
        </m:sSub>
        <m:r>
          <m:t>·g</m:t>
        </m:r>
      </m:oMath>
      <w:r>
        <w:rPr>
          <w:rFonts w:ascii="Times New Roman" w:hAnsi="Times New Roman" w:cs="Times New Roman"/>
          <w:sz w:val="24"/>
        </w:rPr>
        <w:t xml:space="preserve">, der </w:t>
      </w:r>
      <m:oMath>
        <m:r>
          <m:t>g</m:t>
        </m:r>
      </m:oMath>
      <w:r>
        <w:rPr>
          <w:rFonts w:ascii="Times New Roman" w:hAnsi="Times New Roman" w:cs="Times New Roman"/>
          <w:sz w:val="24"/>
        </w:rPr>
        <w:t xml:space="preserve"> er antatt realiseringsgrad for den teoretiske EOQ-besparelsen. Tabell 14 viser resultatene for de tre scenariene.</w:t>
      </w:r>
    </w:p>
    <w:p>
      <w:r>
        <w:rPr>
          <w:rFonts w:ascii="Times New Roman" w:hAnsi="Times New Roman"/>
          <w:i/>
          <w:sz w:val="20"/>
        </w:rPr>
        <w:t xml:space="preserve">Tabell </w:t>
      </w:r>
      <w:r>
        <w:fldChar w:fldCharType="begin"/>
      </w:r>
      <w:r>
        <w:instrText xml:space="preserve"> SEQ Tabell \* ARABIC </w:instrText>
      </w:r>
      <w:r>
        <w:fldChar w:fldCharType="separate"/>
      </w:r>
      <w:r>
        <w:rPr>
          <w:rFonts w:ascii="Times New Roman" w:hAnsi="Times New Roman"/>
          <w:i/>
          <w:sz w:val="20"/>
        </w:rPr>
        <w:t>N</w:t>
      </w:r>
      <w:r>
        <w:fldChar w:fldCharType="end"/>
      </w:r>
      <w:r>
        <w:rPr>
          <w:rFonts w:ascii="Times New Roman" w:hAnsi="Times New Roman"/>
          <w:i/>
          <w:sz w:val="20"/>
        </w:rPr>
        <w:t>. Besparelsesestimater for tre scenarier: 117 artikler (OVERFØR\_HVFS ∩ FOR\_MANGE\_ORDRER), S = 750 NOK.</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923"/>
        <w:gridCol w:w="2923"/>
        <w:gridCol w:w="2923"/>
      </w:tblGrid>
      <w:tr>
        <w:tc>
          <w:tcPr>
            <w:tcW w:type="dxa" w:w="2923"/>
            <w:tcBorders>
              <w:top w:val="single" w:sz="8" w:space="0" w:color="000000"/>
              <w:bottom w:val="single" w:sz="4" w:space="0" w:color="000000"/>
              <w:left w:val="nil"/>
              <w:right w:val="nil"/>
            </w:tcBorders>
          </w:tcPr>
          <w:p>
            <w:r/>
            <w:r>
              <w:rPr>
                <w:rFonts w:ascii="Times New Roman" w:hAnsi="Times New Roman"/>
                <w:b/>
                <w:sz w:val="22"/>
              </w:rPr>
              <w:t>Scenario</w:t>
            </w:r>
          </w:p>
        </w:tc>
        <w:tc>
          <w:tcPr>
            <w:tcW w:type="dxa" w:w="2923"/>
            <w:tcBorders>
              <w:top w:val="single" w:sz="8" w:space="0" w:color="000000"/>
              <w:bottom w:val="single" w:sz="4" w:space="0" w:color="000000"/>
              <w:left w:val="nil"/>
              <w:right w:val="nil"/>
            </w:tcBorders>
          </w:tcPr>
          <w:p>
            <w:r/>
            <w:r>
              <w:rPr>
                <w:rFonts w:ascii="Times New Roman" w:hAnsi="Times New Roman"/>
                <w:b/>
                <w:sz w:val="22"/>
              </w:rPr>
              <w:t>Realiseringsgrad g</w:t>
            </w:r>
          </w:p>
        </w:tc>
        <w:tc>
          <w:tcPr>
            <w:tcW w:type="dxa" w:w="2923"/>
            <w:tcBorders>
              <w:top w:val="single" w:sz="8" w:space="0" w:color="000000"/>
              <w:bottom w:val="single" w:sz="4" w:space="0" w:color="000000"/>
              <w:left w:val="nil"/>
              <w:right w:val="nil"/>
            </w:tcBorders>
          </w:tcPr>
          <w:p>
            <w:r/>
            <w:r>
              <w:rPr>
                <w:rFonts w:ascii="Times New Roman" w:hAnsi="Times New Roman"/>
                <w:b/>
                <w:sz w:val="22"/>
              </w:rPr>
              <w:t>Besparelse B_HVFS (kr/år)</w:t>
            </w:r>
          </w:p>
        </w:tc>
      </w:tr>
      <w:tr>
        <w:tc>
          <w:tcPr>
            <w:tcW w:type="dxa" w:w="2923"/>
          </w:tcPr>
          <w:p>
            <w:r/>
            <w:r>
              <w:rPr>
                <w:rFonts w:ascii="Times New Roman" w:hAnsi="Times New Roman"/>
                <w:b w:val="0"/>
                <w:sz w:val="22"/>
              </w:rPr>
              <w:t>Worst case</w:t>
            </w:r>
          </w:p>
        </w:tc>
        <w:tc>
          <w:tcPr>
            <w:tcW w:type="dxa" w:w="2923"/>
          </w:tcPr>
          <w:p>
            <w:r/>
            <w:r>
              <w:rPr>
                <w:rFonts w:ascii="Times New Roman" w:hAnsi="Times New Roman"/>
                <w:b w:val="0"/>
                <w:sz w:val="22"/>
              </w:rPr>
              <w:t>50 %</w:t>
            </w:r>
          </w:p>
        </w:tc>
        <w:tc>
          <w:tcPr>
            <w:tcW w:type="dxa" w:w="2923"/>
          </w:tcPr>
          <w:p>
            <w:r/>
            <w:r>
              <w:rPr>
                <w:rFonts w:ascii="Times New Roman" w:hAnsi="Times New Roman"/>
                <w:b w:val="0"/>
                <w:sz w:val="22"/>
              </w:rPr>
              <w:t>301 010</w:t>
            </w:r>
          </w:p>
        </w:tc>
      </w:tr>
      <w:tr>
        <w:tc>
          <w:tcPr>
            <w:tcW w:type="dxa" w:w="2923"/>
          </w:tcPr>
          <w:p>
            <w:r/>
            <w:r>
              <w:rPr>
                <w:rFonts w:ascii="Times New Roman" w:hAnsi="Times New Roman"/>
                <w:b/>
                <w:sz w:val="22"/>
              </w:rPr>
              <w:t>Base case</w:t>
            </w:r>
          </w:p>
        </w:tc>
        <w:tc>
          <w:tcPr>
            <w:tcW w:type="dxa" w:w="2923"/>
          </w:tcPr>
          <w:p>
            <w:r/>
            <w:r>
              <w:rPr>
                <w:rFonts w:ascii="Times New Roman" w:hAnsi="Times New Roman"/>
                <w:b/>
                <w:sz w:val="22"/>
              </w:rPr>
              <w:t>75 %</w:t>
            </w:r>
          </w:p>
        </w:tc>
        <w:tc>
          <w:tcPr>
            <w:tcW w:type="dxa" w:w="2923"/>
          </w:tcPr>
          <w:p>
            <w:r/>
            <w:r>
              <w:rPr>
                <w:rFonts w:ascii="Times New Roman" w:hAnsi="Times New Roman"/>
                <w:b/>
                <w:sz w:val="22"/>
              </w:rPr>
              <w:t>451 515</w:t>
            </w:r>
          </w:p>
        </w:tc>
      </w:tr>
      <w:tr>
        <w:tc>
          <w:tcPr>
            <w:tcW w:type="dxa" w:w="2923"/>
          </w:tcPr>
          <w:p>
            <w:r/>
            <w:r>
              <w:rPr>
                <w:rFonts w:ascii="Times New Roman" w:hAnsi="Times New Roman"/>
                <w:b w:val="0"/>
                <w:sz w:val="22"/>
              </w:rPr>
              <w:t>Best case</w:t>
            </w:r>
          </w:p>
        </w:tc>
        <w:tc>
          <w:tcPr>
            <w:tcW w:type="dxa" w:w="2923"/>
          </w:tcPr>
          <w:p>
            <w:r/>
            <w:r>
              <w:rPr>
                <w:rFonts w:ascii="Times New Roman" w:hAnsi="Times New Roman"/>
                <w:b w:val="0"/>
                <w:sz w:val="22"/>
              </w:rPr>
              <w:t>100 %</w:t>
            </w:r>
          </w:p>
        </w:tc>
        <w:tc>
          <w:tcPr>
            <w:tcW w:type="dxa" w:w="2923"/>
          </w:tcPr>
          <w:p>
            <w:r/>
            <w:r>
              <w:rPr>
                <w:rFonts w:ascii="Times New Roman" w:hAnsi="Times New Roman"/>
                <w:b w:val="0"/>
                <w:sz w:val="22"/>
              </w:rPr>
              <w:t>602 020</w:t>
            </w:r>
          </w:p>
        </w:tc>
      </w:tr>
    </w:tbl>
    <w:p>
      <w:pPr>
        <w:spacing w:line="360" w:lineRule="auto"/>
        <w:jc w:val="both"/>
      </w:pPr>
      <w:r>
        <w:rPr>
          <w:rFonts w:ascii="Times New Roman" w:hAnsi="Times New Roman" w:cs="Times New Roman"/>
          <w:sz w:val="24"/>
        </w:rPr>
        <w:t>Base case-besparelsen er kr 451 515 per år (</w:t>
      </w:r>
      <m:oMath>
        <m:r>
          <m:t>g=75</m:t>
        </m:r>
      </m:oMath>
      <w:r>
        <w:rPr>
          <w:rFonts w:ascii="Times New Roman" w:hAnsi="Times New Roman" w:cs="Times New Roman"/>
          <w:sz w:val="24"/>
        </w:rPr>
        <w:t xml:space="preserve">) av et samlet teoretisk </w:t>
      </w:r>
      <m:oMath>
        <m:r>
          <m:t>∑ΔT</m:t>
        </m:r>
        <m:sSub>
          <m:e>
            <m:r>
              <m:t>C</m:t>
            </m:r>
          </m:e>
          <m:sub>
            <m:r>
              <m:t>i</m:t>
            </m:r>
          </m:sub>
        </m:sSub>
      </m:oMath>
      <w:r>
        <w:rPr>
          <w:rFonts w:ascii="Times New Roman" w:hAnsi="Times New Roman" w:cs="Times New Roman"/>
          <w:sz w:val="24"/>
        </w:rPr>
        <w:t xml:space="preserve"> på kr 602 020. Gevinstrealiseringsgraden </w:t>
      </w:r>
      <m:oMath>
        <m:r>
          <m:t>g</m:t>
        </m:r>
      </m:oMath>
      <w:r>
        <w:rPr>
          <w:rFonts w:ascii="Times New Roman" w:hAnsi="Times New Roman" w:cs="Times New Roman"/>
          <w:sz w:val="24"/>
        </w:rPr>
        <w:t xml:space="preserve"> reflekterer at implementeringsfriksjon og SAP-parameterjusteringer gjør det urealistisk å oppnå 100 % av det teoretiske potensialet.</w:t>
      </w:r>
    </w:p>
    <w:p>
      <w:pPr>
        <w:spacing w:line="360" w:lineRule="auto"/>
        <w:jc w:val="both"/>
      </w:pPr>
      <w:r>
        <w:rPr>
          <w:rFonts w:ascii="Times New Roman" w:hAnsi="Times New Roman" w:cs="Times New Roman"/>
          <w:sz w:val="24"/>
        </w:rPr>
        <w:t xml:space="preserve">Sensitivitetsanalysen over 27 scenarier – der S varieres over {500, 750, 1 000} NOK, h over {15 %, 20 %, 25 %} og terskelparameteren </w:t>
      </w:r>
      <m:oMath>
        <m:sSub>
          <m:e>
            <m:r>
              <m:t>τ</m:t>
            </m:r>
          </m:e>
          <m:sub>
            <m:r>
              <m:t>f</m:t>
            </m:r>
          </m:sub>
        </m:sSub>
      </m:oMath>
      <w:r>
        <w:rPr>
          <w:rFonts w:ascii="Times New Roman" w:hAnsi="Times New Roman" w:cs="Times New Roman"/>
          <w:sz w:val="24"/>
        </w:rPr>
        <w:t xml:space="preserve"> over {1,25, 1,50, 2,00} – viser at det samlede </w:t>
      </w:r>
      <m:oMath>
        <m:r>
          <m:t>ΔTC</m:t>
        </m:r>
      </m:oMath>
      <w:r>
        <w:rPr>
          <w:rFonts w:ascii="Times New Roman" w:hAnsi="Times New Roman" w:cs="Times New Roman"/>
          <w:sz w:val="24"/>
        </w:rPr>
        <w:t xml:space="preserve"> for hele populasjonen (487 artikler) varierer mellom kr 1 602 464 og kr 3 068 757 per år avhengig av parametervalg. Besparelsesestimatet </w:t>
      </w:r>
      <m:oMath>
        <m:sSub>
          <m:e>
            <m:r>
              <m:t>B</m:t>
            </m:r>
          </m:e>
          <m:sub>
            <m:r>
              <m:rPr>
                <m:nor/>
              </m:rPr>
              <m:t>HVFS</m:t>
            </m:r>
          </m:sub>
        </m:sSub>
      </m:oMath>
      <w:r>
        <w:rPr>
          <w:rFonts w:ascii="Times New Roman" w:hAnsi="Times New Roman" w:cs="Times New Roman"/>
          <w:sz w:val="24"/>
        </w:rPr>
        <w:t xml:space="preserve"> (</w:t>
      </w:r>
      <m:oMath>
        <m:r>
          <m:t>g=75</m:t>
        </m:r>
      </m:oMath>
      <w:r>
        <w:rPr>
          <w:rFonts w:ascii="Times New Roman" w:hAnsi="Times New Roman" w:cs="Times New Roman"/>
          <w:sz w:val="24"/>
        </w:rPr>
        <w:t xml:space="preserve">) varierer mellom kr 176 374 og kr 763 903 per år over de 27 scenariene, der kandidatsettet (OVERFØR\_HVFS ∩ FOR\_MANGE\_ORDRER) reberegnes for hvert scenario. Den dominerende usikkerhetsfaktoren er ordrekostnad S: en økning fra 500 til 1 000 NOK nær dobler det beregnede kostnadsavviket, da ordrekostnaden inngår lineært i totalkostnadsfunksjonen. Holdesats h har en moderat effekt, mens terskelparameteren </w:t>
      </w:r>
      <m:oMath>
        <m:sSub>
          <m:e>
            <m:r>
              <m:t>τ</m:t>
            </m:r>
          </m:e>
          <m:sub>
            <m:r>
              <m:t>f</m:t>
            </m:r>
          </m:sub>
        </m:sSub>
      </m:oMath>
      <w:r>
        <w:rPr>
          <w:rFonts w:ascii="Times New Roman" w:hAnsi="Times New Roman" w:cs="Times New Roman"/>
          <w:sz w:val="24"/>
        </w:rPr>
        <w:t xml:space="preserve"> primært påvirker antallet artikler som klassifiseres som FOR\_MANGE\_ORDRER – en lavere terskel (1,25) gir flere artikler i overføringsgrunnlaget, men reduserer gjennomsnittlig </w:t>
      </w:r>
      <m:oMath>
        <m:r>
          <m:t>ΔTC</m:t>
        </m:r>
      </m:oMath>
      <w:r>
        <w:rPr>
          <w:rFonts w:ascii="Times New Roman" w:hAnsi="Times New Roman" w:cs="Times New Roman"/>
          <w:sz w:val="24"/>
        </w:rPr>
        <w:t xml:space="preserve"> per artikkel. Resultatene er robuste i den forstand at besparelsesestimatet forblir positivt og vesentlig over alle 27 scenarier.</w:t>
      </w:r>
    </w:p>
    <w:p>
      <w:pPr>
        <w:pStyle w:val="Overskrift1"/>
        <w:pageBreakBefore w:val="true"/>
      </w:pPr>
      <w:r>
        <w:rPr>
          <w:rFonts w:ascii="Times New Roman" w:hAnsi="Times New Roman"/>
          <w:color w:val="000000"/>
          <w:sz w:val="36"/>
        </w:rPr>
        <w:t>Kapittel 8 – Diskusjon</w:t>
      </w:r>
    </w:p>
    <w:p>
      <w:pPr>
        <w:pStyle w:val="Overskrift2"/>
      </w:pPr>
      <w:r>
        <w:rPr>
          <w:rFonts w:ascii="Times New Roman" w:hAnsi="Times New Roman"/>
          <w:color w:val="000000"/>
          <w:sz w:val="32"/>
        </w:rPr>
        <w:t>8.1 Funn opp mot litteraturen</w:t>
      </w:r>
    </w:p>
    <w:p>
      <w:pPr>
        <w:spacing w:line="360" w:lineRule="auto"/>
        <w:jc w:val="both"/>
      </w:pPr>
      <w:r>
        <w:rPr>
          <w:rFonts w:ascii="Times New Roman" w:hAnsi="Times New Roman" w:cs="Times New Roman"/>
          <w:sz w:val="24"/>
        </w:rPr>
        <w:t>A-kategoriens 182 artikler (25,7 % av populasjonen, ~80 % av verdien) samsvarer med Pareto-prinsippet. At A-andelen er noe høyere enn den kanoniske 20 %, er konsistent med Bijvank og Vis (2012), som påpeker at sykehuslagre gjerne har en mer konsentrert verdidistribusjon enn industrilager.</w:t>
      </w:r>
    </w:p>
    <w:p>
      <w:pPr>
        <w:spacing w:line="360" w:lineRule="auto"/>
        <w:jc w:val="both"/>
      </w:pPr>
      <w:r>
        <w:rPr>
          <w:rFonts w:ascii="Times New Roman" w:hAnsi="Times New Roman" w:cs="Times New Roman"/>
          <w:sz w:val="24"/>
        </w:rPr>
        <w:t>Det lave samsvaret (33 %) mellom ZZXYZ og beregnet CV er forventet: van Kampen et al. (2012) understreker at systemregistrerte klassifiseringer raskt mister aktualitet, og Nowotyńska (2013) finner tilsvarende divergens. Funnet gir empirisk støtte til at CV-beregning fra transaksjonsdata er nødvendig for pålitelig klassifisering.</w:t>
      </w:r>
    </w:p>
    <w:p>
      <w:pPr>
        <w:spacing w:line="360" w:lineRule="auto"/>
        <w:jc w:val="both"/>
      </w:pPr>
      <w:r>
        <w:rPr>
          <w:rFonts w:ascii="Times New Roman" w:hAnsi="Times New Roman" w:cs="Times New Roman"/>
          <w:sz w:val="24"/>
        </w:rPr>
        <w:t>Silhouette-scoren (0,383 trening, 0,368 test) er over minstekravet 0,3 for eksplorativ analyse (Ketkar &amp; Vaidya, 2014), men moderat – noe som er typisk for lagerklassifiseringsproblemer der artikler ikke naturlig danner skarpt separerte grupper (Srinivasan &amp; Moon, 1999). Differansen på 0,015 indikerer akseptabel generalisering.</w:t>
      </w:r>
    </w:p>
    <w:p>
      <w:pPr>
        <w:spacing w:line="360" w:lineRule="auto"/>
        <w:jc w:val="both"/>
      </w:pPr>
      <w:r>
        <w:rPr>
          <w:rFonts w:ascii="Times New Roman" w:hAnsi="Times New Roman" w:cs="Times New Roman"/>
          <w:sz w:val="24"/>
        </w:rPr>
        <w:t>Base case-besparelsen (kr 451 515/år) er i tråd med Moons et al. (2019), som rapporterer moderate, men operasjonelt vesentlige gevinster ved optimalisert bestillingspraksis i europeiske sykehus. At 73,1 % av EOQ-analyserte artikler klassifiseres som FOR\_MANGE\_ORDRER er konsistent med Pujawan (2004), som viser at suboptimale partistørrelser er utbredt og kan forplante seg som ordrevariabilitet i forsyningskjeden. Suryaputri et al. (2022) bekrefter at kryssmatrisen ABC/XYZ gir merverdi utover enkeltkriterieanalyse for lagersegmentering, noe som understøtter valget om å kombinere klassifiseringsdimensjonene.</w:t>
      </w:r>
    </w:p>
    <w:p>
      <w:pPr>
        <w:spacing w:line="360" w:lineRule="auto"/>
        <w:jc w:val="both"/>
      </w:pPr>
      <w:r>
        <w:rPr>
          <w:rFonts w:ascii="Times New Roman" w:hAnsi="Times New Roman" w:cs="Times New Roman"/>
          <w:sz w:val="24"/>
        </w:rPr>
        <w:t>Tabell 15 oppsummerer de sentrale funnene fra denne studien sett opp mot forventninger fra litteraturen.</w:t>
      </w:r>
    </w:p>
    <w:p>
      <w:r>
        <w:rPr>
          <w:rFonts w:ascii="Times New Roman" w:hAnsi="Times New Roman"/>
          <w:i/>
          <w:sz w:val="20"/>
        </w:rPr>
        <w:t xml:space="preserve">Tabell </w:t>
      </w:r>
      <w:r>
        <w:fldChar w:fldCharType="begin"/>
      </w:r>
      <w:r>
        <w:instrText xml:space="preserve"> SEQ Tabell \* ARABIC </w:instrText>
      </w:r>
      <w:r>
        <w:fldChar w:fldCharType="separate"/>
      </w:r>
      <w:r>
        <w:rPr>
          <w:rFonts w:ascii="Times New Roman" w:hAnsi="Times New Roman"/>
          <w:i/>
          <w:sz w:val="20"/>
        </w:rPr>
        <w:t>N</w:t>
      </w:r>
      <w:r>
        <w:fldChar w:fldCharType="end"/>
      </w:r>
      <w:r>
        <w:rPr>
          <w:rFonts w:ascii="Times New Roman" w:hAnsi="Times New Roman"/>
          <w:i/>
          <w:sz w:val="20"/>
        </w:rPr>
        <w:t>. Sammenstilling av egne resultater mot funn i eksisterende litteratur.</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1754"/>
        <w:gridCol w:w="1754"/>
        <w:gridCol w:w="1754"/>
        <w:gridCol w:w="1754"/>
        <w:gridCol w:w="1754"/>
      </w:tblGrid>
      <w:tr>
        <w:tc>
          <w:tcPr>
            <w:tcW w:type="dxa" w:w="1754"/>
            <w:tcBorders>
              <w:top w:val="single" w:sz="8" w:space="0" w:color="000000"/>
              <w:bottom w:val="single" w:sz="4" w:space="0" w:color="000000"/>
              <w:left w:val="nil"/>
              <w:right w:val="nil"/>
            </w:tcBorders>
          </w:tcPr>
          <w:p>
            <w:r/>
            <w:r>
              <w:rPr>
                <w:rFonts w:ascii="Times New Roman" w:hAnsi="Times New Roman"/>
                <w:b/>
                <w:sz w:val="22"/>
              </w:rPr>
              <w:t>Funn</w:t>
            </w:r>
          </w:p>
        </w:tc>
        <w:tc>
          <w:tcPr>
            <w:tcW w:type="dxa" w:w="1754"/>
            <w:tcBorders>
              <w:top w:val="single" w:sz="8" w:space="0" w:color="000000"/>
              <w:bottom w:val="single" w:sz="4" w:space="0" w:color="000000"/>
              <w:left w:val="nil"/>
              <w:right w:val="nil"/>
            </w:tcBorders>
          </w:tcPr>
          <w:p>
            <w:r/>
            <w:r>
              <w:rPr>
                <w:rFonts w:ascii="Times New Roman" w:hAnsi="Times New Roman"/>
                <w:b/>
                <w:sz w:val="22"/>
              </w:rPr>
              <w:t>Eget resultat</w:t>
            </w:r>
          </w:p>
        </w:tc>
        <w:tc>
          <w:tcPr>
            <w:tcW w:type="dxa" w:w="1754"/>
            <w:tcBorders>
              <w:top w:val="single" w:sz="8" w:space="0" w:color="000000"/>
              <w:bottom w:val="single" w:sz="4" w:space="0" w:color="000000"/>
              <w:left w:val="nil"/>
              <w:right w:val="nil"/>
            </w:tcBorders>
          </w:tcPr>
          <w:p>
            <w:r/>
            <w:r>
              <w:rPr>
                <w:rFonts w:ascii="Times New Roman" w:hAnsi="Times New Roman"/>
                <w:b/>
                <w:sz w:val="22"/>
              </w:rPr>
              <w:t>Litteraturen</w:t>
            </w:r>
          </w:p>
        </w:tc>
        <w:tc>
          <w:tcPr>
            <w:tcW w:type="dxa" w:w="1754"/>
            <w:tcBorders>
              <w:top w:val="single" w:sz="8" w:space="0" w:color="000000"/>
              <w:bottom w:val="single" w:sz="4" w:space="0" w:color="000000"/>
              <w:left w:val="nil"/>
              <w:right w:val="nil"/>
            </w:tcBorders>
          </w:tcPr>
          <w:p>
            <w:r/>
            <w:r>
              <w:rPr>
                <w:rFonts w:ascii="Times New Roman" w:hAnsi="Times New Roman"/>
                <w:b/>
                <w:sz w:val="22"/>
              </w:rPr>
              <w:t>Samsvar</w:t>
            </w:r>
          </w:p>
        </w:tc>
        <w:tc>
          <w:tcPr>
            <w:tcW w:type="dxa" w:w="1754"/>
            <w:tcBorders>
              <w:top w:val="single" w:sz="8" w:space="0" w:color="000000"/>
              <w:bottom w:val="single" w:sz="4" w:space="0" w:color="000000"/>
              <w:left w:val="nil"/>
              <w:right w:val="nil"/>
            </w:tcBorders>
          </w:tcPr>
          <w:p>
            <w:r/>
            <w:r>
              <w:rPr>
                <w:rFonts w:ascii="Times New Roman" w:hAnsi="Times New Roman"/>
                <w:b/>
                <w:sz w:val="22"/>
              </w:rPr>
              <w:t>Referanse</w:t>
            </w:r>
          </w:p>
        </w:tc>
      </w:tr>
      <w:tr>
        <w:tc>
          <w:tcPr>
            <w:tcW w:type="dxa" w:w="1754"/>
          </w:tcPr>
          <w:p>
            <w:r/>
            <w:r>
              <w:rPr>
                <w:rFonts w:ascii="Times New Roman" w:hAnsi="Times New Roman"/>
                <w:b w:val="0"/>
                <w:sz w:val="22"/>
              </w:rPr>
              <w:t>A-klasse andel</w:t>
            </w:r>
          </w:p>
        </w:tc>
        <w:tc>
          <w:tcPr>
            <w:tcW w:type="dxa" w:w="1754"/>
          </w:tcPr>
          <w:p>
            <w:r/>
            <w:r>
              <w:rPr>
                <w:rFonts w:ascii="Times New Roman" w:hAnsi="Times New Roman"/>
                <w:b w:val="0"/>
                <w:sz w:val="22"/>
              </w:rPr>
              <w:t>25,7 % av artikler = 80 % av verdi</w:t>
            </w:r>
          </w:p>
        </w:tc>
        <w:tc>
          <w:tcPr>
            <w:tcW w:type="dxa" w:w="1754"/>
          </w:tcPr>
          <w:p>
            <w:r/>
            <w:r>
              <w:rPr>
                <w:rFonts w:ascii="Times New Roman" w:hAnsi="Times New Roman"/>
                <w:b w:val="0"/>
                <w:sz w:val="22"/>
              </w:rPr>
              <w:t>Typisk 20–25 % etter Pareto</w:t>
            </w:r>
          </w:p>
        </w:tc>
        <w:tc>
          <w:tcPr>
            <w:tcW w:type="dxa" w:w="1754"/>
          </w:tcPr>
          <w:p>
            <w:r/>
            <w:r>
              <w:rPr>
                <w:rFonts w:ascii="Times New Roman" w:hAnsi="Times New Roman"/>
                <w:b w:val="0"/>
                <w:sz w:val="22"/>
              </w:rPr>
              <w:t>Ja</w:t>
            </w:r>
          </w:p>
        </w:tc>
        <w:tc>
          <w:tcPr>
            <w:tcW w:type="dxa" w:w="1754"/>
          </w:tcPr>
          <w:p>
            <w:r/>
            <w:r>
              <w:rPr>
                <w:rFonts w:ascii="Times New Roman" w:hAnsi="Times New Roman"/>
                <w:b w:val="0"/>
                <w:sz w:val="22"/>
              </w:rPr>
              <w:t>Gupta et al. (2007)</w:t>
            </w:r>
          </w:p>
        </w:tc>
      </w:tr>
      <w:tr>
        <w:tc>
          <w:tcPr>
            <w:tcW w:type="dxa" w:w="1754"/>
          </w:tcPr>
          <w:p>
            <w:r/>
            <w:r>
              <w:rPr>
                <w:rFonts w:ascii="Times New Roman" w:hAnsi="Times New Roman"/>
                <w:b w:val="0"/>
                <w:sz w:val="22"/>
              </w:rPr>
              <w:t>XYZ-samsvar med SAP ZZXYZ</w:t>
            </w:r>
          </w:p>
        </w:tc>
        <w:tc>
          <w:tcPr>
            <w:tcW w:type="dxa" w:w="1754"/>
          </w:tcPr>
          <w:p>
            <w:r/>
            <w:r>
              <w:rPr>
                <w:rFonts w:ascii="Times New Roman" w:hAnsi="Times New Roman"/>
                <w:b w:val="0"/>
                <w:sz w:val="22"/>
              </w:rPr>
              <w:t>33 % (125/375)</w:t>
            </w:r>
          </w:p>
        </w:tc>
        <w:tc>
          <w:tcPr>
            <w:tcW w:type="dxa" w:w="1754"/>
          </w:tcPr>
          <w:p>
            <w:r/>
            <w:r>
              <w:rPr>
                <w:rFonts w:ascii="Times New Roman" w:hAnsi="Times New Roman"/>
                <w:b w:val="0"/>
                <w:sz w:val="22"/>
              </w:rPr>
              <w:t>Statisk klassifisering divergerer over tid</w:t>
            </w:r>
          </w:p>
        </w:tc>
        <w:tc>
          <w:tcPr>
            <w:tcW w:type="dxa" w:w="1754"/>
          </w:tcPr>
          <w:p>
            <w:r/>
            <w:r>
              <w:rPr>
                <w:rFonts w:ascii="Times New Roman" w:hAnsi="Times New Roman"/>
                <w:b w:val="0"/>
                <w:sz w:val="22"/>
              </w:rPr>
              <w:t>Ja</w:t>
            </w:r>
          </w:p>
        </w:tc>
        <w:tc>
          <w:tcPr>
            <w:tcW w:type="dxa" w:w="1754"/>
          </w:tcPr>
          <w:p>
            <w:r/>
            <w:r>
              <w:rPr>
                <w:rFonts w:ascii="Times New Roman" w:hAnsi="Times New Roman"/>
                <w:b w:val="0"/>
                <w:sz w:val="22"/>
              </w:rPr>
              <w:t>van Kampen et al. (2012)</w:t>
            </w:r>
          </w:p>
        </w:tc>
      </w:tr>
      <w:tr>
        <w:tc>
          <w:tcPr>
            <w:tcW w:type="dxa" w:w="1754"/>
          </w:tcPr>
          <w:p>
            <w:r/>
            <w:r>
              <w:rPr>
                <w:rFonts w:ascii="Times New Roman" w:hAnsi="Times New Roman"/>
                <w:b w:val="0"/>
                <w:sz w:val="22"/>
              </w:rPr>
              <w:t>X-artikler andel</w:t>
            </w:r>
          </w:p>
        </w:tc>
        <w:tc>
          <w:tcPr>
            <w:tcW w:type="dxa" w:w="1754"/>
          </w:tcPr>
          <w:p>
            <w:r/>
            <w:r>
              <w:rPr>
                <w:rFonts w:ascii="Times New Roman" w:hAnsi="Times New Roman"/>
                <w:b w:val="0"/>
                <w:sz w:val="22"/>
              </w:rPr>
              <w:t>50,9 % (350 av 687)</w:t>
            </w:r>
          </w:p>
        </w:tc>
        <w:tc>
          <w:tcPr>
            <w:tcW w:type="dxa" w:w="1754"/>
          </w:tcPr>
          <w:p>
            <w:r/>
            <w:r>
              <w:rPr>
                <w:rFonts w:ascii="Times New Roman" w:hAnsi="Times New Roman"/>
                <w:b w:val="0"/>
                <w:sz w:val="22"/>
              </w:rPr>
              <w:t>Stabile artikler utgjør gjerne flertallet</w:t>
            </w:r>
          </w:p>
        </w:tc>
        <w:tc>
          <w:tcPr>
            <w:tcW w:type="dxa" w:w="1754"/>
          </w:tcPr>
          <w:p>
            <w:r/>
            <w:r>
              <w:rPr>
                <w:rFonts w:ascii="Times New Roman" w:hAnsi="Times New Roman"/>
                <w:b w:val="0"/>
                <w:sz w:val="22"/>
              </w:rPr>
              <w:t>Ja</w:t>
            </w:r>
          </w:p>
        </w:tc>
        <w:tc>
          <w:tcPr>
            <w:tcW w:type="dxa" w:w="1754"/>
          </w:tcPr>
          <w:p>
            <w:r/>
            <w:r>
              <w:rPr>
                <w:rFonts w:ascii="Times New Roman" w:hAnsi="Times New Roman"/>
                <w:b w:val="0"/>
                <w:sz w:val="22"/>
              </w:rPr>
              <w:t>Nowotyńska (2013)</w:t>
            </w:r>
          </w:p>
        </w:tc>
      </w:tr>
      <w:tr>
        <w:tc>
          <w:tcPr>
            <w:tcW w:type="dxa" w:w="1754"/>
          </w:tcPr>
          <w:p>
            <w:r/>
            <w:r>
              <w:rPr>
                <w:rFonts w:ascii="Times New Roman" w:hAnsi="Times New Roman"/>
                <w:b w:val="0"/>
                <w:sz w:val="22"/>
              </w:rPr>
              <w:t>K-means silhouette</w:t>
            </w:r>
          </w:p>
        </w:tc>
        <w:tc>
          <w:tcPr>
            <w:tcW w:type="dxa" w:w="1754"/>
          </w:tcPr>
          <w:p>
            <w:r/>
            <w:r>
              <w:rPr>
                <w:rFonts w:ascii="Times New Roman" w:hAnsi="Times New Roman"/>
                <w:b w:val="0"/>
                <w:sz w:val="22"/>
              </w:rPr>
              <w:t>0,383 (tren) / 0,368 (test)</w:t>
            </w:r>
          </w:p>
        </w:tc>
        <w:tc>
          <w:tcPr>
            <w:tcW w:type="dxa" w:w="1754"/>
          </w:tcPr>
          <w:p>
            <w:r/>
            <w:r>
              <w:rPr>
                <w:rFonts w:ascii="Times New Roman" w:hAnsi="Times New Roman"/>
                <w:b w:val="0"/>
                <w:sz w:val="22"/>
              </w:rPr>
              <w:t>&gt; 0,3 akseptabelt for eksplorativ analyse</w:t>
            </w:r>
          </w:p>
        </w:tc>
        <w:tc>
          <w:tcPr>
            <w:tcW w:type="dxa" w:w="1754"/>
          </w:tcPr>
          <w:p>
            <w:r/>
            <w:r>
              <w:rPr>
                <w:rFonts w:ascii="Times New Roman" w:hAnsi="Times New Roman"/>
                <w:b w:val="0"/>
                <w:sz w:val="22"/>
              </w:rPr>
              <w:t>Ja</w:t>
            </w:r>
          </w:p>
        </w:tc>
        <w:tc>
          <w:tcPr>
            <w:tcW w:type="dxa" w:w="1754"/>
          </w:tcPr>
          <w:p>
            <w:r/>
            <w:r>
              <w:rPr>
                <w:rFonts w:ascii="Times New Roman" w:hAnsi="Times New Roman"/>
                <w:b w:val="0"/>
                <w:sz w:val="22"/>
              </w:rPr>
              <w:t>Ketkar &amp; Vaidya (2014)</w:t>
            </w:r>
          </w:p>
        </w:tc>
      </w:tr>
      <w:tr>
        <w:tc>
          <w:tcPr>
            <w:tcW w:type="dxa" w:w="1754"/>
          </w:tcPr>
          <w:p>
            <w:r/>
            <w:r>
              <w:rPr>
                <w:rFonts w:ascii="Times New Roman" w:hAnsi="Times New Roman"/>
                <w:b w:val="0"/>
                <w:sz w:val="22"/>
              </w:rPr>
              <w:t>Besparelse (base case)</w:t>
            </w:r>
          </w:p>
        </w:tc>
        <w:tc>
          <w:tcPr>
            <w:tcW w:type="dxa" w:w="1754"/>
          </w:tcPr>
          <w:p>
            <w:r/>
            <w:r>
              <w:rPr>
                <w:rFonts w:ascii="Times New Roman" w:hAnsi="Times New Roman"/>
                <w:b w:val="0"/>
                <w:sz w:val="22"/>
              </w:rPr>
              <w:t>kr 451 515/år (g = 75 %)</w:t>
            </w:r>
          </w:p>
        </w:tc>
        <w:tc>
          <w:tcPr>
            <w:tcW w:type="dxa" w:w="1754"/>
          </w:tcPr>
          <w:p>
            <w:r/>
            <w:r>
              <w:rPr>
                <w:rFonts w:ascii="Times New Roman" w:hAnsi="Times New Roman"/>
                <w:b w:val="0"/>
                <w:sz w:val="22"/>
              </w:rPr>
              <w:t>Moderate gevinster ved ordreoptimalisering</w:t>
            </w:r>
          </w:p>
        </w:tc>
        <w:tc>
          <w:tcPr>
            <w:tcW w:type="dxa" w:w="1754"/>
          </w:tcPr>
          <w:p>
            <w:r/>
            <w:r>
              <w:rPr>
                <w:rFonts w:ascii="Times New Roman" w:hAnsi="Times New Roman"/>
                <w:b w:val="0"/>
                <w:sz w:val="22"/>
              </w:rPr>
              <w:t>Ja</w:t>
            </w:r>
          </w:p>
        </w:tc>
        <w:tc>
          <w:tcPr>
            <w:tcW w:type="dxa" w:w="1754"/>
          </w:tcPr>
          <w:p>
            <w:r/>
            <w:r>
              <w:rPr>
                <w:rFonts w:ascii="Times New Roman" w:hAnsi="Times New Roman"/>
                <w:b w:val="0"/>
                <w:sz w:val="22"/>
              </w:rPr>
              <w:t>Moons et al. (2019)</w:t>
            </w:r>
          </w:p>
        </w:tc>
      </w:tr>
      <w:tr>
        <w:tc>
          <w:tcPr>
            <w:tcW w:type="dxa" w:w="1754"/>
          </w:tcPr>
          <w:p>
            <w:r/>
            <w:r>
              <w:rPr>
                <w:rFonts w:ascii="Times New Roman" w:hAnsi="Times New Roman"/>
                <w:b w:val="0"/>
                <w:sz w:val="22"/>
              </w:rPr>
              <w:t>FOR_MANGE_ORDRER</w:t>
            </w:r>
          </w:p>
        </w:tc>
        <w:tc>
          <w:tcPr>
            <w:tcW w:type="dxa" w:w="1754"/>
          </w:tcPr>
          <w:p>
            <w:r/>
            <w:r>
              <w:rPr>
                <w:rFonts w:ascii="Times New Roman" w:hAnsi="Times New Roman"/>
                <w:b w:val="0"/>
                <w:sz w:val="22"/>
              </w:rPr>
              <w:t>73,1 % (356/487)</w:t>
            </w:r>
          </w:p>
        </w:tc>
        <w:tc>
          <w:tcPr>
            <w:tcW w:type="dxa" w:w="1754"/>
          </w:tcPr>
          <w:p>
            <w:r/>
            <w:r>
              <w:rPr>
                <w:rFonts w:ascii="Times New Roman" w:hAnsi="Times New Roman"/>
                <w:b w:val="0"/>
                <w:sz w:val="22"/>
              </w:rPr>
              <w:t>Suboptimal bestilling utbredt i sykehus</w:t>
            </w:r>
          </w:p>
        </w:tc>
        <w:tc>
          <w:tcPr>
            <w:tcW w:type="dxa" w:w="1754"/>
          </w:tcPr>
          <w:p>
            <w:r/>
            <w:r>
              <w:rPr>
                <w:rFonts w:ascii="Times New Roman" w:hAnsi="Times New Roman"/>
                <w:b w:val="0"/>
                <w:sz w:val="22"/>
              </w:rPr>
              <w:t>Ja</w:t>
            </w:r>
          </w:p>
        </w:tc>
        <w:tc>
          <w:tcPr>
            <w:tcW w:type="dxa" w:w="1754"/>
          </w:tcPr>
          <w:p>
            <w:r/>
            <w:r>
              <w:rPr>
                <w:rFonts w:ascii="Times New Roman" w:hAnsi="Times New Roman"/>
                <w:b w:val="0"/>
                <w:sz w:val="22"/>
              </w:rPr>
              <w:t>Volland et al. (2017)</w:t>
            </w:r>
          </w:p>
        </w:tc>
      </w:tr>
      <w:tr>
        <w:tc>
          <w:tcPr>
            <w:tcW w:type="dxa" w:w="1754"/>
          </w:tcPr>
          <w:p>
            <w:r/>
            <w:r>
              <w:rPr>
                <w:rFonts w:ascii="Times New Roman" w:hAnsi="Times New Roman"/>
                <w:b w:val="0"/>
                <w:sz w:val="22"/>
              </w:rPr>
              <w:t>ABC/XYZ-matrise</w:t>
            </w:r>
          </w:p>
        </w:tc>
        <w:tc>
          <w:tcPr>
            <w:tcW w:type="dxa" w:w="1754"/>
          </w:tcPr>
          <w:p>
            <w:r/>
            <w:r>
              <w:rPr>
                <w:rFonts w:ascii="Times New Roman" w:hAnsi="Times New Roman"/>
                <w:b w:val="0"/>
                <w:sz w:val="22"/>
              </w:rPr>
              <w:t>9-felts kryssklassifisering</w:t>
            </w:r>
          </w:p>
        </w:tc>
        <w:tc>
          <w:tcPr>
            <w:tcW w:type="dxa" w:w="1754"/>
          </w:tcPr>
          <w:p>
            <w:r/>
            <w:r>
              <w:rPr>
                <w:rFonts w:ascii="Times New Roman" w:hAnsi="Times New Roman"/>
                <w:b w:val="0"/>
                <w:sz w:val="22"/>
              </w:rPr>
              <w:t>Gir økt segmenteringsverdi</w:t>
            </w:r>
          </w:p>
        </w:tc>
        <w:tc>
          <w:tcPr>
            <w:tcW w:type="dxa" w:w="1754"/>
          </w:tcPr>
          <w:p>
            <w:r/>
            <w:r>
              <w:rPr>
                <w:rFonts w:ascii="Times New Roman" w:hAnsi="Times New Roman"/>
                <w:b w:val="0"/>
                <w:sz w:val="22"/>
              </w:rPr>
              <w:t>Ja</w:t>
            </w:r>
          </w:p>
        </w:tc>
        <w:tc>
          <w:tcPr>
            <w:tcW w:type="dxa" w:w="1754"/>
          </w:tcPr>
          <w:p>
            <w:r/>
            <w:r>
              <w:rPr>
                <w:rFonts w:ascii="Times New Roman" w:hAnsi="Times New Roman"/>
                <w:b w:val="0"/>
                <w:sz w:val="22"/>
              </w:rPr>
              <w:t>Suryaputri et al. (2022)</w:t>
            </w:r>
          </w:p>
        </w:tc>
      </w:tr>
      <w:tr>
        <w:tc>
          <w:tcPr>
            <w:tcW w:type="dxa" w:w="1754"/>
          </w:tcPr>
          <w:p>
            <w:r/>
            <w:r>
              <w:rPr>
                <w:rFonts w:ascii="Times New Roman" w:hAnsi="Times New Roman"/>
                <w:b w:val="0"/>
                <w:sz w:val="22"/>
              </w:rPr>
              <w:t>K-means merverdi</w:t>
            </w:r>
          </w:p>
        </w:tc>
        <w:tc>
          <w:tcPr>
            <w:tcW w:type="dxa" w:w="1754"/>
          </w:tcPr>
          <w:p>
            <w:r/>
            <w:r>
              <w:rPr>
                <w:rFonts w:ascii="Times New Roman" w:hAnsi="Times New Roman"/>
                <w:b w:val="0"/>
                <w:sz w:val="22"/>
              </w:rPr>
              <w:t>Begrenset – bekrefter ABC/XYZ</w:t>
            </w:r>
          </w:p>
        </w:tc>
        <w:tc>
          <w:tcPr>
            <w:tcW w:type="dxa" w:w="1754"/>
          </w:tcPr>
          <w:p>
            <w:r/>
            <w:r>
              <w:rPr>
                <w:rFonts w:ascii="Times New Roman" w:hAnsi="Times New Roman"/>
                <w:b w:val="0"/>
                <w:sz w:val="22"/>
              </w:rPr>
              <w:t>Klyngeanalyse komplementær, men ofte bekreftende</w:t>
            </w:r>
          </w:p>
        </w:tc>
        <w:tc>
          <w:tcPr>
            <w:tcW w:type="dxa" w:w="1754"/>
          </w:tcPr>
          <w:p>
            <w:r/>
            <w:r>
              <w:rPr>
                <w:rFonts w:ascii="Times New Roman" w:hAnsi="Times New Roman"/>
                <w:b w:val="0"/>
                <w:sz w:val="22"/>
              </w:rPr>
              <w:t>Delvis</w:t>
            </w:r>
          </w:p>
        </w:tc>
        <w:tc>
          <w:tcPr>
            <w:tcW w:type="dxa" w:w="1754"/>
          </w:tcPr>
          <w:p>
            <w:r/>
            <w:r>
              <w:rPr>
                <w:rFonts w:ascii="Times New Roman" w:hAnsi="Times New Roman"/>
                <w:b w:val="0"/>
                <w:sz w:val="22"/>
              </w:rPr>
              <w:t>Srinivasan &amp; Moon (1999)</w:t>
            </w:r>
          </w:p>
        </w:tc>
      </w:tr>
    </w:tbl>
    <w:p>
      <w:pPr>
        <w:pStyle w:val="Overskrift2"/>
      </w:pPr>
      <w:r>
        <w:rPr>
          <w:rFonts w:ascii="Times New Roman" w:hAnsi="Times New Roman"/>
          <w:color w:val="000000"/>
          <w:sz w:val="32"/>
        </w:rPr>
        <w:t>8.2 Metodekritikk</w:t>
      </w:r>
    </w:p>
    <w:p>
      <w:pPr>
        <w:spacing w:line="360" w:lineRule="auto"/>
        <w:jc w:val="both"/>
      </w:pPr>
      <w:r>
        <w:rPr>
          <w:rFonts w:ascii="Times New Roman" w:hAnsi="Times New Roman" w:cs="Times New Roman"/>
          <w:sz w:val="24"/>
        </w:rPr>
        <w:t>SAP S/4HANA-data fra SE16H er operasjonelle systemdata. Transaksjonsdataene (MSEG, EKBE) registreres automatisk ved hvert varemottak, lageruttak og bestilling, og er ikke gjenstand for hukommelsesfeil eller sosial ønskverdighet, noe som gir dem høy reliabilitet sammenlignet med spørreundersøkelsesdata (Saha &amp; Ray, 2019). Stamdata (MARA, MBEW) er imidlertid manuelt vedlikeholdt og kan inneholde feil i prisregistrering eller klassifisering. For de 204 artiklene der ABC-verdien er beregnet fra STPRS (D-03), vil eventuelle prisavvik direkte påvirke klassifiseringen. Analysescriptet er deterministisk og reproduserbart: gitt samme kildedata og samme script vil analysen gi identiske resultater. Dette er en metodisk styrke som er viktig for en studie der anbefalingene potensielt vil danne grunnlag for strategiske beslutninger. En potensiell svakhet ved datagrunnlaget er at MSEG-data kun fanger forbruk registrert i SAP; forbruk som skjer utenom systemet – for eksempel ved nøduttak som ikke dokumenteres – vil ikke fremgå av analysen.</w:t>
      </w:r>
    </w:p>
    <w:p>
      <w:pPr>
        <w:spacing w:line="360" w:lineRule="auto"/>
        <w:jc w:val="both"/>
      </w:pPr>
      <w:r>
        <w:rPr>
          <w:rFonts w:ascii="Times New Roman" w:hAnsi="Times New Roman" w:cs="Times New Roman"/>
          <w:sz w:val="24"/>
        </w:rPr>
        <w:t>Intern validitet handler om hvorvidt ABC-analysen faktisk måler det den hevder å måle for LGORT 3001. For de 505 artiklene der ABC-verdi er basert på faktiske EKPO-innkjøpsdata (ABC_VALUE_SOURCE = EKPO), er dette uproblematisk. For de 204 artiklene der verdien er beregnet som D_ANNUAL × UNIT_PRICE (D-03), er det en implisitt antagelse om at forbruksvolum og standardpris gir et godt estimat for faktisk verdi. Dersom standardprisen i MBEW avviker vesentlig fra faktisk innkjøpspris, vil ABC-rangeringen for disse artiklene være feilaktig. En oppfølgingsstudie bør undersøke prisavviket mellom STPRS og faktisk kjøpspris for de 204 beregnede artiklene.</w:t>
      </w:r>
    </w:p>
    <w:p>
      <w:pPr>
        <w:spacing w:line="360" w:lineRule="auto"/>
        <w:jc w:val="both"/>
      </w:pPr>
      <w:r>
        <w:rPr>
          <w:rFonts w:ascii="Times New Roman" w:hAnsi="Times New Roman" w:cs="Times New Roman"/>
          <w:sz w:val="24"/>
        </w:rPr>
        <w:t>Studien gjennomfører ingen ekstern validering av regelmotor-anbefalingene mot innkjøpsfaglig skjønn eller historiske overføringsbeslutninger. Dette er en anerkjent begrensning ved normative klassifiseringsmodeller, som van Kampen et al. (2012) påpeker at alltid innebærer en grad av normativt skjønn i regelutformingen som vanskelig lar seg verifisere rent kvantitativt. Manglende ekstern validering innebærer at regelmotoren bør betraktes som et strukturert beslutningsunderlag, ikke som en autorisert beslutning. Konkret innebærer dette at vi ikke kan angi modellens presisjon (andel korrekte OVERFØR-anbefalinger) eller recall (andel faktisk egnede artikler som fanges opp). Fraværet skyldes at ingen historisk referanseklassifisering eksisterer ved Helse Bergen – det er nettopp dette gapet studien adresserer. Resultatene bør dermed tolkes som et førstegenerasjons beslutningsunderlag. En planlagt oppfølgingsfase ved Helse Bergen vil innebære faglig gjennomgang av OVERFØR-listen mot innkjøpsfaglig og klinisk kompetanse, noe som vil gi det første empiriske grunnlaget for å kalibrere regelmotoren.</w:t>
      </w:r>
    </w:p>
    <w:p>
      <w:pPr>
        <w:spacing w:line="360" w:lineRule="auto"/>
        <w:jc w:val="both"/>
      </w:pPr>
      <w:r>
        <w:rPr>
          <w:rFonts w:ascii="Times New Roman" w:hAnsi="Times New Roman" w:cs="Times New Roman"/>
          <w:sz w:val="24"/>
        </w:rPr>
        <w:t>EOQ-modellen forutsetter deterministisk og stasjonær etterspørsel (Wilson-formelen). Analysen anvender EOQ på de 350 X-artiklene (</w:t>
      </w:r>
      <m:oMath>
        <m:r>
          <m:t>CV&lt;0,5</m:t>
        </m:r>
      </m:oMath>
      <w:r>
        <w:rPr>
          <w:rFonts w:ascii="Times New Roman" w:hAnsi="Times New Roman" w:cs="Times New Roman"/>
          <w:sz w:val="24"/>
        </w:rPr>
        <w:t xml:space="preserve">), men det er ikke gjennomført en formell stasjonaritets- eller normalitetstest for disse artiklenes etterspørselsserier. For artiklene med størst </w:t>
      </w:r>
      <m:oMath>
        <m:r>
          <m:t>ΔTC</m:t>
        </m:r>
      </m:oMath>
      <w:r>
        <w:rPr>
          <w:rFonts w:ascii="Times New Roman" w:hAnsi="Times New Roman" w:cs="Times New Roman"/>
          <w:sz w:val="24"/>
        </w:rPr>
        <w:t xml:space="preserve"> – som utgjør grunnlaget for besparelsesestimatet – representerer dette en potensiell intern validitetstrussel: dersom etterspørselen er sesongavhengig eller har trend, vil den optimale ordrefrekvensen </w:t>
      </w:r>
      <m:oMath>
        <m:sSup>
          <m:e>
            <m:r>
              <m:t>f</m:t>
            </m:r>
          </m:e>
          <m:sup>
            <m:r>
              <m:t>*</m:t>
            </m:r>
          </m:sup>
        </m:sSup>
      </m:oMath>
      <w:r>
        <w:rPr>
          <w:rFonts w:ascii="Times New Roman" w:hAnsi="Times New Roman" w:cs="Times New Roman"/>
          <w:sz w:val="24"/>
        </w:rPr>
        <w:t xml:space="preserve"> avvike fra Wilson-estimatet. Hautaniemi og Pirttilä (1999) påpeker at EOQ-baserte beregninger er mest pålitelige for artikler med lav variabilitet, noe som understøtter valget om å begrense analysen til X-klassen, men en formell stasjonaritetstest (f.eks. augmented Dickey–Fuller) ville styrket den interne validiteten ytterligere. Et mitigerende argument er at X-artikler per definisjon har </w:t>
      </w:r>
      <m:oMath>
        <m:r>
          <m:t>CV&lt;0,5,</m:t>
        </m:r>
      </m:oMath>
      <w:r>
        <w:rPr>
          <w:rFonts w:ascii="Times New Roman" w:hAnsi="Times New Roman" w:cs="Times New Roman"/>
          <w:sz w:val="24"/>
        </w:rPr>
        <w:t xml:space="preserve"> noe som innebærer at etterspørselsvariansen er lav relativt til gjennomsnittet over den 24-månedersperioden analysen dekker. EOQ-avviksanalysens primære formål er dessuten relativ rangering av artikler etter kostnadsavvik, ikke eksakt kostnadsestimering – en systematisk feil i </w:t>
      </w:r>
      <m:oMath>
        <m:sSup>
          <m:e>
            <m:r>
              <m:t>f</m:t>
            </m:r>
          </m:e>
          <m:sup>
            <m:r>
              <m:t>*</m:t>
            </m:r>
          </m:sup>
        </m:sSup>
      </m:oMath>
      <w:r>
        <w:rPr>
          <w:rFonts w:ascii="Times New Roman" w:hAnsi="Times New Roman" w:cs="Times New Roman"/>
          <w:sz w:val="24"/>
        </w:rPr>
        <w:t xml:space="preserve"> vil dermed i stor grad påvirke alle artikler proporsjonalt og bevare rangeringen.</w:t>
      </w:r>
    </w:p>
    <w:p>
      <w:pPr>
        <w:spacing w:line="360" w:lineRule="auto"/>
        <w:jc w:val="both"/>
      </w:pPr>
      <w:r>
        <w:rPr>
          <w:rFonts w:ascii="Times New Roman" w:hAnsi="Times New Roman" w:cs="Times New Roman"/>
          <w:sz w:val="24"/>
        </w:rPr>
        <w:t xml:space="preserve">Besparelsesestimatet </w:t>
      </w:r>
      <m:oMath>
        <m:sSub>
          <m:e>
            <m:r>
              <m:t>B</m:t>
            </m:r>
          </m:e>
          <m:sub>
            <m:r>
              <m:rPr>
                <m:nor/>
              </m:rPr>
              <m:t>HVFS</m:t>
            </m:r>
          </m:sub>
        </m:sSub>
        <m:r>
          <m:t>=∑ΔT</m:t>
        </m:r>
        <m:sSub>
          <m:e>
            <m:r>
              <m:t>C</m:t>
            </m:r>
          </m:e>
          <m:sub>
            <m:r>
              <m:t>i</m:t>
            </m:r>
          </m:sub>
        </m:sSub>
        <m:r>
          <m:t>·g</m:t>
        </m:r>
      </m:oMath>
      <w:r>
        <w:rPr>
          <w:rFonts w:ascii="Times New Roman" w:hAnsi="Times New Roman" w:cs="Times New Roman"/>
          <w:sz w:val="24"/>
        </w:rPr>
        <w:t xml:space="preserve"> fanger utelukkende transaksjonskostnadsavviket fra suboptimal ordrefrekvens for de 117 artiklene i skjæringspunktet OVERFØR\_HVFS </w:t>
      </w:r>
      <m:oMath>
        <m:r>
          <m:t>∩</m:t>
        </m:r>
      </m:oMath>
      <w:r>
        <w:rPr>
          <w:rFonts w:ascii="Times New Roman" w:hAnsi="Times New Roman" w:cs="Times New Roman"/>
          <w:sz w:val="24"/>
        </w:rPr>
        <w:t xml:space="preserve"> FOR\_MANGE\_ORDRER. Tre kostnadselementer er eksplisitt utenfor modellens rekkevidde: (1) redusert lokal lagerkapitalbinding ved overføring – en positiv gevinst som ikke er kvantifisert, men som Kelle et al. (2012) anslår til 5–15 % av lagerverdien for sentraliserte artikler; (2) transportkostnader fra HVFS til avdeling via APL-modellen, som representerer en motpost og må kartlegges i implementeringsfasen; og (3) engangskostnader for SAP MM-konfigurering, leverandørforhandlinger og prosessomstilling. Estimatet er dermed et konservativt transaksjonskostnadsestimat som ikke omfatter den fulle netto besparelseseffekten av sentralisering.</w:t>
      </w:r>
    </w:p>
    <w:p>
      <w:pPr>
        <w:spacing w:line="360" w:lineRule="auto"/>
        <w:jc w:val="both"/>
      </w:pPr>
      <w:r>
        <w:rPr>
          <w:rFonts w:ascii="Times New Roman" w:hAnsi="Times New Roman" w:cs="Times New Roman"/>
          <w:sz w:val="24"/>
        </w:rPr>
        <w:t>Studien er avgrenset til WERKS 3300, LGORT 3001 ved Helse Bergen. Det er ikke grunnlag for å hevde at de eksakte tallresultatene gjelder for andre WERKS-enheter i Helse Vest. Metoderammeverket – kombinasjonen av ABC, XYZ, EOQ og K-means med en regelmotor – er imidlertid fullt reproduserbart og kan, med tilpassing av parameterinnstillinger, anvendes på tilsvarende SAP-datastrukturer ved andre helseforetak. Fragapane et al. (2019) argumenterer for at datadrevne klassifiseringsmetoder for sykehuslogistikk har generell overføringsverdi så lenge datagrunnlaget er av tilsvarende type og kvalitet. Det er likevel viktig å være nøktern: strukturelle forskjeller mellom helseforetak – ulik sortimentssammensetning, ulike leverandøravtaler og ulike driftsmodeller – vil påvirke resultater og anbefalinger.</w:t>
      </w:r>
    </w:p>
    <w:p>
      <w:pPr>
        <w:pStyle w:val="Overskrift2"/>
      </w:pPr>
      <w:r>
        <w:rPr>
          <w:rFonts w:ascii="Times New Roman" w:hAnsi="Times New Roman"/>
          <w:color w:val="000000"/>
          <w:sz w:val="32"/>
        </w:rPr>
        <w:t>8.3 Praktisk betydning for Helse Bergen</w:t>
      </w:r>
    </w:p>
    <w:p>
      <w:pPr>
        <w:spacing w:line="360" w:lineRule="auto"/>
        <w:jc w:val="both"/>
      </w:pPr>
      <w:r>
        <w:rPr>
          <w:rFonts w:ascii="Times New Roman" w:hAnsi="Times New Roman" w:cs="Times New Roman"/>
          <w:sz w:val="24"/>
        </w:rPr>
        <w:t>At 145 artikler anbefales overført til HVFS innebærer en konkret overgang fra lokal lagerhåndtering til sentralisert forsyning via NorEngros og APL-leveransemodellen. I praksis betyr dette at bestillingsansvaret for disse artiklene flyttes fra Helse Bergens innkjøpsenhet til HVFS, og at artiklene mottas avdelingspakket i stedet for som bulk til forsyningslageret LGORT 3001. En slik overgang forutsetter endringer i SAP MM-oppsettet: MRP-type bør gjennomgås og justeres, og ordrekvantumsparametere (minimum ordrekvantum, avrundingsverdi) bør kalibreres mot EOQ-optimal frekvens for de aktuelle artiklene. De 117 artiklene som er i skjæringspunktet OVERFØR_HVFS ∩ FOR_MANGE_ORDRER representerer de mest presserende tilfellene, der den nåværende ordrepraksisen avviker vesentlig fra det som er kostnadsoptimalt.</w:t>
      </w:r>
    </w:p>
    <w:p>
      <w:pPr>
        <w:spacing w:line="360" w:lineRule="auto"/>
        <w:jc w:val="both"/>
      </w:pPr>
      <w:r>
        <w:rPr>
          <w:rFonts w:ascii="Times New Roman" w:hAnsi="Times New Roman" w:cs="Times New Roman"/>
          <w:sz w:val="24"/>
        </w:rPr>
        <w:t>Den største enkeltgruppen er artikler som regelmotoren sender til manuell vurdering. Disse 284 artiklene kan ikke automatisk klassifiseres med tilstrekkelig sikkerhet basert på de tilgjengelige kvantitative signalene alene. En strukturert gjennomgang av denne gruppen bør inkludere innkjøpsfaglig skjønn: hvilke av disse artiklene er kritiske for pasientbehandling og bør forbli lokalt tilgjengelig uavhengig av kvantitative analysesignaler? De Vries (2011) påpeker at lagerstyring i helsesektoren alltid må balansere kostnadsoptimalisering mot forsyningssikkerhet, og at sistnevnte hensyn legitimt kan overstyre det førstnevnte for utvalgte artikler. Kategorien BEHOLD LOKALT (257 artikler) er analytisk velbegrunnet og krever ikke umiddelbar oppfølging, men bør inkluderes i en periodisk revidering av klassifiseringen.</w:t>
      </w:r>
    </w:p>
    <w:p>
      <w:pPr>
        <w:spacing w:line="360" w:lineRule="auto"/>
        <w:jc w:val="both"/>
      </w:pPr>
      <w:r>
        <w:rPr>
          <w:rFonts w:ascii="Times New Roman" w:hAnsi="Times New Roman" w:cs="Times New Roman"/>
          <w:sz w:val="24"/>
        </w:rPr>
        <w:t>Besparelsesestimatet forutsetter at HVFS-overføringen faktisk fører til endret bestillingspraksis og redusert ordrefrekvens. Dette er ikke automatisk: dersom SAP MM-parametere ikke justeres, vil systemet fortsette å generere ordrer med eksisterende frekvens. Gevinstrealisering krever dermed aktiv oppfølging i SAP – noe som igjen understreker at den kvantitative analysen er ett steg i en lengre implementeringsprosess, ikke et selvstendig endepunkt.</w:t>
      </w:r>
    </w:p>
    <w:p>
      <w:pPr>
        <w:spacing w:line="360" w:lineRule="auto"/>
        <w:jc w:val="both"/>
      </w:pPr>
      <w:r>
        <w:rPr>
          <w:rFonts w:ascii="Times New Roman" w:hAnsi="Times New Roman" w:cs="Times New Roman"/>
          <w:sz w:val="24"/>
        </w:rPr>
        <w:t>For LIBRA-prosjektet spesifikt innebærer resultatene at det foreligger et forslag til et kvantitativt, reproduserbart beslutningsgrunnlag som potensielt kan integreres i den regionale utrullingen av sentralisert forsyning. Rammeverket kan brukes som mal for tilsvarende analyser ved de øvrige helseforetakene (Helse Stavanger, Helse Fonna, Helse Førde) etter hvert som de kobles på HVFS via SAP S/4HANA. Dersom LIBRA velger å implementere periodisk reklassifisering – for eksempel årlig – vil analysescriptet kunne kjøres på oppdaterte data uten metodisk tilpasning, noe som gir HVFS et verktøy for kontinuerlig porteføljeoptimalisering.</w:t>
      </w:r>
    </w:p>
    <w:p>
      <w:pPr>
        <w:pStyle w:val="Overskrift2"/>
      </w:pPr>
      <w:r>
        <w:rPr>
          <w:rFonts w:ascii="Times New Roman" w:hAnsi="Times New Roman"/>
          <w:color w:val="000000"/>
          <w:sz w:val="32"/>
        </w:rPr>
        <w:t>8.4 Svakheter og begrensninger</w:t>
      </w:r>
    </w:p>
    <w:p>
      <w:pPr>
        <w:spacing w:line="360" w:lineRule="auto"/>
        <w:jc w:val="both"/>
      </w:pPr>
      <w:r>
        <w:rPr>
          <w:rFonts w:ascii="Times New Roman" w:hAnsi="Times New Roman" w:cs="Times New Roman"/>
          <w:sz w:val="24"/>
        </w:rPr>
        <w:t xml:space="preserve">Realiseringsgraden </w:t>
      </w:r>
      <m:oMath>
        <m:r>
          <m:t>g</m:t>
        </m:r>
      </m:oMath>
      <w:r>
        <w:rPr>
          <w:rFonts w:ascii="Times New Roman" w:hAnsi="Times New Roman" w:cs="Times New Roman"/>
          <w:sz w:val="24"/>
        </w:rPr>
        <w:t xml:space="preserve"> i besparelsesformelen er en scenarioparameter, ikke en empirisk prognose. Verdien </w:t>
      </w:r>
      <m:oMath>
        <m:r>
          <m:t>g=75</m:t>
        </m:r>
        <m:r>
          <m:t>%</m:t>
        </m:r>
      </m:oMath>
      <w:r>
        <w:rPr>
          <w:rFonts w:ascii="Times New Roman" w:hAnsi="Times New Roman" w:cs="Times New Roman"/>
          <w:sz w:val="24"/>
        </w:rPr>
        <w:t xml:space="preserve"> (base case) er en ekspertantagelse uten direkte empirisk belegg fra sykehuslogistikk, og representerer den viktigste enkeltusikkerheten i besparelsesestimatet. Intervallet 50–100 % er valgt for å fange realistisk implementeringsfriksjon: tre-scenarioanalysen gjør usikkerheten eksplisitt og lar beslutningstaker vurdere robustheten. Ettersom estimatet kun fanger transaksjonskostnadsavviket og utelater kapitalbindingsgevinsten – som Kelle et al. (2012) anslår til 5–15 % av lagerverdien – vil den faktiske nettogevinsten sannsynligvis ligge høyere enn base case isolert sett tilsier, selv med moderat gevinstrealisering. Tilsvarende er ordrekostnad </w:t>
      </w:r>
      <m:oMath>
        <m:r>
          <m:t>S=750</m:t>
        </m:r>
      </m:oMath>
      <w:r>
        <w:rPr>
          <w:rFonts w:ascii="Times New Roman" w:hAnsi="Times New Roman" w:cs="Times New Roman"/>
          <w:sz w:val="24"/>
        </w:rPr>
        <w:t xml:space="preserve"> NOK basert på internasjonal litteratur og ikke empirisk estimert for Helse Bergen; en ABC-kalkyle (Activity-Based Costing) av faktisk ordrekostnad ville styrket estimatets presisjon. Den faktiske gevinsten avhenger av gjennomføringskvalitet, leverandørenes kapasitet og Helse Bergens evne til å revidere SAP-parametere. Sensitivitetsanalysen over 27 scenarier synliggjør bredden i usikkerhetsintervallet.</w:t>
      </w:r>
    </w:p>
    <w:p>
      <w:pPr>
        <w:spacing w:line="360" w:lineRule="auto"/>
        <w:jc w:val="both"/>
      </w:pPr>
      <w:r>
        <w:rPr>
          <w:rFonts w:ascii="Times New Roman" w:hAnsi="Times New Roman" w:cs="Times New Roman"/>
          <w:sz w:val="24"/>
        </w:rPr>
        <w:t>Standardverdien for leveringstid på 14 dager (94 % av artiklene) har begrenset direkte effekt på den frekvensbaserte EOQ-analysen, men vil være avgjørende for en fremtidig ROP-analyse. Analyseperioden 2024–2025 kan fortsatt være påvirket av ettervirkninger fra COVID-19-pandemien, noe som kan gi misvisende CV for enkeltartikler.</w:t>
      </w:r>
    </w:p>
    <w:p>
      <w:pPr>
        <w:spacing w:line="360" w:lineRule="auto"/>
        <w:jc w:val="both"/>
      </w:pPr>
      <w:r>
        <w:rPr>
          <w:rFonts w:ascii="Times New Roman" w:hAnsi="Times New Roman" w:cs="Times New Roman"/>
          <w:sz w:val="24"/>
        </w:rPr>
        <w:t xml:space="preserve">K-means er sensitiv overfor valget av K (Srinivasan &amp; Moon, 1999): med </w:t>
      </w:r>
      <m:oMath>
        <m:r>
          <m:t>K=2</m:t>
        </m:r>
      </m:oMath>
      <w:r>
        <w:rPr>
          <w:rFonts w:ascii="Times New Roman" w:hAnsi="Times New Roman" w:cs="Times New Roman"/>
          <w:sz w:val="24"/>
        </w:rPr>
        <w:t xml:space="preserve"> eller </w:t>
      </w:r>
      <m:oMath>
        <m:r>
          <m:t>K=4</m:t>
        </m:r>
      </m:oMath>
      <w:r>
        <w:rPr>
          <w:rFonts w:ascii="Times New Roman" w:hAnsi="Times New Roman" w:cs="Times New Roman"/>
          <w:sz w:val="24"/>
        </w:rPr>
        <w:t xml:space="preserve"> ville klyngestrukturen sett annerledes ut. Z-score-standardiseringen gir de tre featurene lik vekt – en normativ beslutning som påvirker klyngeresultatene. CV-koeffisienten har en kjent svakhet ved lavt forbruksvolum, der enkeltutleveringer kan gi kunstig høy eller lav CV. K-means-klyngens rolle i regelmotoren er begrenset: fordi K\_OVERFØR per definisjon er klyngen med lavest CV og høyest verdi, overlapper den i stor grad med artikler som allerede identifiseres via ABC/XYZ-reglene (R3). K-means fungerer dermed primært som et bekreftende støttefilter snarere enn som et uavhengig empirisk signal – en form for bekreftelsestendens som bør erkjennes. Den primære merverdien av K-means i denne studien er metodisk snarere enn empirisk: klyngeanalysen viser at en datadrevet, terskelfri segmentering konvergerer mot samme artikkelgrupper som den terskelbaserte ABC/XYZ-klassifiseringen, noe som styrker tilliten til at terskelvalgene (80/95 % for ABC, 0,5/1,0 for CV) ikke er vilkårlige for dette datasettet.</w:t>
      </w:r>
    </w:p>
    <w:p>
      <w:pPr>
        <w:spacing w:line="360" w:lineRule="auto"/>
        <w:jc w:val="both"/>
      </w:pPr>
      <w:r>
        <w:rPr>
          <w:rFonts w:ascii="Times New Roman" w:hAnsi="Times New Roman" w:cs="Times New Roman"/>
          <w:sz w:val="24"/>
        </w:rPr>
        <w:t>For 204 artikler uten EKPO-data er ABC-verdien beregnet fra D_ANNUAL × UNIT_PRICE. Av de 199 som har tilstrekkelig data til ABC-klassifisering, havner 98 i A-klassen og 63 i B-klassen. Dersom standardprisen systematisk avviker fra faktisk innkjøpspris, kan ABC-rangeringen for disse artiklene være upresis. Risikoen dempes av at regelmotoren krever flere sammenfallende signaler (ABC + XYZ + EOQ/K-means) for OVERFØR-anbefaling – en isolert ABC-feil vil dermed sjelden alene utløse en feilklassifisering.</w:t>
      </w:r>
    </w:p>
    <w:p>
      <w:pPr>
        <w:spacing w:line="360" w:lineRule="auto"/>
        <w:jc w:val="both"/>
      </w:pPr>
      <w:r>
        <w:rPr>
          <w:rFonts w:ascii="Times New Roman" w:hAnsi="Times New Roman" w:cs="Times New Roman"/>
          <w:sz w:val="24"/>
        </w:rPr>
        <w:t>Modellen inkluderer ikke en eksplisitt kritikalitetsdimensjon som VED (Vital, Essential, Desirable). I sykehuslogistikk er kritikalitet en primær styringsparameter (Gupta et al., 2007; Gurumurthy et al., 2021), og fraværet innebærer at OVERFØR-anbefalingen kan omfatte artikler der leveringssvikt har alvorlige pasientkonsekvenser. Kritikalitetsdata inngår ikke som strukturert variabel i det aktuelle datauttrekket; ved Helse Bergen er VED-vurderingen i praksis basert på klinisk skjønn og foreligger ikke i maskinlesbar form. Regelmotorens R1-regel (Z-override) fungerer som en delvis kompensasjon ved å holde artikler med uregelmessig forbruk lokalt, men dette erstatter ikke en eksplisitt kritikalitetsvurdering. Pilotvalideringen (anbefaling 1, kap. 9.2) bør eksplisitt inkludere en klinisk kritikalitetsvurdering som supplement til de kvantitative signalene.</w:t>
      </w:r>
    </w:p>
    <w:p>
      <w:pPr>
        <w:spacing w:line="360" w:lineRule="auto"/>
        <w:jc w:val="both"/>
      </w:pPr>
      <w:r>
        <w:rPr>
          <w:rFonts w:ascii="Times New Roman" w:hAnsi="Times New Roman" w:cs="Times New Roman"/>
          <w:sz w:val="24"/>
        </w:rPr>
        <w:t>Studien benytter kun K-means som klyngealgoritme. En sammenligning med hierarkisk klynging eller DBSCAN ville styrket tilliten til klyngeresultatene, særlig gitt at silhouette-scoren (0,383) indikerer moderat separasjon.</w:t>
      </w:r>
    </w:p>
    <w:p>
      <w:pPr>
        <w:spacing w:line="360" w:lineRule="auto"/>
        <w:jc w:val="both"/>
      </w:pPr>
      <w:r>
        <w:rPr>
          <w:rFonts w:ascii="Times New Roman" w:hAnsi="Times New Roman" w:cs="Times New Roman"/>
          <w:sz w:val="24"/>
        </w:rPr>
        <w:t>Besparelsesestimatet er beregnet analytisk. En Monte Carlo-simulering av bestillingsfrekvensendringer for de største overføringskandidatene ville gitt et dynamisk estimat som fanger samspillet mellom ordrefrekvens, lagernivå og servicenivå over tid.</w:t>
      </w:r>
    </w:p>
    <w:p>
      <w:pPr>
        <w:pStyle w:val="Overskrift1"/>
        <w:pageBreakBefore w:val="true"/>
      </w:pPr>
      <w:r>
        <w:rPr>
          <w:rFonts w:ascii="Times New Roman" w:hAnsi="Times New Roman"/>
          <w:color w:val="000000"/>
          <w:sz w:val="36"/>
        </w:rPr>
        <w:t>Kapittel 9 – Konklusjon</w:t>
      </w:r>
    </w:p>
    <w:p>
      <w:pPr>
        <w:pStyle w:val="Overskrift2"/>
      </w:pPr>
      <w:r>
        <w:rPr>
          <w:rFonts w:ascii="Times New Roman" w:hAnsi="Times New Roman"/>
          <w:color w:val="000000"/>
          <w:sz w:val="32"/>
        </w:rPr>
        <w:t>9.1 Svar på problemstillingen</w:t>
      </w:r>
    </w:p>
    <w:p>
      <w:pPr>
        <w:spacing w:line="360" w:lineRule="auto"/>
        <w:jc w:val="both"/>
      </w:pPr>
      <w:r>
        <w:rPr>
          <w:rFonts w:ascii="Times New Roman" w:hAnsi="Times New Roman" w:cs="Times New Roman"/>
          <w:sz w:val="24"/>
        </w:rPr>
        <w:t xml:space="preserve">Denne studien tok utgangspunkt i følgende problemstilling: </w:t>
      </w:r>
      <w:r>
        <w:rPr>
          <w:rFonts w:ascii="Times New Roman" w:hAnsi="Times New Roman" w:cs="Times New Roman"/>
          <w:i/>
          <w:sz w:val="24"/>
        </w:rPr>
        <w:t>Hvordan kan multikriterieklassifisering og klyngeanalyse av SAP-transaksjonsdata identifisere hvilke artikler ved Helse Bergens forsyningslager (WERKS 3300, LGORT 3001) som er kandidater for overføring til HVFS, og hva er det estimerte besparelsespotensialet?</w:t>
      </w:r>
    </w:p>
    <w:p>
      <w:pPr>
        <w:spacing w:line="360" w:lineRule="auto"/>
        <w:jc w:val="both"/>
      </w:pPr>
      <w:r>
        <w:rPr>
          <w:rFonts w:ascii="Times New Roman" w:hAnsi="Times New Roman" w:cs="Times New Roman"/>
          <w:sz w:val="24"/>
        </w:rPr>
        <w:t xml:space="preserve">Studien viser at en strukturert kombinasjon av ABC-analyse, XYZ-klassifisering, EOQ-avviksanalyse og K-means klyngeanalyse – sammenstilt i regelmotoren – gir et strukturert beslutningsgrunnlag for å prioritere overføringskandidater direkte fra SAP-transaksjonsdata. Av de 709 aktive artiklene i LGORT 3001 identifiserer regelmotoren </w:t>
      </w:r>
      <w:r>
        <w:rPr>
          <w:rFonts w:ascii="Times New Roman" w:hAnsi="Times New Roman" w:cs="Times New Roman"/>
          <w:b/>
          <w:sz w:val="24"/>
        </w:rPr>
        <w:t>145 artikler</w:t>
      </w:r>
      <w:r>
        <w:rPr>
          <w:rFonts w:ascii="Times New Roman" w:hAnsi="Times New Roman" w:cs="Times New Roman"/>
          <w:sz w:val="24"/>
        </w:rPr>
        <w:t xml:space="preserve"> (20,5 %) som prioriterte overføringskandidater til HVFS. Disse artiklene kjennetegnes ved høy verdi (A- eller B-klasse), stabilt forbruksmønster (X- eller Y-klasse) og dokumentert overbestilling eller klyngetilhørighet som indikerer ineffektiv ordrepraksis. Anbefalingene er ikke eksternt validert mot innkjøpsfaglig skjønn, og bør betraktes som et rangert beslutningsunderlag – ikke som verifiserte beslutningsregler.</w:t>
      </w:r>
    </w:p>
    <w:p>
      <w:pPr>
        <w:spacing w:line="360" w:lineRule="auto"/>
        <w:jc w:val="both"/>
      </w:pPr>
      <w:r>
        <w:rPr>
          <w:rFonts w:ascii="Times New Roman" w:hAnsi="Times New Roman" w:cs="Times New Roman"/>
          <w:sz w:val="24"/>
        </w:rPr>
        <w:t>Besparelsespotensialet er estimert som et scenariobasert intervall, ikke som et enkelt punktestimat, fordi nøkkelparametrene S, h og g ikke er kalibrert mot lokalt observerte kostnader. For de 117 artiklene i skjæringspunktet OVERFØR\_HVFS og FOR\_MANGE\_ORDRER gir base case (</w:t>
      </w:r>
      <m:oMath>
        <m:r>
          <m:t>g=75</m:t>
        </m:r>
      </m:oMath>
      <w:r>
        <w:rPr>
          <w:rFonts w:ascii="Times New Roman" w:hAnsi="Times New Roman" w:cs="Times New Roman"/>
          <w:sz w:val="24"/>
        </w:rPr>
        <w:t xml:space="preserve">) et estimat på </w:t>
      </w:r>
      <w:r>
        <w:rPr>
          <w:rFonts w:ascii="Times New Roman" w:hAnsi="Times New Roman" w:cs="Times New Roman"/>
          <w:b/>
          <w:sz w:val="24"/>
        </w:rPr>
        <w:t>kr 451 515 per år</w:t>
      </w:r>
      <w:r>
        <w:rPr>
          <w:rFonts w:ascii="Times New Roman" w:hAnsi="Times New Roman" w:cs="Times New Roman"/>
          <w:sz w:val="24"/>
        </w:rPr>
        <w:t>, mens pessimistisk scenario (</w:t>
      </w:r>
      <m:oMath>
        <m:r>
          <m:t>g=50</m:t>
        </m:r>
      </m:oMath>
      <w:r>
        <w:rPr>
          <w:rFonts w:ascii="Times New Roman" w:hAnsi="Times New Roman" w:cs="Times New Roman"/>
          <w:sz w:val="24"/>
        </w:rPr>
        <w:t>) gir kr 301 010 og optimistisk scenario (</w:t>
      </w:r>
      <m:oMath>
        <m:r>
          <m:t>g=100</m:t>
        </m:r>
      </m:oMath>
      <w:r>
        <w:rPr>
          <w:rFonts w:ascii="Times New Roman" w:hAnsi="Times New Roman" w:cs="Times New Roman"/>
          <w:sz w:val="24"/>
        </w:rPr>
        <w:t xml:space="preserve">) gir kr 602 020. Sensitivitetsanalysen over 27 parameterkombinasjoner – med variasjon i S, h og </w:t>
      </w:r>
      <m:oMath>
        <m:sSub>
          <m:e>
            <m:r>
              <m:t>τ</m:t>
            </m:r>
          </m:e>
          <m:sub>
            <m:r>
              <m:t>f</m:t>
            </m:r>
          </m:sub>
        </m:sSub>
      </m:oMath>
      <w:r>
        <w:rPr>
          <w:rFonts w:ascii="Times New Roman" w:hAnsi="Times New Roman" w:cs="Times New Roman"/>
          <w:sz w:val="24"/>
        </w:rPr>
        <w:t xml:space="preserve"> – viser at </w:t>
      </w:r>
      <m:oMath>
        <m:sSub>
          <m:e>
            <m:r>
              <m:t>B</m:t>
            </m:r>
          </m:e>
          <m:sub>
            <m:r>
              <m:rPr>
                <m:nor/>
              </m:rPr>
              <m:t>HVFS</m:t>
            </m:r>
          </m:sub>
        </m:sSub>
      </m:oMath>
      <w:r>
        <w:rPr>
          <w:rFonts w:ascii="Times New Roman" w:hAnsi="Times New Roman" w:cs="Times New Roman"/>
          <w:sz w:val="24"/>
        </w:rPr>
        <w:t xml:space="preserve"> (</w:t>
      </w:r>
      <m:oMath>
        <m:r>
          <m:t>g=75</m:t>
        </m:r>
      </m:oMath>
      <w:r>
        <w:rPr>
          <w:rFonts w:ascii="Times New Roman" w:hAnsi="Times New Roman" w:cs="Times New Roman"/>
          <w:sz w:val="24"/>
        </w:rPr>
        <w:t>) varierer mellom kr 176 374 og kr 763 903 per år avhengig av parametervalg. Estimatene forblir positive og vesentlige over alle 27 scenarier, men den brede spennvidden understreker at det faktiske besparelsesnivået avhenger av lokale kostnadsforhold som ikke er empirisk fastslått i denne studien.</w:t>
      </w:r>
    </w:p>
    <w:p>
      <w:pPr>
        <w:spacing w:line="360" w:lineRule="auto"/>
        <w:jc w:val="both"/>
      </w:pPr>
      <w:r>
        <w:rPr>
          <w:rFonts w:ascii="Times New Roman" w:hAnsi="Times New Roman" w:cs="Times New Roman"/>
          <w:sz w:val="24"/>
        </w:rPr>
        <w:t>Studien konkluderer dermed med at SAP-transaksjonsdata – hentet fra 14 tabeller via SE16H og bearbeidet med en reproduserbar Python-analyse – gir et tilstrekkelig informasjonsgrunnlag for datadrevet sentraliseringsvurdering. Metoderammeverket besvarer problemstillingen både kvalitativt (hvilke artikler) og kvantitativt (hva er besparelsespotensialet), og gir et strukturert beslutningsgrunnlag for LIBRA-prosjektets videre gjennomføring. Verktøyets primære verdi er systematisk prioritering og triage av artikkelporteføljen – den endelige overføringsbeslutningen krever innkjøpsfaglig og klinisk validering.</w:t>
      </w:r>
    </w:p>
    <w:p>
      <w:pPr>
        <w:pStyle w:val="Overskrift2"/>
      </w:pPr>
      <w:r>
        <w:rPr>
          <w:rFonts w:ascii="Times New Roman" w:hAnsi="Times New Roman"/>
          <w:color w:val="000000"/>
          <w:sz w:val="32"/>
        </w:rPr>
        <w:t>9.2 Anbefalinger til Helse Bergen</w:t>
      </w:r>
    </w:p>
    <w:p>
      <w:pPr>
        <w:spacing w:line="360" w:lineRule="auto"/>
        <w:jc w:val="both"/>
      </w:pPr>
      <w:r>
        <w:rPr>
          <w:rFonts w:ascii="Times New Roman" w:hAnsi="Times New Roman" w:cs="Times New Roman"/>
          <w:sz w:val="24"/>
        </w:rPr>
        <w:t>Basert på studiens funn rettes følgende fire anbefalinger til Helse Bergen og Helse Vest IKT. Anbefalingene er formulert i prioritert rekkefølge, der anbefaling 1 og 3 er umiddelbare parallelle tiltak, anbefaling 2 er mellomfristig, og anbefaling 4 er en langsiktig evalueringssyklus:</w:t>
      </w:r>
    </w:p>
    <w:p>
      <w:pPr>
        <w:spacing w:line="360" w:lineRule="auto"/>
        <w:jc w:val="both"/>
      </w:pPr>
      <w:r>
        <w:rPr>
          <w:rFonts w:ascii="Times New Roman" w:hAnsi="Times New Roman" w:cs="Times New Roman"/>
          <w:b/>
          <w:sz w:val="24"/>
        </w:rPr>
        <w:t>1. Iverksett pilotoverføring for K_OVERFØR-klyngen og AX/BX-artiklene.</w:t>
      </w:r>
    </w:p>
    <w:p>
      <w:pPr>
        <w:spacing w:line="360" w:lineRule="auto"/>
        <w:jc w:val="both"/>
      </w:pPr>
      <w:r>
        <w:rPr>
          <w:rFonts w:ascii="Times New Roman" w:hAnsi="Times New Roman" w:cs="Times New Roman"/>
          <w:sz w:val="24"/>
        </w:rPr>
        <w:t>De 145 artiklene som er identifisert som prioriterte overføringskandidater bør ikke overføres samlet i én operasjon. En pilotfase bør prioritere artiklene i skjæringspunktet mellom K_OVERFØR-klyngen og AX/BX-kategoriene, da disse har den sterkeste kombinasjonen av analysesignaler og lavest forbruksvariasjon. Pilotvalideringen bør suppleres med en klinisk kritikalitetsvurdering (jf. avsnitt 8.4) for å sikre at ingen artikler med høy pasientrisiko overføres uten tilstrekkelig forsyningssikkerhet. En gradvis overføring gir mulighet til å verifisere at HVFS og NorEngros håndterer artiklene i henhold til APL-leveransemodellen før hele porteføljen flyttes.</w:t>
      </w:r>
    </w:p>
    <w:p>
      <w:pPr>
        <w:spacing w:line="360" w:lineRule="auto"/>
        <w:jc w:val="both"/>
      </w:pPr>
      <w:r>
        <w:rPr>
          <w:rFonts w:ascii="Times New Roman" w:hAnsi="Times New Roman" w:cs="Times New Roman"/>
          <w:b/>
          <w:sz w:val="24"/>
        </w:rPr>
        <w:t>2. Gjennomgå de 284 artiklene i VURDER NÆRMERE manuelt.</w:t>
      </w:r>
    </w:p>
    <w:p>
      <w:pPr>
        <w:spacing w:line="360" w:lineRule="auto"/>
        <w:jc w:val="both"/>
      </w:pPr>
      <w:r>
        <w:rPr>
          <w:rFonts w:ascii="Times New Roman" w:hAnsi="Times New Roman" w:cs="Times New Roman"/>
          <w:sz w:val="24"/>
        </w:rPr>
        <w:t>Denne gruppen er for stor og sammensatt til å håndteres med et enkelt kvantitativt signal. En strukturert gjennomgang bør inkludere innkjøpsfaglig og klinisk kompetanse for å vurdere forsyningssikkerhet, leverandørforbindelser og artikkelkritikalitet. Målet er å redusere VURDER-gruppen til en endelig fordeling mellom OVERFØR og BEHOLD innen utgangen av pilotfasen.</w:t>
      </w:r>
    </w:p>
    <w:p>
      <w:pPr>
        <w:spacing w:line="360" w:lineRule="auto"/>
        <w:jc w:val="both"/>
      </w:pPr>
      <w:r>
        <w:rPr>
          <w:rFonts w:ascii="Times New Roman" w:hAnsi="Times New Roman" w:cs="Times New Roman"/>
          <w:b/>
          <w:sz w:val="24"/>
        </w:rPr>
        <w:t>3. Oppdater SAP MM-parametere for overførte artikler.</w:t>
      </w:r>
    </w:p>
    <w:p>
      <w:pPr>
        <w:spacing w:line="360" w:lineRule="auto"/>
        <w:jc w:val="both"/>
      </w:pPr>
      <w:r>
        <w:rPr>
          <w:rFonts w:ascii="Times New Roman" w:hAnsi="Times New Roman" w:cs="Times New Roman"/>
          <w:sz w:val="24"/>
        </w:rPr>
        <w:t>Gevinstrealisering forutsetter at MRP-type og ordrekvantumsparametere justeres i SAP for de artiklene som overføres. Artiklene som er klassifisert som FOR_MANGE_ORDRER bør få oppdaterte ordreintervaller og minimum ordrekvantum i tråd med EOQ-optimale verdier. Uten denne justeringen vil systemet fortsette å generere ordrer med eksisterende frekvens, og besparelsespotensialet vil ikke realiseres. Feltet ZZXYZ bør i tillegg oppdateres med den beregnede CV-klassen som en del av det ordinære SAP MM-vedlikeholdet.</w:t>
      </w:r>
    </w:p>
    <w:p>
      <w:pPr>
        <w:spacing w:line="360" w:lineRule="auto"/>
        <w:jc w:val="both"/>
      </w:pPr>
      <w:r>
        <w:rPr>
          <w:rFonts w:ascii="Times New Roman" w:hAnsi="Times New Roman" w:cs="Times New Roman"/>
          <w:b/>
          <w:sz w:val="24"/>
        </w:rPr>
        <w:t>4. Evaluer gevinstrealisering etter 12 måneder.</w:t>
      </w:r>
    </w:p>
    <w:p>
      <w:pPr>
        <w:spacing w:line="360" w:lineRule="auto"/>
        <w:jc w:val="both"/>
      </w:pPr>
      <w:r>
        <w:rPr>
          <w:rFonts w:ascii="Times New Roman" w:hAnsi="Times New Roman" w:cs="Times New Roman"/>
          <w:sz w:val="24"/>
        </w:rPr>
        <w:t>Etter at pilotoverføringen er gjennomført og SAP-parametere er justert, bør analysen gjentas etter 12 måneder med oppdaterte transaksjonsdata. Dette vil gi grunnlag for å vurdere om det estimerte besparelsespotensialet faktisk er realisert, og om det er ytterligere artikler som bør overføres i neste fase. En slik syklisk evalueringsmodell er i tråd med prinsippene for kontinuerlig forbedring i sykehuslogistikk.</w:t>
      </w:r>
    </w:p>
    <w:p>
      <w:pPr>
        <w:pStyle w:val="Overskrift2"/>
      </w:pPr>
      <w:r>
        <w:rPr>
          <w:rFonts w:ascii="Times New Roman" w:hAnsi="Times New Roman"/>
          <w:color w:val="000000"/>
          <w:sz w:val="32"/>
        </w:rPr>
        <w:t>9.3 Forslag til videre forskning</w:t>
      </w:r>
    </w:p>
    <w:p>
      <w:pPr>
        <w:spacing w:line="360" w:lineRule="auto"/>
        <w:jc w:val="both"/>
      </w:pPr>
      <w:r>
        <w:rPr>
          <w:rFonts w:ascii="Times New Roman" w:hAnsi="Times New Roman" w:cs="Times New Roman"/>
          <w:sz w:val="24"/>
        </w:rPr>
        <w:t xml:space="preserve">Studien åpner for tre retninger innen videre forskning: (1) En </w:t>
      </w:r>
      <w:r>
        <w:rPr>
          <w:rFonts w:ascii="Times New Roman" w:hAnsi="Times New Roman" w:cs="Times New Roman"/>
          <w:b/>
          <w:sz w:val="24"/>
        </w:rPr>
        <w:t>ROP-modul</w:t>
      </w:r>
      <w:r>
        <w:rPr>
          <w:rFonts w:ascii="Times New Roman" w:hAnsi="Times New Roman" w:cs="Times New Roman"/>
          <w:sz w:val="24"/>
        </w:rPr>
        <w:t xml:space="preserve"> som integrerer bestillingspunktberegning vil kreve at EINE-tabellen berikes med faktiske leveringstider, men vil gi anbefalinger om lagernivåer etter overføring. (2) </w:t>
      </w:r>
      <w:r>
        <w:rPr>
          <w:rFonts w:ascii="Times New Roman" w:hAnsi="Times New Roman" w:cs="Times New Roman"/>
          <w:b/>
          <w:sz w:val="24"/>
        </w:rPr>
        <w:t>Leverandørkonsolidering</w:t>
      </w:r>
      <w:r>
        <w:rPr>
          <w:rFonts w:ascii="Times New Roman" w:hAnsi="Times New Roman" w:cs="Times New Roman"/>
          <w:sz w:val="24"/>
        </w:rPr>
        <w:t xml:space="preserve"> via analyse av EKKO/EKPO kan avdekke om HVFS-kandidatene leveres av felles leverandører, noe som kan gi ytterligere besparelser utover ordrefrekvensoptimalisering. (3) </w:t>
      </w:r>
      <w:r>
        <w:rPr>
          <w:rFonts w:ascii="Times New Roman" w:hAnsi="Times New Roman" w:cs="Times New Roman"/>
          <w:b/>
          <w:sz w:val="24"/>
        </w:rPr>
        <w:t>Replikering</w:t>
      </w:r>
      <w:r>
        <w:rPr>
          <w:rFonts w:ascii="Times New Roman" w:hAnsi="Times New Roman" w:cs="Times New Roman"/>
          <w:sz w:val="24"/>
        </w:rPr>
        <w:t xml:space="preserve"> av rammeverket til andre WERKS i Helse Vest (Stavanger, Fonna, Førde) vil styrke den eksterne validiteten og gi grunnlag for differensiert HVFS-sentralisering per foretak.</w:t>
      </w:r>
    </w:p>
    <w:p>
      <w:pPr>
        <w:pStyle w:val="Overskrift1"/>
        <w:pageBreakBefore w:val="true"/>
      </w:pPr>
      <w:r>
        <w:rPr>
          <w:rFonts w:ascii="Times New Roman" w:hAnsi="Times New Roman"/>
          <w:color w:val="000000"/>
          <w:sz w:val="36"/>
        </w:rPr>
        <w:t>Referanseliste</w:t>
      </w:r>
    </w:p>
    <w:p>
      <w:pPr>
        <w:spacing w:line="240" w:lineRule="auto" w:after="120"/>
        <w:ind w:left="720" w:hanging="720"/>
        <w:jc w:val="both"/>
      </w:pPr>
      <w:r>
        <w:rPr>
          <w:rFonts w:ascii="Times New Roman" w:hAnsi="Times New Roman" w:cs="Times New Roman"/>
          <w:sz w:val="24"/>
        </w:rPr>
        <w:t xml:space="preserve">Bijvank, M., &amp; Vis, I. F. A. (2012). Inventory control for point-of-use locations in hospitals. </w:t>
      </w:r>
      <w:r>
        <w:rPr>
          <w:rFonts w:ascii="Times New Roman" w:hAnsi="Times New Roman" w:cs="Times New Roman"/>
          <w:i/>
          <w:sz w:val="24"/>
        </w:rPr>
        <w:t>Journal of the Operational Research Society</w:t>
      </w:r>
      <w:r>
        <w:rPr>
          <w:rFonts w:ascii="Times New Roman" w:hAnsi="Times New Roman" w:cs="Times New Roman"/>
          <w:sz w:val="24"/>
        </w:rPr>
        <w:t xml:space="preserve">, </w:t>
      </w:r>
      <w:r>
        <w:rPr>
          <w:rFonts w:ascii="Times New Roman" w:hAnsi="Times New Roman" w:cs="Times New Roman"/>
          <w:i/>
          <w:sz w:val="24"/>
        </w:rPr>
        <w:t>63</w:t>
      </w:r>
      <w:r>
        <w:rPr>
          <w:rFonts w:ascii="Times New Roman" w:hAnsi="Times New Roman" w:cs="Times New Roman"/>
          <w:sz w:val="24"/>
        </w:rPr>
        <w:t>(4), 497–510. https://doi.org/10.1057/jors.2011.52</w:t>
      </w:r>
    </w:p>
    <w:p>
      <w:pPr>
        <w:spacing w:line="240" w:lineRule="auto" w:after="120"/>
        <w:ind w:left="720" w:hanging="720"/>
        <w:jc w:val="both"/>
      </w:pPr>
      <w:r>
        <w:rPr>
          <w:rFonts w:ascii="Times New Roman" w:hAnsi="Times New Roman" w:cs="Times New Roman"/>
          <w:sz w:val="24"/>
        </w:rPr>
        <w:t xml:space="preserve">de Vries, J. (2011). The shaping of inventory systems in health services: A stakeholder analysis. </w:t>
      </w:r>
      <w:r>
        <w:rPr>
          <w:rFonts w:ascii="Times New Roman" w:hAnsi="Times New Roman" w:cs="Times New Roman"/>
          <w:i/>
          <w:sz w:val="24"/>
        </w:rPr>
        <w:t>International Journal of Production Economics</w:t>
      </w:r>
      <w:r>
        <w:rPr>
          <w:rFonts w:ascii="Times New Roman" w:hAnsi="Times New Roman" w:cs="Times New Roman"/>
          <w:sz w:val="24"/>
        </w:rPr>
        <w:t xml:space="preserve">, </w:t>
      </w:r>
      <w:r>
        <w:rPr>
          <w:rFonts w:ascii="Times New Roman" w:hAnsi="Times New Roman" w:cs="Times New Roman"/>
          <w:i/>
          <w:sz w:val="24"/>
        </w:rPr>
        <w:t>133</w:t>
      </w:r>
      <w:r>
        <w:rPr>
          <w:rFonts w:ascii="Times New Roman" w:hAnsi="Times New Roman" w:cs="Times New Roman"/>
          <w:sz w:val="24"/>
        </w:rPr>
        <w:t>(1), 60–69. https://doi.org/10.1016/j.ijpe.2009.10.029</w:t>
      </w:r>
    </w:p>
    <w:p>
      <w:pPr>
        <w:spacing w:line="240" w:lineRule="auto" w:after="120"/>
        <w:ind w:left="720" w:hanging="720"/>
        <w:jc w:val="both"/>
      </w:pPr>
      <w:r>
        <w:rPr>
          <w:rFonts w:ascii="Times New Roman" w:hAnsi="Times New Roman" w:cs="Times New Roman"/>
          <w:sz w:val="24"/>
        </w:rPr>
        <w:t xml:space="preserve">Fragapane, G. I., Bertnum, A. B., Hvolby, H.-H., &amp; Strandhagen, J. O. (2019). Medical supplies to the point-of-use in hospitals. I </w:t>
      </w:r>
      <w:r>
        <w:rPr>
          <w:rFonts w:ascii="Times New Roman" w:hAnsi="Times New Roman" w:cs="Times New Roman"/>
          <w:i/>
          <w:sz w:val="24"/>
        </w:rPr>
        <w:t>IFIP International Conference on Advances in Production Management Systems (APMS)</w:t>
      </w:r>
      <w:r>
        <w:rPr>
          <w:rFonts w:ascii="Times New Roman" w:hAnsi="Times New Roman" w:cs="Times New Roman"/>
          <w:sz w:val="24"/>
        </w:rPr>
        <w:t xml:space="preserve"> (s. 248–255). Springer. https://doi.org/10.1007/978-3-030-29996-5_29</w:t>
      </w:r>
    </w:p>
    <w:p>
      <w:pPr>
        <w:spacing w:line="240" w:lineRule="auto" w:after="120"/>
        <w:ind w:left="720" w:hanging="720"/>
        <w:jc w:val="both"/>
      </w:pPr>
      <w:r>
        <w:rPr>
          <w:rFonts w:ascii="Times New Roman" w:hAnsi="Times New Roman" w:cs="Times New Roman"/>
          <w:sz w:val="24"/>
        </w:rPr>
        <w:t xml:space="preserve">Gupta, R., Gupta, K. K., Jain, B. R., &amp; Garg, R. K. (2007). ABC and VED analysis in medical stores inventory control. </w:t>
      </w:r>
      <w:r>
        <w:rPr>
          <w:rFonts w:ascii="Times New Roman" w:hAnsi="Times New Roman" w:cs="Times New Roman"/>
          <w:i/>
          <w:sz w:val="24"/>
        </w:rPr>
        <w:t>Medical Journal Armed Forces India</w:t>
      </w:r>
      <w:r>
        <w:rPr>
          <w:rFonts w:ascii="Times New Roman" w:hAnsi="Times New Roman" w:cs="Times New Roman"/>
          <w:sz w:val="24"/>
        </w:rPr>
        <w:t xml:space="preserve">, </w:t>
      </w:r>
      <w:r>
        <w:rPr>
          <w:rFonts w:ascii="Times New Roman" w:hAnsi="Times New Roman" w:cs="Times New Roman"/>
          <w:i/>
          <w:sz w:val="24"/>
        </w:rPr>
        <w:t>63</w:t>
      </w:r>
      <w:r>
        <w:rPr>
          <w:rFonts w:ascii="Times New Roman" w:hAnsi="Times New Roman" w:cs="Times New Roman"/>
          <w:sz w:val="24"/>
        </w:rPr>
        <w:t>(4), 325–327. https://doi.org/10.1016/S0377-1237(07)80005-2</w:t>
      </w:r>
    </w:p>
    <w:p>
      <w:pPr>
        <w:spacing w:line="240" w:lineRule="auto" w:after="120"/>
        <w:ind w:left="720" w:hanging="720"/>
        <w:jc w:val="both"/>
      </w:pPr>
      <w:r>
        <w:rPr>
          <w:rFonts w:ascii="Times New Roman" w:hAnsi="Times New Roman" w:cs="Times New Roman"/>
          <w:sz w:val="24"/>
        </w:rPr>
        <w:t xml:space="preserve">Gurumurthy, A., Nair, V. K., &amp; Vinodh, S. (2021). Application of a hybrid selective inventory control technique in a hospital: A precursor for inventory reduction through lean thinking. </w:t>
      </w:r>
      <w:r>
        <w:rPr>
          <w:rFonts w:ascii="Times New Roman" w:hAnsi="Times New Roman" w:cs="Times New Roman"/>
          <w:i/>
          <w:sz w:val="24"/>
        </w:rPr>
        <w:t>The TQM Journal</w:t>
      </w:r>
      <w:r>
        <w:rPr>
          <w:rFonts w:ascii="Times New Roman" w:hAnsi="Times New Roman" w:cs="Times New Roman"/>
          <w:sz w:val="24"/>
        </w:rPr>
        <w:t xml:space="preserve">, </w:t>
      </w:r>
      <w:r>
        <w:rPr>
          <w:rFonts w:ascii="Times New Roman" w:hAnsi="Times New Roman" w:cs="Times New Roman"/>
          <w:i/>
          <w:sz w:val="24"/>
        </w:rPr>
        <w:t>33</w:t>
      </w:r>
      <w:r>
        <w:rPr>
          <w:rFonts w:ascii="Times New Roman" w:hAnsi="Times New Roman" w:cs="Times New Roman"/>
          <w:sz w:val="24"/>
        </w:rPr>
        <w:t>(3), 568–595. https://doi.org/10.1108/TQM-06-2020-0123</w:t>
      </w:r>
    </w:p>
    <w:p>
      <w:pPr>
        <w:spacing w:line="240" w:lineRule="auto" w:after="120"/>
        <w:ind w:left="720" w:hanging="720"/>
        <w:jc w:val="both"/>
      </w:pPr>
      <w:r>
        <w:rPr>
          <w:rFonts w:ascii="Times New Roman" w:hAnsi="Times New Roman" w:cs="Times New Roman"/>
          <w:sz w:val="24"/>
        </w:rPr>
        <w:t xml:space="preserve">Hautaniemi, P., &amp; Pirttilä, T. (1999). The choice of replenishment policies in an MRP environment. </w:t>
      </w:r>
      <w:r>
        <w:rPr>
          <w:rFonts w:ascii="Times New Roman" w:hAnsi="Times New Roman" w:cs="Times New Roman"/>
          <w:i/>
          <w:sz w:val="24"/>
        </w:rPr>
        <w:t>International Journal of Production Economics</w:t>
      </w:r>
      <w:r>
        <w:rPr>
          <w:rFonts w:ascii="Times New Roman" w:hAnsi="Times New Roman" w:cs="Times New Roman"/>
          <w:sz w:val="24"/>
        </w:rPr>
        <w:t xml:space="preserve">, </w:t>
      </w:r>
      <w:r>
        <w:rPr>
          <w:rFonts w:ascii="Times New Roman" w:hAnsi="Times New Roman" w:cs="Times New Roman"/>
          <w:i/>
          <w:sz w:val="24"/>
        </w:rPr>
        <w:t>59</w:t>
      </w:r>
      <w:r>
        <w:rPr>
          <w:rFonts w:ascii="Times New Roman" w:hAnsi="Times New Roman" w:cs="Times New Roman"/>
          <w:sz w:val="24"/>
        </w:rPr>
        <w:t>(1–3), 85–92. https://doi.org/10.1016/S0925-5273(98)00026-7</w:t>
      </w:r>
    </w:p>
    <w:p>
      <w:pPr>
        <w:spacing w:line="240" w:lineRule="auto" w:after="120"/>
        <w:ind w:left="720" w:hanging="720"/>
        <w:jc w:val="both"/>
      </w:pPr>
      <w:r>
        <w:rPr>
          <w:rFonts w:ascii="Times New Roman" w:hAnsi="Times New Roman" w:cs="Times New Roman"/>
          <w:sz w:val="24"/>
        </w:rPr>
        <w:t xml:space="preserve">Helse Vest RHF. (2024). </w:t>
      </w:r>
      <w:r>
        <w:rPr>
          <w:rFonts w:ascii="Times New Roman" w:hAnsi="Times New Roman" w:cs="Times New Roman"/>
          <w:i/>
          <w:sz w:val="24"/>
        </w:rPr>
        <w:t>Kontraktstildeling: Drift av regionalt forsyningssenter</w:t>
      </w:r>
      <w:r>
        <w:rPr>
          <w:rFonts w:ascii="Times New Roman" w:hAnsi="Times New Roman" w:cs="Times New Roman"/>
          <w:sz w:val="24"/>
        </w:rPr>
        <w:t xml:space="preserve"> [Kunngjøring om inngått kontrakt, kunngjøring 2024-101803]. Doffin – database for offentlige innkjøp. https://doffin.no/notices/2024-101803</w:t>
      </w:r>
    </w:p>
    <w:p>
      <w:pPr>
        <w:spacing w:line="240" w:lineRule="auto" w:after="120"/>
        <w:ind w:left="720" w:hanging="720"/>
        <w:jc w:val="both"/>
      </w:pPr>
      <w:r>
        <w:rPr>
          <w:rFonts w:ascii="Times New Roman" w:hAnsi="Times New Roman" w:cs="Times New Roman"/>
          <w:sz w:val="24"/>
        </w:rPr>
        <w:t xml:space="preserve">Kelle, P., Woosley, J., &amp; Schneider, H. (2012). Pharmaceutical supply chain specifics and inventory solutions for a hospital case. </w:t>
      </w:r>
      <w:r>
        <w:rPr>
          <w:rFonts w:ascii="Times New Roman" w:hAnsi="Times New Roman" w:cs="Times New Roman"/>
          <w:i/>
          <w:sz w:val="24"/>
        </w:rPr>
        <w:t>Operations Research for Health Care</w:t>
      </w:r>
      <w:r>
        <w:rPr>
          <w:rFonts w:ascii="Times New Roman" w:hAnsi="Times New Roman" w:cs="Times New Roman"/>
          <w:sz w:val="24"/>
        </w:rPr>
        <w:t xml:space="preserve">, </w:t>
      </w:r>
      <w:r>
        <w:rPr>
          <w:rFonts w:ascii="Times New Roman" w:hAnsi="Times New Roman" w:cs="Times New Roman"/>
          <w:i/>
          <w:sz w:val="24"/>
        </w:rPr>
        <w:t>1</w:t>
      </w:r>
      <w:r>
        <w:rPr>
          <w:rFonts w:ascii="Times New Roman" w:hAnsi="Times New Roman" w:cs="Times New Roman"/>
          <w:sz w:val="24"/>
        </w:rPr>
        <w:t>(2–3), 54–63. https://doi.org/10.1016/j.orhc.2012.07.001</w:t>
      </w:r>
    </w:p>
    <w:p>
      <w:pPr>
        <w:spacing w:line="240" w:lineRule="auto" w:after="120"/>
        <w:ind w:left="720" w:hanging="720"/>
        <w:jc w:val="both"/>
      </w:pPr>
      <w:r>
        <w:rPr>
          <w:rFonts w:ascii="Times New Roman" w:hAnsi="Times New Roman" w:cs="Times New Roman"/>
          <w:sz w:val="24"/>
        </w:rPr>
        <w:t xml:space="preserve">Keshavarz Ghorabaee, M., Zavadskas, E. K., Olfat, L., &amp; Turskis, Z. (2015). Multi-criteria inventory classification using a new method of evaluation based on distance from average solution (EDAS). </w:t>
      </w:r>
      <w:r>
        <w:rPr>
          <w:rFonts w:ascii="Times New Roman" w:hAnsi="Times New Roman" w:cs="Times New Roman"/>
          <w:i/>
          <w:sz w:val="24"/>
        </w:rPr>
        <w:t>Informatica</w:t>
      </w:r>
      <w:r>
        <w:rPr>
          <w:rFonts w:ascii="Times New Roman" w:hAnsi="Times New Roman" w:cs="Times New Roman"/>
          <w:sz w:val="24"/>
        </w:rPr>
        <w:t xml:space="preserve">, </w:t>
      </w:r>
      <w:r>
        <w:rPr>
          <w:rFonts w:ascii="Times New Roman" w:hAnsi="Times New Roman" w:cs="Times New Roman"/>
          <w:i/>
          <w:sz w:val="24"/>
        </w:rPr>
        <w:t>26</w:t>
      </w:r>
      <w:r>
        <w:rPr>
          <w:rFonts w:ascii="Times New Roman" w:hAnsi="Times New Roman" w:cs="Times New Roman"/>
          <w:sz w:val="24"/>
        </w:rPr>
        <w:t>(3), 435–451. https://doi.org/10.15388/Informatica.2015.57</w:t>
      </w:r>
    </w:p>
    <w:p>
      <w:pPr>
        <w:spacing w:line="240" w:lineRule="auto" w:after="120"/>
        <w:ind w:left="720" w:hanging="720"/>
        <w:jc w:val="both"/>
      </w:pPr>
      <w:r>
        <w:rPr>
          <w:rFonts w:ascii="Times New Roman" w:hAnsi="Times New Roman" w:cs="Times New Roman"/>
          <w:sz w:val="24"/>
        </w:rPr>
        <w:t xml:space="preserve">Ketkar, M., &amp; Vaidya, O. S. (2014). Developing ordering policy based on multiple inventory classification schemes. </w:t>
      </w:r>
      <w:r>
        <w:rPr>
          <w:rFonts w:ascii="Times New Roman" w:hAnsi="Times New Roman" w:cs="Times New Roman"/>
          <w:i/>
          <w:sz w:val="24"/>
        </w:rPr>
        <w:t>Procedia – Social and Behavioral Sciences</w:t>
      </w:r>
      <w:r>
        <w:rPr>
          <w:rFonts w:ascii="Times New Roman" w:hAnsi="Times New Roman" w:cs="Times New Roman"/>
          <w:sz w:val="24"/>
        </w:rPr>
        <w:t xml:space="preserve">, </w:t>
      </w:r>
      <w:r>
        <w:rPr>
          <w:rFonts w:ascii="Times New Roman" w:hAnsi="Times New Roman" w:cs="Times New Roman"/>
          <w:i/>
          <w:sz w:val="24"/>
        </w:rPr>
        <w:t>133</w:t>
      </w:r>
      <w:r>
        <w:rPr>
          <w:rFonts w:ascii="Times New Roman" w:hAnsi="Times New Roman" w:cs="Times New Roman"/>
          <w:sz w:val="24"/>
        </w:rPr>
        <w:t>, 180–188. https://doi.org/10.1016/j.sbspro.2014.04.183</w:t>
      </w:r>
    </w:p>
    <w:p>
      <w:pPr>
        <w:spacing w:line="240" w:lineRule="auto" w:after="120"/>
        <w:ind w:left="720" w:hanging="720"/>
        <w:jc w:val="both"/>
      </w:pPr>
      <w:r>
        <w:rPr>
          <w:rFonts w:ascii="Times New Roman" w:hAnsi="Times New Roman" w:cs="Times New Roman"/>
          <w:sz w:val="24"/>
        </w:rPr>
        <w:t xml:space="preserve">McKinney, W. (2010). Data structures for statistical computing in Python. I S. van der Walt &amp; J. Millman (Red.), </w:t>
      </w:r>
      <w:r>
        <w:rPr>
          <w:rFonts w:ascii="Times New Roman" w:hAnsi="Times New Roman" w:cs="Times New Roman"/>
          <w:i/>
          <w:sz w:val="24"/>
        </w:rPr>
        <w:t>Proceedings of the 9th Python in Science Conference</w:t>
      </w:r>
      <w:r>
        <w:rPr>
          <w:rFonts w:ascii="Times New Roman" w:hAnsi="Times New Roman" w:cs="Times New Roman"/>
          <w:sz w:val="24"/>
        </w:rPr>
        <w:t xml:space="preserve"> (s. 56–61). https://doi.org/10.25080/Majora-92bf1922-00a</w:t>
      </w:r>
    </w:p>
    <w:p>
      <w:pPr>
        <w:spacing w:line="240" w:lineRule="auto" w:after="120"/>
        <w:ind w:left="720" w:hanging="720"/>
        <w:jc w:val="both"/>
      </w:pPr>
      <w:r>
        <w:rPr>
          <w:rFonts w:ascii="Times New Roman" w:hAnsi="Times New Roman" w:cs="Times New Roman"/>
          <w:sz w:val="24"/>
        </w:rPr>
        <w:t xml:space="preserve">Moons, K., Waeyenbergh, G., &amp; Pintelon, L. (2019). Measuring the logistics performance of internal hospital supply chains – A literature study. </w:t>
      </w:r>
      <w:r>
        <w:rPr>
          <w:rFonts w:ascii="Times New Roman" w:hAnsi="Times New Roman" w:cs="Times New Roman"/>
          <w:i/>
          <w:sz w:val="24"/>
        </w:rPr>
        <w:t>Omega</w:t>
      </w:r>
      <w:r>
        <w:rPr>
          <w:rFonts w:ascii="Times New Roman" w:hAnsi="Times New Roman" w:cs="Times New Roman"/>
          <w:sz w:val="24"/>
        </w:rPr>
        <w:t xml:space="preserve">, </w:t>
      </w:r>
      <w:r>
        <w:rPr>
          <w:rFonts w:ascii="Times New Roman" w:hAnsi="Times New Roman" w:cs="Times New Roman"/>
          <w:i/>
          <w:sz w:val="24"/>
        </w:rPr>
        <w:t>82</w:t>
      </w:r>
      <w:r>
        <w:rPr>
          <w:rFonts w:ascii="Times New Roman" w:hAnsi="Times New Roman" w:cs="Times New Roman"/>
          <w:sz w:val="24"/>
        </w:rPr>
        <w:t>, 205–217. https://doi.org/10.1016/j.omega.2018.01.007</w:t>
      </w:r>
    </w:p>
    <w:p>
      <w:pPr>
        <w:spacing w:line="240" w:lineRule="auto" w:after="120"/>
        <w:ind w:left="720" w:hanging="720"/>
        <w:jc w:val="both"/>
      </w:pPr>
      <w:r>
        <w:rPr>
          <w:rFonts w:ascii="Times New Roman" w:hAnsi="Times New Roman" w:cs="Times New Roman"/>
          <w:sz w:val="24"/>
        </w:rPr>
        <w:t xml:space="preserve">Nowotyńska, I. (2013). An application of XYZ analysis in company stock management. </w:t>
      </w:r>
      <w:r>
        <w:rPr>
          <w:rFonts w:ascii="Times New Roman" w:hAnsi="Times New Roman" w:cs="Times New Roman"/>
          <w:i/>
          <w:sz w:val="24"/>
        </w:rPr>
        <w:t>Modern Management Review</w:t>
      </w:r>
      <w:r>
        <w:rPr>
          <w:rFonts w:ascii="Times New Roman" w:hAnsi="Times New Roman" w:cs="Times New Roman"/>
          <w:sz w:val="24"/>
        </w:rPr>
        <w:t xml:space="preserve">, </w:t>
      </w:r>
      <w:r>
        <w:rPr>
          <w:rFonts w:ascii="Times New Roman" w:hAnsi="Times New Roman" w:cs="Times New Roman"/>
          <w:i/>
          <w:sz w:val="24"/>
        </w:rPr>
        <w:t>XVIII</w:t>
      </w:r>
      <w:r>
        <w:rPr>
          <w:rFonts w:ascii="Times New Roman" w:hAnsi="Times New Roman" w:cs="Times New Roman"/>
          <w:sz w:val="24"/>
        </w:rPr>
        <w:t>(20), 77–86.</w:t>
      </w:r>
    </w:p>
    <w:p>
      <w:pPr>
        <w:spacing w:line="240" w:lineRule="auto" w:after="120"/>
        <w:ind w:left="720" w:hanging="720"/>
        <w:jc w:val="both"/>
      </w:pPr>
      <w:r>
        <w:rPr>
          <w:rFonts w:ascii="Times New Roman" w:hAnsi="Times New Roman" w:cs="Times New Roman"/>
          <w:sz w:val="24"/>
        </w:rPr>
        <w:t xml:space="preserve">Partovi, F. Y., &amp; Burton, J. (1993). Using the analytic hierarchy process for ABC analysis. </w:t>
      </w:r>
      <w:r>
        <w:rPr>
          <w:rFonts w:ascii="Times New Roman" w:hAnsi="Times New Roman" w:cs="Times New Roman"/>
          <w:i/>
          <w:sz w:val="24"/>
        </w:rPr>
        <w:t>International Journal of Operations and Production Management</w:t>
      </w:r>
      <w:r>
        <w:rPr>
          <w:rFonts w:ascii="Times New Roman" w:hAnsi="Times New Roman" w:cs="Times New Roman"/>
          <w:sz w:val="24"/>
        </w:rPr>
        <w:t xml:space="preserve">, </w:t>
      </w:r>
      <w:r>
        <w:rPr>
          <w:rFonts w:ascii="Times New Roman" w:hAnsi="Times New Roman" w:cs="Times New Roman"/>
          <w:i/>
          <w:sz w:val="24"/>
        </w:rPr>
        <w:t>13</w:t>
      </w:r>
      <w:r>
        <w:rPr>
          <w:rFonts w:ascii="Times New Roman" w:hAnsi="Times New Roman" w:cs="Times New Roman"/>
          <w:sz w:val="24"/>
        </w:rPr>
        <w:t>(9), 29–44. https://doi.org/10.1108/01443579310043619</w:t>
      </w:r>
    </w:p>
    <w:p>
      <w:pPr>
        <w:spacing w:line="240" w:lineRule="auto" w:after="120"/>
        <w:ind w:left="720" w:hanging="720"/>
        <w:jc w:val="both"/>
      </w:pPr>
      <w:r>
        <w:rPr>
          <w:rFonts w:ascii="Times New Roman" w:hAnsi="Times New Roman" w:cs="Times New Roman"/>
          <w:sz w:val="24"/>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hAnsi="Times New Roman" w:cs="Times New Roman"/>
          <w:i/>
          <w:sz w:val="24"/>
        </w:rPr>
        <w:t>Journal of Machine Learning Research</w:t>
      </w:r>
      <w:r>
        <w:rPr>
          <w:rFonts w:ascii="Times New Roman" w:hAnsi="Times New Roman" w:cs="Times New Roman"/>
          <w:sz w:val="24"/>
        </w:rPr>
        <w:t xml:space="preserve">, </w:t>
      </w:r>
      <w:r>
        <w:rPr>
          <w:rFonts w:ascii="Times New Roman" w:hAnsi="Times New Roman" w:cs="Times New Roman"/>
          <w:i/>
          <w:sz w:val="24"/>
        </w:rPr>
        <w:t>12</w:t>
      </w:r>
      <w:r>
        <w:rPr>
          <w:rFonts w:ascii="Times New Roman" w:hAnsi="Times New Roman" w:cs="Times New Roman"/>
          <w:sz w:val="24"/>
        </w:rPr>
        <w:t>, 2825–2830. https://jmlr.org/papers/v12/pedregosa11a.html</w:t>
      </w:r>
    </w:p>
    <w:p>
      <w:pPr>
        <w:spacing w:line="240" w:lineRule="auto" w:after="120"/>
        <w:ind w:left="720" w:hanging="720"/>
        <w:jc w:val="both"/>
      </w:pPr>
      <w:r>
        <w:rPr>
          <w:rFonts w:ascii="Times New Roman" w:hAnsi="Times New Roman" w:cs="Times New Roman"/>
          <w:sz w:val="24"/>
        </w:rPr>
        <w:t xml:space="preserve">Pujawan, I. N. (2004). The effect of lot sizing rules on order variability. </w:t>
      </w:r>
      <w:r>
        <w:rPr>
          <w:rFonts w:ascii="Times New Roman" w:hAnsi="Times New Roman" w:cs="Times New Roman"/>
          <w:i/>
          <w:sz w:val="24"/>
        </w:rPr>
        <w:t>European Journal of Operational Research</w:t>
      </w:r>
      <w:r>
        <w:rPr>
          <w:rFonts w:ascii="Times New Roman" w:hAnsi="Times New Roman" w:cs="Times New Roman"/>
          <w:sz w:val="24"/>
        </w:rPr>
        <w:t xml:space="preserve">, </w:t>
      </w:r>
      <w:r>
        <w:rPr>
          <w:rFonts w:ascii="Times New Roman" w:hAnsi="Times New Roman" w:cs="Times New Roman"/>
          <w:i/>
          <w:sz w:val="24"/>
        </w:rPr>
        <w:t>159</w:t>
      </w:r>
      <w:r>
        <w:rPr>
          <w:rFonts w:ascii="Times New Roman" w:hAnsi="Times New Roman" w:cs="Times New Roman"/>
          <w:sz w:val="24"/>
        </w:rPr>
        <w:t>(3), 617–635. https://doi.org/10.1016/S0377-2217(03)00419-3</w:t>
      </w:r>
    </w:p>
    <w:p>
      <w:pPr>
        <w:spacing w:line="240" w:lineRule="auto" w:after="120"/>
        <w:ind w:left="720" w:hanging="720"/>
        <w:jc w:val="both"/>
      </w:pPr>
      <w:r>
        <w:rPr>
          <w:rFonts w:ascii="Times New Roman" w:hAnsi="Times New Roman" w:cs="Times New Roman"/>
          <w:sz w:val="24"/>
        </w:rPr>
        <w:t xml:space="preserve">Rekdal, O. B., &amp; Pettersen, B. I. A. (2025). </w:t>
      </w:r>
      <w:r>
        <w:rPr>
          <w:rFonts w:ascii="Times New Roman" w:hAnsi="Times New Roman" w:cs="Times New Roman"/>
          <w:i/>
          <w:sz w:val="24"/>
        </w:rPr>
        <w:t>Vitenskapelig skriving – en praktisk innføring</w:t>
      </w:r>
      <w:r>
        <w:rPr>
          <w:rFonts w:ascii="Times New Roman" w:hAnsi="Times New Roman" w:cs="Times New Roman"/>
          <w:sz w:val="24"/>
        </w:rPr>
        <w:t xml:space="preserve"> [Upublisert undervisningsmateriell]. Høgskolen i Molde.</w:t>
      </w:r>
    </w:p>
    <w:p>
      <w:pPr>
        <w:spacing w:line="240" w:lineRule="auto" w:after="120"/>
        <w:ind w:left="720" w:hanging="720"/>
        <w:jc w:val="both"/>
      </w:pPr>
      <w:r>
        <w:rPr>
          <w:rFonts w:ascii="Times New Roman" w:hAnsi="Times New Roman" w:cs="Times New Roman"/>
          <w:sz w:val="24"/>
        </w:rPr>
        <w:t xml:space="preserve">Rousseeuw, P. J. (1987). Silhouettes: A graphical aid to the interpretation and validation of cluster analysis. </w:t>
      </w:r>
      <w:r>
        <w:rPr>
          <w:rFonts w:ascii="Times New Roman" w:hAnsi="Times New Roman" w:cs="Times New Roman"/>
          <w:i/>
          <w:sz w:val="24"/>
        </w:rPr>
        <w:t>Journal of Computational and Applied Mathematics</w:t>
      </w:r>
      <w:r>
        <w:rPr>
          <w:rFonts w:ascii="Times New Roman" w:hAnsi="Times New Roman" w:cs="Times New Roman"/>
          <w:sz w:val="24"/>
        </w:rPr>
        <w:t xml:space="preserve">, </w:t>
      </w:r>
      <w:r>
        <w:rPr>
          <w:rFonts w:ascii="Times New Roman" w:hAnsi="Times New Roman" w:cs="Times New Roman"/>
          <w:i/>
          <w:sz w:val="24"/>
        </w:rPr>
        <w:t>20</w:t>
      </w:r>
      <w:r>
        <w:rPr>
          <w:rFonts w:ascii="Times New Roman" w:hAnsi="Times New Roman" w:cs="Times New Roman"/>
          <w:sz w:val="24"/>
        </w:rPr>
        <w:t>, 53–65. https://doi.org/10.1016/0377-0427(87)90125-7</w:t>
      </w:r>
    </w:p>
    <w:p>
      <w:pPr>
        <w:spacing w:line="240" w:lineRule="auto" w:after="120"/>
        <w:ind w:left="720" w:hanging="720"/>
        <w:jc w:val="both"/>
      </w:pPr>
      <w:r>
        <w:rPr>
          <w:rFonts w:ascii="Times New Roman" w:hAnsi="Times New Roman" w:cs="Times New Roman"/>
          <w:sz w:val="24"/>
        </w:rPr>
        <w:t xml:space="preserve">Saha, E., &amp; Ray, P. K. (2019). Modelling and analysis of inventory management systems in healthcare: A review and reflections. </w:t>
      </w:r>
      <w:r>
        <w:rPr>
          <w:rFonts w:ascii="Times New Roman" w:hAnsi="Times New Roman" w:cs="Times New Roman"/>
          <w:i/>
          <w:sz w:val="24"/>
        </w:rPr>
        <w:t>Computers &amp; Industrial Engineering</w:t>
      </w:r>
      <w:r>
        <w:rPr>
          <w:rFonts w:ascii="Times New Roman" w:hAnsi="Times New Roman" w:cs="Times New Roman"/>
          <w:sz w:val="24"/>
        </w:rPr>
        <w:t xml:space="preserve">, </w:t>
      </w:r>
      <w:r>
        <w:rPr>
          <w:rFonts w:ascii="Times New Roman" w:hAnsi="Times New Roman" w:cs="Times New Roman"/>
          <w:i/>
          <w:sz w:val="24"/>
        </w:rPr>
        <w:t>137</w:t>
      </w:r>
      <w:r>
        <w:rPr>
          <w:rFonts w:ascii="Times New Roman" w:hAnsi="Times New Roman" w:cs="Times New Roman"/>
          <w:sz w:val="24"/>
        </w:rPr>
        <w:t>, 106051. https://doi.org/10.1016/j.cie.2019.106051</w:t>
      </w:r>
    </w:p>
    <w:p>
      <w:pPr>
        <w:spacing w:line="240" w:lineRule="auto" w:after="120"/>
        <w:ind w:left="720" w:hanging="720"/>
        <w:jc w:val="both"/>
      </w:pPr>
      <w:r>
        <w:rPr>
          <w:rFonts w:ascii="Times New Roman" w:hAnsi="Times New Roman" w:cs="Times New Roman"/>
          <w:sz w:val="24"/>
        </w:rPr>
        <w:t xml:space="preserve">Silaen, B. R., Nasution, M., &amp; Muti'ah, R. (2023). Implementation of the ABC analysis to the inventory management. </w:t>
      </w:r>
      <w:r>
        <w:rPr>
          <w:rFonts w:ascii="Times New Roman" w:hAnsi="Times New Roman" w:cs="Times New Roman"/>
          <w:i/>
          <w:sz w:val="24"/>
        </w:rPr>
        <w:t>International Journal of Science, Technology &amp; Management</w:t>
      </w:r>
      <w:r>
        <w:rPr>
          <w:rFonts w:ascii="Times New Roman" w:hAnsi="Times New Roman" w:cs="Times New Roman"/>
          <w:sz w:val="24"/>
        </w:rPr>
        <w:t xml:space="preserve">, </w:t>
      </w:r>
      <w:r>
        <w:rPr>
          <w:rFonts w:ascii="Times New Roman" w:hAnsi="Times New Roman" w:cs="Times New Roman"/>
          <w:i/>
          <w:sz w:val="24"/>
        </w:rPr>
        <w:t>4</w:t>
      </w:r>
      <w:r>
        <w:rPr>
          <w:rFonts w:ascii="Times New Roman" w:hAnsi="Times New Roman" w:cs="Times New Roman"/>
          <w:sz w:val="24"/>
        </w:rPr>
        <w:t>(4), 815–822. https://doi.org/10.46729/ijstm.v4i4.886</w:t>
      </w:r>
    </w:p>
    <w:p>
      <w:pPr>
        <w:spacing w:line="240" w:lineRule="auto" w:after="120"/>
        <w:ind w:left="720" w:hanging="720"/>
        <w:jc w:val="both"/>
      </w:pPr>
      <w:r>
        <w:rPr>
          <w:rFonts w:ascii="Times New Roman" w:hAnsi="Times New Roman" w:cs="Times New Roman"/>
          <w:sz w:val="24"/>
        </w:rPr>
        <w:t xml:space="preserve">Srinivasan, M., &amp; Moon, Y. B. (1999). A comprehensive clustering algorithm for strategic analysis of supply chain networks. </w:t>
      </w:r>
      <w:r>
        <w:rPr>
          <w:rFonts w:ascii="Times New Roman" w:hAnsi="Times New Roman" w:cs="Times New Roman"/>
          <w:i/>
          <w:sz w:val="24"/>
        </w:rPr>
        <w:t>Computers &amp; Industrial Engineering</w:t>
      </w:r>
      <w:r>
        <w:rPr>
          <w:rFonts w:ascii="Times New Roman" w:hAnsi="Times New Roman" w:cs="Times New Roman"/>
          <w:sz w:val="24"/>
        </w:rPr>
        <w:t xml:space="preserve">, </w:t>
      </w:r>
      <w:r>
        <w:rPr>
          <w:rFonts w:ascii="Times New Roman" w:hAnsi="Times New Roman" w:cs="Times New Roman"/>
          <w:i/>
          <w:sz w:val="24"/>
        </w:rPr>
        <w:t>36</w:t>
      </w:r>
      <w:r>
        <w:rPr>
          <w:rFonts w:ascii="Times New Roman" w:hAnsi="Times New Roman" w:cs="Times New Roman"/>
          <w:sz w:val="24"/>
        </w:rPr>
        <w:t>, 615–633. https://doi.org/10.1016/S0360-8352(99)00155-2</w:t>
      </w:r>
    </w:p>
    <w:p>
      <w:pPr>
        <w:spacing w:line="240" w:lineRule="auto" w:after="120"/>
        <w:ind w:left="720" w:hanging="720"/>
        <w:jc w:val="both"/>
      </w:pPr>
      <w:r>
        <w:rPr>
          <w:rFonts w:ascii="Times New Roman" w:hAnsi="Times New Roman" w:cs="Times New Roman"/>
          <w:sz w:val="24"/>
        </w:rPr>
        <w:t xml:space="preserve">Suryaputri, Z., Gabriel, D. S., &amp; Nurcahyo, R. (2022). Integration of ABC-XYZ analysis in inventory management optimization: A case study in the health industry. I </w:t>
      </w:r>
      <w:r>
        <w:rPr>
          <w:rFonts w:ascii="Times New Roman" w:hAnsi="Times New Roman" w:cs="Times New Roman"/>
          <w:i/>
          <w:sz w:val="24"/>
        </w:rPr>
        <w:t>Proceedings of the International Conference on Industrial Engineering and Operations Management</w:t>
      </w:r>
      <w:r>
        <w:rPr>
          <w:rFonts w:ascii="Times New Roman" w:hAnsi="Times New Roman" w:cs="Times New Roman"/>
          <w:sz w:val="24"/>
        </w:rPr>
        <w:t xml:space="preserve"> (s. 351–360). IEOM Society International.</w:t>
      </w:r>
    </w:p>
    <w:p>
      <w:pPr>
        <w:spacing w:line="240" w:lineRule="auto" w:after="120"/>
        <w:ind w:left="720" w:hanging="720"/>
        <w:jc w:val="both"/>
      </w:pPr>
      <w:r>
        <w:rPr>
          <w:rFonts w:ascii="Times New Roman" w:hAnsi="Times New Roman" w:cs="Times New Roman"/>
          <w:sz w:val="24"/>
        </w:rPr>
        <w:t xml:space="preserve">van Kampen, T. J., Akkerman, R., &amp; van Donk, D. P. (2012). SKU classification: A literature review and conceptual framework. </w:t>
      </w:r>
      <w:r>
        <w:rPr>
          <w:rFonts w:ascii="Times New Roman" w:hAnsi="Times New Roman" w:cs="Times New Roman"/>
          <w:i/>
          <w:sz w:val="24"/>
        </w:rPr>
        <w:t>International Journal of Operations and Production Management</w:t>
      </w:r>
      <w:r>
        <w:rPr>
          <w:rFonts w:ascii="Times New Roman" w:hAnsi="Times New Roman" w:cs="Times New Roman"/>
          <w:sz w:val="24"/>
        </w:rPr>
        <w:t xml:space="preserve">, </w:t>
      </w:r>
      <w:r>
        <w:rPr>
          <w:rFonts w:ascii="Times New Roman" w:hAnsi="Times New Roman" w:cs="Times New Roman"/>
          <w:i/>
          <w:sz w:val="24"/>
        </w:rPr>
        <w:t>32</w:t>
      </w:r>
      <w:r>
        <w:rPr>
          <w:rFonts w:ascii="Times New Roman" w:hAnsi="Times New Roman" w:cs="Times New Roman"/>
          <w:sz w:val="24"/>
        </w:rPr>
        <w:t>(7), 850–876. https://doi.org/10.1108/01443571211250112</w:t>
      </w:r>
    </w:p>
    <w:p>
      <w:pPr>
        <w:spacing w:line="240" w:lineRule="auto" w:after="120"/>
        <w:ind w:left="720" w:hanging="720"/>
        <w:jc w:val="both"/>
      </w:pPr>
      <w:r>
        <w:rPr>
          <w:rFonts w:ascii="Times New Roman" w:hAnsi="Times New Roman" w:cs="Times New Roman"/>
          <w:sz w:val="24"/>
        </w:rPr>
        <w:t xml:space="preserve">Volland, J., Fügener, A., Schoenfelder, J., &amp; Brunner, J. O. (2017). Material logistics in hospitals: A literature review. </w:t>
      </w:r>
      <w:r>
        <w:rPr>
          <w:rFonts w:ascii="Times New Roman" w:hAnsi="Times New Roman" w:cs="Times New Roman"/>
          <w:i/>
          <w:sz w:val="24"/>
        </w:rPr>
        <w:t>Omega</w:t>
      </w:r>
      <w:r>
        <w:rPr>
          <w:rFonts w:ascii="Times New Roman" w:hAnsi="Times New Roman" w:cs="Times New Roman"/>
          <w:sz w:val="24"/>
        </w:rPr>
        <w:t xml:space="preserve">, </w:t>
      </w:r>
      <w:r>
        <w:rPr>
          <w:rFonts w:ascii="Times New Roman" w:hAnsi="Times New Roman" w:cs="Times New Roman"/>
          <w:i/>
          <w:sz w:val="24"/>
        </w:rPr>
        <w:t>69</w:t>
      </w:r>
      <w:r>
        <w:rPr>
          <w:rFonts w:ascii="Times New Roman" w:hAnsi="Times New Roman" w:cs="Times New Roman"/>
          <w:sz w:val="24"/>
        </w:rPr>
        <w:t>, 82–101. https://doi.org/10.1016/j.omega.2016.08.004</w:t>
      </w:r>
    </w:p>
    <w:p>
      <w:pPr>
        <w:pStyle w:val="Overskrift1"/>
        <w:pageBreakBefore w:val="true"/>
      </w:pPr>
      <w:r>
        <w:rPr>
          <w:rFonts w:ascii="Times New Roman" w:hAnsi="Times New Roman"/>
          <w:color w:val="000000"/>
          <w:sz w:val="36"/>
        </w:rPr>
        <w:t>Vedlegg</w:t>
      </w:r>
    </w:p>
    <w:p>
      <w:pPr>
        <w:pStyle w:val="Overskrift2"/>
      </w:pPr>
      <w:r>
        <w:rPr>
          <w:rFonts w:ascii="Times New Roman" w:hAnsi="Times New Roman"/>
          <w:color w:val="000000"/>
          <w:sz w:val="32"/>
        </w:rPr>
        <w:t>Vedlegg A – SAP-dataspesifikasjon</w:t>
      </w:r>
    </w:p>
    <w:p>
      <w:pPr>
        <w:spacing w:line="360" w:lineRule="auto"/>
        <w:jc w:val="both"/>
      </w:pPr>
      <w:r>
        <w:rPr>
          <w:rFonts w:ascii="Times New Roman" w:hAnsi="Times New Roman" w:cs="Times New Roman"/>
          <w:sz w:val="24"/>
        </w:rPr>
        <w:t>Se Tabell 4 i avsnitt 4.2 for fullstendig oversikt over de 14 SAP S/4HANA-tabellene. Alle datavalgsbeslutninger (D-01 til D-08) er dokumentert i Tabell 5 i hovedteksten.</w:t>
      </w:r>
    </w:p>
    <w:p>
      <w:pPr>
        <w:pStyle w:val="Overskrift2"/>
      </w:pPr>
      <w:r>
        <w:rPr>
          <w:rFonts w:ascii="Times New Roman" w:hAnsi="Times New Roman"/>
          <w:color w:val="000000"/>
          <w:sz w:val="32"/>
        </w:rPr>
        <w:t>Vedlegg B – Python-analyseverktøy</w:t>
      </w:r>
    </w:p>
    <w:p>
      <w:pPr>
        <w:spacing w:line="360" w:lineRule="auto"/>
        <w:jc w:val="both"/>
      </w:pPr>
      <w:r>
        <w:rPr>
          <w:rFonts w:ascii="Times New Roman" w:hAnsi="Times New Roman" w:cs="Times New Roman"/>
          <w:sz w:val="24"/>
        </w:rPr>
        <w:t>Analyseverktøyet er implementert i Python 3.13 og består av to hovedkomponenter:</w:t>
      </w:r>
    </w:p>
    <w:p>
      <w:pPr>
        <w:spacing w:line="360" w:lineRule="auto"/>
        <w:jc w:val="both"/>
      </w:pPr>
      <w:r>
        <w:rPr>
          <w:rFonts w:ascii="Times New Roman" w:hAnsi="Times New Roman" w:cs="Times New Roman"/>
          <w:b/>
          <w:sz w:val="24"/>
        </w:rPr>
        <w:t>Hovedscript:</w:t>
      </w:r>
      <w:r>
        <w:rPr>
          <w:rFonts w:ascii="Times New Roman" w:hAnsi="Times New Roman" w:cs="Times New Roman"/>
          <w:sz w:val="24"/>
        </w:rPr>
        <w:t xml:space="preserve"> </w:t>
      </w:r>
      <w:r>
        <w:rPr>
          <w:rFonts w:ascii="Consolas" w:hAnsi="Consolas" w:cs="Consolas"/>
          <w:sz w:val="20"/>
          <w:shd w:val="clear" w:color="auto" w:fill="F4F4F4"/>
        </w:rPr>
        <w:t>LOG650_analyse_v2_7.py</w:t>
      </w:r>
      <w:r>
        <w:rPr>
          <w:rFonts w:ascii="Times New Roman" w:hAnsi="Times New Roman" w:cs="Times New Roman"/>
          <w:sz w:val="24"/>
        </w:rPr>
        <w:t xml:space="preserve"> – deterministisk analysepipeline som leser MASTERFILE V1.xlsx og produserer alle klassifiseringer, K-means-modellen, regelmotoranbefalinger og besparelsesestimater. Outputformat: Excel (LOG650_Resultater.xlsx) med separate ark for hvert analysesteg.</w:t>
      </w:r>
    </w:p>
    <w:p>
      <w:pPr>
        <w:spacing w:line="360" w:lineRule="auto"/>
        <w:jc w:val="both"/>
      </w:pPr>
      <w:r>
        <w:rPr>
          <w:rFonts w:ascii="Times New Roman" w:hAnsi="Times New Roman" w:cs="Times New Roman"/>
          <w:b/>
          <w:sz w:val="24"/>
        </w:rPr>
        <w:t>Figurscripts:</w:t>
      </w:r>
      <w:r>
        <w:rPr>
          <w:rFonts w:ascii="Times New Roman" w:hAnsi="Times New Roman" w:cs="Times New Roman"/>
          <w:sz w:val="24"/>
        </w:rPr>
        <w:t xml:space="preserve"> 12 separate Python-scripts (</w:t>
      </w:r>
      <w:r>
        <w:rPr>
          <w:rFonts w:ascii="Consolas" w:hAnsi="Consolas" w:cs="Consolas"/>
          <w:sz w:val="20"/>
          <w:shd w:val="clear" w:color="auto" w:fill="F4F4F4"/>
        </w:rPr>
        <w:t>plot_*.py</w:t>
      </w:r>
      <w:r>
        <w:rPr>
          <w:rFonts w:ascii="Times New Roman" w:hAnsi="Times New Roman" w:cs="Times New Roman"/>
          <w:sz w:val="24"/>
        </w:rPr>
        <w:t>) som genererer figurene Fig00–Fig11 i konsistent stil (serif-font, 300 dpi, felles fargepalett).</w:t>
      </w:r>
    </w:p>
    <w:p>
      <w:pPr>
        <w:spacing w:line="360" w:lineRule="auto"/>
        <w:jc w:val="both"/>
      </w:pPr>
      <w:r>
        <w:rPr>
          <w:rFonts w:ascii="Times New Roman" w:hAnsi="Times New Roman" w:cs="Times New Roman"/>
          <w:b/>
          <w:sz w:val="24"/>
        </w:rPr>
        <w:t>Nøkkelbibliotek:</w:t>
      </w:r>
      <w:r>
        <w:rPr>
          <w:rFonts w:ascii="Times New Roman" w:hAnsi="Times New Roman" w:cs="Times New Roman"/>
          <w:sz w:val="24"/>
        </w:rPr>
        <w:t xml:space="preserve"> pandas 2.2.2 (datastrukturer), numpy 1.26.4 (numeriske beregninger), scikit-learn 1.4.2 (KMeans, StandardScaler, silhouette\_score, train\_test\_split), matplotlib 3.8.4 (visualisering), openpyxl 3.1.2 (Excel-lesing), xlsxwriter 3.2.0 (Excel-skriving).</w:t>
      </w:r>
    </w:p>
    <w:p>
      <w:pPr>
        <w:spacing w:line="360" w:lineRule="auto"/>
        <w:jc w:val="both"/>
      </w:pPr>
      <w:r>
        <w:rPr>
          <w:rFonts w:ascii="Times New Roman" w:hAnsi="Times New Roman" w:cs="Times New Roman"/>
          <w:b/>
          <w:sz w:val="24"/>
        </w:rPr>
        <w:t>Reproduserbarhet:</w:t>
      </w:r>
      <w:r>
        <w:rPr>
          <w:rFonts w:ascii="Times New Roman" w:hAnsi="Times New Roman" w:cs="Times New Roman"/>
          <w:sz w:val="24"/>
        </w:rPr>
        <w:t xml:space="preserve"> Alle scripts bruker </w:t>
      </w:r>
      <w:r>
        <w:rPr>
          <w:rFonts w:ascii="Consolas" w:hAnsi="Consolas" w:cs="Consolas"/>
          <w:sz w:val="20"/>
          <w:shd w:val="clear" w:color="auto" w:fill="F4F4F4"/>
        </w:rPr>
        <w:t>random_state=42</w:t>
      </w:r>
      <w:r>
        <w:rPr>
          <w:rFonts w:ascii="Times New Roman" w:hAnsi="Times New Roman" w:cs="Times New Roman"/>
          <w:sz w:val="24"/>
        </w:rPr>
        <w:t xml:space="preserve"> for deterministisk output. Gjentatt kjøring med samme inputdata gir identiske resultater.</w:t>
      </w:r>
    </w:p>
    <w:p>
      <w:pPr>
        <w:spacing w:line="360" w:lineRule="auto"/>
        <w:jc w:val="both"/>
      </w:pPr>
      <w:r>
        <w:rPr>
          <w:rFonts w:ascii="Times New Roman" w:hAnsi="Times New Roman" w:cs="Times New Roman"/>
          <w:sz w:val="24"/>
        </w:rPr>
        <w:t>Fullstendig kildekode er tilgjengelig i prosjektets GitHub-repository.</w:t>
      </w:r>
    </w:p>
    <w:p>
      <w:pPr>
        <w:pStyle w:val="Overskrift2"/>
      </w:pPr>
      <w:r>
        <w:rPr>
          <w:rFonts w:ascii="Times New Roman" w:hAnsi="Times New Roman"/>
          <w:color w:val="000000"/>
          <w:sz w:val="32"/>
        </w:rPr>
        <w:t>Vedlegg C – Erklæring om bruk av kunstig intelligens</w:t>
      </w:r>
    </w:p>
    <w:p>
      <w:pPr>
        <w:spacing w:line="360" w:lineRule="auto"/>
        <w:jc w:val="both"/>
      </w:pPr>
      <w:r>
        <w:rPr>
          <w:rFonts w:ascii="Times New Roman" w:hAnsi="Times New Roman" w:cs="Times New Roman"/>
          <w:sz w:val="24"/>
        </w:rPr>
        <w:t>I denne rapporten er KI-verktøyet Claude brukt som støtteverktøy i tre deler av arbeidet, i samsvar med Høgskolen i Molde sine retningslinjer for bruk av KI på hjemmeeksamen.</w:t>
      </w:r>
    </w:p>
    <w:p>
      <w:pPr>
        <w:spacing w:line="360" w:lineRule="auto"/>
        <w:jc w:val="both"/>
      </w:pPr>
      <w:r>
        <w:rPr>
          <w:rFonts w:ascii="Times New Roman" w:hAnsi="Times New Roman" w:cs="Times New Roman"/>
          <w:b/>
          <w:sz w:val="24"/>
        </w:rPr>
        <w:t>1. Kode og algoritmer.</w:t>
      </w:r>
      <w:r>
        <w:rPr>
          <w:rFonts w:ascii="Times New Roman" w:hAnsi="Times New Roman" w:cs="Times New Roman"/>
          <w:sz w:val="24"/>
        </w:rPr>
        <w:t xml:space="preserve"> Claude ble brukt til kodestøtte og feilsøking i Python-scriptet (</w:t>
      </w:r>
      <w:r>
        <w:rPr>
          <w:rFonts w:ascii="Consolas" w:hAnsi="Consolas" w:cs="Consolas"/>
          <w:sz w:val="20"/>
          <w:shd w:val="clear" w:color="auto" w:fill="F4F4F4"/>
        </w:rPr>
        <w:t>LOG650_analyse_v2_7.py</w:t>
      </w:r>
      <w:r>
        <w:rPr>
          <w:rFonts w:ascii="Times New Roman" w:hAnsi="Times New Roman" w:cs="Times New Roman"/>
          <w:sz w:val="24"/>
        </w:rPr>
        <w:t xml:space="preserve">) som implementerer ABC-, XYZ-, EOQ- og K-means-analysen. Verktøyet ble brukt til å forstå kodelogikk, feilsøke syntaksfeil og generere foreløpige kodeutdrag som senere ble tilpasset og integrert. All kode er gjennomgått, testet og modifisert av forfatteren for å sikre korrekthet. Den endelige implementasjonen, tolkningen av resultater og presentasjonen av numeriske verdier er forfatterens ansvar. Alle scripts bruker </w:t>
      </w:r>
      <w:r>
        <w:rPr>
          <w:rFonts w:ascii="Consolas" w:hAnsi="Consolas" w:cs="Consolas"/>
          <w:sz w:val="20"/>
          <w:shd w:val="clear" w:color="auto" w:fill="F4F4F4"/>
        </w:rPr>
        <w:t>random_state=42</w:t>
      </w:r>
      <w:r>
        <w:rPr>
          <w:rFonts w:ascii="Times New Roman" w:hAnsi="Times New Roman" w:cs="Times New Roman"/>
          <w:sz w:val="24"/>
        </w:rPr>
        <w:t xml:space="preserve"> for deterministisk og reproduserbar output.</w:t>
      </w:r>
    </w:p>
    <w:p>
      <w:pPr>
        <w:spacing w:line="360" w:lineRule="auto"/>
        <w:jc w:val="both"/>
      </w:pPr>
      <w:r>
        <w:rPr>
          <w:rFonts w:ascii="Times New Roman" w:hAnsi="Times New Roman" w:cs="Times New Roman"/>
          <w:b/>
          <w:sz w:val="24"/>
        </w:rPr>
        <w:t>2. Figurer og tabeller.</w:t>
      </w:r>
      <w:r>
        <w:rPr>
          <w:rFonts w:ascii="Times New Roman" w:hAnsi="Times New Roman" w:cs="Times New Roman"/>
          <w:sz w:val="24"/>
        </w:rPr>
        <w:t xml:space="preserve"> Alle 12 figurer (Fig00–Fig11) er generert med matplotlib-scripts der Claude bidro til utforming av layout, fargepalett og aksetitler. Figurene er basert på analyseresultater produsert av Python-scriptet fra SAP-kildedata – KI-verktøyet har ikke produsert eller modifisert noen dataverdier. Hver figur er merket «Generert med støtte fra Claude» i bildeteksten. Tabeller er formatert med støtte fra Claude, men alle verdier kommer direkte fra analysescriptet.</w:t>
      </w:r>
    </w:p>
    <w:p>
      <w:pPr>
        <w:spacing w:line="360" w:lineRule="auto"/>
        <w:jc w:val="both"/>
      </w:pPr>
      <w:r>
        <w:rPr>
          <w:rFonts w:ascii="Times New Roman" w:hAnsi="Times New Roman" w:cs="Times New Roman"/>
          <w:b/>
          <w:sz w:val="24"/>
        </w:rPr>
        <w:t>3. Tekststrukturering og språklig bearbeiding.</w:t>
      </w:r>
      <w:r>
        <w:rPr>
          <w:rFonts w:ascii="Times New Roman" w:hAnsi="Times New Roman" w:cs="Times New Roman"/>
          <w:sz w:val="24"/>
        </w:rPr>
        <w:t xml:space="preserve"> Claude ble brukt til å strukturere rapportteksten og forbedre språklig klarhet. Verktøyet foreslo disposisjon, avsnittsinndeling og formuleringer som forfatteren vurderte kritisk og reviderte. Alle faglige påstander, argumenter og konklusjoner er forfatterens egne. Claude er ikke brukt som fagkilde og er ikke sitert som belegg for faglige påstander.</w:t>
      </w:r>
    </w:p>
    <w:p>
      <w:pPr>
        <w:spacing w:line="360" w:lineRule="auto"/>
        <w:jc w:val="both"/>
      </w:pPr>
      <w:r>
        <w:rPr>
          <w:rFonts w:ascii="Times New Roman" w:hAnsi="Times New Roman" w:cs="Times New Roman"/>
          <w:b/>
          <w:sz w:val="24"/>
        </w:rPr>
        <w:t>4. Refleksjon over KI-brukens påvirkning.</w:t>
      </w:r>
      <w:r>
        <w:rPr>
          <w:rFonts w:ascii="Times New Roman" w:hAnsi="Times New Roman" w:cs="Times New Roman"/>
          <w:sz w:val="24"/>
        </w:rPr>
        <w:t xml:space="preserve"> Bruken av Claude påvirket arbeidsprosessen på to vesentlige måter. For det første akselererte kodestøtten iterasjonshastigheten i Python-utviklingen, noe som muliggjorde flere eksperimentelle kjøringer og raskere feilsøking enn manuell utvikling alene ville tillatt. For det andre bidro den språklige bearbeidingen til mer konsise formuleringer, men krevde aktiv overvåking for å unngå at faglig presisjon gikk tapt til fordel for språklig eleganse. Den analytiske retningen – valg av metoder, regelutforming og tolkning av resultater – er ikke påvirket av KI-verktøyet.</w:t>
      </w:r>
    </w:p>
    <w:p>
      <w:pPr>
        <w:spacing w:line="360" w:lineRule="auto"/>
        <w:jc w:val="both"/>
      </w:pPr>
      <w:r>
        <w:rPr>
          <w:rFonts w:ascii="Times New Roman" w:hAnsi="Times New Roman" w:cs="Times New Roman"/>
          <w:b/>
          <w:sz w:val="24"/>
        </w:rPr>
        <w:t>Avgrensning.</w:t>
      </w:r>
      <w:r>
        <w:rPr>
          <w:rFonts w:ascii="Times New Roman" w:hAnsi="Times New Roman" w:cs="Times New Roman"/>
          <w:sz w:val="24"/>
        </w:rPr>
        <w:t xml:space="preserve"> Rådata fra SAP ble ikke lagt inn i KI-verktøyet. Alle datatransformasjoner er dokumentert i D-01–D-08 (avsnitt 4.3) og kjørt lokalt i Python. Ingen pasientdata eller personopplysninger er brukt i studien.</w:t>
      </w:r>
    </w:p>
    <w:p>
      <w:pPr>
        <w:spacing w:line="360" w:lineRule="auto"/>
        <w:jc w:val="both"/>
      </w:pPr>
      <w:r>
        <w:rPr>
          <w:rFonts w:ascii="Times New Roman" w:hAnsi="Times New Roman" w:cs="Times New Roman"/>
          <w:b/>
          <w:sz w:val="24"/>
        </w:rPr>
        <w:t>Signatur:</w:t>
      </w:r>
    </w:p>
    <w:p>
      <w:pPr>
        <w:spacing w:line="360" w:lineRule="auto"/>
        <w:jc w:val="both"/>
      </w:pPr>
      <w:r>
        <w:rPr>
          <w:rFonts w:ascii="Times New Roman" w:hAnsi="Times New Roman" w:cs="Times New Roman"/>
          <w:sz w:val="24"/>
        </w:rPr>
        <w:t>Sted og dato: \_\_\_\_\_\_\_\_\_\_\_\_\_\_\_\_\_\_\_\_\_\_\_\_</w:t>
      </w:r>
    </w:p>
    <w:p>
      <w:pPr>
        <w:spacing w:line="360" w:lineRule="auto"/>
        <w:jc w:val="both"/>
      </w:pPr>
      <w:r>
        <w:rPr>
          <w:rFonts w:ascii="Times New Roman" w:hAnsi="Times New Roman" w:cs="Times New Roman"/>
          <w:sz w:val="24"/>
        </w:rPr>
        <w:t>Navn: \_\_\_\_\_\_\_\_\_\_\_\_\_\_\_\_\_\_\_\_\_\_\_\_</w:t>
      </w:r>
    </w:p>
    <w:p>
      <w:pPr>
        <w:spacing w:line="360" w:lineRule="auto"/>
        <w:jc w:val="both"/>
      </w:pPr>
      <w:r>
        <w:rPr>
          <w:rFonts w:ascii="Times New Roman" w:hAnsi="Times New Roman" w:cs="Times New Roman"/>
          <w:sz w:val="24"/>
        </w:rPr>
        <w:t>Studentnummer: \_\_\_\_\_\_\_\_\_\_\_\_\_\_\_\_\_\_\_\_\_\_\_\_</w:t>
      </w:r>
    </w:p>
    <w:p>
      <w:pPr>
        <w:spacing w:line="360" w:lineRule="auto"/>
        <w:jc w:val="both"/>
      </w:pPr>
      <w:r>
        <w:rPr>
          <w:rFonts w:ascii="Times New Roman" w:hAnsi="Times New Roman" w:cs="Times New Roman"/>
          <w:sz w:val="24"/>
        </w:rPr>
        <w:t>Jeg bekrefter at opplysningene ovenfor er korrekte, og at all bruk av kunstig intelligens i dette arbeidet er beskrevet fullstendig og ærlig.</w:t>
      </w:r>
    </w:p>
    <w:sectPr w:rsidR="000F66BC" w:rsidRPr="000F66BC" w:rsidSect="00C90D42">
      <w:footerReference w:type="default" r:id="rId41"/>
      <w:pgSz w:w="11907" w:h="16840"/>
      <w:pgMar w:top="1417" w:right="1417" w:bottom="1417" w:left="1701" w:header="720" w:footer="403" w:gutter="0"/>
      <w:pgNumType w:start="1"/>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78071" w14:textId="77777777" w:rsidR="003C55BC" w:rsidRDefault="003C55BC">
      <w:r>
        <w:separator/>
      </w:r>
    </w:p>
  </w:endnote>
  <w:endnote w:type="continuationSeparator" w:id="0">
    <w:p w14:paraId="62D59B89" w14:textId="77777777" w:rsidR="003C55BC" w:rsidRDefault="003C55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ndnya">
    <w:panose1 w:val="00000400000000000000"/>
    <w:charset w:val="01"/>
    <w:family w:val="roman"/>
    <w:notTrueType/>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429D" w14:textId="77777777" w:rsidR="00955329" w:rsidRDefault="00955329" w:rsidP="001D2B8B">
    <w:pPr>
      <w:pStyle w:val="Bunntekst"/>
      <w:framePr w:wrap="around" w:vAnchor="text" w:hAnchor="margin" w:xAlign="right" w:y="1"/>
      <w:rPr>
        <w:rStyle w:val="Sidetall"/>
      </w:rPr>
    </w:pPr>
    <w:r>
      <w:rPr>
        <w:rStyle w:val="Sidetall"/>
      </w:rPr>
      <w:fldChar w:fldCharType="begin"/>
    </w:r>
    <w:r>
      <w:rPr>
        <w:rStyle w:val="Sidetall"/>
      </w:rPr>
      <w:instrText xml:space="preserve">PAGE  </w:instrText>
    </w:r>
    <w:r>
      <w:rPr>
        <w:rStyle w:val="Sidetall"/>
      </w:rPr>
      <w:fldChar w:fldCharType="end"/>
    </w:r>
  </w:p>
  <w:p w14:paraId="6156429E" w14:textId="77777777" w:rsidR="00955329" w:rsidRDefault="00955329" w:rsidP="004A4CE3">
    <w:pPr>
      <w:pStyle w:val="Bunn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429F" w14:textId="77777777" w:rsidR="00955329" w:rsidRDefault="00955329" w:rsidP="001D2B8B">
    <w:pPr>
      <w:pStyle w:val="Bunntekst"/>
      <w:framePr w:wrap="around" w:vAnchor="text" w:hAnchor="margin" w:xAlign="right" w:y="1"/>
      <w:jc w:val="center"/>
      <w:rPr>
        <w:rStyle w:val="Sidetall"/>
      </w:rP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p w14:paraId="615642A0" w14:textId="77777777" w:rsidR="00955329" w:rsidRDefault="00955329" w:rsidP="00BE42D3">
    <w:pPr>
      <w:pStyle w:val="Bunntekst"/>
      <w:ind w:right="36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03836" w14:textId="77777777" w:rsidR="003C55BC" w:rsidRDefault="003C55BC">
      <w:r>
        <w:separator/>
      </w:r>
    </w:p>
  </w:footnote>
  <w:footnote w:type="continuationSeparator" w:id="0">
    <w:p w14:paraId="77E4AC6C" w14:textId="77777777" w:rsidR="003C55BC" w:rsidRDefault="003C55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B05E1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6B23E7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38C800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6C8B9C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FE24DB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A7873D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D8B7E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B86B82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8D273A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8C2602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B64CB"/>
    <w:multiLevelType w:val="multilevel"/>
    <w:tmpl w:val="5F0A6A72"/>
    <w:lvl w:ilvl="0">
      <w:start w:val="1"/>
      <w:numFmt w:val="decimal"/>
      <w:pStyle w:val="Overskrift1"/>
      <w:lvlText w:val="%1.0"/>
      <w:lvlJc w:val="left"/>
      <w:pPr>
        <w:ind w:left="432" w:hanging="432"/>
      </w:pPr>
      <w:rPr>
        <w:rFonts w:hint="default"/>
      </w:rPr>
    </w:lvl>
    <w:lvl w:ilvl="1">
      <w:start w:val="1"/>
      <w:numFmt w:val="decimal"/>
      <w:pStyle w:val="Overskrift2"/>
      <w:lvlText w:val="%1.%2"/>
      <w:lvlJc w:val="left"/>
      <w:pPr>
        <w:ind w:left="576" w:hanging="576"/>
      </w:pPr>
      <w:rPr>
        <w:rFonts w:hint="default"/>
        <w:i w:val="0"/>
      </w:rPr>
    </w:lvl>
    <w:lvl w:ilvl="2">
      <w:start w:val="1"/>
      <w:numFmt w:val="decimal"/>
      <w:pStyle w:val="Overskrift3"/>
      <w:lvlText w:val="%1.%2.%3"/>
      <w:lvlJc w:val="left"/>
      <w:pPr>
        <w:ind w:left="720" w:hanging="720"/>
      </w:pPr>
      <w:rPr>
        <w:rFonts w:hint="default"/>
      </w:rPr>
    </w:lvl>
    <w:lvl w:ilvl="3">
      <w:start w:val="1"/>
      <w:numFmt w:val="decimal"/>
      <w:pStyle w:val="Overskrift4"/>
      <w:lvlText w:val="%1.%2.%3.%4"/>
      <w:lvlJc w:val="left"/>
      <w:pPr>
        <w:ind w:left="864" w:hanging="864"/>
      </w:pPr>
      <w:rPr>
        <w:rFonts w:hint="default"/>
      </w:rPr>
    </w:lvl>
    <w:lvl w:ilvl="4">
      <w:start w:val="1"/>
      <w:numFmt w:val="decimal"/>
      <w:pStyle w:val="Overskrift5"/>
      <w:lvlText w:val="%1.%2.%3.%4.%5"/>
      <w:lvlJc w:val="left"/>
      <w:pPr>
        <w:ind w:left="1008" w:hanging="1008"/>
      </w:pPr>
      <w:rPr>
        <w:rFonts w:hint="default"/>
      </w:rPr>
    </w:lvl>
    <w:lvl w:ilvl="5">
      <w:start w:val="1"/>
      <w:numFmt w:val="decimal"/>
      <w:pStyle w:val="Overskrift6"/>
      <w:lvlText w:val="%1.%2.%3.%4.%5.%6"/>
      <w:lvlJc w:val="left"/>
      <w:pPr>
        <w:ind w:left="1152" w:hanging="1152"/>
      </w:pPr>
      <w:rPr>
        <w:rFonts w:hint="default"/>
      </w:rPr>
    </w:lvl>
    <w:lvl w:ilvl="6">
      <w:start w:val="1"/>
      <w:numFmt w:val="decimal"/>
      <w:pStyle w:val="Overskrift7"/>
      <w:lvlText w:val="%1.%2.%3.%4.%5.%6.%7"/>
      <w:lvlJc w:val="left"/>
      <w:pPr>
        <w:ind w:left="1296" w:hanging="1296"/>
      </w:pPr>
      <w:rPr>
        <w:rFonts w:hint="default"/>
      </w:rPr>
    </w:lvl>
    <w:lvl w:ilvl="7">
      <w:start w:val="1"/>
      <w:numFmt w:val="decimal"/>
      <w:pStyle w:val="Overskrift8"/>
      <w:lvlText w:val="%1.%2.%3.%4.%5.%6.%7.%8"/>
      <w:lvlJc w:val="left"/>
      <w:pPr>
        <w:ind w:left="1440" w:hanging="1440"/>
      </w:pPr>
      <w:rPr>
        <w:rFonts w:hint="default"/>
      </w:rPr>
    </w:lvl>
    <w:lvl w:ilvl="8">
      <w:start w:val="1"/>
      <w:numFmt w:val="decimal"/>
      <w:pStyle w:val="Overskrift9"/>
      <w:lvlText w:val="%1.%2.%3.%4.%5.%6.%7.%8.%9"/>
      <w:lvlJc w:val="left"/>
      <w:pPr>
        <w:ind w:left="1584" w:hanging="1584"/>
      </w:pPr>
      <w:rPr>
        <w:rFonts w:hint="default"/>
      </w:rPr>
    </w:lvl>
  </w:abstractNum>
  <w:abstractNum w:abstractNumId="11" w15:restartNumberingAfterBreak="0">
    <w:nsid w:val="028D0D7B"/>
    <w:multiLevelType w:val="hybridMultilevel"/>
    <w:tmpl w:val="7B3C0C3A"/>
    <w:lvl w:ilvl="0" w:tplc="310CF73C">
      <w:start w:val="1"/>
      <w:numFmt w:val="decimal"/>
      <w:lvlText w:val="%1."/>
      <w:lvlJc w:val="left"/>
      <w:pPr>
        <w:ind w:left="720" w:hanging="360"/>
      </w:pPr>
      <w:rPr>
        <w:rFonts w:hint="default"/>
        <w:b/>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 w15:restartNumberingAfterBreak="0">
    <w:nsid w:val="05036849"/>
    <w:multiLevelType w:val="hybridMultilevel"/>
    <w:tmpl w:val="18AA823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0A382A5D"/>
    <w:multiLevelType w:val="hybridMultilevel"/>
    <w:tmpl w:val="D98ED2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0B667A6A"/>
    <w:multiLevelType w:val="multilevel"/>
    <w:tmpl w:val="0414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1CB5551"/>
    <w:multiLevelType w:val="hybridMultilevel"/>
    <w:tmpl w:val="A0A8DB48"/>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24FA3A12"/>
    <w:multiLevelType w:val="hybridMultilevel"/>
    <w:tmpl w:val="23D6103E"/>
    <w:lvl w:ilvl="0" w:tplc="04140001">
      <w:start w:val="1"/>
      <w:numFmt w:val="bullet"/>
      <w:lvlText w:val=""/>
      <w:lvlJc w:val="left"/>
      <w:pPr>
        <w:ind w:left="1080" w:hanging="360"/>
      </w:pPr>
      <w:rPr>
        <w:rFonts w:ascii="Symbol" w:hAnsi="Symbol" w:hint="default"/>
      </w:rPr>
    </w:lvl>
    <w:lvl w:ilvl="1" w:tplc="04140003" w:tentative="1">
      <w:start w:val="1"/>
      <w:numFmt w:val="bullet"/>
      <w:lvlText w:val="o"/>
      <w:lvlJc w:val="left"/>
      <w:pPr>
        <w:ind w:left="1800" w:hanging="360"/>
      </w:pPr>
      <w:rPr>
        <w:rFonts w:ascii="Courier New" w:hAnsi="Courier New" w:cs="Courier New" w:hint="default"/>
      </w:rPr>
    </w:lvl>
    <w:lvl w:ilvl="2" w:tplc="04140005" w:tentative="1">
      <w:start w:val="1"/>
      <w:numFmt w:val="bullet"/>
      <w:lvlText w:val=""/>
      <w:lvlJc w:val="left"/>
      <w:pPr>
        <w:ind w:left="2520" w:hanging="360"/>
      </w:pPr>
      <w:rPr>
        <w:rFonts w:ascii="Wingdings" w:hAnsi="Wingdings" w:hint="default"/>
      </w:rPr>
    </w:lvl>
    <w:lvl w:ilvl="3" w:tplc="04140001" w:tentative="1">
      <w:start w:val="1"/>
      <w:numFmt w:val="bullet"/>
      <w:lvlText w:val=""/>
      <w:lvlJc w:val="left"/>
      <w:pPr>
        <w:ind w:left="3240" w:hanging="360"/>
      </w:pPr>
      <w:rPr>
        <w:rFonts w:ascii="Symbol" w:hAnsi="Symbol" w:hint="default"/>
      </w:rPr>
    </w:lvl>
    <w:lvl w:ilvl="4" w:tplc="04140003" w:tentative="1">
      <w:start w:val="1"/>
      <w:numFmt w:val="bullet"/>
      <w:lvlText w:val="o"/>
      <w:lvlJc w:val="left"/>
      <w:pPr>
        <w:ind w:left="3960" w:hanging="360"/>
      </w:pPr>
      <w:rPr>
        <w:rFonts w:ascii="Courier New" w:hAnsi="Courier New" w:cs="Courier New" w:hint="default"/>
      </w:rPr>
    </w:lvl>
    <w:lvl w:ilvl="5" w:tplc="04140005" w:tentative="1">
      <w:start w:val="1"/>
      <w:numFmt w:val="bullet"/>
      <w:lvlText w:val=""/>
      <w:lvlJc w:val="left"/>
      <w:pPr>
        <w:ind w:left="4680" w:hanging="360"/>
      </w:pPr>
      <w:rPr>
        <w:rFonts w:ascii="Wingdings" w:hAnsi="Wingdings" w:hint="default"/>
      </w:rPr>
    </w:lvl>
    <w:lvl w:ilvl="6" w:tplc="04140001" w:tentative="1">
      <w:start w:val="1"/>
      <w:numFmt w:val="bullet"/>
      <w:lvlText w:val=""/>
      <w:lvlJc w:val="left"/>
      <w:pPr>
        <w:ind w:left="5400" w:hanging="360"/>
      </w:pPr>
      <w:rPr>
        <w:rFonts w:ascii="Symbol" w:hAnsi="Symbol" w:hint="default"/>
      </w:rPr>
    </w:lvl>
    <w:lvl w:ilvl="7" w:tplc="04140003" w:tentative="1">
      <w:start w:val="1"/>
      <w:numFmt w:val="bullet"/>
      <w:lvlText w:val="o"/>
      <w:lvlJc w:val="left"/>
      <w:pPr>
        <w:ind w:left="6120" w:hanging="360"/>
      </w:pPr>
      <w:rPr>
        <w:rFonts w:ascii="Courier New" w:hAnsi="Courier New" w:cs="Courier New" w:hint="default"/>
      </w:rPr>
    </w:lvl>
    <w:lvl w:ilvl="8" w:tplc="04140005" w:tentative="1">
      <w:start w:val="1"/>
      <w:numFmt w:val="bullet"/>
      <w:lvlText w:val=""/>
      <w:lvlJc w:val="left"/>
      <w:pPr>
        <w:ind w:left="6840" w:hanging="360"/>
      </w:pPr>
      <w:rPr>
        <w:rFonts w:ascii="Wingdings" w:hAnsi="Wingdings" w:hint="default"/>
      </w:rPr>
    </w:lvl>
  </w:abstractNum>
  <w:abstractNum w:abstractNumId="17" w15:restartNumberingAfterBreak="0">
    <w:nsid w:val="2BA16D5C"/>
    <w:multiLevelType w:val="multilevel"/>
    <w:tmpl w:val="50D2F234"/>
    <w:lvl w:ilvl="0">
      <w:start w:val="1"/>
      <w:numFmt w:val="decimal"/>
      <w:lvlText w:val="%1"/>
      <w:lvlJc w:val="left"/>
      <w:pPr>
        <w:ind w:left="480" w:hanging="480"/>
      </w:pPr>
      <w:rPr>
        <w:rFonts w:ascii="Times New Roman" w:eastAsia="Times New Roman" w:hAnsi="Times New Roman" w:cs="Sendnya" w:hint="default"/>
        <w:color w:val="0000FF"/>
        <w:sz w:val="24"/>
        <w:u w:val="single"/>
      </w:rPr>
    </w:lvl>
    <w:lvl w:ilvl="1">
      <w:start w:val="1"/>
      <w:numFmt w:val="decimal"/>
      <w:lvlText w:val="%1.%2"/>
      <w:lvlJc w:val="left"/>
      <w:pPr>
        <w:ind w:left="960" w:hanging="720"/>
      </w:pPr>
      <w:rPr>
        <w:rFonts w:ascii="Times New Roman" w:eastAsia="Times New Roman" w:hAnsi="Times New Roman" w:cs="Sendnya" w:hint="default"/>
        <w:color w:val="0000FF"/>
        <w:sz w:val="24"/>
        <w:u w:val="single"/>
      </w:rPr>
    </w:lvl>
    <w:lvl w:ilvl="2">
      <w:start w:val="1"/>
      <w:numFmt w:val="decimal"/>
      <w:lvlText w:val="%1.%2.%3"/>
      <w:lvlJc w:val="left"/>
      <w:pPr>
        <w:ind w:left="1200" w:hanging="720"/>
      </w:pPr>
      <w:rPr>
        <w:rFonts w:ascii="Times New Roman" w:eastAsia="Times New Roman" w:hAnsi="Times New Roman" w:cs="Sendnya" w:hint="default"/>
        <w:color w:val="0000FF"/>
        <w:sz w:val="24"/>
        <w:u w:val="single"/>
      </w:rPr>
    </w:lvl>
    <w:lvl w:ilvl="3">
      <w:start w:val="1"/>
      <w:numFmt w:val="decimal"/>
      <w:lvlText w:val="%1.%2.%3.%4"/>
      <w:lvlJc w:val="left"/>
      <w:pPr>
        <w:ind w:left="1800" w:hanging="1080"/>
      </w:pPr>
      <w:rPr>
        <w:rFonts w:ascii="Times New Roman" w:eastAsia="Times New Roman" w:hAnsi="Times New Roman" w:cs="Sendnya" w:hint="default"/>
        <w:color w:val="0000FF"/>
        <w:sz w:val="24"/>
        <w:u w:val="single"/>
      </w:rPr>
    </w:lvl>
    <w:lvl w:ilvl="4">
      <w:start w:val="1"/>
      <w:numFmt w:val="decimal"/>
      <w:lvlText w:val="%1.%2.%3.%4.%5"/>
      <w:lvlJc w:val="left"/>
      <w:pPr>
        <w:ind w:left="2400" w:hanging="1440"/>
      </w:pPr>
      <w:rPr>
        <w:rFonts w:ascii="Times New Roman" w:eastAsia="Times New Roman" w:hAnsi="Times New Roman" w:cs="Sendnya" w:hint="default"/>
        <w:color w:val="0000FF"/>
        <w:sz w:val="24"/>
        <w:u w:val="single"/>
      </w:rPr>
    </w:lvl>
    <w:lvl w:ilvl="5">
      <w:start w:val="1"/>
      <w:numFmt w:val="decimal"/>
      <w:lvlText w:val="%1.%2.%3.%4.%5.%6"/>
      <w:lvlJc w:val="left"/>
      <w:pPr>
        <w:ind w:left="2640" w:hanging="1440"/>
      </w:pPr>
      <w:rPr>
        <w:rFonts w:ascii="Times New Roman" w:eastAsia="Times New Roman" w:hAnsi="Times New Roman" w:cs="Sendnya" w:hint="default"/>
        <w:color w:val="0000FF"/>
        <w:sz w:val="24"/>
        <w:u w:val="single"/>
      </w:rPr>
    </w:lvl>
    <w:lvl w:ilvl="6">
      <w:start w:val="1"/>
      <w:numFmt w:val="decimal"/>
      <w:lvlText w:val="%1.%2.%3.%4.%5.%6.%7"/>
      <w:lvlJc w:val="left"/>
      <w:pPr>
        <w:ind w:left="3240" w:hanging="1800"/>
      </w:pPr>
      <w:rPr>
        <w:rFonts w:ascii="Times New Roman" w:eastAsia="Times New Roman" w:hAnsi="Times New Roman" w:cs="Sendnya" w:hint="default"/>
        <w:color w:val="0000FF"/>
        <w:sz w:val="24"/>
        <w:u w:val="single"/>
      </w:rPr>
    </w:lvl>
    <w:lvl w:ilvl="7">
      <w:start w:val="1"/>
      <w:numFmt w:val="decimal"/>
      <w:lvlText w:val="%1.%2.%3.%4.%5.%6.%7.%8"/>
      <w:lvlJc w:val="left"/>
      <w:pPr>
        <w:ind w:left="3480" w:hanging="1800"/>
      </w:pPr>
      <w:rPr>
        <w:rFonts w:ascii="Times New Roman" w:eastAsia="Times New Roman" w:hAnsi="Times New Roman" w:cs="Sendnya" w:hint="default"/>
        <w:color w:val="0000FF"/>
        <w:sz w:val="24"/>
        <w:u w:val="single"/>
      </w:rPr>
    </w:lvl>
    <w:lvl w:ilvl="8">
      <w:start w:val="1"/>
      <w:numFmt w:val="decimal"/>
      <w:lvlText w:val="%1.%2.%3.%4.%5.%6.%7.%8.%9"/>
      <w:lvlJc w:val="left"/>
      <w:pPr>
        <w:ind w:left="4080" w:hanging="2160"/>
      </w:pPr>
      <w:rPr>
        <w:rFonts w:ascii="Times New Roman" w:eastAsia="Times New Roman" w:hAnsi="Times New Roman" w:cs="Sendnya" w:hint="default"/>
        <w:color w:val="0000FF"/>
        <w:sz w:val="24"/>
        <w:u w:val="single"/>
      </w:rPr>
    </w:lvl>
  </w:abstractNum>
  <w:abstractNum w:abstractNumId="18" w15:restartNumberingAfterBreak="0">
    <w:nsid w:val="2C89474E"/>
    <w:multiLevelType w:val="hybridMultilevel"/>
    <w:tmpl w:val="6304041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9" w15:restartNumberingAfterBreak="0">
    <w:nsid w:val="321C0DC5"/>
    <w:multiLevelType w:val="multilevel"/>
    <w:tmpl w:val="E318C8CE"/>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32BF17E8"/>
    <w:multiLevelType w:val="hybridMultilevel"/>
    <w:tmpl w:val="C80C15B2"/>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1" w15:restartNumberingAfterBreak="0">
    <w:nsid w:val="345D10A9"/>
    <w:multiLevelType w:val="hybridMultilevel"/>
    <w:tmpl w:val="C5F60A2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15:restartNumberingAfterBreak="0">
    <w:nsid w:val="3FC81421"/>
    <w:multiLevelType w:val="hybridMultilevel"/>
    <w:tmpl w:val="B3DA3FD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45D83003"/>
    <w:multiLevelType w:val="multilevel"/>
    <w:tmpl w:val="6512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87864F5"/>
    <w:multiLevelType w:val="hybridMultilevel"/>
    <w:tmpl w:val="89FAE798"/>
    <w:lvl w:ilvl="0" w:tplc="73145680">
      <w:start w:val="1"/>
      <w:numFmt w:val="bullet"/>
      <w:lvlText w:val="•"/>
      <w:lvlJc w:val="left"/>
      <w:pPr>
        <w:tabs>
          <w:tab w:val="num" w:pos="720"/>
        </w:tabs>
        <w:ind w:left="720" w:hanging="360"/>
      </w:pPr>
      <w:rPr>
        <w:rFonts w:ascii="Times New Roman" w:hAnsi="Times New Roman" w:hint="default"/>
      </w:rPr>
    </w:lvl>
    <w:lvl w:ilvl="1" w:tplc="EA2658C8">
      <w:numFmt w:val="bullet"/>
      <w:lvlText w:val="–"/>
      <w:lvlJc w:val="left"/>
      <w:pPr>
        <w:tabs>
          <w:tab w:val="num" w:pos="1440"/>
        </w:tabs>
        <w:ind w:left="1440" w:hanging="360"/>
      </w:pPr>
      <w:rPr>
        <w:rFonts w:ascii="Times New Roman" w:hAnsi="Times New Roman" w:hint="default"/>
      </w:rPr>
    </w:lvl>
    <w:lvl w:ilvl="2" w:tplc="8CAC24EA">
      <w:numFmt w:val="bullet"/>
      <w:lvlText w:val="•"/>
      <w:lvlJc w:val="left"/>
      <w:pPr>
        <w:tabs>
          <w:tab w:val="num" w:pos="2160"/>
        </w:tabs>
        <w:ind w:left="2160" w:hanging="360"/>
      </w:pPr>
      <w:rPr>
        <w:rFonts w:ascii="Times New Roman" w:hAnsi="Times New Roman" w:hint="default"/>
      </w:rPr>
    </w:lvl>
    <w:lvl w:ilvl="3" w:tplc="97787888" w:tentative="1">
      <w:start w:val="1"/>
      <w:numFmt w:val="bullet"/>
      <w:lvlText w:val="•"/>
      <w:lvlJc w:val="left"/>
      <w:pPr>
        <w:tabs>
          <w:tab w:val="num" w:pos="2880"/>
        </w:tabs>
        <w:ind w:left="2880" w:hanging="360"/>
      </w:pPr>
      <w:rPr>
        <w:rFonts w:ascii="Times New Roman" w:hAnsi="Times New Roman" w:hint="default"/>
      </w:rPr>
    </w:lvl>
    <w:lvl w:ilvl="4" w:tplc="9AB0E148" w:tentative="1">
      <w:start w:val="1"/>
      <w:numFmt w:val="bullet"/>
      <w:lvlText w:val="•"/>
      <w:lvlJc w:val="left"/>
      <w:pPr>
        <w:tabs>
          <w:tab w:val="num" w:pos="3600"/>
        </w:tabs>
        <w:ind w:left="3600" w:hanging="360"/>
      </w:pPr>
      <w:rPr>
        <w:rFonts w:ascii="Times New Roman" w:hAnsi="Times New Roman" w:hint="default"/>
      </w:rPr>
    </w:lvl>
    <w:lvl w:ilvl="5" w:tplc="3DCC085E" w:tentative="1">
      <w:start w:val="1"/>
      <w:numFmt w:val="bullet"/>
      <w:lvlText w:val="•"/>
      <w:lvlJc w:val="left"/>
      <w:pPr>
        <w:tabs>
          <w:tab w:val="num" w:pos="4320"/>
        </w:tabs>
        <w:ind w:left="4320" w:hanging="360"/>
      </w:pPr>
      <w:rPr>
        <w:rFonts w:ascii="Times New Roman" w:hAnsi="Times New Roman" w:hint="default"/>
      </w:rPr>
    </w:lvl>
    <w:lvl w:ilvl="6" w:tplc="376A5BD6" w:tentative="1">
      <w:start w:val="1"/>
      <w:numFmt w:val="bullet"/>
      <w:lvlText w:val="•"/>
      <w:lvlJc w:val="left"/>
      <w:pPr>
        <w:tabs>
          <w:tab w:val="num" w:pos="5040"/>
        </w:tabs>
        <w:ind w:left="5040" w:hanging="360"/>
      </w:pPr>
      <w:rPr>
        <w:rFonts w:ascii="Times New Roman" w:hAnsi="Times New Roman" w:hint="default"/>
      </w:rPr>
    </w:lvl>
    <w:lvl w:ilvl="7" w:tplc="96E44622" w:tentative="1">
      <w:start w:val="1"/>
      <w:numFmt w:val="bullet"/>
      <w:lvlText w:val="•"/>
      <w:lvlJc w:val="left"/>
      <w:pPr>
        <w:tabs>
          <w:tab w:val="num" w:pos="5760"/>
        </w:tabs>
        <w:ind w:left="5760" w:hanging="360"/>
      </w:pPr>
      <w:rPr>
        <w:rFonts w:ascii="Times New Roman" w:hAnsi="Times New Roman" w:hint="default"/>
      </w:rPr>
    </w:lvl>
    <w:lvl w:ilvl="8" w:tplc="19042840"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4F44182C"/>
    <w:multiLevelType w:val="hybridMultilevel"/>
    <w:tmpl w:val="11F0A448"/>
    <w:lvl w:ilvl="0" w:tplc="E298867A">
      <w:start w:val="1"/>
      <w:numFmt w:val="bullet"/>
      <w:lvlText w:val="•"/>
      <w:lvlJc w:val="left"/>
      <w:pPr>
        <w:tabs>
          <w:tab w:val="num" w:pos="720"/>
        </w:tabs>
        <w:ind w:left="720" w:hanging="360"/>
      </w:pPr>
      <w:rPr>
        <w:rFonts w:ascii="Times New Roman" w:hAnsi="Times New Roman" w:hint="default"/>
      </w:rPr>
    </w:lvl>
    <w:lvl w:ilvl="1" w:tplc="60C28682">
      <w:numFmt w:val="bullet"/>
      <w:lvlText w:val="–"/>
      <w:lvlJc w:val="left"/>
      <w:pPr>
        <w:tabs>
          <w:tab w:val="num" w:pos="1440"/>
        </w:tabs>
        <w:ind w:left="1440" w:hanging="360"/>
      </w:pPr>
      <w:rPr>
        <w:rFonts w:ascii="Times New Roman" w:hAnsi="Times New Roman" w:hint="default"/>
      </w:rPr>
    </w:lvl>
    <w:lvl w:ilvl="2" w:tplc="9D401F7A" w:tentative="1">
      <w:start w:val="1"/>
      <w:numFmt w:val="bullet"/>
      <w:lvlText w:val="•"/>
      <w:lvlJc w:val="left"/>
      <w:pPr>
        <w:tabs>
          <w:tab w:val="num" w:pos="2160"/>
        </w:tabs>
        <w:ind w:left="2160" w:hanging="360"/>
      </w:pPr>
      <w:rPr>
        <w:rFonts w:ascii="Times New Roman" w:hAnsi="Times New Roman" w:hint="default"/>
      </w:rPr>
    </w:lvl>
    <w:lvl w:ilvl="3" w:tplc="D2FC9266" w:tentative="1">
      <w:start w:val="1"/>
      <w:numFmt w:val="bullet"/>
      <w:lvlText w:val="•"/>
      <w:lvlJc w:val="left"/>
      <w:pPr>
        <w:tabs>
          <w:tab w:val="num" w:pos="2880"/>
        </w:tabs>
        <w:ind w:left="2880" w:hanging="360"/>
      </w:pPr>
      <w:rPr>
        <w:rFonts w:ascii="Times New Roman" w:hAnsi="Times New Roman" w:hint="default"/>
      </w:rPr>
    </w:lvl>
    <w:lvl w:ilvl="4" w:tplc="D9FE98EC" w:tentative="1">
      <w:start w:val="1"/>
      <w:numFmt w:val="bullet"/>
      <w:lvlText w:val="•"/>
      <w:lvlJc w:val="left"/>
      <w:pPr>
        <w:tabs>
          <w:tab w:val="num" w:pos="3600"/>
        </w:tabs>
        <w:ind w:left="3600" w:hanging="360"/>
      </w:pPr>
      <w:rPr>
        <w:rFonts w:ascii="Times New Roman" w:hAnsi="Times New Roman" w:hint="default"/>
      </w:rPr>
    </w:lvl>
    <w:lvl w:ilvl="5" w:tplc="1208392C" w:tentative="1">
      <w:start w:val="1"/>
      <w:numFmt w:val="bullet"/>
      <w:lvlText w:val="•"/>
      <w:lvlJc w:val="left"/>
      <w:pPr>
        <w:tabs>
          <w:tab w:val="num" w:pos="4320"/>
        </w:tabs>
        <w:ind w:left="4320" w:hanging="360"/>
      </w:pPr>
      <w:rPr>
        <w:rFonts w:ascii="Times New Roman" w:hAnsi="Times New Roman" w:hint="default"/>
      </w:rPr>
    </w:lvl>
    <w:lvl w:ilvl="6" w:tplc="A6E05074" w:tentative="1">
      <w:start w:val="1"/>
      <w:numFmt w:val="bullet"/>
      <w:lvlText w:val="•"/>
      <w:lvlJc w:val="left"/>
      <w:pPr>
        <w:tabs>
          <w:tab w:val="num" w:pos="5040"/>
        </w:tabs>
        <w:ind w:left="5040" w:hanging="360"/>
      </w:pPr>
      <w:rPr>
        <w:rFonts w:ascii="Times New Roman" w:hAnsi="Times New Roman" w:hint="default"/>
      </w:rPr>
    </w:lvl>
    <w:lvl w:ilvl="7" w:tplc="E1E49CB0" w:tentative="1">
      <w:start w:val="1"/>
      <w:numFmt w:val="bullet"/>
      <w:lvlText w:val="•"/>
      <w:lvlJc w:val="left"/>
      <w:pPr>
        <w:tabs>
          <w:tab w:val="num" w:pos="5760"/>
        </w:tabs>
        <w:ind w:left="5760" w:hanging="360"/>
      </w:pPr>
      <w:rPr>
        <w:rFonts w:ascii="Times New Roman" w:hAnsi="Times New Roman" w:hint="default"/>
      </w:rPr>
    </w:lvl>
    <w:lvl w:ilvl="8" w:tplc="734808FA"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538E4577"/>
    <w:multiLevelType w:val="hybridMultilevel"/>
    <w:tmpl w:val="6130C2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7" w15:restartNumberingAfterBreak="0">
    <w:nsid w:val="61DA25AD"/>
    <w:multiLevelType w:val="multilevel"/>
    <w:tmpl w:val="E96802B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62233511"/>
    <w:multiLevelType w:val="hybridMultilevel"/>
    <w:tmpl w:val="0942852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9" w15:restartNumberingAfterBreak="0">
    <w:nsid w:val="68B65AF0"/>
    <w:multiLevelType w:val="multilevel"/>
    <w:tmpl w:val="61963404"/>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6C2A5CAE"/>
    <w:multiLevelType w:val="hybridMultilevel"/>
    <w:tmpl w:val="84CAD9B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1" w15:restartNumberingAfterBreak="0">
    <w:nsid w:val="6C8F08CF"/>
    <w:multiLevelType w:val="hybridMultilevel"/>
    <w:tmpl w:val="4CF4A21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2" w15:restartNumberingAfterBreak="0">
    <w:nsid w:val="736B2260"/>
    <w:multiLevelType w:val="hybridMultilevel"/>
    <w:tmpl w:val="F4B8DCEC"/>
    <w:lvl w:ilvl="0" w:tplc="C8562E04">
      <w:start w:val="1"/>
      <w:numFmt w:val="bullet"/>
      <w:lvlText w:val="•"/>
      <w:lvlJc w:val="left"/>
      <w:pPr>
        <w:tabs>
          <w:tab w:val="num" w:pos="720"/>
        </w:tabs>
        <w:ind w:left="720" w:hanging="360"/>
      </w:pPr>
      <w:rPr>
        <w:rFonts w:ascii="Times New Roman" w:hAnsi="Times New Roman" w:hint="default"/>
      </w:rPr>
    </w:lvl>
    <w:lvl w:ilvl="1" w:tplc="CD0CC13E">
      <w:numFmt w:val="bullet"/>
      <w:lvlText w:val="–"/>
      <w:lvlJc w:val="left"/>
      <w:pPr>
        <w:tabs>
          <w:tab w:val="num" w:pos="1440"/>
        </w:tabs>
        <w:ind w:left="1440" w:hanging="360"/>
      </w:pPr>
      <w:rPr>
        <w:rFonts w:ascii="Times New Roman" w:hAnsi="Times New Roman" w:hint="default"/>
      </w:rPr>
    </w:lvl>
    <w:lvl w:ilvl="2" w:tplc="1736D1F4">
      <w:numFmt w:val="bullet"/>
      <w:lvlText w:val="•"/>
      <w:lvlJc w:val="left"/>
      <w:pPr>
        <w:tabs>
          <w:tab w:val="num" w:pos="2160"/>
        </w:tabs>
        <w:ind w:left="2160" w:hanging="360"/>
      </w:pPr>
      <w:rPr>
        <w:rFonts w:ascii="Times New Roman" w:hAnsi="Times New Roman" w:hint="default"/>
      </w:rPr>
    </w:lvl>
    <w:lvl w:ilvl="3" w:tplc="F86844EC" w:tentative="1">
      <w:start w:val="1"/>
      <w:numFmt w:val="bullet"/>
      <w:lvlText w:val="•"/>
      <w:lvlJc w:val="left"/>
      <w:pPr>
        <w:tabs>
          <w:tab w:val="num" w:pos="2880"/>
        </w:tabs>
        <w:ind w:left="2880" w:hanging="360"/>
      </w:pPr>
      <w:rPr>
        <w:rFonts w:ascii="Times New Roman" w:hAnsi="Times New Roman" w:hint="default"/>
      </w:rPr>
    </w:lvl>
    <w:lvl w:ilvl="4" w:tplc="5D785D8C" w:tentative="1">
      <w:start w:val="1"/>
      <w:numFmt w:val="bullet"/>
      <w:lvlText w:val="•"/>
      <w:lvlJc w:val="left"/>
      <w:pPr>
        <w:tabs>
          <w:tab w:val="num" w:pos="3600"/>
        </w:tabs>
        <w:ind w:left="3600" w:hanging="360"/>
      </w:pPr>
      <w:rPr>
        <w:rFonts w:ascii="Times New Roman" w:hAnsi="Times New Roman" w:hint="default"/>
      </w:rPr>
    </w:lvl>
    <w:lvl w:ilvl="5" w:tplc="62248B84" w:tentative="1">
      <w:start w:val="1"/>
      <w:numFmt w:val="bullet"/>
      <w:lvlText w:val="•"/>
      <w:lvlJc w:val="left"/>
      <w:pPr>
        <w:tabs>
          <w:tab w:val="num" w:pos="4320"/>
        </w:tabs>
        <w:ind w:left="4320" w:hanging="360"/>
      </w:pPr>
      <w:rPr>
        <w:rFonts w:ascii="Times New Roman" w:hAnsi="Times New Roman" w:hint="default"/>
      </w:rPr>
    </w:lvl>
    <w:lvl w:ilvl="6" w:tplc="F1E46B60" w:tentative="1">
      <w:start w:val="1"/>
      <w:numFmt w:val="bullet"/>
      <w:lvlText w:val="•"/>
      <w:lvlJc w:val="left"/>
      <w:pPr>
        <w:tabs>
          <w:tab w:val="num" w:pos="5040"/>
        </w:tabs>
        <w:ind w:left="5040" w:hanging="360"/>
      </w:pPr>
      <w:rPr>
        <w:rFonts w:ascii="Times New Roman" w:hAnsi="Times New Roman" w:hint="default"/>
      </w:rPr>
    </w:lvl>
    <w:lvl w:ilvl="7" w:tplc="DA3CD6B6" w:tentative="1">
      <w:start w:val="1"/>
      <w:numFmt w:val="bullet"/>
      <w:lvlText w:val="•"/>
      <w:lvlJc w:val="left"/>
      <w:pPr>
        <w:tabs>
          <w:tab w:val="num" w:pos="5760"/>
        </w:tabs>
        <w:ind w:left="5760" w:hanging="360"/>
      </w:pPr>
      <w:rPr>
        <w:rFonts w:ascii="Times New Roman" w:hAnsi="Times New Roman" w:hint="default"/>
      </w:rPr>
    </w:lvl>
    <w:lvl w:ilvl="8" w:tplc="BF140206"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736C40E3"/>
    <w:multiLevelType w:val="hybridMultilevel"/>
    <w:tmpl w:val="2CE8160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41643F3"/>
    <w:multiLevelType w:val="hybridMultilevel"/>
    <w:tmpl w:val="24CC296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5" w15:restartNumberingAfterBreak="0">
    <w:nsid w:val="756B5377"/>
    <w:multiLevelType w:val="hybridMultilevel"/>
    <w:tmpl w:val="867CD1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6" w15:restartNumberingAfterBreak="0">
    <w:nsid w:val="782038EF"/>
    <w:multiLevelType w:val="hybridMultilevel"/>
    <w:tmpl w:val="BC7ED1C4"/>
    <w:lvl w:ilvl="0" w:tplc="CAE69642">
      <w:start w:val="1"/>
      <w:numFmt w:val="bullet"/>
      <w:lvlText w:val="•"/>
      <w:lvlJc w:val="left"/>
      <w:pPr>
        <w:tabs>
          <w:tab w:val="num" w:pos="720"/>
        </w:tabs>
        <w:ind w:left="720" w:hanging="360"/>
      </w:pPr>
      <w:rPr>
        <w:rFonts w:ascii="Times New Roman" w:hAnsi="Times New Roman" w:hint="default"/>
      </w:rPr>
    </w:lvl>
    <w:lvl w:ilvl="1" w:tplc="0270D926">
      <w:numFmt w:val="bullet"/>
      <w:lvlText w:val="–"/>
      <w:lvlJc w:val="left"/>
      <w:pPr>
        <w:tabs>
          <w:tab w:val="num" w:pos="1440"/>
        </w:tabs>
        <w:ind w:left="1440" w:hanging="360"/>
      </w:pPr>
      <w:rPr>
        <w:rFonts w:ascii="Times New Roman" w:hAnsi="Times New Roman" w:hint="default"/>
      </w:rPr>
    </w:lvl>
    <w:lvl w:ilvl="2" w:tplc="3E245B54" w:tentative="1">
      <w:start w:val="1"/>
      <w:numFmt w:val="bullet"/>
      <w:lvlText w:val="•"/>
      <w:lvlJc w:val="left"/>
      <w:pPr>
        <w:tabs>
          <w:tab w:val="num" w:pos="2160"/>
        </w:tabs>
        <w:ind w:left="2160" w:hanging="360"/>
      </w:pPr>
      <w:rPr>
        <w:rFonts w:ascii="Times New Roman" w:hAnsi="Times New Roman" w:hint="default"/>
      </w:rPr>
    </w:lvl>
    <w:lvl w:ilvl="3" w:tplc="3692DA3E" w:tentative="1">
      <w:start w:val="1"/>
      <w:numFmt w:val="bullet"/>
      <w:lvlText w:val="•"/>
      <w:lvlJc w:val="left"/>
      <w:pPr>
        <w:tabs>
          <w:tab w:val="num" w:pos="2880"/>
        </w:tabs>
        <w:ind w:left="2880" w:hanging="360"/>
      </w:pPr>
      <w:rPr>
        <w:rFonts w:ascii="Times New Roman" w:hAnsi="Times New Roman" w:hint="default"/>
      </w:rPr>
    </w:lvl>
    <w:lvl w:ilvl="4" w:tplc="F508E610" w:tentative="1">
      <w:start w:val="1"/>
      <w:numFmt w:val="bullet"/>
      <w:lvlText w:val="•"/>
      <w:lvlJc w:val="left"/>
      <w:pPr>
        <w:tabs>
          <w:tab w:val="num" w:pos="3600"/>
        </w:tabs>
        <w:ind w:left="3600" w:hanging="360"/>
      </w:pPr>
      <w:rPr>
        <w:rFonts w:ascii="Times New Roman" w:hAnsi="Times New Roman" w:hint="default"/>
      </w:rPr>
    </w:lvl>
    <w:lvl w:ilvl="5" w:tplc="AF283D7A" w:tentative="1">
      <w:start w:val="1"/>
      <w:numFmt w:val="bullet"/>
      <w:lvlText w:val="•"/>
      <w:lvlJc w:val="left"/>
      <w:pPr>
        <w:tabs>
          <w:tab w:val="num" w:pos="4320"/>
        </w:tabs>
        <w:ind w:left="4320" w:hanging="360"/>
      </w:pPr>
      <w:rPr>
        <w:rFonts w:ascii="Times New Roman" w:hAnsi="Times New Roman" w:hint="default"/>
      </w:rPr>
    </w:lvl>
    <w:lvl w:ilvl="6" w:tplc="D65E8852" w:tentative="1">
      <w:start w:val="1"/>
      <w:numFmt w:val="bullet"/>
      <w:lvlText w:val="•"/>
      <w:lvlJc w:val="left"/>
      <w:pPr>
        <w:tabs>
          <w:tab w:val="num" w:pos="5040"/>
        </w:tabs>
        <w:ind w:left="5040" w:hanging="360"/>
      </w:pPr>
      <w:rPr>
        <w:rFonts w:ascii="Times New Roman" w:hAnsi="Times New Roman" w:hint="default"/>
      </w:rPr>
    </w:lvl>
    <w:lvl w:ilvl="7" w:tplc="2CA04D40" w:tentative="1">
      <w:start w:val="1"/>
      <w:numFmt w:val="bullet"/>
      <w:lvlText w:val="•"/>
      <w:lvlJc w:val="left"/>
      <w:pPr>
        <w:tabs>
          <w:tab w:val="num" w:pos="5760"/>
        </w:tabs>
        <w:ind w:left="5760" w:hanging="360"/>
      </w:pPr>
      <w:rPr>
        <w:rFonts w:ascii="Times New Roman" w:hAnsi="Times New Roman" w:hint="default"/>
      </w:rPr>
    </w:lvl>
    <w:lvl w:ilvl="8" w:tplc="04BCED96"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7880210B"/>
    <w:multiLevelType w:val="hybridMultilevel"/>
    <w:tmpl w:val="D4D44544"/>
    <w:lvl w:ilvl="0" w:tplc="ABF8C096">
      <w:start w:val="1"/>
      <w:numFmt w:val="bullet"/>
      <w:lvlText w:val="•"/>
      <w:lvlJc w:val="left"/>
      <w:pPr>
        <w:tabs>
          <w:tab w:val="num" w:pos="720"/>
        </w:tabs>
        <w:ind w:left="720" w:hanging="360"/>
      </w:pPr>
      <w:rPr>
        <w:rFonts w:ascii="Times New Roman" w:hAnsi="Times New Roman" w:hint="default"/>
      </w:rPr>
    </w:lvl>
    <w:lvl w:ilvl="1" w:tplc="B740AD6C">
      <w:numFmt w:val="bullet"/>
      <w:lvlText w:val="–"/>
      <w:lvlJc w:val="left"/>
      <w:pPr>
        <w:tabs>
          <w:tab w:val="num" w:pos="1440"/>
        </w:tabs>
        <w:ind w:left="1440" w:hanging="360"/>
      </w:pPr>
      <w:rPr>
        <w:rFonts w:ascii="Times New Roman" w:hAnsi="Times New Roman" w:hint="default"/>
      </w:rPr>
    </w:lvl>
    <w:lvl w:ilvl="2" w:tplc="AC9C8A1E" w:tentative="1">
      <w:start w:val="1"/>
      <w:numFmt w:val="bullet"/>
      <w:lvlText w:val="•"/>
      <w:lvlJc w:val="left"/>
      <w:pPr>
        <w:tabs>
          <w:tab w:val="num" w:pos="2160"/>
        </w:tabs>
        <w:ind w:left="2160" w:hanging="360"/>
      </w:pPr>
      <w:rPr>
        <w:rFonts w:ascii="Times New Roman" w:hAnsi="Times New Roman" w:hint="default"/>
      </w:rPr>
    </w:lvl>
    <w:lvl w:ilvl="3" w:tplc="3738BD40" w:tentative="1">
      <w:start w:val="1"/>
      <w:numFmt w:val="bullet"/>
      <w:lvlText w:val="•"/>
      <w:lvlJc w:val="left"/>
      <w:pPr>
        <w:tabs>
          <w:tab w:val="num" w:pos="2880"/>
        </w:tabs>
        <w:ind w:left="2880" w:hanging="360"/>
      </w:pPr>
      <w:rPr>
        <w:rFonts w:ascii="Times New Roman" w:hAnsi="Times New Roman" w:hint="default"/>
      </w:rPr>
    </w:lvl>
    <w:lvl w:ilvl="4" w:tplc="B84009CA" w:tentative="1">
      <w:start w:val="1"/>
      <w:numFmt w:val="bullet"/>
      <w:lvlText w:val="•"/>
      <w:lvlJc w:val="left"/>
      <w:pPr>
        <w:tabs>
          <w:tab w:val="num" w:pos="3600"/>
        </w:tabs>
        <w:ind w:left="3600" w:hanging="360"/>
      </w:pPr>
      <w:rPr>
        <w:rFonts w:ascii="Times New Roman" w:hAnsi="Times New Roman" w:hint="default"/>
      </w:rPr>
    </w:lvl>
    <w:lvl w:ilvl="5" w:tplc="006217EC" w:tentative="1">
      <w:start w:val="1"/>
      <w:numFmt w:val="bullet"/>
      <w:lvlText w:val="•"/>
      <w:lvlJc w:val="left"/>
      <w:pPr>
        <w:tabs>
          <w:tab w:val="num" w:pos="4320"/>
        </w:tabs>
        <w:ind w:left="4320" w:hanging="360"/>
      </w:pPr>
      <w:rPr>
        <w:rFonts w:ascii="Times New Roman" w:hAnsi="Times New Roman" w:hint="default"/>
      </w:rPr>
    </w:lvl>
    <w:lvl w:ilvl="6" w:tplc="1A5EE942" w:tentative="1">
      <w:start w:val="1"/>
      <w:numFmt w:val="bullet"/>
      <w:lvlText w:val="•"/>
      <w:lvlJc w:val="left"/>
      <w:pPr>
        <w:tabs>
          <w:tab w:val="num" w:pos="5040"/>
        </w:tabs>
        <w:ind w:left="5040" w:hanging="360"/>
      </w:pPr>
      <w:rPr>
        <w:rFonts w:ascii="Times New Roman" w:hAnsi="Times New Roman" w:hint="default"/>
      </w:rPr>
    </w:lvl>
    <w:lvl w:ilvl="7" w:tplc="1B90E1CE" w:tentative="1">
      <w:start w:val="1"/>
      <w:numFmt w:val="bullet"/>
      <w:lvlText w:val="•"/>
      <w:lvlJc w:val="left"/>
      <w:pPr>
        <w:tabs>
          <w:tab w:val="num" w:pos="5760"/>
        </w:tabs>
        <w:ind w:left="5760" w:hanging="360"/>
      </w:pPr>
      <w:rPr>
        <w:rFonts w:ascii="Times New Roman" w:hAnsi="Times New Roman" w:hint="default"/>
      </w:rPr>
    </w:lvl>
    <w:lvl w:ilvl="8" w:tplc="56A69226" w:tentative="1">
      <w:start w:val="1"/>
      <w:numFmt w:val="bullet"/>
      <w:lvlText w:val="•"/>
      <w:lvlJc w:val="left"/>
      <w:pPr>
        <w:tabs>
          <w:tab w:val="num" w:pos="6480"/>
        </w:tabs>
        <w:ind w:left="6480" w:hanging="360"/>
      </w:pPr>
      <w:rPr>
        <w:rFonts w:ascii="Times New Roman" w:hAnsi="Times New Roman" w:hint="default"/>
      </w:rPr>
    </w:lvl>
  </w:abstractNum>
  <w:abstractNum w:abstractNumId="38" w15:restartNumberingAfterBreak="0">
    <w:nsid w:val="7A5D1D1F"/>
    <w:multiLevelType w:val="hybridMultilevel"/>
    <w:tmpl w:val="D11CA22E"/>
    <w:lvl w:ilvl="0" w:tplc="04140001">
      <w:start w:val="1"/>
      <w:numFmt w:val="bullet"/>
      <w:lvlText w:val=""/>
      <w:lvlJc w:val="left"/>
      <w:pPr>
        <w:ind w:left="720" w:hanging="360"/>
      </w:pPr>
      <w:rPr>
        <w:rFonts w:ascii="Symbol" w:hAnsi="Symbol"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9" w15:restartNumberingAfterBreak="0">
    <w:nsid w:val="7D7F562C"/>
    <w:multiLevelType w:val="hybridMultilevel"/>
    <w:tmpl w:val="38FA2FA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334993841">
    <w:abstractNumId w:val="9"/>
  </w:num>
  <w:num w:numId="2" w16cid:durableId="1483498122">
    <w:abstractNumId w:val="7"/>
  </w:num>
  <w:num w:numId="3" w16cid:durableId="1405760525">
    <w:abstractNumId w:val="6"/>
  </w:num>
  <w:num w:numId="4" w16cid:durableId="138229933">
    <w:abstractNumId w:val="5"/>
  </w:num>
  <w:num w:numId="5" w16cid:durableId="2075465835">
    <w:abstractNumId w:val="4"/>
  </w:num>
  <w:num w:numId="6" w16cid:durableId="889221816">
    <w:abstractNumId w:val="8"/>
  </w:num>
  <w:num w:numId="7" w16cid:durableId="693967206">
    <w:abstractNumId w:val="3"/>
  </w:num>
  <w:num w:numId="8" w16cid:durableId="1969240300">
    <w:abstractNumId w:val="2"/>
  </w:num>
  <w:num w:numId="9" w16cid:durableId="2046326508">
    <w:abstractNumId w:val="1"/>
  </w:num>
  <w:num w:numId="10" w16cid:durableId="2100129368">
    <w:abstractNumId w:val="0"/>
  </w:num>
  <w:num w:numId="11" w16cid:durableId="1886134498">
    <w:abstractNumId w:val="34"/>
  </w:num>
  <w:num w:numId="12" w16cid:durableId="1239097919">
    <w:abstractNumId w:val="11"/>
  </w:num>
  <w:num w:numId="13" w16cid:durableId="229267933">
    <w:abstractNumId w:val="38"/>
  </w:num>
  <w:num w:numId="14" w16cid:durableId="277949532">
    <w:abstractNumId w:val="14"/>
  </w:num>
  <w:num w:numId="15" w16cid:durableId="1493644051">
    <w:abstractNumId w:val="14"/>
  </w:num>
  <w:num w:numId="16" w16cid:durableId="742948708">
    <w:abstractNumId w:val="27"/>
  </w:num>
  <w:num w:numId="17" w16cid:durableId="10362147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343597">
    <w:abstractNumId w:val="19"/>
  </w:num>
  <w:num w:numId="19" w16cid:durableId="1193304799">
    <w:abstractNumId w:val="29"/>
  </w:num>
  <w:num w:numId="20" w16cid:durableId="1202935331">
    <w:abstractNumId w:val="17"/>
  </w:num>
  <w:num w:numId="21" w16cid:durableId="1930965884">
    <w:abstractNumId w:val="10"/>
  </w:num>
  <w:num w:numId="22" w16cid:durableId="424545522">
    <w:abstractNumId w:val="28"/>
  </w:num>
  <w:num w:numId="23" w16cid:durableId="887113131">
    <w:abstractNumId w:val="16"/>
  </w:num>
  <w:num w:numId="24" w16cid:durableId="885023410">
    <w:abstractNumId w:val="21"/>
  </w:num>
  <w:num w:numId="25" w16cid:durableId="35352211">
    <w:abstractNumId w:val="22"/>
  </w:num>
  <w:num w:numId="26" w16cid:durableId="1465808159">
    <w:abstractNumId w:val="20"/>
  </w:num>
  <w:num w:numId="27" w16cid:durableId="1405762613">
    <w:abstractNumId w:val="18"/>
  </w:num>
  <w:num w:numId="28" w16cid:durableId="1591280976">
    <w:abstractNumId w:val="39"/>
  </w:num>
  <w:num w:numId="29" w16cid:durableId="1619484959">
    <w:abstractNumId w:val="30"/>
  </w:num>
  <w:num w:numId="30" w16cid:durableId="2979067">
    <w:abstractNumId w:val="35"/>
  </w:num>
  <w:num w:numId="31" w16cid:durableId="47413185">
    <w:abstractNumId w:val="15"/>
  </w:num>
  <w:num w:numId="32" w16cid:durableId="1902213139">
    <w:abstractNumId w:val="33"/>
  </w:num>
  <w:num w:numId="33" w16cid:durableId="616639970">
    <w:abstractNumId w:val="23"/>
  </w:num>
  <w:num w:numId="34" w16cid:durableId="1757898946">
    <w:abstractNumId w:val="12"/>
  </w:num>
  <w:num w:numId="35" w16cid:durableId="1915315373">
    <w:abstractNumId w:val="31"/>
  </w:num>
  <w:num w:numId="36" w16cid:durableId="1533113217">
    <w:abstractNumId w:val="13"/>
  </w:num>
  <w:num w:numId="37" w16cid:durableId="679548010">
    <w:abstractNumId w:val="26"/>
  </w:num>
  <w:num w:numId="38" w16cid:durableId="1413160251">
    <w:abstractNumId w:val="24"/>
  </w:num>
  <w:num w:numId="39" w16cid:durableId="1071005916">
    <w:abstractNumId w:val="32"/>
  </w:num>
  <w:num w:numId="40" w16cid:durableId="9794773">
    <w:abstractNumId w:val="37"/>
  </w:num>
  <w:num w:numId="41" w16cid:durableId="263465924">
    <w:abstractNumId w:val="25"/>
  </w:num>
  <w:num w:numId="42" w16cid:durableId="195382688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EE0"/>
    <w:rsid w:val="00000ABA"/>
    <w:rsid w:val="00002FAA"/>
    <w:rsid w:val="00003B15"/>
    <w:rsid w:val="000213E9"/>
    <w:rsid w:val="000258C2"/>
    <w:rsid w:val="00025D53"/>
    <w:rsid w:val="00026E49"/>
    <w:rsid w:val="00052E65"/>
    <w:rsid w:val="0006106E"/>
    <w:rsid w:val="0006413E"/>
    <w:rsid w:val="00070F9A"/>
    <w:rsid w:val="000740AF"/>
    <w:rsid w:val="00076848"/>
    <w:rsid w:val="00086D0D"/>
    <w:rsid w:val="0009291F"/>
    <w:rsid w:val="0009737E"/>
    <w:rsid w:val="000A01EA"/>
    <w:rsid w:val="000A16C6"/>
    <w:rsid w:val="000A1E69"/>
    <w:rsid w:val="000A379C"/>
    <w:rsid w:val="000B0D99"/>
    <w:rsid w:val="000B11E5"/>
    <w:rsid w:val="000B1F7A"/>
    <w:rsid w:val="000B5A64"/>
    <w:rsid w:val="000C5EAA"/>
    <w:rsid w:val="000E0519"/>
    <w:rsid w:val="000E5A79"/>
    <w:rsid w:val="000F26AD"/>
    <w:rsid w:val="000F59A9"/>
    <w:rsid w:val="000F66BC"/>
    <w:rsid w:val="00101DB4"/>
    <w:rsid w:val="0010304C"/>
    <w:rsid w:val="00103AAD"/>
    <w:rsid w:val="00104981"/>
    <w:rsid w:val="001071EE"/>
    <w:rsid w:val="00107605"/>
    <w:rsid w:val="00114153"/>
    <w:rsid w:val="00114A18"/>
    <w:rsid w:val="00114ED3"/>
    <w:rsid w:val="00122CCE"/>
    <w:rsid w:val="00122E1B"/>
    <w:rsid w:val="00126C11"/>
    <w:rsid w:val="001276FB"/>
    <w:rsid w:val="00135F0D"/>
    <w:rsid w:val="00141FA4"/>
    <w:rsid w:val="00145B4E"/>
    <w:rsid w:val="001505E8"/>
    <w:rsid w:val="00157F0B"/>
    <w:rsid w:val="00162586"/>
    <w:rsid w:val="00166BAB"/>
    <w:rsid w:val="00166BEA"/>
    <w:rsid w:val="00172455"/>
    <w:rsid w:val="00183FBF"/>
    <w:rsid w:val="00187247"/>
    <w:rsid w:val="001B0DCE"/>
    <w:rsid w:val="001B2CD3"/>
    <w:rsid w:val="001B3556"/>
    <w:rsid w:val="001B5918"/>
    <w:rsid w:val="001B7192"/>
    <w:rsid w:val="001B787C"/>
    <w:rsid w:val="001C1EE0"/>
    <w:rsid w:val="001D1A67"/>
    <w:rsid w:val="001D2B8B"/>
    <w:rsid w:val="001D7518"/>
    <w:rsid w:val="001E16EE"/>
    <w:rsid w:val="00201DF7"/>
    <w:rsid w:val="002034B9"/>
    <w:rsid w:val="0020512C"/>
    <w:rsid w:val="00213747"/>
    <w:rsid w:val="00214E29"/>
    <w:rsid w:val="00222BC2"/>
    <w:rsid w:val="00222CB6"/>
    <w:rsid w:val="00223851"/>
    <w:rsid w:val="00224F9F"/>
    <w:rsid w:val="002278CF"/>
    <w:rsid w:val="0023682A"/>
    <w:rsid w:val="00237B84"/>
    <w:rsid w:val="002408BC"/>
    <w:rsid w:val="00240D77"/>
    <w:rsid w:val="002422A4"/>
    <w:rsid w:val="002439F5"/>
    <w:rsid w:val="00244216"/>
    <w:rsid w:val="00251BEF"/>
    <w:rsid w:val="002524F1"/>
    <w:rsid w:val="002549F6"/>
    <w:rsid w:val="00263EF3"/>
    <w:rsid w:val="00265C82"/>
    <w:rsid w:val="00272718"/>
    <w:rsid w:val="0027292E"/>
    <w:rsid w:val="00276212"/>
    <w:rsid w:val="00276F01"/>
    <w:rsid w:val="00282B49"/>
    <w:rsid w:val="002A0DE6"/>
    <w:rsid w:val="002A787D"/>
    <w:rsid w:val="002B35BC"/>
    <w:rsid w:val="002B3D50"/>
    <w:rsid w:val="002C0E13"/>
    <w:rsid w:val="002C1816"/>
    <w:rsid w:val="002C4212"/>
    <w:rsid w:val="002C42A6"/>
    <w:rsid w:val="002D17EB"/>
    <w:rsid w:val="002D7FA6"/>
    <w:rsid w:val="002E3B2F"/>
    <w:rsid w:val="002E7521"/>
    <w:rsid w:val="002F1AEB"/>
    <w:rsid w:val="002F42FE"/>
    <w:rsid w:val="002F7132"/>
    <w:rsid w:val="003045EA"/>
    <w:rsid w:val="0030707B"/>
    <w:rsid w:val="00323230"/>
    <w:rsid w:val="00323ADE"/>
    <w:rsid w:val="00326842"/>
    <w:rsid w:val="003325E5"/>
    <w:rsid w:val="00335106"/>
    <w:rsid w:val="00342252"/>
    <w:rsid w:val="00345AE0"/>
    <w:rsid w:val="003525FB"/>
    <w:rsid w:val="00352F7C"/>
    <w:rsid w:val="00353753"/>
    <w:rsid w:val="00354F9D"/>
    <w:rsid w:val="00357AA4"/>
    <w:rsid w:val="003648C1"/>
    <w:rsid w:val="00371F92"/>
    <w:rsid w:val="003749B0"/>
    <w:rsid w:val="0037593C"/>
    <w:rsid w:val="0037613D"/>
    <w:rsid w:val="003803A3"/>
    <w:rsid w:val="00383A23"/>
    <w:rsid w:val="0038599E"/>
    <w:rsid w:val="00387435"/>
    <w:rsid w:val="003922B0"/>
    <w:rsid w:val="003A2570"/>
    <w:rsid w:val="003A4843"/>
    <w:rsid w:val="003A4872"/>
    <w:rsid w:val="003B1394"/>
    <w:rsid w:val="003C1227"/>
    <w:rsid w:val="003C55BC"/>
    <w:rsid w:val="003D387F"/>
    <w:rsid w:val="003F39AA"/>
    <w:rsid w:val="003F6F13"/>
    <w:rsid w:val="00407BF3"/>
    <w:rsid w:val="00407FCA"/>
    <w:rsid w:val="0041433E"/>
    <w:rsid w:val="00424468"/>
    <w:rsid w:val="00426D00"/>
    <w:rsid w:val="00433688"/>
    <w:rsid w:val="004466FF"/>
    <w:rsid w:val="0045309B"/>
    <w:rsid w:val="00453F7B"/>
    <w:rsid w:val="004622E6"/>
    <w:rsid w:val="0046330E"/>
    <w:rsid w:val="00463FAD"/>
    <w:rsid w:val="0047070E"/>
    <w:rsid w:val="0048742D"/>
    <w:rsid w:val="004903CA"/>
    <w:rsid w:val="004A4132"/>
    <w:rsid w:val="004A4C27"/>
    <w:rsid w:val="004A4CE3"/>
    <w:rsid w:val="004A6943"/>
    <w:rsid w:val="004B0D63"/>
    <w:rsid w:val="004B32E6"/>
    <w:rsid w:val="004B5E91"/>
    <w:rsid w:val="004C2622"/>
    <w:rsid w:val="004C52F2"/>
    <w:rsid w:val="004C6C9D"/>
    <w:rsid w:val="004C7BA6"/>
    <w:rsid w:val="004D0DB5"/>
    <w:rsid w:val="004D4070"/>
    <w:rsid w:val="004E1066"/>
    <w:rsid w:val="004F22DE"/>
    <w:rsid w:val="004F49BB"/>
    <w:rsid w:val="004F4A76"/>
    <w:rsid w:val="004F5264"/>
    <w:rsid w:val="004F5543"/>
    <w:rsid w:val="0050241D"/>
    <w:rsid w:val="00503A37"/>
    <w:rsid w:val="00506691"/>
    <w:rsid w:val="00513D18"/>
    <w:rsid w:val="00523B66"/>
    <w:rsid w:val="00531327"/>
    <w:rsid w:val="00540215"/>
    <w:rsid w:val="00541111"/>
    <w:rsid w:val="00550708"/>
    <w:rsid w:val="005515AA"/>
    <w:rsid w:val="00551BEE"/>
    <w:rsid w:val="0055544F"/>
    <w:rsid w:val="00565B77"/>
    <w:rsid w:val="005710F5"/>
    <w:rsid w:val="00572DCD"/>
    <w:rsid w:val="00575D93"/>
    <w:rsid w:val="00580FDF"/>
    <w:rsid w:val="00584E91"/>
    <w:rsid w:val="0058592F"/>
    <w:rsid w:val="00585DB7"/>
    <w:rsid w:val="00587456"/>
    <w:rsid w:val="005A7B2F"/>
    <w:rsid w:val="005B37DB"/>
    <w:rsid w:val="005D0925"/>
    <w:rsid w:val="005D4CE9"/>
    <w:rsid w:val="005D7A7C"/>
    <w:rsid w:val="005D7BAE"/>
    <w:rsid w:val="005E0489"/>
    <w:rsid w:val="005E4A95"/>
    <w:rsid w:val="005E5808"/>
    <w:rsid w:val="005F79BE"/>
    <w:rsid w:val="0060104D"/>
    <w:rsid w:val="00610910"/>
    <w:rsid w:val="00612C4D"/>
    <w:rsid w:val="006349B9"/>
    <w:rsid w:val="00634B1A"/>
    <w:rsid w:val="00637207"/>
    <w:rsid w:val="006473D2"/>
    <w:rsid w:val="0066287A"/>
    <w:rsid w:val="00666373"/>
    <w:rsid w:val="00675EC7"/>
    <w:rsid w:val="00676BF9"/>
    <w:rsid w:val="00683715"/>
    <w:rsid w:val="00684922"/>
    <w:rsid w:val="00694DB1"/>
    <w:rsid w:val="00696E5F"/>
    <w:rsid w:val="006A4FE2"/>
    <w:rsid w:val="006B0F3E"/>
    <w:rsid w:val="006B53E3"/>
    <w:rsid w:val="006C04AF"/>
    <w:rsid w:val="006C0E9A"/>
    <w:rsid w:val="006C284E"/>
    <w:rsid w:val="006C67D0"/>
    <w:rsid w:val="006D12BC"/>
    <w:rsid w:val="006D5615"/>
    <w:rsid w:val="006D73B7"/>
    <w:rsid w:val="006E2A3C"/>
    <w:rsid w:val="006E45A8"/>
    <w:rsid w:val="006F1CEC"/>
    <w:rsid w:val="006F42E8"/>
    <w:rsid w:val="006F68F5"/>
    <w:rsid w:val="006F7284"/>
    <w:rsid w:val="006F7CA2"/>
    <w:rsid w:val="007007B1"/>
    <w:rsid w:val="00701FD8"/>
    <w:rsid w:val="00705D02"/>
    <w:rsid w:val="00715153"/>
    <w:rsid w:val="0071547D"/>
    <w:rsid w:val="0072239D"/>
    <w:rsid w:val="00726087"/>
    <w:rsid w:val="007366E5"/>
    <w:rsid w:val="00737CFA"/>
    <w:rsid w:val="00740419"/>
    <w:rsid w:val="007408A5"/>
    <w:rsid w:val="00741977"/>
    <w:rsid w:val="00742422"/>
    <w:rsid w:val="00743D89"/>
    <w:rsid w:val="00762949"/>
    <w:rsid w:val="00766076"/>
    <w:rsid w:val="00775903"/>
    <w:rsid w:val="00780411"/>
    <w:rsid w:val="007824F6"/>
    <w:rsid w:val="00786FB4"/>
    <w:rsid w:val="00790885"/>
    <w:rsid w:val="007961F0"/>
    <w:rsid w:val="007A0D7C"/>
    <w:rsid w:val="007A3286"/>
    <w:rsid w:val="007A32FE"/>
    <w:rsid w:val="007B112D"/>
    <w:rsid w:val="007B5169"/>
    <w:rsid w:val="007C7BD5"/>
    <w:rsid w:val="007D3759"/>
    <w:rsid w:val="007F7CB6"/>
    <w:rsid w:val="008106F3"/>
    <w:rsid w:val="00811F63"/>
    <w:rsid w:val="008140F4"/>
    <w:rsid w:val="00817384"/>
    <w:rsid w:val="008177A6"/>
    <w:rsid w:val="00817944"/>
    <w:rsid w:val="008221AC"/>
    <w:rsid w:val="008268AF"/>
    <w:rsid w:val="00830139"/>
    <w:rsid w:val="00831001"/>
    <w:rsid w:val="00831F71"/>
    <w:rsid w:val="00834355"/>
    <w:rsid w:val="008361DF"/>
    <w:rsid w:val="00836213"/>
    <w:rsid w:val="008376AB"/>
    <w:rsid w:val="0084025B"/>
    <w:rsid w:val="00846A51"/>
    <w:rsid w:val="00850337"/>
    <w:rsid w:val="0085085B"/>
    <w:rsid w:val="00865FAC"/>
    <w:rsid w:val="00867587"/>
    <w:rsid w:val="00886DDC"/>
    <w:rsid w:val="00890AC9"/>
    <w:rsid w:val="008940C4"/>
    <w:rsid w:val="0089625B"/>
    <w:rsid w:val="008A31D2"/>
    <w:rsid w:val="008B2BD9"/>
    <w:rsid w:val="008C0953"/>
    <w:rsid w:val="008C5F12"/>
    <w:rsid w:val="008C7DF1"/>
    <w:rsid w:val="008D1AB5"/>
    <w:rsid w:val="008D51ED"/>
    <w:rsid w:val="008E1A3D"/>
    <w:rsid w:val="008E406C"/>
    <w:rsid w:val="008E5168"/>
    <w:rsid w:val="008F157D"/>
    <w:rsid w:val="008F2126"/>
    <w:rsid w:val="008F36B2"/>
    <w:rsid w:val="008F4685"/>
    <w:rsid w:val="008F48EA"/>
    <w:rsid w:val="009010FD"/>
    <w:rsid w:val="00912F71"/>
    <w:rsid w:val="0091350B"/>
    <w:rsid w:val="009139B0"/>
    <w:rsid w:val="009416B6"/>
    <w:rsid w:val="00942977"/>
    <w:rsid w:val="00943F39"/>
    <w:rsid w:val="00951E45"/>
    <w:rsid w:val="00955329"/>
    <w:rsid w:val="00962690"/>
    <w:rsid w:val="00965EC1"/>
    <w:rsid w:val="00966A96"/>
    <w:rsid w:val="00967660"/>
    <w:rsid w:val="00970E79"/>
    <w:rsid w:val="00971BEB"/>
    <w:rsid w:val="00972522"/>
    <w:rsid w:val="009743FD"/>
    <w:rsid w:val="00974F33"/>
    <w:rsid w:val="00975788"/>
    <w:rsid w:val="009758A0"/>
    <w:rsid w:val="00975ED4"/>
    <w:rsid w:val="009873C8"/>
    <w:rsid w:val="009902B2"/>
    <w:rsid w:val="00991292"/>
    <w:rsid w:val="0099615A"/>
    <w:rsid w:val="00997D9A"/>
    <w:rsid w:val="009A386B"/>
    <w:rsid w:val="009B0879"/>
    <w:rsid w:val="009C0B80"/>
    <w:rsid w:val="009C337A"/>
    <w:rsid w:val="009E1196"/>
    <w:rsid w:val="009E21D8"/>
    <w:rsid w:val="009E4EF9"/>
    <w:rsid w:val="009E7C07"/>
    <w:rsid w:val="009F1087"/>
    <w:rsid w:val="009F474E"/>
    <w:rsid w:val="009F48DD"/>
    <w:rsid w:val="009F7174"/>
    <w:rsid w:val="00A00A19"/>
    <w:rsid w:val="00A05540"/>
    <w:rsid w:val="00A0666D"/>
    <w:rsid w:val="00A1576D"/>
    <w:rsid w:val="00A26230"/>
    <w:rsid w:val="00A55F2E"/>
    <w:rsid w:val="00A569B6"/>
    <w:rsid w:val="00A6654F"/>
    <w:rsid w:val="00A71430"/>
    <w:rsid w:val="00A904FE"/>
    <w:rsid w:val="00A96654"/>
    <w:rsid w:val="00AA30A8"/>
    <w:rsid w:val="00AA32D7"/>
    <w:rsid w:val="00AA7792"/>
    <w:rsid w:val="00AB2F9C"/>
    <w:rsid w:val="00AB31E7"/>
    <w:rsid w:val="00AC081E"/>
    <w:rsid w:val="00AC1608"/>
    <w:rsid w:val="00AC3295"/>
    <w:rsid w:val="00AC726F"/>
    <w:rsid w:val="00AC7812"/>
    <w:rsid w:val="00AD3083"/>
    <w:rsid w:val="00AE22C6"/>
    <w:rsid w:val="00AE2C34"/>
    <w:rsid w:val="00AE4055"/>
    <w:rsid w:val="00AF2C91"/>
    <w:rsid w:val="00AF4171"/>
    <w:rsid w:val="00B00352"/>
    <w:rsid w:val="00B037F2"/>
    <w:rsid w:val="00B10A6E"/>
    <w:rsid w:val="00B17D93"/>
    <w:rsid w:val="00B207E7"/>
    <w:rsid w:val="00B22CD3"/>
    <w:rsid w:val="00B25608"/>
    <w:rsid w:val="00B266CB"/>
    <w:rsid w:val="00B33323"/>
    <w:rsid w:val="00B42652"/>
    <w:rsid w:val="00B443A8"/>
    <w:rsid w:val="00B50CD3"/>
    <w:rsid w:val="00B55D76"/>
    <w:rsid w:val="00B5652A"/>
    <w:rsid w:val="00B6205F"/>
    <w:rsid w:val="00B64902"/>
    <w:rsid w:val="00B77C81"/>
    <w:rsid w:val="00B77D40"/>
    <w:rsid w:val="00B81E85"/>
    <w:rsid w:val="00B82883"/>
    <w:rsid w:val="00B87AC0"/>
    <w:rsid w:val="00B91403"/>
    <w:rsid w:val="00BB35AD"/>
    <w:rsid w:val="00BC4FF2"/>
    <w:rsid w:val="00BD003E"/>
    <w:rsid w:val="00BD1E43"/>
    <w:rsid w:val="00BD40F4"/>
    <w:rsid w:val="00BE42D3"/>
    <w:rsid w:val="00BF699F"/>
    <w:rsid w:val="00C0567D"/>
    <w:rsid w:val="00C060E5"/>
    <w:rsid w:val="00C14897"/>
    <w:rsid w:val="00C179AC"/>
    <w:rsid w:val="00C222C8"/>
    <w:rsid w:val="00C255C2"/>
    <w:rsid w:val="00C25E5D"/>
    <w:rsid w:val="00C30A75"/>
    <w:rsid w:val="00C4108E"/>
    <w:rsid w:val="00C44EAA"/>
    <w:rsid w:val="00C51465"/>
    <w:rsid w:val="00C557AD"/>
    <w:rsid w:val="00C56F8B"/>
    <w:rsid w:val="00C642BF"/>
    <w:rsid w:val="00C74027"/>
    <w:rsid w:val="00C75D38"/>
    <w:rsid w:val="00C769B2"/>
    <w:rsid w:val="00C90D42"/>
    <w:rsid w:val="00C9671C"/>
    <w:rsid w:val="00C97F72"/>
    <w:rsid w:val="00CA1D16"/>
    <w:rsid w:val="00CB6C26"/>
    <w:rsid w:val="00CC0721"/>
    <w:rsid w:val="00CC2E61"/>
    <w:rsid w:val="00CD1D7C"/>
    <w:rsid w:val="00CD24B8"/>
    <w:rsid w:val="00CD2786"/>
    <w:rsid w:val="00CD51C6"/>
    <w:rsid w:val="00CE0DE6"/>
    <w:rsid w:val="00CE5DD0"/>
    <w:rsid w:val="00CE6639"/>
    <w:rsid w:val="00CF5782"/>
    <w:rsid w:val="00D04080"/>
    <w:rsid w:val="00D07F87"/>
    <w:rsid w:val="00D11EEE"/>
    <w:rsid w:val="00D13BD1"/>
    <w:rsid w:val="00D2140C"/>
    <w:rsid w:val="00D227A5"/>
    <w:rsid w:val="00D27F66"/>
    <w:rsid w:val="00D31754"/>
    <w:rsid w:val="00D335FF"/>
    <w:rsid w:val="00D37C4A"/>
    <w:rsid w:val="00D44666"/>
    <w:rsid w:val="00D46DA1"/>
    <w:rsid w:val="00D47EE1"/>
    <w:rsid w:val="00D53B82"/>
    <w:rsid w:val="00D562AB"/>
    <w:rsid w:val="00D57CA6"/>
    <w:rsid w:val="00D64147"/>
    <w:rsid w:val="00D702C5"/>
    <w:rsid w:val="00D76449"/>
    <w:rsid w:val="00D767C7"/>
    <w:rsid w:val="00D775E9"/>
    <w:rsid w:val="00D934AD"/>
    <w:rsid w:val="00D94764"/>
    <w:rsid w:val="00D9672D"/>
    <w:rsid w:val="00DA2044"/>
    <w:rsid w:val="00DB0CC3"/>
    <w:rsid w:val="00DB33CF"/>
    <w:rsid w:val="00DB3F76"/>
    <w:rsid w:val="00DB7828"/>
    <w:rsid w:val="00DC012B"/>
    <w:rsid w:val="00DC6797"/>
    <w:rsid w:val="00DE129C"/>
    <w:rsid w:val="00DE565C"/>
    <w:rsid w:val="00DF2BD2"/>
    <w:rsid w:val="00DF68D3"/>
    <w:rsid w:val="00E01529"/>
    <w:rsid w:val="00E02200"/>
    <w:rsid w:val="00E05F65"/>
    <w:rsid w:val="00E128DF"/>
    <w:rsid w:val="00E20792"/>
    <w:rsid w:val="00E36172"/>
    <w:rsid w:val="00E44D82"/>
    <w:rsid w:val="00E44F3F"/>
    <w:rsid w:val="00E46591"/>
    <w:rsid w:val="00E46DD7"/>
    <w:rsid w:val="00E46F21"/>
    <w:rsid w:val="00E50DF1"/>
    <w:rsid w:val="00E5161A"/>
    <w:rsid w:val="00E52897"/>
    <w:rsid w:val="00E53713"/>
    <w:rsid w:val="00E5604B"/>
    <w:rsid w:val="00E611C2"/>
    <w:rsid w:val="00E70F1C"/>
    <w:rsid w:val="00E76626"/>
    <w:rsid w:val="00E8569B"/>
    <w:rsid w:val="00E95931"/>
    <w:rsid w:val="00EA0B66"/>
    <w:rsid w:val="00EA1F84"/>
    <w:rsid w:val="00EA2B9B"/>
    <w:rsid w:val="00EA5FD9"/>
    <w:rsid w:val="00EB4DC8"/>
    <w:rsid w:val="00EB682B"/>
    <w:rsid w:val="00EB7DD2"/>
    <w:rsid w:val="00EC0154"/>
    <w:rsid w:val="00EC1F31"/>
    <w:rsid w:val="00EC40C6"/>
    <w:rsid w:val="00EC7C19"/>
    <w:rsid w:val="00ED2382"/>
    <w:rsid w:val="00ED346C"/>
    <w:rsid w:val="00EE03F8"/>
    <w:rsid w:val="00EE2A26"/>
    <w:rsid w:val="00EE34B1"/>
    <w:rsid w:val="00EE6510"/>
    <w:rsid w:val="00EF0DC1"/>
    <w:rsid w:val="00EF55AF"/>
    <w:rsid w:val="00EF74C2"/>
    <w:rsid w:val="00F00668"/>
    <w:rsid w:val="00F04B65"/>
    <w:rsid w:val="00F13AF8"/>
    <w:rsid w:val="00F13EB4"/>
    <w:rsid w:val="00F23A8A"/>
    <w:rsid w:val="00F23E80"/>
    <w:rsid w:val="00F3247C"/>
    <w:rsid w:val="00F3464F"/>
    <w:rsid w:val="00F34A01"/>
    <w:rsid w:val="00F45737"/>
    <w:rsid w:val="00F5102B"/>
    <w:rsid w:val="00F52A1B"/>
    <w:rsid w:val="00F53562"/>
    <w:rsid w:val="00F62EA1"/>
    <w:rsid w:val="00F63935"/>
    <w:rsid w:val="00F64933"/>
    <w:rsid w:val="00F724CB"/>
    <w:rsid w:val="00F730AB"/>
    <w:rsid w:val="00F75AAB"/>
    <w:rsid w:val="00F945DB"/>
    <w:rsid w:val="00F948AF"/>
    <w:rsid w:val="00FB355D"/>
    <w:rsid w:val="00FB60A7"/>
    <w:rsid w:val="00FC2DEB"/>
    <w:rsid w:val="00FD111E"/>
    <w:rsid w:val="00FE402C"/>
    <w:rsid w:val="00FF2210"/>
    <w:rsid w:val="00FF52B1"/>
    <w:rsid w:val="00FF6DDD"/>
    <w:rsid w:val="00FF78B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5641F2"/>
  <w15:docId w15:val="{2F8297F3-D2A8-4E0D-B840-3F001D4DB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pPr>
        <w:spacing w:line="360"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33323"/>
    <w:pPr>
      <w:spacing w:line="360" w:lineRule="auto"/>
      <w:jc w:val="both"/>
    </w:pPr>
    <w:rPr>
      <w:rFonts w:cs="Sendnya" w:ascii="Times New Roman" w:hAnsi="Times New Roman"/>
      <w:sz w:val="24"/>
      <w:szCs w:val="24"/>
      <w:lang w:eastAsia="zh-CN" w:bidi="or-IN"/>
    </w:rPr>
  </w:style>
  <w:style w:type="paragraph" w:styleId="Overskrift1">
    <w:name w:val="heading 1"/>
    <w:basedOn w:val="Normal"/>
    <w:next w:val="Normal"/>
    <w:qFormat/>
    <w:rsid w:val="00B33323"/>
    <w:pPr>
      <w:keepNext/>
      <w:spacing w:before="240" w:after="60"/>
      <w:outlineLvl w:val="0"/>
    </w:pPr>
    <w:rPr>
      <w:rFonts w:asciiTheme="minorHAnsi" w:hAnsiTheme="minorHAnsi" w:ascii="Times New Roman" w:hAnsi="Times New Roman"/>
      <w:b/>
      <w:bCs/>
      <w:color w:val="000000"/>
      <w:kern w:val="28"/>
      <w:sz w:val="36"/>
      <w:szCs w:val="28"/>
    </w:rPr>
  </w:style>
  <w:style w:type="paragraph" w:styleId="Overskrift2">
    <w:name w:val="heading 2"/>
    <w:basedOn w:val="Normal"/>
    <w:next w:val="Normal"/>
    <w:link w:val="Overskrift2Tegn"/>
    <w:qFormat/>
    <w:rsid w:val="00B33323"/>
    <w:pPr>
      <w:keepNext/>
      <w:spacing w:before="240" w:after="60"/>
      <w:outlineLvl w:val="1"/>
    </w:pPr>
    <w:rPr>
      <w:rFonts w:asciiTheme="minorHAnsi" w:hAnsiTheme="minorHAnsi" w:cs="Times New Roman" w:ascii="Times New Roman" w:hAnsi="Times New Roman"/>
      <w:b/>
      <w:bCs/>
      <w:iCs/>
      <w:color w:val="000000"/>
      <w:sz w:val="32"/>
      <w:szCs w:val="28"/>
    </w:rPr>
  </w:style>
  <w:style w:type="paragraph" w:styleId="Overskrift3">
    <w:name w:val="heading 3"/>
    <w:basedOn w:val="Normal"/>
    <w:next w:val="Normal"/>
    <w:link w:val="Overskrift3Tegn"/>
    <w:qFormat/>
    <w:rsid w:val="00B33323"/>
    <w:pPr>
      <w:keepNext/>
      <w:spacing w:before="240" w:after="60"/>
      <w:outlineLvl w:val="2"/>
    </w:pPr>
    <w:rPr>
      <w:rFonts w:asciiTheme="minorHAnsi" w:hAnsiTheme="minorHAnsi" w:cs="Times New Roman" w:ascii="Times New Roman" w:hAnsi="Times New Roman"/>
      <w:b/>
      <w:bCs/>
      <w:color w:val="000000"/>
      <w:sz w:val="28"/>
      <w:szCs w:val="26"/>
    </w:rPr>
  </w:style>
  <w:style w:type="paragraph" w:styleId="Overskrift4">
    <w:name w:val="heading 4"/>
    <w:basedOn w:val="Normal"/>
    <w:next w:val="Normal"/>
    <w:link w:val="Overskrift4Tegn"/>
    <w:qFormat/>
    <w:rsid w:val="00B33323"/>
    <w:pPr>
      <w:keepNext/>
      <w:numPr>
        <w:ilvl w:val="3"/>
        <w:numId w:val="21"/>
      </w:numPr>
      <w:spacing w:before="240" w:after="60"/>
      <w:outlineLvl w:val="3"/>
    </w:pPr>
    <w:rPr>
      <w:rFonts w:ascii="Calibri" w:hAnsi="Calibri" w:cs="Times New Roman"/>
      <w:b/>
      <w:bCs/>
      <w:sz w:val="26"/>
      <w:szCs w:val="28"/>
    </w:rPr>
  </w:style>
  <w:style w:type="paragraph" w:styleId="Overskrift5">
    <w:name w:val="heading 5"/>
    <w:basedOn w:val="Normal"/>
    <w:next w:val="Normal"/>
    <w:link w:val="Overskrift5Tegn"/>
    <w:qFormat/>
    <w:rsid w:val="00B33323"/>
    <w:pPr>
      <w:numPr>
        <w:ilvl w:val="4"/>
        <w:numId w:val="21"/>
      </w:numPr>
      <w:spacing w:before="240" w:after="60"/>
      <w:outlineLvl w:val="4"/>
    </w:pPr>
    <w:rPr>
      <w:rFonts w:ascii="Calibri" w:hAnsi="Calibri" w:cs="Times New Roman"/>
      <w:b/>
      <w:bCs/>
      <w:iCs/>
      <w:szCs w:val="26"/>
    </w:rPr>
  </w:style>
  <w:style w:type="paragraph" w:styleId="Overskrift6">
    <w:name w:val="heading 6"/>
    <w:basedOn w:val="Normal"/>
    <w:next w:val="Normal"/>
    <w:link w:val="Overskrift6Tegn"/>
    <w:qFormat/>
    <w:rsid w:val="004D0DB5"/>
    <w:pPr>
      <w:numPr>
        <w:ilvl w:val="5"/>
        <w:numId w:val="21"/>
      </w:numPr>
      <w:spacing w:before="240" w:after="60"/>
      <w:outlineLvl w:val="5"/>
    </w:pPr>
    <w:rPr>
      <w:rFonts w:ascii="Calibri" w:hAnsi="Calibri" w:cs="Times New Roman"/>
      <w:b/>
      <w:bCs/>
      <w:sz w:val="22"/>
      <w:szCs w:val="22"/>
    </w:rPr>
  </w:style>
  <w:style w:type="paragraph" w:styleId="Overskrift7">
    <w:name w:val="heading 7"/>
    <w:basedOn w:val="Normal"/>
    <w:next w:val="Normal"/>
    <w:link w:val="Overskrift7Tegn"/>
    <w:semiHidden/>
    <w:unhideWhenUsed/>
    <w:qFormat/>
    <w:rsid w:val="003D387F"/>
    <w:pPr>
      <w:numPr>
        <w:ilvl w:val="6"/>
        <w:numId w:val="21"/>
      </w:numPr>
      <w:spacing w:before="240" w:after="60"/>
      <w:outlineLvl w:val="6"/>
    </w:pPr>
    <w:rPr>
      <w:rFonts w:ascii="Calibri" w:hAnsi="Calibri" w:cs="Times New Roman"/>
    </w:rPr>
  </w:style>
  <w:style w:type="paragraph" w:styleId="Overskrift8">
    <w:name w:val="heading 8"/>
    <w:basedOn w:val="Normal"/>
    <w:next w:val="Normal"/>
    <w:link w:val="Overskrift8Tegn"/>
    <w:semiHidden/>
    <w:unhideWhenUsed/>
    <w:qFormat/>
    <w:rsid w:val="003D387F"/>
    <w:pPr>
      <w:numPr>
        <w:ilvl w:val="7"/>
        <w:numId w:val="21"/>
      </w:numPr>
      <w:spacing w:before="240" w:after="60"/>
      <w:outlineLvl w:val="7"/>
    </w:pPr>
    <w:rPr>
      <w:rFonts w:ascii="Calibri" w:hAnsi="Calibri" w:cs="Times New Roman"/>
      <w:i/>
      <w:iCs/>
    </w:rPr>
  </w:style>
  <w:style w:type="paragraph" w:styleId="Overskrift9">
    <w:name w:val="heading 9"/>
    <w:basedOn w:val="Normal"/>
    <w:next w:val="Normal"/>
    <w:link w:val="Overskrift9Tegn"/>
    <w:semiHidden/>
    <w:unhideWhenUsed/>
    <w:qFormat/>
    <w:rsid w:val="003D387F"/>
    <w:pPr>
      <w:numPr>
        <w:ilvl w:val="8"/>
        <w:numId w:val="21"/>
      </w:numPr>
      <w:spacing w:before="240" w:after="60"/>
      <w:outlineLvl w:val="8"/>
    </w:pPr>
    <w:rPr>
      <w:rFonts w:ascii="Cambria" w:hAnsi="Cambria" w:cs="Times New Roman"/>
      <w:sz w:val="22"/>
      <w:szCs w:val="22"/>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pPr>
      <w:tabs>
        <w:tab w:val="center" w:pos="4153"/>
        <w:tab w:val="right" w:pos="8306"/>
      </w:tabs>
    </w:pPr>
  </w:style>
  <w:style w:type="paragraph" w:styleId="Bunntekst">
    <w:name w:val="footer"/>
    <w:basedOn w:val="Normal"/>
    <w:link w:val="BunntekstTegn"/>
    <w:pPr>
      <w:tabs>
        <w:tab w:val="center" w:pos="4153"/>
        <w:tab w:val="right" w:pos="8306"/>
      </w:tabs>
    </w:pPr>
  </w:style>
  <w:style w:type="character" w:styleId="Sidetall">
    <w:name w:val="page number"/>
    <w:basedOn w:val="Standardskriftforavsnitt"/>
    <w:rsid w:val="00951E45"/>
  </w:style>
  <w:style w:type="paragraph" w:styleId="Bobletekst">
    <w:name w:val="Balloon Text"/>
    <w:basedOn w:val="Normal"/>
    <w:semiHidden/>
    <w:rsid w:val="003045EA"/>
    <w:rPr>
      <w:rFonts w:ascii="Tahoma" w:hAnsi="Tahoma" w:cs="Tahoma"/>
      <w:sz w:val="16"/>
      <w:szCs w:val="16"/>
    </w:rPr>
  </w:style>
  <w:style w:type="paragraph" w:styleId="Fotnotetekst">
    <w:name w:val="footnote text"/>
    <w:basedOn w:val="Normal"/>
    <w:semiHidden/>
    <w:rsid w:val="00AA32D7"/>
    <w:rPr>
      <w:sz w:val="20"/>
      <w:szCs w:val="20"/>
    </w:rPr>
  </w:style>
  <w:style w:type="character" w:styleId="Fotnotereferanse">
    <w:name w:val="footnote reference"/>
    <w:semiHidden/>
    <w:rsid w:val="00AA32D7"/>
    <w:rPr>
      <w:vertAlign w:val="superscript"/>
    </w:rPr>
  </w:style>
  <w:style w:type="character" w:customStyle="1" w:styleId="BunntekstTegn">
    <w:name w:val="Bunntekst Tegn"/>
    <w:link w:val="Bunntekst"/>
    <w:locked/>
    <w:rsid w:val="006349B9"/>
    <w:rPr>
      <w:rFonts w:cs="Sendnya"/>
      <w:sz w:val="24"/>
      <w:szCs w:val="24"/>
      <w:lang w:val="nb-NO" w:eastAsia="zh-CN" w:bidi="or-IN"/>
    </w:rPr>
  </w:style>
  <w:style w:type="character" w:styleId="Linjenummer">
    <w:name w:val="line number"/>
    <w:basedOn w:val="Standardskriftforavsnitt"/>
    <w:rsid w:val="00AE4055"/>
  </w:style>
  <w:style w:type="paragraph" w:styleId="INNH1">
    <w:name w:val="toc 1"/>
    <w:basedOn w:val="Normal"/>
    <w:next w:val="Normal"/>
    <w:autoRedefine/>
    <w:uiPriority w:val="39"/>
    <w:rsid w:val="00BD40F4"/>
    <w:pPr>
      <w:tabs>
        <w:tab w:val="right" w:leader="dot" w:pos="8820"/>
      </w:tabs>
    </w:pPr>
    <w:rPr>
      <w:b/>
      <w:noProof/>
    </w:rPr>
  </w:style>
  <w:style w:type="character" w:styleId="Hyperkobling">
    <w:name w:val="Hyperlink"/>
    <w:uiPriority w:val="99"/>
    <w:rsid w:val="00BE42D3"/>
    <w:rPr>
      <w:color w:val="0000FF"/>
      <w:u w:val="single"/>
    </w:rPr>
  </w:style>
  <w:style w:type="character" w:customStyle="1" w:styleId="Overskrift2Tegn">
    <w:name w:val="Overskrift 2 Tegn"/>
    <w:link w:val="Overskrift2"/>
    <w:rsid w:val="00B33323"/>
    <w:rPr>
      <w:rFonts w:asciiTheme="minorHAnsi" w:hAnsiTheme="minorHAnsi"/>
      <w:b/>
      <w:bCs/>
      <w:iCs/>
      <w:sz w:val="32"/>
      <w:szCs w:val="28"/>
      <w:lang w:eastAsia="zh-CN" w:bidi="or-IN"/>
    </w:rPr>
  </w:style>
  <w:style w:type="character" w:customStyle="1" w:styleId="Overskrift3Tegn">
    <w:name w:val="Overskrift 3 Tegn"/>
    <w:link w:val="Overskrift3"/>
    <w:rsid w:val="00B33323"/>
    <w:rPr>
      <w:rFonts w:asciiTheme="minorHAnsi" w:hAnsiTheme="minorHAnsi"/>
      <w:b/>
      <w:bCs/>
      <w:sz w:val="28"/>
      <w:szCs w:val="26"/>
      <w:lang w:eastAsia="zh-CN" w:bidi="or-IN"/>
    </w:rPr>
  </w:style>
  <w:style w:type="character" w:customStyle="1" w:styleId="Overskrift4Tegn">
    <w:name w:val="Overskrift 4 Tegn"/>
    <w:link w:val="Overskrift4"/>
    <w:rsid w:val="00B33323"/>
    <w:rPr>
      <w:rFonts w:ascii="Calibri" w:hAnsi="Calibri"/>
      <w:b/>
      <w:bCs/>
      <w:sz w:val="26"/>
      <w:szCs w:val="28"/>
      <w:lang w:eastAsia="zh-CN" w:bidi="or-IN"/>
    </w:rPr>
  </w:style>
  <w:style w:type="paragraph" w:styleId="INNH2">
    <w:name w:val="toc 2"/>
    <w:basedOn w:val="Normal"/>
    <w:next w:val="Normal"/>
    <w:autoRedefine/>
    <w:uiPriority w:val="39"/>
    <w:rsid w:val="00BD40F4"/>
    <w:pPr>
      <w:ind w:left="240"/>
    </w:pPr>
  </w:style>
  <w:style w:type="paragraph" w:styleId="INNH3">
    <w:name w:val="toc 3"/>
    <w:basedOn w:val="Normal"/>
    <w:next w:val="Normal"/>
    <w:autoRedefine/>
    <w:uiPriority w:val="39"/>
    <w:rsid w:val="00BD40F4"/>
    <w:pPr>
      <w:ind w:left="480"/>
    </w:pPr>
  </w:style>
  <w:style w:type="character" w:customStyle="1" w:styleId="Overskrift5Tegn">
    <w:name w:val="Overskrift 5 Tegn"/>
    <w:link w:val="Overskrift5"/>
    <w:rsid w:val="00B33323"/>
    <w:rPr>
      <w:rFonts w:ascii="Calibri" w:hAnsi="Calibri"/>
      <w:b/>
      <w:bCs/>
      <w:iCs/>
      <w:sz w:val="24"/>
      <w:szCs w:val="26"/>
      <w:lang w:eastAsia="zh-CN" w:bidi="or-IN"/>
    </w:rPr>
  </w:style>
  <w:style w:type="character" w:customStyle="1" w:styleId="Overskrift6Tegn">
    <w:name w:val="Overskrift 6 Tegn"/>
    <w:link w:val="Overskrift6"/>
    <w:rsid w:val="004D0DB5"/>
    <w:rPr>
      <w:rFonts w:ascii="Calibri" w:hAnsi="Calibri"/>
      <w:b/>
      <w:bCs/>
      <w:sz w:val="22"/>
      <w:szCs w:val="22"/>
      <w:lang w:eastAsia="zh-CN" w:bidi="or-IN"/>
    </w:rPr>
  </w:style>
  <w:style w:type="table" w:styleId="Tabellrutenett">
    <w:name w:val="Table Grid"/>
    <w:basedOn w:val="Vanligtabell"/>
    <w:rsid w:val="000610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avsnitt">
    <w:name w:val="List Paragraph"/>
    <w:basedOn w:val="Normal"/>
    <w:uiPriority w:val="34"/>
    <w:qFormat/>
    <w:rsid w:val="00F45737"/>
    <w:pPr>
      <w:ind w:left="720"/>
      <w:contextualSpacing/>
    </w:pPr>
  </w:style>
  <w:style w:type="character" w:customStyle="1" w:styleId="Overskrift7Tegn">
    <w:name w:val="Overskrift 7 Tegn"/>
    <w:link w:val="Overskrift7"/>
    <w:semiHidden/>
    <w:rsid w:val="003D387F"/>
    <w:rPr>
      <w:rFonts w:ascii="Calibri" w:eastAsia="Times New Roman" w:hAnsi="Calibri" w:cs="Times New Roman"/>
      <w:sz w:val="24"/>
      <w:szCs w:val="24"/>
      <w:lang w:eastAsia="zh-CN" w:bidi="or-IN"/>
    </w:rPr>
  </w:style>
  <w:style w:type="character" w:customStyle="1" w:styleId="Overskrift8Tegn">
    <w:name w:val="Overskrift 8 Tegn"/>
    <w:link w:val="Overskrift8"/>
    <w:semiHidden/>
    <w:rsid w:val="003D387F"/>
    <w:rPr>
      <w:rFonts w:ascii="Calibri" w:eastAsia="Times New Roman" w:hAnsi="Calibri" w:cs="Times New Roman"/>
      <w:i/>
      <w:iCs/>
      <w:sz w:val="24"/>
      <w:szCs w:val="24"/>
      <w:lang w:eastAsia="zh-CN" w:bidi="or-IN"/>
    </w:rPr>
  </w:style>
  <w:style w:type="character" w:customStyle="1" w:styleId="Overskrift9Tegn">
    <w:name w:val="Overskrift 9 Tegn"/>
    <w:link w:val="Overskrift9"/>
    <w:semiHidden/>
    <w:rsid w:val="003D387F"/>
    <w:rPr>
      <w:rFonts w:ascii="Cambria" w:eastAsia="Times New Roman" w:hAnsi="Cambria" w:cs="Times New Roman"/>
      <w:sz w:val="22"/>
      <w:szCs w:val="22"/>
      <w:lang w:eastAsia="zh-CN" w:bidi="or-IN"/>
    </w:rPr>
  </w:style>
  <w:style w:type="paragraph" w:styleId="Overskriftforinnholdsfortegnelse">
    <w:name w:val="TOC Heading"/>
    <w:basedOn w:val="Overskrift1"/>
    <w:next w:val="Normal"/>
    <w:uiPriority w:val="39"/>
    <w:unhideWhenUsed/>
    <w:qFormat/>
    <w:rsid w:val="00EB7DD2"/>
    <w:pPr>
      <w:keepLines/>
      <w:numPr>
        <w:numId w:val="0"/>
      </w:numPr>
      <w:spacing w:after="0" w:line="259" w:lineRule="auto"/>
      <w:outlineLvl w:val="9"/>
    </w:pPr>
    <w:rPr>
      <w:rFonts w:asciiTheme="majorHAnsi" w:eastAsiaTheme="majorEastAsia" w:hAnsiTheme="majorHAnsi" w:cstheme="majorBidi"/>
      <w:b w:val="0"/>
      <w:bCs w:val="0"/>
      <w:color w:val="2E74B5" w:themeColor="accent1" w:themeShade="BF"/>
      <w:kern w:val="0"/>
      <w:sz w:val="32"/>
      <w:szCs w:val="32"/>
      <w:lang w:eastAsia="nb-NO" w:bidi="ar-SA"/>
    </w:rPr>
  </w:style>
  <w:style w:type="paragraph" w:styleId="NormalWeb">
    <w:name w:val="Normal (Web)"/>
    <w:basedOn w:val="Normal"/>
    <w:uiPriority w:val="99"/>
    <w:semiHidden/>
    <w:unhideWhenUsed/>
    <w:rsid w:val="004B0D63"/>
    <w:pPr>
      <w:spacing w:before="100" w:beforeAutospacing="1" w:after="100" w:afterAutospacing="1" w:line="240" w:lineRule="auto"/>
    </w:pPr>
    <w:rPr>
      <w:rFonts w:cs="Times New Roman"/>
      <w:lang w:eastAsia="nb-NO"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00017">
      <w:bodyDiv w:val="1"/>
      <w:marLeft w:val="0"/>
      <w:marRight w:val="0"/>
      <w:marTop w:val="0"/>
      <w:marBottom w:val="0"/>
      <w:divBdr>
        <w:top w:val="none" w:sz="0" w:space="0" w:color="auto"/>
        <w:left w:val="none" w:sz="0" w:space="0" w:color="auto"/>
        <w:bottom w:val="none" w:sz="0" w:space="0" w:color="auto"/>
        <w:right w:val="none" w:sz="0" w:space="0" w:color="auto"/>
      </w:divBdr>
      <w:divsChild>
        <w:div w:id="279648595">
          <w:marLeft w:val="547"/>
          <w:marRight w:val="0"/>
          <w:marTop w:val="115"/>
          <w:marBottom w:val="0"/>
          <w:divBdr>
            <w:top w:val="none" w:sz="0" w:space="0" w:color="auto"/>
            <w:left w:val="none" w:sz="0" w:space="0" w:color="auto"/>
            <w:bottom w:val="none" w:sz="0" w:space="0" w:color="auto"/>
            <w:right w:val="none" w:sz="0" w:space="0" w:color="auto"/>
          </w:divBdr>
        </w:div>
        <w:div w:id="313725921">
          <w:marLeft w:val="1166"/>
          <w:marRight w:val="0"/>
          <w:marTop w:val="96"/>
          <w:marBottom w:val="0"/>
          <w:divBdr>
            <w:top w:val="none" w:sz="0" w:space="0" w:color="auto"/>
            <w:left w:val="none" w:sz="0" w:space="0" w:color="auto"/>
            <w:bottom w:val="none" w:sz="0" w:space="0" w:color="auto"/>
            <w:right w:val="none" w:sz="0" w:space="0" w:color="auto"/>
          </w:divBdr>
        </w:div>
        <w:div w:id="1560019884">
          <w:marLeft w:val="547"/>
          <w:marRight w:val="0"/>
          <w:marTop w:val="115"/>
          <w:marBottom w:val="0"/>
          <w:divBdr>
            <w:top w:val="none" w:sz="0" w:space="0" w:color="auto"/>
            <w:left w:val="none" w:sz="0" w:space="0" w:color="auto"/>
            <w:bottom w:val="none" w:sz="0" w:space="0" w:color="auto"/>
            <w:right w:val="none" w:sz="0" w:space="0" w:color="auto"/>
          </w:divBdr>
        </w:div>
        <w:div w:id="207422669">
          <w:marLeft w:val="1166"/>
          <w:marRight w:val="0"/>
          <w:marTop w:val="96"/>
          <w:marBottom w:val="0"/>
          <w:divBdr>
            <w:top w:val="none" w:sz="0" w:space="0" w:color="auto"/>
            <w:left w:val="none" w:sz="0" w:space="0" w:color="auto"/>
            <w:bottom w:val="none" w:sz="0" w:space="0" w:color="auto"/>
            <w:right w:val="none" w:sz="0" w:space="0" w:color="auto"/>
          </w:divBdr>
        </w:div>
        <w:div w:id="1093673227">
          <w:marLeft w:val="1800"/>
          <w:marRight w:val="0"/>
          <w:marTop w:val="77"/>
          <w:marBottom w:val="0"/>
          <w:divBdr>
            <w:top w:val="none" w:sz="0" w:space="0" w:color="auto"/>
            <w:left w:val="none" w:sz="0" w:space="0" w:color="auto"/>
            <w:bottom w:val="none" w:sz="0" w:space="0" w:color="auto"/>
            <w:right w:val="none" w:sz="0" w:space="0" w:color="auto"/>
          </w:divBdr>
        </w:div>
        <w:div w:id="1344672215">
          <w:marLeft w:val="1800"/>
          <w:marRight w:val="0"/>
          <w:marTop w:val="77"/>
          <w:marBottom w:val="0"/>
          <w:divBdr>
            <w:top w:val="none" w:sz="0" w:space="0" w:color="auto"/>
            <w:left w:val="none" w:sz="0" w:space="0" w:color="auto"/>
            <w:bottom w:val="none" w:sz="0" w:space="0" w:color="auto"/>
            <w:right w:val="none" w:sz="0" w:space="0" w:color="auto"/>
          </w:divBdr>
        </w:div>
        <w:div w:id="796918724">
          <w:marLeft w:val="1166"/>
          <w:marRight w:val="0"/>
          <w:marTop w:val="96"/>
          <w:marBottom w:val="0"/>
          <w:divBdr>
            <w:top w:val="none" w:sz="0" w:space="0" w:color="auto"/>
            <w:left w:val="none" w:sz="0" w:space="0" w:color="auto"/>
            <w:bottom w:val="none" w:sz="0" w:space="0" w:color="auto"/>
            <w:right w:val="none" w:sz="0" w:space="0" w:color="auto"/>
          </w:divBdr>
        </w:div>
        <w:div w:id="1946309432">
          <w:marLeft w:val="1800"/>
          <w:marRight w:val="0"/>
          <w:marTop w:val="77"/>
          <w:marBottom w:val="0"/>
          <w:divBdr>
            <w:top w:val="none" w:sz="0" w:space="0" w:color="auto"/>
            <w:left w:val="none" w:sz="0" w:space="0" w:color="auto"/>
            <w:bottom w:val="none" w:sz="0" w:space="0" w:color="auto"/>
            <w:right w:val="none" w:sz="0" w:space="0" w:color="auto"/>
          </w:divBdr>
        </w:div>
        <w:div w:id="617686567">
          <w:marLeft w:val="1800"/>
          <w:marRight w:val="0"/>
          <w:marTop w:val="77"/>
          <w:marBottom w:val="0"/>
          <w:divBdr>
            <w:top w:val="none" w:sz="0" w:space="0" w:color="auto"/>
            <w:left w:val="none" w:sz="0" w:space="0" w:color="auto"/>
            <w:bottom w:val="none" w:sz="0" w:space="0" w:color="auto"/>
            <w:right w:val="none" w:sz="0" w:space="0" w:color="auto"/>
          </w:divBdr>
        </w:div>
        <w:div w:id="927077536">
          <w:marLeft w:val="1800"/>
          <w:marRight w:val="0"/>
          <w:marTop w:val="77"/>
          <w:marBottom w:val="0"/>
          <w:divBdr>
            <w:top w:val="none" w:sz="0" w:space="0" w:color="auto"/>
            <w:left w:val="none" w:sz="0" w:space="0" w:color="auto"/>
            <w:bottom w:val="none" w:sz="0" w:space="0" w:color="auto"/>
            <w:right w:val="none" w:sz="0" w:space="0" w:color="auto"/>
          </w:divBdr>
        </w:div>
        <w:div w:id="1768504554">
          <w:marLeft w:val="1800"/>
          <w:marRight w:val="0"/>
          <w:marTop w:val="77"/>
          <w:marBottom w:val="0"/>
          <w:divBdr>
            <w:top w:val="none" w:sz="0" w:space="0" w:color="auto"/>
            <w:left w:val="none" w:sz="0" w:space="0" w:color="auto"/>
            <w:bottom w:val="none" w:sz="0" w:space="0" w:color="auto"/>
            <w:right w:val="none" w:sz="0" w:space="0" w:color="auto"/>
          </w:divBdr>
        </w:div>
      </w:divsChild>
    </w:div>
    <w:div w:id="219902147">
      <w:bodyDiv w:val="1"/>
      <w:marLeft w:val="0"/>
      <w:marRight w:val="0"/>
      <w:marTop w:val="0"/>
      <w:marBottom w:val="0"/>
      <w:divBdr>
        <w:top w:val="none" w:sz="0" w:space="0" w:color="auto"/>
        <w:left w:val="none" w:sz="0" w:space="0" w:color="auto"/>
        <w:bottom w:val="none" w:sz="0" w:space="0" w:color="auto"/>
        <w:right w:val="none" w:sz="0" w:space="0" w:color="auto"/>
      </w:divBdr>
    </w:div>
    <w:div w:id="630942449">
      <w:bodyDiv w:val="1"/>
      <w:marLeft w:val="0"/>
      <w:marRight w:val="0"/>
      <w:marTop w:val="0"/>
      <w:marBottom w:val="0"/>
      <w:divBdr>
        <w:top w:val="none" w:sz="0" w:space="0" w:color="auto"/>
        <w:left w:val="none" w:sz="0" w:space="0" w:color="auto"/>
        <w:bottom w:val="none" w:sz="0" w:space="0" w:color="auto"/>
        <w:right w:val="none" w:sz="0" w:space="0" w:color="auto"/>
      </w:divBdr>
    </w:div>
    <w:div w:id="1028993590">
      <w:bodyDiv w:val="1"/>
      <w:marLeft w:val="0"/>
      <w:marRight w:val="0"/>
      <w:marTop w:val="0"/>
      <w:marBottom w:val="0"/>
      <w:divBdr>
        <w:top w:val="none" w:sz="0" w:space="0" w:color="auto"/>
        <w:left w:val="none" w:sz="0" w:space="0" w:color="auto"/>
        <w:bottom w:val="none" w:sz="0" w:space="0" w:color="auto"/>
        <w:right w:val="none" w:sz="0" w:space="0" w:color="auto"/>
      </w:divBdr>
      <w:divsChild>
        <w:div w:id="4599638">
          <w:marLeft w:val="547"/>
          <w:marRight w:val="0"/>
          <w:marTop w:val="115"/>
          <w:marBottom w:val="0"/>
          <w:divBdr>
            <w:top w:val="none" w:sz="0" w:space="0" w:color="auto"/>
            <w:left w:val="none" w:sz="0" w:space="0" w:color="auto"/>
            <w:bottom w:val="none" w:sz="0" w:space="0" w:color="auto"/>
            <w:right w:val="none" w:sz="0" w:space="0" w:color="auto"/>
          </w:divBdr>
        </w:div>
        <w:div w:id="308362137">
          <w:marLeft w:val="1166"/>
          <w:marRight w:val="0"/>
          <w:marTop w:val="96"/>
          <w:marBottom w:val="0"/>
          <w:divBdr>
            <w:top w:val="none" w:sz="0" w:space="0" w:color="auto"/>
            <w:left w:val="none" w:sz="0" w:space="0" w:color="auto"/>
            <w:bottom w:val="none" w:sz="0" w:space="0" w:color="auto"/>
            <w:right w:val="none" w:sz="0" w:space="0" w:color="auto"/>
          </w:divBdr>
        </w:div>
        <w:div w:id="936984632">
          <w:marLeft w:val="547"/>
          <w:marRight w:val="0"/>
          <w:marTop w:val="115"/>
          <w:marBottom w:val="0"/>
          <w:divBdr>
            <w:top w:val="none" w:sz="0" w:space="0" w:color="auto"/>
            <w:left w:val="none" w:sz="0" w:space="0" w:color="auto"/>
            <w:bottom w:val="none" w:sz="0" w:space="0" w:color="auto"/>
            <w:right w:val="none" w:sz="0" w:space="0" w:color="auto"/>
          </w:divBdr>
        </w:div>
        <w:div w:id="81731228">
          <w:marLeft w:val="547"/>
          <w:marRight w:val="0"/>
          <w:marTop w:val="115"/>
          <w:marBottom w:val="0"/>
          <w:divBdr>
            <w:top w:val="none" w:sz="0" w:space="0" w:color="auto"/>
            <w:left w:val="none" w:sz="0" w:space="0" w:color="auto"/>
            <w:bottom w:val="none" w:sz="0" w:space="0" w:color="auto"/>
            <w:right w:val="none" w:sz="0" w:space="0" w:color="auto"/>
          </w:divBdr>
        </w:div>
        <w:div w:id="1910993955">
          <w:marLeft w:val="547"/>
          <w:marRight w:val="0"/>
          <w:marTop w:val="115"/>
          <w:marBottom w:val="0"/>
          <w:divBdr>
            <w:top w:val="none" w:sz="0" w:space="0" w:color="auto"/>
            <w:left w:val="none" w:sz="0" w:space="0" w:color="auto"/>
            <w:bottom w:val="none" w:sz="0" w:space="0" w:color="auto"/>
            <w:right w:val="none" w:sz="0" w:space="0" w:color="auto"/>
          </w:divBdr>
        </w:div>
        <w:div w:id="1983460584">
          <w:marLeft w:val="547"/>
          <w:marRight w:val="0"/>
          <w:marTop w:val="115"/>
          <w:marBottom w:val="0"/>
          <w:divBdr>
            <w:top w:val="none" w:sz="0" w:space="0" w:color="auto"/>
            <w:left w:val="none" w:sz="0" w:space="0" w:color="auto"/>
            <w:bottom w:val="none" w:sz="0" w:space="0" w:color="auto"/>
            <w:right w:val="none" w:sz="0" w:space="0" w:color="auto"/>
          </w:divBdr>
        </w:div>
      </w:divsChild>
    </w:div>
    <w:div w:id="1339965742">
      <w:bodyDiv w:val="1"/>
      <w:marLeft w:val="0"/>
      <w:marRight w:val="0"/>
      <w:marTop w:val="0"/>
      <w:marBottom w:val="0"/>
      <w:divBdr>
        <w:top w:val="none" w:sz="0" w:space="0" w:color="auto"/>
        <w:left w:val="none" w:sz="0" w:space="0" w:color="auto"/>
        <w:bottom w:val="none" w:sz="0" w:space="0" w:color="auto"/>
        <w:right w:val="none" w:sz="0" w:space="0" w:color="auto"/>
      </w:divBdr>
    </w:div>
    <w:div w:id="1386100679">
      <w:bodyDiv w:val="1"/>
      <w:marLeft w:val="0"/>
      <w:marRight w:val="0"/>
      <w:marTop w:val="0"/>
      <w:marBottom w:val="0"/>
      <w:divBdr>
        <w:top w:val="none" w:sz="0" w:space="0" w:color="auto"/>
        <w:left w:val="none" w:sz="0" w:space="0" w:color="auto"/>
        <w:bottom w:val="none" w:sz="0" w:space="0" w:color="auto"/>
        <w:right w:val="none" w:sz="0" w:space="0" w:color="auto"/>
      </w:divBdr>
      <w:divsChild>
        <w:div w:id="388304027">
          <w:marLeft w:val="547"/>
          <w:marRight w:val="0"/>
          <w:marTop w:val="115"/>
          <w:marBottom w:val="0"/>
          <w:divBdr>
            <w:top w:val="none" w:sz="0" w:space="0" w:color="auto"/>
            <w:left w:val="none" w:sz="0" w:space="0" w:color="auto"/>
            <w:bottom w:val="none" w:sz="0" w:space="0" w:color="auto"/>
            <w:right w:val="none" w:sz="0" w:space="0" w:color="auto"/>
          </w:divBdr>
        </w:div>
        <w:div w:id="570654694">
          <w:marLeft w:val="1166"/>
          <w:marRight w:val="0"/>
          <w:marTop w:val="96"/>
          <w:marBottom w:val="0"/>
          <w:divBdr>
            <w:top w:val="none" w:sz="0" w:space="0" w:color="auto"/>
            <w:left w:val="none" w:sz="0" w:space="0" w:color="auto"/>
            <w:bottom w:val="none" w:sz="0" w:space="0" w:color="auto"/>
            <w:right w:val="none" w:sz="0" w:space="0" w:color="auto"/>
          </w:divBdr>
        </w:div>
        <w:div w:id="1352805056">
          <w:marLeft w:val="547"/>
          <w:marRight w:val="0"/>
          <w:marTop w:val="115"/>
          <w:marBottom w:val="0"/>
          <w:divBdr>
            <w:top w:val="none" w:sz="0" w:space="0" w:color="auto"/>
            <w:left w:val="none" w:sz="0" w:space="0" w:color="auto"/>
            <w:bottom w:val="none" w:sz="0" w:space="0" w:color="auto"/>
            <w:right w:val="none" w:sz="0" w:space="0" w:color="auto"/>
          </w:divBdr>
        </w:div>
        <w:div w:id="951398311">
          <w:marLeft w:val="1166"/>
          <w:marRight w:val="0"/>
          <w:marTop w:val="96"/>
          <w:marBottom w:val="0"/>
          <w:divBdr>
            <w:top w:val="none" w:sz="0" w:space="0" w:color="auto"/>
            <w:left w:val="none" w:sz="0" w:space="0" w:color="auto"/>
            <w:bottom w:val="none" w:sz="0" w:space="0" w:color="auto"/>
            <w:right w:val="none" w:sz="0" w:space="0" w:color="auto"/>
          </w:divBdr>
        </w:div>
        <w:div w:id="519583490">
          <w:marLeft w:val="1166"/>
          <w:marRight w:val="0"/>
          <w:marTop w:val="96"/>
          <w:marBottom w:val="0"/>
          <w:divBdr>
            <w:top w:val="none" w:sz="0" w:space="0" w:color="auto"/>
            <w:left w:val="none" w:sz="0" w:space="0" w:color="auto"/>
            <w:bottom w:val="none" w:sz="0" w:space="0" w:color="auto"/>
            <w:right w:val="none" w:sz="0" w:space="0" w:color="auto"/>
          </w:divBdr>
        </w:div>
        <w:div w:id="704599826">
          <w:marLeft w:val="547"/>
          <w:marRight w:val="0"/>
          <w:marTop w:val="115"/>
          <w:marBottom w:val="0"/>
          <w:divBdr>
            <w:top w:val="none" w:sz="0" w:space="0" w:color="auto"/>
            <w:left w:val="none" w:sz="0" w:space="0" w:color="auto"/>
            <w:bottom w:val="none" w:sz="0" w:space="0" w:color="auto"/>
            <w:right w:val="none" w:sz="0" w:space="0" w:color="auto"/>
          </w:divBdr>
        </w:div>
        <w:div w:id="1361709578">
          <w:marLeft w:val="1166"/>
          <w:marRight w:val="0"/>
          <w:marTop w:val="96"/>
          <w:marBottom w:val="0"/>
          <w:divBdr>
            <w:top w:val="none" w:sz="0" w:space="0" w:color="auto"/>
            <w:left w:val="none" w:sz="0" w:space="0" w:color="auto"/>
            <w:bottom w:val="none" w:sz="0" w:space="0" w:color="auto"/>
            <w:right w:val="none" w:sz="0" w:space="0" w:color="auto"/>
          </w:divBdr>
        </w:div>
        <w:div w:id="1553423509">
          <w:marLeft w:val="1166"/>
          <w:marRight w:val="0"/>
          <w:marTop w:val="96"/>
          <w:marBottom w:val="0"/>
          <w:divBdr>
            <w:top w:val="none" w:sz="0" w:space="0" w:color="auto"/>
            <w:left w:val="none" w:sz="0" w:space="0" w:color="auto"/>
            <w:bottom w:val="none" w:sz="0" w:space="0" w:color="auto"/>
            <w:right w:val="none" w:sz="0" w:space="0" w:color="auto"/>
          </w:divBdr>
        </w:div>
        <w:div w:id="150372246">
          <w:marLeft w:val="547"/>
          <w:marRight w:val="0"/>
          <w:marTop w:val="115"/>
          <w:marBottom w:val="0"/>
          <w:divBdr>
            <w:top w:val="none" w:sz="0" w:space="0" w:color="auto"/>
            <w:left w:val="none" w:sz="0" w:space="0" w:color="auto"/>
            <w:bottom w:val="none" w:sz="0" w:space="0" w:color="auto"/>
            <w:right w:val="none" w:sz="0" w:space="0" w:color="auto"/>
          </w:divBdr>
        </w:div>
      </w:divsChild>
    </w:div>
    <w:div w:id="1448505760">
      <w:bodyDiv w:val="1"/>
      <w:marLeft w:val="0"/>
      <w:marRight w:val="0"/>
      <w:marTop w:val="0"/>
      <w:marBottom w:val="0"/>
      <w:divBdr>
        <w:top w:val="none" w:sz="0" w:space="0" w:color="auto"/>
        <w:left w:val="none" w:sz="0" w:space="0" w:color="auto"/>
        <w:bottom w:val="none" w:sz="0" w:space="0" w:color="auto"/>
        <w:right w:val="none" w:sz="0" w:space="0" w:color="auto"/>
      </w:divBdr>
    </w:div>
    <w:div w:id="1736007682">
      <w:bodyDiv w:val="1"/>
      <w:marLeft w:val="0"/>
      <w:marRight w:val="0"/>
      <w:marTop w:val="0"/>
      <w:marBottom w:val="0"/>
      <w:divBdr>
        <w:top w:val="none" w:sz="0" w:space="0" w:color="auto"/>
        <w:left w:val="none" w:sz="0" w:space="0" w:color="auto"/>
        <w:bottom w:val="none" w:sz="0" w:space="0" w:color="auto"/>
        <w:right w:val="none" w:sz="0" w:space="0" w:color="auto"/>
      </w:divBdr>
      <w:divsChild>
        <w:div w:id="1637640335">
          <w:marLeft w:val="547"/>
          <w:marRight w:val="0"/>
          <w:marTop w:val="115"/>
          <w:marBottom w:val="0"/>
          <w:divBdr>
            <w:top w:val="none" w:sz="0" w:space="0" w:color="auto"/>
            <w:left w:val="none" w:sz="0" w:space="0" w:color="auto"/>
            <w:bottom w:val="none" w:sz="0" w:space="0" w:color="auto"/>
            <w:right w:val="none" w:sz="0" w:space="0" w:color="auto"/>
          </w:divBdr>
        </w:div>
        <w:div w:id="1211724902">
          <w:marLeft w:val="1166"/>
          <w:marRight w:val="0"/>
          <w:marTop w:val="96"/>
          <w:marBottom w:val="0"/>
          <w:divBdr>
            <w:top w:val="none" w:sz="0" w:space="0" w:color="auto"/>
            <w:left w:val="none" w:sz="0" w:space="0" w:color="auto"/>
            <w:bottom w:val="none" w:sz="0" w:space="0" w:color="auto"/>
            <w:right w:val="none" w:sz="0" w:space="0" w:color="auto"/>
          </w:divBdr>
        </w:div>
        <w:div w:id="1410157752">
          <w:marLeft w:val="1166"/>
          <w:marRight w:val="0"/>
          <w:marTop w:val="96"/>
          <w:marBottom w:val="0"/>
          <w:divBdr>
            <w:top w:val="none" w:sz="0" w:space="0" w:color="auto"/>
            <w:left w:val="none" w:sz="0" w:space="0" w:color="auto"/>
            <w:bottom w:val="none" w:sz="0" w:space="0" w:color="auto"/>
            <w:right w:val="none" w:sz="0" w:space="0" w:color="auto"/>
          </w:divBdr>
        </w:div>
        <w:div w:id="550189607">
          <w:marLeft w:val="1166"/>
          <w:marRight w:val="0"/>
          <w:marTop w:val="96"/>
          <w:marBottom w:val="0"/>
          <w:divBdr>
            <w:top w:val="none" w:sz="0" w:space="0" w:color="auto"/>
            <w:left w:val="none" w:sz="0" w:space="0" w:color="auto"/>
            <w:bottom w:val="none" w:sz="0" w:space="0" w:color="auto"/>
            <w:right w:val="none" w:sz="0" w:space="0" w:color="auto"/>
          </w:divBdr>
        </w:div>
        <w:div w:id="670376561">
          <w:marLeft w:val="547"/>
          <w:marRight w:val="0"/>
          <w:marTop w:val="115"/>
          <w:marBottom w:val="0"/>
          <w:divBdr>
            <w:top w:val="none" w:sz="0" w:space="0" w:color="auto"/>
            <w:left w:val="none" w:sz="0" w:space="0" w:color="auto"/>
            <w:bottom w:val="none" w:sz="0" w:space="0" w:color="auto"/>
            <w:right w:val="none" w:sz="0" w:space="0" w:color="auto"/>
          </w:divBdr>
        </w:div>
      </w:divsChild>
    </w:div>
    <w:div w:id="1765611166">
      <w:bodyDiv w:val="1"/>
      <w:marLeft w:val="0"/>
      <w:marRight w:val="0"/>
      <w:marTop w:val="0"/>
      <w:marBottom w:val="0"/>
      <w:divBdr>
        <w:top w:val="none" w:sz="0" w:space="0" w:color="auto"/>
        <w:left w:val="none" w:sz="0" w:space="0" w:color="auto"/>
        <w:bottom w:val="none" w:sz="0" w:space="0" w:color="auto"/>
        <w:right w:val="none" w:sz="0" w:space="0" w:color="auto"/>
      </w:divBdr>
    </w:div>
    <w:div w:id="1844930087">
      <w:bodyDiv w:val="1"/>
      <w:marLeft w:val="0"/>
      <w:marRight w:val="0"/>
      <w:marTop w:val="0"/>
      <w:marBottom w:val="0"/>
      <w:divBdr>
        <w:top w:val="none" w:sz="0" w:space="0" w:color="auto"/>
        <w:left w:val="none" w:sz="0" w:space="0" w:color="auto"/>
        <w:bottom w:val="none" w:sz="0" w:space="0" w:color="auto"/>
        <w:right w:val="none" w:sz="0" w:space="0" w:color="auto"/>
      </w:divBdr>
      <w:divsChild>
        <w:div w:id="620913947">
          <w:marLeft w:val="547"/>
          <w:marRight w:val="0"/>
          <w:marTop w:val="115"/>
          <w:marBottom w:val="0"/>
          <w:divBdr>
            <w:top w:val="none" w:sz="0" w:space="0" w:color="auto"/>
            <w:left w:val="none" w:sz="0" w:space="0" w:color="auto"/>
            <w:bottom w:val="none" w:sz="0" w:space="0" w:color="auto"/>
            <w:right w:val="none" w:sz="0" w:space="0" w:color="auto"/>
          </w:divBdr>
        </w:div>
        <w:div w:id="1789549353">
          <w:marLeft w:val="547"/>
          <w:marRight w:val="0"/>
          <w:marTop w:val="115"/>
          <w:marBottom w:val="0"/>
          <w:divBdr>
            <w:top w:val="none" w:sz="0" w:space="0" w:color="auto"/>
            <w:left w:val="none" w:sz="0" w:space="0" w:color="auto"/>
            <w:bottom w:val="none" w:sz="0" w:space="0" w:color="auto"/>
            <w:right w:val="none" w:sz="0" w:space="0" w:color="auto"/>
          </w:divBdr>
        </w:div>
        <w:div w:id="862598848">
          <w:marLeft w:val="547"/>
          <w:marRight w:val="0"/>
          <w:marTop w:val="115"/>
          <w:marBottom w:val="0"/>
          <w:divBdr>
            <w:top w:val="none" w:sz="0" w:space="0" w:color="auto"/>
            <w:left w:val="none" w:sz="0" w:space="0" w:color="auto"/>
            <w:bottom w:val="none" w:sz="0" w:space="0" w:color="auto"/>
            <w:right w:val="none" w:sz="0" w:space="0" w:color="auto"/>
          </w:divBdr>
        </w:div>
        <w:div w:id="981688780">
          <w:marLeft w:val="1166"/>
          <w:marRight w:val="0"/>
          <w:marTop w:val="96"/>
          <w:marBottom w:val="0"/>
          <w:divBdr>
            <w:top w:val="none" w:sz="0" w:space="0" w:color="auto"/>
            <w:left w:val="none" w:sz="0" w:space="0" w:color="auto"/>
            <w:bottom w:val="none" w:sz="0" w:space="0" w:color="auto"/>
            <w:right w:val="none" w:sz="0" w:space="0" w:color="auto"/>
          </w:divBdr>
        </w:div>
        <w:div w:id="24798857">
          <w:marLeft w:val="1800"/>
          <w:marRight w:val="0"/>
          <w:marTop w:val="77"/>
          <w:marBottom w:val="0"/>
          <w:divBdr>
            <w:top w:val="none" w:sz="0" w:space="0" w:color="auto"/>
            <w:left w:val="none" w:sz="0" w:space="0" w:color="auto"/>
            <w:bottom w:val="none" w:sz="0" w:space="0" w:color="auto"/>
            <w:right w:val="none" w:sz="0" w:space="0" w:color="auto"/>
          </w:divBdr>
        </w:div>
        <w:div w:id="1272661894">
          <w:marLeft w:val="1800"/>
          <w:marRight w:val="0"/>
          <w:marTop w:val="77"/>
          <w:marBottom w:val="0"/>
          <w:divBdr>
            <w:top w:val="none" w:sz="0" w:space="0" w:color="auto"/>
            <w:left w:val="none" w:sz="0" w:space="0" w:color="auto"/>
            <w:bottom w:val="none" w:sz="0" w:space="0" w:color="auto"/>
            <w:right w:val="none" w:sz="0" w:space="0" w:color="auto"/>
          </w:divBdr>
        </w:div>
        <w:div w:id="783378844">
          <w:marLeft w:val="547"/>
          <w:marRight w:val="0"/>
          <w:marTop w:val="115"/>
          <w:marBottom w:val="0"/>
          <w:divBdr>
            <w:top w:val="none" w:sz="0" w:space="0" w:color="auto"/>
            <w:left w:val="none" w:sz="0" w:space="0" w:color="auto"/>
            <w:bottom w:val="none" w:sz="0" w:space="0" w:color="auto"/>
            <w:right w:val="none" w:sz="0" w:space="0" w:color="auto"/>
          </w:divBdr>
        </w:div>
        <w:div w:id="714039968">
          <w:marLeft w:val="1166"/>
          <w:marRight w:val="0"/>
          <w:marTop w:val="96"/>
          <w:marBottom w:val="0"/>
          <w:divBdr>
            <w:top w:val="none" w:sz="0" w:space="0" w:color="auto"/>
            <w:left w:val="none" w:sz="0" w:space="0" w:color="auto"/>
            <w:bottom w:val="none" w:sz="0" w:space="0" w:color="auto"/>
            <w:right w:val="none" w:sz="0" w:space="0" w:color="auto"/>
          </w:divBdr>
        </w:div>
        <w:div w:id="1729956634">
          <w:marLeft w:val="1166"/>
          <w:marRight w:val="0"/>
          <w:marTop w:val="96"/>
          <w:marBottom w:val="0"/>
          <w:divBdr>
            <w:top w:val="none" w:sz="0" w:space="0" w:color="auto"/>
            <w:left w:val="none" w:sz="0" w:space="0" w:color="auto"/>
            <w:bottom w:val="none" w:sz="0" w:space="0" w:color="auto"/>
            <w:right w:val="none" w:sz="0" w:space="0" w:color="auto"/>
          </w:divBdr>
        </w:div>
      </w:divsChild>
    </w:div>
    <w:div w:id="1878659371">
      <w:bodyDiv w:val="1"/>
      <w:marLeft w:val="0"/>
      <w:marRight w:val="0"/>
      <w:marTop w:val="0"/>
      <w:marBottom w:val="0"/>
      <w:divBdr>
        <w:top w:val="none" w:sz="0" w:space="0" w:color="auto"/>
        <w:left w:val="none" w:sz="0" w:space="0" w:color="auto"/>
        <w:bottom w:val="none" w:sz="0" w:space="0" w:color="auto"/>
        <w:right w:val="none" w:sz="0" w:space="0" w:color="auto"/>
      </w:divBdr>
    </w:div>
    <w:div w:id="1924758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http://kvalitet.himolde.no/KS_UNL409"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kvalitet.himolde.no/KS_UNL221" TargetMode="External"/><Relationship Id="rId2" Type="http://schemas.openxmlformats.org/officeDocument/2006/relationships/customXml" Target="../customXml/item2.xml"/><Relationship Id="rId16" Type="http://schemas.openxmlformats.org/officeDocument/2006/relationships/hyperlink" Target="http://kvalitet.himolde.no/KS_UNL11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www.lovdata.no/all/nl-20050401-015.html" TargetMode="External"/><Relationship Id="rId10" Type="http://schemas.openxmlformats.org/officeDocument/2006/relationships/endnotes" Target="endnotes.xml"/><Relationship Id="rId19" Type="http://schemas.openxmlformats.org/officeDocument/2006/relationships/hyperlink" Target="http://www.himolde.no/biblioteket/Sider/Veiledning/Kilder-og-referanser.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footer" Target="footer3.xml"/><Relationship Id="rId35" Type="http://schemas.openxmlformats.org/officeDocument/2006/relationships/footer" Target="footer4.xml"/><Relationship Id="rId36" Type="http://schemas.openxmlformats.org/officeDocument/2006/relationships/footer" Target="footer5.xml"/><Relationship Id="rId37" Type="http://schemas.openxmlformats.org/officeDocument/2006/relationships/footer" Target="footer6.xml"/><Relationship Id="rId38" Type="http://schemas.openxmlformats.org/officeDocument/2006/relationships/footer" Target="footer7.xml"/><Relationship Id="rId39" Type="http://schemas.openxmlformats.org/officeDocument/2006/relationships/footer" Target="footer8.xml"/><Relationship Id="rId40" Type="http://schemas.openxmlformats.org/officeDocument/2006/relationships/footer" Target="footer9.xml"/><Relationship Id="rId41" Type="http://schemas.openxmlformats.org/officeDocument/2006/relationships/footer" Target="footer10.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rr\AppData\Local\Temp\dokumentmal-studentoppgav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EEC585885EB71F4DB0D9FB45E4A66F2C" ma:contentTypeVersion="3" ma:contentTypeDescription="Opprett et nytt dokument." ma:contentTypeScope="" ma:versionID="f382b6a2fd235f283bf5cecf5e56262d">
  <xsd:schema xmlns:xsd="http://www.w3.org/2001/XMLSchema" xmlns:xs="http://www.w3.org/2001/XMLSchema" xmlns:p="http://schemas.microsoft.com/office/2006/metadata/properties" xmlns:ns2="e2dd498c-680f-4fa4-b475-961296ca3ef1" targetNamespace="http://schemas.microsoft.com/office/2006/metadata/properties" ma:root="true" ma:fieldsID="c7bc32ed49db3fd258cd61b46b16d772" ns2:_="">
    <xsd:import namespace="e2dd498c-680f-4fa4-b475-961296ca3ef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dd498c-680f-4fa4-b475-961296ca3e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229464E-7FDA-4684-B3C1-D54AF7B00478}">
  <ds:schemaRefs>
    <ds:schemaRef ds:uri="http://schemas.openxmlformats.org/officeDocument/2006/bibliography"/>
  </ds:schemaRefs>
</ds:datastoreItem>
</file>

<file path=customXml/itemProps2.xml><?xml version="1.0" encoding="utf-8"?>
<ds:datastoreItem xmlns:ds="http://schemas.openxmlformats.org/officeDocument/2006/customXml" ds:itemID="{939C2472-C9A5-4659-BFF7-5F2DFDAB9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dd498c-680f-4fa4-b475-961296ca3e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3CE95B-8845-44EA-894A-43AB4CE1AAB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E0ADFCC-3591-4F93-934F-89209D1D4A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dokumentmal-studentoppgaver.dotx</Template>
  <TotalTime>105</TotalTime>
  <Pages>17</Pages>
  <Words>2593</Words>
  <Characters>14470</Characters>
  <Application>Microsoft Office Word</Application>
  <DocSecurity>0</DocSecurity>
  <Lines>466</Lines>
  <Paragraphs>294</Paragraphs>
  <ScaleCrop>false</ScaleCrop>
  <HeadingPairs>
    <vt:vector size="2" baseType="variant">
      <vt:variant>
        <vt:lpstr>Title</vt:lpstr>
      </vt:variant>
      <vt:variant>
        <vt:i4>1</vt:i4>
      </vt:variant>
    </vt:vector>
  </HeadingPairs>
  <TitlesOfParts>
    <vt:vector size="1" baseType="lpstr">
      <vt:lpstr/>
    </vt:vector>
  </TitlesOfParts>
  <Company>HSM</Company>
  <LinksUpToDate>false</LinksUpToDate>
  <CharactersWithSpaces>16769</CharactersWithSpaces>
  <SharedDoc>false</SharedDoc>
  <HLinks>
    <vt:vector size="48" baseType="variant">
      <vt:variant>
        <vt:i4>1507382</vt:i4>
      </vt:variant>
      <vt:variant>
        <vt:i4>82</vt:i4>
      </vt:variant>
      <vt:variant>
        <vt:i4>0</vt:i4>
      </vt:variant>
      <vt:variant>
        <vt:i4>5</vt:i4>
      </vt:variant>
      <vt:variant>
        <vt:lpwstr/>
      </vt:variant>
      <vt:variant>
        <vt:lpwstr>_Toc330134669</vt:lpwstr>
      </vt:variant>
      <vt:variant>
        <vt:i4>1507382</vt:i4>
      </vt:variant>
      <vt:variant>
        <vt:i4>76</vt:i4>
      </vt:variant>
      <vt:variant>
        <vt:i4>0</vt:i4>
      </vt:variant>
      <vt:variant>
        <vt:i4>5</vt:i4>
      </vt:variant>
      <vt:variant>
        <vt:lpwstr/>
      </vt:variant>
      <vt:variant>
        <vt:lpwstr>_Toc330134668</vt:lpwstr>
      </vt:variant>
      <vt:variant>
        <vt:i4>1507382</vt:i4>
      </vt:variant>
      <vt:variant>
        <vt:i4>70</vt:i4>
      </vt:variant>
      <vt:variant>
        <vt:i4>0</vt:i4>
      </vt:variant>
      <vt:variant>
        <vt:i4>5</vt:i4>
      </vt:variant>
      <vt:variant>
        <vt:lpwstr/>
      </vt:variant>
      <vt:variant>
        <vt:lpwstr>_Toc330134667</vt:lpwstr>
      </vt:variant>
      <vt:variant>
        <vt:i4>6946925</vt:i4>
      </vt:variant>
      <vt:variant>
        <vt:i4>38</vt:i4>
      </vt:variant>
      <vt:variant>
        <vt:i4>0</vt:i4>
      </vt:variant>
      <vt:variant>
        <vt:i4>5</vt:i4>
      </vt:variant>
      <vt:variant>
        <vt:lpwstr>http://www.himolde.no/index.cfm/pageID/2428</vt:lpwstr>
      </vt:variant>
      <vt:variant>
        <vt:lpwstr/>
      </vt:variant>
      <vt:variant>
        <vt:i4>7798788</vt:i4>
      </vt:variant>
      <vt:variant>
        <vt:i4>33</vt:i4>
      </vt:variant>
      <vt:variant>
        <vt:i4>0</vt:i4>
      </vt:variant>
      <vt:variant>
        <vt:i4>5</vt:i4>
      </vt:variant>
      <vt:variant>
        <vt:lpwstr>http://kvalitet.himolde.no/KS_UNL409</vt:lpwstr>
      </vt:variant>
      <vt:variant>
        <vt:lpwstr/>
      </vt:variant>
      <vt:variant>
        <vt:i4>7929862</vt:i4>
      </vt:variant>
      <vt:variant>
        <vt:i4>28</vt:i4>
      </vt:variant>
      <vt:variant>
        <vt:i4>0</vt:i4>
      </vt:variant>
      <vt:variant>
        <vt:i4>5</vt:i4>
      </vt:variant>
      <vt:variant>
        <vt:lpwstr>http://kvalitet.himolde.no/KS_UNL221</vt:lpwstr>
      </vt:variant>
      <vt:variant>
        <vt:lpwstr/>
      </vt:variant>
      <vt:variant>
        <vt:i4>8323077</vt:i4>
      </vt:variant>
      <vt:variant>
        <vt:i4>23</vt:i4>
      </vt:variant>
      <vt:variant>
        <vt:i4>0</vt:i4>
      </vt:variant>
      <vt:variant>
        <vt:i4>5</vt:i4>
      </vt:variant>
      <vt:variant>
        <vt:lpwstr>http://kvalitet.himolde.no/KS_UNL114</vt:lpwstr>
      </vt:variant>
      <vt:variant>
        <vt:lpwstr/>
      </vt:variant>
      <vt:variant>
        <vt:i4>7798816</vt:i4>
      </vt:variant>
      <vt:variant>
        <vt:i4>20</vt:i4>
      </vt:variant>
      <vt:variant>
        <vt:i4>0</vt:i4>
      </vt:variant>
      <vt:variant>
        <vt:i4>5</vt:i4>
      </vt:variant>
      <vt:variant>
        <vt:lpwstr>http://www.lovdata.no/all/nl-20050401-015.html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perr</dc:creator>
  <cp:keywords/>
  <cp:lastModifiedBy>Rune Groedem</cp:lastModifiedBy>
  <cp:revision>17</cp:revision>
  <cp:lastPrinted>2026-02-13T12:13:00Z</cp:lastPrinted>
  <dcterms:created xsi:type="dcterms:W3CDTF">2023-01-12T08:52:00Z</dcterms:created>
  <dcterms:modified xsi:type="dcterms:W3CDTF">2026-02-18T09:05:00Z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0x010100EEC585885EB71F4DB0D9FB45E4A66F2C</vt:lpwstr>
  </property>
  <property fmtid="{D5CDD505-2E9C-101B-9397-08002B2CF9AE}" pid="3" name="MSIP_Label_ee59125d-3421-490c-8c49-713131ff88a1_Enabled">
    <vt:lpwstr>true</vt:lpwstr>
  </property>
  <property fmtid="{D5CDD505-2E9C-101B-9397-08002B2CF9AE}" pid="4" name="MSIP_Label_ee59125d-3421-490c-8c49-713131ff88a1_SetDate">
    <vt:lpwstr>2026-02-13T12:13:03Z</vt:lpwstr>
  </property>
  <property fmtid="{D5CDD505-2E9C-101B-9397-08002B2CF9AE}" pid="5" name="MSIP_Label_ee59125d-3421-490c-8c49-713131ff88a1_Method">
    <vt:lpwstr>Standard</vt:lpwstr>
  </property>
  <property fmtid="{D5CDD505-2E9C-101B-9397-08002B2CF9AE}" pid="6" name="MSIP_Label_ee59125d-3421-490c-8c49-713131ff88a1_Name">
    <vt:lpwstr>Yellow</vt:lpwstr>
  </property>
  <property fmtid="{D5CDD505-2E9C-101B-9397-08002B2CF9AE}" pid="7" name="MSIP_Label_ee59125d-3421-490c-8c49-713131ff88a1_SiteId">
    <vt:lpwstr>938c1eb0-9d08-484b-92b9-53f583bd08fb</vt:lpwstr>
  </property>
  <property fmtid="{D5CDD505-2E9C-101B-9397-08002B2CF9AE}" pid="8" name="MSIP_Label_ee59125d-3421-490c-8c49-713131ff88a1_ActionId">
    <vt:lpwstr>77c74624-6193-4bf8-95fa-39ba523a1708</vt:lpwstr>
  </property>
  <property fmtid="{D5CDD505-2E9C-101B-9397-08002B2CF9AE}" pid="9" name="MSIP_Label_ee59125d-3421-490c-8c49-713131ff88a1_ContentBits">
    <vt:lpwstr>0</vt:lpwstr>
  </property>
  <property fmtid="{D5CDD505-2E9C-101B-9397-08002B2CF9AE}" pid="10" name="MSIP_Label_ee59125d-3421-490c-8c49-713131ff88a1_Tag">
    <vt:lpwstr>10, 3, 0, 1</vt:lpwstr>
  </property>
</Properties>
</file>