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bacheloroppgaven er skrevet som avsluttende arbeid i studiet LOG650 Forskningsprosjekt: Logistikk og kunstig intelligens ved Høgskolen i Molde, vårsemesteret 2026.</w:t>
      </w:r>
    </w:p>
    <w:p>
      <w:pPr>
        <w:spacing w:line="360" w:lineRule="auto"/>
      </w:pPr>
      <w:r>
        <w:rPr>
          <w:rFonts w:ascii="Times New Roman" w:hAnsi="Times New Roman"/>
          <w:sz w:val="24"/>
        </w:rPr>
        <w:t xml:space="preserve">Jeg vil rette en hjertelig takk til min veileder, Bård Inge Austigard Pettersen, for faglig engasjement, konstruktive tilbakemeldinger og tydelige forventninger gjennom hele prosessen. Hans kombinasjon av akademisk presisjon og praktisk forankring har vært uvurderlig for å løfte oppgaven fra en teknisk analyse til et faglig gjennomarbeidet forskningsprosjekt.</w:t>
      </w:r>
    </w:p>
    <w:p>
      <w:pPr>
        <w:spacing w:line="360" w:lineRule="auto"/>
      </w:pPr>
      <w:r>
        <w:rPr>
          <w:rFonts w:ascii="Times New Roman" w:hAnsi="Times New Roman"/>
          <w:sz w:val="24"/>
        </w:rPr>
        <w:t xml:space="preserve">Takk til Helse Bergen ved innkjøps- og logistikkavdelingen for tilgang til transaksjonsdata fra SAP S/4HANA. Uten tillatelse til å hente ut data fra forsyningslagerets 14 kildetabeller via SE16H hadde den kvantitative analysen ikke vært gjennomførbar. Datagrunnlaget er behandlet i henhold til gjeldende retningslinjer for personvern og informasjonssikkerhet, og ingen pasientdata er benyttet i studien.</w:t>
      </w:r>
    </w:p>
    <w:p>
      <w:pPr>
        <w:spacing w:line="360" w:lineRule="auto"/>
      </w:pPr>
      <w:r>
        <w:rPr>
          <w:rFonts w:ascii="Times New Roman" w:hAnsi="Times New Roman"/>
          <w:sz w:val="24"/>
        </w:rPr>
        <w:t xml:space="preserve">Motivasjonen for å skrive om dette temaet springer ut av min daglige jobb som SAP MM-konsulent ved Helse Vest IKT, der jeg arbeider med materialstyring og logistikk i SAP S/4HANA som del av LIBRA-prosjektet – Helse Vest sin regionale SAP-implementering. Gjennom dette arbeidet ser jeg at det finnes et reelt gap mellom de datamengdene som allerede eksisterer i systemet og den innsikten som faktisk utnyttes til å ta operasjonelle og strategiske beslutninger. Denne oppgaven er et forsøk på å bygge bro over det gapet, og å demonstrere at transaksjonsdataene i SAP – riktig bearbeidet – kan gi et robust grunnlag for å identifisere overføringskandidater til Helse Vest Forsyningssenter.</w:t>
      </w:r>
    </w:p>
    <w:p>
      <w:pPr>
        <w:spacing w:line="360" w:lineRule="auto"/>
      </w:pPr>
      <w:r>
        <w:rPr>
          <w:rFonts w:ascii="Times New Roman" w:hAnsi="Times New Roman"/>
          <w:sz w:val="24"/>
        </w:rPr>
        <w:t xml:space="preserve">Jeg vil også takke min samboer Hilde for tålmodighet og støtte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det tilknyttede besparelsespotensialet. Bakgrunnen er LIBRA-prosjektet, Helse Vests regionale implementering av SAP S/4HANA, som legger til rette for sentralisert forsyning via en avdelingspakket leveransemodell (APL). Formålet er å utvikle et datadrevet og reproduserbart rammeverk for sentraliseringsvurdering basert på operasjonelle SAP-transaksjonsdata.</w:t>
      </w:r>
    </w:p>
    <w:p>
      <w:pPr>
        <w:pStyle w:val="Normal"/>
        <w:spacing w:line="360" w:lineRule="auto"/>
      </w:pPr>
      <w:r>
        <w:rPr>
          <w:rFonts w:ascii="Times New Roman" w:hAnsi="Times New Roman"/>
          <w:sz w:val="24"/>
        </w:rPr>
        <w:t xml:space="preserve">Datagrunnlaget består av 709 aktive artikler hentet fra 14 tabeller i SAP S/4HANA via transaksjonen SE16H, for perioden 2024–2025. Av totalt 1 006 unike artikkelnumre i LGORT 3001 ble 297 artikler ekskludert fordi de ikke hadde registrert forbruk og ikke hadde lagerbeholdning i analyseperioden — operasjonelt inaktive artikler etter aktivitetskriteriet i D-01. Dataforbehandlingen er dokumentert gjennom åtte eksplisitte datavalgsbeslutninger (D-01 til D-08) og gjennomføres med et deterministisk Python-script for full reproduserbarhet.</w:t>
      </w:r>
    </w:p>
    <w:p>
      <w:pPr>
        <w:pStyle w:val="Normal"/>
        <w:spacing w:line="360" w:lineRule="auto"/>
      </w:pPr>
      <w:r>
        <w:rPr>
          <w:rFonts w:ascii="Times New Roman" w:hAnsi="Times New Roman"/>
          <w:sz w:val="24"/>
        </w:rPr>
        <w:t xml:space="preserve">Analysen kombinerer fire metoder i en integrert rørledning: ABC-klassifisering basert på Pareto-prinsippet, XYZ-klassifisering basert på variasjonskoeffisient (CV), EOQ-avviksanalyse med parametere S = 750 kr og h = 20 % av enhetspris, og K-means klyngeanalyse med automatisk K-valg via silhouette-score. Resultatene sammenstilles i en regelmotor med åtte beslutningsregler som klassifiserer hver artikkel i én av tre kategorier: OVERFØR_HVFS, BEHOLD_LOKALT eller TIL_VURDERING.</w:t>
      </w:r>
    </w:p>
    <w:p>
      <w:pPr>
        <w:pStyle w:val="Normal"/>
        <w:spacing w:line="360" w:lineRule="auto"/>
      </w:pPr>
      <w:r>
        <w:rPr>
          <w:rFonts w:ascii="Times New Roman" w:hAnsi="Times New Roman"/>
          <w:sz w:val="24"/>
        </w:rPr>
        <w:t xml:space="preserve">ABC-analysen viser at 182 artikler (25,7 %) tilhører A-kategorien og bærer om lag 80 % av den totale verdibindingen; 184 tilhører B og 338 tilhører C — de resterende 5 artiklene kunne ikke ABC-klassifiseres grunnet manglende verdidata. XYZ-analysen klassifiserer 350 artikler som X (stabilt forbruk, CV &lt; 0,5), 193 som Y og 144 som Z; 22 artikler ble ikke XYZ-klassifisert grunnet utilstrekkelig forbrukshistorikk. K-means-analysen identifiserer K = 3 distinkte klynger med silhouette-score 0,383 på treningsdata og 0,368 på testdata, noe som bekrefter en akseptabel klyngestruktur. Regelmotoren anbefaler overføring av 145 artikler (20,5 % av populasjonen), mens 257 artikler beholdes lokalt og 284 sendes til manuell vurdering. Det estimerte besparelsespotensialet er kr 451 515 per år i base case (realiseringsgrad g = 75 % av teoretisk totalkostnavvik \sum \Delta TC_i), med et pessimistisk scenario på kr 301 010 og et optimistisk på kr 602 020.</w:t>
      </w:r>
    </w:p>
    <w:p>
      <w:pPr>
        <w:pStyle w:val="Normal"/>
        <w:spacing w:line="360" w:lineRule="auto"/>
      </w:pPr>
      <w:r>
        <w:rPr>
          <w:rFonts w:ascii="Times New Roman" w:hAnsi="Times New Roman"/>
          <w:sz w:val="24"/>
        </w:rPr>
        <w:t xml:space="preserve">Studien konkluderer med at multikriterieklassifisering og klyngeanalyse av SAP-transaksjonsdata gir et operasjonelt anvendbart grunnlag for å identifisere HVFS-overføringskandidater ved Helse Bergen. Sentralisering anbefales, men forutsetter aktiv justering av SAP MM-parametere og en strukturert manuell gjennomgang av TIL VURDERING-gruppen for å realisere det estimerte besparelsespotensialet.</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0. Konseptuelt rammeverk – fra SAP-data til HVFS-anbefaling</w:t>
      </w:r>
    </w:p>
    <w:p>
      <w:pPr>
        <w:spacing w:line="360" w:lineRule="auto"/>
      </w:pPr>
      <w:r>
        <w:rPr>
          <w:rFonts w:ascii="Times New Roman" w:hAnsi="Times New Roman" w:cs="Times New Roman"/>
          <w:sz w:val="24"/>
        </w:rPr>
        <w:t>Figur 1. Lagerstruktur – Helse Vest forsyningskjede (forenklet)</w:t>
      </w:r>
    </w:p>
    <w:p>
      <w:pPr>
        <w:spacing w:line="360" w:lineRule="auto"/>
      </w:pPr>
      <w:r>
        <w:rPr>
          <w:rFonts w:ascii="Times New Roman" w:hAnsi="Times New Roman" w:cs="Times New Roman"/>
          <w:sz w:val="24"/>
        </w:rPr>
        <w:t>Figur 2. Analysepipeline: fra SAP-rådata til HVFS-anbefaling</w:t>
      </w:r>
    </w:p>
    <w:p>
      <w:pPr>
        <w:spacing w:line="360" w:lineRule="auto"/>
      </w:pPr>
      <w:r>
        <w:rPr>
          <w:rFonts w:ascii="Times New Roman" w:hAnsi="Times New Roman" w:cs="Times New Roman"/>
          <w:sz w:val="24"/>
        </w:rPr>
        <w:t>Figur 3. Regelmotor: sekvensiell beslutningsflyt for HVFS-anbefaling (R1–R8)</w:t>
      </w:r>
    </w:p>
    <w:p>
      <w:pPr>
        <w:spacing w:line="360" w:lineRule="auto"/>
      </w:pPr>
      <w:r>
        <w:rPr>
          <w:rFonts w:ascii="Times New Roman" w:hAnsi="Times New Roman" w:cs="Times New Roman"/>
          <w:sz w:val="24"/>
        </w:rPr>
        <w:t>Figur 4. Dataoversikt: fordeling av nøkkelvariablar for 709 artiklar</w:t>
      </w:r>
    </w:p>
    <w:p>
      <w:pPr>
        <w:spacing w:line="360" w:lineRule="auto"/>
      </w:pPr>
      <w:r>
        <w:rPr>
          <w:rFonts w:ascii="Times New Roman" w:hAnsi="Times New Roman" w:cs="Times New Roman"/>
          <w:sz w:val="24"/>
        </w:rPr>
        <w:t>Figur 5. ABC Pareto-kurve: kumulativ verdiandel for 709 artikler</w:t>
      </w:r>
    </w:p>
    <w:p>
      <w:pPr>
        <w:spacing w:line="360" w:lineRule="auto"/>
      </w:pPr>
      <w:r>
        <w:rPr>
          <w:rFonts w:ascii="Times New Roman" w:hAnsi="Times New Roman" w:cs="Times New Roman"/>
          <w:sz w:val="24"/>
        </w:rPr>
        <w:t>Figur 6. ABC/XYZ-kryssmatrise: antall artikler per kombinasjon</w:t>
      </w:r>
    </w:p>
    <w:p>
      <w:pPr>
        <w:spacing w:line="360" w:lineRule="auto"/>
      </w:pPr>
      <w:r>
        <w:rPr>
          <w:rFonts w:ascii="Times New Roman" w:hAnsi="Times New Roman" w:cs="Times New Roman"/>
          <w:sz w:val="24"/>
        </w:rPr>
        <w:t>Figur 7. EOQ-avvik: relativ frekvensavvik med terskel ved τ_f = 1,5</w:t>
      </w:r>
    </w:p>
    <w:p>
      <w:pPr>
        <w:spacing w:line="360" w:lineRule="auto"/>
      </w:pPr>
      <w:r>
        <w:rPr>
          <w:rFonts w:ascii="Times New Roman" w:hAnsi="Times New Roman" w:cs="Times New Roman"/>
          <w:sz w:val="24"/>
        </w:rPr>
        <w:t>Figur 8. Silhouette-score for K = 2–7 (treningsdata, n = 389)</w:t>
      </w:r>
    </w:p>
    <w:p>
      <w:pPr>
        <w:spacing w:line="360" w:lineRule="auto"/>
      </w:pPr>
      <w:r>
        <w:rPr>
          <w:rFonts w:ascii="Times New Roman" w:hAnsi="Times New Roman" w:cs="Times New Roman"/>
          <w:sz w:val="24"/>
        </w:rPr>
        <w:t>Figur 9. K-means klyngeresultat (K = 3): forbruksstabilitet vs verdi og kostnadsavvik</w:t>
      </w:r>
    </w:p>
    <w:p>
      <w:pPr>
        <w:spacing w:line="360" w:lineRule="auto"/>
      </w:pPr>
      <w:r>
        <w:rPr>
          <w:rFonts w:ascii="Times New Roman" w:hAnsi="Times New Roman" w:cs="Times New Roman"/>
          <w:sz w:val="24"/>
        </w:rPr>
        <w:t>Figur 10. Klyngeprofiler for K-means (K = 3): gjennomsnittlig z-score per feature</w:t>
      </w:r>
    </w:p>
    <w:p>
      <w:pPr>
        <w:spacing w:line="360" w:lineRule="auto"/>
      </w:pPr>
      <w:r>
        <w:rPr>
          <w:rFonts w:ascii="Times New Roman" w:hAnsi="Times New Roman" w:cs="Times New Roman"/>
          <w:sz w:val="24"/>
        </w:rPr>
        <w:t>Figur 11.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prosent av enhetsprisen, i tråd med anbefalinger i lagerstyringslitteraturen (Ketkar &amp; Vaidya, 2014). Satsens innvirkning testes i sensitivitetsanalysen over intervallet {15, 20, 25} prosent.</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prosent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pPr>
        <w:spacing w:line="360" w:lineRule="auto"/>
      </w:pPr>
      <w:r>
        <w:rPr>
          <w:rFonts w:ascii="Times New Roman" w:hAnsi="Times New Roman" w:cs="Times New Roman"/>
          <w:sz w:val="24"/>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pPr>
        <w:spacing w:line="360" w:lineRule="auto"/>
      </w:pPr>
      <w:r>
        <w:rPr>
          <w:rFonts w:ascii="Times New Roman" w:hAnsi="Times New Roman" w:cs="Times New Roman"/>
          <w:sz w:val="24"/>
        </w:rPr>
        <w:t>Flerkriterietilnærminger som EDAS (Keshavarz Ghorabaee et al., 2015) og AHP (Partovi &amp; Burton, 1993)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 slik denne oppgaven gjennomfører —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Kumar &amp; Kumar</w:t>
            </w:r>
          </w:p>
        </w:tc>
        <w:tc>
          <w:tcPr>
            <w:tcW w:type="dxa" w:w="2192"/>
          </w:tcPr>
          <w:p>
            <w:r/>
            <w:r>
              <w:rPr>
                <w:rFonts w:ascii="Times New Roman" w:hAnsi="Times New Roman"/>
                <w:sz w:val="22"/>
              </w:rPr>
              <w:t>2015</w:t>
            </w:r>
          </w:p>
        </w:tc>
        <w:tc>
          <w:tcPr>
            <w:tcW w:type="dxa" w:w="2192"/>
          </w:tcPr>
          <w:p>
            <w:r/>
            <w:r>
              <w:rPr>
                <w:rFonts w:ascii="Times New Roman" w:hAnsi="Times New Roman"/>
                <w:sz w:val="22"/>
              </w:rPr>
              <w:t>Sykehuslager, ISM-analyse</w:t>
            </w:r>
          </w:p>
        </w:tc>
        <w:tc>
          <w:tcPr>
            <w:tcW w:type="dxa" w:w="2192"/>
          </w:tcPr>
          <w:p>
            <w:r/>
            <w:r>
              <w:rPr>
                <w:rFonts w:ascii="Times New Roman" w:hAnsi="Times New Roman"/>
                <w:sz w:val="22"/>
              </w:rPr>
              <w:t>Drivende faktorer i sykehuslogistikk</w:t>
            </w:r>
          </w:p>
        </w:tc>
      </w:tr>
      <w:tr>
        <w:tc>
          <w:tcPr>
            <w:tcW w:type="dxa" w:w="2192"/>
          </w:tcPr>
          <w:p>
            <w:r/>
            <w:r>
              <w:rPr>
                <w:rFonts w:ascii="Times New Roman" w:hAnsi="Times New Roman"/>
                <w:sz w:val="22"/>
              </w:rPr>
              <w:t>McKinney</w:t>
            </w:r>
          </w:p>
        </w:tc>
        <w:tc>
          <w:tcPr>
            <w:tcW w:type="dxa" w:w="2192"/>
          </w:tcPr>
          <w:p>
            <w:r/>
            <w:r>
              <w:rPr>
                <w:rFonts w:ascii="Times New Roman" w:hAnsi="Times New Roman"/>
                <w:sz w:val="22"/>
              </w:rPr>
              <w:t>2010</w:t>
            </w:r>
          </w:p>
        </w:tc>
        <w:tc>
          <w:tcPr>
            <w:tcW w:type="dxa" w:w="2192"/>
          </w:tcPr>
          <w:p>
            <w:r/>
            <w:r>
              <w:rPr>
                <w:rFonts w:ascii="Times New Roman" w:hAnsi="Times New Roman"/>
                <w:sz w:val="22"/>
              </w:rPr>
              <w:t>pandas – datastrukturer i Python</w:t>
            </w:r>
          </w:p>
        </w:tc>
        <w:tc>
          <w:tcPr>
            <w:tcW w:type="dxa" w:w="2192"/>
          </w:tcPr>
          <w:p>
            <w:r/>
            <w:r>
              <w:rPr>
                <w:rFonts w:ascii="Times New Roman" w:hAnsi="Times New Roman"/>
                <w:sz w:val="22"/>
              </w:rPr>
              <w:t>Verktøy for dataforbehandling</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Partovi &amp; Burton</w:t>
            </w:r>
          </w:p>
        </w:tc>
        <w:tc>
          <w:tcPr>
            <w:tcW w:type="dxa" w:w="2192"/>
          </w:tcPr>
          <w:p>
            <w:r/>
            <w:r>
              <w:rPr>
                <w:rFonts w:ascii="Times New Roman" w:hAnsi="Times New Roman"/>
                <w:sz w:val="22"/>
              </w:rPr>
              <w:t>1993</w:t>
            </w:r>
          </w:p>
        </w:tc>
        <w:tc>
          <w:tcPr>
            <w:tcW w:type="dxa" w:w="2192"/>
          </w:tcPr>
          <w:p>
            <w:r/>
            <w:r>
              <w:rPr>
                <w:rFonts w:ascii="Times New Roman" w:hAnsi="Times New Roman"/>
                <w:sz w:val="22"/>
              </w:rPr>
              <w:t>AHP for ABC-analyse</w:t>
            </w:r>
          </w:p>
        </w:tc>
        <w:tc>
          <w:tcPr>
            <w:tcW w:type="dxa" w:w="2192"/>
          </w:tcPr>
          <w:p>
            <w:r/>
            <w:r>
              <w:rPr>
                <w:rFonts w:ascii="Times New Roman" w:hAnsi="Times New Roman"/>
                <w:sz w:val="22"/>
              </w:rPr>
              <w:t>Subjektiv vekting vs. objektive kriterier</w:t>
            </w:r>
          </w:p>
        </w:tc>
      </w:tr>
      <w:tr>
        <w:tc>
          <w:tcPr>
            <w:tcW w:type="dxa" w:w="2192"/>
          </w:tcPr>
          <w:p>
            <w:r/>
            <w:r>
              <w:rPr>
                <w:rFonts w:ascii="Times New Roman" w:hAnsi="Times New Roman"/>
                <w:sz w:val="22"/>
              </w:rPr>
              <w:t>Pedregosa et al.</w:t>
            </w:r>
          </w:p>
        </w:tc>
        <w:tc>
          <w:tcPr>
            <w:tcW w:type="dxa" w:w="2192"/>
          </w:tcPr>
          <w:p>
            <w:r/>
            <w:r>
              <w:rPr>
                <w:rFonts w:ascii="Times New Roman" w:hAnsi="Times New Roman"/>
                <w:sz w:val="22"/>
              </w:rPr>
              <w:t>2011</w:t>
            </w:r>
          </w:p>
        </w:tc>
        <w:tc>
          <w:tcPr>
            <w:tcW w:type="dxa" w:w="2192"/>
          </w:tcPr>
          <w:p>
            <w:r/>
            <w:r>
              <w:rPr>
                <w:rFonts w:ascii="Times New Roman" w:hAnsi="Times New Roman"/>
                <w:sz w:val="22"/>
              </w:rPr>
              <w:t>scikit-learn – maskinlæring i Python</w:t>
            </w:r>
          </w:p>
        </w:tc>
        <w:tc>
          <w:tcPr>
            <w:tcW w:type="dxa" w:w="2192"/>
          </w:tcPr>
          <w:p>
            <w:r/>
            <w:r>
              <w:rPr>
                <w:rFonts w:ascii="Times New Roman" w:hAnsi="Times New Roman"/>
                <w:sz w:val="22"/>
              </w:rPr>
              <w:t>Verktøy for K-means og validering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Sirisawat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Ytelsesindikatorer, universitetssykehus</w:t>
            </w:r>
          </w:p>
        </w:tc>
        <w:tc>
          <w:tcPr>
            <w:tcW w:type="dxa" w:w="2192"/>
          </w:tcPr>
          <w:p>
            <w:r/>
            <w:r>
              <w:rPr>
                <w:rFonts w:ascii="Times New Roman" w:hAnsi="Times New Roman"/>
                <w:sz w:val="22"/>
              </w:rPr>
              <w:t>KPI-er for sykehuslagerstyring</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r>
        <w:rPr>
          <w:rFonts w:ascii="Times New Roman" w:hAnsi="Times New Roman"/>
          <w:i/>
          <w:sz w:val="20"/>
        </w:rPr>
        <w:t>Tabell 1. Litteraturoversikt: sentrale kilder med tema og relevans for oppgaven.</w:t>
      </w:r>
    </w:p>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Klassifikasjonsgrensene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 Kumar og Kumar (2015) identifiserer leveringstid, lagernivå og bestillingsmønster som drivende faktorer, mens Sirisawat et al. (2019) viser at KPI-basert klassifisering forutsetter tilgang til operative ERP-data — en forutsetning SE16H-tilnærmingen i denne studien direkte adresserer.</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r>
        <w:rPr>
          <w:rFonts w:ascii="Times New Roman" w:hAnsi="Times New Roman"/>
          <w:i/>
          <w:sz w:val="20"/>
        </w:rPr>
        <w:t>Tabell 2. Sammenligning av analysemetoder brukt i oppgaven.</w:t>
      </w:r>
    </w:p>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0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315966"/>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315966"/>
                    </a:xfrm>
                    <a:prstGeom prst="rect"/>
                  </pic:spPr>
                </pic:pic>
              </a:graphicData>
            </a:graphic>
          </wp:inline>
        </w:drawing>
      </w:r>
    </w:p>
    <w:p>
      <w:pPr>
        <w:jc w:val="center"/>
      </w:pPr>
      <w:r>
        <w:rPr>
          <w:rFonts w:ascii="Times New Roman" w:hAnsi="Times New Roman"/>
          <w:i/>
          <w:sz w:val="20"/>
        </w:rPr>
        <w:t>Figur 0. Konseptuelt rammeverk – fra SAP-data til HVFS-anbefaling. Generert med støtte fra Claude (Anthropic, 2026).</w:t>
      </w:r>
    </w:p>
    <w:p>
      <w:pPr>
        <w:spacing w:line="360" w:lineRule="auto"/>
      </w:pPr>
      <w:r>
        <w:rPr>
          <w:rFonts w:ascii="Times New Roman" w:hAnsi="Times New Roman" w:cs="Times New Roman"/>
          <w:sz w:val="24"/>
        </w:rPr>
        <w:t>Figur 0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1. Tabell 3 oppsummerer nøkkeltallene for casevirksomheten.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rPr>
          <w:rFonts w:ascii="Times New Roman" w:hAnsi="Times New Roman"/>
          <w:i/>
          <w:sz w:val="20"/>
        </w:rPr>
        <w:t>Tabell 3. Nøkkeltall for casevirksomheten Helse Bergen, WERKS 3300.</w:t>
      </w:r>
    </w:p>
    <w:p>
      <w:r>
        <w:drawing>
          <wp:inline xmlns:a="http://schemas.openxmlformats.org/drawingml/2006/main" xmlns:pic="http://schemas.openxmlformats.org/drawingml/2006/picture">
            <wp:extent cx="5400000" cy="2223529"/>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223529"/>
                    </a:xfrm>
                    <a:prstGeom prst="rect"/>
                  </pic:spPr>
                </pic:pic>
              </a:graphicData>
            </a:graphic>
          </wp:inline>
        </w:drawing>
      </w:r>
    </w:p>
    <w:p>
      <w:pPr>
        <w:jc w:val="center"/>
      </w:pPr>
      <w:r>
        <w:rPr>
          <w:rFonts w:ascii="Times New Roman" w:hAnsi="Times New Roman"/>
          <w:i/>
          <w:sz w:val="20"/>
        </w:rPr>
        <w:t>Figur 1.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Prosjektet har 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3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2.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ascii="Times New Roman" w:hAnsi="Times New Roman" w:cs="Times New Roman"/>
          <w:i/>
          <w:sz w:val="24"/>
        </w:rPr>
        <w:t>hvordan</w:t>
      </w:r>
      <w:r>
        <w:rPr>
          <w:rFonts w:ascii="Times New Roman" w:hAnsi="Times New Roman" w:cs="Times New Roman"/>
          <w:sz w:val="24"/>
        </w:rPr>
        <w:t xml:space="preserve"> og </w:t>
      </w:r>
      <w:r>
        <w:rPr>
          <w:rFonts w:ascii="Times New Roman" w:hAnsi="Times New Roman" w:cs="Times New Roman"/>
          <w:i/>
          <w:sz w:val="24"/>
        </w:rPr>
        <w:t>hva</w:t>
      </w:r>
      <w:r>
        <w:rPr>
          <w:rFonts w:ascii="Times New Roman" w:hAnsi="Times New Roman" w:cs="Times New Roman"/>
          <w:sz w:val="24"/>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pPr>
        <w:spacing w:line="360" w:lineRule="auto"/>
      </w:pPr>
      <w:r>
        <w:rPr>
          <w:rFonts w:ascii="Times New Roman" w:hAnsi="Times New Roman" w:cs="Times New Roman"/>
          <w:sz w:val="24"/>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Innkjøpsordrerhoder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r>
        <w:rPr>
          <w:rFonts w:ascii="Times New Roman" w:hAnsi="Times New Roman"/>
          <w:i/>
          <w:sz w:val="20"/>
        </w:rPr>
        <w:t>Tabell 4. Datagrunnlag: 14 SAP S/4HANA-tabeller hentet via SE16H, analyseperiode 2024–2025, WERKS 3300 / LGORT 3001.</w:t>
      </w:r>
    </w:p>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4 gir en samlet oversikt over fordelingen av nøkkelvariablar i det endelige datasettet på 709 artikler.</w:t>
      </w:r>
    </w:p>
    <w:p>
      <w:r>
        <w:drawing>
          <wp:inline xmlns:a="http://schemas.openxmlformats.org/drawingml/2006/main" xmlns:pic="http://schemas.openxmlformats.org/drawingml/2006/picture">
            <wp:extent cx="5400000" cy="3324897"/>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324897"/>
                    </a:xfrm>
                    <a:prstGeom prst="rect"/>
                  </pic:spPr>
                </pic:pic>
              </a:graphicData>
            </a:graphic>
          </wp:inline>
        </w:drawing>
      </w:r>
    </w:p>
    <w:p>
      <w:pPr>
        <w:jc w:val="center"/>
      </w:pPr>
      <w:r>
        <w:rPr>
          <w:rFonts w:ascii="Times New Roman" w:hAnsi="Times New Roman"/>
          <w:i/>
          <w:sz w:val="20"/>
        </w:rPr>
        <w:t>Figur 4. Dataoversikt: fordeling av nøkkelvariablar for 709 artiklar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r>
        <w:rPr>
          <w:rFonts w:ascii="Times New Roman" w:hAnsi="Times New Roman"/>
          <w:i/>
          <w:sz w:val="20"/>
        </w:rPr>
        <w:t>Tabell 5. Datavalgsbeslutninger D-01–D-08 med begrunnelse.</w:t>
      </w:r>
    </w:p>
    <w:p>
      <w:pPr>
        <w:spacing w:line="360" w:lineRule="auto"/>
      </w:pPr>
      <w:r>
        <w:rPr>
          <w:rFonts w:ascii="Times New Roman" w:hAnsi="Times New Roman" w:cs="Times New Roman"/>
          <w:sz w:val="24"/>
        </w:rPr>
        <w:t>De viktigste beslutningene utdypes kort: D-03 benytter beregnet verdi (D_ANNUAL × UNIT_PRICE) for 204 artikler uten EKPO-innkjøpsdata, fordi ekskludering ville gi et systematisk skjevt utvalg (28,8 % av populasjonen). D-04 erstatter SAP-feltet ZZXYZ med CV beregnet fra MSEG-forbruk, da kun 33 % av artiklene hadde samsvarende klasse. D-05 benytter en leveringstids-fallback på 14 dager for 94 % av artiklene der EINE-data mangler; implikasjoner er diskutert i avsnitt 4.4.</w:t>
      </w:r>
    </w:p>
    <w:p>
      <w:pPr>
        <w:spacing w:line="360" w:lineRule="auto"/>
      </w:pPr>
      <w:r>
        <w:rPr>
          <w:rFonts w:ascii="Times New Roman" w:hAnsi="Times New Roman" w:cs="Times New Roman"/>
          <w:sz w:val="24"/>
        </w:rPr>
        <w:t>Datapipelinen fra rådata til analyseklar datasett er illustrert i figuren nedenfor.</w:t>
      </w:r>
    </w:p>
    <w:p>
      <w:r>
        <w:drawing>
          <wp:inline xmlns:a="http://schemas.openxmlformats.org/drawingml/2006/main" xmlns:pic="http://schemas.openxmlformats.org/drawingml/2006/picture">
            <wp:extent cx="5400000" cy="1315966"/>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315966"/>
                    </a:xfrm>
                    <a:prstGeom prst="rect"/>
                  </pic:spPr>
                </pic:pic>
              </a:graphicData>
            </a:graphic>
          </wp:inline>
        </w:drawing>
      </w:r>
    </w:p>
    <w:p>
      <w:pPr>
        <w:jc w:val="center"/>
      </w:pPr>
      <w:r>
        <w:rPr>
          <w:rFonts w:ascii="Times New Roman" w:hAnsi="Times New Roman"/>
          <w:i/>
          <w:sz w:val="20"/>
        </w:rPr>
        <w:t>Figur 2.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 xml:space="preserve">To sentrale parametere er antagelser, ikke målte verdier. Ordrekostnaden </w:t>
      </w:r>
      <m:oMath>
        <m:r>
          <m:t>S=750</m:t>
        </m:r>
      </m:oMath>
      <w:r>
        <w:rPr>
          <w:rFonts w:ascii="Times New Roman" w:hAnsi="Times New Roman" w:cs="Times New Roman"/>
          <w:sz w:val="24"/>
        </w:rPr>
        <w:t xml:space="preserve">NOK er satt basert på estimater fra litteraturen for sykehusinnkjøp (Kelle et al., 2012; Bijvank &amp; Vis, 2012), men den faktiske kostnaden per ordre vil variere med innkjøpstype, leverandøravtale og administrativ belastning. Holdesatsen </w:t>
      </w:r>
      <m:oMath>
        <m:r>
          <m:t>h=20</m:t>
        </m:r>
      </m:oMath>
      <w:r>
        <w:rPr>
          <w:rFonts w:ascii="Times New Roman" w:hAnsi="Times New Roman" w:cs="Times New Roman"/>
          <w:sz w:val="24"/>
        </w:rPr>
        <w:t xml:space="preserve"> av enhetspris per år er en vanlig sjablongregel i EOQ-litteraturen (Hautaniemi &amp; Pirttilä, 1999), men inkluderer implisitte antagelser om kapitalkostand, lagerbrann- og ukurantrisiko som ikke er verifisert mot Helse Bergens faktiske regnskapstall. Sensitivitetsanalysen i kapittel 7 undersøker i hvilken grad resultater endres ved variasjon i disse parameterne.</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tre konkrete formål: (1) kodestøtte og feilsøking i Python-scriptet for ABC-, XYZ-, EOQ- og K-means-analysen; (2) generering av alle datavisualiseringer — Pareto-kurve, kryssmatrise, EOQ-avviksplott, silhouette-profil, scatterplott og regelmotor-fordeling — på grunnlag av analyseresultater produsert av scriptet; og (3) strukturering og språklig bearbeiding av rapportteksten. Alle figurer generert med støtte fra Claude er merket «Generert med støtte fra Claude (Anthropic, 2026)» i bildeteksten.</w:t>
      </w:r>
    </w:p>
    <w:p>
      <w:pPr>
        <w:spacing w:line="360" w:lineRule="auto"/>
      </w:pPr>
      <w:r>
        <w:rPr>
          <w:rFonts w:ascii="Times New Roman" w:hAnsi="Times New Roman" w:cs="Times New Roman"/>
          <w:sz w:val="24"/>
        </w:rPr>
        <w:t>Claude ble ikke brukt som fagkilde og er ikke sitert som belegg for faglige påstander. Alle numeriske resultater, tabellverdier og analytiske konklusjoner er produsert av Python-scriptet fra SAP-kildedata og er uavhengige av KI-verktøyet. Rådata fra SAP ble ikke modifisert i noen fase av arbeidet; alle transformasjoner er dokumentert i D-01–D-08 (avsnitt 4.3) og implementert deterministisk i scriptet.</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r>
        <w:rPr>
          <w:rFonts w:ascii="Times New Roman" w:hAnsi="Times New Roman"/>
          <w:i/>
          <w:sz w:val="20"/>
        </w:rPr>
        <w:t>Tabell 6. Modellparametere: ABC-klassifiseringsgrenser og øvrige analyseinnstillinger.</w:t>
      </w:r>
    </w:p>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b/>
          <w:sz w:val="24"/>
        </w:rPr>
        <w:t>Parametervurdering.</w:t>
      </w:r>
      <w:r>
        <w:rPr>
          <w:rFonts w:ascii="Times New Roman" w:hAnsi="Times New Roman" w:cs="Times New Roman"/>
          <w:sz w:val="24"/>
        </w:rPr>
        <w:t xml:space="preserve"> Parametervalgene </w:t>
      </w:r>
      <m:oMath>
        <m:r>
          <m:t>S=750</m:t>
        </m:r>
      </m:oMath>
      <w:r>
        <w:rPr>
          <w:rFonts w:ascii="Times New Roman" w:hAnsi="Times New Roman" w:cs="Times New Roman"/>
          <w:sz w:val="24"/>
        </w:rPr>
        <w:t xml:space="preserve">kr og </w:t>
      </w:r>
      <m:oMath>
        <m:r>
          <m:t>h=20</m:t>
        </m:r>
      </m:oMath>
      <w:r>
        <w:rPr>
          <w:rFonts w:ascii="Times New Roman" w:hAnsi="Times New Roman" w:cs="Times New Roman"/>
          <w:sz w:val="24"/>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ascii="Times New Roman" w:hAnsi="Times New Roman" w:cs="Times New Roman"/>
          <w:i/>
          <w:sz w:val="24"/>
        </w:rPr>
        <w:t>hvem</w:t>
      </w:r>
      <w:r>
        <w:rPr>
          <w:rFonts w:ascii="Times New Roman" w:hAnsi="Times New Roman" w:cs="Times New Roman"/>
          <w:sz w:val="24"/>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basert på en kombinasjon av lav CV (stabilt forbruk), høy artikkelverdi og høyt positivt </w:t>
      </w:r>
      <m:oMath>
        <m:r>
          <m:t>ΔTC</m:t>
        </m:r>
      </m:oMath>
      <w:r>
        <w:rPr>
          <w:rFonts w:ascii="Times New Roman" w:hAnsi="Times New Roman" w:cs="Times New Roman"/>
          <w:sz w:val="24"/>
        </w:rPr>
        <w:t xml:space="preserve"> (mange unødvendige ordrer).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stabilt, men ikkje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moderat variasjon, ikkje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Uklart signalmønster eller lav verdi</w:t>
            </w:r>
          </w:p>
        </w:tc>
      </w:tr>
    </w:tbl>
    <w:p>
      <w:r>
        <w:rPr>
          <w:rFonts w:ascii="Times New Roman" w:hAnsi="Times New Roman"/>
          <w:i/>
          <w:sz w:val="20"/>
        </w:rPr>
        <w:t>Tabell 7. Regelmotor: 8 beslutningsregler i prioritert rekkefølge.</w:t>
      </w:r>
    </w:p>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65546"/>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65546"/>
                    </a:xfrm>
                    <a:prstGeom prst="rect"/>
                  </pic:spPr>
                </pic:pic>
              </a:graphicData>
            </a:graphic>
          </wp:inline>
        </w:drawing>
      </w:r>
    </w:p>
    <w:p>
      <w:pPr>
        <w:jc w:val="center"/>
      </w:pPr>
      <w:r>
        <w:rPr>
          <w:rFonts w:ascii="Times New Roman" w:hAnsi="Times New Roman"/>
          <w:i/>
          <w:sz w:val="20"/>
        </w:rPr>
        <w:t>Figur 3.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5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r>
        <w:drawing>
          <wp:inline xmlns:a="http://schemas.openxmlformats.org/drawingml/2006/main" xmlns:pic="http://schemas.openxmlformats.org/drawingml/2006/picture">
            <wp:extent cx="5400000" cy="1753522"/>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53522"/>
                    </a:xfrm>
                    <a:prstGeom prst="rect"/>
                  </pic:spPr>
                </pic:pic>
              </a:graphicData>
            </a:graphic>
          </wp:inline>
        </w:drawing>
      </w:r>
    </w:p>
    <w:p>
      <w:pPr>
        <w:jc w:val="center"/>
      </w:pPr>
      <w:r>
        <w:rPr>
          <w:rFonts w:ascii="Times New Roman" w:hAnsi="Times New Roman"/>
          <w:i/>
          <w:sz w:val="20"/>
        </w:rPr>
        <w:t>Figur 5.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pPr>
        <w:spacing w:line="360" w:lineRule="auto"/>
      </w:pPr>
      <w:r>
        <w:rPr>
          <w:rFonts w:ascii="Times New Roman" w:hAnsi="Times New Roman" w:cs="Times New Roman"/>
          <w:sz w:val="24"/>
        </w:rPr>
        <w:t>ABC- og XYZ-klassifiseringene ble kombinert til en ni-felts kryssmatrise, som vist i Figur 6. Matrisen gir et øyeblikksbilde av populasjonens sammensetning langs de to dimensjonene og danner inngangsdataene for regelmotoren i avsnitt 6.5. Fullstendige celleanntall er gjengitt i Figur 6; univariate XYZ-fordelingar presenteres i Tabell 9 i kapittel 7.</w:t>
      </w:r>
    </w:p>
    <w:p>
      <w:r>
        <w:drawing>
          <wp:inline xmlns:a="http://schemas.openxmlformats.org/drawingml/2006/main" xmlns:pic="http://schemas.openxmlformats.org/drawingml/2006/picture">
            <wp:extent cx="5400000" cy="5216475"/>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5216475"/>
                    </a:xfrm>
                    <a:prstGeom prst="rect"/>
                  </pic:spPr>
                </pic:pic>
              </a:graphicData>
            </a:graphic>
          </wp:inline>
        </w:drawing>
      </w:r>
    </w:p>
    <w:p>
      <w:pPr>
        <w:jc w:val="center"/>
      </w:pPr>
      <w:r>
        <w:rPr>
          <w:rFonts w:ascii="Times New Roman" w:hAnsi="Times New Roman"/>
          <w:i/>
          <w:sz w:val="20"/>
        </w:rPr>
        <w:t>Figur 6.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6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6624"/>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6624"/>
                    </a:xfrm>
                    <a:prstGeom prst="rect"/>
                  </pic:spPr>
                </pic:pic>
              </a:graphicData>
            </a:graphic>
          </wp:inline>
        </w:drawing>
      </w:r>
    </w:p>
    <w:p>
      <w:pPr>
        <w:jc w:val="center"/>
      </w:pPr>
      <w:r>
        <w:rPr>
          <w:rFonts w:ascii="Times New Roman" w:hAnsi="Times New Roman"/>
          <w:i/>
          <w:sz w:val="20"/>
        </w:rPr>
        <w:t>Figur 7.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7 viser at fordelingen er sterkt høyreskjev: majoriteten av artiklene med EOQ-data har et FREQ\_AVVIK over terskelen på 1,5. Artikler under terskelen («OK») opererer nær EOQ-optimalt nivå. For 222 av de 487 artiklene med EOQ-data mangler innkjøpshistorikk i EKBE for analyseperioden, noe som innebærer at faktisk ordrefrekvens er null; disse artiklene inngår i «OK»-kategorien da det ikke kan påvises overbestilling. Totale </w:t>
      </w:r>
      <m:oMath>
        <m:r>
          <m:t>ΔTC</m:t>
        </m:r>
      </m:oMath>
      <w:r>
        <w:rPr>
          <w:rFonts w:ascii="Times New Roman" w:hAnsi="Times New Roman" w:cs="Times New Roman"/>
          <w:sz w:val="24"/>
        </w:rPr>
        <w:t>-summer presenteres i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n=n=389</m:t>
        </m:r>
      </m:oMath>
      <w:r>
        <w:rPr>
          <w:rFonts w:ascii="Times New Roman" w:hAnsi="Times New Roman" w:cs="Times New Roman"/>
          <w:sz w:val="24"/>
        </w:rPr>
        <w:t>) og et testsett (</w:t>
      </w:r>
      <m:oMath>
        <m:r>
          <m:t>n=n=98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8 viser silhouette-profilen over K-søket.</w:t>
      </w:r>
    </w:p>
    <w:p>
      <w:r>
        <w:drawing>
          <wp:inline xmlns:a="http://schemas.openxmlformats.org/drawingml/2006/main" xmlns:pic="http://schemas.openxmlformats.org/drawingml/2006/picture">
            <wp:extent cx="5400000" cy="2119335"/>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19335"/>
                    </a:xfrm>
                    <a:prstGeom prst="rect"/>
                  </pic:spPr>
                </pic:pic>
              </a:graphicData>
            </a:graphic>
          </wp:inline>
        </w:drawing>
      </w:r>
    </w:p>
    <w:p>
      <w:pPr>
        <w:jc w:val="center"/>
      </w:pPr>
      <w:r>
        <w:rPr>
          <w:rFonts w:ascii="Times New Roman" w:hAnsi="Times New Roman"/>
          <w:i/>
          <w:sz w:val="20"/>
        </w:rPr>
        <w:t>Figur 8.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på treningsdataene (0,383) og ble valgt som det endelige antallet klynger. For </w:t>
      </w:r>
      <m:oMath>
        <m:r>
          <m:t>K=2</m:t>
        </m:r>
      </m:oMath>
      <w:r>
        <w:rPr>
          <w:rFonts w:ascii="Times New Roman" w:hAnsi="Times New Roman" w:cs="Times New Roman"/>
          <w:sz w:val="24"/>
        </w:rPr>
        <w:t xml:space="preserve"> var silhouette-scoren 0,362, og for </w:t>
      </w:r>
      <m:oMath>
        <m:r>
          <m:t>K=4</m:t>
        </m:r>
      </m:oMath>
      <w:r>
        <w:rPr>
          <w:rFonts w:ascii="Times New Roman" w:hAnsi="Times New Roman" w:cs="Times New Roman"/>
          <w:sz w:val="24"/>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m:t>K=3</m:t>
        </m:r>
      </m:oMath>
      <w:r>
        <w:rPr>
          <w:rFonts w:ascii="Times New Roman" w:hAnsi="Times New Roman" w:cs="Times New Roman"/>
          <w:sz w:val="24"/>
        </w:rPr>
        <w:t xml:space="preserve"> på treningsdataene, med `n_init=50` og `max_iter=300` for robust initialisering. Etter trening ble testdataene (</w:t>
      </w:r>
      <m:oMath>
        <m:r>
          <m:t>n=n=98</m:t>
        </m:r>
      </m:oMath>
      <w:r>
        <w:rPr>
          <w:rFonts w:ascii="Times New Roman" w:hAnsi="Times New Roman" w:cs="Times New Roman"/>
          <w:sz w:val="24"/>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kombinasjonen av lav CV (stabilt forbruksmønster), relativt høy artikkelverdi og høyt positivt </w:t>
      </w:r>
      <m:oMath>
        <m:d>
          <m:dPr>
            <m:begChr m:val="|"/>
            <m:sepChr m:val=""/>
            <m:endChr m:val="|"/>
          </m:dPr>
          <m:e>
            <m:r>
              <m:t>Δ</m:t>
            </m:r>
            <m:r>
              <m:t>T</m:t>
            </m:r>
            <m:r>
              <m:t>C</m:t>
            </m:r>
          </m:e>
        </m:d>
      </m:oMath>
      <w:r>
        <w:rPr>
          <w:rFonts w:ascii="Times New Roman" w:hAnsi="Times New Roman" w:cs="Times New Roman"/>
          <w:sz w:val="24"/>
        </w:rPr>
        <w:t xml:space="preserve"> (mange unødvendige ordrer). Figur 8 visualiserer klyngestrukturen i et to-dimensjonalt projeksjon langs de to mest informative featurene.</w:t>
      </w:r>
    </w:p>
    <w:p>
      <w:r>
        <w:drawing>
          <wp:inline xmlns:a="http://schemas.openxmlformats.org/drawingml/2006/main" xmlns:pic="http://schemas.openxmlformats.org/drawingml/2006/picture">
            <wp:extent cx="5400000" cy="2303899"/>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303899"/>
                    </a:xfrm>
                    <a:prstGeom prst="rect"/>
                  </pic:spPr>
                </pic:pic>
              </a:graphicData>
            </a:graphic>
          </wp:inline>
        </w:drawing>
      </w:r>
    </w:p>
    <w:p>
      <w:pPr>
        <w:jc w:val="center"/>
      </w:pPr>
      <w:r>
        <w:rPr>
          <w:rFonts w:ascii="Times New Roman" w:hAnsi="Times New Roman"/>
          <w:i/>
          <w:sz w:val="20"/>
        </w:rPr>
        <w:t>Figur 9.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9 viser at de tre klyngene er rimelig separert i feature-rommet, særlig K\_OVERFØR-klyngen (grønn), som skiller seg fra de øvrige ved sin kombinasjon av lav CV og høy verdi. For å tolke innholdet i hver klynge viser Figur 10 gjennomsnittlig standardisert verdi per feature for de tre klyngene.</w:t>
      </w:r>
    </w:p>
    <w:p>
      <w:r>
        <w:drawing>
          <wp:inline xmlns:a="http://schemas.openxmlformats.org/drawingml/2006/main" xmlns:pic="http://schemas.openxmlformats.org/drawingml/2006/picture">
            <wp:extent cx="5400000" cy="2645224"/>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645224"/>
                    </a:xfrm>
                    <a:prstGeom prst="rect"/>
                  </pic:spPr>
                </pic:pic>
              </a:graphicData>
            </a:graphic>
          </wp:inline>
        </w:drawing>
      </w:r>
    </w:p>
    <w:p>
      <w:pPr>
        <w:jc w:val="center"/>
      </w:pPr>
      <w:r>
        <w:rPr>
          <w:rFonts w:ascii="Times New Roman" w:hAnsi="Times New Roman"/>
          <w:i/>
          <w:sz w:val="20"/>
        </w:rPr>
        <w:t>Figur 10.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10 bekrefter at K\_OVERFØR-klyngen (Klynge 3, </w:t>
      </w:r>
      <m:oMath>
        <m:r>
          <m:t>n=n=281</m:t>
        </m:r>
      </m:oMath>
      <w:r>
        <w:rPr>
          <w:rFonts w:ascii="Times New Roman" w:hAnsi="Times New Roman" w:cs="Times New Roman"/>
          <w:sz w:val="24"/>
        </w:rPr>
        <w:t>totalt: 227 tren + 54 test) har den laveste CV-verdien (stabil etterspørsel) og den høyeste verdiprofilen, mens Klynge 2 (</w:t>
      </w:r>
      <m:oMath>
        <m:r>
          <m:t>n=n=175</m:t>
        </m:r>
      </m:oMath>
      <w:r>
        <w:rPr>
          <w:rFonts w:ascii="Times New Roman" w:hAnsi="Times New Roman" w:cs="Times New Roman"/>
          <w:sz w:val="24"/>
        </w:rPr>
        <w:t>: 136 tren + 39 test) preges av høy CV og lavt kostnadsavvik. Klynge 1 (</w:t>
      </w:r>
      <m:oMath>
        <m:r>
          <m:t>n=n=31</m:t>
        </m:r>
      </m:oMath>
      <w:r>
        <w:rPr>
          <w:rFonts w:ascii="Times New Roman" w:hAnsi="Times New Roman" w:cs="Times New Roman"/>
          <w:sz w:val="24"/>
        </w:rPr>
        <w:t xml:space="preserve">: 26 tren + 5 test) er en liten gruppe med svært lav verdi.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 for å kartlegge robustheten av besparelsesestimatet overfor usikkerhet i modellantagelsene. Figur 11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625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6257"/>
                    </a:xfrm>
                    <a:prstGeom prst="rect"/>
                  </pic:spPr>
                </pic:pic>
              </a:graphicData>
            </a:graphic>
          </wp:inline>
        </w:drawing>
      </w:r>
    </w:p>
    <w:p>
      <w:pPr>
        <w:jc w:val="center"/>
      </w:pPr>
      <w:r>
        <w:rPr>
          <w:rFonts w:ascii="Times New Roman" w:hAnsi="Times New Roman"/>
          <w:i/>
          <w:sz w:val="20"/>
        </w:rPr>
        <w:t>Figur 11.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10 viser at 145 artikler (20,5 % av populasjonen) anbefales overført til HVFS, mens 257 artikler (36,2 %) beholdes lokalt basert på Z-klasse eller CY-kombinasjon. Kategorien TIL VURDERING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144 artikler, R2 (CY) fanget 113, R3 (A/B + X + FOR\_MANGE) fanget 91, R4 (A/B + X + K\_OVERFØR) fanget 26, R5 (A/B + Y + K\_OVERFØR) fanget 28, og R6–R8 sendte de resterende 284 artiklene til manuell vurdering. At TIL\_VURDERING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8. ABC-fordeling: antall artikler og verdiandel per klasse (n = 709).</w:t>
      </w:r>
    </w:p>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5 i kapittel 6.</w:t>
      </w:r>
    </w:p>
    <w:p>
      <w:pPr>
        <w:pStyle w:val="Overskrift2"/>
      </w:pPr>
      <w:r>
        <w:rPr>
          <w:rFonts w:ascii="Times New Roman" w:hAnsi="Times New Roman"/>
          <w:color w:val="000000"/>
          <w:sz w:val="32"/>
        </w:rPr>
        <w:t>7.2 XYZ-resultater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r>
        <w:rPr>
          <w:rFonts w:ascii="Times New Roman" w:hAnsi="Times New Roman"/>
          <w:i/>
          <w:sz w:val="20"/>
        </w:rPr>
        <w:t>Tabell 9. XYZ-fordeling: antall artikler per klasse (n = 687 klassifiserte).</w:t>
      </w:r>
    </w:p>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6 i kapittel 6; fullstendige celleanntall er gjengitt 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r>
        <w:rPr>
          <w:rFonts w:ascii="Times New Roman" w:hAnsi="Times New Roman"/>
          <w:i/>
          <w:sz w:val="20"/>
        </w:rPr>
        <w:t>Tabell 10. SAP ZZXYZ-validering: samsvar mellom systemklasse og beregnet CV-klasse (n = 375 artikler med data i begge kilder).</w:t>
      </w:r>
    </w:p>
    <w:p>
      <w:pPr>
        <w:pStyle w:val="Overskrift2"/>
      </w:pPr>
      <w:r>
        <w:rPr>
          <w:rFonts w:ascii="Times New Roman" w:hAnsi="Times New Roman"/>
          <w:color w:val="000000"/>
          <w:sz w:val="32"/>
        </w:rPr>
        <w:t>7.3 EOQ-avviksresultater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r>
        <w:rPr>
          <w:rFonts w:ascii="Times New Roman" w:hAnsi="Times New Roman"/>
          <w:i/>
          <w:sz w:val="20"/>
        </w:rPr>
        <w:t>Tabell 11. EOQ-avviksresultater: fordeling av artikler etter ordrefrekvensavvik (n = 487).</w:t>
      </w:r>
    </w:p>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realisable besparelsespotensialet, da kun artikler i OVERFØR\_HVFS-kategorien inngår i besparelsesberegningen (se avsnitt 7.6). Fordelingen av FREQ\_AVVIK er illustrert i Figur 7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n=n=389</m:t>
        </m:r>
      </m:oMath>
      <w:r>
        <w:rPr>
          <w:rFonts w:ascii="Times New Roman" w:hAnsi="Times New Roman" w:cs="Times New Roman"/>
          <w:sz w:val="24"/>
        </w:rPr>
        <w:t>) var 0,383, og på testdataene (</w:t>
      </w:r>
      <m:oMath>
        <m:r>
          <m:t>n=n=98</m:t>
        </m:r>
      </m:oMath>
      <w:r>
        <w:rPr>
          <w:rFonts w:ascii="Times New Roman" w:hAnsi="Times New Roman" w:cs="Times New Roman"/>
          <w:sz w:val="24"/>
        </w:rPr>
        <w:t>) var 0,368. Differansen mellom trenings- og testresultat er 0,015, noe som ikke indikerer vesentlig overfit. Klyngeprofiler er presentert i Tabell 12.</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r>
        <w:rPr>
          <w:rFonts w:ascii="Times New Roman" w:hAnsi="Times New Roman"/>
          <w:i/>
          <w:sz w:val="20"/>
        </w:rPr>
        <w:t>Tabell 12. K-means klyngeprofiler: gjennomsnittsverdier per klynge for de tre featurene (K = 3, n = 487).</w:t>
      </w:r>
    </w:p>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9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TIL_VURDERING</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13. HVFS-anbefalinger fra regelmotor: fordeling per kategori (n = 709, LGORT 3001).</w:t>
      </w:r>
    </w:p>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91 artikler (A/B + X + FOR\_MANGE\_ORDRER), R4 fanget 26 artikler (A/B + X + K\_OVERFØR), og R5 fanget 28 artikler (A/B + Y + K\_OVERFØR). Av de 145 overførte artiklene har 117 status FOR\_MANGE\_ORDRER og inngår dermed i besparelsesberegningen i avsnitt 7.6. De resterende 28 artiklene (R5) inngår ikke i besparelsesgrunnlaget fordi FOR\_MANGE\_ORDRER-flagget ikke er aktivert, men de anbefales overført fordi kombinasjonen av ABC/XYZ-profil (A/B + Y)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144 artikler) eller CY-profil (R2: 113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11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r>
        <w:rPr>
          <w:rFonts w:ascii="Times New Roman" w:hAnsi="Times New Roman"/>
          <w:i/>
          <w:sz w:val="20"/>
        </w:rPr>
        <w:t>Tabell 14. Besparelsesestimater for tre scenarier: 117 artikler (OVERFØR\_HVFS ∩ FOR\_MANGE\_ORDRER), S = 750 NOK.</w:t>
      </w:r>
    </w:p>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r>
        <w:rPr>
          <w:rFonts w:ascii="Times New Roman" w:hAnsi="Times New Roman"/>
          <w:i/>
          <w:sz w:val="20"/>
        </w:rPr>
        <w:t>Tabell 15. Sammenstilling av egne resultater mot funn i eksisterende litteratur.</w:t>
      </w:r>
    </w:p>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spacing w:line="360" w:lineRule="auto"/>
      </w:pPr>
      <w:r>
        <w:rPr>
          <w:rFonts w:ascii="Times New Roman" w:hAnsi="Times New Roman" w:cs="Times New Roman"/>
          <w:sz w:val="24"/>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Leveringstidsfallbacken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operasjonelt anvendbart grunnlag for å identifisere overføringskandidater direkte fra SAP-transaksjonsdata. Av de 709 aktive artiklene i LGORT 3001 anbefaler regelmotoren at </w:t>
      </w:r>
      <w:r>
        <w:rPr>
          <w:rFonts w:ascii="Times New Roman" w:hAnsi="Times New Roman" w:cs="Times New Roman"/>
          <w:b/>
          <w:sz w:val="24"/>
        </w:rPr>
        <w:t>145 artikler</w:t>
      </w:r>
      <w:r>
        <w:rPr>
          <w:rFonts w:ascii="Times New Roman" w:hAnsi="Times New Roman" w:cs="Times New Roman"/>
          <w:sz w:val="24"/>
        </w:rPr>
        <w:t xml:space="preserve"> (20,5 %) overføres til HVFS. Disse artiklene kjennetegnes ved høy verdi (A- eller B-klasse), stabilt forbruksmønster (X- eller Y-klasse) og dokumentert overbestilling eller klyngetilhørighet som indikerer ineffektiv ordrepraksis.</w:t>
      </w:r>
    </w:p>
    <w:p>
      <w:pPr>
        <w:spacing w:line="360" w:lineRule="auto"/>
      </w:pPr>
      <w:r>
        <w:rPr>
          <w:rFonts w:ascii="Times New Roman" w:hAnsi="Times New Roman" w:cs="Times New Roman"/>
          <w:sz w:val="24"/>
        </w:rPr>
        <w:t xml:space="preserve">Det estimerte besparelsespotensialet for base case er </w:t>
      </w:r>
      <w:r>
        <w:rPr>
          <w:rFonts w:ascii="Times New Roman" w:hAnsi="Times New Roman" w:cs="Times New Roman"/>
          <w:b/>
          <w:sz w:val="24"/>
        </w:rPr>
        <w:t>kr 451 515 per år</w:t>
      </w:r>
      <w:r>
        <w:rPr>
          <w:rFonts w:ascii="Times New Roman" w:hAnsi="Times New Roman" w:cs="Times New Roman"/>
          <w:sz w:val="24"/>
        </w:rPr>
        <w:t xml:space="preserve"> (realiseringsgrad </w:t>
      </w:r>
      <m:oMath>
        <m:r>
          <m:t>g=75</m:t>
        </m:r>
      </m:oMath>
      <w:r>
        <w:rPr>
          <w:rFonts w:ascii="Times New Roman" w:hAnsi="Times New Roman" w:cs="Times New Roman"/>
          <w:sz w:val="24"/>
        </w:rPr>
        <w:t xml:space="preserve"> av teoretisk </w:t>
      </w:r>
      <m:oMath>
        <m:r>
          <m:t>∑ΔT</m:t>
        </m:r>
        <m:sSub>
          <m:e>
            <m:r>
              <m:t>C</m:t>
            </m:r>
          </m:e>
          <m:sub>
            <m:r>
              <m:t>i</m:t>
            </m:r>
          </m:sub>
        </m:sSub>
      </m:oMath>
      <w:r>
        <w:rPr>
          <w:rFonts w:ascii="Times New Roman" w:hAnsi="Times New Roman" w:cs="Times New Roman"/>
          <w:sz w:val="24"/>
        </w:rPr>
        <w:t>).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Disse estimatene er forankret i 117 artikler som oppfyller begge kriteriene OVERFØR\_HVFS og FOR\_MANGE\_ORDRER, og der det samlede teoretiske totalkostnavviket er kr 602 020 per år. Sensitivitetsanalysen over 27 parameterkombinasjoner — med variasjon i S, h og </w:t>
      </w:r>
      <m:oMath>
        <m:sSub>
          <m:e>
            <m:r>
              <m:t>τ</m:t>
            </m:r>
          </m:e>
          <m:sub>
            <m:r>
              <m:t>f</m:t>
            </m:r>
          </m:sub>
        </m:sSub>
      </m:oMath>
      <w:r>
        <w:rPr>
          <w:rFonts w:ascii="Times New Roman" w:hAnsi="Times New Roman" w:cs="Times New Roman"/>
          <w:sz w:val="24"/>
        </w:rPr>
        <w:t xml:space="preserve">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Dette synliggjør at besparelsesestimatet er moderat sensitivt overfor forutsetningene om ordrekostnad og holdesats, men forblir positivt og vesentlig over alle 27 scenarier.</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kan danne grunnlag for konkrete beslutninger i LIBRA-prosjektets videre gjennomføring.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anbefalt overført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TIL VURDERING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Kumar, D., &amp; Kumar, D. (2015). Modelling hospital inventory management using interpretive structural modelling approach. </w:t>
      </w:r>
      <w:r>
        <w:rPr>
          <w:rFonts w:ascii="Times New Roman" w:hAnsi="Times New Roman" w:cs="Times New Roman"/>
          <w:i/>
          <w:sz w:val="24"/>
        </w:rPr>
        <w:t>International Journal of Logistics Systems and Management</w:t>
      </w:r>
      <w:r>
        <w:rPr>
          <w:rFonts w:ascii="Times New Roman" w:hAnsi="Times New Roman" w:cs="Times New Roman"/>
          <w:sz w:val="24"/>
        </w:rPr>
        <w:t xml:space="preserve">, </w:t>
      </w:r>
      <w:r>
        <w:rPr>
          <w:rFonts w:ascii="Times New Roman" w:hAnsi="Times New Roman" w:cs="Times New Roman"/>
          <w:i/>
          <w:sz w:val="24"/>
        </w:rPr>
        <w:t>21</w:t>
      </w:r>
      <w:r>
        <w:rPr>
          <w:rFonts w:ascii="Times New Roman" w:hAnsi="Times New Roman" w:cs="Times New Roman"/>
          <w:sz w:val="24"/>
        </w:rPr>
        <w:t>(3), 319–334. https://doi.org/10.1504/IJLSM.2015.069734</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Sirisawat, P., Hasachoo, N., &amp; Kaewket, T. (2019). Investigation and prioritization of performance indicators for inventory management in the university hospital. I </w:t>
      </w:r>
      <w:r>
        <w:rPr>
          <w:rFonts w:ascii="Times New Roman" w:hAnsi="Times New Roman" w:cs="Times New Roman"/>
          <w:i/>
          <w:sz w:val="24"/>
        </w:rPr>
        <w:t>Proceedings of the 2019 IEEE International Conference on Industrial Engineering and Engineering Management (IEEM)</w:t>
      </w:r>
      <w:r>
        <w:rPr>
          <w:rFonts w:ascii="Times New Roman" w:hAnsi="Times New Roman" w:cs="Times New Roman"/>
          <w:sz w:val="24"/>
        </w:rPr>
        <w:t xml:space="preserve"> (s. 978–982). IEEE. https://doi.org/10.1109/IEEM44572.2019.8978819</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Tabellen nedenfor viser de 14 SAP S/4HANA-tabellene som ble ekstrahert via transaksjon SE16H for WERKS 3300 / LGORT 3001. Uttrekksperiode: 2024–2025.</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SAP-tabell</w:t>
            </w:r>
          </w:p>
        </w:tc>
        <w:tc>
          <w:tcPr>
            <w:tcW w:type="dxa" w:w="2923"/>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923"/>
            <w:tcBorders>
              <w:top w:val="single" w:sz="8" w:space="0" w:color="000000"/>
              <w:bottom w:val="single" w:sz="4" w:space="0" w:color="000000"/>
              <w:left w:val="nil"/>
              <w:right w:val="nil"/>
            </w:tcBorders>
          </w:tcPr>
          <w:p>
            <w:r/>
            <w:r>
              <w:rPr>
                <w:rFonts w:ascii="Times New Roman" w:hAnsi="Times New Roman"/>
                <w:b/>
                <w:sz w:val="22"/>
              </w:rPr>
              <w:t>Nøkkelfelter</w:t>
            </w:r>
          </w:p>
        </w:tc>
      </w:tr>
      <w:tr>
        <w:tc>
          <w:tcPr>
            <w:tcW w:type="dxa" w:w="2923"/>
          </w:tcPr>
          <w:p>
            <w:r/>
            <w:r>
              <w:rPr>
                <w:rFonts w:ascii="Times New Roman" w:hAnsi="Times New Roman"/>
                <w:sz w:val="22"/>
              </w:rPr>
              <w:t>MARD</w:t>
            </w:r>
          </w:p>
        </w:tc>
        <w:tc>
          <w:tcPr>
            <w:tcW w:type="dxa" w:w="2923"/>
          </w:tcPr>
          <w:p>
            <w:r/>
            <w:r>
              <w:rPr>
                <w:rFonts w:ascii="Times New Roman" w:hAnsi="Times New Roman"/>
                <w:sz w:val="22"/>
              </w:rPr>
              <w:t>Lagerbeholdning per lagersted</w:t>
            </w:r>
          </w:p>
        </w:tc>
        <w:tc>
          <w:tcPr>
            <w:tcW w:type="dxa" w:w="2923"/>
          </w:tcPr>
          <w:p>
            <w:r/>
            <w:r>
              <w:rPr>
                <w:rFonts w:ascii="Times New Roman" w:hAnsi="Times New Roman"/>
                <w:sz w:val="22"/>
              </w:rPr>
              <w:t>MATNR, WERKS, LGORT, LABST</w:t>
            </w:r>
          </w:p>
        </w:tc>
      </w:tr>
      <w:tr>
        <w:tc>
          <w:tcPr>
            <w:tcW w:type="dxa" w:w="2923"/>
          </w:tcPr>
          <w:p>
            <w:r/>
            <w:r>
              <w:rPr>
                <w:rFonts w:ascii="Times New Roman" w:hAnsi="Times New Roman"/>
                <w:sz w:val="22"/>
              </w:rPr>
              <w:t>MDMA</w:t>
            </w:r>
          </w:p>
        </w:tc>
        <w:tc>
          <w:tcPr>
            <w:tcW w:type="dxa" w:w="2923"/>
          </w:tcPr>
          <w:p>
            <w:r/>
            <w:r>
              <w:rPr>
                <w:rFonts w:ascii="Times New Roman" w:hAnsi="Times New Roman"/>
                <w:sz w:val="22"/>
              </w:rPr>
              <w:t>MRP-område og tilordning</w:t>
            </w:r>
          </w:p>
        </w:tc>
        <w:tc>
          <w:tcPr>
            <w:tcW w:type="dxa" w:w="2923"/>
          </w:tcPr>
          <w:p>
            <w:r/>
            <w:r>
              <w:rPr>
                <w:rFonts w:ascii="Times New Roman" w:hAnsi="Times New Roman"/>
                <w:sz w:val="22"/>
              </w:rPr>
              <w:t>MATNR, WERKS, ZZABC, ZZXYZ</w:t>
            </w:r>
          </w:p>
        </w:tc>
      </w:tr>
      <w:tr>
        <w:tc>
          <w:tcPr>
            <w:tcW w:type="dxa" w:w="2923"/>
          </w:tcPr>
          <w:p>
            <w:r/>
            <w:r>
              <w:rPr>
                <w:rFonts w:ascii="Times New Roman" w:hAnsi="Times New Roman"/>
                <w:sz w:val="22"/>
              </w:rPr>
              <w:t>MARA</w:t>
            </w:r>
          </w:p>
        </w:tc>
        <w:tc>
          <w:tcPr>
            <w:tcW w:type="dxa" w:w="2923"/>
          </w:tcPr>
          <w:p>
            <w:r/>
            <w:r>
              <w:rPr>
                <w:rFonts w:ascii="Times New Roman" w:hAnsi="Times New Roman"/>
                <w:sz w:val="22"/>
              </w:rPr>
              <w:t>Generelle materialdata</w:t>
            </w:r>
          </w:p>
        </w:tc>
        <w:tc>
          <w:tcPr>
            <w:tcW w:type="dxa" w:w="2923"/>
          </w:tcPr>
          <w:p>
            <w:r/>
            <w:r>
              <w:rPr>
                <w:rFonts w:ascii="Times New Roman" w:hAnsi="Times New Roman"/>
                <w:sz w:val="22"/>
              </w:rPr>
              <w:t>MATNR, MTART, MATKL, MEINS</w:t>
            </w:r>
          </w:p>
        </w:tc>
      </w:tr>
      <w:tr>
        <w:tc>
          <w:tcPr>
            <w:tcW w:type="dxa" w:w="2923"/>
          </w:tcPr>
          <w:p>
            <w:r/>
            <w:r>
              <w:rPr>
                <w:rFonts w:ascii="Times New Roman" w:hAnsi="Times New Roman"/>
                <w:sz w:val="22"/>
              </w:rPr>
              <w:t>MAKT</w:t>
            </w:r>
          </w:p>
        </w:tc>
        <w:tc>
          <w:tcPr>
            <w:tcW w:type="dxa" w:w="2923"/>
          </w:tcPr>
          <w:p>
            <w:r/>
            <w:r>
              <w:rPr>
                <w:rFonts w:ascii="Times New Roman" w:hAnsi="Times New Roman"/>
                <w:sz w:val="22"/>
              </w:rPr>
              <w:t>Materialbeskrivelse</w:t>
            </w:r>
          </w:p>
        </w:tc>
        <w:tc>
          <w:tcPr>
            <w:tcW w:type="dxa" w:w="2923"/>
          </w:tcPr>
          <w:p>
            <w:r/>
            <w:r>
              <w:rPr>
                <w:rFonts w:ascii="Times New Roman" w:hAnsi="Times New Roman"/>
                <w:sz w:val="22"/>
              </w:rPr>
              <w:t>MATNR, MAKTX</w:t>
            </w:r>
          </w:p>
        </w:tc>
      </w:tr>
      <w:tr>
        <w:tc>
          <w:tcPr>
            <w:tcW w:type="dxa" w:w="2923"/>
          </w:tcPr>
          <w:p>
            <w:r/>
            <w:r>
              <w:rPr>
                <w:rFonts w:ascii="Times New Roman" w:hAnsi="Times New Roman"/>
                <w:sz w:val="22"/>
              </w:rPr>
              <w:t>MARC</w:t>
            </w:r>
          </w:p>
        </w:tc>
        <w:tc>
          <w:tcPr>
            <w:tcW w:type="dxa" w:w="2923"/>
          </w:tcPr>
          <w:p>
            <w:r/>
            <w:r>
              <w:rPr>
                <w:rFonts w:ascii="Times New Roman" w:hAnsi="Times New Roman"/>
                <w:sz w:val="22"/>
              </w:rPr>
              <w:t>Planleggingsdata per plant</w:t>
            </w:r>
          </w:p>
        </w:tc>
        <w:tc>
          <w:tcPr>
            <w:tcW w:type="dxa" w:w="2923"/>
          </w:tcPr>
          <w:p>
            <w:r/>
            <w:r>
              <w:rPr>
                <w:rFonts w:ascii="Times New Roman" w:hAnsi="Times New Roman"/>
                <w:sz w:val="22"/>
              </w:rPr>
              <w:t>MATNR, WERKS, MARC_ABC</w:t>
            </w:r>
          </w:p>
        </w:tc>
      </w:tr>
      <w:tr>
        <w:tc>
          <w:tcPr>
            <w:tcW w:type="dxa" w:w="2923"/>
          </w:tcPr>
          <w:p>
            <w:r/>
            <w:r>
              <w:rPr>
                <w:rFonts w:ascii="Times New Roman" w:hAnsi="Times New Roman"/>
                <w:sz w:val="22"/>
              </w:rPr>
              <w:t>MBEW</w:t>
            </w:r>
          </w:p>
        </w:tc>
        <w:tc>
          <w:tcPr>
            <w:tcW w:type="dxa" w:w="2923"/>
          </w:tcPr>
          <w:p>
            <w:r/>
            <w:r>
              <w:rPr>
                <w:rFonts w:ascii="Times New Roman" w:hAnsi="Times New Roman"/>
                <w:sz w:val="22"/>
              </w:rPr>
              <w:t>Materialvurdering (pris)</w:t>
            </w:r>
          </w:p>
        </w:tc>
        <w:tc>
          <w:tcPr>
            <w:tcW w:type="dxa" w:w="2923"/>
          </w:tcPr>
          <w:p>
            <w:r/>
            <w:r>
              <w:rPr>
                <w:rFonts w:ascii="Times New Roman" w:hAnsi="Times New Roman"/>
                <w:sz w:val="22"/>
              </w:rPr>
              <w:t>MATNR, BWKEY, STPRS, PEINH</w:t>
            </w:r>
          </w:p>
        </w:tc>
      </w:tr>
      <w:tr>
        <w:tc>
          <w:tcPr>
            <w:tcW w:type="dxa" w:w="2923"/>
          </w:tcPr>
          <w:p>
            <w:r/>
            <w:r>
              <w:rPr>
                <w:rFonts w:ascii="Times New Roman" w:hAnsi="Times New Roman"/>
                <w:sz w:val="22"/>
              </w:rPr>
              <w:t>MSEG</w:t>
            </w:r>
          </w:p>
        </w:tc>
        <w:tc>
          <w:tcPr>
            <w:tcW w:type="dxa" w:w="2923"/>
          </w:tcPr>
          <w:p>
            <w:r/>
            <w:r>
              <w:rPr>
                <w:rFonts w:ascii="Times New Roman" w:hAnsi="Times New Roman"/>
                <w:sz w:val="22"/>
              </w:rPr>
              <w:t>Materialdokumentsegment</w:t>
            </w:r>
          </w:p>
        </w:tc>
        <w:tc>
          <w:tcPr>
            <w:tcW w:type="dxa" w:w="2923"/>
          </w:tcPr>
          <w:p>
            <w:r/>
            <w:r>
              <w:rPr>
                <w:rFonts w:ascii="Times New Roman" w:hAnsi="Times New Roman"/>
                <w:sz w:val="22"/>
              </w:rPr>
              <w:t>MATNR, WERKS, LGORT, MENGE, BWART</w:t>
            </w:r>
          </w:p>
        </w:tc>
      </w:tr>
      <w:tr>
        <w:tc>
          <w:tcPr>
            <w:tcW w:type="dxa" w:w="2923"/>
          </w:tcPr>
          <w:p>
            <w:r/>
            <w:r>
              <w:rPr>
                <w:rFonts w:ascii="Times New Roman" w:hAnsi="Times New Roman"/>
                <w:sz w:val="22"/>
              </w:rPr>
              <w:t>EKKO</w:t>
            </w:r>
          </w:p>
        </w:tc>
        <w:tc>
          <w:tcPr>
            <w:tcW w:type="dxa" w:w="2923"/>
          </w:tcPr>
          <w:p>
            <w:r/>
            <w:r>
              <w:rPr>
                <w:rFonts w:ascii="Times New Roman" w:hAnsi="Times New Roman"/>
                <w:sz w:val="22"/>
              </w:rPr>
              <w:t>Innkjøpsordrehode</w:t>
            </w:r>
          </w:p>
        </w:tc>
        <w:tc>
          <w:tcPr>
            <w:tcW w:type="dxa" w:w="2923"/>
          </w:tcPr>
          <w:p>
            <w:r/>
            <w:r>
              <w:rPr>
                <w:rFonts w:ascii="Times New Roman" w:hAnsi="Times New Roman"/>
                <w:sz w:val="22"/>
              </w:rPr>
              <w:t>EBELN, BSART, LIFNR</w:t>
            </w:r>
          </w:p>
        </w:tc>
      </w:tr>
      <w:tr>
        <w:tc>
          <w:tcPr>
            <w:tcW w:type="dxa" w:w="2923"/>
          </w:tcPr>
          <w:p>
            <w:r/>
            <w:r>
              <w:rPr>
                <w:rFonts w:ascii="Times New Roman" w:hAnsi="Times New Roman"/>
                <w:sz w:val="22"/>
              </w:rPr>
              <w:t>EKPO</w:t>
            </w:r>
          </w:p>
        </w:tc>
        <w:tc>
          <w:tcPr>
            <w:tcW w:type="dxa" w:w="2923"/>
          </w:tcPr>
          <w:p>
            <w:r/>
            <w:r>
              <w:rPr>
                <w:rFonts w:ascii="Times New Roman" w:hAnsi="Times New Roman"/>
                <w:sz w:val="22"/>
              </w:rPr>
              <w:t>Innkjøpsordreposisjon</w:t>
            </w:r>
          </w:p>
        </w:tc>
        <w:tc>
          <w:tcPr>
            <w:tcW w:type="dxa" w:w="2923"/>
          </w:tcPr>
          <w:p>
            <w:r/>
            <w:r>
              <w:rPr>
                <w:rFonts w:ascii="Times New Roman" w:hAnsi="Times New Roman"/>
                <w:sz w:val="22"/>
              </w:rPr>
              <w:t>EBELN, EBELP, MATNR, NETWR</w:t>
            </w:r>
          </w:p>
        </w:tc>
      </w:tr>
      <w:tr>
        <w:tc>
          <w:tcPr>
            <w:tcW w:type="dxa" w:w="2923"/>
          </w:tcPr>
          <w:p>
            <w:r/>
            <w:r>
              <w:rPr>
                <w:rFonts w:ascii="Times New Roman" w:hAnsi="Times New Roman"/>
                <w:sz w:val="22"/>
              </w:rPr>
              <w:t>EKBE</w:t>
            </w:r>
          </w:p>
        </w:tc>
        <w:tc>
          <w:tcPr>
            <w:tcW w:type="dxa" w:w="2923"/>
          </w:tcPr>
          <w:p>
            <w:r/>
            <w:r>
              <w:rPr>
                <w:rFonts w:ascii="Times New Roman" w:hAnsi="Times New Roman"/>
                <w:sz w:val="22"/>
              </w:rPr>
              <w:t>Innkjøpsordrehistorikk</w:t>
            </w:r>
          </w:p>
        </w:tc>
        <w:tc>
          <w:tcPr>
            <w:tcW w:type="dxa" w:w="2923"/>
          </w:tcPr>
          <w:p>
            <w:r/>
            <w:r>
              <w:rPr>
                <w:rFonts w:ascii="Times New Roman" w:hAnsi="Times New Roman"/>
                <w:sz w:val="22"/>
              </w:rPr>
              <w:t>EBELN, EBELP, MATNR, MENGE</w:t>
            </w:r>
          </w:p>
        </w:tc>
      </w:tr>
      <w:tr>
        <w:tc>
          <w:tcPr>
            <w:tcW w:type="dxa" w:w="2923"/>
          </w:tcPr>
          <w:p>
            <w:r/>
            <w:r>
              <w:rPr>
                <w:rFonts w:ascii="Times New Roman" w:hAnsi="Times New Roman"/>
                <w:sz w:val="22"/>
              </w:rPr>
              <w:t>EINA</w:t>
            </w:r>
          </w:p>
        </w:tc>
        <w:tc>
          <w:tcPr>
            <w:tcW w:type="dxa" w:w="2923"/>
          </w:tcPr>
          <w:p>
            <w:r/>
            <w:r>
              <w:rPr>
                <w:rFonts w:ascii="Times New Roman" w:hAnsi="Times New Roman"/>
                <w:sz w:val="22"/>
              </w:rPr>
              <w:t>Inforecord generell</w:t>
            </w:r>
          </w:p>
        </w:tc>
        <w:tc>
          <w:tcPr>
            <w:tcW w:type="dxa" w:w="2923"/>
          </w:tcPr>
          <w:p>
            <w:r/>
            <w:r>
              <w:rPr>
                <w:rFonts w:ascii="Times New Roman" w:hAnsi="Times New Roman"/>
                <w:sz w:val="22"/>
              </w:rPr>
              <w:t>INFNR, MATNR, LIFNR</w:t>
            </w:r>
          </w:p>
        </w:tc>
      </w:tr>
      <w:tr>
        <w:tc>
          <w:tcPr>
            <w:tcW w:type="dxa" w:w="2923"/>
          </w:tcPr>
          <w:p>
            <w:r/>
            <w:r>
              <w:rPr>
                <w:rFonts w:ascii="Times New Roman" w:hAnsi="Times New Roman"/>
                <w:sz w:val="22"/>
              </w:rPr>
              <w:t>EINE</w:t>
            </w:r>
          </w:p>
        </w:tc>
        <w:tc>
          <w:tcPr>
            <w:tcW w:type="dxa" w:w="2923"/>
          </w:tcPr>
          <w:p>
            <w:r/>
            <w:r>
              <w:rPr>
                <w:rFonts w:ascii="Times New Roman" w:hAnsi="Times New Roman"/>
                <w:sz w:val="22"/>
              </w:rPr>
              <w:t>Inforecord organisasjon</w:t>
            </w:r>
          </w:p>
        </w:tc>
        <w:tc>
          <w:tcPr>
            <w:tcW w:type="dxa" w:w="2923"/>
          </w:tcPr>
          <w:p>
            <w:r/>
            <w:r>
              <w:rPr>
                <w:rFonts w:ascii="Times New Roman" w:hAnsi="Times New Roman"/>
                <w:sz w:val="22"/>
              </w:rPr>
              <w:t>INFNR, EKORG, NETPR, PEINH</w:t>
            </w:r>
          </w:p>
        </w:tc>
      </w:tr>
      <w:tr>
        <w:tc>
          <w:tcPr>
            <w:tcW w:type="dxa" w:w="2923"/>
          </w:tcPr>
          <w:p>
            <w:r/>
            <w:r>
              <w:rPr>
                <w:rFonts w:ascii="Times New Roman" w:hAnsi="Times New Roman"/>
                <w:sz w:val="22"/>
              </w:rPr>
              <w:t>T023T</w:t>
            </w:r>
          </w:p>
        </w:tc>
        <w:tc>
          <w:tcPr>
            <w:tcW w:type="dxa" w:w="2923"/>
          </w:tcPr>
          <w:p>
            <w:r/>
            <w:r>
              <w:rPr>
                <w:rFonts w:ascii="Times New Roman" w:hAnsi="Times New Roman"/>
                <w:sz w:val="22"/>
              </w:rPr>
              <w:t>Varegruppebeskriving</w:t>
            </w:r>
          </w:p>
        </w:tc>
        <w:tc>
          <w:tcPr>
            <w:tcW w:type="dxa" w:w="2923"/>
          </w:tcPr>
          <w:p>
            <w:r/>
            <w:r>
              <w:rPr>
                <w:rFonts w:ascii="Times New Roman" w:hAnsi="Times New Roman"/>
                <w:sz w:val="22"/>
              </w:rPr>
              <w:t>MATKL, WGBEZ</w:t>
            </w:r>
          </w:p>
        </w:tc>
      </w:tr>
      <w:tr>
        <w:tc>
          <w:tcPr>
            <w:tcW w:type="dxa" w:w="2923"/>
          </w:tcPr>
          <w:p>
            <w:r/>
            <w:r>
              <w:rPr>
                <w:rFonts w:ascii="Times New Roman" w:hAnsi="Times New Roman"/>
                <w:sz w:val="22"/>
              </w:rPr>
              <w:t>MASTERFILE</w:t>
            </w:r>
          </w:p>
        </w:tc>
        <w:tc>
          <w:tcPr>
            <w:tcW w:type="dxa" w:w="2923"/>
          </w:tcPr>
          <w:p>
            <w:r/>
            <w:r>
              <w:rPr>
                <w:rFonts w:ascii="Times New Roman" w:hAnsi="Times New Roman"/>
                <w:sz w:val="22"/>
              </w:rPr>
              <w:t>Konsolidert analysefil</w:t>
            </w:r>
          </w:p>
        </w:tc>
        <w:tc>
          <w:tcPr>
            <w:tcW w:type="dxa" w:w="2923"/>
          </w:tcPr>
          <w:p>
            <w:r/>
            <w:r>
              <w:rPr>
                <w:rFonts w:ascii="Times New Roman" w:hAnsi="Times New Roman"/>
                <w:sz w:val="22"/>
              </w:rPr>
              <w:t>709 aktive artiklar, 21 kolonnar</w:t>
            </w:r>
          </w:p>
        </w:tc>
      </w:tr>
    </w:tbl>
    <w:p>
      <w:pPr>
        <w:spacing w:line="360" w:lineRule="auto"/>
      </w:pPr>
      <w:r>
        <w:rPr>
          <w:rFonts w:ascii="Times New Roman" w:hAnsi="Times New Roman" w:cs="Times New Roman"/>
          <w:sz w:val="24"/>
        </w:rPr>
        <w:t>Alle datavalgsbeslutningar (D-01 til D-08) er dokumenterte i Tabell 5 i hovudteksten.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hovudkomponentar:</w:t>
      </w:r>
    </w:p>
    <w:p>
      <w:pPr>
        <w:spacing w:line="360" w:lineRule="auto"/>
      </w:pPr>
      <w:r>
        <w:rPr>
          <w:rFonts w:ascii="Times New Roman" w:hAnsi="Times New Roman" w:cs="Times New Roman"/>
          <w:b/>
          <w:sz w:val="24"/>
        </w:rPr>
        <w:t>Hovudscript:</w:t>
      </w:r>
      <w:r>
        <w:rPr>
          <w:rFonts w:ascii="Times New Roman" w:hAnsi="Times New Roman" w:cs="Times New Roman"/>
          <w:sz w:val="24"/>
        </w:rPr>
        <w:t xml:space="preserve"> `LOG650_analyse_v2_7.py` — deterministisk analysepipeline som les MASTERFILE V1.xlsx og produserer alle klassifiseringar, K-means-modellen, regelmotoranbefalingar og besparelsesestimater. Outputformat: Excel (LOG650_Resultater.xlsx) med separate ark for kvart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11 separate Python-scripts (`plot_*.py`) som genererer figurane Fig00–Fig10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(datastrukturar), scikit-learn 1.x (KMeans, StandardScaler, silhouette_score), matplotlib 3.x (visualisering), openpyxl (Excel I/O).</w:t>
      </w:r>
    </w:p>
    <w:p>
      <w:pPr>
        <w:spacing w:line="360" w:lineRule="auto"/>
      </w:pPr>
      <w:r>
        <w:rPr>
          <w:rFonts w:ascii="Times New Roman" w:hAnsi="Times New Roman" w:cs="Times New Roman"/>
          <w:b/>
          <w:sz w:val="24"/>
        </w:rPr>
        <w:t>Reproduserbarheit:</w:t>
      </w:r>
      <w:r>
        <w:rPr>
          <w:rFonts w:ascii="Times New Roman" w:hAnsi="Times New Roman" w:cs="Times New Roman"/>
          <w:sz w:val="24"/>
        </w:rPr>
        <w:t xml:space="preserve"> Alle scripts brukar `random_state=42` for deterministisk output. Gjentatt kjøring med same inputdata gir identiske resultat.</w:t>
      </w:r>
    </w:p>
    <w:p>
      <w:pPr>
        <w:spacing w:line="360" w:lineRule="auto"/>
      </w:pPr>
      <w:r>
        <w:rPr>
          <w:rFonts w:ascii="Times New Roman" w:hAnsi="Times New Roman" w:cs="Times New Roman"/>
          <w:sz w:val="24"/>
        </w:rPr>
        <w:t>Fullstendig kildekode er tilgjengeleg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oppgåva er KI-verktøyet Claude (Anthropic, 2026) brukt som støtteverktøy i tre delar av arbeidet, i samsvar med Høgskolen i Molde sine retningslinjer for bruk av KI på hjemmeeksamen.</w:t>
      </w:r>
    </w:p>
    <w:p>
      <w:pPr>
        <w:spacing w:line="360" w:lineRule="auto"/>
      </w:pPr>
      <w:r>
        <w:rPr>
          <w:rFonts w:ascii="Times New Roman" w:hAnsi="Times New Roman" w:cs="Times New Roman"/>
          <w:b/>
          <w:sz w:val="24"/>
        </w:rPr>
        <w:t>1. Kode og algoritmar.</w:t>
      </w:r>
      <w:r>
        <w:rPr>
          <w:rFonts w:ascii="Times New Roman" w:hAnsi="Times New Roman" w:cs="Times New Roman"/>
          <w:sz w:val="24"/>
        </w:rPr>
        <w:t xml:space="preserve"> Claude vart brukt til kodestøtte og feilsøking i Python-scriptet (`LOG650_analyse_v2_7.py`) som implementerer ABC-, XYZ-, EOQ- og K-means-analysen. Verktøyet vart brukt til å forstå kodelogikk, feilsøke syntaksfeil og generere foreløpige kodeutdrag som seinare vart tilpassa og integrert. All kode er gjennomgått, testa og modifisert av forfattaren for å sikre korrektheit. Den endelege implementasjonen, tolkinga av resultat og presentasjonen av numeriske verdiar er forfattarens ansvar. Alle scripts brukar `random_state=42` for deterministisk og reproduserbar output.</w:t>
      </w:r>
    </w:p>
    <w:p>
      <w:pPr>
        <w:spacing w:line="360" w:lineRule="auto"/>
      </w:pPr>
      <w:r>
        <w:rPr>
          <w:rFonts w:ascii="Times New Roman" w:hAnsi="Times New Roman" w:cs="Times New Roman"/>
          <w:b/>
          <w:sz w:val="24"/>
        </w:rPr>
        <w:t>2. Figurar og tabellar.</w:t>
      </w:r>
      <w:r>
        <w:rPr>
          <w:rFonts w:ascii="Times New Roman" w:hAnsi="Times New Roman" w:cs="Times New Roman"/>
          <w:sz w:val="24"/>
        </w:rPr>
        <w:t xml:space="preserve"> Alle 11 figurar (Fig00–Fig10) er genererte med matplotlib-scripts der Claude bidrog til utforming av layout, fargepalett og aksetitlar. Figurane er basert på analyseresultat produsert av Python-scriptet frå SAP-kildedata — KI-verktøyet har ikkje produsert eller modifisert nokon dataverdiar. Kvar figur er merka «Generert med støtte fra Claude (Anthropic, 2026)» i bildeteksten. Tabellar er formaterte med støtte frå Claude, men alle verdiar kjem direkte frå analysescriptet.</w:t>
      </w:r>
    </w:p>
    <w:p>
      <w:pPr>
        <w:spacing w:line="360" w:lineRule="auto"/>
      </w:pPr>
      <w:r>
        <w:rPr>
          <w:rFonts w:ascii="Times New Roman" w:hAnsi="Times New Roman" w:cs="Times New Roman"/>
          <w:b/>
          <w:sz w:val="24"/>
        </w:rPr>
        <w:t>3. Tekststrukturering og språkleg bearbeiding.</w:t>
      </w:r>
      <w:r>
        <w:rPr>
          <w:rFonts w:ascii="Times New Roman" w:hAnsi="Times New Roman" w:cs="Times New Roman"/>
          <w:sz w:val="24"/>
        </w:rPr>
        <w:t xml:space="preserve"> Claude vart brukt til å strukturere rapportteksten og forbetre språkleg klarheit. Verktøyet foreslo disposisjon, avsnittsinndeling og formuleringar som forfattaren vurderte kritisk og reviderte. Alle faglege påstandar, argument og konklusjonar er forfattarens eigne. Claude er ikkje brukt som fagkjelde og er ikkje sitert som belegg for faglege påstandar.</w:t>
      </w:r>
    </w:p>
    <w:p>
      <w:pPr>
        <w:spacing w:line="360" w:lineRule="auto"/>
      </w:pPr>
      <w:r>
        <w:rPr>
          <w:rFonts w:ascii="Times New Roman" w:hAnsi="Times New Roman" w:cs="Times New Roman"/>
          <w:b/>
          <w:sz w:val="24"/>
        </w:rPr>
        <w:t>Avgrensing.</w:t>
      </w:r>
      <w:r>
        <w:rPr>
          <w:rFonts w:ascii="Times New Roman" w:hAnsi="Times New Roman" w:cs="Times New Roman"/>
          <w:sz w:val="24"/>
        </w:rPr>
        <w:t xml:space="preserve"> Rådata frå SAP vart ikkje lagt inn i KI-verktøyet. Alle datatransformasjonar er dokumenterte i D-01–D-08 (avsnitt 4.3) og køyrde lokalt i Python. Ingen pasientdata eller personopplysningar er brukte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