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stor takk til min veileder, Bård Inge Austigard Pettersen, for faglig engasjement, konstruktive tilbakemeldinger og tydelige forventninger gjennom hele prosessen. Hans evne til å kombinere akademisk presisjon med praktisk relevans har vært avgjørende for arbeidet med oppgaven.</w:t>
      </w:r>
    </w:p>
    <w:p>
      <w:pPr>
        <w:spacing w:line="360" w:lineRule="auto"/>
      </w:pPr>
      <w:r>
        <w:rPr>
          <w:rFonts w:ascii="Times New Roman" w:hAnsi="Times New Roman"/>
          <w:sz w:val="24"/>
        </w:rPr>
        <w:t xml:space="preserve">Takk til Helse Bergen og Helse Vest IKT for tilgang til SAP S/4HANA-data som har gjort analysen mulig. Datagrunnlaget er behandlet i tråd med gjeldende retningslinjer for personvern og informasjonssikkerhet, og studien omfatter ikke personidentifiserbare opplysninger.</w:t>
      </w:r>
    </w:p>
    <w:p>
      <w:pPr>
        <w:spacing w:line="360" w:lineRule="auto"/>
      </w:pPr>
      <w:r>
        <w:rPr>
          <w:rFonts w:ascii="Times New Roman" w:hAnsi="Times New Roman"/>
          <w:sz w:val="24"/>
        </w:rPr>
        <w:t xml:space="preserve">Motivasjonen springer ut av min rolle som SAP MM-konsulent ved Helse Vest IKT, hvor jeg daglig ser at transaksjonsdataene i SAP er underutnyttet som beslutningsgrunnlag. Denne oppgaven er et forsøk på å bygge bro over det gapet.</w:t>
      </w:r>
    </w:p>
    <w:p>
      <w:pPr>
        <w:spacing w:line="360" w:lineRule="auto"/>
      </w:pPr>
      <w:r>
        <w:rPr>
          <w:rFonts w:ascii="Times New Roman" w:hAnsi="Times New Roman"/>
          <w:sz w:val="24"/>
        </w:rPr>
        <w:t xml:space="preserve">Til slutt vil jeg takke min samboer Hilde for støtte og tålmodighet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tilhørende besparelsespotensial. Studien er forankret i LIBRA-prosjektet og har som mål å utvikle et datadrevet og reproduserbart beslutningsgrunnlag for sentralisering basert på SAP S/4HANA-data.</w:t>
      </w:r>
    </w:p>
    <w:p>
      <w:pPr>
        <w:pStyle w:val="Normal"/>
        <w:spacing w:line="360" w:lineRule="auto"/>
      </w:pPr>
      <w:r>
        <w:rPr>
          <w:rFonts w:ascii="Times New Roman" w:hAnsi="Times New Roman"/>
          <w:sz w:val="24"/>
        </w:rPr>
        <w:t xml:space="preserve">Analysen omfatter 709 aktive artikler for perioden 2024–2025. Metodetilnærmingen kombinerer ABC- og XYZ-klassifisering, EOQ-avviksanalyse og K-means klyngeanalyse i en regelbasert beslutningsmodell. K-means identifiserer K = 3 klynger med akseptabel klyngestruktur (silhouette-score 0,383 trening / 0,368 test).</w:t>
      </w:r>
    </w:p>
    <w:p>
      <w:pPr>
        <w:pStyle w:val="Normal"/>
        <w:spacing w:line="360" w:lineRule="auto"/>
      </w:pPr>
      <w:r>
        <w:rPr>
          <w:rFonts w:ascii="Times New Roman" w:hAnsi="Times New Roman"/>
          <w:sz w:val="24"/>
        </w:rPr>
        <w:t xml:space="preserve">Resultatene viser at 145 artikler (20,5 %) identifiseres som prioriterte overføringskandidater til HVFS, mens 257 beholdes lokalt, 284 krever manuell vurdering og 23 mangler tilstrekkelig datagrunnlag. Den høye andelen manuell vurdering (40,1 %) reflekterer en bevisst prioritering av presisjon fremfor full automatisering.</w:t>
      </w:r>
    </w:p>
    <w:p>
      <w:pPr>
        <w:pStyle w:val="Normal"/>
        <w:spacing w:line="360" w:lineRule="auto"/>
      </w:pPr>
      <w:r>
        <w:rPr>
          <w:rFonts w:ascii="Times New Roman" w:hAnsi="Times New Roman"/>
          <w:sz w:val="24"/>
        </w:rPr>
        <w:t xml:space="preserve">Det estimerte besparelsespotensialet varierer fra kr 301 010 til kr 602 020 per år, med et base case-estimat på kr 451 515. Estimatene er scenariobaserte og avhenger av ikke-kalibrerte kostnadsparametere.</w:t>
      </w:r>
    </w:p>
    <w:p>
      <w:pPr>
        <w:pStyle w:val="Normal"/>
        <w:spacing w:line="360" w:lineRule="auto"/>
      </w:pPr>
      <w:r>
        <w:rPr>
          <w:rFonts w:ascii="Times New Roman" w:hAnsi="Times New Roman"/>
          <w:sz w:val="24"/>
        </w:rPr>
        <w:t xml:space="preserve">Studien viser at multikriterieklassifisering kombinert med klyngeanalyse gir et strukturert beslutningsgrunnlag for sentralisering i sykehuslogistikk. Praktisk realisering forutsetter justering av SAP MM-parametere, faglig validering og systematisk gjennomgang av artikler med usikker klassifisering.</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1. Konseptuelt rammeverk – fra SAP-data til HVFS-anbefaling</w:t>
      </w:r>
    </w:p>
    <w:p>
      <w:pPr>
        <w:spacing w:line="360" w:lineRule="auto"/>
      </w:pPr>
      <w:r>
        <w:rPr>
          <w:rFonts w:ascii="Times New Roman" w:hAnsi="Times New Roman" w:cs="Times New Roman"/>
          <w:sz w:val="24"/>
        </w:rPr>
        <w:t>Figur 2. Lagerstruktur – Helse Vest forsyningskjede (forenklet)</w:t>
      </w:r>
    </w:p>
    <w:p>
      <w:pPr>
        <w:spacing w:line="360" w:lineRule="auto"/>
      </w:pPr>
      <w:r>
        <w:rPr>
          <w:rFonts w:ascii="Times New Roman" w:hAnsi="Times New Roman" w:cs="Times New Roman"/>
          <w:sz w:val="24"/>
        </w:rPr>
        <w:t>Figur 3. Dataoversikt: fordeling av nøkkelvariabler for 709 artikler</w:t>
      </w:r>
    </w:p>
    <w:p>
      <w:pPr>
        <w:spacing w:line="360" w:lineRule="auto"/>
      </w:pPr>
      <w:r>
        <w:rPr>
          <w:rFonts w:ascii="Times New Roman" w:hAnsi="Times New Roman" w:cs="Times New Roman"/>
          <w:sz w:val="24"/>
        </w:rPr>
        <w:t>Figur 4. Analysepipeline: fra SAP-rådata til HVFS-anbefaling</w:t>
      </w:r>
    </w:p>
    <w:p>
      <w:pPr>
        <w:spacing w:line="360" w:lineRule="auto"/>
      </w:pPr>
      <w:r>
        <w:rPr>
          <w:rFonts w:ascii="Times New Roman" w:hAnsi="Times New Roman" w:cs="Times New Roman"/>
          <w:sz w:val="24"/>
        </w:rPr>
        <w:t>Figur 5. Regelmotor: sekvensiell beslutningsflyt for HVFS-anbefaling (R1–R8)</w:t>
      </w:r>
    </w:p>
    <w:p>
      <w:pPr>
        <w:spacing w:line="360" w:lineRule="auto"/>
      </w:pPr>
      <w:r>
        <w:rPr>
          <w:rFonts w:ascii="Times New Roman" w:hAnsi="Times New Roman" w:cs="Times New Roman"/>
          <w:sz w:val="24"/>
        </w:rPr>
        <w:t>Figur 6. ABC Pareto-kurve: kumulativ verdiandel for 709 artikler</w:t>
      </w:r>
    </w:p>
    <w:p>
      <w:pPr>
        <w:spacing w:line="360" w:lineRule="auto"/>
      </w:pPr>
      <w:r>
        <w:rPr>
          <w:rFonts w:ascii="Times New Roman" w:hAnsi="Times New Roman" w:cs="Times New Roman"/>
          <w:sz w:val="24"/>
        </w:rPr>
        <w:t>Figur 7. ABC/XYZ-kryssmatrise: antall artikler per kombinasjon</w:t>
      </w:r>
    </w:p>
    <w:p>
      <w:pPr>
        <w:spacing w:line="360" w:lineRule="auto"/>
      </w:pPr>
      <w:r>
        <w:rPr>
          <w:rFonts w:ascii="Times New Roman" w:hAnsi="Times New Roman" w:cs="Times New Roman"/>
          <w:sz w:val="24"/>
        </w:rPr>
        <w:t>Figur 8. EOQ-avvik: relativ frekvensavvik med terskel ved τ_f = 1,5</w:t>
      </w:r>
    </w:p>
    <w:p>
      <w:pPr>
        <w:spacing w:line="360" w:lineRule="auto"/>
      </w:pPr>
      <w:r>
        <w:rPr>
          <w:rFonts w:ascii="Times New Roman" w:hAnsi="Times New Roman" w:cs="Times New Roman"/>
          <w:sz w:val="24"/>
        </w:rPr>
        <w:t>Figur 9. Silhouette-score for K = 2–7 (treningsdata, n = 389)</w:t>
      </w:r>
    </w:p>
    <w:p>
      <w:pPr>
        <w:spacing w:line="360" w:lineRule="auto"/>
      </w:pPr>
      <w:r>
        <w:rPr>
          <w:rFonts w:ascii="Times New Roman" w:hAnsi="Times New Roman" w:cs="Times New Roman"/>
          <w:sz w:val="24"/>
        </w:rPr>
        <w:t>Figur 10. K-means klyngeresultat (K = 3): forbruksstabilitet vs verdi og kostnadsavvik</w:t>
      </w:r>
    </w:p>
    <w:p>
      <w:pPr>
        <w:spacing w:line="360" w:lineRule="auto"/>
      </w:pPr>
      <w:r>
        <w:rPr>
          <w:rFonts w:ascii="Times New Roman" w:hAnsi="Times New Roman" w:cs="Times New Roman"/>
          <w:sz w:val="24"/>
        </w:rPr>
        <w:t>Figur 11. Klyngeprofiler for K-means (K = 3): gjennomsnittlig z-score per feature</w:t>
      </w:r>
    </w:p>
    <w:p>
      <w:pPr>
        <w:spacing w:line="360" w:lineRule="auto"/>
      </w:pPr>
      <w:r>
        <w:rPr>
          <w:rFonts w:ascii="Times New Roman" w:hAnsi="Times New Roman" w:cs="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ROP-modulen er identifisert som en naturlig forlengelse, men utelatt da leveringstidsdata kun dekker 6 % av artiklene.</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 av enhetsprisen, i tråd med anbefalinger i lagerstyringslitteraturen (Ketkar &amp; Vaidya, 2014). Satsens innvirkning testes i sensitivitetsanalysen over intervallet {15, 20, 25} %.</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 av artiklene mangler registrert leveringstid i EINA/EINE. En fallback-verdi på 14 dager er benyttet; parameteren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for å differensiere mellom høyverdiartikler og artikler med kritisk klinisk betydning.</w:t>
      </w:r>
    </w:p>
    <w:p>
      <w:pPr>
        <w:spacing w:line="360" w:lineRule="auto"/>
      </w:pPr>
      <w:r>
        <w:rPr>
          <w:rFonts w:ascii="Times New Roman" w:hAnsi="Times New Roman" w:cs="Times New Roman"/>
          <w:sz w:val="24"/>
        </w:rPr>
        <w:t>XYZ-analyse, basert på variasjonskoeffisienten til etterspørselen, fremstår som det mest naturlige komplementet til ABC. Nowotyńska (2013) og Suryaputri et al. (2022) viser at ABC/XYZ-matrisen gir differensierte styringsanbefalinger for ni varekategorier, med dokumentert merverdi i helseindustrien.</w:t>
      </w:r>
    </w:p>
    <w:p>
      <w:pPr>
        <w:spacing w:line="360" w:lineRule="auto"/>
      </w:pPr>
      <w:r>
        <w:rPr>
          <w:rFonts w:ascii="Times New Roman" w:hAnsi="Times New Roman" w:cs="Times New Roman"/>
          <w:sz w:val="24"/>
        </w:rPr>
        <w:t>Flerkriterietilnærminger som EDAS (Keshavarz Ghorabaee et al., 2015)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p>
      <w:r>
        <w:rPr>
          <w:rFonts w:ascii="Times New Roman" w:hAnsi="Times New Roman"/>
          <w:i/>
          <w:sz w:val="20"/>
        </w:rPr>
        <w:t>Tabell 1. Litteraturoversikt: sentrale kilder med tema og relevans for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p>
      <w:r>
        <w:rPr>
          <w:rFonts w:ascii="Times New Roman" w:hAnsi="Times New Roman"/>
          <w:i/>
          <w:sz w:val="20"/>
        </w:rPr>
        <w:t>Tabell 2. Sammenligning av analysemetoder brukt i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 (Anthropic, 2026).</w:t>
      </w:r>
    </w:p>
    <w:p>
      <w:pPr>
        <w:spacing w:line="360" w:lineRule="auto"/>
      </w:pPr>
      <w:r>
        <w:rPr>
          <w:rFonts w:ascii="Times New Roman" w:hAnsi="Times New Roman" w:cs="Times New Roman"/>
          <w:sz w:val="24"/>
        </w:rPr>
        <w:t>Figur 1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p>
      <w:r>
        <w:rPr>
          <w:rFonts w:ascii="Times New Roman" w:hAnsi="Times New Roman"/>
          <w:i/>
          <w:sz w:val="20"/>
        </w:rPr>
        <w:t>Tabell 3. Nøkkeltall for casevirksomheten Helse Bergen, WERKS 3300.</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avdelingspakkede leveranser (APL) — ferdigpakkede leveranser direkte til avdeling uten mellomlagring. APL forutsetter stabil og forutsigbar etterspørsel, noe som gjør forbruksmønsterets stabilitet (XYZ-dimensjonen) til et relevant klassifiseringskriterium for HVFS-egnethet. APL-modellen er planlagt implementert frem mot 2029.</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LIBRA legger det tekniske grunnlaget for at data fra ulike foretak kan sammenlignes og analyseres på tvers — en forutsetning for at HVFS-klassifisering skal ha overføringsverdi fra Helse Bergen til de øvrige foretakene. Fragapane et al. (2019) understreker at sentraliserte leveringsmodeller som APL krever et systematisk klassifiseringsgrunnlag for å skille mellom artikler som egner seg for sentralisering og artikler som bør forbli lokalt tilgjengelig.</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4.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Denne studien er utformet som en kvantitativ, deskriptiv casestudie med analytisk tilnærming. Casestudiedesignet egner seg fordi problemstillingen er avgrenset til én operativ kontekst — Helse Bergens forsyningslager WERKS 3300, LGORT 3001 — og fordi målet er å generere handlingsrettede anbefalinger basert på de operasjonelle dataene som faktisk eksisterer i dette systemet.</w:t>
      </w:r>
    </w:p>
    <w:p>
      <w:pPr>
        <w:spacing w:line="360" w:lineRule="auto"/>
      </w:pPr>
      <w:r>
        <w:rPr>
          <w:rFonts w:ascii="Times New Roman" w:hAnsi="Times New Roman" w:cs="Times New Roman"/>
          <w:sz w:val="24"/>
        </w:rPr>
        <w:t>Studien er rent kvantitativ — det benyttes ingen spørreundersøkelser, intervjuer eller deltakerobservasjon. Alle analyser er basert på operasjonelle ERP-data fra SAP S/4HANA, som er automatisk registrert og ikke gjenstand for selvrapporteringsfeil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deskriptiv-analytisk: den klassifiserer eksisterende artikler og kombinerer resultatene i en regelbasert beslutningsmodell (van Kampen et al., 2012). Generaliserbarhet er begrenset til sammenlignbare sykehuslagre med SAP-infrastruktur; studien gir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p>
      <w:r>
        <w:rPr>
          <w:rFonts w:ascii="Times New Roman" w:hAnsi="Times New Roman"/>
          <w:i/>
          <w:sz w:val="20"/>
        </w:rPr>
        <w:t>Tabell 4. Datagrunnlag: 14 SAP S/4HANA-tabeller hentet via SE16H, analyseperiode 2024–2025, WERKS 3300 /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3.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p>
      <w:r>
        <w:rPr>
          <w:rFonts w:ascii="Times New Roman" w:hAnsi="Times New Roman"/>
          <w:i/>
          <w:sz w:val="20"/>
        </w:rPr>
        <w:t>Tabell 5. Datavalgsbeslutninger D-01–D-08 med begrunnelse.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pPr>
        <w:spacing w:line="360" w:lineRule="auto"/>
      </w:pPr>
      <w:r>
        <w:rPr>
          <w:rFonts w:ascii="Times New Roman" w:hAnsi="Times New Roman" w:cs="Times New Roman"/>
          <w:sz w:val="24"/>
        </w:rPr>
        <w:t>Datapipelinen fra rådata til analyseklart datasett er illustrert i Figur 4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4.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Parametervalgene S og h er begrunnet i avsnitt 1.4 og testes i sensitivitetsanalysen (kap. 7.6).</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kodestøtte, generering av datavisualiseringer og språklig bearbeiding av rapportteksten. KI-verktøyet er ikke brukt som fagkilde og er ikke sitert som belegg for faglige påstander. Detaljert beskrivelse av bruken finnes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p>
      <w:r>
        <w:rPr>
          <w:rFonts w:ascii="Times New Roman" w:hAnsi="Times New Roman"/>
          <w:i/>
          <w:sz w:val="20"/>
        </w:rPr>
        <w:t>Tabell 6. Modellparametere: ABC-klassifiseringsgrenser og øvrige analyseinnstillinger.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150 %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sz w:val="24"/>
        </w:rPr>
        <w:t xml:space="preserve">Parametervalgene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 xml:space="preserve"> er begrunnet i avsnitt 1.4. Sensitivitetsanalysen i kapittel 7.6 tester robustheten ved systematisk variasjon i S og h.</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KMeans-modellen fittes kun på treningsdataene. Testsettet evaluerer klyngestrukturens generaliserbarhet.</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Scorer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pPr>
      <w:r>
        <w:rPr>
          <w:rFonts w:ascii="Times New Roman" w:hAnsi="Times New Roman" w:cs="Times New Roman"/>
          <w:sz w:val="24"/>
        </w:rPr>
        <w:t xml:space="preserve">K\_OVERFØR er altså klyngen med lavest gjennomsnittlig CV (stabilt forbruksmønster) og høyest gjennomsnittlig artikkelverdi. Implementasjonen benytter `pandas.Series.rank()`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p>
      <w:r>
        <w:rPr>
          <w:rFonts w:ascii="Times New Roman" w:hAnsi="Times New Roman"/>
          <w:i/>
          <w:sz w:val="20"/>
        </w:rPr>
        <w:t>Tabell 7. Regelmotor: 8 beslutningsregler i prioritert rekkefølge.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stabilt, men ikke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moderat variasjon, ikke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Uklart signalmønster eller lav verdi</w:t>
            </w:r>
          </w:p>
        </w:tc>
      </w:tr>
    </w:tbl>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5.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6 nedenfor. Kurvens form — en bratt stigning tidlig etterfulgt av en lang flat hale — bekrefter at verdikonsentrasjonen følger Pareto-mønsteret.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resultatene presenteres i Tabell 10 i kapittel 7.</w:t>
      </w:r>
    </w:p>
    <w:p>
      <w:pPr>
        <w:spacing w:line="360" w:lineRule="auto"/>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8 viser at fordelingen er sterkt høyreskjev: majoriteten av artiklene med EOQ-data har et FREQ\_AVVIK over terskelen på 1,5. Fordeling etter avviksstatus og totale </w:t>
      </w:r>
      <m:oMath>
        <m:r>
          <m:t>ΔTC</m:t>
        </m:r>
      </m:oMath>
      <w:r>
        <w:rPr>
          <w:rFonts w:ascii="Times New Roman" w:hAnsi="Times New Roman" w:cs="Times New Roman"/>
          <w:sz w:val="24"/>
        </w:rPr>
        <w:t>-summer presenteres i Tabell 11 og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n=389</m:t>
        </m:r>
      </m:oMath>
      <w:r>
        <w:rPr>
          <w:rFonts w:ascii="Times New Roman" w:hAnsi="Times New Roman" w:cs="Times New Roman"/>
          <w:sz w:val="24"/>
        </w:rPr>
        <w:t>) og et testsett (</w:t>
      </w:r>
      <m:oMath>
        <m:r>
          <m:t>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og ble valgt som det endelige antallet klynger. For </w:t>
      </w:r>
      <m:oMath>
        <m:r>
          <m:t>K=4</m:t>
        </m:r>
      </m:oMath>
      <w:r>
        <w:rPr>
          <w:rFonts w:ascii="Times New Roman" w:hAnsi="Times New Roman" w:cs="Times New Roman"/>
          <w:sz w:val="24"/>
        </w:rPr>
        <w:t xml:space="preserve"> og oppover falt scoren monotont, noe som indikerer at tre klynger representerer den mest naturlige gruppestrukturen i featurerommet. KMeans-modellen ble trent endelig med </w:t>
      </w:r>
      <m:oMath>
        <m:r>
          <m:t>K=3</m:t>
        </m:r>
      </m:oMath>
      <w:r>
        <w:rPr>
          <w:rFonts w:ascii="Times New Roman" w:hAnsi="Times New Roman" w:cs="Times New Roman"/>
          <w:sz w:val="24"/>
        </w:rPr>
        <w:t>, `n_init=50` og `max_iter=300`. Testdataene (</w:t>
      </w:r>
      <m:oMath>
        <m:r>
          <m:t>n=98</m:t>
        </m:r>
      </m:oMath>
      <w:r>
        <w:rPr>
          <w:rFonts w:ascii="Times New Roman" w:hAnsi="Times New Roman" w:cs="Times New Roman"/>
          <w:sz w:val="24"/>
        </w:rPr>
        <w:t>) ble predikert til nærmeste sentroid for å evaluere generaliserbarhet. Silhouette-scorer for trenings- og testdata presenteres i avsnitt 7.4.</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11 bekrefter at K\_OVERFØR-klyngen har den laveste CV-verdien og den høyeste verdiprofilen.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12 viser den endelige fordelingen av HVFS-anbefalinger og estimert besparelse.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p>
      <w:r>
        <w:rPr>
          <w:rFonts w:ascii="Times New Roman" w:hAnsi="Times New Roman"/>
          <w:i/>
          <w:sz w:val="20"/>
        </w:rPr>
        <w:t>Tabell 8. ABC-fordeling: antall artikler og verdiandel per klasse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p>
      <w:r>
        <w:rPr>
          <w:rFonts w:ascii="Times New Roman" w:hAnsi="Times New Roman"/>
          <w:i/>
          <w:sz w:val="20"/>
        </w:rPr>
        <w:t>Tabell 9. XYZ-fordeling: antall artikler per klasse (n = 687 klassifiserte).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p>
      <w:r>
        <w:rPr>
          <w:rFonts w:ascii="Times New Roman" w:hAnsi="Times New Roman"/>
          <w:i/>
          <w:sz w:val="20"/>
        </w:rPr>
        <w:t>Tabell 10. SAP ZZXYZ-validering: samsvar mellom systemklasse og beregnet CV-klasse (n = 375 artikler med data i begge kilder).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pPr>
        <w:pStyle w:val="Overskrift2"/>
      </w:pPr>
      <w:r>
        <w:rPr>
          <w:rFonts w:ascii="Times New Roman" w:hAnsi="Times New Roman"/>
          <w:color w:val="000000"/>
          <w:sz w:val="32"/>
        </w:rPr>
        <w:t>7.3 EOQ-avviksresultater</w:t>
      </w:r>
    </w:p>
    <w:p>
      <w:r>
        <w:rPr>
          <w:rFonts w:ascii="Times New Roman" w:hAnsi="Times New Roman"/>
          <w:i/>
          <w:sz w:val="20"/>
        </w:rPr>
        <w:t>Tabell 11. EOQ-avviksresultater: fordeling av artikler etter ordrefrekvensavvik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150 %,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n=389</m:t>
        </m:r>
      </m:oMath>
      <w:r>
        <w:rPr>
          <w:rFonts w:ascii="Times New Roman" w:hAnsi="Times New Roman" w:cs="Times New Roman"/>
          <w:sz w:val="24"/>
        </w:rPr>
        <w:t>) var 0,383, og på testdataene (</w:t>
      </w:r>
      <m:oMath>
        <m:r>
          <m:t>n=98</m:t>
        </m:r>
      </m:oMath>
      <w:r>
        <w:rPr>
          <w:rFonts w:ascii="Times New Roman" w:hAnsi="Times New Roman" w:cs="Times New Roman"/>
          <w:sz w:val="24"/>
        </w:rPr>
        <w:t>) var 0,368. Differansen mellom trenings- og testresultat er 0,015, noe som ikke indikerer vesentlig overfit. Klyngeprofiler er presentert i Tabell 12.</w:t>
      </w:r>
    </w:p>
    <w:p>
      <w:r>
        <w:rPr>
          <w:rFonts w:ascii="Times New Roman" w:hAnsi="Times New Roman"/>
          <w:i/>
          <w:sz w:val="20"/>
        </w:rPr>
        <w:t>Tabell 12. K-means klyngeprofiler: gjennomsnittsverdier per klynge for de tre featurene (K = 3,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p>
      <w:r>
        <w:rPr>
          <w:rFonts w:ascii="Times New Roman" w:hAnsi="Times New Roman"/>
          <w:i/>
          <w:sz w:val="20"/>
        </w:rPr>
        <w:t>Tabell 13. HVFS-anbefalinger fra regelmotor: fordeling per kategori (n = 709,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71 artikler (A/B + X + FOR\_MANGE\_ORDRER), R4 fanget 18 artikler (A/B + X + K\_OVERFØR), og R5 fanget 56 artikler (A/B + Y + K\_OVERFØR). Av de 145 overførte artiklene har 117 status FOR\_MANGE\_ORDRER og inngår dermed i besparelsesberegningen i avsnitt 7.6. De resterende 28 artiklene (alle 18 fra R4 og 10 fra R5) inngår ikke i besparelsesgrunnlaget fordi FOR\_MANGE\_ORDRER-flagget ikke er aktivert, men de anbefales overført fordi kombinasjonen av ABC/XYZ-profil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143 artikler) eller CY-profil (R2: 114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p>
      <w:r>
        <w:rPr>
          <w:rFonts w:ascii="Times New Roman" w:hAnsi="Times New Roman"/>
          <w:i/>
          <w:sz w:val="20"/>
        </w:rPr>
        <w:t>Tabell 14. Besparelsesestimater for tre scenarier: 117 artikler (OVERFØR\_HVFS ∩ FOR\_MANGE\_ORDRER), S = 750 NOK.</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p>
      <w:r>
        <w:rPr>
          <w:rFonts w:ascii="Times New Roman" w:hAnsi="Times New Roman"/>
          <w:i/>
          <w:sz w:val="20"/>
        </w:rPr>
        <w:t>Tabell 15. Sammenstilling av egne resultater mot funn i eksisterende litteratur.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stasjonaritets-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spacing w:line="360" w:lineRule="auto"/>
      </w:pPr>
      <w:r>
        <w:rPr>
          <w:rFonts w:ascii="Times New Roman" w:hAnsi="Times New Roman" w:cs="Times New Roman"/>
          <w:sz w:val="24"/>
        </w:rPr>
        <w:t>Modellen inkluderer ikke en eksplisitt kritikalitetsdimensjon som VED (Vital, Essential, Desirable). VED fanger forsyningskritikalitet for pasientbehandling som ikke fremgår av kvantitative ERP-metrikker alene. En forenklet binær kritikalitetsvurdering basert på varegruppe ville styrket modellens kliniske relevans, men krever fagkompetanse utenfor denne studiens rammeverk.</w:t>
      </w:r>
    </w:p>
    <w:p>
      <w:pPr>
        <w:spacing w:line="360" w:lineRule="auto"/>
      </w:pPr>
      <w:r>
        <w:rPr>
          <w:rFonts w:ascii="Times New Roman" w:hAnsi="Times New Roman" w:cs="Times New Roman"/>
          <w:sz w:val="24"/>
        </w:rPr>
        <w:t>Studien benytter kun K-means som klyngealgoritme. En sammenligning med hierarkisk klynging eller DBSCAN ville styrket tilliten til klyngeresultatene, særlig gitt at silhouette-scoren (0,383) indikerer moderat separasjon.</w:t>
      </w:r>
    </w:p>
    <w:p>
      <w:pPr>
        <w:spacing w:line="360" w:lineRule="auto"/>
      </w:pPr>
      <w:r>
        <w:rPr>
          <w:rFonts w:ascii="Times New Roman" w:hAnsi="Times New Roman" w:cs="Times New Roman"/>
          <w:sz w:val="24"/>
        </w:rPr>
        <w:t>Besparelsesestimatet er beregnet analytisk. En Monte Carlo-simulering av bestillingsfrekvensendringer for de største overføringskandidatene ville gitt et dynamisk estimat som fanger samspillet mellom ordrefrekvens, lagernivå og servicenivå over tid.</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Se Tabell 4 i avsnitt 4.2 for fullstendig oversikt over de 14 SAP S/4HANA-tabellene. 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hovedkomponenter:</w:t>
      </w:r>
    </w:p>
    <w:p>
      <w:pPr>
        <w:spacing w:line="360" w:lineRule="auto"/>
      </w:pPr>
      <w:r>
        <w:rPr>
          <w:rFonts w:ascii="Times New Roman" w:hAnsi="Times New Roman" w:cs="Times New Roman"/>
          <w:b/>
          <w:sz w:val="24"/>
        </w:rPr>
        <w:t>Hovedscript:</w:t>
      </w:r>
      <w:r>
        <w:rPr>
          <w:rFonts w:ascii="Times New Roman" w:hAnsi="Times New Roman" w:cs="Times New Roman"/>
          <w:sz w:val="24"/>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figurene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(datastrukturer), scikit-learn 1.x (KMeans, StandardScaler, silhouette_score), matplotlib 3.x (visualisering), openpyxl (Excel I/O).</w:t>
      </w:r>
    </w:p>
    <w:p>
      <w:pPr>
        <w:spacing w:line="360" w:lineRule="auto"/>
      </w:pPr>
      <w:r>
        <w:rPr>
          <w:rFonts w:ascii="Times New Roman" w:hAnsi="Times New Roman" w:cs="Times New Roman"/>
          <w:b/>
          <w:sz w:val="24"/>
        </w:rPr>
        <w:t>Reproduserbarhet:</w:t>
      </w:r>
      <w:r>
        <w:rPr>
          <w:rFonts w:ascii="Times New Roman" w:hAnsi="Times New Roman" w:cs="Times New Roman"/>
          <w:sz w:val="24"/>
        </w:rPr>
        <w:t xml:space="preserve"> Alle scripts bruker `random_state=42` for deterministisk output. Gjentatt kjøring med samme inputdata gir identiske resultater.</w:t>
      </w:r>
    </w:p>
    <w:p>
      <w:pPr>
        <w:spacing w:line="360" w:lineRule="auto"/>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pPr>
        <w:spacing w:line="360" w:lineRule="auto"/>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